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0D55B">
      <w:pPr>
        <w:spacing w:line="560" w:lineRule="exact"/>
        <w:jc w:val="center"/>
        <w:rPr>
          <w:rFonts w:ascii="Times New Roman" w:hAnsi="Times New Roman" w:eastAsia="方正小标宋简体"/>
          <w:kern w:val="0"/>
          <w:sz w:val="44"/>
          <w:szCs w:val="44"/>
        </w:rPr>
      </w:pPr>
      <w:bookmarkStart w:id="0" w:name="_GoBack"/>
      <w:bookmarkEnd w:id="0"/>
      <w:r>
        <w:rPr>
          <w:rFonts w:ascii="Times New Roman" w:hAnsi="Times New Roman" w:eastAsia="方正小标宋简体"/>
          <w:kern w:val="0"/>
          <w:sz w:val="44"/>
          <w:szCs w:val="44"/>
        </w:rPr>
        <w:t>米易县垭口镇人民政府</w:t>
      </w:r>
    </w:p>
    <w:p w14:paraId="329F44E1">
      <w:pPr>
        <w:spacing w:line="560" w:lineRule="exact"/>
        <w:jc w:val="center"/>
        <w:rPr>
          <w:rFonts w:ascii="Times New Roman" w:hAnsi="Times New Roman" w:eastAsia="方正小标宋简体"/>
          <w:kern w:val="0"/>
          <w:sz w:val="44"/>
          <w:szCs w:val="44"/>
        </w:rPr>
      </w:pPr>
      <w:r>
        <w:rPr>
          <w:rFonts w:ascii="Times New Roman" w:hAnsi="Times New Roman" w:eastAsia="方正小标宋简体"/>
          <w:kern w:val="0"/>
          <w:sz w:val="44"/>
          <w:szCs w:val="44"/>
        </w:rPr>
        <w:t>关于2020年</w:t>
      </w:r>
      <w:r>
        <w:rPr>
          <w:rFonts w:hint="eastAsia" w:ascii="Times New Roman" w:hAnsi="Times New Roman" w:eastAsia="方正小标宋简体"/>
          <w:kern w:val="0"/>
          <w:sz w:val="44"/>
          <w:szCs w:val="44"/>
          <w:lang w:eastAsia="zh-CN"/>
        </w:rPr>
        <w:t>政府预算及</w:t>
      </w:r>
      <w:r>
        <w:rPr>
          <w:rFonts w:ascii="Times New Roman" w:hAnsi="Times New Roman" w:eastAsia="方正小标宋简体"/>
          <w:kern w:val="0"/>
          <w:sz w:val="44"/>
          <w:szCs w:val="44"/>
        </w:rPr>
        <w:t>部门预算编制的说明</w:t>
      </w:r>
    </w:p>
    <w:p w14:paraId="17D27441">
      <w:pPr>
        <w:spacing w:line="600" w:lineRule="exact"/>
        <w:ind w:firstLine="640" w:firstLineChars="200"/>
        <w:rPr>
          <w:rFonts w:ascii="Times New Roman" w:hAnsi="Times New Roman" w:eastAsia="仿宋_GB2312"/>
          <w:sz w:val="32"/>
          <w:szCs w:val="32"/>
        </w:rPr>
      </w:pPr>
    </w:p>
    <w:p w14:paraId="2D2BDD0C">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2020年</w:t>
      </w:r>
      <w:r>
        <w:rPr>
          <w:rFonts w:hint="eastAsia" w:ascii="Times New Roman" w:hAnsi="Times New Roman" w:eastAsia="仿宋_GB2312"/>
          <w:sz w:val="32"/>
          <w:szCs w:val="32"/>
          <w:lang w:eastAsia="zh-CN"/>
        </w:rPr>
        <w:t>政府预算及</w:t>
      </w:r>
      <w:r>
        <w:rPr>
          <w:rFonts w:ascii="Times New Roman" w:hAnsi="Times New Roman" w:eastAsia="仿宋_GB2312"/>
          <w:sz w:val="32"/>
          <w:szCs w:val="32"/>
        </w:rPr>
        <w:t>部门预算已批复我单位，按照《预算法》规定，现将我单位2020年</w:t>
      </w:r>
      <w:r>
        <w:rPr>
          <w:rFonts w:hint="eastAsia" w:ascii="Times New Roman" w:hAnsi="Times New Roman" w:eastAsia="仿宋_GB2312"/>
          <w:sz w:val="32"/>
          <w:szCs w:val="32"/>
          <w:lang w:eastAsia="zh-CN"/>
        </w:rPr>
        <w:t>政府预算及</w:t>
      </w:r>
      <w:r>
        <w:rPr>
          <w:rFonts w:ascii="Times New Roman" w:hAnsi="Times New Roman" w:eastAsia="仿宋_GB2312"/>
          <w:sz w:val="32"/>
          <w:szCs w:val="32"/>
        </w:rPr>
        <w:t>部门预算编制情况说明如下:</w:t>
      </w:r>
    </w:p>
    <w:p w14:paraId="48E38154">
      <w:pPr>
        <w:ind w:firstLine="640" w:firstLineChars="200"/>
        <w:rPr>
          <w:rFonts w:hint="eastAsia" w:ascii="黑体" w:hAnsi="Times New Roman" w:eastAsia="黑体"/>
          <w:sz w:val="32"/>
          <w:szCs w:val="32"/>
        </w:rPr>
      </w:pPr>
      <w:r>
        <w:rPr>
          <w:rFonts w:hint="eastAsia" w:ascii="黑体" w:hAnsi="Times New Roman" w:eastAsia="黑体"/>
          <w:sz w:val="32"/>
          <w:szCs w:val="32"/>
          <w:shd w:val="clear" w:color="auto" w:fill="FFFFFF"/>
        </w:rPr>
        <w:t>一、主要职责</w:t>
      </w:r>
    </w:p>
    <w:p w14:paraId="262888B5">
      <w:pPr>
        <w:spacing w:line="600" w:lineRule="exact"/>
        <w:ind w:firstLine="643" w:firstLineChars="200"/>
        <w:rPr>
          <w:rFonts w:ascii="Times New Roman" w:hAnsi="Times New Roman" w:eastAsia="仿宋_GB2312"/>
          <w:sz w:val="32"/>
          <w:szCs w:val="32"/>
        </w:rPr>
      </w:pPr>
      <w:r>
        <w:rPr>
          <w:rFonts w:ascii="楷体" w:hAnsi="楷体" w:eastAsia="楷体"/>
          <w:b/>
          <w:sz w:val="32"/>
          <w:szCs w:val="32"/>
        </w:rPr>
        <w:t>（一）</w:t>
      </w:r>
      <w:r>
        <w:rPr>
          <w:rFonts w:ascii="Times New Roman" w:hAnsi="Times New Roman" w:eastAsia="仿宋_GB2312"/>
          <w:sz w:val="32"/>
          <w:szCs w:val="32"/>
        </w:rPr>
        <w:t>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14:paraId="47B1C18F">
      <w:pPr>
        <w:spacing w:line="600" w:lineRule="exact"/>
        <w:ind w:firstLine="643" w:firstLineChars="200"/>
        <w:rPr>
          <w:rFonts w:ascii="Times New Roman" w:hAnsi="Times New Roman" w:eastAsia="仿宋_GB2312"/>
          <w:sz w:val="32"/>
          <w:szCs w:val="32"/>
        </w:rPr>
      </w:pPr>
      <w:r>
        <w:rPr>
          <w:rFonts w:ascii="楷体" w:hAnsi="楷体" w:eastAsia="楷体"/>
          <w:b/>
          <w:sz w:val="32"/>
          <w:szCs w:val="32"/>
        </w:rPr>
        <w:t>（二）</w:t>
      </w:r>
      <w:r>
        <w:rPr>
          <w:rFonts w:ascii="Times New Roman" w:hAnsi="Times New Roman" w:eastAsia="仿宋_GB2312"/>
          <w:sz w:val="32"/>
          <w:szCs w:val="32"/>
        </w:rPr>
        <w:t>执行本级人民代表大会的决议和上级国家行政机关的决定和命令，发布决定和命令。</w:t>
      </w:r>
    </w:p>
    <w:p w14:paraId="5FD62C4B">
      <w:pPr>
        <w:spacing w:line="600" w:lineRule="exact"/>
        <w:ind w:firstLine="643" w:firstLineChars="200"/>
        <w:rPr>
          <w:rFonts w:ascii="Times New Roman" w:hAnsi="Times New Roman" w:eastAsia="仿宋_GB2312"/>
          <w:sz w:val="32"/>
          <w:szCs w:val="32"/>
        </w:rPr>
      </w:pPr>
      <w:r>
        <w:rPr>
          <w:rFonts w:ascii="楷体" w:hAnsi="楷体" w:eastAsia="楷体"/>
          <w:b/>
          <w:sz w:val="32"/>
          <w:szCs w:val="32"/>
        </w:rPr>
        <w:t>（三）</w:t>
      </w:r>
      <w:r>
        <w:rPr>
          <w:rFonts w:ascii="Times New Roman" w:hAnsi="Times New Roman" w:eastAsia="仿宋_GB2312"/>
          <w:sz w:val="32"/>
          <w:szCs w:val="32"/>
        </w:rPr>
        <w:t>执行本行政区域内的经济和社会发展计划、预算，管理本行政区域内的经济、教育、科学、文化、卫生、体育事业和财政、民政、公安、司法行政、计划生育等行政工作。</w:t>
      </w:r>
    </w:p>
    <w:p w14:paraId="74A77AF6">
      <w:pPr>
        <w:spacing w:line="600" w:lineRule="exact"/>
        <w:ind w:firstLine="643" w:firstLineChars="200"/>
        <w:rPr>
          <w:rFonts w:ascii="Times New Roman" w:hAnsi="Times New Roman" w:eastAsia="仿宋_GB2312"/>
          <w:sz w:val="32"/>
          <w:szCs w:val="32"/>
        </w:rPr>
      </w:pPr>
      <w:r>
        <w:rPr>
          <w:rFonts w:ascii="楷体" w:hAnsi="楷体" w:eastAsia="楷体"/>
          <w:b/>
          <w:sz w:val="32"/>
          <w:szCs w:val="32"/>
        </w:rPr>
        <w:t>（四）</w:t>
      </w:r>
      <w:r>
        <w:rPr>
          <w:rFonts w:ascii="Times New Roman" w:hAnsi="Times New Roman" w:eastAsia="仿宋_GB2312"/>
          <w:sz w:val="32"/>
          <w:szCs w:val="32"/>
        </w:rPr>
        <w:t>保护社会主义的全民所有的财产和劳动群众集体所有的财产，保护公民私人所有的合法财产，维护社会秩序，保障公民的人身权利、民主权利和其他权利。</w:t>
      </w:r>
    </w:p>
    <w:p w14:paraId="46717DC4">
      <w:pPr>
        <w:spacing w:line="600" w:lineRule="exact"/>
        <w:ind w:firstLine="643" w:firstLineChars="200"/>
        <w:rPr>
          <w:rFonts w:ascii="Times New Roman" w:hAnsi="Times New Roman" w:eastAsia="仿宋_GB2312"/>
          <w:sz w:val="32"/>
          <w:szCs w:val="32"/>
        </w:rPr>
      </w:pPr>
      <w:r>
        <w:rPr>
          <w:rFonts w:ascii="楷体" w:hAnsi="楷体" w:eastAsia="楷体"/>
          <w:b/>
          <w:sz w:val="32"/>
          <w:szCs w:val="32"/>
        </w:rPr>
        <w:t>（五）</w:t>
      </w:r>
      <w:r>
        <w:rPr>
          <w:rFonts w:ascii="Times New Roman" w:hAnsi="Times New Roman" w:eastAsia="仿宋_GB2312"/>
          <w:sz w:val="32"/>
          <w:szCs w:val="32"/>
        </w:rPr>
        <w:t>保护各种经济组织的合法权益。</w:t>
      </w:r>
    </w:p>
    <w:p w14:paraId="0D8449EF">
      <w:pPr>
        <w:spacing w:line="600" w:lineRule="exact"/>
        <w:ind w:firstLine="643" w:firstLineChars="200"/>
        <w:rPr>
          <w:rFonts w:ascii="Times New Roman" w:hAnsi="Times New Roman" w:eastAsia="仿宋_GB2312"/>
          <w:sz w:val="32"/>
          <w:szCs w:val="32"/>
        </w:rPr>
      </w:pPr>
      <w:r>
        <w:rPr>
          <w:rFonts w:ascii="楷体" w:hAnsi="楷体" w:eastAsia="楷体"/>
          <w:b/>
          <w:sz w:val="32"/>
          <w:szCs w:val="32"/>
        </w:rPr>
        <w:t>（六）</w:t>
      </w:r>
      <w:r>
        <w:rPr>
          <w:rFonts w:ascii="Times New Roman" w:hAnsi="Times New Roman" w:eastAsia="仿宋_GB2312"/>
          <w:sz w:val="32"/>
          <w:szCs w:val="32"/>
        </w:rPr>
        <w:t>保障少数民族的权利和尊重少数民族的风俗习惯。</w:t>
      </w:r>
    </w:p>
    <w:p w14:paraId="2CE9F439">
      <w:pPr>
        <w:spacing w:line="600" w:lineRule="exact"/>
        <w:ind w:firstLine="643" w:firstLineChars="200"/>
        <w:rPr>
          <w:rFonts w:ascii="Times New Roman" w:hAnsi="Times New Roman" w:eastAsia="仿宋_GB2312"/>
          <w:sz w:val="32"/>
          <w:szCs w:val="32"/>
        </w:rPr>
      </w:pPr>
      <w:r>
        <w:rPr>
          <w:rFonts w:ascii="楷体" w:hAnsi="楷体" w:eastAsia="楷体"/>
          <w:b/>
          <w:sz w:val="32"/>
          <w:szCs w:val="32"/>
        </w:rPr>
        <w:t>（七）</w:t>
      </w:r>
      <w:r>
        <w:rPr>
          <w:rFonts w:ascii="Times New Roman" w:hAnsi="Times New Roman" w:eastAsia="仿宋_GB2312"/>
          <w:sz w:val="32"/>
          <w:szCs w:val="32"/>
        </w:rPr>
        <w:t>办理上级县委、县政府政府交办的其他事项。</w:t>
      </w:r>
    </w:p>
    <w:p w14:paraId="76F2FE24">
      <w:pPr>
        <w:ind w:firstLine="640" w:firstLineChars="200"/>
        <w:rPr>
          <w:rFonts w:ascii="黑体" w:hAnsi="Times New Roman" w:eastAsia="黑体"/>
          <w:sz w:val="32"/>
          <w:szCs w:val="32"/>
          <w:shd w:val="clear" w:color="auto" w:fill="FFFFFF"/>
        </w:rPr>
      </w:pPr>
      <w:r>
        <w:rPr>
          <w:rFonts w:ascii="黑体" w:hAnsi="Times New Roman" w:eastAsia="黑体"/>
          <w:sz w:val="32"/>
          <w:szCs w:val="32"/>
          <w:shd w:val="clear" w:color="auto" w:fill="FFFFFF"/>
        </w:rPr>
        <w:t>二、基本情况</w:t>
      </w:r>
    </w:p>
    <w:p w14:paraId="57956B98">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2020年垭口镇行政编制数24名，全额拨款事业编制24名，机关工勤编制3名，编制数共计51人。我单位年末实有人数49人， 行政人员27人（其中机关人员24人，工勤人员3人），事业人员22人。另退休人员共计8人，编外聘用人员1人；车辆编制5辆（行政编制2辆、下属事业单位3辆），年末实有车辆5辆（行政编制2辆、下属事业单位3辆）。</w:t>
      </w:r>
    </w:p>
    <w:p w14:paraId="7C17D228">
      <w:pPr>
        <w:ind w:firstLine="640" w:firstLineChars="200"/>
        <w:rPr>
          <w:rFonts w:ascii="黑体" w:hAnsi="Times New Roman" w:eastAsia="黑体"/>
          <w:sz w:val="32"/>
          <w:szCs w:val="32"/>
          <w:shd w:val="clear" w:color="auto" w:fill="FFFFFF"/>
        </w:rPr>
      </w:pPr>
      <w:r>
        <w:rPr>
          <w:rFonts w:ascii="黑体" w:hAnsi="Times New Roman" w:eastAsia="黑体"/>
          <w:sz w:val="32"/>
          <w:szCs w:val="32"/>
          <w:shd w:val="clear" w:color="auto" w:fill="FFFFFF"/>
        </w:rPr>
        <w:t>三、2020年主要工作任务</w:t>
      </w:r>
    </w:p>
    <w:p w14:paraId="52596BDC">
      <w:pPr>
        <w:spacing w:line="600" w:lineRule="exact"/>
        <w:ind w:firstLine="643" w:firstLineChars="200"/>
        <w:rPr>
          <w:rFonts w:ascii="楷体" w:hAnsi="楷体" w:eastAsia="楷体"/>
          <w:b/>
          <w:sz w:val="32"/>
          <w:szCs w:val="32"/>
        </w:rPr>
      </w:pPr>
      <w:r>
        <w:rPr>
          <w:rFonts w:ascii="楷体" w:hAnsi="楷体" w:eastAsia="楷体"/>
          <w:b/>
          <w:sz w:val="32"/>
          <w:szCs w:val="32"/>
        </w:rPr>
        <w:t>（一）是坚决打赢产业融合攻坚战</w:t>
      </w:r>
    </w:p>
    <w:p w14:paraId="462D8928">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坚持做精农业产业、做强工业经济、做优康养旅游，加快推进一二三产业融合发展。在农业产业方面，抓好抓实全国农业产业强镇项目建设，加快实施标准农田建设项目，积极探索合同化种植、科学化管理、市场化销售、公司化经营的现代农业产业模式，大力推进观光农业和体验农业发展。在工业经济方面，牢固树立“工业不强不叫攀枝花”的理念，继续当好企业发展的服务员和农企矛盾化解的调解员，为企业发展服好务，重点抓好兴辰公司五氧化二钒、易希欧纳米材料等重大工业项目，全力保障安宁铁钛、立宇矿业等重点企业稳产达产。在康养旅游方面，加快推进古镇商业街区建设，不断完善海塔风景区旅游道路、环湖栈道等旅游基础设施，积极抢抓市委“5115”康养工程的重大机遇，大力发展康养旅游产业。</w:t>
      </w:r>
    </w:p>
    <w:p w14:paraId="6033E6BF">
      <w:pPr>
        <w:spacing w:line="600" w:lineRule="exact"/>
        <w:ind w:firstLine="643" w:firstLineChars="200"/>
        <w:rPr>
          <w:rFonts w:ascii="楷体" w:hAnsi="楷体" w:eastAsia="楷体"/>
          <w:b/>
          <w:sz w:val="32"/>
          <w:szCs w:val="32"/>
        </w:rPr>
      </w:pPr>
      <w:r>
        <w:rPr>
          <w:rFonts w:ascii="楷体" w:hAnsi="楷体" w:eastAsia="楷体"/>
          <w:b/>
          <w:sz w:val="32"/>
          <w:szCs w:val="32"/>
        </w:rPr>
        <w:t>（二）是坚决打赢精准脱贫攻坚战</w:t>
      </w:r>
    </w:p>
    <w:p w14:paraId="65857B63">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严格按照县委要求完成所有脱贫攻坚任务，紧紧围绕“两不愁三保障”“三有”脱贫退出指标，积极采取精准帮扶、感恩教育、法制宣传等多种措施，进一步落实医疗保障、教育助学等政策，加快推进住房建设、安全饮水等项目建设，全力确保355户1761人凉山自发搬迁贫困群众如期脱贫。持续推进已脱贫退出贫困户巩固提升工作，扎实开展“回头看、回头帮”，全力确保已脱贫群众实现“一翻番两提升”，人均年收入达到5000元以上，9户38人非建档立卡特殊困难户现有问题整改全部达标，为中央和省委脱贫攻坚督战督察交上一份高质量的圆满答卷。</w:t>
      </w:r>
    </w:p>
    <w:p w14:paraId="2B1C163C">
      <w:pPr>
        <w:spacing w:line="600" w:lineRule="exact"/>
        <w:ind w:firstLine="643" w:firstLineChars="200"/>
        <w:rPr>
          <w:rFonts w:ascii="楷体" w:hAnsi="楷体" w:eastAsia="楷体"/>
          <w:b/>
          <w:sz w:val="32"/>
          <w:szCs w:val="32"/>
        </w:rPr>
      </w:pPr>
      <w:r>
        <w:rPr>
          <w:rFonts w:ascii="楷体" w:hAnsi="楷体" w:eastAsia="楷体"/>
          <w:b/>
          <w:sz w:val="32"/>
          <w:szCs w:val="32"/>
        </w:rPr>
        <w:t>（三）是坚决打赢乡村振兴攻坚战</w:t>
      </w:r>
    </w:p>
    <w:p w14:paraId="15AFBD91">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加快推进特色小镇建设，持续放大“流转开发”“合作经营”等5种产业发展模式的带动效应和经济效益，探索植入塘坊、醋坊、酒坊等亲子体验旅游业态，加快建成集休闲、展示、科普等多功能为一体的葡萄阳光房，启动建设特色小镇旅游环线、观光道路、污水管网、停车场等基础配套设施，加快打造乡村振兴示范点，积极争创省级乡村振兴示范镇和示范村。进一步发展壮大村集体经济，围绕村庄特色进行整体包装推介，大力发展康养、民宿、采摘体验等产业融合业态，积极吸引社会资本投入乡村振兴，多措并举提升农民收入。</w:t>
      </w:r>
    </w:p>
    <w:p w14:paraId="09406F60">
      <w:pPr>
        <w:spacing w:line="600" w:lineRule="exact"/>
        <w:ind w:firstLine="643" w:firstLineChars="200"/>
        <w:rPr>
          <w:rFonts w:ascii="楷体" w:hAnsi="楷体" w:eastAsia="楷体"/>
          <w:b/>
          <w:sz w:val="32"/>
          <w:szCs w:val="32"/>
        </w:rPr>
      </w:pPr>
      <w:r>
        <w:rPr>
          <w:rFonts w:ascii="楷体" w:hAnsi="楷体" w:eastAsia="楷体"/>
          <w:b/>
          <w:sz w:val="32"/>
          <w:szCs w:val="32"/>
        </w:rPr>
        <w:t>（四）是坚决打赢交通建设攻坚战</w:t>
      </w:r>
    </w:p>
    <w:p w14:paraId="2115F6A1">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交通建设是我镇今年的重要工作之一，只有道路更加畅通、更加便捷，我镇未来的发展才能更快更好。要加快推进丙垭路改造升级、集镇快速通道建设等重点交通建设项目，完成8个脱贫攻坚道路建设项目，打通外循环、连通内循环、疏通微循环，让群众出行更加安全方便快捷。道路交通建设项目</w:t>
      </w:r>
      <w:r>
        <w:rPr>
          <w:rFonts w:ascii="Times New Roman" w:hAnsi="Times New Roman" w:eastAsia="仿宋_GB2312"/>
          <w:sz w:val="32"/>
          <w:szCs w:val="32"/>
          <w:lang w:val="en-US"/>
        </w:rPr>
        <w:t>涉及</w:t>
      </w:r>
      <w:r>
        <w:rPr>
          <w:rFonts w:ascii="Times New Roman" w:hAnsi="Times New Roman" w:eastAsia="仿宋_GB2312"/>
          <w:sz w:val="32"/>
          <w:szCs w:val="32"/>
        </w:rPr>
        <w:t>的村要切实做好群众工作，在规定时间内协调好需要征用的土地和房屋，同时积极发动沿线群众投工投劳，参与项目建设，争取早日把家门前的水泥路变为发展增收的致富路。</w:t>
      </w:r>
    </w:p>
    <w:p w14:paraId="19DDC35C">
      <w:pPr>
        <w:spacing w:line="600" w:lineRule="exact"/>
        <w:ind w:firstLine="643" w:firstLineChars="200"/>
        <w:rPr>
          <w:rFonts w:ascii="楷体" w:hAnsi="楷体" w:eastAsia="楷体"/>
          <w:b/>
          <w:sz w:val="32"/>
          <w:szCs w:val="32"/>
        </w:rPr>
      </w:pPr>
      <w:r>
        <w:rPr>
          <w:rFonts w:ascii="楷体" w:hAnsi="楷体" w:eastAsia="楷体"/>
          <w:b/>
          <w:sz w:val="32"/>
          <w:szCs w:val="32"/>
        </w:rPr>
        <w:t>（五）是坚决打赢民生保障攻坚战</w:t>
      </w:r>
    </w:p>
    <w:p w14:paraId="2F975FA7">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坚持以人民为中心的发展理念，持续加大民生投入，不断提升群众的获得感和幸福感。加快推进教育、医疗、社保等事关群众切身利益的民生工程和民生实事的落地落实，让改革发展的成果惠及更多群众。密切配合水利部门开展五马箐水库建设前期工作，提前做好抗旱减灾应急准备，及时有效化解农村用水矛盾，切实采取工程措施长效解决季节性缺水难题。深入实施农村人居环境整治，加快建设污水处理厂项目，全力推进厕所革命和垃圾分类处置，实现空气质量、流域水质持续改善，群众居住环境持续提升。认真落实“河（湖）长制”要求，全力做好新一轮中央和省级环保督察迎检工作，积极争创省级森林小镇。</w:t>
      </w:r>
    </w:p>
    <w:p w14:paraId="1F7C60E0">
      <w:pPr>
        <w:ind w:firstLine="640" w:firstLineChars="200"/>
        <w:rPr>
          <w:rFonts w:ascii="黑体" w:hAnsi="Times New Roman" w:eastAsia="黑体"/>
          <w:sz w:val="32"/>
          <w:szCs w:val="32"/>
          <w:shd w:val="clear" w:color="auto" w:fill="FFFFFF"/>
        </w:rPr>
      </w:pPr>
      <w:r>
        <w:rPr>
          <w:rFonts w:ascii="黑体" w:hAnsi="Times New Roman" w:eastAsia="黑体"/>
          <w:sz w:val="32"/>
          <w:szCs w:val="32"/>
          <w:shd w:val="clear" w:color="auto" w:fill="FFFFFF"/>
        </w:rPr>
        <w:t>四、收支预算总体情况</w:t>
      </w:r>
    </w:p>
    <w:p w14:paraId="22329593">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2020年垭口镇人民政府预算总额为907.08万元，其中：其中工资福利支出700.02万元，日常公用支出166.35万元，对家庭和个人的补助支出31.51万元，设备购置支出9.2万元。</w:t>
      </w:r>
    </w:p>
    <w:p w14:paraId="62CF35FC">
      <w:pPr>
        <w:ind w:firstLine="640" w:firstLineChars="200"/>
        <w:rPr>
          <w:rFonts w:ascii="黑体" w:hAnsi="Times New Roman" w:eastAsia="黑体"/>
          <w:sz w:val="32"/>
          <w:szCs w:val="32"/>
          <w:shd w:val="clear" w:color="auto" w:fill="FFFFFF"/>
        </w:rPr>
      </w:pPr>
      <w:r>
        <w:rPr>
          <w:rFonts w:ascii="黑体" w:hAnsi="Times New Roman" w:eastAsia="黑体"/>
          <w:sz w:val="32"/>
          <w:szCs w:val="32"/>
          <w:shd w:val="clear" w:color="auto" w:fill="FFFFFF"/>
        </w:rPr>
        <w:t>五、支出预算安排情况</w:t>
      </w:r>
    </w:p>
    <w:p w14:paraId="2FF16DE7">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垭口镇人民政府预算安排支出主要用于保障垭口镇机构正常运转、完成日常工作任务以及社会事业发展相关工作。</w:t>
      </w:r>
    </w:p>
    <w:p w14:paraId="777F3E34">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基本支出，是用于保障垭口镇党政机关、下属事业单位等机构正常运转的日常支出，包括基本工资、津贴补贴、离退休费、住房公积金和日常公用经费等。</w:t>
      </w:r>
    </w:p>
    <w:p w14:paraId="3C10F255">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项目支出，是用于保障垭口镇党政机关、下属事业单位等机构为完成特定的行政工作任务或事业发展目标，用于专项业务工作的经费支出。</w:t>
      </w:r>
    </w:p>
    <w:p w14:paraId="190116E8">
      <w:pPr>
        <w:ind w:firstLine="640" w:firstLineChars="200"/>
        <w:rPr>
          <w:rFonts w:ascii="黑体" w:hAnsi="Times New Roman" w:eastAsia="黑体"/>
          <w:sz w:val="32"/>
          <w:szCs w:val="32"/>
          <w:shd w:val="clear" w:color="auto" w:fill="FFFFFF"/>
        </w:rPr>
      </w:pPr>
      <w:r>
        <w:rPr>
          <w:rFonts w:ascii="黑体" w:hAnsi="Times New Roman" w:eastAsia="黑体"/>
          <w:sz w:val="32"/>
          <w:szCs w:val="32"/>
          <w:shd w:val="clear" w:color="auto" w:fill="FFFFFF"/>
        </w:rPr>
        <w:t>六、“三公”经费预算安排情况</w:t>
      </w:r>
    </w:p>
    <w:p w14:paraId="5C814258">
      <w:pPr>
        <w:pStyle w:val="7"/>
        <w:shd w:val="clear" w:color="auto" w:fill="FFFFFF"/>
        <w:spacing w:beforeAutospacing="0" w:afterAutospacing="0"/>
        <w:ind w:firstLine="640"/>
        <w:rPr>
          <w:rFonts w:ascii="Times New Roman" w:hAnsi="Times New Roman" w:eastAsia="仿宋_GB2312"/>
          <w:kern w:val="2"/>
          <w:sz w:val="32"/>
          <w:szCs w:val="32"/>
        </w:rPr>
      </w:pPr>
      <w:r>
        <w:rPr>
          <w:rFonts w:ascii="Times New Roman" w:hAnsi="Times New Roman" w:eastAsia="仿宋_GB2312"/>
          <w:kern w:val="2"/>
          <w:sz w:val="32"/>
          <w:szCs w:val="32"/>
        </w:rPr>
        <w:t>2020年“三公”经费财政拨款预算数29.09万元，其中：因公出国（境）经费0万元，公务接待费0.8万元，公务用车购置及运行维护费28.29万元（公务用车购置费0元，公务用车运行维护费 28.29万元）。</w:t>
      </w:r>
    </w:p>
    <w:p w14:paraId="7B27A948">
      <w:pPr>
        <w:spacing w:line="600" w:lineRule="exact"/>
        <w:ind w:firstLine="643" w:firstLineChars="200"/>
        <w:rPr>
          <w:rFonts w:ascii="楷体" w:hAnsi="楷体" w:eastAsia="楷体"/>
          <w:b/>
          <w:sz w:val="32"/>
          <w:szCs w:val="32"/>
        </w:rPr>
      </w:pPr>
      <w:r>
        <w:rPr>
          <w:rFonts w:ascii="楷体" w:hAnsi="楷体" w:eastAsia="楷体"/>
          <w:b/>
          <w:sz w:val="32"/>
          <w:szCs w:val="32"/>
        </w:rPr>
        <w:t>（一）因公出国（境）经费</w:t>
      </w:r>
    </w:p>
    <w:p w14:paraId="481CB054">
      <w:pPr>
        <w:pStyle w:val="7"/>
        <w:shd w:val="clear" w:color="auto" w:fill="FFFFFF"/>
        <w:spacing w:beforeAutospacing="0" w:afterAutospacing="0"/>
        <w:ind w:firstLine="640"/>
        <w:rPr>
          <w:rFonts w:ascii="Times New Roman" w:hAnsi="Times New Roman" w:eastAsia="仿宋_GB2312"/>
          <w:kern w:val="2"/>
          <w:sz w:val="32"/>
          <w:szCs w:val="32"/>
        </w:rPr>
      </w:pPr>
      <w:r>
        <w:rPr>
          <w:rFonts w:ascii="Times New Roman" w:hAnsi="Times New Roman" w:eastAsia="仿宋_GB2312"/>
          <w:kern w:val="2"/>
          <w:sz w:val="32"/>
          <w:szCs w:val="32"/>
        </w:rPr>
        <w:t>2020年根据垭口镇人民政府安排的出国计划，拟安排出国（境）组0次，出国境0人，安排出国（境）经费预算0万元，较2019年预算数持平。主要原因是未安排出国计划。</w:t>
      </w:r>
    </w:p>
    <w:p w14:paraId="26F8022D">
      <w:pPr>
        <w:spacing w:line="600" w:lineRule="exact"/>
        <w:ind w:firstLine="643" w:firstLineChars="200"/>
        <w:rPr>
          <w:rFonts w:ascii="楷体" w:hAnsi="楷体" w:eastAsia="楷体"/>
          <w:b/>
          <w:sz w:val="32"/>
          <w:szCs w:val="32"/>
        </w:rPr>
      </w:pPr>
      <w:r>
        <w:rPr>
          <w:rFonts w:ascii="楷体" w:hAnsi="楷体" w:eastAsia="楷体"/>
          <w:b/>
          <w:sz w:val="32"/>
          <w:szCs w:val="32"/>
        </w:rPr>
        <w:t>（二）公务接待费</w:t>
      </w:r>
    </w:p>
    <w:p w14:paraId="74227A9E">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2020年安排公务接待费预算0.8万元，较2019年预算有所下降，主要原因是进一步落实中央八项规定，严格接待标准，减少公务接待支出。</w:t>
      </w:r>
    </w:p>
    <w:p w14:paraId="2BE7BBD0">
      <w:pPr>
        <w:spacing w:line="600" w:lineRule="exact"/>
        <w:ind w:firstLine="640"/>
        <w:rPr>
          <w:rFonts w:ascii="楷体" w:hAnsi="楷体" w:eastAsia="楷体"/>
          <w:b/>
          <w:sz w:val="32"/>
          <w:szCs w:val="32"/>
        </w:rPr>
      </w:pPr>
      <w:r>
        <w:rPr>
          <w:rFonts w:ascii="楷体" w:hAnsi="楷体" w:eastAsia="楷体"/>
          <w:b/>
          <w:sz w:val="32"/>
          <w:szCs w:val="32"/>
        </w:rPr>
        <w:t>（三）公务用车购置及运行维护费</w:t>
      </w:r>
    </w:p>
    <w:p w14:paraId="03B8FDB8">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2020年安排公务用车购置及运行维护费28.29万元，其中公车购置费0万元，运行维护费28.29万元, 较2019年预算数有所下降主要原因是进一步落实中央八项规定，厉行勤俭节约，减少不必要的开支。</w:t>
      </w:r>
    </w:p>
    <w:p w14:paraId="04E0015F">
      <w:pPr>
        <w:ind w:firstLine="640" w:firstLineChars="200"/>
        <w:rPr>
          <w:rFonts w:ascii="黑体" w:hAnsi="Times New Roman" w:eastAsia="黑体"/>
          <w:sz w:val="32"/>
          <w:szCs w:val="32"/>
          <w:shd w:val="clear" w:color="auto" w:fill="FFFFFF"/>
        </w:rPr>
      </w:pPr>
      <w:r>
        <w:rPr>
          <w:rFonts w:ascii="黑体" w:hAnsi="Times New Roman" w:eastAsia="黑体"/>
          <w:sz w:val="32"/>
          <w:szCs w:val="32"/>
          <w:shd w:val="clear" w:color="auto" w:fill="FFFFFF"/>
        </w:rPr>
        <w:t>七、机关运行经费安排情况说明</w:t>
      </w:r>
    </w:p>
    <w:p w14:paraId="400876B6">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2020年公用经费166.35万元，其中办公经费10.5万元，印刷费4.4万元，咨询费4.7万元，电费9.2万元，物业管理费1万元，差旅费10.6万元，维修（护）费8万元，会议费7.3万元，培训费5.35万元，公务接待费0.8万元，劳务费4万元，受托业务费2.5万元，工会经费5.8万元，福利费8.74万元，公务用车运行维护费28.29万元，其他交通费用19.44万元，其他商品和服务支出35.74万元。</w:t>
      </w:r>
    </w:p>
    <w:p w14:paraId="39C0A6DF">
      <w:pPr>
        <w:ind w:firstLine="640" w:firstLineChars="200"/>
        <w:rPr>
          <w:rFonts w:ascii="黑体" w:hAnsi="Times New Roman" w:eastAsia="黑体"/>
          <w:sz w:val="32"/>
          <w:szCs w:val="32"/>
          <w:shd w:val="clear" w:color="auto" w:fill="FFFFFF"/>
        </w:rPr>
      </w:pPr>
      <w:r>
        <w:rPr>
          <w:rFonts w:hint="eastAsia" w:ascii="黑体" w:hAnsi="Times New Roman" w:eastAsia="黑体"/>
          <w:sz w:val="32"/>
          <w:szCs w:val="32"/>
          <w:shd w:val="clear" w:color="auto" w:fill="FFFFFF"/>
        </w:rPr>
        <w:t>八、</w:t>
      </w:r>
      <w:r>
        <w:rPr>
          <w:rFonts w:ascii="黑体" w:hAnsi="Times New Roman" w:eastAsia="黑体"/>
          <w:sz w:val="32"/>
          <w:szCs w:val="32"/>
          <w:shd w:val="clear" w:color="auto" w:fill="FFFFFF"/>
        </w:rPr>
        <w:t>政府采购安排情况说明</w:t>
      </w:r>
    </w:p>
    <w:p w14:paraId="5DF26EC7">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2020年我镇计划政府采购货物9.2万元，所有的办公桌椅、电脑及打印机等办公设备采购均根据工作需要采购，杜绝铺张浪费，超标准、超范围采购。</w:t>
      </w:r>
    </w:p>
    <w:p w14:paraId="5F10B13F">
      <w:pPr>
        <w:ind w:firstLine="640" w:firstLineChars="200"/>
        <w:rPr>
          <w:rFonts w:ascii="黑体" w:hAnsi="Times New Roman" w:eastAsia="黑体"/>
          <w:sz w:val="32"/>
          <w:szCs w:val="32"/>
          <w:shd w:val="clear" w:color="auto" w:fill="FFFFFF"/>
        </w:rPr>
      </w:pPr>
      <w:r>
        <w:rPr>
          <w:rFonts w:ascii="黑体" w:hAnsi="Times New Roman" w:eastAsia="黑体"/>
          <w:sz w:val="32"/>
          <w:szCs w:val="32"/>
          <w:shd w:val="clear" w:color="auto" w:fill="FFFFFF"/>
        </w:rPr>
        <w:t>九、对专业性较强的名词进行解释</w:t>
      </w:r>
    </w:p>
    <w:p w14:paraId="7FE4DBA4">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1.社会保障和就业支出：指单位含下属部门用于基本养老保险缴费，职业年金缴费支出。</w:t>
      </w:r>
    </w:p>
    <w:p w14:paraId="551E1AAA">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2.医疗卫生与计划生育支出：指单位含下属部门用于在职人员医疗保障缴费支出。</w:t>
      </w:r>
    </w:p>
    <w:p w14:paraId="6B471C78">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3.住房保障支出：指单位含下属部门用于在职人员住房公积金缴存。</w:t>
      </w:r>
    </w:p>
    <w:p w14:paraId="40614A06">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4.基本支出：指为保障机构正常运转、完成日常工作任务而发生的人员支出和公用支出。</w:t>
      </w:r>
    </w:p>
    <w:p w14:paraId="11CA402A">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5.项目支出：指在基本支出之外为完成特定行政任务和事业发展目标所发生的支出。</w:t>
      </w:r>
    </w:p>
    <w:p w14:paraId="6870B019">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8FCA0B5">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7.财政拨款收入：指单位从同级财政部门取得的财政预算资金。</w:t>
      </w:r>
    </w:p>
    <w:p w14:paraId="37BF1209">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8．公用经费：公用经费是行政事业单位用于日常办公、 业务活动方面的经常性开支。根据各地的实际情况， 一般的将行政事业单位公用经费划分为办公费等七项：公用经费中的会议费、车辆大修费、设备购置费、修缮费和专项业务费。它们都纳入专项经费管理范畴。</w:t>
      </w:r>
    </w:p>
    <w:p w14:paraId="0ECA53B6">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9.人员经费：是指单位基本支出中用一般公共预算财政拨款安排的工资福利支出和对个人和家庭的补助。</w:t>
      </w:r>
    </w:p>
    <w:p w14:paraId="0A716C77">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10.日常公用经费：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w:t>
      </w:r>
    </w:p>
    <w:p w14:paraId="554D50E7">
      <w:pPr>
        <w:ind w:firstLine="640" w:firstLineChars="200"/>
        <w:rPr>
          <w:rFonts w:ascii="黑体" w:hAnsi="Times New Roman" w:eastAsia="黑体"/>
          <w:sz w:val="32"/>
          <w:szCs w:val="32"/>
          <w:shd w:val="clear" w:color="auto" w:fill="FFFFFF"/>
        </w:rPr>
      </w:pPr>
      <w:r>
        <w:rPr>
          <w:rFonts w:ascii="黑体" w:hAnsi="Times New Roman" w:eastAsia="黑体"/>
          <w:sz w:val="32"/>
          <w:szCs w:val="32"/>
          <w:shd w:val="clear" w:color="auto" w:fill="FFFFFF"/>
        </w:rPr>
        <w:t>十、重点项目的绩效目标等预算绩效情况说明</w:t>
      </w:r>
    </w:p>
    <w:p w14:paraId="295F1A9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创建国家级特色小镇建设为龙头，围绕“康养+农业”产业引擎，坚持以生态为基、以产业为本、以项目为主；不断加快生产、生活、生态“三生”融合，让田园变公园、产区变景区、产品变商品、民房变民宿；围绕县城副中心的区位功能，进一步明确以集镇综合服务中心为核心，以安宁河谷农文旅融合发展产业观光带为重点的空间布局，全面深化百镇建设试点，建成集生态农业休闲、田园社区居住、阳光康养度假与地域文化体验为一体的田园康养特色小城镇。全面推动“康养+农业”融合发展，加大区域协同发展力度，坚持做精农业产业、做强工业经济、做优康养旅游，加快推进鲜花里、花瓣雨等重点康养项目建设，加快发展精品民宿、特色酒店等新型业态项目。该项目预计投入资金1500万元。项目实施完成后推动我镇文旅融合发展， 预计“康养+农业”收入增长20%以上。</w:t>
      </w:r>
    </w:p>
    <w:p w14:paraId="7FABA901">
      <w:pPr>
        <w:pStyle w:val="4"/>
        <w:spacing w:after="0" w:line="560" w:lineRule="exact"/>
        <w:ind w:left="0" w:leftChars="0" w:firstLine="640" w:firstLineChars="200"/>
        <w:rPr>
          <w:rFonts w:ascii="Times New Roman" w:hAnsi="Times New Roman" w:eastAsia="仿宋_GB2312"/>
          <w:sz w:val="32"/>
          <w:szCs w:val="32"/>
        </w:rPr>
      </w:pPr>
      <w:r>
        <w:rPr>
          <w:rFonts w:ascii="Times New Roman" w:hAnsi="Times New Roman" w:eastAsia="仿宋_GB2312"/>
          <w:sz w:val="32"/>
          <w:szCs w:val="32"/>
        </w:rPr>
        <w:t>全力推进基础设施建设，力争完成固定资产投资3.5亿元，其中交通基础设施投资2.7亿元。加快推进丙垭路改造升级预计投入资金1800万元，214省道连接线（撒莲大桥）预计投入资金700万元，集镇快速通道等重点交通建设项目预计投入资金1.8亿元，精准扶贫项目4500万元。项目实施完成后极大方便群众出行，农副产品的运输更加方便快捷。</w:t>
      </w:r>
    </w:p>
    <w:p w14:paraId="6E609DAE">
      <w:pPr>
        <w:pStyle w:val="4"/>
        <w:spacing w:after="0" w:line="560" w:lineRule="exact"/>
        <w:ind w:left="0" w:leftChars="0" w:firstLine="640" w:firstLineChars="200"/>
        <w:rPr>
          <w:rFonts w:ascii="Times New Roman" w:hAnsi="Times New Roman" w:eastAsia="仿宋_GB2312"/>
          <w:sz w:val="32"/>
          <w:szCs w:val="32"/>
        </w:rPr>
      </w:pPr>
      <w:r>
        <w:rPr>
          <w:rFonts w:ascii="Times New Roman" w:hAnsi="Times New Roman" w:eastAsia="仿宋_GB2312"/>
          <w:sz w:val="32"/>
          <w:szCs w:val="32"/>
        </w:rPr>
        <w:t>全力打赢精准脱贫攻坚战。高标准、严要求抓好“两不愁三保障”回头看大排查和国家、省考核发现问题整改，加大精准帮扶、感恩教育、法制宣传力度，巩固脱贫攻坚成果，继续加大对道路、水池、电网改造和信息网络建设等基础设施建设的资金投入，预计投入资金8000万元。道路项目实施完成后极大方便群众出行，农副产品的运输更加方便快捷；水池项目实施完成提高水资源利用率，降低农户种植成本，增加贫困户收入，为实现已脱贫群众“一翻番两提升”和2020年脱贫户收入达4500元以上打下坚实的基础；电网改造和信息网络项目实施完成后改善贫困户生产生活条件。</w:t>
      </w:r>
    </w:p>
    <w:p w14:paraId="0B3AF6D2">
      <w:pPr>
        <w:pStyle w:val="4"/>
        <w:spacing w:after="0" w:line="560" w:lineRule="exact"/>
        <w:ind w:left="0" w:leftChars="0" w:firstLine="640" w:firstLineChars="200"/>
        <w:rPr>
          <w:rFonts w:ascii="Times New Roman" w:hAnsi="Times New Roman" w:eastAsia="仿宋_GB2312"/>
          <w:sz w:val="32"/>
          <w:szCs w:val="32"/>
        </w:rPr>
      </w:pPr>
      <w:r>
        <w:rPr>
          <w:rFonts w:ascii="Times New Roman" w:hAnsi="Times New Roman" w:eastAsia="仿宋_GB2312"/>
          <w:sz w:val="32"/>
          <w:szCs w:val="32"/>
        </w:rPr>
        <w:t>全力抓好美丽乡村建设，全力做好新一轮中央、省生态环保督察迎检及问题整改。开展货运脏车整治、扬尘污染治理、散乱污整治“三大行动”，深化河长制工作。预计投入资金2000万元用于污水处理设施建设、防治土壤污染、绿化美化行动。着力提升广大村民环境整治的主体意识和环保意识，引导大家养成良好卫生习惯，提升文明素养。积极组织开展最美鲜花庭院评选、村庄整治行动红黑榜等活动，增强农民保护人居环境的荣誉感。</w:t>
      </w:r>
    </w:p>
    <w:p w14:paraId="0C265041">
      <w:pPr>
        <w:ind w:firstLine="640" w:firstLineChars="200"/>
        <w:rPr>
          <w:rFonts w:ascii="黑体" w:hAnsi="Times New Roman" w:eastAsia="黑体"/>
          <w:sz w:val="32"/>
          <w:szCs w:val="32"/>
          <w:shd w:val="clear" w:color="auto" w:fill="FFFFFF"/>
        </w:rPr>
      </w:pPr>
      <w:r>
        <w:rPr>
          <w:rFonts w:ascii="黑体" w:hAnsi="Times New Roman" w:eastAsia="黑体"/>
          <w:sz w:val="32"/>
          <w:szCs w:val="32"/>
          <w:shd w:val="clear" w:color="auto" w:fill="FFFFFF"/>
        </w:rPr>
        <w:t>十一、国有资产占用情况说明</w:t>
      </w:r>
    </w:p>
    <w:p w14:paraId="6895C4E5">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资产合计4750.05万元。其中：流动资产2925.67万元，固定资产1824.38万元（其他固定资产1824.38万元）。</w:t>
      </w:r>
    </w:p>
    <w:p w14:paraId="03DD52E5">
      <w:pPr>
        <w:ind w:firstLine="640" w:firstLineChars="200"/>
        <w:rPr>
          <w:rFonts w:ascii="黑体" w:hAnsi="Times New Roman" w:eastAsia="黑体"/>
          <w:sz w:val="32"/>
          <w:szCs w:val="32"/>
          <w:shd w:val="clear" w:color="auto" w:fill="FFFFFF"/>
        </w:rPr>
      </w:pPr>
      <w:r>
        <w:rPr>
          <w:rFonts w:ascii="黑体" w:hAnsi="Times New Roman" w:eastAsia="黑体"/>
          <w:sz w:val="32"/>
          <w:szCs w:val="32"/>
          <w:shd w:val="clear" w:color="auto" w:fill="FFFFFF"/>
        </w:rPr>
        <w:t>十二、其他事项</w:t>
      </w:r>
    </w:p>
    <w:p w14:paraId="58FFA472">
      <w:pPr>
        <w:pStyle w:val="7"/>
        <w:shd w:val="clear" w:color="auto" w:fill="FFFFFF"/>
        <w:spacing w:beforeAutospacing="0" w:afterAutospacing="0"/>
        <w:ind w:firstLine="640" w:firstLineChars="200"/>
        <w:rPr>
          <w:rFonts w:ascii="Times New Roman" w:hAnsi="Times New Roman" w:eastAsia="仿宋_GB2312"/>
          <w:kern w:val="2"/>
          <w:sz w:val="32"/>
          <w:szCs w:val="32"/>
        </w:rPr>
      </w:pPr>
      <w:r>
        <w:rPr>
          <w:rFonts w:ascii="Times New Roman" w:hAnsi="Times New Roman" w:eastAsia="仿宋_GB2312"/>
          <w:kern w:val="2"/>
          <w:sz w:val="32"/>
          <w:szCs w:val="32"/>
        </w:rPr>
        <w:t>接批复后，请按规定在20日内通过米易县公众信息网及时公开。</w:t>
      </w:r>
    </w:p>
    <w:p w14:paraId="3D4788D3">
      <w:pPr>
        <w:pStyle w:val="7"/>
        <w:shd w:val="clear" w:color="auto" w:fill="FFFFFF"/>
        <w:spacing w:beforeAutospacing="0" w:afterAutospacing="0"/>
        <w:ind w:firstLine="640"/>
        <w:rPr>
          <w:rFonts w:ascii="Times New Roman" w:hAnsi="Times New Roman" w:eastAsia="仿宋_GB2312"/>
          <w:kern w:val="2"/>
          <w:sz w:val="32"/>
          <w:szCs w:val="32"/>
        </w:rPr>
      </w:pPr>
    </w:p>
    <w:p w14:paraId="54B5F762">
      <w:pPr>
        <w:pStyle w:val="7"/>
        <w:shd w:val="clear" w:color="auto" w:fill="FFFFFF"/>
        <w:spacing w:beforeAutospacing="0" w:afterAutospacing="0"/>
        <w:ind w:firstLine="640" w:firstLineChars="200"/>
        <w:rPr>
          <w:rFonts w:ascii="Times New Roman" w:hAnsi="Times New Roman" w:eastAsia="仿宋_GB2312"/>
          <w:kern w:val="2"/>
          <w:sz w:val="32"/>
          <w:szCs w:val="32"/>
        </w:rPr>
      </w:pPr>
    </w:p>
    <w:p w14:paraId="20A14F89">
      <w:pPr>
        <w:pStyle w:val="2"/>
        <w:ind w:left="420" w:leftChars="200"/>
        <w:rPr>
          <w:rFonts w:ascii="Times New Roman" w:hAnsi="Times New Roman" w:cs="Times New Roman"/>
          <w:b/>
          <w:bCs/>
          <w:color w:val="auto"/>
        </w:rPr>
      </w:pPr>
    </w:p>
    <w:p w14:paraId="092616D5">
      <w:pPr>
        <w:rPr>
          <w:rFonts w:ascii="Times New Roman" w:hAnsi="Times New Roman"/>
        </w:rPr>
      </w:pPr>
    </w:p>
    <w:p w14:paraId="419AC6AF">
      <w:pPr>
        <w:pStyle w:val="2"/>
        <w:rPr>
          <w:rFonts w:ascii="Times New Roman" w:hAnsi="Times New Roman" w:cs="Times New Roman"/>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Helvetica Neue">
    <w:altName w:val="Times New Roman"/>
    <w:panose1 w:val="00000000000000000000"/>
    <w:charset w:val="00"/>
    <w:family w:val="auto"/>
    <w:pitch w:val="default"/>
    <w:sig w:usb0="00000000" w:usb1="00000000" w:usb2="00000000" w:usb3="00000000" w:csb0="00040001" w:csb1="00000000"/>
  </w:font>
  <w:font w:name="Arial Unicode MS">
    <w:altName w:val="Times New Roman"/>
    <w:panose1 w:val="020B0604020202020204"/>
    <w:charset w:val="86"/>
    <w:family w:val="swiss"/>
    <w:pitch w:val="default"/>
    <w:sig w:usb0="00000000" w:usb1="00000000" w:usb2="0000003F" w:usb3="00000000" w:csb0="603F01FF" w:csb1="FFFF0000"/>
  </w:font>
  <w:font w:name="方正小标宋简体">
    <w:altName w:val="方正小标宋_GBK"/>
    <w:panose1 w:val="03000509000000000000"/>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A66F74"/>
    <w:rsid w:val="00027DFA"/>
    <w:rsid w:val="000A4790"/>
    <w:rsid w:val="001C0F51"/>
    <w:rsid w:val="005C1BFD"/>
    <w:rsid w:val="005C68AF"/>
    <w:rsid w:val="00722784"/>
    <w:rsid w:val="008B5874"/>
    <w:rsid w:val="00AF45E4"/>
    <w:rsid w:val="00D43B9F"/>
    <w:rsid w:val="00D71525"/>
    <w:rsid w:val="01B035BB"/>
    <w:rsid w:val="077640F3"/>
    <w:rsid w:val="0D9874E0"/>
    <w:rsid w:val="0F5A7388"/>
    <w:rsid w:val="1A7B6C1B"/>
    <w:rsid w:val="24E65565"/>
    <w:rsid w:val="26A66F74"/>
    <w:rsid w:val="29B91068"/>
    <w:rsid w:val="2F5352AF"/>
    <w:rsid w:val="300E5068"/>
    <w:rsid w:val="36C40872"/>
    <w:rsid w:val="39C95951"/>
    <w:rsid w:val="3E0B20DA"/>
    <w:rsid w:val="47B45E27"/>
    <w:rsid w:val="4E705D4E"/>
    <w:rsid w:val="52FB302E"/>
    <w:rsid w:val="5FF93935"/>
    <w:rsid w:val="67FE247E"/>
    <w:rsid w:val="70C70893"/>
    <w:rsid w:val="73474F96"/>
    <w:rsid w:val="73D526B8"/>
    <w:rsid w:val="77E043CC"/>
    <w:rsid w:val="CFFF9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默认"/>
    <w:basedOn w:val="1"/>
    <w:next w:val="1"/>
    <w:qFormat/>
    <w:uiPriority w:val="0"/>
    <w:pPr>
      <w:widowControl/>
    </w:pPr>
    <w:rPr>
      <w:rFonts w:ascii="Helvetica Neue" w:hAnsi="Helvetica Neue" w:eastAsia="Arial Unicode MS" w:cs="Arial Unicode MS"/>
      <w:color w:val="000000"/>
      <w:sz w:val="22"/>
    </w:rPr>
  </w:style>
  <w:style w:type="paragraph" w:styleId="3">
    <w:name w:val="Normal Indent"/>
    <w:basedOn w:val="1"/>
    <w:qFormat/>
    <w:uiPriority w:val="0"/>
    <w:pPr>
      <w:ind w:firstLine="420" w:firstLineChars="200"/>
    </w:pPr>
  </w:style>
  <w:style w:type="paragraph" w:styleId="4">
    <w:name w:val="Body Text Indent 2"/>
    <w:basedOn w:val="1"/>
    <w:qFormat/>
    <w:uiPriority w:val="0"/>
    <w:pPr>
      <w:spacing w:after="120" w:line="480" w:lineRule="auto"/>
      <w:ind w:left="420" w:leftChars="200"/>
    </w:pPr>
    <w:rPr>
      <w:szCs w:val="20"/>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页眉 Char"/>
    <w:basedOn w:val="9"/>
    <w:link w:val="6"/>
    <w:qFormat/>
    <w:uiPriority w:val="0"/>
    <w:rPr>
      <w:rFonts w:ascii="Calibri" w:hAnsi="Calibri"/>
      <w:kern w:val="2"/>
      <w:sz w:val="18"/>
      <w:szCs w:val="18"/>
    </w:rPr>
  </w:style>
  <w:style w:type="character" w:customStyle="1" w:styleId="11">
    <w:name w:val="页脚 Char"/>
    <w:basedOn w:val="9"/>
    <w:link w:val="5"/>
    <w:qFormat/>
    <w:uiPriority w:val="0"/>
    <w:rPr>
      <w:rFonts w:ascii="Calibri" w:hAnsi="Calibri"/>
      <w:kern w:val="2"/>
      <w:sz w:val="18"/>
      <w:szCs w:val="18"/>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10</Pages>
  <Words>4554</Words>
  <Characters>301</Characters>
  <Lines>2</Lines>
  <Paragraphs>9</Paragraphs>
  <TotalTime>19</TotalTime>
  <ScaleCrop>false</ScaleCrop>
  <LinksUpToDate>false</LinksUpToDate>
  <CharactersWithSpaces>4846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2020-07-15T17:21:00Z</dcterms:created>
  <dc:creator>墨</dc:creator>
  <cp:lastModifiedBy> 回甘</cp:lastModifiedBy>
  <dcterms:modified xsi:type="dcterms:W3CDTF">2026-08-24T10:31:20Z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3BCF5FD9B6E54B22A693423A343EEBDF</vt:lpwstr>
  </property>
</Properties>
</file>