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A8824">
      <w:pPr>
        <w:spacing w:line="600" w:lineRule="exact"/>
        <w:jc w:val="center"/>
        <w:outlineLvl w:val="0"/>
        <w:rPr>
          <w:rFonts w:hint="eastAsia" w:ascii="方正小标宋简体" w:hAnsi="宋体" w:eastAsia="方正小标宋简体"/>
          <w:color w:val="000000"/>
          <w:sz w:val="72"/>
          <w:szCs w:val="72"/>
        </w:rPr>
      </w:pPr>
      <w:bookmarkStart w:id="75" w:name="_GoBack"/>
      <w:bookmarkEnd w:id="75"/>
      <w:bookmarkStart w:id="0" w:name="_Toc15306267"/>
    </w:p>
    <w:p w14:paraId="2809C8C6">
      <w:pPr>
        <w:spacing w:line="600" w:lineRule="exact"/>
        <w:jc w:val="center"/>
        <w:outlineLvl w:val="0"/>
        <w:rPr>
          <w:rFonts w:ascii="方正小标宋简体" w:hAnsi="宋体" w:eastAsia="方正小标宋简体"/>
          <w:color w:val="000000"/>
          <w:sz w:val="72"/>
          <w:szCs w:val="72"/>
        </w:rPr>
      </w:pPr>
    </w:p>
    <w:p w14:paraId="2036008E">
      <w:pPr>
        <w:spacing w:line="600" w:lineRule="exact"/>
        <w:jc w:val="center"/>
        <w:outlineLvl w:val="0"/>
        <w:rPr>
          <w:rFonts w:ascii="方正小标宋简体" w:hAnsi="宋体" w:eastAsia="方正小标宋简体"/>
          <w:color w:val="000000"/>
          <w:sz w:val="72"/>
          <w:szCs w:val="72"/>
        </w:rPr>
      </w:pPr>
    </w:p>
    <w:p w14:paraId="3B036DD6">
      <w:pPr>
        <w:spacing w:line="600" w:lineRule="exact"/>
        <w:jc w:val="center"/>
        <w:outlineLvl w:val="0"/>
        <w:rPr>
          <w:rFonts w:ascii="方正小标宋简体" w:hAnsi="宋体" w:eastAsia="方正小标宋简体"/>
          <w:color w:val="000000"/>
          <w:sz w:val="72"/>
          <w:szCs w:val="72"/>
        </w:rPr>
      </w:pPr>
    </w:p>
    <w:p w14:paraId="38D213CC">
      <w:pPr>
        <w:adjustRightInd w:val="0"/>
        <w:snapToGrid w:val="0"/>
        <w:spacing w:line="360" w:lineRule="auto"/>
        <w:jc w:val="center"/>
        <w:outlineLvl w:val="0"/>
        <w:rPr>
          <w:rFonts w:ascii="方正小标宋_GBK" w:hAnsi="宋体" w:eastAsia="方正小标宋_GBK"/>
          <w:color w:val="000000"/>
          <w:sz w:val="52"/>
          <w:szCs w:val="52"/>
        </w:rPr>
      </w:pPr>
      <w:bookmarkStart w:id="1" w:name="_Toc15378441"/>
      <w:bookmarkStart w:id="2" w:name="_Toc15396597"/>
      <w:bookmarkStart w:id="3" w:name="_Toc15396475"/>
      <w:bookmarkStart w:id="4" w:name="_Toc15377193"/>
      <w:bookmarkStart w:id="5" w:name="_Toc15377425"/>
      <w:r>
        <w:rPr>
          <w:rFonts w:hint="eastAsia" w:ascii="方正小标宋_GBK" w:hAnsi="黑体" w:eastAsia="方正小标宋_GBK"/>
          <w:color w:val="000000"/>
          <w:sz w:val="52"/>
          <w:szCs w:val="52"/>
        </w:rPr>
        <w:t>2018</w:t>
      </w:r>
      <w:r>
        <w:rPr>
          <w:rFonts w:hint="eastAsia" w:ascii="方正小标宋_GBK" w:hAnsi="宋体" w:eastAsia="方正小标宋_GBK"/>
          <w:color w:val="000000"/>
          <w:sz w:val="52"/>
          <w:szCs w:val="52"/>
        </w:rPr>
        <w:t>年度</w:t>
      </w:r>
      <w:bookmarkEnd w:id="1"/>
      <w:bookmarkEnd w:id="2"/>
      <w:bookmarkEnd w:id="3"/>
      <w:bookmarkEnd w:id="4"/>
      <w:bookmarkEnd w:id="5"/>
    </w:p>
    <w:p w14:paraId="454197E2">
      <w:pPr>
        <w:adjustRightInd w:val="0"/>
        <w:snapToGrid w:val="0"/>
        <w:spacing w:line="360" w:lineRule="auto"/>
        <w:jc w:val="center"/>
        <w:outlineLvl w:val="0"/>
        <w:rPr>
          <w:rFonts w:ascii="方正小标宋_GBK" w:hAnsi="宋体" w:eastAsia="方正小标宋_GBK"/>
          <w:color w:val="000000"/>
          <w:sz w:val="52"/>
          <w:szCs w:val="52"/>
        </w:rPr>
      </w:pPr>
      <w:bookmarkStart w:id="6" w:name="_Toc15378442"/>
      <w:bookmarkStart w:id="7" w:name="_Toc15396598"/>
      <w:bookmarkStart w:id="8" w:name="_Toc15377426"/>
      <w:bookmarkStart w:id="9" w:name="_Toc15396476"/>
      <w:bookmarkStart w:id="10" w:name="_Toc15377194"/>
      <w:r>
        <w:rPr>
          <w:rFonts w:hint="eastAsia" w:ascii="方正小标宋_GBK" w:hAnsi="宋体" w:eastAsia="方正小标宋_GBK"/>
          <w:color w:val="000000"/>
          <w:sz w:val="52"/>
          <w:szCs w:val="52"/>
        </w:rPr>
        <w:t>四川省米易县</w:t>
      </w:r>
      <w:bookmarkEnd w:id="0"/>
      <w:bookmarkStart w:id="11" w:name="_Toc15306268"/>
      <w:r>
        <w:rPr>
          <w:rFonts w:hint="eastAsia" w:ascii="方正小标宋_GBK" w:hAnsi="宋体" w:eastAsia="方正小标宋_GBK"/>
          <w:color w:val="000000"/>
          <w:sz w:val="52"/>
          <w:szCs w:val="52"/>
        </w:rPr>
        <w:t>人大常委会办公室</w:t>
      </w:r>
    </w:p>
    <w:p w14:paraId="29EA37E3">
      <w:pPr>
        <w:adjustRightInd w:val="0"/>
        <w:snapToGrid w:val="0"/>
        <w:spacing w:line="360" w:lineRule="auto"/>
        <w:jc w:val="center"/>
        <w:outlineLvl w:val="0"/>
        <w:rPr>
          <w:rFonts w:ascii="方正小标宋_GBK" w:hAnsi="宋体" w:eastAsia="方正小标宋_GBK"/>
          <w:color w:val="000000"/>
          <w:sz w:val="52"/>
          <w:szCs w:val="52"/>
        </w:rPr>
      </w:pPr>
      <w:r>
        <w:rPr>
          <w:rFonts w:hint="eastAsia" w:ascii="方正小标宋_GBK" w:hAnsi="宋体" w:eastAsia="方正小标宋_GBK"/>
          <w:color w:val="000000"/>
          <w:sz w:val="52"/>
          <w:szCs w:val="52"/>
        </w:rPr>
        <w:t>部门决算</w:t>
      </w:r>
      <w:bookmarkEnd w:id="6"/>
      <w:bookmarkEnd w:id="7"/>
      <w:bookmarkEnd w:id="8"/>
      <w:bookmarkEnd w:id="9"/>
      <w:bookmarkEnd w:id="10"/>
      <w:bookmarkEnd w:id="11"/>
    </w:p>
    <w:p w14:paraId="1F1030AD">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5A0C4A6">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237D25F8">
      <w:pPr>
        <w:pStyle w:val="10"/>
      </w:pPr>
      <w:r>
        <w:rPr>
          <w:rFonts w:hint="eastAsia"/>
        </w:rPr>
        <w:t>公开时间：</w:t>
      </w:r>
      <w:r>
        <w:t>2019</w:t>
      </w:r>
      <w:r>
        <w:rPr>
          <w:rFonts w:hint="eastAsia"/>
        </w:rPr>
        <w:t>年</w:t>
      </w:r>
      <w:r>
        <w:t>8</w:t>
      </w:r>
      <w:r>
        <w:rPr>
          <w:rFonts w:hint="eastAsia"/>
        </w:rPr>
        <w:t>月29日</w:t>
      </w:r>
    </w:p>
    <w:p w14:paraId="6FD971C7"/>
    <w:p w14:paraId="641E780E">
      <w:pPr>
        <w:pStyle w:val="10"/>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t>4</w:t>
      </w:r>
      <w:r>
        <w:fldChar w:fldCharType="end"/>
      </w:r>
    </w:p>
    <w:p w14:paraId="6F9DED95">
      <w:pPr>
        <w:pStyle w:val="11"/>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14:paraId="4433FEEF">
      <w:pPr>
        <w:pStyle w:val="11"/>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14:paraId="2F87053A">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rPr>
          <w:rFonts w:hint="eastAsia"/>
        </w:rPr>
        <w:t>9</w:t>
      </w:r>
      <w:r>
        <w:rPr>
          <w:rFonts w:hint="eastAsia"/>
        </w:rPr>
        <w:fldChar w:fldCharType="end"/>
      </w:r>
    </w:p>
    <w:p w14:paraId="6D5BC4AA">
      <w:pPr>
        <w:pStyle w:val="11"/>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bCs/>
          <w:sz w:val="28"/>
          <w:szCs w:val="28"/>
        </w:rPr>
        <w:t>一、</w:t>
      </w:r>
      <w:r>
        <w:rPr>
          <w:rStyle w:val="16"/>
          <w:rFonts w:hint="eastAsia" w:ascii="仿宋" w:hAnsi="仿宋" w:eastAsia="仿宋"/>
          <w:sz w:val="28"/>
          <w:szCs w:val="28"/>
        </w:rPr>
        <w:t>收</w:t>
      </w:r>
      <w:r>
        <w:rPr>
          <w:rStyle w:val="16"/>
          <w:rFonts w:hint="eastAsia" w:ascii="仿宋" w:hAnsi="仿宋" w:eastAsia="仿宋"/>
          <w:bCs/>
          <w:sz w:val="28"/>
          <w:szCs w:val="28"/>
        </w:rPr>
        <w:t>入支出决算总体情况说明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14:paraId="2FD2281D">
      <w:pPr>
        <w:pStyle w:val="11"/>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bCs/>
          <w:sz w:val="28"/>
          <w:szCs w:val="28"/>
        </w:rPr>
        <w:t>二、</w:t>
      </w:r>
      <w:r>
        <w:rPr>
          <w:rStyle w:val="16"/>
          <w:rFonts w:hint="eastAsia" w:ascii="仿宋" w:hAnsi="仿宋" w:eastAsia="仿宋"/>
          <w:sz w:val="28"/>
          <w:szCs w:val="28"/>
        </w:rPr>
        <w:t>收</w:t>
      </w:r>
      <w:r>
        <w:rPr>
          <w:rStyle w:val="16"/>
          <w:rFonts w:hint="eastAsia" w:ascii="仿宋" w:hAnsi="仿宋" w:eastAsia="仿宋"/>
          <w:bCs/>
          <w:sz w:val="28"/>
          <w:szCs w:val="28"/>
        </w:rPr>
        <w:t>入决算情况说明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14:paraId="5B168F36">
      <w:pPr>
        <w:pStyle w:val="11"/>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bCs/>
          <w:sz w:val="28"/>
          <w:szCs w:val="28"/>
        </w:rPr>
        <w:t>三、</w:t>
      </w:r>
      <w:r>
        <w:rPr>
          <w:rStyle w:val="16"/>
          <w:rFonts w:hint="eastAsia" w:ascii="仿宋" w:hAnsi="仿宋" w:eastAsia="仿宋"/>
          <w:sz w:val="28"/>
          <w:szCs w:val="28"/>
        </w:rPr>
        <w:t>支</w:t>
      </w:r>
      <w:r>
        <w:rPr>
          <w:rStyle w:val="16"/>
          <w:rFonts w:hint="eastAsia" w:ascii="仿宋" w:hAnsi="仿宋" w:eastAsia="仿宋"/>
          <w:bCs/>
          <w:sz w:val="28"/>
          <w:szCs w:val="28"/>
        </w:rPr>
        <w:t>出决算情况说明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14:paraId="4F4E9530">
      <w:pPr>
        <w:pStyle w:val="11"/>
        <w:rPr>
          <w:rFonts w:ascii="仿宋" w:hAnsi="仿宋" w:eastAsia="仿宋"/>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14:paraId="63490B71">
      <w:pPr>
        <w:pStyle w:val="11"/>
        <w:rPr>
          <w:rFonts w:ascii="仿宋" w:hAnsi="仿宋" w:eastAsia="仿宋"/>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11</w:t>
      </w:r>
      <w:r>
        <w:rPr>
          <w:rFonts w:hint="eastAsia" w:ascii="仿宋" w:hAnsi="仿宋" w:eastAsia="仿宋"/>
          <w:sz w:val="28"/>
          <w:szCs w:val="28"/>
        </w:rPr>
        <w:fldChar w:fldCharType="end"/>
      </w:r>
    </w:p>
    <w:p w14:paraId="7BC91BEB">
      <w:pPr>
        <w:pStyle w:val="11"/>
        <w:rPr>
          <w:rFonts w:ascii="仿宋" w:hAnsi="仿宋" w:eastAsia="仿宋"/>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13</w:t>
      </w:r>
      <w:r>
        <w:rPr>
          <w:rFonts w:hint="eastAsia" w:ascii="仿宋" w:hAnsi="仿宋" w:eastAsia="仿宋"/>
          <w:sz w:val="28"/>
          <w:szCs w:val="28"/>
        </w:rPr>
        <w:fldChar w:fldCharType="end"/>
      </w:r>
    </w:p>
    <w:p w14:paraId="72968CB0">
      <w:pPr>
        <w:pStyle w:val="11"/>
        <w:rPr>
          <w:rFonts w:ascii="仿宋" w:hAnsi="仿宋" w:eastAsia="仿宋"/>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hint="eastAsia" w:ascii="仿宋" w:hAnsi="仿宋" w:eastAsia="仿宋"/>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14</w:t>
      </w:r>
      <w:r>
        <w:rPr>
          <w:rFonts w:hint="eastAsia" w:ascii="仿宋" w:hAnsi="仿宋" w:eastAsia="仿宋"/>
          <w:sz w:val="28"/>
          <w:szCs w:val="28"/>
        </w:rPr>
        <w:fldChar w:fldCharType="end"/>
      </w:r>
    </w:p>
    <w:p w14:paraId="453262D9">
      <w:pPr>
        <w:pStyle w:val="11"/>
        <w:rPr>
          <w:rFonts w:ascii="仿宋" w:hAnsi="仿宋" w:eastAsia="仿宋"/>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570346DA">
      <w:pPr>
        <w:pStyle w:val="11"/>
        <w:rPr>
          <w:rFonts w:hint="eastAsia"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bCs/>
          <w:sz w:val="28"/>
          <w:szCs w:val="28"/>
        </w:rPr>
        <w:t>九、</w:t>
      </w:r>
      <w:r>
        <w:rPr>
          <w:rStyle w:val="16"/>
          <w:rFonts w:ascii="仿宋" w:hAnsi="仿宋" w:eastAsia="仿宋"/>
          <w:sz w:val="28"/>
          <w:szCs w:val="28"/>
        </w:rPr>
        <w:t xml:space="preserve"> </w:t>
      </w:r>
      <w:r>
        <w:rPr>
          <w:rStyle w:val="16"/>
          <w:rFonts w:hint="eastAsia" w:ascii="仿宋" w:hAnsi="仿宋" w:eastAsia="仿宋"/>
          <w:sz w:val="28"/>
          <w:szCs w:val="28"/>
        </w:rPr>
        <w:t>国</w:t>
      </w:r>
      <w:r>
        <w:rPr>
          <w:rStyle w:val="16"/>
          <w:rFonts w:hint="eastAsia" w:ascii="仿宋" w:hAnsi="仿宋" w:eastAsia="仿宋"/>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42D975C3">
      <w:pPr>
        <w:pStyle w:val="11"/>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bCs/>
          <w:sz w:val="28"/>
          <w:szCs w:val="28"/>
        </w:rPr>
        <w:t>十、</w:t>
      </w:r>
      <w:r>
        <w:rPr>
          <w:rStyle w:val="16"/>
          <w:rFonts w:ascii="仿宋" w:hAnsi="仿宋" w:eastAsia="仿宋"/>
          <w:sz w:val="28"/>
          <w:szCs w:val="28"/>
        </w:rPr>
        <w:t xml:space="preserve"> </w:t>
      </w:r>
      <w:r>
        <w:rPr>
          <w:rStyle w:val="16"/>
          <w:rFonts w:hint="eastAsia" w:ascii="仿宋" w:hAnsi="仿宋" w:eastAsia="仿宋"/>
          <w:sz w:val="28"/>
          <w:szCs w:val="28"/>
        </w:rPr>
        <w:t>预算绩效情况说明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3C6BC105">
      <w:pPr>
        <w:pStyle w:val="11"/>
        <w:rPr>
          <w:rFonts w:ascii="仿宋" w:hAnsi="仿宋" w:eastAsia="仿宋"/>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bCs/>
          <w:sz w:val="28"/>
          <w:szCs w:val="28"/>
        </w:rPr>
        <w:t>一、其他重要事项的情况说明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4E2C1678">
      <w:pPr>
        <w:pStyle w:val="10"/>
      </w:pPr>
      <w:r>
        <w:fldChar w:fldCharType="begin"/>
      </w:r>
      <w:r>
        <w:instrText xml:space="preserve"> HYPERLINK \l "_Toc15396613" </w:instrText>
      </w:r>
      <w:r>
        <w:fldChar w:fldCharType="separate"/>
      </w:r>
      <w:r>
        <w:rPr>
          <w:rStyle w:val="16"/>
          <w:rFonts w:hint="eastAsia"/>
          <w:bCs/>
          <w:kern w:val="44"/>
        </w:rPr>
        <w:t>第三部分</w:t>
      </w:r>
      <w:r>
        <w:rPr>
          <w:rStyle w:val="16"/>
        </w:rPr>
        <w:t xml:space="preserve"> </w:t>
      </w:r>
      <w:r>
        <w:rPr>
          <w:rStyle w:val="16"/>
          <w:rFonts w:hint="eastAsia"/>
        </w:rPr>
        <w:t>名</w:t>
      </w:r>
      <w:r>
        <w:rPr>
          <w:rStyle w:val="16"/>
          <w:rFonts w:hint="eastAsia"/>
          <w:bCs/>
          <w:kern w:val="44"/>
        </w:rPr>
        <w:t>词解释</w:t>
      </w:r>
      <w:r>
        <w:tab/>
      </w:r>
      <w:r>
        <w:rPr>
          <w:rFonts w:hint="eastAsia"/>
        </w:rPr>
        <w:t>23</w:t>
      </w:r>
      <w:r>
        <w:rPr>
          <w:rFonts w:hint="eastAsia"/>
        </w:rPr>
        <w:fldChar w:fldCharType="end"/>
      </w:r>
    </w:p>
    <w:p w14:paraId="1174120F">
      <w:pPr>
        <w:pStyle w:val="10"/>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rPr>
          <w:rFonts w:hint="eastAsia"/>
        </w:rPr>
        <w:t>25</w:t>
      </w:r>
      <w:r>
        <w:rPr>
          <w:rFonts w:hint="eastAsia"/>
        </w:rPr>
        <w:fldChar w:fldCharType="end"/>
      </w:r>
    </w:p>
    <w:p w14:paraId="5E8E3C5B">
      <w:pPr>
        <w:pStyle w:val="11"/>
        <w:rPr>
          <w:rFonts w:ascii="仿宋" w:hAnsi="仿宋" w:eastAsia="仿宋"/>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rPr>
        <w:t>25</w:t>
      </w:r>
      <w:r>
        <w:rPr>
          <w:rFonts w:hint="eastAsia" w:ascii="仿宋" w:hAnsi="仿宋" w:eastAsia="仿宋"/>
          <w:sz w:val="28"/>
          <w:szCs w:val="28"/>
        </w:rPr>
        <w:fldChar w:fldCharType="end"/>
      </w:r>
    </w:p>
    <w:p w14:paraId="75559490">
      <w:pPr>
        <w:pStyle w:val="11"/>
        <w:rPr>
          <w:rFonts w:ascii="仿宋" w:hAnsi="仿宋" w:eastAsia="仿宋"/>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hint="eastAsia" w:ascii="仿宋" w:hAnsi="仿宋" w:eastAsia="仿宋"/>
          <w:sz w:val="28"/>
          <w:szCs w:val="28"/>
        </w:rPr>
        <w:t>36</w:t>
      </w:r>
      <w:r>
        <w:rPr>
          <w:rFonts w:hint="eastAsia" w:ascii="仿宋" w:hAnsi="仿宋" w:eastAsia="仿宋"/>
          <w:sz w:val="28"/>
          <w:szCs w:val="28"/>
        </w:rPr>
        <w:fldChar w:fldCharType="end"/>
      </w:r>
    </w:p>
    <w:p w14:paraId="2886A3C4">
      <w:pPr>
        <w:pStyle w:val="10"/>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rPr>
          <w:rFonts w:hint="eastAsia"/>
        </w:rPr>
        <w:t>40</w:t>
      </w:r>
      <w:r>
        <w:rPr>
          <w:rFonts w:hint="eastAsia"/>
        </w:rPr>
        <w:fldChar w:fldCharType="end"/>
      </w:r>
    </w:p>
    <w:p w14:paraId="53FBE0B5">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0903961C">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4CC89FFF">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1656C801">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63B2E788">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238197D0">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6F528348">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61D9C9B3">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73C7CBC8">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24DE3BB7">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42D10E1D">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6CF07263">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3C16B188">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B499BD9">
      <w:pPr>
        <w:widowControl/>
        <w:jc w:val="left"/>
        <w:rPr>
          <w:rFonts w:ascii="仿宋" w:hAnsi="仿宋" w:eastAsia="仿宋"/>
          <w:color w:val="000000"/>
          <w:sz w:val="24"/>
        </w:rPr>
      </w:pPr>
      <w:r>
        <w:rPr>
          <w:rFonts w:ascii="黑体" w:hAnsi="黑体" w:eastAsia="黑体"/>
          <w:color w:val="000000"/>
          <w:sz w:val="48"/>
          <w:szCs w:val="48"/>
        </w:rPr>
        <w:fldChar w:fldCharType="end"/>
      </w:r>
    </w:p>
    <w:p w14:paraId="40293BB5">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263D5CA4">
      <w:pPr>
        <w:pStyle w:val="2"/>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14:paraId="13B22568">
      <w:pPr>
        <w:widowControl/>
        <w:jc w:val="left"/>
        <w:rPr>
          <w:rFonts w:ascii="黑体" w:eastAsia="黑体"/>
          <w:color w:val="000000"/>
          <w:sz w:val="32"/>
          <w:szCs w:val="32"/>
        </w:rPr>
      </w:pPr>
    </w:p>
    <w:p w14:paraId="77FA8496">
      <w:pPr>
        <w:pStyle w:val="3"/>
        <w:rPr>
          <w:rStyle w:val="1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14:paraId="5AE6BD7E">
      <w:pPr>
        <w:pStyle w:val="5"/>
        <w:adjustRightInd w:val="0"/>
        <w:snapToGrid w:val="0"/>
        <w:spacing w:before="93" w:line="540" w:lineRule="exact"/>
        <w:ind w:firstLine="675" w:firstLineChars="210"/>
        <w:outlineLvl w:val="2"/>
        <w:rPr>
          <w:rFonts w:ascii="楷体" w:hAnsi="楷体" w:eastAsia="楷体"/>
          <w:b/>
          <w:kern w:val="2"/>
          <w:sz w:val="32"/>
          <w:szCs w:val="32"/>
        </w:rPr>
      </w:pPr>
      <w:bookmarkStart w:id="16" w:name="_Toc15378445"/>
      <w:bookmarkStart w:id="17" w:name="_Toc15377198"/>
      <w:r>
        <w:rPr>
          <w:rFonts w:hint="eastAsia" w:ascii="楷体" w:hAnsi="楷体" w:eastAsia="楷体"/>
          <w:b/>
          <w:kern w:val="2"/>
          <w:sz w:val="32"/>
          <w:szCs w:val="32"/>
        </w:rPr>
        <w:t>（一）主要职能。</w:t>
      </w:r>
      <w:bookmarkEnd w:id="16"/>
      <w:bookmarkEnd w:id="17"/>
    </w:p>
    <w:p w14:paraId="016BD8D9">
      <w:pPr>
        <w:snapToGrid w:val="0"/>
        <w:spacing w:line="540" w:lineRule="exact"/>
        <w:ind w:firstLine="640" w:firstLineChars="200"/>
        <w:rPr>
          <w:rFonts w:ascii="仿宋_GB2312" w:eastAsia="仿宋_GB2312"/>
          <w:sz w:val="32"/>
          <w:szCs w:val="32"/>
        </w:rPr>
      </w:pPr>
      <w:r>
        <w:rPr>
          <w:rFonts w:hint="eastAsia" w:ascii="仿宋_GB2312" w:eastAsia="仿宋_GB2312"/>
          <w:sz w:val="32"/>
          <w:szCs w:val="32"/>
        </w:rPr>
        <w:t>在</w:t>
      </w:r>
      <w:r>
        <w:rPr>
          <w:rFonts w:hint="eastAsia" w:ascii="仿宋_GB2312" w:eastAsia="仿宋_GB2312"/>
          <w:sz w:val="32"/>
          <w:szCs w:val="32"/>
          <w:lang w:eastAsia="zh-CN"/>
        </w:rPr>
        <w:t>县</w:t>
      </w:r>
      <w:r>
        <w:rPr>
          <w:rFonts w:hint="eastAsia" w:ascii="仿宋_GB2312" w:eastAsia="仿宋_GB2312"/>
          <w:sz w:val="32"/>
          <w:szCs w:val="32"/>
        </w:rPr>
        <w:t>人大常委会的坚强领导下，全面贯彻落实中央省市县委的各项决策部署，为县政府在贯彻执行国家宪法和有关法律、法规、方针、政策、县人大及其常委会的决议决定、审议意见的情况进行检查，为</w:t>
      </w:r>
      <w:r>
        <w:rPr>
          <w:rFonts w:hint="eastAsia" w:ascii="仿宋_GB2312" w:eastAsia="仿宋_GB2312"/>
          <w:sz w:val="32"/>
          <w:szCs w:val="32"/>
          <w:lang w:eastAsia="zh-CN"/>
        </w:rPr>
        <w:t>县</w:t>
      </w:r>
      <w:r>
        <w:rPr>
          <w:rFonts w:hint="eastAsia" w:ascii="仿宋_GB2312" w:eastAsia="仿宋_GB2312"/>
          <w:sz w:val="32"/>
          <w:szCs w:val="32"/>
        </w:rPr>
        <w:t>人大及其常委会进行法律监督和工作监督提供情况和依据；承办人代会、常委会、主任会和党组会会议有关事项的筹备和会务工作，协助机关党群组织工作，负责机关精神文明建设、党风廉政、爱国卫生、信访、档案管理、机要保密等达标工作，负责</w:t>
      </w:r>
      <w:r>
        <w:rPr>
          <w:rFonts w:hint="eastAsia" w:ascii="仿宋_GB2312" w:eastAsia="仿宋_GB2312"/>
          <w:sz w:val="32"/>
          <w:szCs w:val="32"/>
          <w:lang w:eastAsia="zh-CN"/>
        </w:rPr>
        <w:t>县</w:t>
      </w:r>
      <w:r>
        <w:rPr>
          <w:rFonts w:hint="eastAsia" w:ascii="仿宋_GB2312" w:eastAsia="仿宋_GB2312"/>
          <w:sz w:val="32"/>
          <w:szCs w:val="32"/>
        </w:rPr>
        <w:t>人大</w:t>
      </w:r>
      <w:r>
        <w:rPr>
          <w:rFonts w:hint="eastAsia" w:ascii="仿宋_GB2312" w:eastAsia="仿宋_GB2312"/>
          <w:sz w:val="32"/>
          <w:szCs w:val="32"/>
          <w:lang w:eastAsia="zh-CN"/>
        </w:rPr>
        <w:t>常委会</w:t>
      </w:r>
      <w:r>
        <w:rPr>
          <w:rFonts w:hint="eastAsia" w:ascii="仿宋_GB2312" w:eastAsia="仿宋_GB2312"/>
          <w:sz w:val="32"/>
          <w:szCs w:val="32"/>
        </w:rPr>
        <w:t>机关的挂钩帮乡工作；负责常委会、主任会有关决议、决定（草案）、审议意见，会议纪要，《公报》、工作总结、工作报告等材料的起草工作；对提请县人大常委会审议的人事任免的有关情况进行调查了解，参与对准备提请</w:t>
      </w:r>
      <w:r>
        <w:rPr>
          <w:rFonts w:hint="eastAsia" w:ascii="仿宋_GB2312" w:eastAsia="仿宋_GB2312"/>
          <w:sz w:val="32"/>
          <w:szCs w:val="32"/>
          <w:lang w:val="en-US" w:eastAsia="zh-CN"/>
        </w:rPr>
        <w:t>县</w:t>
      </w:r>
      <w:r>
        <w:rPr>
          <w:rFonts w:hint="eastAsia" w:ascii="仿宋_GB2312" w:eastAsia="仿宋_GB2312"/>
          <w:sz w:val="32"/>
          <w:szCs w:val="32"/>
        </w:rPr>
        <w:t>人大常委会任命前的干部考察；联系县人大代表、组织各种代表活动；承办、催办、督办县人大代表的批评、建议和意见；负责人民群众来信来访的接待工作；负责机关的财务管理、机关内部事务、负责上级人大</w:t>
      </w:r>
      <w:r>
        <w:rPr>
          <w:rFonts w:hint="eastAsia" w:ascii="仿宋_GB2312" w:eastAsia="仿宋_GB2312"/>
          <w:sz w:val="32"/>
          <w:szCs w:val="32"/>
          <w:lang w:eastAsia="zh-CN"/>
        </w:rPr>
        <w:t>及其常委会</w:t>
      </w:r>
      <w:r>
        <w:rPr>
          <w:rFonts w:hint="eastAsia" w:ascii="仿宋_GB2312" w:eastAsia="仿宋_GB2312"/>
          <w:sz w:val="32"/>
          <w:szCs w:val="32"/>
        </w:rPr>
        <w:t>来县视察、指导、检查及省内外人大</w:t>
      </w:r>
      <w:r>
        <w:rPr>
          <w:rFonts w:hint="eastAsia" w:ascii="仿宋_GB2312" w:eastAsia="仿宋_GB2312"/>
          <w:sz w:val="32"/>
          <w:szCs w:val="32"/>
          <w:lang w:eastAsia="zh-CN"/>
        </w:rPr>
        <w:t>及其常委会</w:t>
      </w:r>
      <w:r>
        <w:rPr>
          <w:rFonts w:hint="eastAsia" w:ascii="仿宋_GB2312" w:eastAsia="仿宋_GB2312"/>
          <w:sz w:val="32"/>
          <w:szCs w:val="32"/>
        </w:rPr>
        <w:t>来县考察学习的接待工作；完成常委会、主任会议及常委会领导交办的其它工作。</w:t>
      </w:r>
    </w:p>
    <w:p w14:paraId="20A3A3DF">
      <w:pPr>
        <w:pStyle w:val="5"/>
        <w:adjustRightInd w:val="0"/>
        <w:snapToGrid w:val="0"/>
        <w:spacing w:before="93" w:line="540" w:lineRule="exact"/>
        <w:ind w:firstLine="675" w:firstLineChars="210"/>
        <w:outlineLvl w:val="2"/>
        <w:rPr>
          <w:rFonts w:ascii="楷体" w:hAnsi="楷体" w:eastAsia="楷体"/>
          <w:b/>
          <w:kern w:val="2"/>
          <w:sz w:val="32"/>
          <w:szCs w:val="32"/>
        </w:rPr>
      </w:pPr>
      <w:bookmarkStart w:id="18" w:name="_Toc15378446"/>
      <w:bookmarkStart w:id="19" w:name="_Toc15377199"/>
      <w:r>
        <w:rPr>
          <w:rFonts w:hint="eastAsia" w:ascii="楷体" w:hAnsi="楷体" w:eastAsia="楷体"/>
          <w:b/>
          <w:kern w:val="2"/>
          <w:sz w:val="32"/>
          <w:szCs w:val="32"/>
        </w:rPr>
        <w:t>（二）2018年重点工作完成情况。</w:t>
      </w:r>
      <w:bookmarkEnd w:id="18"/>
      <w:bookmarkEnd w:id="19"/>
    </w:p>
    <w:p w14:paraId="2271A5EE">
      <w:pPr>
        <w:spacing w:line="540" w:lineRule="exact"/>
        <w:ind w:firstLine="640"/>
        <w:rPr>
          <w:rFonts w:ascii="仿宋_GB2312" w:eastAsia="仿宋_GB2312"/>
          <w:sz w:val="32"/>
          <w:szCs w:val="32"/>
        </w:rPr>
      </w:pPr>
      <w:r>
        <w:rPr>
          <w:rFonts w:hint="eastAsia" w:ascii="仿宋_GB2312" w:eastAsia="仿宋_GB2312"/>
          <w:sz w:val="32"/>
          <w:szCs w:val="32"/>
        </w:rPr>
        <w:t>1.认真做好会议和各项活动的筹备、组织、协调、服务工作。一是做好了1次人代会，11次常委会，21次主任会议，22次主任办公会，34次职工会，12次党员大会的筹备、组织、协调服务工作，圆满完成了各次会议既定目标。二是组织我县市人大代表参加攀枝花市第十届人民代表大会第三次和第四次会议，并做好米易代表团相关会务工作。三是做好了</w:t>
      </w:r>
      <w:r>
        <w:rPr>
          <w:rFonts w:hint="eastAsia" w:ascii="仿宋_GB2312" w:eastAsia="仿宋_GB2312"/>
          <w:sz w:val="32"/>
          <w:szCs w:val="32"/>
          <w:lang w:eastAsia="zh-CN"/>
        </w:rPr>
        <w:t>县人大</w:t>
      </w:r>
      <w:r>
        <w:rPr>
          <w:rFonts w:hint="eastAsia" w:ascii="仿宋_GB2312" w:eastAsia="仿宋_GB2312"/>
          <w:sz w:val="32"/>
          <w:szCs w:val="32"/>
        </w:rPr>
        <w:t>常委会和上级人大</w:t>
      </w:r>
      <w:r>
        <w:rPr>
          <w:rFonts w:hint="eastAsia" w:ascii="仿宋_GB2312" w:eastAsia="仿宋_GB2312"/>
          <w:sz w:val="32"/>
          <w:szCs w:val="32"/>
          <w:lang w:eastAsia="zh-CN"/>
        </w:rPr>
        <w:t>及其常委会</w:t>
      </w:r>
      <w:r>
        <w:rPr>
          <w:rFonts w:hint="eastAsia" w:ascii="仿宋_GB2312" w:eastAsia="仿宋_GB2312"/>
          <w:sz w:val="32"/>
          <w:szCs w:val="32"/>
        </w:rPr>
        <w:t>组织开展的执法检查、视察、评议、调研、业务培训的服务工作。四是组织了春节老干部走访慰问、“七一”、“重阳节”、“迎中秋.庆国庆”、 “城乡党建结对共建活动”、全国文明城市创建“四包活动”等重大活动。五是协助人事代表工委开展了</w:t>
      </w:r>
      <w:r>
        <w:rPr>
          <w:rFonts w:hint="eastAsia" w:ascii="仿宋_GB2312" w:eastAsia="仿宋_GB2312"/>
          <w:sz w:val="32"/>
          <w:szCs w:val="32"/>
          <w:lang w:eastAsia="zh-CN"/>
        </w:rPr>
        <w:t>县第</w:t>
      </w:r>
      <w:r>
        <w:rPr>
          <w:rFonts w:hint="eastAsia" w:ascii="仿宋_GB2312" w:eastAsia="仿宋_GB2312"/>
          <w:sz w:val="32"/>
          <w:szCs w:val="32"/>
        </w:rPr>
        <w:t>十八届人大代表的补选工作。</w:t>
      </w:r>
    </w:p>
    <w:p w14:paraId="43D54F36">
      <w:pPr>
        <w:spacing w:line="540" w:lineRule="exact"/>
        <w:ind w:firstLine="640"/>
        <w:rPr>
          <w:rFonts w:ascii="仿宋_GB2312" w:eastAsia="仿宋_GB2312"/>
          <w:sz w:val="32"/>
          <w:szCs w:val="32"/>
        </w:rPr>
      </w:pPr>
      <w:r>
        <w:rPr>
          <w:rFonts w:hint="eastAsia" w:ascii="仿宋_GB2312" w:eastAsia="仿宋_GB2312"/>
          <w:sz w:val="32"/>
          <w:szCs w:val="32"/>
        </w:rPr>
        <w:t>2.认真做好文秘和行政后勤工作。一是负责草拟了县人大常委会工作报告、年度工作要点、领导重要讲话和有关决议、决定、会议纪要、会议主持词、工作情况综合、年鉴等文稿，编辑、印发了县人民代表大会会刊、常委会公报、主任会会议纪要、常委会大事记、工作通讯等，做好了有关的文字审核、印制工作，全年共印发各类文件170份，材料2万余份，工作通讯6期，报送工作信息简报 55期。二是做好文件阅办工作，保证文电阅办工作的规范化、程序化和制度化。三是做好上级人大及省内外人大</w:t>
      </w:r>
      <w:r>
        <w:rPr>
          <w:rFonts w:hint="eastAsia" w:ascii="仿宋_GB2312" w:eastAsia="仿宋_GB2312"/>
          <w:sz w:val="32"/>
          <w:szCs w:val="32"/>
          <w:lang w:eastAsia="zh-CN"/>
        </w:rPr>
        <w:t>及其常委会</w:t>
      </w:r>
      <w:r>
        <w:rPr>
          <w:rFonts w:hint="eastAsia" w:ascii="仿宋_GB2312" w:eastAsia="仿宋_GB2312"/>
          <w:sz w:val="32"/>
          <w:szCs w:val="32"/>
        </w:rPr>
        <w:t>到我县的调研及考察方面的会务准备、接待工作，今年共接待到县考察的省内外客人49 批430人次。四是加强公务用车管理，保证了</w:t>
      </w:r>
      <w:r>
        <w:rPr>
          <w:rFonts w:hint="eastAsia" w:ascii="仿宋_GB2312" w:eastAsia="仿宋_GB2312"/>
          <w:sz w:val="32"/>
          <w:szCs w:val="32"/>
          <w:lang w:eastAsia="zh-CN"/>
        </w:rPr>
        <w:t>县人大</w:t>
      </w:r>
      <w:r>
        <w:rPr>
          <w:rFonts w:hint="eastAsia" w:ascii="仿宋_GB2312" w:eastAsia="仿宋_GB2312"/>
          <w:sz w:val="32"/>
          <w:szCs w:val="32"/>
        </w:rPr>
        <w:t>常委会领导和机关的安全用车。五是做好机关干部的日常关怀。做好机关干部职工本人及家属生病住院等的慰问，做到第一时间报告领导，第一时间陪同相关领导，安排相关人员去慰问。六是做好老干部管理服务工作。每月定期开展一次离退休党小组学习活动，主动关心老干部，在春节、</w:t>
      </w:r>
      <w:r>
        <w:rPr>
          <w:rFonts w:hint="eastAsia" w:ascii="仿宋_GB2312" w:eastAsia="仿宋_GB2312"/>
          <w:sz w:val="32"/>
          <w:szCs w:val="32"/>
          <w:lang w:eastAsia="zh-CN"/>
        </w:rPr>
        <w:t>“</w:t>
      </w:r>
      <w:r>
        <w:rPr>
          <w:rFonts w:hint="eastAsia" w:ascii="仿宋_GB2312" w:eastAsia="仿宋_GB2312"/>
          <w:sz w:val="32"/>
          <w:szCs w:val="32"/>
        </w:rPr>
        <w:t>九九</w:t>
      </w:r>
      <w:r>
        <w:rPr>
          <w:rFonts w:hint="eastAsia" w:ascii="仿宋_GB2312" w:eastAsia="仿宋_GB2312"/>
          <w:sz w:val="32"/>
          <w:szCs w:val="32"/>
          <w:lang w:eastAsia="zh-CN"/>
        </w:rPr>
        <w:t>”</w:t>
      </w:r>
      <w:r>
        <w:rPr>
          <w:rFonts w:hint="eastAsia" w:ascii="仿宋_GB2312" w:eastAsia="仿宋_GB2312"/>
          <w:sz w:val="32"/>
          <w:szCs w:val="32"/>
        </w:rPr>
        <w:t>重阳节等重大节日时对老干部进行走访慰问，在老干部生病住院时专门看望、慰问老干部，送去慰问金，落实好老干部的各项政治、生活待遇。全年组织离退休老干部参观全县重点项目、产业发展两次。七是做好机关财务、人事、劳资、档案等工作和机关的后勤管理，为机关的高效运转做好服务。</w:t>
      </w:r>
    </w:p>
    <w:p w14:paraId="4C72DE6D">
      <w:pPr>
        <w:spacing w:line="540" w:lineRule="exact"/>
        <w:ind w:firstLine="640"/>
        <w:rPr>
          <w:rFonts w:ascii="仿宋_GB2312" w:eastAsia="仿宋_GB2312"/>
          <w:sz w:val="32"/>
          <w:szCs w:val="32"/>
        </w:rPr>
      </w:pPr>
      <w:r>
        <w:rPr>
          <w:rFonts w:hint="eastAsia" w:ascii="仿宋_GB2312" w:eastAsia="仿宋_GB2312"/>
          <w:sz w:val="32"/>
          <w:szCs w:val="32"/>
        </w:rPr>
        <w:t>3.编印《基础提升年米易县第十八届人大代表调研文章和建议选编》，协助开展2017年基础提升年县十八届人大代表优秀调研文章和建议终评工作，评出优秀调研文章一等奖1篇，二等奖3篇，三等奖6篇，优秀奖7篇；评出优秀建议一等奖1条，二等奖3条，三等奖5条优秀奖11条，并草拟了表扬决定，发送了证书、奖金。</w:t>
      </w:r>
    </w:p>
    <w:p w14:paraId="4840B3B5">
      <w:pPr>
        <w:spacing w:line="540" w:lineRule="exact"/>
        <w:ind w:firstLine="660"/>
        <w:rPr>
          <w:rFonts w:ascii="仿宋_GB2312" w:eastAsia="仿宋_GB2312"/>
          <w:sz w:val="32"/>
          <w:szCs w:val="32"/>
        </w:rPr>
      </w:pPr>
      <w:r>
        <w:rPr>
          <w:rFonts w:hint="eastAsia" w:ascii="仿宋_GB2312" w:eastAsia="仿宋_GB2312"/>
          <w:sz w:val="32"/>
          <w:szCs w:val="32"/>
        </w:rPr>
        <w:t>4.认真做好规范性文件的接收、登记、转办、备案、上报工作。共接收乡镇人大报备的规范性文件 9 件，上报市人大</w:t>
      </w:r>
      <w:r>
        <w:rPr>
          <w:rFonts w:hint="eastAsia" w:ascii="仿宋_GB2312" w:eastAsia="仿宋_GB2312"/>
          <w:sz w:val="32"/>
          <w:szCs w:val="32"/>
          <w:lang w:eastAsia="zh-CN"/>
        </w:rPr>
        <w:t>常委会</w:t>
      </w:r>
      <w:r>
        <w:rPr>
          <w:rFonts w:hint="eastAsia" w:ascii="仿宋_GB2312" w:eastAsia="仿宋_GB2312"/>
          <w:sz w:val="32"/>
          <w:szCs w:val="32"/>
        </w:rPr>
        <w:t>备案的9 件。</w:t>
      </w:r>
    </w:p>
    <w:p w14:paraId="6B1F019D">
      <w:pPr>
        <w:spacing w:line="540" w:lineRule="exact"/>
        <w:ind w:firstLine="643"/>
        <w:rPr>
          <w:rFonts w:ascii="仿宋_GB2312" w:eastAsia="仿宋_GB2312"/>
          <w:sz w:val="32"/>
          <w:szCs w:val="32"/>
        </w:rPr>
      </w:pPr>
      <w:r>
        <w:rPr>
          <w:rFonts w:hint="eastAsia" w:ascii="仿宋_GB2312" w:eastAsia="仿宋_GB2312"/>
          <w:sz w:val="32"/>
          <w:szCs w:val="32"/>
        </w:rPr>
        <w:t>5.认真做好代表和人民群众来信来访工作。热情接待群众来访，认真对待群众信访，对每一件信访案件都及时登记，重要信访案件请常委会分管领导批示，并根据要求做好转办、督办工作，做到了事事有回音，件件有着落。2018年共接待来信来访28件（次），均按规定进行了处理。</w:t>
      </w:r>
    </w:p>
    <w:p w14:paraId="44517299">
      <w:pPr>
        <w:spacing w:line="540" w:lineRule="exact"/>
        <w:ind w:firstLine="643"/>
        <w:rPr>
          <w:rFonts w:ascii="仿宋_GB2312" w:eastAsia="仿宋_GB2312"/>
          <w:sz w:val="32"/>
          <w:szCs w:val="32"/>
        </w:rPr>
      </w:pPr>
      <w:r>
        <w:rPr>
          <w:rFonts w:hint="eastAsia" w:ascii="仿宋_GB2312" w:eastAsia="仿宋_GB2312"/>
          <w:sz w:val="32"/>
          <w:szCs w:val="32"/>
        </w:rPr>
        <w:t>6.认真履行党风廉政建设职责。落实“一岗双责”要求，严格执行“两准则四条例”，中央八项规定、省、市十项规定，拟定了</w:t>
      </w:r>
      <w:r>
        <w:rPr>
          <w:rFonts w:hint="eastAsia" w:ascii="仿宋_GB2312" w:eastAsia="仿宋_GB2312"/>
          <w:sz w:val="32"/>
          <w:szCs w:val="32"/>
          <w:lang w:eastAsia="zh-CN"/>
        </w:rPr>
        <w:t>县人大</w:t>
      </w:r>
      <w:r>
        <w:rPr>
          <w:rFonts w:hint="eastAsia" w:ascii="仿宋_GB2312" w:eastAsia="仿宋_GB2312"/>
          <w:sz w:val="32"/>
          <w:szCs w:val="32"/>
        </w:rPr>
        <w:t>常委会领导履行党风廉政责任清单、机关党风廉政责任清单，推动</w:t>
      </w:r>
      <w:r>
        <w:rPr>
          <w:rFonts w:hint="eastAsia" w:ascii="仿宋_GB2312" w:eastAsia="仿宋_GB2312"/>
          <w:sz w:val="32"/>
          <w:szCs w:val="32"/>
          <w:lang w:eastAsia="zh-CN"/>
        </w:rPr>
        <w:t>县</w:t>
      </w:r>
      <w:r>
        <w:rPr>
          <w:rFonts w:hint="eastAsia" w:ascii="仿宋_GB2312" w:eastAsia="仿宋_GB2312"/>
          <w:sz w:val="32"/>
          <w:szCs w:val="32"/>
        </w:rPr>
        <w:t>人大常委会机关党风廉政建设和反腐败工作纵深发展。</w:t>
      </w:r>
    </w:p>
    <w:p w14:paraId="7AFA3996">
      <w:pPr>
        <w:pStyle w:val="31"/>
        <w:shd w:val="clear" w:color="auto" w:fill="auto"/>
        <w:spacing w:line="540" w:lineRule="exact"/>
        <w:ind w:left="20" w:firstLine="660"/>
        <w:jc w:val="both"/>
        <w:rPr>
          <w:rFonts w:ascii="仿宋_GB2312" w:hAnsi="Times New Roman" w:eastAsia="仿宋_GB2312" w:cs="Times New Roman"/>
          <w:b w:val="0"/>
          <w:bCs w:val="0"/>
          <w:kern w:val="2"/>
        </w:rPr>
      </w:pPr>
      <w:r>
        <w:rPr>
          <w:rFonts w:hint="eastAsia" w:ascii="仿宋_GB2312" w:hAnsi="Times New Roman" w:eastAsia="仿宋_GB2312" w:cs="Times New Roman"/>
          <w:b w:val="0"/>
          <w:bCs w:val="0"/>
          <w:kern w:val="2"/>
        </w:rPr>
        <w:t>7.认真抓好机关思想政治建设和学习教育，按照县委要求，认真组织机关干部职工开展“走基层”、双联、“两转一提”、“两学一做”学习教育常态化制度化主题教育活动、“大学习、大讨论、大调研”活动，</w:t>
      </w:r>
      <w:r>
        <w:rPr>
          <w:rFonts w:hint="eastAsia" w:ascii="仿宋_GB2312" w:hAnsi="Times New Roman" w:eastAsia="仿宋_GB2312" w:cs="Times New Roman"/>
          <w:b w:val="0"/>
          <w:bCs w:val="0"/>
          <w:kern w:val="2"/>
          <w:lang w:eastAsia="zh-CN"/>
        </w:rPr>
        <w:t>县人大常委会</w:t>
      </w:r>
      <w:r>
        <w:rPr>
          <w:rFonts w:hint="eastAsia" w:ascii="仿宋_GB2312" w:hAnsi="Times New Roman" w:eastAsia="仿宋_GB2312" w:cs="Times New Roman"/>
          <w:b w:val="0"/>
          <w:bCs w:val="0"/>
          <w:kern w:val="2"/>
        </w:rPr>
        <w:t>机关完成了一个专题的调研，参与常委会重大课题调研，撰写的两篇调研报告均入选全县的优秀调研文章汇编。</w:t>
      </w:r>
    </w:p>
    <w:p w14:paraId="0A22D5B0">
      <w:pPr>
        <w:pStyle w:val="31"/>
        <w:shd w:val="clear" w:color="auto" w:fill="auto"/>
        <w:spacing w:line="540" w:lineRule="exact"/>
        <w:ind w:left="20" w:firstLine="660"/>
        <w:jc w:val="both"/>
        <w:rPr>
          <w:rFonts w:ascii="仿宋_GB2312" w:hAnsi="Times New Roman" w:eastAsia="仿宋_GB2312" w:cs="Times New Roman"/>
          <w:b w:val="0"/>
          <w:bCs w:val="0"/>
          <w:kern w:val="2"/>
        </w:rPr>
      </w:pPr>
      <w:r>
        <w:rPr>
          <w:rFonts w:hint="eastAsia" w:ascii="仿宋_GB2312" w:hAnsi="Times New Roman" w:eastAsia="仿宋_GB2312" w:cs="Times New Roman"/>
          <w:b w:val="0"/>
          <w:bCs w:val="0"/>
          <w:kern w:val="2"/>
        </w:rPr>
        <w:t>8.积极开展市级健康示范单位和民族团结进步示范单位创建和扫黑除恶等工作，协助相关</w:t>
      </w:r>
      <w:r>
        <w:rPr>
          <w:rFonts w:hint="eastAsia" w:ascii="仿宋_GB2312" w:hAnsi="Times New Roman" w:eastAsia="仿宋_GB2312" w:cs="Times New Roman"/>
          <w:b w:val="0"/>
          <w:bCs w:val="0"/>
          <w:kern w:val="2"/>
          <w:lang w:eastAsia="zh-CN"/>
        </w:rPr>
        <w:t>工作机构</w:t>
      </w:r>
      <w:r>
        <w:rPr>
          <w:rFonts w:hint="eastAsia" w:ascii="仿宋_GB2312" w:hAnsi="Times New Roman" w:eastAsia="仿宋_GB2312" w:cs="Times New Roman"/>
          <w:b w:val="0"/>
          <w:bCs w:val="0"/>
          <w:kern w:val="2"/>
        </w:rPr>
        <w:t>做好各项创建工作和完成相关工作任务。</w:t>
      </w:r>
    </w:p>
    <w:p w14:paraId="17A89C6A">
      <w:pPr>
        <w:pStyle w:val="31"/>
        <w:shd w:val="clear" w:color="auto" w:fill="auto"/>
        <w:spacing w:line="540" w:lineRule="exact"/>
        <w:ind w:left="20" w:firstLine="660"/>
        <w:jc w:val="both"/>
        <w:rPr>
          <w:rFonts w:ascii="仿宋_GB2312" w:hAnsi="Times New Roman" w:eastAsia="仿宋_GB2312" w:cs="Times New Roman"/>
          <w:b w:val="0"/>
          <w:bCs w:val="0"/>
          <w:kern w:val="2"/>
        </w:rPr>
      </w:pPr>
      <w:r>
        <w:rPr>
          <w:rFonts w:hint="eastAsia" w:ascii="仿宋_GB2312" w:hAnsi="Times New Roman" w:eastAsia="仿宋_GB2312" w:cs="Times New Roman"/>
          <w:b w:val="0"/>
          <w:bCs w:val="0"/>
          <w:kern w:val="2"/>
        </w:rPr>
        <w:t>9.认真抓好常委会工作和机关工作的宣传工作，全年共向各类报刊投稿18篇，被采用12 篇，常委会荣获攀枝花市人民代表大会成立50周年征文活动优秀组织奖。</w:t>
      </w:r>
    </w:p>
    <w:p w14:paraId="3D2A0E47">
      <w:pPr>
        <w:spacing w:line="540" w:lineRule="exact"/>
        <w:ind w:firstLine="640"/>
        <w:rPr>
          <w:rFonts w:ascii="仿宋_GB2312" w:eastAsia="仿宋_GB2312"/>
          <w:sz w:val="32"/>
          <w:szCs w:val="32"/>
        </w:rPr>
      </w:pPr>
      <w:r>
        <w:rPr>
          <w:rFonts w:hint="eastAsia" w:ascii="仿宋_GB2312" w:eastAsia="仿宋_GB2312"/>
          <w:sz w:val="32"/>
          <w:szCs w:val="32"/>
        </w:rPr>
        <w:t>10.圆满完成党建、党风廉政建设、依法治理等29项常态目标考核工作和干部职工的年度考核。</w:t>
      </w:r>
    </w:p>
    <w:p w14:paraId="1830904B">
      <w:pPr>
        <w:spacing w:line="540" w:lineRule="exact"/>
        <w:ind w:firstLine="640"/>
        <w:rPr>
          <w:rFonts w:ascii="仿宋_GB2312" w:eastAsia="仿宋_GB2312"/>
          <w:sz w:val="32"/>
          <w:szCs w:val="32"/>
        </w:rPr>
      </w:pPr>
      <w:r>
        <w:rPr>
          <w:rFonts w:hint="eastAsia" w:ascii="仿宋_GB2312" w:eastAsia="仿宋_GB2312"/>
          <w:sz w:val="32"/>
          <w:szCs w:val="32"/>
        </w:rPr>
        <w:t>11.到仙山村指导开展脱贫攻坚工作7次，采用入户走访、访谈干部、查阅资料等形式，实地查看帮扶责任落实、干部帮扶、因村因户施策和项目实施情况，对照年度工作目标，检查任务推进完成情况进行了专项督导，针对存在的问题和不足，及时提出意见建议。</w:t>
      </w:r>
    </w:p>
    <w:p w14:paraId="324F8BAC">
      <w:pPr>
        <w:spacing w:line="540" w:lineRule="exact"/>
        <w:ind w:firstLine="640"/>
        <w:rPr>
          <w:rFonts w:ascii="仿宋_GB2312" w:eastAsia="仿宋_GB2312"/>
          <w:sz w:val="32"/>
          <w:szCs w:val="32"/>
        </w:rPr>
      </w:pPr>
      <w:r>
        <w:rPr>
          <w:rFonts w:hint="eastAsia" w:ascii="仿宋_GB2312" w:eastAsia="仿宋_GB2312"/>
          <w:sz w:val="32"/>
          <w:szCs w:val="32"/>
        </w:rPr>
        <w:t>12.做好了常委领导及机关“五个一”帮扶资料的收集、整理、完善。</w:t>
      </w:r>
    </w:p>
    <w:p w14:paraId="3F6BE2BD">
      <w:pPr>
        <w:spacing w:line="540" w:lineRule="exact"/>
        <w:ind w:firstLine="640"/>
        <w:rPr>
          <w:rFonts w:ascii="仿宋_GB2312" w:eastAsia="仿宋_GB2312"/>
          <w:sz w:val="32"/>
          <w:szCs w:val="32"/>
        </w:rPr>
      </w:pPr>
      <w:r>
        <w:rPr>
          <w:rFonts w:hint="eastAsia" w:ascii="仿宋_GB2312" w:eastAsia="仿宋_GB2312"/>
          <w:sz w:val="32"/>
          <w:szCs w:val="32"/>
        </w:rPr>
        <w:t>13.为</w:t>
      </w:r>
      <w:r>
        <w:rPr>
          <w:rFonts w:hint="eastAsia" w:ascii="仿宋_GB2312" w:eastAsia="仿宋_GB2312"/>
          <w:sz w:val="32"/>
          <w:szCs w:val="32"/>
          <w:lang w:eastAsia="zh-CN"/>
        </w:rPr>
        <w:t>县</w:t>
      </w:r>
      <w:r>
        <w:rPr>
          <w:rFonts w:hint="eastAsia" w:ascii="仿宋_GB2312" w:eastAsia="仿宋_GB2312"/>
          <w:sz w:val="32"/>
          <w:szCs w:val="32"/>
        </w:rPr>
        <w:t>人大常委会领导及各工作机构开展脱贫攻坚等重点工作督查巡查工作做好衔接、组织、协调服务，及时撰写督查巡查工作报告供县委县政府决策参考。</w:t>
      </w:r>
    </w:p>
    <w:p w14:paraId="54979C92">
      <w:pPr>
        <w:spacing w:line="540" w:lineRule="exact"/>
        <w:ind w:firstLine="640"/>
        <w:rPr>
          <w:rFonts w:ascii="仿宋_GB2312" w:eastAsia="仿宋_GB2312"/>
          <w:sz w:val="32"/>
          <w:szCs w:val="32"/>
        </w:rPr>
      </w:pPr>
      <w:r>
        <w:rPr>
          <w:rFonts w:hint="eastAsia" w:ascii="仿宋_GB2312" w:eastAsia="仿宋_GB2312"/>
          <w:sz w:val="32"/>
          <w:szCs w:val="32"/>
        </w:rPr>
        <w:t>14.协助市人大</w:t>
      </w:r>
      <w:r>
        <w:rPr>
          <w:rFonts w:hint="eastAsia" w:ascii="仿宋_GB2312" w:eastAsia="仿宋_GB2312"/>
          <w:sz w:val="32"/>
          <w:szCs w:val="32"/>
          <w:lang w:eastAsia="zh-CN"/>
        </w:rPr>
        <w:t>常委会</w:t>
      </w:r>
      <w:r>
        <w:rPr>
          <w:rFonts w:hint="eastAsia" w:ascii="仿宋_GB2312" w:eastAsia="仿宋_GB2312"/>
          <w:sz w:val="32"/>
          <w:szCs w:val="32"/>
        </w:rPr>
        <w:t>完成《攀枝花市人大志》编撰工作，认真完成了《攀枝花市人大志》米易篇章资料收集整理，常委会荣获《攀枝花市人大志》编纂工作先进集体。并完成了110万字《米易</w:t>
      </w:r>
      <w:r>
        <w:rPr>
          <w:rFonts w:hint="eastAsia" w:ascii="仿宋_GB2312" w:eastAsia="仿宋_GB2312"/>
          <w:sz w:val="32"/>
          <w:szCs w:val="32"/>
          <w:lang w:val="en-US" w:eastAsia="zh-CN"/>
        </w:rPr>
        <w:t>县</w:t>
      </w:r>
      <w:r>
        <w:rPr>
          <w:rFonts w:hint="eastAsia" w:ascii="仿宋_GB2312" w:eastAsia="仿宋_GB2312"/>
          <w:sz w:val="32"/>
          <w:szCs w:val="32"/>
        </w:rPr>
        <w:t>人大志》的编纂工作。</w:t>
      </w:r>
    </w:p>
    <w:p w14:paraId="0A4E530E">
      <w:pPr>
        <w:spacing w:line="540" w:lineRule="exact"/>
        <w:ind w:firstLine="640"/>
        <w:rPr>
          <w:rFonts w:ascii="仿宋_GB2312" w:eastAsia="仿宋_GB2312"/>
          <w:sz w:val="32"/>
          <w:szCs w:val="32"/>
        </w:rPr>
      </w:pPr>
      <w:r>
        <w:rPr>
          <w:rFonts w:hint="eastAsia" w:ascii="仿宋_GB2312" w:eastAsia="仿宋_GB2312"/>
          <w:sz w:val="32"/>
          <w:szCs w:val="32"/>
        </w:rPr>
        <w:t>15.完成了由办公室负责的各项常委会、主任会议题</w:t>
      </w:r>
      <w:r>
        <w:rPr>
          <w:rFonts w:hint="eastAsia" w:ascii="仿宋_GB2312" w:eastAsia="仿宋_GB2312"/>
          <w:sz w:val="32"/>
          <w:szCs w:val="32"/>
          <w:lang w:val="en-US" w:eastAsia="zh-CN"/>
        </w:rPr>
        <w:t>调研</w:t>
      </w:r>
      <w:r>
        <w:rPr>
          <w:rFonts w:hint="eastAsia" w:ascii="仿宋_GB2312" w:eastAsia="仿宋_GB2312"/>
          <w:sz w:val="32"/>
          <w:szCs w:val="32"/>
        </w:rPr>
        <w:t>。</w:t>
      </w:r>
    </w:p>
    <w:p w14:paraId="73601321">
      <w:pPr>
        <w:spacing w:line="540" w:lineRule="exact"/>
        <w:ind w:firstLine="640"/>
        <w:rPr>
          <w:rFonts w:ascii="仿宋_GB2312" w:eastAsia="仿宋_GB2312"/>
          <w:sz w:val="32"/>
          <w:szCs w:val="32"/>
        </w:rPr>
      </w:pPr>
      <w:r>
        <w:rPr>
          <w:rFonts w:hint="eastAsia" w:ascii="仿宋_GB2312" w:eastAsia="仿宋_GB2312"/>
          <w:sz w:val="32"/>
          <w:szCs w:val="32"/>
        </w:rPr>
        <w:t>16.完成了由办公室牵头的全县性的各项重点工作。</w:t>
      </w:r>
    </w:p>
    <w:p w14:paraId="30982F7A">
      <w:pPr>
        <w:spacing w:line="540" w:lineRule="exact"/>
        <w:ind w:firstLine="640"/>
        <w:rPr>
          <w:rFonts w:ascii="仿宋_GB2312" w:eastAsia="仿宋_GB2312"/>
          <w:sz w:val="32"/>
          <w:szCs w:val="32"/>
        </w:rPr>
      </w:pPr>
      <w:r>
        <w:rPr>
          <w:rFonts w:hint="eastAsia" w:ascii="仿宋_GB2312" w:eastAsia="仿宋_GB2312"/>
          <w:sz w:val="32"/>
          <w:szCs w:val="32"/>
        </w:rPr>
        <w:t>17.督办了1件代表建议。</w:t>
      </w:r>
    </w:p>
    <w:p w14:paraId="32794EAF">
      <w:pPr>
        <w:spacing w:line="540" w:lineRule="exact"/>
        <w:ind w:firstLine="640"/>
        <w:rPr>
          <w:rFonts w:ascii="仿宋_GB2312" w:eastAsia="仿宋_GB2312"/>
          <w:sz w:val="32"/>
          <w:szCs w:val="32"/>
        </w:rPr>
      </w:pPr>
      <w:r>
        <w:rPr>
          <w:rFonts w:hint="eastAsia" w:ascii="仿宋_GB2312" w:eastAsia="仿宋_GB2312"/>
          <w:sz w:val="32"/>
          <w:szCs w:val="32"/>
        </w:rPr>
        <w:t>18.完成了常委会党组会、主任会、主任办公会形成决定的督办和常委会领导指示的督办。</w:t>
      </w:r>
    </w:p>
    <w:p w14:paraId="1F03BB20">
      <w:pPr>
        <w:spacing w:line="540" w:lineRule="exact"/>
        <w:ind w:firstLine="640"/>
        <w:rPr>
          <w:rFonts w:ascii="仿宋_GB2312" w:eastAsia="仿宋_GB2312"/>
          <w:sz w:val="32"/>
          <w:szCs w:val="32"/>
        </w:rPr>
      </w:pPr>
      <w:r>
        <w:rPr>
          <w:rFonts w:hint="eastAsia" w:ascii="仿宋_GB2312" w:eastAsia="仿宋_GB2312"/>
          <w:sz w:val="32"/>
          <w:szCs w:val="32"/>
        </w:rPr>
        <w:t>19.加强与县委、</w:t>
      </w:r>
      <w:r>
        <w:rPr>
          <w:rFonts w:hint="eastAsia" w:ascii="仿宋_GB2312" w:eastAsia="仿宋_GB2312"/>
          <w:sz w:val="32"/>
          <w:szCs w:val="32"/>
          <w:lang w:val="en-US" w:eastAsia="zh-CN"/>
        </w:rPr>
        <w:t>县</w:t>
      </w:r>
      <w:r>
        <w:rPr>
          <w:rFonts w:hint="eastAsia" w:ascii="仿宋_GB2312" w:eastAsia="仿宋_GB2312"/>
          <w:sz w:val="32"/>
          <w:szCs w:val="32"/>
        </w:rPr>
        <w:t>政府、</w:t>
      </w:r>
      <w:r>
        <w:rPr>
          <w:rFonts w:hint="eastAsia" w:ascii="仿宋_GB2312" w:eastAsia="仿宋_GB2312"/>
          <w:sz w:val="32"/>
          <w:szCs w:val="32"/>
          <w:lang w:val="en-US" w:eastAsia="zh-CN"/>
        </w:rPr>
        <w:t>县</w:t>
      </w:r>
      <w:r>
        <w:rPr>
          <w:rFonts w:hint="eastAsia" w:ascii="仿宋_GB2312" w:eastAsia="仿宋_GB2312"/>
          <w:sz w:val="32"/>
          <w:szCs w:val="32"/>
        </w:rPr>
        <w:t>政协、“两院”等县级相关部门和乡镇的沟通协调。</w:t>
      </w:r>
    </w:p>
    <w:p w14:paraId="12AEA5F6">
      <w:pPr>
        <w:pStyle w:val="3"/>
        <w:rPr>
          <w:rStyle w:val="18"/>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20"/>
      <w:bookmarkEnd w:id="21"/>
    </w:p>
    <w:p w14:paraId="53C45ED0">
      <w:pPr>
        <w:spacing w:line="540" w:lineRule="exact"/>
        <w:ind w:firstLine="641"/>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人大常委会机关</w:t>
      </w:r>
      <w:r>
        <w:rPr>
          <w:rFonts w:hint="eastAsia" w:ascii="仿宋_GB2312" w:eastAsia="仿宋_GB2312"/>
          <w:sz w:val="32"/>
          <w:szCs w:val="32"/>
        </w:rPr>
        <w:t>机构设置为一室、六委：即办公室、财政经济工作委员会、法制工作委员会、教育科学文化卫生工作委员会、农业民族工作委员会、人事代表联络工作委员会、城乡环境资源保护工作委员会。</w:t>
      </w:r>
    </w:p>
    <w:p w14:paraId="5AE78D88">
      <w:pPr>
        <w:spacing w:line="540" w:lineRule="exact"/>
        <w:ind w:firstLine="641"/>
        <w:rPr>
          <w:rFonts w:ascii="仿宋_GB2312" w:hAnsi="仿宋" w:eastAsia="仿宋_GB2312"/>
          <w:color w:val="000000"/>
          <w:sz w:val="32"/>
          <w:szCs w:val="32"/>
        </w:rPr>
      </w:pPr>
      <w:r>
        <w:rPr>
          <w:rFonts w:hint="eastAsia" w:ascii="仿宋_GB2312" w:eastAsia="仿宋_GB2312"/>
          <w:sz w:val="32"/>
          <w:szCs w:val="32"/>
        </w:rPr>
        <w:t>无纳入2018年度部门决算编制范围的二级预算单位。</w:t>
      </w:r>
    </w:p>
    <w:p w14:paraId="115241BC">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403ADACA">
      <w:pPr>
        <w:pStyle w:val="2"/>
        <w:ind w:right="440"/>
        <w:jc w:val="right"/>
        <w:rPr>
          <w:rStyle w:val="1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2018</w:t>
      </w:r>
      <w:r>
        <w:rPr>
          <w:rStyle w:val="17"/>
          <w:rFonts w:hint="eastAsia" w:ascii="黑体" w:hAnsi="黑体" w:eastAsia="黑体"/>
          <w:b w:val="0"/>
          <w:bCs w:val="0"/>
        </w:rPr>
        <w:t>年度部门决算情况说明</w:t>
      </w:r>
      <w:bookmarkEnd w:id="22"/>
      <w:bookmarkEnd w:id="23"/>
    </w:p>
    <w:p w14:paraId="027B6119"/>
    <w:p w14:paraId="53721494">
      <w:pPr>
        <w:pStyle w:val="27"/>
        <w:numPr>
          <w:ilvl w:val="0"/>
          <w:numId w:val="1"/>
        </w:numPr>
        <w:spacing w:line="600" w:lineRule="exact"/>
        <w:ind w:firstLineChars="0"/>
        <w:outlineLvl w:val="1"/>
        <w:rPr>
          <w:rStyle w:val="1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4"/>
      <w:bookmarkEnd w:id="25"/>
    </w:p>
    <w:p w14:paraId="74E04BA9">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2018年度收入总计876.57万元。与2017年781.05万元相比，收入总计各增加95.52万元，增长12.23%。主要变动原因是</w:t>
      </w:r>
      <w:r>
        <w:rPr>
          <w:rFonts w:hint="eastAsia" w:ascii="仿宋_GB2312" w:hAnsi="仿宋" w:eastAsia="仿宋_GB2312" w:cs="仿宋"/>
          <w:color w:val="000000"/>
          <w:sz w:val="32"/>
          <w:szCs w:val="32"/>
        </w:rPr>
        <w:t>2018年人员经费支出增加。</w:t>
      </w:r>
    </w:p>
    <w:p w14:paraId="28CAB063">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2018年度支出总计876.57万元。与2017年781.05万元相比，支出总计各增加95.52万元，增长12.23%。主要变动原因是</w:t>
      </w:r>
      <w:r>
        <w:rPr>
          <w:rFonts w:hint="eastAsia" w:ascii="仿宋_GB2312" w:hAnsi="仿宋" w:eastAsia="仿宋_GB2312" w:cs="仿宋"/>
          <w:color w:val="000000"/>
          <w:sz w:val="32"/>
          <w:szCs w:val="32"/>
        </w:rPr>
        <w:t>2018年人员经费支出增加。</w:t>
      </w:r>
    </w:p>
    <w:p w14:paraId="53864513">
      <w:pPr>
        <w:spacing w:line="600" w:lineRule="exact"/>
        <w:ind w:firstLine="640" w:firstLineChars="200"/>
        <w:rPr>
          <w:rFonts w:ascii="仿宋_GB2312" w:hAnsi="仿宋" w:eastAsia="仿宋_GB2312"/>
          <w:color w:val="000000"/>
          <w:sz w:val="32"/>
          <w:szCs w:val="32"/>
        </w:rPr>
      </w:pPr>
      <w:r>
        <w:rPr>
          <w:rFonts w:ascii="仿宋_GB2312" w:eastAsia="仿宋_GB2312"/>
          <w:color w:val="000000"/>
          <w:sz w:val="32"/>
          <w:szCs w:val="32"/>
        </w:rPr>
        <w:pict>
          <v:shape id="_x0000_s2051" o:spid="_x0000_s2051" o:spt="75" type="#_x0000_t75" style="position:absolute;left:0pt;margin-left:98.45pt;margin-top:28.95pt;height:177.95pt;width:226.7pt;z-index:-251657216;mso-width-relative:page;mso-height-relative:page;" o:ole="t" filled="f" o:preferrelative="t" stroked="f" coordsize="21600,21600">
            <v:path/>
            <v:fill on="f" focussize="0,0"/>
            <v:stroke on="f" joinstyle="miter"/>
            <v:imagedata r:id="rId7" o:title=""/>
            <o:lock v:ext="edit" aspectratio="t"/>
          </v:shape>
          <o:OLEObject Type="Embed" ProgID="MSGraph.Chart.8" ShapeID="_x0000_s2051" DrawAspect="Content" ObjectID="_1468075725" r:id="rId6">
            <o:LockedField>false</o:LockedField>
          </o:OLEObject>
        </w:pict>
      </w:r>
      <w:r>
        <w:rPr>
          <w:rFonts w:hint="eastAsia" w:ascii="仿宋_GB2312" w:hAnsi="仿宋" w:eastAsia="仿宋_GB2312"/>
          <w:color w:val="000000"/>
          <w:sz w:val="32"/>
          <w:szCs w:val="32"/>
        </w:rPr>
        <w:t>（图1：收、支决算总计变动情况图）（柱状图）</w:t>
      </w:r>
    </w:p>
    <w:p w14:paraId="4891263A">
      <w:pPr>
        <w:spacing w:line="600" w:lineRule="exact"/>
        <w:ind w:firstLine="640" w:firstLineChars="200"/>
        <w:jc w:val="left"/>
        <w:rPr>
          <w:rFonts w:ascii="仿宋_GB2312" w:eastAsia="仿宋_GB2312"/>
          <w:color w:val="000000"/>
          <w:sz w:val="32"/>
          <w:szCs w:val="32"/>
        </w:rPr>
      </w:pPr>
    </w:p>
    <w:p w14:paraId="3BC886A5">
      <w:pPr>
        <w:spacing w:line="600" w:lineRule="exact"/>
        <w:ind w:firstLine="640" w:firstLineChars="200"/>
        <w:jc w:val="left"/>
        <w:rPr>
          <w:rFonts w:ascii="仿宋_GB2312" w:eastAsia="仿宋_GB2312"/>
          <w:color w:val="000000"/>
          <w:sz w:val="32"/>
          <w:szCs w:val="32"/>
        </w:rPr>
      </w:pPr>
    </w:p>
    <w:p w14:paraId="2771A3AD">
      <w:pPr>
        <w:spacing w:line="600" w:lineRule="exact"/>
        <w:ind w:firstLine="640" w:firstLineChars="200"/>
        <w:jc w:val="left"/>
        <w:rPr>
          <w:rFonts w:ascii="仿宋_GB2312" w:eastAsia="仿宋_GB2312"/>
          <w:color w:val="000000"/>
          <w:sz w:val="32"/>
          <w:szCs w:val="32"/>
        </w:rPr>
      </w:pPr>
    </w:p>
    <w:p w14:paraId="2F84091B">
      <w:pPr>
        <w:spacing w:line="600" w:lineRule="exact"/>
        <w:ind w:firstLine="640" w:firstLineChars="200"/>
        <w:jc w:val="left"/>
        <w:rPr>
          <w:rFonts w:ascii="仿宋_GB2312" w:eastAsia="仿宋_GB2312"/>
          <w:color w:val="000000"/>
          <w:sz w:val="32"/>
          <w:szCs w:val="32"/>
        </w:rPr>
      </w:pPr>
    </w:p>
    <w:p w14:paraId="38C4DDC3">
      <w:pPr>
        <w:spacing w:line="600" w:lineRule="exact"/>
        <w:ind w:firstLine="640" w:firstLineChars="200"/>
        <w:jc w:val="left"/>
        <w:rPr>
          <w:rFonts w:ascii="仿宋_GB2312" w:eastAsia="仿宋_GB2312"/>
          <w:color w:val="000000"/>
          <w:sz w:val="32"/>
          <w:szCs w:val="32"/>
        </w:rPr>
      </w:pPr>
    </w:p>
    <w:p w14:paraId="74731FB1">
      <w:pPr>
        <w:spacing w:line="600" w:lineRule="exact"/>
        <w:ind w:firstLine="640" w:firstLineChars="200"/>
        <w:jc w:val="left"/>
        <w:rPr>
          <w:rFonts w:ascii="仿宋_GB2312" w:eastAsia="仿宋_GB2312"/>
          <w:color w:val="000000"/>
          <w:sz w:val="32"/>
          <w:szCs w:val="32"/>
        </w:rPr>
      </w:pPr>
    </w:p>
    <w:p w14:paraId="7FB60854">
      <w:pPr>
        <w:pStyle w:val="27"/>
        <w:numPr>
          <w:ilvl w:val="0"/>
          <w:numId w:val="1"/>
        </w:numPr>
        <w:spacing w:line="600" w:lineRule="exact"/>
        <w:ind w:firstLineChars="0"/>
        <w:outlineLvl w:val="1"/>
        <w:rPr>
          <w:rStyle w:val="1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26"/>
      <w:bookmarkEnd w:id="27"/>
    </w:p>
    <w:p w14:paraId="2BD15543">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2018年本年收入合计876.57万元，其中：一般公共预算财政拨款收入876.57万元，占100%；无政府性基金预算财政拨款收入；无国有资本经营预算财政拨款收入；无事业收入；无经营收入；无附属单位上缴收入；无其他收入。</w:t>
      </w:r>
    </w:p>
    <w:p w14:paraId="44CAFB60">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（图2：收入决算结构图）（饼状图）</w:t>
      </w:r>
    </w:p>
    <w:p w14:paraId="33F05DA6">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pict>
          <v:shape id="_x0000_s2054" o:spid="_x0000_s2054" o:spt="75" type="#_x0000_t75" style="position:absolute;left:0pt;margin-left:32.05pt;margin-top:0.65pt;height:186pt;width:353.8pt;z-index:-251656192;mso-width-relative:page;mso-height-relative:page;" o:ole="t" filled="f" o:preferrelative="t" stroked="f" coordsize="21600,21600">
            <v:path/>
            <v:fill on="f" focussize="0,0"/>
            <v:stroke on="f" joinstyle="miter"/>
            <v:imagedata r:id="rId9" o:title=""/>
            <o:lock v:ext="edit" aspectratio="t"/>
          </v:shape>
          <o:OLEObject Type="Embed" ProgID="MSGraph.Chart.8" ShapeID="_x0000_s2054" DrawAspect="Content" ObjectID="_1468075726" r:id="rId8">
            <o:LockedField>false</o:LockedField>
          </o:OLEObject>
        </w:pict>
      </w:r>
    </w:p>
    <w:p w14:paraId="468534D1">
      <w:pPr>
        <w:spacing w:line="600" w:lineRule="exact"/>
        <w:ind w:firstLine="640" w:firstLineChars="200"/>
        <w:rPr>
          <w:rFonts w:ascii="仿宋_GB2312" w:eastAsia="仿宋_GB2312"/>
          <w:color w:val="FF0000"/>
          <w:sz w:val="32"/>
          <w:szCs w:val="32"/>
        </w:rPr>
      </w:pPr>
    </w:p>
    <w:p w14:paraId="0CA5A083">
      <w:pPr>
        <w:spacing w:line="600" w:lineRule="exact"/>
        <w:ind w:firstLine="640" w:firstLineChars="200"/>
        <w:rPr>
          <w:rFonts w:ascii="仿宋_GB2312" w:eastAsia="仿宋_GB2312"/>
          <w:color w:val="FF0000"/>
          <w:sz w:val="32"/>
          <w:szCs w:val="32"/>
        </w:rPr>
      </w:pPr>
    </w:p>
    <w:p w14:paraId="064F8761">
      <w:pPr>
        <w:spacing w:line="600" w:lineRule="exact"/>
        <w:ind w:firstLine="640" w:firstLineChars="200"/>
        <w:rPr>
          <w:rFonts w:ascii="仿宋_GB2312" w:eastAsia="仿宋_GB2312"/>
          <w:color w:val="FF0000"/>
          <w:sz w:val="32"/>
          <w:szCs w:val="32"/>
        </w:rPr>
      </w:pPr>
    </w:p>
    <w:p w14:paraId="2764FF31">
      <w:pPr>
        <w:spacing w:line="600" w:lineRule="exact"/>
        <w:ind w:firstLine="640" w:firstLineChars="200"/>
        <w:rPr>
          <w:rFonts w:ascii="仿宋_GB2312" w:eastAsia="仿宋_GB2312"/>
          <w:color w:val="FF0000"/>
          <w:sz w:val="32"/>
          <w:szCs w:val="32"/>
        </w:rPr>
      </w:pPr>
    </w:p>
    <w:p w14:paraId="402991D9">
      <w:pPr>
        <w:spacing w:line="600" w:lineRule="exact"/>
        <w:ind w:firstLine="640" w:firstLineChars="200"/>
        <w:rPr>
          <w:rFonts w:ascii="仿宋_GB2312" w:eastAsia="仿宋_GB2312"/>
          <w:color w:val="FF0000"/>
          <w:sz w:val="32"/>
          <w:szCs w:val="32"/>
        </w:rPr>
      </w:pPr>
    </w:p>
    <w:p w14:paraId="73FE4CE2">
      <w:pPr>
        <w:pStyle w:val="27"/>
        <w:numPr>
          <w:ilvl w:val="0"/>
          <w:numId w:val="1"/>
        </w:numPr>
        <w:spacing w:line="600" w:lineRule="exact"/>
        <w:ind w:firstLineChars="0"/>
        <w:outlineLvl w:val="1"/>
        <w:rPr>
          <w:rStyle w:val="1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28"/>
      <w:bookmarkEnd w:id="29"/>
    </w:p>
    <w:p w14:paraId="412AD23F">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2018年本年支出合计876.57万元，其中：基本支出661.45万元，占75%；项目支出215.12万元，占25%；无上缴上级支出；无经营支出；无对附属单位补助支出。</w:t>
      </w:r>
    </w:p>
    <w:p w14:paraId="7424A3EB">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（图3：支出决算结构图）（饼状图）</w:t>
      </w:r>
    </w:p>
    <w:p w14:paraId="1EDE23CD">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s2058" o:spid="_x0000_s2058" o:spt="75" type="#_x0000_t75" style="position:absolute;left:0pt;margin-top:9.4pt;height:165.35pt;width:299.65pt;mso-position-horizontal:center;z-index:-251655168;mso-width-relative:page;mso-height-relative:page;" o:ole="t" filled="f" o:preferrelative="t" stroked="t" coordsize="21600,21600">
            <v:path/>
            <v:fill on="f" focussize="0,0"/>
            <v:stroke weight="0.5pt" joinstyle="miter"/>
            <v:imagedata r:id="rId11" o:title=""/>
            <o:lock v:ext="edit" aspectratio="t"/>
          </v:shape>
          <o:OLEObject Type="Embed" ProgID="MSGraph.Chart.8" ShapeID="_x0000_s2058" DrawAspect="Content" ObjectID="_1468075727" r:id="rId10">
            <o:LockedField>false</o:LockedField>
          </o:OLEObject>
        </w:pict>
      </w:r>
    </w:p>
    <w:p w14:paraId="4710C076">
      <w:pPr>
        <w:spacing w:line="600" w:lineRule="exact"/>
        <w:ind w:firstLine="640" w:firstLineChars="200"/>
        <w:rPr>
          <w:rFonts w:ascii="仿宋" w:hAnsi="仿宋" w:eastAsia="仿宋"/>
          <w:color w:val="000000"/>
          <w:sz w:val="32"/>
          <w:szCs w:val="32"/>
        </w:rPr>
      </w:pPr>
    </w:p>
    <w:p w14:paraId="5C776E17">
      <w:pPr>
        <w:spacing w:line="600" w:lineRule="exact"/>
        <w:ind w:firstLine="640" w:firstLineChars="200"/>
        <w:rPr>
          <w:rFonts w:ascii="仿宋" w:hAnsi="仿宋" w:eastAsia="仿宋"/>
          <w:color w:val="000000"/>
          <w:sz w:val="32"/>
          <w:szCs w:val="32"/>
        </w:rPr>
      </w:pPr>
    </w:p>
    <w:p w14:paraId="632F437D">
      <w:pPr>
        <w:spacing w:line="600" w:lineRule="exact"/>
        <w:ind w:firstLine="640" w:firstLineChars="200"/>
        <w:rPr>
          <w:rFonts w:ascii="仿宋" w:hAnsi="仿宋" w:eastAsia="仿宋"/>
          <w:color w:val="000000"/>
          <w:sz w:val="32"/>
          <w:szCs w:val="32"/>
        </w:rPr>
      </w:pPr>
    </w:p>
    <w:p w14:paraId="65771532">
      <w:pPr>
        <w:spacing w:line="600" w:lineRule="exact"/>
        <w:ind w:firstLine="640" w:firstLineChars="200"/>
        <w:rPr>
          <w:rFonts w:ascii="仿宋" w:hAnsi="仿宋" w:eastAsia="仿宋"/>
          <w:color w:val="000000"/>
          <w:sz w:val="32"/>
          <w:szCs w:val="32"/>
        </w:rPr>
      </w:pPr>
    </w:p>
    <w:p w14:paraId="4A5FCCF6">
      <w:pPr>
        <w:spacing w:line="600" w:lineRule="exact"/>
        <w:ind w:firstLine="640" w:firstLineChars="200"/>
        <w:rPr>
          <w:rFonts w:ascii="仿宋" w:hAnsi="仿宋" w:eastAsia="仿宋"/>
          <w:color w:val="000000"/>
          <w:sz w:val="32"/>
          <w:szCs w:val="32"/>
        </w:rPr>
      </w:pPr>
    </w:p>
    <w:p w14:paraId="5AF4236C">
      <w:pPr>
        <w:spacing w:line="600" w:lineRule="exact"/>
        <w:ind w:firstLine="640" w:firstLineChars="200"/>
        <w:outlineLvl w:val="1"/>
        <w:rPr>
          <w:rStyle w:val="18"/>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0"/>
      <w:bookmarkEnd w:id="31"/>
    </w:p>
    <w:p w14:paraId="7F02DE38">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2018年财政拨款收入总计876.57万元。与2017年781.05万元相比，财政拨款收入总计增加95.52万元，增加12.23%。主要变动原因是2018年人员经费支出增加。</w:t>
      </w:r>
    </w:p>
    <w:p w14:paraId="14F4D8D6">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2018年财政拨款支出总计876.57万元。与2017年781.05万元相比，财政拨款支出总计增加95.52万元，增加12.23%。主要变动原因是2018年人员经费支出增加。</w:t>
      </w:r>
    </w:p>
    <w:p w14:paraId="4A354373">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（图4：财政拨款收、支决算总计变动情况）（柱状图）</w:t>
      </w:r>
    </w:p>
    <w:p w14:paraId="7CE37EC8">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s2060" o:spid="_x0000_s2060" o:spt="75" type="#_x0000_t75" style="position:absolute;left:0pt;margin-left:91.95pt;margin-top:10.15pt;height:169.7pt;width:247.55pt;z-index:-251654144;mso-width-relative:page;mso-height-relative:page;" o:ole="t" filled="f" o:preferrelative="t" stroked="t" coordsize="21600,21600">
            <v:path/>
            <v:fill on="f" focussize="0,0"/>
            <v:stroke weight="0.5pt" joinstyle="miter"/>
            <v:imagedata r:id="rId13" o:title=""/>
            <o:lock v:ext="edit" aspectratio="t"/>
          </v:shape>
          <o:OLEObject Type="Embed" ProgID="MSGraph.Chart.8" ShapeID="_x0000_s2060" DrawAspect="Content" ObjectID="_1468075728" r:id="rId12">
            <o:LockedField>false</o:LockedField>
          </o:OLEObject>
        </w:pict>
      </w:r>
    </w:p>
    <w:p w14:paraId="4DEF7FE4">
      <w:pPr>
        <w:spacing w:line="600" w:lineRule="exact"/>
        <w:ind w:firstLine="640" w:firstLineChars="200"/>
        <w:rPr>
          <w:rFonts w:ascii="仿宋" w:hAnsi="仿宋" w:eastAsia="仿宋"/>
          <w:color w:val="000000"/>
          <w:sz w:val="32"/>
          <w:szCs w:val="32"/>
        </w:rPr>
      </w:pPr>
    </w:p>
    <w:p w14:paraId="1E2DF898">
      <w:pPr>
        <w:spacing w:line="600" w:lineRule="exact"/>
        <w:ind w:firstLine="640" w:firstLineChars="200"/>
        <w:rPr>
          <w:rFonts w:ascii="仿宋" w:hAnsi="仿宋" w:eastAsia="仿宋"/>
          <w:color w:val="000000"/>
          <w:sz w:val="32"/>
          <w:szCs w:val="32"/>
        </w:rPr>
      </w:pPr>
    </w:p>
    <w:p w14:paraId="40F26056">
      <w:pPr>
        <w:spacing w:line="600" w:lineRule="exact"/>
        <w:ind w:firstLine="640" w:firstLineChars="200"/>
        <w:rPr>
          <w:rFonts w:ascii="仿宋" w:hAnsi="仿宋" w:eastAsia="仿宋"/>
          <w:color w:val="000000"/>
          <w:sz w:val="32"/>
          <w:szCs w:val="32"/>
        </w:rPr>
      </w:pPr>
    </w:p>
    <w:p w14:paraId="65638DD4">
      <w:pPr>
        <w:spacing w:line="600" w:lineRule="exact"/>
        <w:ind w:firstLine="640" w:firstLineChars="200"/>
        <w:rPr>
          <w:rFonts w:ascii="仿宋" w:hAnsi="仿宋" w:eastAsia="仿宋"/>
          <w:color w:val="000000"/>
          <w:sz w:val="32"/>
          <w:szCs w:val="32"/>
        </w:rPr>
      </w:pPr>
    </w:p>
    <w:p w14:paraId="3390B8C8">
      <w:pPr>
        <w:spacing w:line="600" w:lineRule="exact"/>
        <w:rPr>
          <w:rFonts w:ascii="仿宋" w:hAnsi="仿宋" w:eastAsia="仿宋"/>
          <w:b/>
          <w:color w:val="00B050"/>
          <w:sz w:val="32"/>
          <w:szCs w:val="32"/>
        </w:rPr>
      </w:pPr>
    </w:p>
    <w:p w14:paraId="693D61E1">
      <w:pPr>
        <w:spacing w:line="600" w:lineRule="exact"/>
        <w:ind w:firstLine="640" w:firstLineChars="200"/>
        <w:outlineLvl w:val="1"/>
        <w:rPr>
          <w:rStyle w:val="1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2"/>
      <w:bookmarkEnd w:id="33"/>
    </w:p>
    <w:p w14:paraId="62CDDCA3">
      <w:pPr>
        <w:spacing w:line="600" w:lineRule="exact"/>
        <w:ind w:firstLine="643" w:firstLineChars="200"/>
        <w:outlineLvl w:val="2"/>
        <w:rPr>
          <w:rFonts w:ascii="楷体" w:hAnsi="楷体" w:eastAsia="楷体"/>
          <w:b/>
          <w:color w:val="000000"/>
          <w:sz w:val="32"/>
          <w:szCs w:val="32"/>
        </w:rPr>
      </w:pPr>
      <w:bookmarkStart w:id="34" w:name="_Toc15377210"/>
      <w:r>
        <w:rPr>
          <w:rFonts w:hint="eastAsia" w:ascii="楷体" w:hAnsi="楷体" w:eastAsia="楷体"/>
          <w:b/>
          <w:color w:val="000000"/>
          <w:sz w:val="32"/>
          <w:szCs w:val="32"/>
        </w:rPr>
        <w:t>（一）一般公共预算财政拨款支出决算总体情况</w:t>
      </w:r>
      <w:bookmarkEnd w:id="34"/>
    </w:p>
    <w:p w14:paraId="0B30AFFB">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2018年一般公共预算财政拨款支出876.57万元，占本年支出合计的100%。与2017年781.05万元相比，一般公共预算财政拨款增加95.52万元，增长</w:t>
      </w:r>
      <w:r>
        <w:rPr>
          <w:rFonts w:hint="eastAsia" w:ascii="仿宋_GB2312" w:hAnsi="仿宋" w:eastAsia="仿宋_GB2312" w:cs="仿宋"/>
          <w:color w:val="000000"/>
          <w:sz w:val="32"/>
          <w:szCs w:val="32"/>
        </w:rPr>
        <w:t>12.23</w:t>
      </w:r>
      <w:r>
        <w:rPr>
          <w:rFonts w:hint="eastAsia" w:ascii="仿宋_GB2312" w:hAnsi="仿宋" w:eastAsia="仿宋_GB2312"/>
          <w:color w:val="000000"/>
          <w:sz w:val="32"/>
          <w:szCs w:val="32"/>
        </w:rPr>
        <w:t>%。主要变动原因是</w:t>
      </w:r>
      <w:r>
        <w:rPr>
          <w:rFonts w:hint="eastAsia" w:ascii="仿宋_GB2312" w:hAnsi="仿宋" w:eastAsia="仿宋_GB2312" w:cs="仿宋"/>
          <w:color w:val="000000"/>
          <w:sz w:val="32"/>
          <w:szCs w:val="32"/>
        </w:rPr>
        <w:t>2018年人员经费支出增加。</w:t>
      </w:r>
    </w:p>
    <w:p w14:paraId="2DCE8896">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（图5：一般公共预算财政拨款支出决算变动情况）（柱状图）</w:t>
      </w:r>
    </w:p>
    <w:p w14:paraId="728029CB">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pict>
          <v:shape id="_x0000_s2063" o:spid="_x0000_s2063" o:spt="75" type="#_x0000_t75" style="position:absolute;left:0pt;margin-left:85.2pt;margin-top:4.65pt;height:173.4pt;width:289.35pt;z-index:-251653120;mso-width-relative:page;mso-height-relative:page;" o:ole="t" filled="f" o:preferrelative="t" stroked="t" coordsize="21600,21600">
            <v:path/>
            <v:fill on="f" focussize="0,0"/>
            <v:stroke weight="0.5pt" joinstyle="miter"/>
            <v:imagedata r:id="rId15" o:title=""/>
            <o:lock v:ext="edit" aspectratio="t"/>
          </v:shape>
          <o:OLEObject Type="Embed" ProgID="MSGraph.Chart.8" ShapeID="_x0000_s2063" DrawAspect="Content" ObjectID="_1468075729" r:id="rId14">
            <o:LockedField>false</o:LockedField>
          </o:OLEObject>
        </w:pict>
      </w:r>
    </w:p>
    <w:p w14:paraId="7B44B147">
      <w:pPr>
        <w:spacing w:line="600" w:lineRule="exact"/>
        <w:ind w:firstLine="640" w:firstLineChars="200"/>
        <w:rPr>
          <w:rFonts w:ascii="仿宋" w:hAnsi="仿宋" w:eastAsia="仿宋"/>
          <w:color w:val="000000"/>
          <w:sz w:val="32"/>
          <w:szCs w:val="32"/>
        </w:rPr>
      </w:pPr>
    </w:p>
    <w:p w14:paraId="675F9C7B">
      <w:pPr>
        <w:spacing w:line="600" w:lineRule="exact"/>
        <w:ind w:firstLine="640" w:firstLineChars="200"/>
        <w:rPr>
          <w:rFonts w:ascii="仿宋" w:hAnsi="仿宋" w:eastAsia="仿宋"/>
          <w:color w:val="000000"/>
          <w:sz w:val="32"/>
          <w:szCs w:val="32"/>
        </w:rPr>
      </w:pPr>
    </w:p>
    <w:p w14:paraId="215F3AA3">
      <w:pPr>
        <w:spacing w:line="600" w:lineRule="exact"/>
        <w:ind w:firstLine="640" w:firstLineChars="200"/>
        <w:rPr>
          <w:rFonts w:ascii="仿宋" w:hAnsi="仿宋" w:eastAsia="仿宋"/>
          <w:color w:val="000000"/>
          <w:sz w:val="32"/>
          <w:szCs w:val="32"/>
        </w:rPr>
      </w:pPr>
    </w:p>
    <w:p w14:paraId="752E71DD">
      <w:pPr>
        <w:spacing w:line="600" w:lineRule="exact"/>
        <w:ind w:firstLine="640" w:firstLineChars="200"/>
        <w:rPr>
          <w:rFonts w:ascii="仿宋" w:hAnsi="仿宋" w:eastAsia="仿宋"/>
          <w:color w:val="000000"/>
          <w:sz w:val="32"/>
          <w:szCs w:val="32"/>
        </w:rPr>
      </w:pPr>
    </w:p>
    <w:p w14:paraId="519567CA">
      <w:pPr>
        <w:spacing w:line="600" w:lineRule="exact"/>
        <w:ind w:firstLine="643" w:firstLineChars="200"/>
        <w:outlineLvl w:val="2"/>
        <w:rPr>
          <w:rFonts w:ascii="仿宋" w:hAnsi="仿宋" w:eastAsia="仿宋"/>
          <w:b/>
          <w:color w:val="000000"/>
          <w:sz w:val="32"/>
          <w:szCs w:val="32"/>
        </w:rPr>
      </w:pPr>
      <w:bookmarkStart w:id="35" w:name="_Toc15377211"/>
    </w:p>
    <w:p w14:paraId="132C3A0D">
      <w:pPr>
        <w:spacing w:line="600" w:lineRule="exact"/>
        <w:ind w:firstLine="643" w:firstLineChars="200"/>
        <w:outlineLvl w:val="2"/>
        <w:rPr>
          <w:rFonts w:ascii="楷体" w:hAnsi="楷体" w:eastAsia="楷体"/>
          <w:b/>
          <w:color w:val="000000"/>
          <w:sz w:val="32"/>
          <w:szCs w:val="32"/>
        </w:rPr>
      </w:pPr>
      <w:r>
        <w:rPr>
          <w:rFonts w:hint="eastAsia" w:ascii="楷体" w:hAnsi="楷体" w:eastAsia="楷体"/>
          <w:b/>
          <w:color w:val="000000"/>
          <w:sz w:val="32"/>
          <w:szCs w:val="32"/>
        </w:rPr>
        <w:t>（二）一般公共预算财政拨款支出决算结构情况</w:t>
      </w:r>
      <w:bookmarkEnd w:id="35"/>
    </w:p>
    <w:p w14:paraId="4C0DC71F">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2018年一般公共预算财政拨款支出876.57万元，主要用于以下方面:</w:t>
      </w:r>
      <w:r>
        <w:rPr>
          <w:rFonts w:hint="eastAsia" w:ascii="仿宋_GB2312" w:hAnsi="仿宋" w:eastAsia="仿宋_GB2312"/>
          <w:b/>
          <w:color w:val="000000"/>
          <w:sz w:val="32"/>
          <w:szCs w:val="32"/>
        </w:rPr>
        <w:t>一般公共服务（类）</w:t>
      </w:r>
      <w:r>
        <w:rPr>
          <w:rFonts w:hint="eastAsia" w:ascii="仿宋_GB2312" w:hAnsi="仿宋" w:eastAsia="仿宋_GB2312"/>
          <w:color w:val="000000"/>
          <w:sz w:val="32"/>
          <w:szCs w:val="32"/>
        </w:rPr>
        <w:t>支出671.34万元，占76%；</w:t>
      </w:r>
      <w:r>
        <w:rPr>
          <w:rFonts w:hint="eastAsia" w:ascii="仿宋_GB2312" w:hAnsi="仿宋" w:eastAsia="仿宋_GB2312"/>
          <w:b/>
          <w:color w:val="000000"/>
          <w:sz w:val="32"/>
          <w:szCs w:val="32"/>
        </w:rPr>
        <w:t>社会保障和就业（类）</w:t>
      </w:r>
      <w:r>
        <w:rPr>
          <w:rFonts w:hint="eastAsia" w:ascii="仿宋_GB2312" w:hAnsi="仿宋" w:eastAsia="仿宋_GB2312"/>
          <w:color w:val="000000"/>
          <w:sz w:val="32"/>
          <w:szCs w:val="32"/>
        </w:rPr>
        <w:t>支出147.73万元，占17%；</w:t>
      </w:r>
      <w:r>
        <w:rPr>
          <w:rFonts w:hint="eastAsia" w:ascii="仿宋_GB2312" w:hAnsi="仿宋" w:eastAsia="仿宋_GB2312"/>
          <w:b/>
          <w:color w:val="000000"/>
          <w:sz w:val="32"/>
          <w:szCs w:val="32"/>
        </w:rPr>
        <w:t>住房保障（类）</w:t>
      </w:r>
      <w:r>
        <w:rPr>
          <w:rFonts w:hint="eastAsia" w:ascii="仿宋_GB2312" w:hAnsi="仿宋" w:eastAsia="仿宋_GB2312"/>
          <w:color w:val="000000"/>
          <w:sz w:val="32"/>
          <w:szCs w:val="32"/>
        </w:rPr>
        <w:t>支出57.17万元，占7%。</w:t>
      </w:r>
    </w:p>
    <w:p w14:paraId="746A8257">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（图6：一般公共预算财政拨款支出决算结构）（饼状图）</w:t>
      </w:r>
    </w:p>
    <w:p w14:paraId="7BEB6C4E">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s2064" o:spid="_x0000_s2064" o:spt="75" type="#_x0000_t75" style="position:absolute;left:0pt;margin-left:78.95pt;margin-top:5pt;height:172.55pt;width:278.05pt;z-index:-251652096;mso-width-relative:page;mso-height-relative:page;" o:ole="t" filled="f" o:preferrelative="t" stroked="t" coordsize="21600,21600">
            <v:path/>
            <v:fill on="f" focussize="0,0"/>
            <v:stroke weight="0.5pt" joinstyle="miter"/>
            <v:imagedata r:id="rId17" o:title=""/>
            <o:lock v:ext="edit" aspectratio="t"/>
          </v:shape>
          <o:OLEObject Type="Embed" ProgID="MSGraph.Chart.8" ShapeID="_x0000_s2064" DrawAspect="Content" ObjectID="_1468075730" r:id="rId16">
            <o:LockedField>false</o:LockedField>
          </o:OLEObject>
        </w:pict>
      </w:r>
    </w:p>
    <w:p w14:paraId="3375864B">
      <w:pPr>
        <w:spacing w:line="600" w:lineRule="exact"/>
        <w:ind w:firstLine="640" w:firstLineChars="200"/>
        <w:rPr>
          <w:rFonts w:ascii="仿宋" w:hAnsi="仿宋" w:eastAsia="仿宋"/>
          <w:color w:val="000000"/>
          <w:sz w:val="32"/>
          <w:szCs w:val="32"/>
        </w:rPr>
      </w:pPr>
    </w:p>
    <w:p w14:paraId="73DFC944">
      <w:pPr>
        <w:spacing w:line="600" w:lineRule="exact"/>
        <w:ind w:firstLine="640" w:firstLineChars="200"/>
        <w:rPr>
          <w:rFonts w:ascii="仿宋" w:hAnsi="仿宋" w:eastAsia="仿宋"/>
          <w:color w:val="000000"/>
          <w:sz w:val="32"/>
          <w:szCs w:val="32"/>
        </w:rPr>
      </w:pPr>
    </w:p>
    <w:p w14:paraId="3AC45B2C">
      <w:pPr>
        <w:spacing w:line="600" w:lineRule="exact"/>
        <w:ind w:firstLine="640" w:firstLineChars="200"/>
        <w:rPr>
          <w:rFonts w:ascii="仿宋" w:hAnsi="仿宋" w:eastAsia="仿宋"/>
          <w:color w:val="000000"/>
          <w:sz w:val="32"/>
          <w:szCs w:val="32"/>
        </w:rPr>
      </w:pPr>
    </w:p>
    <w:p w14:paraId="049F2830">
      <w:pPr>
        <w:spacing w:line="600" w:lineRule="exact"/>
        <w:ind w:firstLine="640" w:firstLineChars="200"/>
        <w:rPr>
          <w:rFonts w:ascii="仿宋" w:hAnsi="仿宋" w:eastAsia="仿宋"/>
          <w:color w:val="000000"/>
          <w:sz w:val="32"/>
          <w:szCs w:val="32"/>
        </w:rPr>
      </w:pPr>
    </w:p>
    <w:p w14:paraId="0808E0BA">
      <w:pPr>
        <w:spacing w:line="600" w:lineRule="exact"/>
        <w:ind w:firstLine="643" w:firstLineChars="200"/>
        <w:outlineLvl w:val="2"/>
        <w:rPr>
          <w:rFonts w:ascii="仿宋" w:hAnsi="仿宋" w:eastAsia="仿宋"/>
          <w:b/>
          <w:color w:val="000000"/>
          <w:sz w:val="32"/>
          <w:szCs w:val="32"/>
        </w:rPr>
      </w:pPr>
      <w:bookmarkStart w:id="36" w:name="_Toc15377212"/>
    </w:p>
    <w:p w14:paraId="2DDA844D">
      <w:pPr>
        <w:spacing w:line="600" w:lineRule="exact"/>
        <w:ind w:firstLine="643" w:firstLineChars="200"/>
        <w:outlineLvl w:val="2"/>
        <w:rPr>
          <w:rFonts w:ascii="楷体" w:hAnsi="楷体" w:eastAsia="楷体"/>
          <w:b/>
          <w:color w:val="000000"/>
          <w:sz w:val="32"/>
          <w:szCs w:val="32"/>
        </w:rPr>
      </w:pPr>
      <w:r>
        <w:rPr>
          <w:rFonts w:hint="eastAsia" w:ascii="楷体" w:hAnsi="楷体" w:eastAsia="楷体"/>
          <w:b/>
          <w:color w:val="000000"/>
          <w:sz w:val="32"/>
          <w:szCs w:val="32"/>
        </w:rPr>
        <w:t>（三）一般公共预算财政拨款支出决算具体情况</w:t>
      </w:r>
      <w:bookmarkEnd w:id="36"/>
    </w:p>
    <w:p w14:paraId="04112840">
      <w:pPr>
        <w:spacing w:line="600" w:lineRule="exact"/>
        <w:ind w:firstLine="643" w:firstLineChars="200"/>
        <w:outlineLvl w:val="2"/>
        <w:rPr>
          <w:rFonts w:ascii="仿宋_GB2312" w:hAnsi="仿宋" w:eastAsia="仿宋_GB2312"/>
          <w:color w:val="FF0000"/>
          <w:sz w:val="32"/>
          <w:szCs w:val="32"/>
        </w:rPr>
      </w:pPr>
      <w:bookmarkStart w:id="37" w:name="_Toc15377213"/>
      <w:bookmarkStart w:id="38" w:name="_Toc15378460"/>
      <w:bookmarkStart w:id="39" w:name="_Toc15377444"/>
      <w:r>
        <w:rPr>
          <w:rFonts w:hint="eastAsia" w:ascii="仿宋_GB2312" w:hAnsi="仿宋" w:eastAsia="仿宋_GB2312"/>
          <w:b/>
          <w:color w:val="000000"/>
          <w:sz w:val="32"/>
          <w:szCs w:val="32"/>
        </w:rPr>
        <w:t>2018年般公共预算支出决算数为876.57万元</w:t>
      </w:r>
      <w:r>
        <w:rPr>
          <w:rFonts w:hint="eastAsia" w:ascii="仿宋_GB2312" w:hAnsi="仿宋" w:eastAsia="仿宋_GB2312"/>
          <w:color w:val="000000"/>
          <w:sz w:val="32"/>
          <w:szCs w:val="32"/>
        </w:rPr>
        <w:t>，</w:t>
      </w:r>
      <w:r>
        <w:rPr>
          <w:rStyle w:val="15"/>
          <w:rFonts w:hint="eastAsia" w:ascii="仿宋_GB2312" w:hAnsi="仿宋" w:eastAsia="仿宋_GB2312"/>
          <w:bCs/>
          <w:color w:val="000000"/>
          <w:sz w:val="32"/>
          <w:szCs w:val="32"/>
        </w:rPr>
        <w:t>完成预算100%。其中：</w:t>
      </w:r>
      <w:bookmarkEnd w:id="37"/>
      <w:bookmarkEnd w:id="38"/>
      <w:bookmarkEnd w:id="39"/>
    </w:p>
    <w:p w14:paraId="24F394C5">
      <w:pPr>
        <w:spacing w:line="600" w:lineRule="exact"/>
        <w:ind w:firstLine="643" w:firstLineChars="200"/>
        <w:rPr>
          <w:rStyle w:val="15"/>
          <w:rFonts w:ascii="仿宋_GB2312" w:hAnsi="仿宋" w:eastAsia="仿宋_GB2312"/>
          <w:b w:val="0"/>
          <w:bCs/>
          <w:color w:val="000000"/>
          <w:sz w:val="32"/>
          <w:szCs w:val="32"/>
        </w:rPr>
      </w:pPr>
      <w:r>
        <w:rPr>
          <w:rStyle w:val="15"/>
          <w:rFonts w:hint="eastAsia" w:ascii="仿宋_GB2312" w:hAnsi="仿宋" w:eastAsia="仿宋_GB2312"/>
          <w:bCs/>
          <w:color w:val="000000"/>
          <w:sz w:val="32"/>
          <w:szCs w:val="32"/>
        </w:rPr>
        <w:t>1.一般公共服务（类）人大事务（款）行政运行（项）:</w:t>
      </w:r>
      <w:r>
        <w:rPr>
          <w:rStyle w:val="15"/>
          <w:rFonts w:hint="eastAsia" w:ascii="仿宋_GB2312" w:hAnsi="仿宋" w:eastAsia="仿宋_GB2312"/>
          <w:b w:val="0"/>
          <w:bCs/>
          <w:color w:val="000000"/>
          <w:sz w:val="32"/>
          <w:szCs w:val="32"/>
        </w:rPr>
        <w:t xml:space="preserve"> 支出决算为456.22万元，完成预算100%。</w:t>
      </w:r>
    </w:p>
    <w:p w14:paraId="721B3EB1">
      <w:pPr>
        <w:spacing w:line="600" w:lineRule="exact"/>
        <w:ind w:firstLine="643" w:firstLineChars="200"/>
        <w:rPr>
          <w:rStyle w:val="15"/>
          <w:rFonts w:ascii="仿宋_GB2312" w:hAnsi="仿宋" w:eastAsia="仿宋_GB2312"/>
          <w:b w:val="0"/>
          <w:bCs/>
          <w:color w:val="000000"/>
          <w:sz w:val="32"/>
          <w:szCs w:val="32"/>
        </w:rPr>
      </w:pPr>
      <w:r>
        <w:rPr>
          <w:rStyle w:val="15"/>
          <w:rFonts w:hint="eastAsia" w:ascii="仿宋_GB2312" w:hAnsi="仿宋" w:eastAsia="仿宋_GB2312"/>
          <w:bCs/>
          <w:color w:val="000000"/>
          <w:sz w:val="32"/>
          <w:szCs w:val="32"/>
        </w:rPr>
        <w:t>2.一般公共服务（类）人大事务（款）一般行政管理事务（项）:</w:t>
      </w:r>
      <w:r>
        <w:rPr>
          <w:rStyle w:val="15"/>
          <w:rFonts w:hint="eastAsia" w:ascii="仿宋_GB2312" w:hAnsi="仿宋" w:eastAsia="仿宋_GB2312"/>
          <w:b w:val="0"/>
          <w:bCs/>
          <w:color w:val="000000"/>
          <w:sz w:val="32"/>
          <w:szCs w:val="32"/>
        </w:rPr>
        <w:t xml:space="preserve"> 支出决算为183.27万元，完成预算100%。</w:t>
      </w:r>
    </w:p>
    <w:p w14:paraId="6F0B506D">
      <w:pPr>
        <w:spacing w:line="600"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3.</w:t>
      </w:r>
      <w:r>
        <w:rPr>
          <w:rStyle w:val="15"/>
          <w:rFonts w:hint="eastAsia" w:ascii="仿宋_GB2312" w:hAnsi="仿宋" w:eastAsia="仿宋_GB2312"/>
          <w:bCs/>
          <w:color w:val="000000"/>
          <w:sz w:val="32"/>
          <w:szCs w:val="32"/>
        </w:rPr>
        <w:t xml:space="preserve"> 一般公共服务（类）人大事务（款）人大会议（项）:</w:t>
      </w:r>
      <w:r>
        <w:rPr>
          <w:rStyle w:val="15"/>
          <w:rFonts w:hint="eastAsia" w:ascii="仿宋_GB2312" w:hAnsi="仿宋" w:eastAsia="仿宋_GB2312"/>
          <w:b w:val="0"/>
          <w:bCs/>
          <w:color w:val="000000"/>
          <w:sz w:val="32"/>
          <w:szCs w:val="32"/>
        </w:rPr>
        <w:t xml:space="preserve"> 支出决算为31.85万元，完成预算100%。</w:t>
      </w:r>
    </w:p>
    <w:p w14:paraId="51798ACF">
      <w:pPr>
        <w:spacing w:line="600" w:lineRule="exact"/>
        <w:ind w:firstLine="643" w:firstLineChars="200"/>
        <w:rPr>
          <w:rStyle w:val="15"/>
          <w:rFonts w:ascii="仿宋_GB2312" w:hAnsi="仿宋" w:eastAsia="仿宋_GB2312"/>
          <w:b w:val="0"/>
          <w:bCs/>
          <w:color w:val="000000"/>
          <w:sz w:val="32"/>
          <w:szCs w:val="32"/>
        </w:rPr>
      </w:pPr>
      <w:r>
        <w:rPr>
          <w:rStyle w:val="15"/>
          <w:rFonts w:hint="eastAsia" w:ascii="仿宋_GB2312" w:hAnsi="仿宋" w:eastAsia="仿宋_GB2312"/>
          <w:bCs/>
          <w:color w:val="000000"/>
          <w:sz w:val="32"/>
          <w:szCs w:val="32"/>
        </w:rPr>
        <w:t>4.社会保障和就业（类）</w:t>
      </w:r>
      <w:r>
        <w:rPr>
          <w:rStyle w:val="15"/>
          <w:rFonts w:hint="eastAsia" w:ascii="仿宋_GB2312" w:hAnsi="仿宋" w:eastAsia="仿宋_GB2312" w:cs="仿宋"/>
          <w:color w:val="000000"/>
          <w:sz w:val="32"/>
          <w:szCs w:val="32"/>
        </w:rPr>
        <w:t>行政事业单位离退休</w:t>
      </w:r>
      <w:r>
        <w:rPr>
          <w:rStyle w:val="15"/>
          <w:rFonts w:hint="eastAsia" w:ascii="仿宋_GB2312" w:hAnsi="仿宋" w:eastAsia="仿宋_GB2312"/>
          <w:bCs/>
          <w:color w:val="000000"/>
          <w:sz w:val="32"/>
          <w:szCs w:val="32"/>
        </w:rPr>
        <w:t>（款）</w:t>
      </w:r>
      <w:r>
        <w:rPr>
          <w:rStyle w:val="15"/>
          <w:rFonts w:hint="eastAsia" w:ascii="仿宋_GB2312" w:hAnsi="仿宋" w:eastAsia="仿宋_GB2312" w:cs="仿宋"/>
          <w:color w:val="000000"/>
          <w:sz w:val="32"/>
          <w:szCs w:val="32"/>
        </w:rPr>
        <w:t>未归口管理的行政单位离退休</w:t>
      </w:r>
      <w:r>
        <w:rPr>
          <w:rStyle w:val="15"/>
          <w:rFonts w:hint="eastAsia" w:ascii="仿宋_GB2312" w:hAnsi="仿宋" w:eastAsia="仿宋_GB2312"/>
          <w:bCs/>
          <w:color w:val="000000"/>
          <w:sz w:val="32"/>
          <w:szCs w:val="32"/>
        </w:rPr>
        <w:t>（项）:</w:t>
      </w:r>
      <w:r>
        <w:rPr>
          <w:rStyle w:val="15"/>
          <w:rFonts w:hint="eastAsia" w:ascii="仿宋_GB2312" w:hAnsi="仿宋" w:eastAsia="仿宋_GB2312"/>
          <w:b w:val="0"/>
          <w:bCs/>
          <w:color w:val="000000"/>
          <w:sz w:val="32"/>
          <w:szCs w:val="32"/>
        </w:rPr>
        <w:t xml:space="preserve"> 支出决算为60.67万元，完成预算100%。</w:t>
      </w:r>
    </w:p>
    <w:p w14:paraId="00AFCC04">
      <w:pPr>
        <w:spacing w:line="600" w:lineRule="exact"/>
        <w:ind w:firstLine="640" w:firstLineChars="200"/>
        <w:rPr>
          <w:rStyle w:val="15"/>
          <w:rFonts w:ascii="仿宋_GB2312" w:hAnsi="仿宋" w:eastAsia="仿宋_GB2312"/>
          <w:b w:val="0"/>
          <w:bCs/>
          <w:color w:val="000000"/>
          <w:sz w:val="32"/>
          <w:szCs w:val="32"/>
        </w:rPr>
      </w:pPr>
      <w:r>
        <w:rPr>
          <w:rStyle w:val="15"/>
          <w:rFonts w:hint="eastAsia" w:ascii="仿宋_GB2312" w:hAnsi="仿宋" w:eastAsia="仿宋_GB2312"/>
          <w:b w:val="0"/>
          <w:bCs/>
          <w:color w:val="000000"/>
          <w:sz w:val="32"/>
          <w:szCs w:val="32"/>
        </w:rPr>
        <w:t>5.</w:t>
      </w:r>
      <w:r>
        <w:rPr>
          <w:rStyle w:val="15"/>
          <w:rFonts w:hint="eastAsia" w:ascii="仿宋_GB2312" w:hAnsi="仿宋" w:eastAsia="仿宋_GB2312"/>
          <w:bCs/>
          <w:color w:val="000000"/>
          <w:sz w:val="32"/>
          <w:szCs w:val="32"/>
        </w:rPr>
        <w:t xml:space="preserve"> 社会保障和就业（类）</w:t>
      </w:r>
      <w:r>
        <w:rPr>
          <w:rStyle w:val="15"/>
          <w:rFonts w:hint="eastAsia" w:ascii="仿宋_GB2312" w:hAnsi="仿宋" w:eastAsia="仿宋_GB2312" w:cs="仿宋"/>
          <w:color w:val="000000"/>
          <w:sz w:val="32"/>
          <w:szCs w:val="32"/>
        </w:rPr>
        <w:t>行政事业单位离退休</w:t>
      </w:r>
      <w:r>
        <w:rPr>
          <w:rStyle w:val="15"/>
          <w:rFonts w:hint="eastAsia" w:ascii="仿宋_GB2312" w:hAnsi="仿宋" w:eastAsia="仿宋_GB2312"/>
          <w:bCs/>
          <w:color w:val="000000"/>
          <w:sz w:val="32"/>
          <w:szCs w:val="32"/>
        </w:rPr>
        <w:t>（款）</w:t>
      </w:r>
      <w:r>
        <w:rPr>
          <w:rStyle w:val="15"/>
          <w:rFonts w:hint="eastAsia" w:ascii="仿宋_GB2312" w:hAnsi="仿宋" w:eastAsia="仿宋_GB2312" w:cs="仿宋"/>
          <w:color w:val="000000"/>
          <w:sz w:val="32"/>
          <w:szCs w:val="32"/>
        </w:rPr>
        <w:t>机关事业单位基本养老保险缴费支出</w:t>
      </w:r>
      <w:r>
        <w:rPr>
          <w:rStyle w:val="15"/>
          <w:rFonts w:hint="eastAsia" w:ascii="仿宋_GB2312" w:hAnsi="仿宋" w:eastAsia="仿宋_GB2312"/>
          <w:bCs/>
          <w:color w:val="000000"/>
          <w:sz w:val="32"/>
          <w:szCs w:val="32"/>
        </w:rPr>
        <w:t>（项）:</w:t>
      </w:r>
      <w:r>
        <w:rPr>
          <w:rStyle w:val="15"/>
          <w:rFonts w:hint="eastAsia" w:ascii="仿宋_GB2312" w:hAnsi="仿宋" w:eastAsia="仿宋_GB2312"/>
          <w:b w:val="0"/>
          <w:bCs/>
          <w:color w:val="000000"/>
          <w:sz w:val="32"/>
          <w:szCs w:val="32"/>
        </w:rPr>
        <w:t xml:space="preserve"> 支出决算为47.25万元，完成预算100%。</w:t>
      </w:r>
    </w:p>
    <w:p w14:paraId="62DE9307">
      <w:pPr>
        <w:spacing w:line="600" w:lineRule="exact"/>
        <w:ind w:firstLine="640" w:firstLineChars="200"/>
        <w:rPr>
          <w:rStyle w:val="15"/>
          <w:rFonts w:ascii="仿宋_GB2312" w:hAnsi="仿宋" w:eastAsia="仿宋_GB2312"/>
          <w:b w:val="0"/>
          <w:bCs/>
          <w:color w:val="000000"/>
          <w:sz w:val="32"/>
          <w:szCs w:val="32"/>
        </w:rPr>
      </w:pPr>
      <w:r>
        <w:rPr>
          <w:rStyle w:val="15"/>
          <w:rFonts w:hint="eastAsia" w:ascii="仿宋_GB2312" w:hAnsi="仿宋" w:eastAsia="仿宋_GB2312"/>
          <w:b w:val="0"/>
          <w:bCs/>
          <w:color w:val="000000"/>
          <w:sz w:val="32"/>
          <w:szCs w:val="32"/>
        </w:rPr>
        <w:t>6.</w:t>
      </w:r>
      <w:r>
        <w:rPr>
          <w:rStyle w:val="15"/>
          <w:rFonts w:hint="eastAsia" w:ascii="仿宋_GB2312" w:hAnsi="仿宋" w:eastAsia="仿宋_GB2312"/>
          <w:bCs/>
          <w:color w:val="000000"/>
          <w:sz w:val="32"/>
          <w:szCs w:val="32"/>
        </w:rPr>
        <w:t xml:space="preserve"> 社会保障和就业（类）</w:t>
      </w:r>
      <w:r>
        <w:rPr>
          <w:rStyle w:val="15"/>
          <w:rFonts w:hint="eastAsia" w:ascii="仿宋_GB2312" w:hAnsi="仿宋" w:eastAsia="仿宋_GB2312" w:cs="仿宋"/>
          <w:color w:val="000000"/>
          <w:sz w:val="32"/>
          <w:szCs w:val="32"/>
        </w:rPr>
        <w:t>行政事业单位离退休</w:t>
      </w:r>
      <w:r>
        <w:rPr>
          <w:rStyle w:val="15"/>
          <w:rFonts w:hint="eastAsia" w:ascii="仿宋_GB2312" w:hAnsi="仿宋" w:eastAsia="仿宋_GB2312"/>
          <w:bCs/>
          <w:color w:val="000000"/>
          <w:sz w:val="32"/>
          <w:szCs w:val="32"/>
        </w:rPr>
        <w:t>（款）</w:t>
      </w:r>
      <w:r>
        <w:rPr>
          <w:rStyle w:val="15"/>
          <w:rFonts w:hint="eastAsia" w:ascii="仿宋_GB2312" w:hAnsi="仿宋" w:eastAsia="仿宋_GB2312" w:cs="仿宋"/>
          <w:color w:val="000000"/>
          <w:sz w:val="32"/>
          <w:szCs w:val="32"/>
        </w:rPr>
        <w:t>机关事业单位职业年金缴费支出</w:t>
      </w:r>
      <w:r>
        <w:rPr>
          <w:rStyle w:val="15"/>
          <w:rFonts w:hint="eastAsia" w:ascii="仿宋_GB2312" w:hAnsi="仿宋" w:eastAsia="仿宋_GB2312"/>
          <w:bCs/>
          <w:color w:val="000000"/>
          <w:sz w:val="32"/>
          <w:szCs w:val="32"/>
        </w:rPr>
        <w:t>（项）:</w:t>
      </w:r>
      <w:r>
        <w:rPr>
          <w:rStyle w:val="15"/>
          <w:rFonts w:hint="eastAsia" w:ascii="仿宋_GB2312" w:hAnsi="仿宋" w:eastAsia="仿宋_GB2312"/>
          <w:b w:val="0"/>
          <w:bCs/>
          <w:color w:val="000000"/>
          <w:sz w:val="32"/>
          <w:szCs w:val="32"/>
        </w:rPr>
        <w:t xml:space="preserve"> 支出决算为11.58万元，完成预算100%。</w:t>
      </w:r>
    </w:p>
    <w:p w14:paraId="41C68783">
      <w:pPr>
        <w:spacing w:line="600" w:lineRule="exact"/>
        <w:ind w:firstLine="643" w:firstLineChars="200"/>
        <w:rPr>
          <w:rFonts w:ascii="仿宋_GB2312" w:hAnsi="仿宋" w:eastAsia="仿宋_GB2312"/>
          <w:bCs/>
          <w:color w:val="000000"/>
          <w:sz w:val="32"/>
          <w:szCs w:val="32"/>
        </w:rPr>
      </w:pPr>
      <w:r>
        <w:rPr>
          <w:rStyle w:val="15"/>
          <w:rFonts w:hint="eastAsia" w:ascii="仿宋_GB2312" w:hAnsi="仿宋" w:eastAsia="仿宋_GB2312" w:cs="仿宋"/>
          <w:color w:val="000000"/>
          <w:sz w:val="32"/>
          <w:szCs w:val="32"/>
        </w:rPr>
        <w:t>7.社会保障和就业支出（类）抚恤（款）死亡抚恤（项）:</w:t>
      </w:r>
      <w:r>
        <w:rPr>
          <w:rStyle w:val="15"/>
          <w:rFonts w:hint="eastAsia" w:ascii="仿宋_GB2312" w:hAnsi="仿宋" w:eastAsia="仿宋_GB2312" w:cs="仿宋"/>
          <w:b w:val="0"/>
          <w:bCs/>
          <w:color w:val="000000"/>
          <w:sz w:val="32"/>
          <w:szCs w:val="32"/>
        </w:rPr>
        <w:t>支出决算为28.23万元，完成预算100%，决算数等于预算数。</w:t>
      </w:r>
    </w:p>
    <w:p w14:paraId="141D62B0">
      <w:pPr>
        <w:spacing w:line="600" w:lineRule="exact"/>
        <w:ind w:firstLine="643" w:firstLineChars="200"/>
        <w:rPr>
          <w:rFonts w:ascii="仿宋_GB2312" w:hAnsi="仿宋" w:eastAsia="仿宋_GB2312"/>
          <w:b/>
          <w:color w:val="000000"/>
          <w:sz w:val="32"/>
          <w:szCs w:val="32"/>
        </w:rPr>
      </w:pPr>
      <w:r>
        <w:rPr>
          <w:rStyle w:val="15"/>
          <w:rFonts w:hint="eastAsia" w:ascii="仿宋_GB2312" w:hAnsi="仿宋" w:eastAsia="仿宋_GB2312"/>
          <w:bCs/>
          <w:color w:val="000000"/>
          <w:sz w:val="32"/>
          <w:szCs w:val="32"/>
        </w:rPr>
        <w:t>8.</w:t>
      </w:r>
      <w:r>
        <w:rPr>
          <w:rStyle w:val="15"/>
          <w:rFonts w:hint="eastAsia" w:ascii="仿宋_GB2312" w:hAnsi="仿宋" w:eastAsia="仿宋_GB2312" w:cs="仿宋"/>
          <w:color w:val="000000"/>
          <w:sz w:val="32"/>
          <w:szCs w:val="32"/>
        </w:rPr>
        <w:t>住房保障支出（类）住房改革支出（款）住房公积金（项）:</w:t>
      </w:r>
      <w:r>
        <w:rPr>
          <w:rStyle w:val="15"/>
          <w:rFonts w:hint="eastAsia" w:ascii="仿宋_GB2312" w:hAnsi="仿宋" w:eastAsia="仿宋_GB2312" w:cs="仿宋"/>
          <w:b w:val="0"/>
          <w:bCs/>
          <w:color w:val="000000"/>
          <w:sz w:val="32"/>
          <w:szCs w:val="32"/>
        </w:rPr>
        <w:t>支出决算为57.51万元，完成预算100%，决算数等于预算数。</w:t>
      </w:r>
    </w:p>
    <w:p w14:paraId="17F5772A">
      <w:pPr>
        <w:tabs>
          <w:tab w:val="right" w:pos="8306"/>
        </w:tabs>
        <w:spacing w:line="600" w:lineRule="exact"/>
        <w:ind w:firstLine="640"/>
        <w:outlineLvl w:val="1"/>
        <w:rPr>
          <w:rStyle w:val="1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0"/>
      <w:bookmarkEnd w:id="41"/>
      <w:r>
        <w:rPr>
          <w:rStyle w:val="18"/>
          <w:rFonts w:ascii="黑体" w:hAnsi="黑体" w:eastAsia="黑体"/>
          <w:b w:val="0"/>
        </w:rPr>
        <w:tab/>
      </w:r>
    </w:p>
    <w:p w14:paraId="0C2C2442">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2018年一般公共预算财政拨款基本支出661.45万元，其中：</w:t>
      </w:r>
    </w:p>
    <w:p w14:paraId="6020F94D">
      <w:pPr>
        <w:spacing w:line="600"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人员经费603.05万元，主要包括：基本工资、津贴补贴、奖金、机关事业单位基本养老保险缴费、职业年金缴费、职工基本医疗保险缴费、公务员医疗补助缴费、其他社会保障缴费、住房公积金、其他工资福利支出、离休费、退休费、抚恤金、生活补助、奖励金等。</w:t>
      </w:r>
    </w:p>
    <w:p w14:paraId="33C833A2">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　　公用经费58.40万元，主要包括：办公费、印刷费、邮电费、物业管理费、差旅费、维修（护）费、租赁费、会议费、培训费、公务接待费、专用材料费、劳务费、福利费、其他交通费、其他商品和服务支出等。</w:t>
      </w:r>
    </w:p>
    <w:p w14:paraId="7222B11B">
      <w:pPr>
        <w:spacing w:line="600" w:lineRule="exact"/>
        <w:ind w:firstLine="640"/>
        <w:outlineLvl w:val="1"/>
        <w:rPr>
          <w:rStyle w:val="1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2"/>
      <w:bookmarkEnd w:id="43"/>
    </w:p>
    <w:p w14:paraId="06771C6E">
      <w:pPr>
        <w:spacing w:line="600" w:lineRule="exact"/>
        <w:ind w:firstLine="640"/>
        <w:outlineLvl w:val="2"/>
        <w:rPr>
          <w:rFonts w:ascii="楷体" w:hAnsi="楷体" w:eastAsia="楷体"/>
          <w:b/>
          <w:color w:val="000000"/>
          <w:sz w:val="32"/>
          <w:szCs w:val="32"/>
        </w:rPr>
      </w:pPr>
      <w:bookmarkStart w:id="44" w:name="_Toc15377216"/>
      <w:r>
        <w:rPr>
          <w:rFonts w:hint="eastAsia" w:ascii="楷体" w:hAnsi="楷体" w:eastAsia="楷体"/>
          <w:b/>
          <w:color w:val="000000"/>
          <w:sz w:val="32"/>
          <w:szCs w:val="32"/>
        </w:rPr>
        <w:t>（一）“三公”经费财政拨款支出决算总体情况说明</w:t>
      </w:r>
      <w:bookmarkEnd w:id="44"/>
    </w:p>
    <w:p w14:paraId="67AB66EC">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年“三公”经费财政拨款支出决算为2.30万元，完成预算100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6082EFA1">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（上述“预算”口径为调整预算数，包括政府性基金支出决算情况。）</w:t>
      </w:r>
    </w:p>
    <w:p w14:paraId="061F7DC7">
      <w:pPr>
        <w:spacing w:line="600" w:lineRule="exact"/>
        <w:ind w:firstLine="640"/>
        <w:outlineLvl w:val="2"/>
        <w:rPr>
          <w:rFonts w:ascii="楷体" w:hAnsi="楷体" w:eastAsia="楷体"/>
          <w:b/>
          <w:color w:val="000000"/>
          <w:sz w:val="32"/>
          <w:szCs w:val="32"/>
        </w:rPr>
      </w:pPr>
      <w:bookmarkStart w:id="45" w:name="_Toc15377217"/>
      <w:r>
        <w:rPr>
          <w:rFonts w:hint="eastAsia" w:ascii="楷体" w:hAnsi="楷体" w:eastAsia="楷体"/>
          <w:b/>
          <w:color w:val="000000"/>
          <w:sz w:val="32"/>
          <w:szCs w:val="32"/>
        </w:rPr>
        <w:t>（二）“三公”经费财政拨款支出决算具体情况说明</w:t>
      </w:r>
      <w:bookmarkEnd w:id="45"/>
    </w:p>
    <w:p w14:paraId="3992B8F6">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2018年“三公”经费财政拨款支出决算中，无因公出国（境）费支出决算；无公务用车购置及运行维护费；公务接待费支出决算2.30万元，占100%。具体情况如下：</w:t>
      </w:r>
    </w:p>
    <w:p w14:paraId="63A68891">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（图8：“三公”经费财政拨款支出结构）（饼状图）</w:t>
      </w:r>
    </w:p>
    <w:p w14:paraId="6D9C3025">
      <w:pPr>
        <w:spacing w:line="600" w:lineRule="exact"/>
        <w:ind w:firstLine="640"/>
        <w:rPr>
          <w:rFonts w:ascii="仿宋" w:hAnsi="仿宋" w:eastAsia="仿宋"/>
          <w:color w:val="000000"/>
          <w:sz w:val="32"/>
          <w:szCs w:val="32"/>
        </w:rPr>
      </w:pPr>
      <w:r>
        <w:rPr>
          <w:rFonts w:ascii="仿宋" w:hAnsi="仿宋" w:eastAsia="仿宋"/>
          <w:color w:val="000000"/>
          <w:sz w:val="32"/>
          <w:szCs w:val="32"/>
        </w:rPr>
        <w:pict>
          <v:shape id="_x0000_s2065" o:spid="_x0000_s2065" o:spt="75" type="#_x0000_t75" style="position:absolute;left:0pt;margin-left:52.7pt;margin-top:12.6pt;height:155.25pt;width:328.1pt;z-index:-251651072;mso-width-relative:page;mso-height-relative:page;" o:ole="t" filled="f" o:preferrelative="t" stroked="t" coordsize="21600,21600">
            <v:path/>
            <v:fill on="f" focussize="0,0"/>
            <v:stroke weight="0.5pt" joinstyle="miter"/>
            <v:imagedata r:id="rId19" o:title=""/>
            <o:lock v:ext="edit" aspectratio="t"/>
          </v:shape>
          <o:OLEObject Type="Embed" ProgID="MSGraph.Chart.8" ShapeID="_x0000_s2065" DrawAspect="Content" ObjectID="_1468075731" r:id="rId18">
            <o:LockedField>false</o:LockedField>
          </o:OLEObject>
        </w:pict>
      </w:r>
    </w:p>
    <w:p w14:paraId="3EA3CC8D">
      <w:pPr>
        <w:spacing w:line="600" w:lineRule="exact"/>
        <w:ind w:firstLine="640"/>
        <w:rPr>
          <w:rFonts w:ascii="仿宋" w:hAnsi="仿宋" w:eastAsia="仿宋"/>
          <w:color w:val="000000"/>
          <w:sz w:val="32"/>
          <w:szCs w:val="32"/>
        </w:rPr>
      </w:pPr>
    </w:p>
    <w:p w14:paraId="0A61AEF2">
      <w:pPr>
        <w:spacing w:line="600" w:lineRule="exact"/>
        <w:ind w:firstLine="640"/>
        <w:rPr>
          <w:rFonts w:ascii="仿宋" w:hAnsi="仿宋" w:eastAsia="仿宋"/>
          <w:color w:val="000000"/>
          <w:sz w:val="32"/>
          <w:szCs w:val="32"/>
        </w:rPr>
      </w:pPr>
    </w:p>
    <w:p w14:paraId="258E9D01">
      <w:pPr>
        <w:spacing w:line="600" w:lineRule="exact"/>
        <w:ind w:firstLine="640"/>
        <w:rPr>
          <w:rFonts w:ascii="仿宋" w:hAnsi="仿宋" w:eastAsia="仿宋"/>
          <w:color w:val="000000"/>
          <w:sz w:val="32"/>
          <w:szCs w:val="32"/>
        </w:rPr>
      </w:pPr>
    </w:p>
    <w:p w14:paraId="29EC79E2">
      <w:pPr>
        <w:spacing w:line="600" w:lineRule="exact"/>
        <w:ind w:firstLine="640"/>
        <w:rPr>
          <w:rFonts w:ascii="仿宋" w:hAnsi="仿宋" w:eastAsia="仿宋"/>
          <w:color w:val="000000"/>
          <w:sz w:val="32"/>
          <w:szCs w:val="32"/>
        </w:rPr>
      </w:pPr>
    </w:p>
    <w:p w14:paraId="4CF125E1">
      <w:pPr>
        <w:spacing w:line="600" w:lineRule="exact"/>
        <w:ind w:firstLine="640"/>
        <w:rPr>
          <w:rFonts w:ascii="仿宋" w:hAnsi="仿宋" w:eastAsia="仿宋"/>
          <w:color w:val="000000"/>
          <w:sz w:val="32"/>
          <w:szCs w:val="32"/>
        </w:rPr>
      </w:pPr>
    </w:p>
    <w:p w14:paraId="1175E2DF">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1.无因公出国（境）经费支出。</w:t>
      </w:r>
    </w:p>
    <w:p w14:paraId="62DC4D23">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2.无公务用车购置及运行维护费支出</w:t>
      </w:r>
      <w:r>
        <w:rPr>
          <w:rFonts w:hint="eastAsia" w:ascii="仿宋_GB2312" w:eastAsia="仿宋_GB2312"/>
          <w:color w:val="000000"/>
          <w:sz w:val="32"/>
          <w:szCs w:val="32"/>
        </w:rPr>
        <w:t>。</w:t>
      </w:r>
    </w:p>
    <w:p w14:paraId="59BBA89D">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2.30万元，</w:t>
      </w:r>
      <w:r>
        <w:rPr>
          <w:rStyle w:val="15"/>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公务接待费支出决算比2017年减少0.05万元，下降2%。主要原因</w:t>
      </w:r>
      <w:r>
        <w:rPr>
          <w:rFonts w:hint="eastAsia" w:ascii="仿宋_GB2312" w:eastAsia="仿宋_GB2312"/>
          <w:sz w:val="32"/>
          <w:szCs w:val="32"/>
        </w:rPr>
        <w:t>是</w:t>
      </w:r>
      <w:r>
        <w:rPr>
          <w:rFonts w:hint="eastAsia" w:ascii="仿宋_GB2312" w:hAnsi="宋体" w:eastAsia="仿宋_GB2312" w:cs="仿宋_GB2312"/>
          <w:color w:val="333333"/>
          <w:kern w:val="0"/>
          <w:sz w:val="32"/>
          <w:szCs w:val="32"/>
          <w:shd w:val="clear" w:color="auto" w:fill="FFFFFF"/>
          <w:lang w:bidi="ar"/>
        </w:rPr>
        <w:t>压缩接待次数，规范接待标准</w:t>
      </w:r>
      <w:r>
        <w:rPr>
          <w:rFonts w:hint="eastAsia" w:ascii="仿宋_GB2312" w:eastAsia="仿宋_GB2312"/>
          <w:color w:val="000000"/>
          <w:sz w:val="32"/>
          <w:szCs w:val="32"/>
        </w:rPr>
        <w:t>。</w:t>
      </w:r>
    </w:p>
    <w:p w14:paraId="10005EBB">
      <w:pPr>
        <w:spacing w:line="600" w:lineRule="exact"/>
        <w:ind w:firstLine="640" w:firstLineChars="200"/>
        <w:rPr>
          <w:rFonts w:ascii="仿宋_GB2312" w:hAnsi="宋体" w:eastAsia="仿宋_GB2312" w:cs="仿宋_GB2312"/>
          <w:color w:val="333333"/>
          <w:kern w:val="0"/>
          <w:sz w:val="32"/>
          <w:szCs w:val="32"/>
          <w:shd w:val="clear" w:color="auto" w:fill="FFFFFF"/>
          <w:lang w:bidi="ar"/>
        </w:rPr>
      </w:pPr>
      <w:r>
        <w:rPr>
          <w:rFonts w:hint="eastAsia" w:ascii="仿宋_GB2312" w:eastAsia="仿宋_GB2312"/>
          <w:color w:val="000000"/>
          <w:sz w:val="32"/>
          <w:szCs w:val="32"/>
        </w:rPr>
        <w:t>主要用于执行公务、开展业务活动开支的交通费、住宿费、用餐费等。国内公务接待15批次，231人次（不包括陪同人员），共计支出2.3万元，具体内容包括：</w:t>
      </w:r>
      <w:r>
        <w:rPr>
          <w:rFonts w:hint="eastAsia" w:ascii="仿宋_GB2312" w:hAnsi="宋体" w:eastAsia="仿宋_GB2312" w:cs="仿宋_GB2312"/>
          <w:color w:val="333333"/>
          <w:kern w:val="0"/>
          <w:sz w:val="32"/>
          <w:szCs w:val="32"/>
          <w:shd w:val="clear" w:color="auto" w:fill="FFFFFF"/>
          <w:lang w:bidi="ar"/>
        </w:rPr>
        <w:t>主要用于接待区县人大及</w:t>
      </w:r>
      <w:r>
        <w:rPr>
          <w:rFonts w:hint="eastAsia" w:ascii="仿宋_GB2312" w:hAnsi="宋体" w:eastAsia="仿宋_GB2312" w:cs="仿宋_GB2312"/>
          <w:color w:val="333333"/>
          <w:kern w:val="0"/>
          <w:sz w:val="32"/>
          <w:szCs w:val="32"/>
          <w:shd w:val="clear" w:color="auto" w:fill="FFFFFF"/>
          <w:lang w:eastAsia="zh-CN" w:bidi="ar"/>
        </w:rPr>
        <w:t>其常委会和</w:t>
      </w:r>
      <w:r>
        <w:rPr>
          <w:rFonts w:hint="eastAsia" w:ascii="仿宋_GB2312" w:hAnsi="宋体" w:eastAsia="仿宋_GB2312" w:cs="仿宋_GB2312"/>
          <w:color w:val="333333"/>
          <w:kern w:val="0"/>
          <w:sz w:val="32"/>
          <w:szCs w:val="32"/>
          <w:shd w:val="clear" w:color="auto" w:fill="FFFFFF"/>
          <w:lang w:bidi="ar"/>
        </w:rPr>
        <w:t>相关单位来我县考察城市建设、康养产业、议题调研等项目。</w:t>
      </w:r>
    </w:p>
    <w:p w14:paraId="19CBCAF5">
      <w:pPr>
        <w:spacing w:line="600" w:lineRule="exact"/>
        <w:ind w:firstLine="643" w:firstLineChars="200"/>
        <w:rPr>
          <w:rFonts w:ascii="仿宋_GB2312" w:eastAsia="仿宋_GB2312"/>
          <w:color w:val="000000"/>
          <w:sz w:val="32"/>
          <w:szCs w:val="32"/>
        </w:rPr>
      </w:pPr>
      <w:r>
        <w:rPr>
          <w:rFonts w:hint="eastAsia" w:ascii="仿宋_GB2312" w:hAnsi="仿宋" w:eastAsia="仿宋_GB2312"/>
          <w:b/>
          <w:color w:val="000000"/>
          <w:sz w:val="32"/>
          <w:szCs w:val="32"/>
        </w:rPr>
        <w:t>无外事接待支出</w:t>
      </w:r>
      <w:r>
        <w:rPr>
          <w:rFonts w:hint="eastAsia" w:ascii="仿宋_GB2312" w:hAnsi="仿宋" w:eastAsia="仿宋_GB2312"/>
          <w:color w:val="000000"/>
          <w:sz w:val="32"/>
          <w:szCs w:val="32"/>
        </w:rPr>
        <w:t>。</w:t>
      </w:r>
    </w:p>
    <w:p w14:paraId="71B72083">
      <w:pPr>
        <w:spacing w:line="600" w:lineRule="exact"/>
        <w:ind w:firstLine="640"/>
        <w:rPr>
          <w:rFonts w:ascii="仿宋_GB2312" w:eastAsia="仿宋_GB2312"/>
          <w:color w:val="000000"/>
          <w:sz w:val="32"/>
          <w:szCs w:val="32"/>
        </w:rPr>
      </w:pPr>
      <w:r>
        <w:rPr>
          <w:rFonts w:hint="eastAsia" w:ascii="仿宋_GB2312" w:hAnsi="仿宋" w:eastAsia="仿宋_GB2312"/>
          <w:b/>
          <w:color w:val="000000"/>
          <w:sz w:val="32"/>
          <w:szCs w:val="32"/>
        </w:rPr>
        <w:t>无其他国内公务接待支出</w:t>
      </w:r>
      <w:r>
        <w:rPr>
          <w:rFonts w:hint="eastAsia" w:ascii="仿宋_GB2312" w:hAnsi="仿宋" w:eastAsia="仿宋_GB2312"/>
          <w:color w:val="000000"/>
          <w:sz w:val="32"/>
          <w:szCs w:val="32"/>
        </w:rPr>
        <w:t>。</w:t>
      </w:r>
      <w:bookmarkStart w:id="46" w:name="_Toc15377218"/>
      <w:bookmarkStart w:id="47" w:name="_Toc15396610"/>
    </w:p>
    <w:p w14:paraId="43782219">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6"/>
      <w:bookmarkEnd w:id="47"/>
    </w:p>
    <w:p w14:paraId="24DCDB40">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年无政府性基金预算拨款支出。</w:t>
      </w:r>
    </w:p>
    <w:p w14:paraId="613B4CFC">
      <w:pPr>
        <w:numPr>
          <w:ilvl w:val="0"/>
          <w:numId w:val="2"/>
        </w:numPr>
        <w:spacing w:line="600" w:lineRule="exact"/>
        <w:ind w:firstLine="640"/>
        <w:outlineLvl w:val="1"/>
        <w:rPr>
          <w:rStyle w:val="18"/>
          <w:rFonts w:ascii="黑体" w:hAnsi="黑体" w:eastAsia="黑体"/>
          <w:b w:val="0"/>
        </w:rPr>
      </w:pPr>
      <w:bookmarkStart w:id="48" w:name="_Toc15396611"/>
      <w:bookmarkStart w:id="49" w:name="_Toc15377219"/>
      <w:r>
        <w:rPr>
          <w:rStyle w:val="18"/>
          <w:rFonts w:hint="eastAsia" w:ascii="黑体" w:hAnsi="黑体" w:eastAsia="黑体"/>
          <w:b w:val="0"/>
        </w:rPr>
        <w:t>国有资本经营预算支出决算情况说明</w:t>
      </w:r>
      <w:bookmarkEnd w:id="48"/>
      <w:bookmarkEnd w:id="49"/>
    </w:p>
    <w:p w14:paraId="43CFE7DB">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无年国有资本经营预算拨款支出。</w:t>
      </w:r>
    </w:p>
    <w:p w14:paraId="65D2CD0E">
      <w:pPr>
        <w:pStyle w:val="27"/>
        <w:numPr>
          <w:ilvl w:val="0"/>
          <w:numId w:val="3"/>
        </w:numPr>
        <w:spacing w:line="580" w:lineRule="exact"/>
        <w:ind w:firstLineChars="0"/>
        <w:rPr>
          <w:rStyle w:val="18"/>
          <w:rFonts w:ascii="黑体" w:hAnsi="黑体" w:eastAsia="黑体"/>
          <w:b w:val="0"/>
        </w:rPr>
      </w:pPr>
      <w:r>
        <w:rPr>
          <w:rStyle w:val="18"/>
          <w:rFonts w:hint="eastAsia" w:ascii="黑体" w:hAnsi="黑体" w:eastAsia="黑体"/>
          <w:b w:val="0"/>
        </w:rPr>
        <w:t>预算绩效情况说明</w:t>
      </w:r>
    </w:p>
    <w:p w14:paraId="235901FD">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753B380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米易县人大常委会办公室项目开展了预算事前绩效评估，对5个项目编制了绩效目标，预算执行过程中，选取0个项目开展绩效监控，年终执行完毕后，对5个项目开展了绩效目标完成情况梳理填报。</w:t>
      </w:r>
    </w:p>
    <w:p w14:paraId="6ACBBA3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人大常委会办公室将部门整体支出绩效评价作为了财政预算资金使用管理的一项重要工作，切实加强预算收入管理，全面梳理内部管理流程，建立健全了内部管理制度，有效提升了部门整体支出的管理水平。整体上完成了年初设定的绩效目标，保障了部门各单位的正常运转，充分发挥了财政资金的经济效益和社会效益。</w:t>
      </w:r>
    </w:p>
    <w:p w14:paraId="0A8EB8DE">
      <w:pPr>
        <w:numPr>
          <w:ilvl w:val="0"/>
          <w:numId w:val="4"/>
        </w:numPr>
        <w:spacing w:line="52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14:paraId="153EA64B">
      <w:pPr>
        <w:numPr>
          <w:ilvl w:val="0"/>
          <w:numId w:val="4"/>
        </w:numPr>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年度部门决算中反映人大专项经费、人大代表报刊经费、乡镇人大代表之家建设经费等5个项目绩效目标实际完成情况。现对上述提及的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个项目进行公开如下</w:t>
      </w:r>
    </w:p>
    <w:p w14:paraId="79D20737">
      <w:pPr>
        <w:numPr>
          <w:ilvl w:val="0"/>
          <w:numId w:val="5"/>
        </w:num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人大专项经费项目绩效目标完成情况综述。项目全年预算数39.38万元，执行数为39.38万元，完成预算的100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人大常委会机关</w:t>
      </w:r>
      <w:r>
        <w:rPr>
          <w:rFonts w:hint="eastAsia" w:ascii="仿宋_GB2312" w:hAnsi="仿宋_GB2312" w:eastAsia="仿宋_GB2312" w:cs="仿宋_GB2312"/>
          <w:sz w:val="32"/>
          <w:szCs w:val="32"/>
        </w:rPr>
        <w:t>工作的正常运转。</w:t>
      </w:r>
    </w:p>
    <w:p w14:paraId="417783E3">
      <w:pPr>
        <w:numPr>
          <w:ilvl w:val="0"/>
          <w:numId w:val="5"/>
        </w:num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人大代表报刊经费项目绩效目标完成情况综述。项目全年预算数3万元，执行数为3万元，完成预算的100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。通过项目实施，保障了人大代表的知识理论储备。</w:t>
      </w:r>
    </w:p>
    <w:p w14:paraId="762546D6">
      <w:pPr>
        <w:numPr>
          <w:ilvl w:val="0"/>
          <w:numId w:val="5"/>
        </w:num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乡镇人大代表之家建设经费项目绩效目标完成情况综述。项目全年预算数24万元，执行数为24万元，完成预算的100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乡镇人大代表开展活动的阵地，解决乡镇人大代表“活动难组织难开展，能力难提升难发挥，实效难体现”等突出问题，使“人大代表之家”真正成为人大代表学习进步的平台、履职尽责的平台、展示形象的平台。</w:t>
      </w:r>
    </w:p>
    <w:p w14:paraId="5D476550">
      <w:pPr>
        <w:numPr>
          <w:ilvl w:val="0"/>
          <w:numId w:val="5"/>
        </w:num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六委一室专项经费项目绩效目标完成情况综述。项目全年预算数21万元，执行数为21万元，完成预算的100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。通过项目实施，保障了各委室正常工作运转。</w:t>
      </w:r>
    </w:p>
    <w:p w14:paraId="4015EB87">
      <w:pPr>
        <w:numPr>
          <w:ilvl w:val="0"/>
          <w:numId w:val="5"/>
        </w:num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主任、副主任专项工作经费项目绩效目标完成情况综述。项目全年预算数24.72万元，执行数为24.72万元，完成预算的100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人大常委会主任、副主任工作的正常运转。</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A4F263A">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58542E29">
            <w:pPr>
              <w:pStyle w:val="27"/>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14:paraId="1996C969">
            <w:pPr>
              <w:pStyle w:val="27"/>
              <w:widowControl/>
              <w:ind w:left="4173" w:leftChars="1310" w:hanging="1422" w:hangingChars="395"/>
              <w:textAlignment w:val="center"/>
              <w:rPr>
                <w:rFonts w:ascii="宋体" w:cs="宋体"/>
                <w:color w:val="000000"/>
                <w:sz w:val="36"/>
                <w:szCs w:val="36"/>
              </w:rPr>
            </w:pP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1FA0208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78AB2">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65A59F">
            <w:pPr>
              <w:widowControl/>
              <w:jc w:val="center"/>
              <w:textAlignment w:val="center"/>
              <w:rPr>
                <w:rFonts w:ascii="宋体" w:hAnsi="宋体" w:cs="宋体"/>
                <w:color w:val="000000"/>
                <w:kern w:val="0"/>
                <w:sz w:val="24"/>
              </w:rPr>
            </w:pPr>
            <w:r>
              <w:rPr>
                <w:rFonts w:hint="eastAsia" w:ascii="宋体" w:hAnsi="宋体" w:cs="宋体"/>
                <w:color w:val="000000"/>
                <w:kern w:val="0"/>
                <w:sz w:val="24"/>
              </w:rPr>
              <w:t>主任、副主任专项工作经费</w:t>
            </w:r>
          </w:p>
        </w:tc>
      </w:tr>
      <w:tr w14:paraId="1FB9470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884B6">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726D7A">
            <w:pPr>
              <w:widowControl/>
              <w:jc w:val="center"/>
              <w:textAlignment w:val="center"/>
              <w:rPr>
                <w:rFonts w:ascii="宋体" w:cs="宋体"/>
                <w:color w:val="000000"/>
                <w:sz w:val="24"/>
              </w:rPr>
            </w:pPr>
            <w:r>
              <w:rPr>
                <w:rFonts w:hint="eastAsia" w:ascii="宋体" w:cs="宋体"/>
                <w:color w:val="000000"/>
                <w:sz w:val="24"/>
              </w:rPr>
              <w:t>米易县人大常委会办公室</w:t>
            </w:r>
          </w:p>
        </w:tc>
      </w:tr>
      <w:tr w14:paraId="0174419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7B6376">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617344">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FBB0DB">
            <w:pPr>
              <w:widowControl/>
              <w:jc w:val="center"/>
              <w:textAlignment w:val="center"/>
              <w:rPr>
                <w:rFonts w:ascii="宋体" w:cs="宋体"/>
                <w:color w:val="000000"/>
                <w:sz w:val="24"/>
              </w:rPr>
            </w:pPr>
            <w:r>
              <w:rPr>
                <w:rFonts w:hint="eastAsia" w:ascii="宋体" w:cs="宋体"/>
                <w:color w:val="000000"/>
                <w:sz w:val="24"/>
              </w:rPr>
              <w:t>24.72万元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8B014A">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585901">
            <w:pPr>
              <w:widowControl/>
              <w:jc w:val="center"/>
              <w:textAlignment w:val="center"/>
              <w:rPr>
                <w:rFonts w:ascii="宋体" w:cs="宋体"/>
                <w:color w:val="000000"/>
                <w:sz w:val="24"/>
              </w:rPr>
            </w:pPr>
            <w:r>
              <w:rPr>
                <w:rFonts w:hint="eastAsia" w:ascii="宋体" w:cs="宋体"/>
                <w:color w:val="000000"/>
                <w:sz w:val="24"/>
              </w:rPr>
              <w:t>24.72万元</w:t>
            </w:r>
          </w:p>
        </w:tc>
      </w:tr>
      <w:tr w14:paraId="24056969">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701327">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F001DB">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D5C240">
            <w:pPr>
              <w:widowControl/>
              <w:jc w:val="center"/>
              <w:textAlignment w:val="center"/>
              <w:rPr>
                <w:rFonts w:ascii="宋体" w:cs="宋体"/>
                <w:color w:val="000000"/>
                <w:sz w:val="24"/>
              </w:rPr>
            </w:pPr>
            <w:r>
              <w:rPr>
                <w:rFonts w:hint="eastAsia" w:ascii="宋体" w:cs="宋体"/>
                <w:color w:val="000000"/>
                <w:sz w:val="24"/>
              </w:rPr>
              <w:t>24.72万元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80FCB2">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9382A2">
            <w:pPr>
              <w:widowControl/>
              <w:jc w:val="center"/>
              <w:textAlignment w:val="center"/>
              <w:rPr>
                <w:rFonts w:ascii="宋体" w:cs="宋体"/>
                <w:color w:val="000000"/>
                <w:sz w:val="24"/>
              </w:rPr>
            </w:pPr>
            <w:r>
              <w:rPr>
                <w:rFonts w:hint="eastAsia" w:ascii="宋体" w:cs="宋体"/>
                <w:color w:val="000000"/>
                <w:sz w:val="24"/>
              </w:rPr>
              <w:t>24.72万元</w:t>
            </w:r>
          </w:p>
        </w:tc>
      </w:tr>
      <w:tr w14:paraId="637D102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29C779">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744A1A">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E2180D">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8B180A">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1B1AAC">
            <w:pPr>
              <w:jc w:val="center"/>
              <w:rPr>
                <w:rFonts w:ascii="宋体" w:cs="宋体"/>
                <w:color w:val="000000"/>
                <w:sz w:val="24"/>
              </w:rPr>
            </w:pPr>
          </w:p>
        </w:tc>
      </w:tr>
      <w:tr w14:paraId="0BDD43C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154FA0">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45A6D">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B77D6F">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1F47527D">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8F29ED">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738438">
            <w:pPr>
              <w:tabs>
                <w:tab w:val="left" w:pos="312"/>
              </w:tabs>
              <w:spacing w:line="58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人大常委会主任、副主任的正常工作运转。</w:t>
            </w:r>
          </w:p>
          <w:p w14:paraId="7566C8B9">
            <w:pPr>
              <w:widowControl/>
              <w:jc w:val="left"/>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CC46B1">
            <w:pPr>
              <w:widowControl/>
              <w:jc w:val="left"/>
              <w:textAlignment w:val="center"/>
              <w:rPr>
                <w:rFonts w:ascii="宋体" w:cs="宋体"/>
                <w:color w:val="000000"/>
                <w:sz w:val="24"/>
              </w:rPr>
            </w:pP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人大常委会主任、副主任的正常工作运转。</w:t>
            </w:r>
          </w:p>
        </w:tc>
      </w:tr>
      <w:tr w14:paraId="3D03FAF2">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8A6C50">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D6EC37">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706BE9">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4F1DE2">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1E8DA3">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0D5F56">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0C452F74">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5FF0D8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E5586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49710">
            <w:pPr>
              <w:widowControl/>
              <w:jc w:val="center"/>
              <w:textAlignment w:val="center"/>
              <w:rPr>
                <w:rFonts w:ascii="仿宋_GB2312" w:eastAsia="仿宋_GB2312"/>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011273">
            <w:pPr>
              <w:widowControl/>
              <w:jc w:val="center"/>
              <w:textAlignment w:val="center"/>
              <w:rPr>
                <w:rFonts w:ascii="仿宋_GB2312" w:eastAsia="仿宋_GB2312"/>
                <w:color w:val="000000"/>
              </w:rPr>
            </w:pPr>
            <w:r>
              <w:rPr>
                <w:rFonts w:hint="eastAsia" w:ascii="仿宋_GB2312" w:eastAsia="仿宋_GB2312" w:cs="宋体"/>
                <w:color w:val="000000"/>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28D952">
            <w:pPr>
              <w:widowControl/>
              <w:jc w:val="left"/>
              <w:textAlignment w:val="center"/>
              <w:rPr>
                <w:rFonts w:ascii="仿宋_GB2312" w:eastAsia="仿宋_GB2312"/>
                <w:color w:val="000000"/>
              </w:rPr>
            </w:pPr>
            <w:r>
              <w:rPr>
                <w:rFonts w:hint="eastAsia" w:ascii="仿宋_GB2312" w:eastAsia="仿宋_GB2312" w:cs="宋体"/>
                <w:color w:val="000000"/>
              </w:rPr>
              <w:t>支付</w:t>
            </w:r>
            <w:r>
              <w:rPr>
                <w:rFonts w:hint="eastAsia" w:ascii="仿宋_GB2312" w:eastAsia="仿宋_GB2312" w:cs="宋体"/>
                <w:color w:val="000000"/>
                <w:lang w:val="en-US" w:eastAsia="zh-CN"/>
              </w:rPr>
              <w:t>县</w:t>
            </w:r>
            <w:r>
              <w:rPr>
                <w:rFonts w:hint="eastAsia" w:ascii="仿宋_GB2312" w:eastAsia="仿宋_GB2312" w:cs="宋体"/>
                <w:color w:val="000000"/>
              </w:rPr>
              <w:t>人大常委会主任、副主任差旅费、考务费、办公费等24.72万元。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4BBA8">
            <w:pPr>
              <w:widowControl/>
              <w:jc w:val="center"/>
              <w:textAlignment w:val="center"/>
              <w:rPr>
                <w:rFonts w:ascii="仿宋_GB2312" w:eastAsia="仿宋_GB2312"/>
                <w:color w:val="000000"/>
              </w:rPr>
            </w:pPr>
            <w:r>
              <w:rPr>
                <w:rFonts w:hint="eastAsia" w:ascii="仿宋_GB2312" w:eastAsia="仿宋_GB2312"/>
                <w:color w:val="000000"/>
              </w:rPr>
              <w:t>支付费用24.72万元。</w:t>
            </w:r>
          </w:p>
        </w:tc>
      </w:tr>
      <w:tr w14:paraId="2EC9E719">
        <w:tblPrEx>
          <w:tblCellMar>
            <w:top w:w="0" w:type="dxa"/>
            <w:left w:w="0" w:type="dxa"/>
            <w:bottom w:w="0" w:type="dxa"/>
            <w:right w:w="0" w:type="dxa"/>
          </w:tblCellMar>
        </w:tblPrEx>
        <w:trPr>
          <w:trHeight w:val="114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9A0772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3128FF">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5BD67B">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D033D5">
            <w:pPr>
              <w:widowControl/>
              <w:jc w:val="center"/>
              <w:textAlignment w:val="center"/>
              <w:rPr>
                <w:rFonts w:ascii="仿宋_GB2312" w:eastAsia="仿宋_GB2312"/>
                <w:color w:val="000000"/>
              </w:rPr>
            </w:pPr>
            <w:r>
              <w:rPr>
                <w:rFonts w:hint="eastAsia" w:ascii="仿宋_GB2312" w:eastAsia="仿宋_GB2312" w:cs="宋体"/>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838B34">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88502B">
            <w:pPr>
              <w:widowControl/>
              <w:jc w:val="center"/>
              <w:textAlignment w:val="center"/>
              <w:rPr>
                <w:rFonts w:ascii="仿宋_GB2312" w:eastAsia="仿宋_GB2312"/>
                <w:color w:val="000000"/>
              </w:rPr>
            </w:pPr>
            <w:r>
              <w:rPr>
                <w:rFonts w:hint="eastAsia" w:ascii="仿宋_GB2312" w:eastAsia="仿宋_GB2312"/>
                <w:color w:val="000000"/>
              </w:rPr>
              <w:t>完成</w:t>
            </w:r>
            <w:r>
              <w:rPr>
                <w:rFonts w:ascii="仿宋_GB2312" w:eastAsia="仿宋_GB2312"/>
                <w:color w:val="000000"/>
              </w:rPr>
              <w:t>100%</w:t>
            </w:r>
          </w:p>
        </w:tc>
      </w:tr>
      <w:tr w14:paraId="7AD41FB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5A3875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D6B7AD">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3F64A3">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FF8F7C">
            <w:pPr>
              <w:widowControl/>
              <w:jc w:val="center"/>
              <w:textAlignment w:val="center"/>
              <w:rPr>
                <w:rFonts w:ascii="仿宋_GB2312" w:eastAsia="仿宋_GB2312"/>
                <w:color w:val="000000"/>
              </w:rPr>
            </w:pPr>
            <w:r>
              <w:rPr>
                <w:rFonts w:hint="eastAsia" w:ascii="仿宋_GB2312" w:eastAsia="仿宋_GB2312" w:cs="宋体"/>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B966B0">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285B14">
            <w:pPr>
              <w:widowControl/>
              <w:jc w:val="center"/>
              <w:textAlignment w:val="center"/>
              <w:rPr>
                <w:rFonts w:ascii="仿宋_GB2312" w:eastAsia="仿宋_GB2312"/>
                <w:color w:val="000000"/>
              </w:rPr>
            </w:pPr>
            <w:r>
              <w:rPr>
                <w:rFonts w:hint="eastAsia" w:ascii="仿宋_GB2312" w:eastAsia="仿宋_GB2312"/>
                <w:color w:val="000000"/>
              </w:rPr>
              <w:t>资金支付</w:t>
            </w:r>
            <w:r>
              <w:rPr>
                <w:rFonts w:ascii="仿宋_GB2312" w:eastAsia="仿宋_GB2312"/>
                <w:color w:val="000000"/>
              </w:rPr>
              <w:t>100%</w:t>
            </w:r>
          </w:p>
        </w:tc>
      </w:tr>
      <w:tr w14:paraId="6CC7F02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A49D0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E645C0">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55E390">
            <w:pPr>
              <w:widowControl/>
              <w:jc w:val="center"/>
              <w:textAlignment w:val="center"/>
              <w:rPr>
                <w:rFonts w:ascii="仿宋_GB2312" w:eastAsia="仿宋_GB2312"/>
                <w:color w:val="000000"/>
              </w:rPr>
            </w:pPr>
            <w:r>
              <w:rPr>
                <w:rFonts w:hint="eastAsia" w:ascii="仿宋_GB2312" w:eastAsia="仿宋_GB2312" w:cs="宋体"/>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A454FE">
            <w:pPr>
              <w:widowControl/>
              <w:jc w:val="center"/>
              <w:textAlignment w:val="center"/>
              <w:rPr>
                <w:rFonts w:ascii="仿宋_GB2312" w:eastAsia="仿宋_GB2312"/>
                <w:color w:val="000000"/>
              </w:rPr>
            </w:pPr>
            <w:r>
              <w:rPr>
                <w:rFonts w:hint="eastAsia" w:ascii="仿宋_GB2312" w:eastAsia="仿宋_GB2312" w:cs="宋体"/>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68443C">
            <w:pPr>
              <w:widowControl/>
              <w:jc w:val="center"/>
              <w:textAlignment w:val="center"/>
              <w:rPr>
                <w:rFonts w:ascii="仿宋_GB2312" w:eastAsia="仿宋_GB2312"/>
                <w:color w:val="000000"/>
              </w:rPr>
            </w:pPr>
            <w:r>
              <w:rPr>
                <w:rFonts w:ascii="仿宋_GB2312" w:eastAsia="仿宋_GB2312" w:cs="宋体"/>
                <w:color w:val="000000"/>
              </w:rPr>
              <w:t>2018</w:t>
            </w:r>
            <w:r>
              <w:rPr>
                <w:rFonts w:hint="eastAsia" w:ascii="仿宋_GB2312" w:eastAsia="仿宋_GB2312" w:cs="宋体"/>
                <w:color w:val="000000"/>
              </w:rPr>
              <w:t>年</w:t>
            </w:r>
            <w:r>
              <w:rPr>
                <w:rFonts w:ascii="仿宋_GB2312" w:eastAsia="仿宋_GB2312" w:cs="宋体"/>
                <w:color w:val="000000"/>
              </w:rPr>
              <w:t>1-12</w:t>
            </w:r>
            <w:r>
              <w:rPr>
                <w:rFonts w:hint="eastAsia" w:ascii="仿宋_GB2312" w:eastAsia="仿宋_GB2312" w:cs="宋体"/>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E52C0">
            <w:pPr>
              <w:widowControl/>
              <w:jc w:val="center"/>
              <w:textAlignment w:val="center"/>
              <w:rPr>
                <w:rFonts w:ascii="仿宋_GB2312" w:eastAsia="仿宋_GB2312"/>
                <w:color w:val="000000"/>
              </w:rPr>
            </w:pPr>
            <w:r>
              <w:rPr>
                <w:rFonts w:ascii="仿宋_GB2312" w:eastAsia="仿宋_GB2312"/>
                <w:color w:val="000000"/>
              </w:rPr>
              <w:t>2018</w:t>
            </w:r>
            <w:r>
              <w:rPr>
                <w:rFonts w:hint="eastAsia" w:ascii="仿宋_GB2312" w:eastAsia="仿宋_GB2312"/>
                <w:color w:val="000000"/>
              </w:rPr>
              <w:t>年度全部完成</w:t>
            </w:r>
          </w:p>
        </w:tc>
      </w:tr>
      <w:tr w14:paraId="1BC3F1E1">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FF70FD">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8C53C3">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465B3F">
            <w:pPr>
              <w:widowControl/>
              <w:jc w:val="center"/>
              <w:textAlignment w:val="center"/>
              <w:rPr>
                <w:rFonts w:ascii="仿宋_GB2312" w:eastAsia="仿宋_GB2312"/>
                <w:color w:val="000000"/>
                <w:sz w:val="18"/>
                <w:szCs w:val="18"/>
              </w:rPr>
            </w:pPr>
            <w:r>
              <w:rPr>
                <w:rFonts w:hint="eastAsia" w:ascii="仿宋_GB2312" w:eastAsia="仿宋_GB2312"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1B16C">
            <w:pPr>
              <w:widowControl/>
              <w:jc w:val="center"/>
              <w:textAlignment w:val="center"/>
              <w:rPr>
                <w:rFonts w:ascii="仿宋_GB2312" w:eastAsia="仿宋_GB2312"/>
                <w:color w:val="000000"/>
              </w:rPr>
            </w:pPr>
            <w:r>
              <w:rPr>
                <w:rFonts w:hint="eastAsia" w:ascii="仿宋_GB2312" w:eastAsia="仿宋_GB2312" w:cs="宋体"/>
                <w:color w:val="000000"/>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AC6265">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43EEF">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r>
    </w:tbl>
    <w:p w14:paraId="1CCC0111">
      <w:pPr>
        <w:rPr>
          <w:rFonts w:ascii="Calibri" w:hAnsi="Calibri"/>
        </w:rPr>
      </w:pPr>
    </w:p>
    <w:p w14:paraId="22636D80">
      <w:pPr>
        <w:rPr>
          <w:rFonts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305C621">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EDB33C6">
            <w:pPr>
              <w:pStyle w:val="27"/>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14:paraId="597C65A6">
            <w:pPr>
              <w:pStyle w:val="27"/>
              <w:widowControl/>
              <w:ind w:left="4173" w:leftChars="1310" w:hanging="1422" w:hangingChars="395"/>
              <w:textAlignment w:val="center"/>
              <w:rPr>
                <w:rFonts w:ascii="宋体" w:cs="宋体"/>
                <w:color w:val="000000"/>
                <w:sz w:val="36"/>
                <w:szCs w:val="36"/>
              </w:rPr>
            </w:pP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4E7D624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640775">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5F36AA">
            <w:pPr>
              <w:widowControl/>
              <w:jc w:val="center"/>
              <w:textAlignment w:val="center"/>
              <w:rPr>
                <w:rFonts w:ascii="宋体" w:hAnsi="宋体" w:cs="宋体"/>
                <w:color w:val="000000"/>
                <w:kern w:val="0"/>
                <w:sz w:val="24"/>
              </w:rPr>
            </w:pPr>
            <w:r>
              <w:rPr>
                <w:rFonts w:hint="eastAsia" w:ascii="宋体" w:hAnsi="宋体" w:cs="宋体"/>
                <w:color w:val="000000"/>
                <w:kern w:val="0"/>
                <w:sz w:val="24"/>
              </w:rPr>
              <w:t>六委一室专项工作经费</w:t>
            </w:r>
          </w:p>
        </w:tc>
      </w:tr>
      <w:tr w14:paraId="7A52BC5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88B7FA">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026B17">
            <w:pPr>
              <w:widowControl/>
              <w:jc w:val="center"/>
              <w:textAlignment w:val="center"/>
              <w:rPr>
                <w:rFonts w:ascii="宋体" w:cs="宋体"/>
                <w:color w:val="000000"/>
                <w:sz w:val="24"/>
              </w:rPr>
            </w:pPr>
            <w:r>
              <w:rPr>
                <w:rFonts w:hint="eastAsia" w:ascii="宋体" w:cs="宋体"/>
                <w:color w:val="000000"/>
                <w:sz w:val="24"/>
              </w:rPr>
              <w:t>米易县人大常委会办公室</w:t>
            </w:r>
          </w:p>
        </w:tc>
      </w:tr>
      <w:tr w14:paraId="633A79A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AD6CCC">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4AD63F">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51C07B">
            <w:pPr>
              <w:widowControl/>
              <w:jc w:val="center"/>
              <w:textAlignment w:val="center"/>
              <w:rPr>
                <w:rFonts w:ascii="宋体" w:cs="宋体"/>
                <w:color w:val="000000"/>
                <w:sz w:val="24"/>
              </w:rPr>
            </w:pPr>
            <w:r>
              <w:rPr>
                <w:rFonts w:hint="eastAsia" w:ascii="宋体" w:cs="宋体"/>
                <w:color w:val="000000"/>
                <w:sz w:val="24"/>
              </w:rPr>
              <w:t>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E42D4D">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566BE7">
            <w:pPr>
              <w:widowControl/>
              <w:jc w:val="center"/>
              <w:textAlignment w:val="center"/>
              <w:rPr>
                <w:rFonts w:ascii="宋体" w:cs="宋体"/>
                <w:color w:val="000000"/>
                <w:sz w:val="24"/>
              </w:rPr>
            </w:pPr>
            <w:r>
              <w:rPr>
                <w:rFonts w:hint="eastAsia" w:ascii="宋体" w:cs="宋体"/>
                <w:color w:val="000000"/>
                <w:sz w:val="24"/>
              </w:rPr>
              <w:t>21万元</w:t>
            </w:r>
          </w:p>
        </w:tc>
      </w:tr>
      <w:tr w14:paraId="6C291ADB">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DBA1B40">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7E458">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4114DA">
            <w:pPr>
              <w:widowControl/>
              <w:jc w:val="center"/>
              <w:textAlignment w:val="center"/>
              <w:rPr>
                <w:rFonts w:ascii="宋体" w:cs="宋体"/>
                <w:color w:val="000000"/>
                <w:sz w:val="24"/>
              </w:rPr>
            </w:pPr>
            <w:r>
              <w:rPr>
                <w:rFonts w:hint="eastAsia" w:ascii="宋体" w:cs="宋体"/>
                <w:color w:val="000000"/>
                <w:sz w:val="24"/>
              </w:rPr>
              <w:t>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64E02">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9B4114">
            <w:pPr>
              <w:widowControl/>
              <w:jc w:val="center"/>
              <w:textAlignment w:val="center"/>
              <w:rPr>
                <w:rFonts w:ascii="宋体" w:cs="宋体"/>
                <w:color w:val="000000"/>
                <w:sz w:val="24"/>
              </w:rPr>
            </w:pPr>
            <w:r>
              <w:rPr>
                <w:rFonts w:hint="eastAsia" w:ascii="宋体" w:cs="宋体"/>
                <w:color w:val="000000"/>
                <w:sz w:val="24"/>
              </w:rPr>
              <w:t>21万元</w:t>
            </w:r>
          </w:p>
        </w:tc>
      </w:tr>
      <w:tr w14:paraId="0863B66E">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ADFB161">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B35A8F">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3C8F00">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241EBB">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41885E">
            <w:pPr>
              <w:jc w:val="center"/>
              <w:rPr>
                <w:rFonts w:ascii="宋体" w:cs="宋体"/>
                <w:color w:val="000000"/>
                <w:sz w:val="24"/>
              </w:rPr>
            </w:pPr>
          </w:p>
        </w:tc>
      </w:tr>
      <w:tr w14:paraId="65D161A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B7E671">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D10D53">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A2781">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240F7325">
        <w:tblPrEx>
          <w:tblCellMar>
            <w:top w:w="0" w:type="dxa"/>
            <w:left w:w="0" w:type="dxa"/>
            <w:bottom w:w="0" w:type="dxa"/>
            <w:right w:w="0" w:type="dxa"/>
          </w:tblCellMar>
        </w:tblPrEx>
        <w:trPr>
          <w:trHeight w:val="16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90B58AA">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F8A150">
            <w:pPr>
              <w:tabs>
                <w:tab w:val="left" w:pos="312"/>
              </w:tabs>
              <w:spacing w:line="580" w:lineRule="exact"/>
              <w:jc w:val="left"/>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保障</w:t>
            </w:r>
            <w:r>
              <w:rPr>
                <w:rFonts w:hint="eastAsia" w:cs="仿宋_GB2312" w:asciiTheme="majorEastAsia" w:hAnsiTheme="majorEastAsia" w:eastAsiaTheme="majorEastAsia"/>
                <w:sz w:val="32"/>
                <w:szCs w:val="32"/>
                <w:lang w:val="en-US" w:eastAsia="zh-CN"/>
              </w:rPr>
              <w:t>县</w:t>
            </w:r>
            <w:r>
              <w:rPr>
                <w:rFonts w:hint="eastAsia" w:cs="仿宋_GB2312" w:asciiTheme="majorEastAsia" w:hAnsiTheme="majorEastAsia" w:eastAsiaTheme="majorEastAsia"/>
                <w:sz w:val="32"/>
                <w:szCs w:val="32"/>
              </w:rPr>
              <w:t>人大常委会六委一室的正常工作运转。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2DB241">
            <w:pPr>
              <w:widowControl/>
              <w:jc w:val="left"/>
              <w:textAlignment w:val="center"/>
              <w:rPr>
                <w:rFonts w:cs="宋体" w:asciiTheme="majorEastAsia" w:hAnsiTheme="majorEastAsia" w:eastAsiaTheme="majorEastAsia"/>
                <w:color w:val="000000"/>
                <w:sz w:val="32"/>
                <w:szCs w:val="32"/>
              </w:rPr>
            </w:pPr>
            <w:r>
              <w:rPr>
                <w:rFonts w:hint="eastAsia" w:cs="仿宋_GB2312" w:asciiTheme="majorEastAsia" w:hAnsiTheme="majorEastAsia" w:eastAsiaTheme="majorEastAsia"/>
                <w:sz w:val="32"/>
                <w:szCs w:val="32"/>
              </w:rPr>
              <w:t>保障</w:t>
            </w:r>
            <w:r>
              <w:rPr>
                <w:rFonts w:hint="eastAsia" w:cs="仿宋_GB2312" w:asciiTheme="majorEastAsia" w:hAnsiTheme="majorEastAsia" w:eastAsiaTheme="majorEastAsia"/>
                <w:sz w:val="32"/>
                <w:szCs w:val="32"/>
                <w:lang w:val="en-US" w:eastAsia="zh-CN"/>
              </w:rPr>
              <w:t>县</w:t>
            </w:r>
            <w:r>
              <w:rPr>
                <w:rFonts w:hint="eastAsia" w:cs="仿宋_GB2312" w:asciiTheme="majorEastAsia" w:hAnsiTheme="majorEastAsia" w:eastAsiaTheme="majorEastAsia"/>
                <w:sz w:val="32"/>
                <w:szCs w:val="32"/>
              </w:rPr>
              <w:t>人大常委会六委一室的正常工作运转。</w:t>
            </w:r>
          </w:p>
        </w:tc>
      </w:tr>
      <w:tr w14:paraId="22E4F52A">
        <w:tblPrEx>
          <w:tblCellMar>
            <w:top w:w="0" w:type="dxa"/>
            <w:left w:w="0" w:type="dxa"/>
            <w:bottom w:w="0" w:type="dxa"/>
            <w:right w:w="0" w:type="dxa"/>
          </w:tblCellMar>
        </w:tblPrEx>
        <w:trPr>
          <w:trHeight w:val="93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AD7B20">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DC345C">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4F6C89">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76F4B5">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B61144">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85E470">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67719A9A">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DDFFF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EABBC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356F6E">
            <w:pPr>
              <w:widowControl/>
              <w:jc w:val="center"/>
              <w:textAlignment w:val="center"/>
              <w:rPr>
                <w:rFonts w:ascii="仿宋_GB2312" w:eastAsia="仿宋_GB2312"/>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DFCD67">
            <w:pPr>
              <w:widowControl/>
              <w:jc w:val="center"/>
              <w:textAlignment w:val="center"/>
              <w:rPr>
                <w:rFonts w:ascii="仿宋_GB2312" w:eastAsia="仿宋_GB2312"/>
                <w:color w:val="000000"/>
              </w:rPr>
            </w:pPr>
            <w:r>
              <w:rPr>
                <w:rFonts w:hint="eastAsia" w:ascii="仿宋_GB2312" w:eastAsia="仿宋_GB2312" w:cs="宋体"/>
                <w:color w:val="000000"/>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A24D01">
            <w:pPr>
              <w:widowControl/>
              <w:jc w:val="left"/>
              <w:textAlignment w:val="center"/>
              <w:rPr>
                <w:rFonts w:ascii="仿宋_GB2312" w:eastAsia="仿宋_GB2312"/>
                <w:color w:val="000000"/>
              </w:rPr>
            </w:pPr>
            <w:r>
              <w:rPr>
                <w:rFonts w:hint="eastAsia" w:ascii="仿宋_GB2312" w:eastAsia="仿宋_GB2312" w:cs="宋体"/>
                <w:color w:val="000000"/>
              </w:rPr>
              <w:t>支付六委一室工作经费等21万元。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C3B7D0">
            <w:pPr>
              <w:widowControl/>
              <w:jc w:val="center"/>
              <w:textAlignment w:val="center"/>
              <w:rPr>
                <w:rFonts w:ascii="仿宋_GB2312" w:eastAsia="仿宋_GB2312"/>
                <w:color w:val="000000"/>
              </w:rPr>
            </w:pPr>
            <w:r>
              <w:rPr>
                <w:rFonts w:hint="eastAsia" w:ascii="仿宋_GB2312" w:eastAsia="仿宋_GB2312"/>
                <w:color w:val="000000"/>
              </w:rPr>
              <w:t>支付费用21万元。</w:t>
            </w:r>
          </w:p>
        </w:tc>
      </w:tr>
      <w:tr w14:paraId="3FC9EEDE">
        <w:tblPrEx>
          <w:tblCellMar>
            <w:top w:w="0" w:type="dxa"/>
            <w:left w:w="0" w:type="dxa"/>
            <w:bottom w:w="0" w:type="dxa"/>
            <w:right w:w="0" w:type="dxa"/>
          </w:tblCellMar>
        </w:tblPrEx>
        <w:trPr>
          <w:trHeight w:val="8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E6B872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179EC">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66CD66">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1972F3">
            <w:pPr>
              <w:widowControl/>
              <w:jc w:val="center"/>
              <w:textAlignment w:val="center"/>
              <w:rPr>
                <w:rFonts w:ascii="仿宋_GB2312" w:eastAsia="仿宋_GB2312"/>
                <w:color w:val="000000"/>
              </w:rPr>
            </w:pPr>
            <w:r>
              <w:rPr>
                <w:rFonts w:hint="eastAsia" w:ascii="仿宋_GB2312" w:eastAsia="仿宋_GB2312" w:cs="宋体"/>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5922EE">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63533B">
            <w:pPr>
              <w:widowControl/>
              <w:jc w:val="center"/>
              <w:textAlignment w:val="center"/>
              <w:rPr>
                <w:rFonts w:ascii="仿宋_GB2312" w:eastAsia="仿宋_GB2312"/>
                <w:color w:val="000000"/>
              </w:rPr>
            </w:pPr>
            <w:r>
              <w:rPr>
                <w:rFonts w:hint="eastAsia" w:ascii="仿宋_GB2312" w:eastAsia="仿宋_GB2312"/>
                <w:color w:val="000000"/>
              </w:rPr>
              <w:t>完成</w:t>
            </w:r>
            <w:r>
              <w:rPr>
                <w:rFonts w:ascii="仿宋_GB2312" w:eastAsia="仿宋_GB2312"/>
                <w:color w:val="000000"/>
              </w:rPr>
              <w:t>100%</w:t>
            </w:r>
          </w:p>
        </w:tc>
      </w:tr>
      <w:tr w14:paraId="25A1A542">
        <w:tblPrEx>
          <w:tblCellMar>
            <w:top w:w="0" w:type="dxa"/>
            <w:left w:w="0" w:type="dxa"/>
            <w:bottom w:w="0" w:type="dxa"/>
            <w:right w:w="0" w:type="dxa"/>
          </w:tblCellMar>
        </w:tblPrEx>
        <w:trPr>
          <w:trHeight w:val="9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2CCEE53">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7CEFED">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97EE5F">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6D92CF">
            <w:pPr>
              <w:widowControl/>
              <w:jc w:val="center"/>
              <w:textAlignment w:val="center"/>
              <w:rPr>
                <w:rFonts w:ascii="仿宋_GB2312" w:eastAsia="仿宋_GB2312"/>
                <w:color w:val="000000"/>
              </w:rPr>
            </w:pPr>
            <w:r>
              <w:rPr>
                <w:rFonts w:hint="eastAsia" w:ascii="仿宋_GB2312" w:eastAsia="仿宋_GB2312" w:cs="宋体"/>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6E11FC">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28C03">
            <w:pPr>
              <w:widowControl/>
              <w:jc w:val="center"/>
              <w:textAlignment w:val="center"/>
              <w:rPr>
                <w:rFonts w:ascii="仿宋_GB2312" w:eastAsia="仿宋_GB2312"/>
                <w:color w:val="000000"/>
              </w:rPr>
            </w:pPr>
            <w:r>
              <w:rPr>
                <w:rFonts w:hint="eastAsia" w:ascii="仿宋_GB2312" w:eastAsia="仿宋_GB2312"/>
                <w:color w:val="000000"/>
              </w:rPr>
              <w:t>资金支付</w:t>
            </w:r>
            <w:r>
              <w:rPr>
                <w:rFonts w:ascii="仿宋_GB2312" w:eastAsia="仿宋_GB2312"/>
                <w:color w:val="000000"/>
              </w:rPr>
              <w:t>100%</w:t>
            </w:r>
          </w:p>
        </w:tc>
      </w:tr>
      <w:tr w14:paraId="4A318C37">
        <w:trPr>
          <w:trHeight w:val="64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21C17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52CADD">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5535B">
            <w:pPr>
              <w:widowControl/>
              <w:jc w:val="center"/>
              <w:textAlignment w:val="center"/>
              <w:rPr>
                <w:rFonts w:ascii="仿宋_GB2312" w:eastAsia="仿宋_GB2312"/>
                <w:color w:val="000000"/>
              </w:rPr>
            </w:pPr>
            <w:r>
              <w:rPr>
                <w:rFonts w:hint="eastAsia" w:ascii="仿宋_GB2312" w:eastAsia="仿宋_GB2312" w:cs="宋体"/>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09C525">
            <w:pPr>
              <w:widowControl/>
              <w:jc w:val="center"/>
              <w:textAlignment w:val="center"/>
              <w:rPr>
                <w:rFonts w:ascii="仿宋_GB2312" w:eastAsia="仿宋_GB2312"/>
                <w:color w:val="000000"/>
              </w:rPr>
            </w:pPr>
            <w:r>
              <w:rPr>
                <w:rFonts w:hint="eastAsia" w:ascii="仿宋_GB2312" w:eastAsia="仿宋_GB2312" w:cs="宋体"/>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AD0718">
            <w:pPr>
              <w:widowControl/>
              <w:jc w:val="center"/>
              <w:textAlignment w:val="center"/>
              <w:rPr>
                <w:rFonts w:ascii="仿宋_GB2312" w:eastAsia="仿宋_GB2312"/>
                <w:color w:val="000000"/>
              </w:rPr>
            </w:pPr>
            <w:r>
              <w:rPr>
                <w:rFonts w:ascii="仿宋_GB2312" w:eastAsia="仿宋_GB2312" w:cs="宋体"/>
                <w:color w:val="000000"/>
              </w:rPr>
              <w:t>2018</w:t>
            </w:r>
            <w:r>
              <w:rPr>
                <w:rFonts w:hint="eastAsia" w:ascii="仿宋_GB2312" w:eastAsia="仿宋_GB2312" w:cs="宋体"/>
                <w:color w:val="000000"/>
              </w:rPr>
              <w:t>年</w:t>
            </w:r>
            <w:r>
              <w:rPr>
                <w:rFonts w:ascii="仿宋_GB2312" w:eastAsia="仿宋_GB2312" w:cs="宋体"/>
                <w:color w:val="000000"/>
              </w:rPr>
              <w:t>1-12</w:t>
            </w:r>
            <w:r>
              <w:rPr>
                <w:rFonts w:hint="eastAsia" w:ascii="仿宋_GB2312" w:eastAsia="仿宋_GB2312" w:cs="宋体"/>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EC9D00">
            <w:pPr>
              <w:widowControl/>
              <w:jc w:val="center"/>
              <w:textAlignment w:val="center"/>
              <w:rPr>
                <w:rFonts w:ascii="仿宋_GB2312" w:eastAsia="仿宋_GB2312"/>
                <w:color w:val="000000"/>
              </w:rPr>
            </w:pPr>
            <w:r>
              <w:rPr>
                <w:rFonts w:ascii="仿宋_GB2312" w:eastAsia="仿宋_GB2312"/>
                <w:color w:val="000000"/>
              </w:rPr>
              <w:t>2018</w:t>
            </w:r>
            <w:r>
              <w:rPr>
                <w:rFonts w:hint="eastAsia" w:ascii="仿宋_GB2312" w:eastAsia="仿宋_GB2312"/>
                <w:color w:val="000000"/>
              </w:rPr>
              <w:t>年度全部完成</w:t>
            </w:r>
          </w:p>
        </w:tc>
      </w:tr>
      <w:tr w14:paraId="36CE012A">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00A45B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90B543">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441B52">
            <w:pPr>
              <w:widowControl/>
              <w:jc w:val="center"/>
              <w:textAlignment w:val="center"/>
              <w:rPr>
                <w:rFonts w:ascii="仿宋_GB2312" w:eastAsia="仿宋_GB2312"/>
                <w:color w:val="000000"/>
                <w:sz w:val="18"/>
                <w:szCs w:val="18"/>
              </w:rPr>
            </w:pPr>
            <w:r>
              <w:rPr>
                <w:rFonts w:hint="eastAsia" w:ascii="仿宋_GB2312" w:eastAsia="仿宋_GB2312"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BC8DDF">
            <w:pPr>
              <w:widowControl/>
              <w:jc w:val="center"/>
              <w:textAlignment w:val="center"/>
              <w:rPr>
                <w:rFonts w:ascii="仿宋_GB2312" w:eastAsia="仿宋_GB2312"/>
                <w:color w:val="000000"/>
              </w:rPr>
            </w:pPr>
            <w:r>
              <w:rPr>
                <w:rFonts w:hint="eastAsia" w:ascii="仿宋_GB2312" w:eastAsia="仿宋_GB2312" w:cs="宋体"/>
                <w:color w:val="000000"/>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C07E13">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B098F5">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r>
      <w:tr w14:paraId="1CE5DBC1">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A162BEC">
            <w:pPr>
              <w:pStyle w:val="27"/>
              <w:widowControl/>
              <w:ind w:firstLine="0" w:firstLineChars="0"/>
              <w:textAlignment w:val="center"/>
              <w:rPr>
                <w:rFonts w:ascii="黑体" w:hAnsi="黑体" w:eastAsia="黑体" w:cs="宋体"/>
                <w:bCs/>
                <w:color w:val="000000"/>
                <w:kern w:val="0"/>
                <w:sz w:val="36"/>
                <w:szCs w:val="36"/>
              </w:rPr>
            </w:pPr>
          </w:p>
          <w:p w14:paraId="334650A1">
            <w:pPr>
              <w:pStyle w:val="27"/>
              <w:widowControl/>
              <w:ind w:firstLineChars="0"/>
              <w:jc w:val="center"/>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14:paraId="501AFC34">
            <w:pPr>
              <w:pStyle w:val="27"/>
              <w:widowControl/>
              <w:ind w:firstLineChars="0"/>
              <w:jc w:val="center"/>
              <w:textAlignment w:val="center"/>
              <w:rPr>
                <w:rFonts w:ascii="宋体" w:cs="宋体"/>
                <w:color w:val="000000"/>
                <w:sz w:val="36"/>
                <w:szCs w:val="36"/>
              </w:rPr>
            </w:pP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63D1D84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ED551B">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8BC946">
            <w:pPr>
              <w:widowControl/>
              <w:jc w:val="center"/>
              <w:textAlignment w:val="center"/>
              <w:rPr>
                <w:rFonts w:ascii="宋体" w:hAnsi="宋体" w:cs="宋体"/>
                <w:color w:val="000000"/>
                <w:kern w:val="0"/>
                <w:sz w:val="24"/>
              </w:rPr>
            </w:pPr>
            <w:r>
              <w:rPr>
                <w:rFonts w:hint="eastAsia" w:ascii="宋体" w:hAnsi="宋体" w:cs="宋体"/>
                <w:color w:val="000000"/>
                <w:kern w:val="0"/>
                <w:sz w:val="24"/>
              </w:rPr>
              <w:t>乡镇人大代表之家建设经费</w:t>
            </w:r>
          </w:p>
        </w:tc>
      </w:tr>
      <w:tr w14:paraId="7D3D72D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7E87E">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FBED8D">
            <w:pPr>
              <w:widowControl/>
              <w:jc w:val="center"/>
              <w:textAlignment w:val="center"/>
              <w:rPr>
                <w:rFonts w:ascii="宋体" w:cs="宋体"/>
                <w:color w:val="000000"/>
                <w:sz w:val="24"/>
              </w:rPr>
            </w:pPr>
            <w:r>
              <w:rPr>
                <w:rFonts w:hint="eastAsia" w:ascii="宋体" w:cs="宋体"/>
                <w:color w:val="000000"/>
                <w:sz w:val="24"/>
              </w:rPr>
              <w:t>米易县人大常委会办公室</w:t>
            </w:r>
          </w:p>
        </w:tc>
      </w:tr>
      <w:tr w14:paraId="3F4A8ED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1F8A67">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9A945F">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E67D4E">
            <w:pPr>
              <w:widowControl/>
              <w:jc w:val="center"/>
              <w:textAlignment w:val="center"/>
              <w:rPr>
                <w:rFonts w:ascii="宋体" w:cs="宋体"/>
                <w:color w:val="000000"/>
                <w:sz w:val="24"/>
              </w:rPr>
            </w:pPr>
            <w:r>
              <w:rPr>
                <w:rFonts w:hint="eastAsia" w:ascii="宋体" w:cs="宋体"/>
                <w:color w:val="000000"/>
                <w:sz w:val="24"/>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FC2356">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3B70CC">
            <w:pPr>
              <w:widowControl/>
              <w:jc w:val="center"/>
              <w:textAlignment w:val="center"/>
              <w:rPr>
                <w:rFonts w:ascii="宋体" w:cs="宋体"/>
                <w:color w:val="000000"/>
                <w:sz w:val="24"/>
              </w:rPr>
            </w:pPr>
            <w:r>
              <w:rPr>
                <w:rFonts w:hint="eastAsia" w:ascii="宋体" w:cs="宋体"/>
                <w:color w:val="000000"/>
                <w:sz w:val="24"/>
              </w:rPr>
              <w:t>24万元</w:t>
            </w:r>
          </w:p>
        </w:tc>
      </w:tr>
      <w:tr w14:paraId="5B49F2C9">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766E22A">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A00662">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BFDDDA">
            <w:pPr>
              <w:widowControl/>
              <w:jc w:val="center"/>
              <w:textAlignment w:val="center"/>
              <w:rPr>
                <w:rFonts w:ascii="宋体" w:cs="宋体"/>
                <w:color w:val="000000"/>
                <w:sz w:val="24"/>
              </w:rPr>
            </w:pPr>
            <w:r>
              <w:rPr>
                <w:rFonts w:hint="eastAsia" w:ascii="宋体" w:cs="宋体"/>
                <w:color w:val="000000"/>
                <w:sz w:val="24"/>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4F0BA0">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9BDC08">
            <w:pPr>
              <w:widowControl/>
              <w:jc w:val="center"/>
              <w:textAlignment w:val="center"/>
              <w:rPr>
                <w:rFonts w:ascii="宋体" w:cs="宋体"/>
                <w:color w:val="000000"/>
                <w:sz w:val="24"/>
              </w:rPr>
            </w:pPr>
            <w:r>
              <w:rPr>
                <w:rFonts w:hint="eastAsia" w:ascii="宋体" w:cs="宋体"/>
                <w:color w:val="000000"/>
                <w:sz w:val="24"/>
              </w:rPr>
              <w:t>24万元</w:t>
            </w:r>
          </w:p>
        </w:tc>
      </w:tr>
      <w:tr w14:paraId="600AB9CB">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C3B684">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A3B438">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8220EA">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00577">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916121">
            <w:pPr>
              <w:jc w:val="center"/>
              <w:rPr>
                <w:rFonts w:ascii="宋体" w:cs="宋体"/>
                <w:color w:val="000000"/>
                <w:sz w:val="24"/>
              </w:rPr>
            </w:pPr>
          </w:p>
        </w:tc>
      </w:tr>
      <w:tr w14:paraId="382D963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3DA0AF">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5AE4F0">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26CFBE">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2ABD923C">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BA5982A">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36E70D07">
            <w:pPr>
              <w:rPr>
                <w:sz w:val="24"/>
              </w:rPr>
            </w:pPr>
            <w:r>
              <w:rPr>
                <w:rFonts w:hint="eastAsia" w:ascii="仿宋_GB2312" w:hAnsi="仿宋_GB2312" w:eastAsia="仿宋_GB2312" w:cs="仿宋_GB2312"/>
                <w:sz w:val="24"/>
              </w:rPr>
              <w:t>保障乡镇人大代表开展活动的阵地，解决乡镇人大代表“活动难组织难开展，能力难提升难发挥，实效难体现”等突出问题，使“人大代表之家”真正成为人大代表学习进步的平台、履职尽责的平台、展示形象的平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69FB1EA3">
            <w:pPr>
              <w:rPr>
                <w:sz w:val="24"/>
              </w:rPr>
            </w:pPr>
            <w:r>
              <w:rPr>
                <w:rFonts w:hint="eastAsia" w:ascii="仿宋_GB2312" w:hAnsi="仿宋_GB2312" w:eastAsia="仿宋_GB2312" w:cs="仿宋_GB2312"/>
                <w:sz w:val="24"/>
              </w:rPr>
              <w:t>保障乡镇人大代表开展活动的阵地，解决乡镇人大代表“活动难组织难开展，能力难提升难发挥，实效难体现”等突出问题，使“人大代表之家”真正成为人大代表学习进步的平台、履职尽责的平台、展示形象的平台。</w:t>
            </w:r>
          </w:p>
        </w:tc>
      </w:tr>
      <w:tr w14:paraId="61DA86FB">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E9BB43">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8A2190">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38BD4E">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B8776C">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B0799E">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8B3432">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7002EE64">
        <w:tblPrEx>
          <w:tblCellMar>
            <w:top w:w="0" w:type="dxa"/>
            <w:left w:w="0" w:type="dxa"/>
            <w:bottom w:w="0" w:type="dxa"/>
            <w:right w:w="0" w:type="dxa"/>
          </w:tblCellMar>
        </w:tblPrEx>
        <w:trPr>
          <w:trHeight w:val="7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AD0837D">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7458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7A46CE">
            <w:pPr>
              <w:widowControl/>
              <w:jc w:val="center"/>
              <w:textAlignment w:val="center"/>
              <w:rPr>
                <w:rFonts w:ascii="仿宋_GB2312" w:eastAsia="仿宋_GB2312"/>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24C85C">
            <w:pPr>
              <w:widowControl/>
              <w:jc w:val="center"/>
              <w:textAlignment w:val="center"/>
              <w:rPr>
                <w:rFonts w:ascii="仿宋_GB2312" w:eastAsia="仿宋_GB2312"/>
                <w:color w:val="000000"/>
              </w:rPr>
            </w:pPr>
            <w:r>
              <w:rPr>
                <w:rFonts w:hint="eastAsia" w:ascii="仿宋_GB2312" w:eastAsia="仿宋_GB2312" w:cs="宋体"/>
                <w:color w:val="000000"/>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97E95">
            <w:pPr>
              <w:widowControl/>
              <w:jc w:val="left"/>
              <w:textAlignment w:val="center"/>
              <w:rPr>
                <w:rFonts w:ascii="仿宋_GB2312" w:eastAsia="仿宋_GB2312"/>
                <w:color w:val="000000"/>
              </w:rPr>
            </w:pPr>
            <w:r>
              <w:rPr>
                <w:rFonts w:hint="eastAsia" w:ascii="仿宋_GB2312" w:eastAsia="仿宋_GB2312" w:cs="宋体"/>
                <w:color w:val="000000"/>
              </w:rPr>
              <w:t>支付乡镇人大代表之家建设经费24万元。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C0E64">
            <w:pPr>
              <w:widowControl/>
              <w:jc w:val="left"/>
              <w:textAlignment w:val="center"/>
              <w:rPr>
                <w:rFonts w:ascii="仿宋_GB2312" w:eastAsia="仿宋_GB2312"/>
                <w:color w:val="000000"/>
              </w:rPr>
            </w:pPr>
            <w:r>
              <w:rPr>
                <w:rFonts w:hint="eastAsia" w:ascii="仿宋_GB2312" w:eastAsia="仿宋_GB2312" w:cs="宋体"/>
                <w:color w:val="000000"/>
              </w:rPr>
              <w:t>支付乡镇人大代表之家建设经费24万元。</w:t>
            </w:r>
          </w:p>
        </w:tc>
      </w:tr>
      <w:tr w14:paraId="5405EFC6">
        <w:tblPrEx>
          <w:tblCellMar>
            <w:top w:w="0" w:type="dxa"/>
            <w:left w:w="0" w:type="dxa"/>
            <w:bottom w:w="0" w:type="dxa"/>
            <w:right w:w="0" w:type="dxa"/>
          </w:tblCellMar>
        </w:tblPrEx>
        <w:trPr>
          <w:trHeight w:val="9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91B530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3DD6B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6182A8">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4E824D">
            <w:pPr>
              <w:widowControl/>
              <w:jc w:val="center"/>
              <w:textAlignment w:val="center"/>
              <w:rPr>
                <w:rFonts w:ascii="仿宋_GB2312" w:eastAsia="仿宋_GB2312"/>
                <w:color w:val="000000"/>
              </w:rPr>
            </w:pPr>
            <w:r>
              <w:rPr>
                <w:rFonts w:hint="eastAsia" w:ascii="仿宋_GB2312" w:eastAsia="仿宋_GB2312" w:cs="宋体"/>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D7BA9">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63AFD">
            <w:pPr>
              <w:widowControl/>
              <w:jc w:val="center"/>
              <w:textAlignment w:val="center"/>
              <w:rPr>
                <w:rFonts w:ascii="仿宋_GB2312" w:eastAsia="仿宋_GB2312"/>
                <w:color w:val="000000"/>
              </w:rPr>
            </w:pPr>
            <w:r>
              <w:rPr>
                <w:rFonts w:hint="eastAsia" w:ascii="仿宋_GB2312" w:eastAsia="仿宋_GB2312"/>
                <w:color w:val="000000"/>
              </w:rPr>
              <w:t>完成</w:t>
            </w:r>
            <w:r>
              <w:rPr>
                <w:rFonts w:ascii="仿宋_GB2312" w:eastAsia="仿宋_GB2312"/>
                <w:color w:val="000000"/>
              </w:rPr>
              <w:t>100%</w:t>
            </w:r>
          </w:p>
        </w:tc>
      </w:tr>
      <w:tr w14:paraId="75305D9B">
        <w:tblPrEx>
          <w:tblCellMar>
            <w:top w:w="0" w:type="dxa"/>
            <w:left w:w="0" w:type="dxa"/>
            <w:bottom w:w="0" w:type="dxa"/>
            <w:right w:w="0" w:type="dxa"/>
          </w:tblCellMar>
        </w:tblPrEx>
        <w:trPr>
          <w:trHeight w:val="83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85DEC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631D4B">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0240C3">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0C3C52">
            <w:pPr>
              <w:widowControl/>
              <w:jc w:val="center"/>
              <w:textAlignment w:val="center"/>
              <w:rPr>
                <w:rFonts w:ascii="仿宋_GB2312" w:eastAsia="仿宋_GB2312"/>
                <w:color w:val="000000"/>
              </w:rPr>
            </w:pPr>
            <w:r>
              <w:rPr>
                <w:rFonts w:hint="eastAsia" w:ascii="仿宋_GB2312" w:eastAsia="仿宋_GB2312" w:cs="宋体"/>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29268F">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F3974A">
            <w:pPr>
              <w:widowControl/>
              <w:jc w:val="center"/>
              <w:textAlignment w:val="center"/>
              <w:rPr>
                <w:rFonts w:ascii="仿宋_GB2312" w:eastAsia="仿宋_GB2312"/>
                <w:color w:val="000000"/>
              </w:rPr>
            </w:pPr>
            <w:r>
              <w:rPr>
                <w:rFonts w:hint="eastAsia" w:ascii="仿宋_GB2312" w:eastAsia="仿宋_GB2312"/>
                <w:color w:val="000000"/>
              </w:rPr>
              <w:t>资金支付</w:t>
            </w:r>
            <w:r>
              <w:rPr>
                <w:rFonts w:ascii="仿宋_GB2312" w:eastAsia="仿宋_GB2312"/>
                <w:color w:val="000000"/>
              </w:rPr>
              <w:t>100%</w:t>
            </w:r>
          </w:p>
        </w:tc>
      </w:tr>
      <w:tr w14:paraId="2530429E">
        <w:tblPrEx>
          <w:tblCellMar>
            <w:top w:w="0" w:type="dxa"/>
            <w:left w:w="0" w:type="dxa"/>
            <w:bottom w:w="0" w:type="dxa"/>
            <w:right w:w="0" w:type="dxa"/>
          </w:tblCellMar>
        </w:tblPrEx>
        <w:trPr>
          <w:trHeight w:val="8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F5AE4C">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7B1CF7">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51FB24">
            <w:pPr>
              <w:widowControl/>
              <w:jc w:val="center"/>
              <w:textAlignment w:val="center"/>
              <w:rPr>
                <w:rFonts w:ascii="仿宋_GB2312" w:eastAsia="仿宋_GB2312"/>
                <w:color w:val="000000"/>
              </w:rPr>
            </w:pPr>
            <w:r>
              <w:rPr>
                <w:rFonts w:hint="eastAsia" w:ascii="仿宋_GB2312" w:eastAsia="仿宋_GB2312" w:cs="宋体"/>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5745B1">
            <w:pPr>
              <w:widowControl/>
              <w:jc w:val="center"/>
              <w:textAlignment w:val="center"/>
              <w:rPr>
                <w:rFonts w:ascii="仿宋_GB2312" w:eastAsia="仿宋_GB2312"/>
                <w:color w:val="000000"/>
              </w:rPr>
            </w:pPr>
            <w:r>
              <w:rPr>
                <w:rFonts w:hint="eastAsia" w:ascii="仿宋_GB2312" w:eastAsia="仿宋_GB2312" w:cs="宋体"/>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6FA8BF">
            <w:pPr>
              <w:widowControl/>
              <w:jc w:val="center"/>
              <w:textAlignment w:val="center"/>
              <w:rPr>
                <w:rFonts w:ascii="仿宋_GB2312" w:eastAsia="仿宋_GB2312"/>
                <w:color w:val="000000"/>
              </w:rPr>
            </w:pPr>
            <w:r>
              <w:rPr>
                <w:rFonts w:ascii="仿宋_GB2312" w:eastAsia="仿宋_GB2312" w:cs="宋体"/>
                <w:color w:val="000000"/>
              </w:rPr>
              <w:t>2018</w:t>
            </w:r>
            <w:r>
              <w:rPr>
                <w:rFonts w:hint="eastAsia" w:ascii="仿宋_GB2312" w:eastAsia="仿宋_GB2312" w:cs="宋体"/>
                <w:color w:val="000000"/>
              </w:rPr>
              <w:t>年</w:t>
            </w:r>
            <w:r>
              <w:rPr>
                <w:rFonts w:ascii="仿宋_GB2312" w:eastAsia="仿宋_GB2312" w:cs="宋体"/>
                <w:color w:val="000000"/>
              </w:rPr>
              <w:t>1-12</w:t>
            </w:r>
            <w:r>
              <w:rPr>
                <w:rFonts w:hint="eastAsia" w:ascii="仿宋_GB2312" w:eastAsia="仿宋_GB2312" w:cs="宋体"/>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8C74EB">
            <w:pPr>
              <w:widowControl/>
              <w:jc w:val="center"/>
              <w:textAlignment w:val="center"/>
              <w:rPr>
                <w:rFonts w:ascii="仿宋_GB2312" w:eastAsia="仿宋_GB2312"/>
                <w:color w:val="000000"/>
              </w:rPr>
            </w:pPr>
            <w:r>
              <w:rPr>
                <w:rFonts w:ascii="仿宋_GB2312" w:eastAsia="仿宋_GB2312"/>
                <w:color w:val="000000"/>
              </w:rPr>
              <w:t>2018</w:t>
            </w:r>
            <w:r>
              <w:rPr>
                <w:rFonts w:hint="eastAsia" w:ascii="仿宋_GB2312" w:eastAsia="仿宋_GB2312"/>
                <w:color w:val="000000"/>
              </w:rPr>
              <w:t>年度全部完成</w:t>
            </w:r>
          </w:p>
        </w:tc>
      </w:tr>
      <w:tr w14:paraId="10DF8161">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CB6E6F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4E3089">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615D9A">
            <w:pPr>
              <w:widowControl/>
              <w:jc w:val="center"/>
              <w:textAlignment w:val="center"/>
              <w:rPr>
                <w:rFonts w:ascii="仿宋_GB2312" w:eastAsia="仿宋_GB2312"/>
                <w:color w:val="000000"/>
                <w:sz w:val="18"/>
                <w:szCs w:val="18"/>
              </w:rPr>
            </w:pPr>
            <w:r>
              <w:rPr>
                <w:rFonts w:hint="eastAsia" w:ascii="仿宋_GB2312" w:eastAsia="仿宋_GB2312"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34AF42">
            <w:pPr>
              <w:widowControl/>
              <w:jc w:val="center"/>
              <w:textAlignment w:val="center"/>
              <w:rPr>
                <w:rFonts w:ascii="仿宋_GB2312" w:eastAsia="仿宋_GB2312"/>
                <w:color w:val="000000"/>
              </w:rPr>
            </w:pPr>
            <w:r>
              <w:rPr>
                <w:rFonts w:hint="eastAsia" w:ascii="仿宋_GB2312" w:eastAsia="仿宋_GB2312" w:cs="宋体"/>
                <w:color w:val="000000"/>
              </w:rPr>
              <w:t>乡镇的满意度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C975D">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4EBE29">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85%</w:t>
            </w:r>
          </w:p>
        </w:tc>
      </w:tr>
      <w:tr w14:paraId="7F8CDBAB">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C071DC3">
            <w:pPr>
              <w:pStyle w:val="27"/>
              <w:widowControl/>
              <w:ind w:firstLine="0" w:firstLineChars="0"/>
              <w:jc w:val="center"/>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14:paraId="0D114FA2">
            <w:pPr>
              <w:pStyle w:val="27"/>
              <w:widowControl/>
              <w:ind w:firstLine="0" w:firstLineChars="0"/>
              <w:jc w:val="center"/>
              <w:textAlignment w:val="center"/>
              <w:rPr>
                <w:rFonts w:ascii="宋体" w:cs="宋体"/>
                <w:color w:val="000000"/>
                <w:sz w:val="36"/>
                <w:szCs w:val="36"/>
              </w:rPr>
            </w:pP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5A723C2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62058E">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A7CAF8">
            <w:pPr>
              <w:widowControl/>
              <w:jc w:val="center"/>
              <w:textAlignment w:val="center"/>
              <w:rPr>
                <w:rFonts w:ascii="宋体" w:hAnsi="宋体" w:cs="宋体"/>
                <w:color w:val="000000"/>
                <w:kern w:val="0"/>
                <w:sz w:val="24"/>
              </w:rPr>
            </w:pPr>
            <w:r>
              <w:rPr>
                <w:rFonts w:hint="eastAsia" w:ascii="宋体" w:hAnsi="宋体" w:cs="宋体"/>
                <w:color w:val="000000"/>
                <w:kern w:val="0"/>
                <w:sz w:val="24"/>
              </w:rPr>
              <w:t>人大代表报刊经费</w:t>
            </w:r>
          </w:p>
        </w:tc>
      </w:tr>
      <w:tr w14:paraId="0C32961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D20DF8">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02D854">
            <w:pPr>
              <w:widowControl/>
              <w:jc w:val="center"/>
              <w:textAlignment w:val="center"/>
              <w:rPr>
                <w:rFonts w:ascii="宋体" w:cs="宋体"/>
                <w:color w:val="000000"/>
                <w:sz w:val="24"/>
              </w:rPr>
            </w:pPr>
            <w:r>
              <w:rPr>
                <w:rFonts w:hint="eastAsia" w:ascii="宋体" w:cs="宋体"/>
                <w:color w:val="000000"/>
                <w:sz w:val="24"/>
              </w:rPr>
              <w:t>米易县人大常委会办公室</w:t>
            </w:r>
          </w:p>
        </w:tc>
      </w:tr>
      <w:tr w14:paraId="68FFB9F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254842">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CE5797">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9F9F21">
            <w:pPr>
              <w:widowControl/>
              <w:jc w:val="center"/>
              <w:textAlignment w:val="center"/>
              <w:rPr>
                <w:rFonts w:ascii="宋体" w:cs="宋体"/>
                <w:color w:val="000000"/>
                <w:sz w:val="24"/>
              </w:rPr>
            </w:pPr>
            <w:r>
              <w:rPr>
                <w:rFonts w:hint="eastAsia" w:ascii="宋体" w:cs="宋体"/>
                <w:color w:val="000000"/>
                <w:sz w:val="24"/>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3804B6">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5EC619">
            <w:pPr>
              <w:widowControl/>
              <w:jc w:val="center"/>
              <w:textAlignment w:val="center"/>
              <w:rPr>
                <w:rFonts w:ascii="宋体" w:cs="宋体"/>
                <w:color w:val="000000"/>
                <w:sz w:val="24"/>
              </w:rPr>
            </w:pPr>
            <w:r>
              <w:rPr>
                <w:rFonts w:hint="eastAsia" w:ascii="宋体" w:cs="宋体"/>
                <w:color w:val="000000"/>
                <w:sz w:val="24"/>
              </w:rPr>
              <w:t>3万元</w:t>
            </w:r>
          </w:p>
        </w:tc>
      </w:tr>
      <w:tr w14:paraId="4CA67D1A">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CBE2F81">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147D8C">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4C9807">
            <w:pPr>
              <w:widowControl/>
              <w:jc w:val="center"/>
              <w:textAlignment w:val="center"/>
              <w:rPr>
                <w:rFonts w:ascii="宋体" w:cs="宋体"/>
                <w:color w:val="000000"/>
                <w:sz w:val="24"/>
              </w:rPr>
            </w:pPr>
            <w:r>
              <w:rPr>
                <w:rFonts w:hint="eastAsia" w:ascii="宋体" w:cs="宋体"/>
                <w:color w:val="000000"/>
                <w:sz w:val="24"/>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DC934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AE76">
            <w:pPr>
              <w:widowControl/>
              <w:jc w:val="center"/>
              <w:textAlignment w:val="center"/>
              <w:rPr>
                <w:rFonts w:ascii="宋体" w:cs="宋体"/>
                <w:color w:val="000000"/>
                <w:sz w:val="24"/>
              </w:rPr>
            </w:pPr>
            <w:r>
              <w:rPr>
                <w:rFonts w:hint="eastAsia" w:ascii="宋体" w:cs="宋体"/>
                <w:color w:val="000000"/>
                <w:sz w:val="24"/>
              </w:rPr>
              <w:t>3万元</w:t>
            </w:r>
          </w:p>
        </w:tc>
      </w:tr>
      <w:tr w14:paraId="76ED0B7B">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77F189">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3B3137">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575813">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61C951">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CBAA92">
            <w:pPr>
              <w:jc w:val="center"/>
              <w:rPr>
                <w:rFonts w:ascii="宋体" w:cs="宋体"/>
                <w:color w:val="000000"/>
                <w:sz w:val="24"/>
              </w:rPr>
            </w:pPr>
          </w:p>
        </w:tc>
      </w:tr>
      <w:tr w14:paraId="6E3F9BA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C9AB42">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61D390">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E1B87">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04862706">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635E4C6">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51C84DE4">
            <w:pPr>
              <w:rPr>
                <w:sz w:val="24"/>
              </w:rPr>
            </w:pPr>
            <w:r>
              <w:rPr>
                <w:rFonts w:hint="eastAsia" w:ascii="仿宋_GB2312" w:hAnsi="仿宋_GB2312" w:eastAsia="仿宋_GB2312" w:cs="仿宋_GB2312"/>
                <w:sz w:val="32"/>
                <w:szCs w:val="32"/>
              </w:rPr>
              <w:t>保障人大代表的知识理论储备。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33D9A764">
            <w:pPr>
              <w:rPr>
                <w:sz w:val="24"/>
              </w:rPr>
            </w:pPr>
            <w:r>
              <w:rPr>
                <w:rFonts w:hint="eastAsia" w:ascii="仿宋_GB2312" w:hAnsi="仿宋_GB2312" w:eastAsia="仿宋_GB2312" w:cs="仿宋_GB2312"/>
                <w:sz w:val="32"/>
                <w:szCs w:val="32"/>
              </w:rPr>
              <w:t>保障人大代表的知识理论储备。</w:t>
            </w:r>
          </w:p>
        </w:tc>
      </w:tr>
      <w:tr w14:paraId="061F079B">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A2931A">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AC2568">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7211F1">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6A35D0">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948892">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8897E0">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0D5F74C3">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020251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73793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024C3">
            <w:pPr>
              <w:widowControl/>
              <w:jc w:val="center"/>
              <w:textAlignment w:val="center"/>
              <w:rPr>
                <w:rFonts w:ascii="仿宋_GB2312" w:eastAsia="仿宋_GB2312"/>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7E2B1A">
            <w:pPr>
              <w:widowControl/>
              <w:jc w:val="center"/>
              <w:textAlignment w:val="center"/>
              <w:rPr>
                <w:rFonts w:ascii="仿宋_GB2312" w:eastAsia="仿宋_GB2312"/>
                <w:color w:val="000000"/>
              </w:rPr>
            </w:pPr>
            <w:r>
              <w:rPr>
                <w:rFonts w:hint="eastAsia" w:ascii="仿宋_GB2312" w:eastAsia="仿宋_GB2312" w:cs="宋体"/>
                <w:color w:val="000000"/>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B5B546">
            <w:pPr>
              <w:widowControl/>
              <w:jc w:val="left"/>
              <w:textAlignment w:val="center"/>
              <w:rPr>
                <w:rFonts w:ascii="仿宋_GB2312" w:eastAsia="仿宋_GB2312"/>
                <w:color w:val="000000"/>
              </w:rPr>
            </w:pPr>
            <w:r>
              <w:rPr>
                <w:rFonts w:hint="eastAsia" w:ascii="仿宋_GB2312" w:eastAsia="仿宋_GB2312" w:cs="宋体"/>
                <w:color w:val="000000"/>
              </w:rPr>
              <w:t>支付人大代表报刊经费经费3万元。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ABF0D">
            <w:pPr>
              <w:widowControl/>
              <w:jc w:val="left"/>
              <w:textAlignment w:val="center"/>
              <w:rPr>
                <w:rFonts w:ascii="仿宋_GB2312" w:eastAsia="仿宋_GB2312"/>
                <w:color w:val="000000"/>
              </w:rPr>
            </w:pPr>
            <w:r>
              <w:rPr>
                <w:rFonts w:hint="eastAsia" w:ascii="仿宋_GB2312" w:eastAsia="仿宋_GB2312" w:cs="宋体"/>
                <w:color w:val="000000"/>
              </w:rPr>
              <w:t>支付乡镇人大代表之家建设经费3万元。</w:t>
            </w:r>
          </w:p>
        </w:tc>
      </w:tr>
      <w:tr w14:paraId="0E276596">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5DA1A9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72E9F3">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BE959A">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9C0DDC">
            <w:pPr>
              <w:widowControl/>
              <w:jc w:val="center"/>
              <w:textAlignment w:val="center"/>
              <w:rPr>
                <w:rFonts w:ascii="仿宋_GB2312" w:eastAsia="仿宋_GB2312"/>
                <w:color w:val="000000"/>
              </w:rPr>
            </w:pPr>
            <w:r>
              <w:rPr>
                <w:rFonts w:hint="eastAsia" w:ascii="仿宋_GB2312" w:eastAsia="仿宋_GB2312" w:cs="宋体"/>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1C587B">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9965A7">
            <w:pPr>
              <w:widowControl/>
              <w:jc w:val="center"/>
              <w:textAlignment w:val="center"/>
              <w:rPr>
                <w:rFonts w:ascii="仿宋_GB2312" w:eastAsia="仿宋_GB2312"/>
                <w:color w:val="000000"/>
              </w:rPr>
            </w:pPr>
            <w:r>
              <w:rPr>
                <w:rFonts w:hint="eastAsia" w:ascii="仿宋_GB2312" w:eastAsia="仿宋_GB2312"/>
                <w:color w:val="000000"/>
              </w:rPr>
              <w:t>完成</w:t>
            </w:r>
            <w:r>
              <w:rPr>
                <w:rFonts w:ascii="仿宋_GB2312" w:eastAsia="仿宋_GB2312"/>
                <w:color w:val="000000"/>
              </w:rPr>
              <w:t>100%</w:t>
            </w:r>
          </w:p>
        </w:tc>
      </w:tr>
      <w:tr w14:paraId="299A20B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EC7159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6E1E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4CE15C">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2B0C25">
            <w:pPr>
              <w:widowControl/>
              <w:jc w:val="center"/>
              <w:textAlignment w:val="center"/>
              <w:rPr>
                <w:rFonts w:ascii="仿宋_GB2312" w:eastAsia="仿宋_GB2312"/>
                <w:color w:val="000000"/>
              </w:rPr>
            </w:pPr>
            <w:r>
              <w:rPr>
                <w:rFonts w:hint="eastAsia" w:ascii="仿宋_GB2312" w:eastAsia="仿宋_GB2312" w:cs="宋体"/>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1C5A6A">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6874E2">
            <w:pPr>
              <w:widowControl/>
              <w:jc w:val="center"/>
              <w:textAlignment w:val="center"/>
              <w:rPr>
                <w:rFonts w:ascii="仿宋_GB2312" w:eastAsia="仿宋_GB2312"/>
                <w:color w:val="000000"/>
              </w:rPr>
            </w:pPr>
            <w:r>
              <w:rPr>
                <w:rFonts w:hint="eastAsia" w:ascii="仿宋_GB2312" w:eastAsia="仿宋_GB2312"/>
                <w:color w:val="000000"/>
              </w:rPr>
              <w:t>资金支付</w:t>
            </w:r>
            <w:r>
              <w:rPr>
                <w:rFonts w:ascii="仿宋_GB2312" w:eastAsia="仿宋_GB2312"/>
                <w:color w:val="000000"/>
              </w:rPr>
              <w:t>100%</w:t>
            </w:r>
          </w:p>
        </w:tc>
      </w:tr>
      <w:tr w14:paraId="497EF29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5DD6AF3">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719815">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3939AD">
            <w:pPr>
              <w:widowControl/>
              <w:jc w:val="center"/>
              <w:textAlignment w:val="center"/>
              <w:rPr>
                <w:rFonts w:ascii="仿宋_GB2312" w:eastAsia="仿宋_GB2312"/>
                <w:color w:val="000000"/>
              </w:rPr>
            </w:pPr>
            <w:r>
              <w:rPr>
                <w:rFonts w:hint="eastAsia" w:ascii="仿宋_GB2312" w:eastAsia="仿宋_GB2312" w:cs="宋体"/>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4A7DE6">
            <w:pPr>
              <w:widowControl/>
              <w:jc w:val="center"/>
              <w:textAlignment w:val="center"/>
              <w:rPr>
                <w:rFonts w:ascii="仿宋_GB2312" w:eastAsia="仿宋_GB2312"/>
                <w:color w:val="000000"/>
              </w:rPr>
            </w:pPr>
            <w:r>
              <w:rPr>
                <w:rFonts w:hint="eastAsia" w:ascii="仿宋_GB2312" w:eastAsia="仿宋_GB2312" w:cs="宋体"/>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E7A326">
            <w:pPr>
              <w:widowControl/>
              <w:jc w:val="center"/>
              <w:textAlignment w:val="center"/>
              <w:rPr>
                <w:rFonts w:ascii="仿宋_GB2312" w:eastAsia="仿宋_GB2312"/>
                <w:color w:val="000000"/>
              </w:rPr>
            </w:pPr>
            <w:r>
              <w:rPr>
                <w:rFonts w:ascii="仿宋_GB2312" w:eastAsia="仿宋_GB2312" w:cs="宋体"/>
                <w:color w:val="000000"/>
              </w:rPr>
              <w:t>2018</w:t>
            </w:r>
            <w:r>
              <w:rPr>
                <w:rFonts w:hint="eastAsia" w:ascii="仿宋_GB2312" w:eastAsia="仿宋_GB2312" w:cs="宋体"/>
                <w:color w:val="000000"/>
              </w:rPr>
              <w:t>年</w:t>
            </w:r>
            <w:r>
              <w:rPr>
                <w:rFonts w:ascii="仿宋_GB2312" w:eastAsia="仿宋_GB2312" w:cs="宋体"/>
                <w:color w:val="000000"/>
              </w:rPr>
              <w:t>1-12</w:t>
            </w:r>
            <w:r>
              <w:rPr>
                <w:rFonts w:hint="eastAsia" w:ascii="仿宋_GB2312" w:eastAsia="仿宋_GB2312" w:cs="宋体"/>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A55873">
            <w:pPr>
              <w:widowControl/>
              <w:jc w:val="center"/>
              <w:textAlignment w:val="center"/>
              <w:rPr>
                <w:rFonts w:ascii="仿宋_GB2312" w:eastAsia="仿宋_GB2312"/>
                <w:color w:val="000000"/>
              </w:rPr>
            </w:pPr>
            <w:r>
              <w:rPr>
                <w:rFonts w:ascii="仿宋_GB2312" w:eastAsia="仿宋_GB2312"/>
                <w:color w:val="000000"/>
              </w:rPr>
              <w:t>2018</w:t>
            </w:r>
            <w:r>
              <w:rPr>
                <w:rFonts w:hint="eastAsia" w:ascii="仿宋_GB2312" w:eastAsia="仿宋_GB2312"/>
                <w:color w:val="000000"/>
              </w:rPr>
              <w:t>年度全部完成</w:t>
            </w:r>
          </w:p>
        </w:tc>
      </w:tr>
      <w:tr w14:paraId="20F7D14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95F04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0D9330">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3C11D4">
            <w:pPr>
              <w:widowControl/>
              <w:jc w:val="center"/>
              <w:textAlignment w:val="center"/>
              <w:rPr>
                <w:rFonts w:ascii="仿宋_GB2312" w:eastAsia="仿宋_GB2312"/>
                <w:color w:val="000000"/>
                <w:sz w:val="18"/>
                <w:szCs w:val="18"/>
              </w:rPr>
            </w:pPr>
            <w:r>
              <w:rPr>
                <w:rFonts w:hint="eastAsia" w:ascii="仿宋_GB2312" w:eastAsia="仿宋_GB2312"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AE578F">
            <w:pPr>
              <w:widowControl/>
              <w:jc w:val="center"/>
              <w:textAlignment w:val="center"/>
              <w:rPr>
                <w:rFonts w:ascii="仿宋_GB2312" w:eastAsia="仿宋_GB2312"/>
                <w:color w:val="000000"/>
              </w:rPr>
            </w:pPr>
            <w:r>
              <w:rPr>
                <w:rFonts w:hint="eastAsia" w:ascii="仿宋_GB2312" w:eastAsia="仿宋_GB2312" w:cs="宋体"/>
                <w:color w:val="000000"/>
              </w:rPr>
              <w:t>代表的满意度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749C7">
            <w:pPr>
              <w:widowControl/>
              <w:jc w:val="center"/>
              <w:textAlignment w:val="center"/>
              <w:rPr>
                <w:rFonts w:ascii="仿宋_GB2312" w:eastAsia="仿宋_GB2312"/>
                <w:color w:val="000000"/>
              </w:rPr>
            </w:pPr>
            <w:r>
              <w:rPr>
                <w:rFonts w:hint="eastAsia" w:ascii="仿宋_GB2312" w:eastAsia="仿宋_GB2312" w:cs="宋体"/>
                <w:color w:val="000000"/>
              </w:rPr>
              <w:t>〉100</w:t>
            </w:r>
            <w:r>
              <w:rPr>
                <w:rFonts w:ascii="仿宋_GB2312" w:eastAsia="仿宋_GB2312" w:cs="宋体"/>
                <w:color w:val="000000"/>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2D00BF">
            <w:pPr>
              <w:widowControl/>
              <w:jc w:val="center"/>
              <w:textAlignment w:val="center"/>
              <w:rPr>
                <w:rFonts w:ascii="仿宋_GB2312" w:eastAsia="仿宋_GB2312"/>
                <w:color w:val="000000"/>
              </w:rPr>
            </w:pPr>
            <w:r>
              <w:rPr>
                <w:rFonts w:hint="eastAsia" w:ascii="仿宋_GB2312" w:eastAsia="仿宋_GB2312" w:cs="宋体"/>
                <w:color w:val="000000"/>
              </w:rPr>
              <w:t>〉100</w:t>
            </w:r>
            <w:r>
              <w:rPr>
                <w:rFonts w:ascii="仿宋_GB2312" w:eastAsia="仿宋_GB2312" w:cs="宋体"/>
                <w:color w:val="000000"/>
              </w:rPr>
              <w:t>%</w:t>
            </w:r>
          </w:p>
        </w:tc>
      </w:tr>
      <w:tr w14:paraId="64CA2974">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F9A1627">
            <w:pPr>
              <w:pStyle w:val="27"/>
              <w:widowControl/>
              <w:ind w:firstLine="0" w:firstLineChars="0"/>
              <w:jc w:val="center"/>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14:paraId="1C8B117F">
            <w:pPr>
              <w:pStyle w:val="27"/>
              <w:widowControl/>
              <w:ind w:firstLine="0" w:firstLineChars="0"/>
              <w:jc w:val="center"/>
              <w:textAlignment w:val="center"/>
              <w:rPr>
                <w:rFonts w:ascii="宋体" w:cs="宋体"/>
                <w:color w:val="000000"/>
                <w:sz w:val="36"/>
                <w:szCs w:val="36"/>
              </w:rPr>
            </w:pP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553E19D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17AD8">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2455D0">
            <w:pPr>
              <w:widowControl/>
              <w:jc w:val="center"/>
              <w:textAlignment w:val="center"/>
              <w:rPr>
                <w:rFonts w:ascii="宋体" w:hAnsi="宋体" w:cs="宋体"/>
                <w:color w:val="000000"/>
                <w:kern w:val="0"/>
                <w:sz w:val="24"/>
              </w:rPr>
            </w:pPr>
            <w:r>
              <w:rPr>
                <w:rFonts w:hint="eastAsia" w:ascii="宋体" w:hAnsi="宋体" w:cs="宋体"/>
                <w:color w:val="000000"/>
                <w:kern w:val="0"/>
                <w:sz w:val="24"/>
              </w:rPr>
              <w:t>人大专项经费（含人大代表交流协调、学习考察、培训活动等）</w:t>
            </w:r>
          </w:p>
        </w:tc>
      </w:tr>
      <w:tr w14:paraId="2B7C62A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031668">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E3913">
            <w:pPr>
              <w:widowControl/>
              <w:jc w:val="center"/>
              <w:textAlignment w:val="center"/>
              <w:rPr>
                <w:rFonts w:ascii="宋体" w:cs="宋体"/>
                <w:color w:val="000000"/>
                <w:sz w:val="24"/>
              </w:rPr>
            </w:pPr>
            <w:r>
              <w:rPr>
                <w:rFonts w:hint="eastAsia" w:ascii="宋体" w:cs="宋体"/>
                <w:color w:val="000000"/>
                <w:sz w:val="24"/>
              </w:rPr>
              <w:t>米易县人大常委会办公室</w:t>
            </w:r>
          </w:p>
        </w:tc>
      </w:tr>
      <w:tr w14:paraId="7E17D17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D9682B">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46FD07">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80D2A">
            <w:pPr>
              <w:widowControl/>
              <w:jc w:val="center"/>
              <w:textAlignment w:val="center"/>
              <w:rPr>
                <w:rFonts w:ascii="宋体" w:cs="宋体"/>
                <w:color w:val="000000"/>
                <w:sz w:val="24"/>
              </w:rPr>
            </w:pPr>
            <w:r>
              <w:rPr>
                <w:rFonts w:hint="eastAsia" w:ascii="宋体" w:cs="宋体"/>
                <w:color w:val="000000"/>
                <w:sz w:val="24"/>
              </w:rPr>
              <w:t>39.38万元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5545AE">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0B1788">
            <w:pPr>
              <w:widowControl/>
              <w:jc w:val="center"/>
              <w:textAlignment w:val="center"/>
              <w:rPr>
                <w:rFonts w:ascii="宋体" w:cs="宋体"/>
                <w:color w:val="000000"/>
                <w:sz w:val="24"/>
              </w:rPr>
            </w:pPr>
            <w:r>
              <w:rPr>
                <w:rFonts w:hint="eastAsia" w:ascii="宋体" w:cs="宋体"/>
                <w:color w:val="000000"/>
                <w:sz w:val="24"/>
              </w:rPr>
              <w:t>39.38万元</w:t>
            </w:r>
          </w:p>
        </w:tc>
      </w:tr>
      <w:tr w14:paraId="79E87597">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F750CE8">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25920A">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0DF44">
            <w:pPr>
              <w:widowControl/>
              <w:jc w:val="center"/>
              <w:textAlignment w:val="center"/>
              <w:rPr>
                <w:rFonts w:ascii="宋体" w:cs="宋体"/>
                <w:color w:val="000000"/>
                <w:sz w:val="24"/>
              </w:rPr>
            </w:pPr>
            <w:r>
              <w:rPr>
                <w:rFonts w:hint="eastAsia" w:ascii="宋体" w:cs="宋体"/>
                <w:color w:val="000000"/>
                <w:sz w:val="24"/>
              </w:rPr>
              <w:t>39.38万元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A48E31">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D5C5AC">
            <w:pPr>
              <w:widowControl/>
              <w:jc w:val="center"/>
              <w:textAlignment w:val="center"/>
              <w:rPr>
                <w:rFonts w:ascii="宋体" w:cs="宋体"/>
                <w:color w:val="000000"/>
                <w:sz w:val="24"/>
              </w:rPr>
            </w:pPr>
            <w:r>
              <w:rPr>
                <w:rFonts w:hint="eastAsia" w:ascii="宋体" w:cs="宋体"/>
                <w:color w:val="000000"/>
                <w:sz w:val="24"/>
              </w:rPr>
              <w:t>39.38万元</w:t>
            </w:r>
          </w:p>
        </w:tc>
      </w:tr>
      <w:tr w14:paraId="75BE674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BAAC04">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B8776E">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556915">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3ECF2D">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1EA1BA">
            <w:pPr>
              <w:jc w:val="center"/>
              <w:rPr>
                <w:rFonts w:ascii="宋体" w:cs="宋体"/>
                <w:color w:val="000000"/>
                <w:sz w:val="24"/>
              </w:rPr>
            </w:pPr>
          </w:p>
        </w:tc>
      </w:tr>
      <w:tr w14:paraId="4EC75B1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203EBC">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53A0AE">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CEAEA7">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412313D4">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B3D4E06">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4323DCFB">
            <w:pPr>
              <w:rPr>
                <w:sz w:val="24"/>
              </w:rPr>
            </w:pP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人大常委会机关</w:t>
            </w:r>
            <w:r>
              <w:rPr>
                <w:rFonts w:hint="eastAsia" w:ascii="仿宋_GB2312" w:hAnsi="仿宋_GB2312" w:eastAsia="仿宋_GB2312" w:cs="仿宋_GB2312"/>
                <w:sz w:val="32"/>
                <w:szCs w:val="32"/>
              </w:rPr>
              <w:t>工作的正常运转。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1B95719F">
            <w:pPr>
              <w:rPr>
                <w:sz w:val="24"/>
              </w:rPr>
            </w:pP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人大常委会机关</w:t>
            </w:r>
            <w:r>
              <w:rPr>
                <w:rFonts w:hint="eastAsia" w:ascii="仿宋_GB2312" w:hAnsi="仿宋_GB2312" w:eastAsia="仿宋_GB2312" w:cs="仿宋_GB2312"/>
                <w:sz w:val="32"/>
                <w:szCs w:val="32"/>
              </w:rPr>
              <w:t>工作的正常运转。</w:t>
            </w:r>
          </w:p>
        </w:tc>
      </w:tr>
      <w:tr w14:paraId="05A1F38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E5A171">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A6BEDE">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B7042D">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FC42F5">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2F8E8F">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E222CB">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494FE52C">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0E98353">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4EE002">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AD9E7F">
            <w:pPr>
              <w:widowControl/>
              <w:jc w:val="center"/>
              <w:textAlignment w:val="center"/>
              <w:rPr>
                <w:rFonts w:ascii="仿宋_GB2312" w:eastAsia="仿宋_GB2312"/>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1D934F">
            <w:pPr>
              <w:widowControl/>
              <w:jc w:val="center"/>
              <w:textAlignment w:val="center"/>
              <w:rPr>
                <w:rFonts w:ascii="仿宋_GB2312" w:eastAsia="仿宋_GB2312" w:cs="宋体"/>
                <w:color w:val="000000"/>
              </w:rPr>
            </w:pPr>
            <w:r>
              <w:rPr>
                <w:rFonts w:hint="eastAsia" w:ascii="仿宋_GB2312" w:eastAsia="仿宋_GB2312" w:cs="宋体"/>
                <w:color w:val="000000"/>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96CC9A">
            <w:pPr>
              <w:widowControl/>
              <w:jc w:val="left"/>
              <w:textAlignment w:val="center"/>
              <w:rPr>
                <w:rFonts w:ascii="仿宋_GB2312" w:eastAsia="仿宋_GB2312" w:cs="宋体"/>
                <w:color w:val="000000"/>
              </w:rPr>
            </w:pPr>
            <w:r>
              <w:rPr>
                <w:rFonts w:hint="eastAsia" w:ascii="仿宋_GB2312" w:eastAsia="仿宋_GB2312" w:cs="宋体"/>
                <w:color w:val="000000"/>
              </w:rPr>
              <w:t>支付人大代表交流协调、学习考察、培训活动等39.38万元。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E24C39">
            <w:pPr>
              <w:widowControl/>
              <w:jc w:val="left"/>
              <w:textAlignment w:val="center"/>
              <w:rPr>
                <w:rFonts w:ascii="仿宋_GB2312" w:eastAsia="仿宋_GB2312"/>
                <w:color w:val="000000"/>
              </w:rPr>
            </w:pPr>
            <w:r>
              <w:rPr>
                <w:rFonts w:hint="eastAsia" w:ascii="仿宋_GB2312" w:eastAsia="仿宋_GB2312" w:cs="宋体"/>
                <w:color w:val="000000"/>
              </w:rPr>
              <w:t>支付人大代表交流协调、学习考察、培训活动等39.38万元。</w:t>
            </w:r>
          </w:p>
        </w:tc>
      </w:tr>
      <w:tr w14:paraId="312A5662">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39B3E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BE58FA">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449357">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0CA9C0">
            <w:pPr>
              <w:widowControl/>
              <w:jc w:val="center"/>
              <w:textAlignment w:val="center"/>
              <w:rPr>
                <w:rFonts w:ascii="仿宋_GB2312" w:eastAsia="仿宋_GB2312"/>
                <w:color w:val="000000"/>
              </w:rPr>
            </w:pPr>
            <w:r>
              <w:rPr>
                <w:rFonts w:hint="eastAsia" w:ascii="仿宋_GB2312" w:eastAsia="仿宋_GB2312" w:cs="宋体"/>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F0E1F9">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914796">
            <w:pPr>
              <w:widowControl/>
              <w:jc w:val="center"/>
              <w:textAlignment w:val="center"/>
              <w:rPr>
                <w:rFonts w:ascii="仿宋_GB2312" w:eastAsia="仿宋_GB2312"/>
                <w:color w:val="000000"/>
              </w:rPr>
            </w:pPr>
            <w:r>
              <w:rPr>
                <w:rFonts w:hint="eastAsia" w:ascii="仿宋_GB2312" w:eastAsia="仿宋_GB2312"/>
                <w:color w:val="000000"/>
              </w:rPr>
              <w:t>完成</w:t>
            </w:r>
            <w:r>
              <w:rPr>
                <w:rFonts w:ascii="仿宋_GB2312" w:eastAsia="仿宋_GB2312"/>
                <w:color w:val="000000"/>
              </w:rPr>
              <w:t>100%</w:t>
            </w:r>
          </w:p>
        </w:tc>
      </w:tr>
      <w:tr w14:paraId="65912E83">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C987D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53981E">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7C736E">
            <w:pPr>
              <w:widowControl/>
              <w:jc w:val="center"/>
              <w:textAlignment w:val="center"/>
              <w:rPr>
                <w:rFonts w:ascii="仿宋_GB2312" w:eastAsia="仿宋_GB2312"/>
                <w:color w:val="000000"/>
              </w:rPr>
            </w:pPr>
            <w:r>
              <w:rPr>
                <w:rFonts w:hint="eastAsia" w:ascii="仿宋_GB2312" w:eastAsia="仿宋_GB2312" w:cs="宋体"/>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4FBD74">
            <w:pPr>
              <w:widowControl/>
              <w:jc w:val="center"/>
              <w:textAlignment w:val="center"/>
              <w:rPr>
                <w:rFonts w:ascii="仿宋_GB2312" w:eastAsia="仿宋_GB2312"/>
                <w:color w:val="000000"/>
              </w:rPr>
            </w:pPr>
            <w:r>
              <w:rPr>
                <w:rFonts w:hint="eastAsia" w:ascii="仿宋_GB2312" w:eastAsia="仿宋_GB2312" w:cs="宋体"/>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CB4870">
            <w:pPr>
              <w:widowControl/>
              <w:jc w:val="center"/>
              <w:textAlignment w:val="center"/>
              <w:rPr>
                <w:rFonts w:ascii="仿宋_GB2312" w:eastAsia="仿宋_GB2312"/>
                <w:color w:val="000000"/>
              </w:rPr>
            </w:pPr>
            <w:r>
              <w:rPr>
                <w:rFonts w:hint="eastAsia" w:ascii="仿宋_GB2312" w:eastAsia="仿宋_GB2312" w:cs="宋体"/>
                <w:color w:val="000000"/>
              </w:rPr>
              <w:t>＝</w:t>
            </w:r>
            <w:r>
              <w:rPr>
                <w:rFonts w:ascii="仿宋_GB2312" w:eastAsia="仿宋_GB2312" w:cs="宋体"/>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612BEA">
            <w:pPr>
              <w:widowControl/>
              <w:jc w:val="center"/>
              <w:textAlignment w:val="center"/>
              <w:rPr>
                <w:rFonts w:ascii="仿宋_GB2312" w:eastAsia="仿宋_GB2312"/>
                <w:color w:val="000000"/>
              </w:rPr>
            </w:pPr>
            <w:r>
              <w:rPr>
                <w:rFonts w:hint="eastAsia" w:ascii="仿宋_GB2312" w:eastAsia="仿宋_GB2312"/>
                <w:color w:val="000000"/>
              </w:rPr>
              <w:t>资金支付</w:t>
            </w:r>
            <w:r>
              <w:rPr>
                <w:rFonts w:ascii="仿宋_GB2312" w:eastAsia="仿宋_GB2312"/>
                <w:color w:val="000000"/>
              </w:rPr>
              <w:t>100%</w:t>
            </w:r>
          </w:p>
        </w:tc>
      </w:tr>
      <w:tr w14:paraId="50C49A71">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83476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CD84C9">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BA1115">
            <w:pPr>
              <w:widowControl/>
              <w:jc w:val="center"/>
              <w:textAlignment w:val="center"/>
              <w:rPr>
                <w:rFonts w:ascii="仿宋_GB2312" w:eastAsia="仿宋_GB2312"/>
                <w:color w:val="000000"/>
              </w:rPr>
            </w:pPr>
            <w:r>
              <w:rPr>
                <w:rFonts w:hint="eastAsia" w:ascii="仿宋_GB2312" w:eastAsia="仿宋_GB2312" w:cs="宋体"/>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00CE3B">
            <w:pPr>
              <w:widowControl/>
              <w:jc w:val="center"/>
              <w:textAlignment w:val="center"/>
              <w:rPr>
                <w:rFonts w:ascii="仿宋_GB2312" w:eastAsia="仿宋_GB2312"/>
                <w:color w:val="000000"/>
              </w:rPr>
            </w:pPr>
            <w:r>
              <w:rPr>
                <w:rFonts w:hint="eastAsia" w:ascii="仿宋_GB2312" w:eastAsia="仿宋_GB2312" w:cs="宋体"/>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3BE0CF">
            <w:pPr>
              <w:widowControl/>
              <w:jc w:val="center"/>
              <w:textAlignment w:val="center"/>
              <w:rPr>
                <w:rFonts w:ascii="仿宋_GB2312" w:eastAsia="仿宋_GB2312"/>
                <w:color w:val="000000"/>
              </w:rPr>
            </w:pPr>
            <w:r>
              <w:rPr>
                <w:rFonts w:ascii="仿宋_GB2312" w:eastAsia="仿宋_GB2312" w:cs="宋体"/>
                <w:color w:val="000000"/>
              </w:rPr>
              <w:t>2018</w:t>
            </w:r>
            <w:r>
              <w:rPr>
                <w:rFonts w:hint="eastAsia" w:ascii="仿宋_GB2312" w:eastAsia="仿宋_GB2312" w:cs="宋体"/>
                <w:color w:val="000000"/>
              </w:rPr>
              <w:t>年</w:t>
            </w:r>
            <w:r>
              <w:rPr>
                <w:rFonts w:ascii="仿宋_GB2312" w:eastAsia="仿宋_GB2312" w:cs="宋体"/>
                <w:color w:val="000000"/>
              </w:rPr>
              <w:t>1-12</w:t>
            </w:r>
            <w:r>
              <w:rPr>
                <w:rFonts w:hint="eastAsia" w:ascii="仿宋_GB2312" w:eastAsia="仿宋_GB2312" w:cs="宋体"/>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215E2A">
            <w:pPr>
              <w:widowControl/>
              <w:jc w:val="center"/>
              <w:textAlignment w:val="center"/>
              <w:rPr>
                <w:rFonts w:ascii="仿宋_GB2312" w:eastAsia="仿宋_GB2312"/>
                <w:color w:val="000000"/>
              </w:rPr>
            </w:pPr>
            <w:r>
              <w:rPr>
                <w:rFonts w:ascii="仿宋_GB2312" w:eastAsia="仿宋_GB2312"/>
                <w:color w:val="000000"/>
              </w:rPr>
              <w:t>2018</w:t>
            </w:r>
            <w:r>
              <w:rPr>
                <w:rFonts w:hint="eastAsia" w:ascii="仿宋_GB2312" w:eastAsia="仿宋_GB2312"/>
                <w:color w:val="000000"/>
              </w:rPr>
              <w:t>年度全部完成</w:t>
            </w:r>
          </w:p>
        </w:tc>
      </w:tr>
      <w:tr w14:paraId="590C88BA">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FBA97D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79D9BA">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85D5BE">
            <w:pPr>
              <w:widowControl/>
              <w:jc w:val="center"/>
              <w:textAlignment w:val="center"/>
              <w:rPr>
                <w:rFonts w:ascii="仿宋_GB2312" w:eastAsia="仿宋_GB2312"/>
                <w:color w:val="000000"/>
                <w:sz w:val="18"/>
                <w:szCs w:val="18"/>
              </w:rPr>
            </w:pPr>
            <w:r>
              <w:rPr>
                <w:rFonts w:hint="eastAsia" w:ascii="仿宋_GB2312" w:eastAsia="仿宋_GB2312"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5F6756">
            <w:pPr>
              <w:widowControl/>
              <w:jc w:val="center"/>
              <w:textAlignment w:val="center"/>
              <w:rPr>
                <w:rFonts w:ascii="仿宋_GB2312" w:eastAsia="仿宋_GB2312"/>
                <w:color w:val="000000"/>
              </w:rPr>
            </w:pPr>
            <w:r>
              <w:rPr>
                <w:rFonts w:hint="eastAsia" w:ascii="仿宋_GB2312" w:eastAsia="仿宋_GB2312" w:cs="宋体"/>
                <w:color w:val="000000"/>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98CBF8">
            <w:pPr>
              <w:widowControl/>
              <w:jc w:val="center"/>
              <w:textAlignment w:val="center"/>
              <w:rPr>
                <w:rFonts w:ascii="仿宋_GB2312" w:eastAsia="仿宋_GB2312"/>
                <w:color w:val="000000"/>
              </w:rPr>
            </w:pPr>
            <w:r>
              <w:rPr>
                <w:rFonts w:hint="eastAsia" w:ascii="仿宋_GB2312" w:eastAsia="仿宋_GB2312" w:cs="宋体"/>
                <w:color w:val="000000"/>
              </w:rPr>
              <w:t>〉85</w:t>
            </w:r>
            <w:r>
              <w:rPr>
                <w:rFonts w:ascii="仿宋_GB2312" w:eastAsia="仿宋_GB2312" w:cs="宋体"/>
                <w:color w:val="000000"/>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3920F">
            <w:pPr>
              <w:widowControl/>
              <w:jc w:val="center"/>
              <w:textAlignment w:val="center"/>
              <w:rPr>
                <w:rFonts w:ascii="仿宋_GB2312" w:eastAsia="仿宋_GB2312"/>
                <w:color w:val="000000"/>
              </w:rPr>
            </w:pPr>
            <w:r>
              <w:rPr>
                <w:rFonts w:hint="eastAsia" w:ascii="仿宋_GB2312" w:eastAsia="仿宋_GB2312" w:cs="宋体"/>
                <w:color w:val="000000"/>
              </w:rPr>
              <w:t>〉85</w:t>
            </w:r>
            <w:r>
              <w:rPr>
                <w:rFonts w:ascii="仿宋_GB2312" w:eastAsia="仿宋_GB2312" w:cs="宋体"/>
                <w:color w:val="000000"/>
              </w:rPr>
              <w:t>%</w:t>
            </w:r>
          </w:p>
        </w:tc>
      </w:tr>
    </w:tbl>
    <w:p w14:paraId="43F117FA">
      <w:pPr>
        <w:spacing w:line="580" w:lineRule="exact"/>
        <w:ind w:firstLine="480" w:firstLineChars="150"/>
        <w:rPr>
          <w:rFonts w:ascii="仿宋" w:hAnsi="仿宋" w:eastAsia="仿宋" w:cs="仿宋_GB2312"/>
          <w:sz w:val="32"/>
          <w:szCs w:val="32"/>
        </w:rPr>
      </w:pPr>
      <w:r>
        <w:rPr>
          <w:rFonts w:hint="eastAsia" w:ascii="仿宋_GB2312" w:hAnsi="仿宋_GB2312" w:eastAsia="仿宋_GB2312" w:cs="仿宋_GB2312"/>
          <w:sz w:val="32"/>
          <w:szCs w:val="32"/>
        </w:rPr>
        <w:t>（三）</w:t>
      </w:r>
      <w:r>
        <w:rPr>
          <w:rFonts w:hint="eastAsia" w:ascii="仿宋" w:hAnsi="仿宋" w:eastAsia="仿宋" w:cs="楷体_GB2312"/>
          <w:b/>
          <w:bCs/>
          <w:sz w:val="32"/>
          <w:szCs w:val="32"/>
        </w:rPr>
        <w:t>部门开展绩效评价结果。</w:t>
      </w:r>
    </w:p>
    <w:p w14:paraId="26B04EC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年部门整体支出绩效评价情况开展自评，《米易县人大常委会办公室</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14:paraId="1CC32D83">
      <w:pPr>
        <w:spacing w:line="600" w:lineRule="exact"/>
        <w:ind w:firstLine="800" w:firstLineChars="250"/>
        <w:outlineLvl w:val="1"/>
        <w:rPr>
          <w:rStyle w:val="1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50"/>
      <w:bookmarkEnd w:id="51"/>
    </w:p>
    <w:p w14:paraId="6D0F6F43">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6227A999">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年，米易县人大常委会办公室运行经费支出58.40万元，比</w:t>
      </w:r>
      <w:r>
        <w:rPr>
          <w:rFonts w:ascii="仿宋_GB2312" w:eastAsia="仿宋_GB2312"/>
          <w:color w:val="000000"/>
          <w:sz w:val="32"/>
          <w:szCs w:val="32"/>
        </w:rPr>
        <w:t>2017</w:t>
      </w:r>
      <w:r>
        <w:rPr>
          <w:rFonts w:hint="eastAsia" w:ascii="仿宋_GB2312" w:eastAsia="仿宋_GB2312"/>
          <w:color w:val="000000"/>
          <w:sz w:val="32"/>
          <w:szCs w:val="32"/>
        </w:rPr>
        <w:t>年55.3万元增加3.10万元，增长5.6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s="仿宋"/>
          <w:color w:val="000000"/>
          <w:sz w:val="32"/>
          <w:szCs w:val="32"/>
        </w:rPr>
        <w:t>2018年人员经费支出增加。</w:t>
      </w:r>
    </w:p>
    <w:p w14:paraId="5C73B651">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14:paraId="383344D7">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20329E8A">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年，米易县人大常委会办公室政府采购支出总额40.61万元，其中：政府采购货物支出40.14万元、政府采购工程支出0万元、政府采购服务支出0.47万元。主要用于办公设备购置。无授予中小企业合同。</w:t>
      </w:r>
    </w:p>
    <w:p w14:paraId="1ED649BC">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14:paraId="5DE047E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77DDADAA">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日，米易县人大常委会办公室无车辆，无单价</w:t>
      </w:r>
      <w:r>
        <w:rPr>
          <w:rFonts w:ascii="仿宋_GB2312" w:eastAsia="仿宋_GB2312"/>
          <w:color w:val="000000"/>
          <w:sz w:val="32"/>
          <w:szCs w:val="32"/>
        </w:rPr>
        <w:t>50</w:t>
      </w:r>
      <w:r>
        <w:rPr>
          <w:rFonts w:hint="eastAsia" w:ascii="仿宋_GB2312" w:eastAsia="仿宋_GB2312"/>
          <w:color w:val="000000"/>
          <w:sz w:val="32"/>
          <w:szCs w:val="32"/>
        </w:rPr>
        <w:t>万元以上通用设备，无单价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p>
    <w:p w14:paraId="5F9FE86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14:paraId="0C619A90">
      <w:pPr>
        <w:spacing w:line="600" w:lineRule="atLeast"/>
        <w:ind w:firstLine="643" w:firstLineChars="200"/>
        <w:rPr>
          <w:rFonts w:ascii="仿宋_GB2312" w:eastAsia="仿宋_GB2312"/>
          <w:b/>
          <w:color w:val="000000"/>
          <w:sz w:val="32"/>
          <w:szCs w:val="32"/>
        </w:rPr>
      </w:pPr>
    </w:p>
    <w:p w14:paraId="2727EF7D">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7DCFF13D">
      <w:pPr>
        <w:numPr>
          <w:ilvl w:val="0"/>
          <w:numId w:val="6"/>
        </w:numPr>
        <w:spacing w:line="600" w:lineRule="exact"/>
        <w:ind w:firstLine="663" w:firstLineChars="150"/>
        <w:jc w:val="center"/>
        <w:outlineLvl w:val="0"/>
        <w:rPr>
          <w:rStyle w:val="17"/>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5"/>
      <w:bookmarkEnd w:id="56"/>
    </w:p>
    <w:p w14:paraId="65F41632">
      <w:pPr>
        <w:spacing w:line="600" w:lineRule="exact"/>
        <w:jc w:val="left"/>
        <w:rPr>
          <w:rFonts w:ascii="宋体"/>
          <w:b/>
          <w:color w:val="000000"/>
          <w:sz w:val="44"/>
          <w:szCs w:val="44"/>
        </w:rPr>
      </w:pPr>
      <w:r>
        <w:rPr>
          <w:rFonts w:ascii="宋体"/>
          <w:b/>
          <w:color w:val="000000"/>
          <w:sz w:val="44"/>
          <w:szCs w:val="44"/>
        </w:rPr>
        <w:t xml:space="preserve">             </w:t>
      </w:r>
      <w:r>
        <w:rPr>
          <w:rFonts w:hint="eastAsia" w:ascii="宋体"/>
          <w:b/>
          <w:color w:val="000000"/>
          <w:sz w:val="44"/>
          <w:szCs w:val="44"/>
        </w:rPr>
        <w:t>（至少</w:t>
      </w:r>
      <w:r>
        <w:rPr>
          <w:rFonts w:ascii="宋体"/>
          <w:b/>
          <w:color w:val="000000"/>
          <w:sz w:val="44"/>
          <w:szCs w:val="44"/>
        </w:rPr>
        <w:t>10</w:t>
      </w:r>
      <w:r>
        <w:rPr>
          <w:rFonts w:hint="eastAsia" w:ascii="宋体"/>
          <w:b/>
          <w:color w:val="000000"/>
          <w:sz w:val="44"/>
          <w:szCs w:val="44"/>
        </w:rPr>
        <w:t>个）</w:t>
      </w:r>
    </w:p>
    <w:p w14:paraId="685BCA1C">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01E9CC4">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BDBE9C7">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7239CF9">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4ADF72D8">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14:paraId="5A3D69FB">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106D26A">
      <w:pPr>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7919DE7">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44BCE7F1">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9915AF0">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F2DD7E">
      <w:pPr>
        <w:spacing w:line="600" w:lineRule="exact"/>
        <w:jc w:val="center"/>
        <w:outlineLvl w:val="0"/>
        <w:rPr>
          <w:rStyle w:val="17"/>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8"/>
    </w:p>
    <w:p w14:paraId="3BC65298">
      <w:pPr>
        <w:spacing w:line="600" w:lineRule="exact"/>
        <w:jc w:val="center"/>
        <w:outlineLvl w:val="0"/>
        <w:rPr>
          <w:rStyle w:val="17"/>
        </w:rPr>
      </w:pPr>
    </w:p>
    <w:p w14:paraId="63E09477">
      <w:pPr>
        <w:pStyle w:val="3"/>
        <w:rPr>
          <w:rStyle w:val="17"/>
          <w:rFonts w:ascii="仿宋" w:hAnsi="仿宋" w:eastAsia="仿宋"/>
          <w:b w:val="0"/>
          <w:bCs w:val="0"/>
          <w:sz w:val="32"/>
          <w:szCs w:val="32"/>
        </w:rPr>
      </w:pPr>
      <w:bookmarkStart w:id="59"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59"/>
    </w:p>
    <w:p w14:paraId="3BF88756">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米易县人大常委会办公室</w:t>
      </w:r>
    </w:p>
    <w:p w14:paraId="241C1C4E">
      <w:pPr>
        <w:spacing w:line="600" w:lineRule="exact"/>
        <w:jc w:val="center"/>
        <w:outlineLvl w:val="0"/>
        <w:rPr>
          <w:rFonts w:ascii="黑体" w:hAnsi="黑体" w:eastAsia="黑体" w:cs="方正小标宋简体"/>
          <w:sz w:val="36"/>
          <w:szCs w:val="36"/>
        </w:rPr>
      </w:pP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年部门整体支出绩效自评报告</w:t>
      </w:r>
      <w:bookmarkEnd w:id="60"/>
    </w:p>
    <w:p w14:paraId="51AA300C">
      <w:pPr>
        <w:spacing w:line="600" w:lineRule="exact"/>
        <w:jc w:val="center"/>
        <w:outlineLvl w:val="0"/>
        <w:rPr>
          <w:rFonts w:ascii="黑体" w:hAnsi="黑体" w:eastAsia="黑体" w:cs="方正小标宋简体"/>
          <w:sz w:val="36"/>
          <w:szCs w:val="36"/>
        </w:rPr>
      </w:pPr>
    </w:p>
    <w:p w14:paraId="2502CAB7">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6A60B728">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（一）机构组成。</w:t>
      </w:r>
    </w:p>
    <w:p w14:paraId="0E54064C">
      <w:pPr>
        <w:spacing w:line="580" w:lineRule="exact"/>
        <w:ind w:firstLine="640" w:firstLineChars="200"/>
        <w:rPr>
          <w:rFonts w:ascii="仿宋" w:hAnsi="仿宋" w:eastAsia="仿宋" w:cs="仿宋_GB2312"/>
          <w:sz w:val="32"/>
          <w:szCs w:val="32"/>
        </w:rPr>
      </w:pPr>
      <w:r>
        <w:rPr>
          <w:rFonts w:hint="eastAsia" w:ascii="仿宋" w:hAnsi="仿宋" w:eastAsia="仿宋" w:cs="仿宋"/>
          <w:color w:val="000000"/>
          <w:kern w:val="0"/>
          <w:sz w:val="32"/>
          <w:szCs w:val="32"/>
          <w:lang w:val="zh-CN"/>
        </w:rPr>
        <w:t>米易</w:t>
      </w:r>
      <w:r>
        <w:rPr>
          <w:rFonts w:hint="eastAsia" w:ascii="仿宋_GB2312" w:eastAsia="仿宋_GB2312"/>
          <w:sz w:val="32"/>
          <w:szCs w:val="32"/>
        </w:rPr>
        <w:t>县</w:t>
      </w:r>
      <w:r>
        <w:rPr>
          <w:rFonts w:hint="eastAsia" w:ascii="仿宋_GB2312" w:eastAsia="仿宋_GB2312"/>
          <w:sz w:val="32"/>
          <w:szCs w:val="32"/>
          <w:lang w:eastAsia="zh-CN"/>
        </w:rPr>
        <w:t>人大常委会</w:t>
      </w:r>
      <w:r>
        <w:rPr>
          <w:rFonts w:hint="eastAsia" w:ascii="仿宋_GB2312" w:eastAsia="仿宋_GB2312"/>
          <w:sz w:val="32"/>
          <w:szCs w:val="32"/>
        </w:rPr>
        <w:t>机构设置为一室、六委：即办公室、财政经济工作委员会、法制工作委员会、教育科学文化卫生工作委员会、农业民族工作委员会、人事代表联络工作委员会、城乡环境资源保护工作委员会。</w:t>
      </w:r>
    </w:p>
    <w:p w14:paraId="3007F1C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（二）机构职能。</w:t>
      </w:r>
    </w:p>
    <w:p w14:paraId="7C6DE1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ascii="方正仿宋简体" w:hAnsi="方正仿宋简体" w:eastAsia="方正仿宋简体" w:cs="方正仿宋简体"/>
          <w:b/>
          <w:i w:val="0"/>
          <w:caps w:val="0"/>
          <w:color w:val="auto"/>
          <w:spacing w:val="0"/>
          <w:kern w:val="0"/>
          <w:sz w:val="33"/>
          <w:szCs w:val="33"/>
          <w:shd w:val="clear" w:color="auto" w:fill="FFFFFF"/>
          <w:lang w:val="en-US" w:eastAsia="zh-CN" w:bidi="ar"/>
        </w:rPr>
        <w:t>办公室主要工作职责</w:t>
      </w:r>
    </w:p>
    <w:p w14:paraId="3D8E62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1</w:t>
      </w:r>
      <w:r>
        <w:rPr>
          <w:rFonts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对县人民政府在贯彻执行国家宪法和有关法律、法规、方针、政策、县人大及其常委会的决议、决定、审议意见的情况进行检查，为县人大常委会进行法律监督和工作监督提供情况和依据。</w:t>
      </w:r>
    </w:p>
    <w:p w14:paraId="7B4070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承办县人民代表大会、县人大常委会会议、主任会议和常委会党组会议有关事项的筹备与会务工作；协助机关党群组织工作；负责县人大常委会及其机关的各种文件、材料、表册的打印及上报下发工作；负责机关精神文明建设、党风廉政、爱国卫生、信访、绿化、档案管理、机要保密等达标；负责县人大常委会机关的“挂包帮”、精准脱贫等工作。</w:t>
      </w:r>
    </w:p>
    <w:p w14:paraId="17A30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负责常委会会议、主任会议有关决议、决定（草案）、审议意见、会议纪要、《公报》、工作总结、工作报告等材料的起草工作。</w:t>
      </w:r>
    </w:p>
    <w:p w14:paraId="016B15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.负责常委会重大活动的具体组织和服务工作，协调各工作委员会的日常工作。</w:t>
      </w:r>
    </w:p>
    <w:p w14:paraId="210494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 w:hAnsi="仿宋" w:eastAsia="仿宋" w:cs="仿宋"/>
          <w:i w:val="0"/>
          <w:caps w:val="0"/>
          <w:color w:val="auto"/>
          <w:spacing w:val="0"/>
          <w:kern w:val="0"/>
          <w:sz w:val="33"/>
          <w:szCs w:val="33"/>
          <w:shd w:val="clear" w:color="auto" w:fill="FFFFFF"/>
          <w:lang w:val="en-US" w:eastAsia="zh-CN" w:bidi="ar"/>
        </w:rPr>
        <w:t>5.负责与县委、县人民政府、县政协、县人民法院、县人民检察院办公室的联系沟通以及与其他分工联系部门（单位）和分工联系乡镇的工作联系。</w:t>
      </w:r>
    </w:p>
    <w:p w14:paraId="71B35C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6</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对提请县人大常委会审议的人事任免案的有关情况进行调查了解，参与对准备提请县人大常委会任命前的干部考察；参与对有关部门工作评议和述职评议的评前调查；负责任免案交付表决前的各项具体准备工作。</w:t>
      </w:r>
    </w:p>
    <w:p w14:paraId="724BA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负责人民群众来信来访的接待工作。</w:t>
      </w:r>
    </w:p>
    <w:p w14:paraId="7F6929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机关的财务管理、劳资工作，编制财务预算和决算；负责机关固定资产管理和办公用品的采购、保管、发放等工作；负责机关车辆的管理和调度工作；负责机关基本建设计划的立项、报批和实施；负责机关办公楼的管理；负责机关内部的治安、保卫、环境卫生、庭院绿化、节日慰问、住院病人慰问等行政事务工作；负责离退休人员的服务工作；负责上级人大常委会来县视察、指导、检查及省内外人大常委会来县考察学习的接待工作。</w:t>
      </w:r>
    </w:p>
    <w:p w14:paraId="0B74D6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9</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承办全国人大常委会、省人大及其常委会交办的有关法律、法规（草案）征求意见稿的讨论修改，综合意见上报工作。</w:t>
      </w:r>
    </w:p>
    <w:p w14:paraId="04AC9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default" w:ascii="Times New Roman" w:hAnsi="Times New Roman" w:eastAsia="宋体" w:cs="Times New Roman"/>
          <w:i w:val="0"/>
          <w:caps w:val="0"/>
          <w:color w:val="auto"/>
          <w:spacing w:val="0"/>
          <w:kern w:val="0"/>
          <w:sz w:val="32"/>
          <w:szCs w:val="32"/>
          <w:shd w:val="clear" w:color="auto" w:fill="FFFFFF"/>
          <w:lang w:val="en-US" w:eastAsia="zh-CN" w:bidi="ar"/>
        </w:rPr>
        <w:t>10</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40CF77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财政经济工作委员会主要工作职责</w:t>
      </w:r>
    </w:p>
    <w:p w14:paraId="0EC994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对县人民政府有关财经方面的工作在贯彻执行国家宪法、法律、法规、方针、政策、县人大及其常委会的决议、决定、审议意见的执行情况进行检查，为县人大及其常委会进行法律监督和工作监督提供情况和依据。</w:t>
      </w:r>
    </w:p>
    <w:p w14:paraId="149194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对县人大常委会听取和审议的财经方面的议题，进行会前调查，写出调查报告，并起草有关决议、决定（草案）。</w:t>
      </w:r>
    </w:p>
    <w:p w14:paraId="562FC3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督促、检查全县国民经济和社会发展计划、财政预决算等方面工作的落实情况。</w:t>
      </w:r>
    </w:p>
    <w:p w14:paraId="542722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参加对口联系部门人事任免前调查或考察，参加对口联系部门工作评议的评前调查，并写出调查报告。</w:t>
      </w:r>
    </w:p>
    <w:p w14:paraId="76FADC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5</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对口参加上级人大常委会及专门委员会对本县有关情况的调查，出席上级人大专门委员会召开的有关会议。</w:t>
      </w:r>
    </w:p>
    <w:p w14:paraId="7D61E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6．参加县人民政府及所属部门召开的财经方面的重要会议。</w:t>
      </w:r>
    </w:p>
    <w:p w14:paraId="117B28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负责办理属于财经方面的人民群众来信来访。</w:t>
      </w:r>
    </w:p>
    <w:p w14:paraId="2A6C64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对全国人大常委会和省人大常委会交办的有关法律、法规征求意见稿，及时组织有关部门讨论、修改，并将意见综合上报。</w:t>
      </w:r>
    </w:p>
    <w:p w14:paraId="39222E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9</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1E1321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法制工作委员会主要工作职责</w:t>
      </w:r>
    </w:p>
    <w:p w14:paraId="7E6A7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对“一府两院”贯彻执行国家宪法和有关法律、法规、方针、政策、县人大及其常委会决议、决定、审议意见的情况进行检查、督促。</w:t>
      </w:r>
    </w:p>
    <w:p w14:paraId="1415DD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负责对我县社会主义民主法治建设中的重大问题进行调查研究，并将专题调查的情况向县人大常委会或主任会议报告并提出建议。负责县人大常委会机关的社会治安综合治理和普法教育工作的规划和总结。</w:t>
      </w:r>
    </w:p>
    <w:p w14:paraId="335FDA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对县人大常委会听取和审议的法制工作方面的议题，进行会前调查，写出调查报告，并起草有关决议、决定（草案）。</w:t>
      </w:r>
    </w:p>
    <w:p w14:paraId="7CE74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加强对口联系部门的联系，参加有关会议、了解情况、交换意见，参与联系部门人事任命前调查，参加对口联系部门工作评议和述职评议的评前调查，并写出调查报告。</w:t>
      </w:r>
    </w:p>
    <w:p w14:paraId="3B7644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5</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积极参与上级人大常委会和专门委员会来我县的视察和专项调查工作，出席上级人大有关专门委员会召开的会议。</w:t>
      </w:r>
    </w:p>
    <w:p w14:paraId="7D707F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6</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对全国人大常委会和省人大常委会交办的有关法律、法规草案征求意见稿，及时组织有关部门进行讨论修改，并将意见综合上报。</w:t>
      </w:r>
    </w:p>
    <w:p w14:paraId="0E7E93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接待和受理公民对法制工作方面的控告、申诉、检举案件。</w:t>
      </w:r>
    </w:p>
    <w:p w14:paraId="34E08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42EFA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教科文卫工作委员会主要工作职责</w:t>
      </w:r>
    </w:p>
    <w:p w14:paraId="7A2F10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民政府及所属部门有关教科文卫等方面的工作在贯彻执行国家宪法、法律、法规、方针政策、县人大及其常委会的决议、决定和审议意见的情况进行检查，为县人大常委会进行法律监督和工作监督提供情况和依据，初步审查县人大常委会交办的议案。</w:t>
      </w:r>
    </w:p>
    <w:p w14:paraId="327A6A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对县人大常委会和主任会议将要审议的有关教科文卫等方面的议题进行调查，写出调查报告，并起草有关决议、决定草案。</w:t>
      </w:r>
    </w:p>
    <w:p w14:paraId="0FB345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参与对口联系部门人事任免案审议前的调查或考察，参加对口联系部门工作评议和干部述职评议前的调查。</w:t>
      </w:r>
    </w:p>
    <w:p w14:paraId="1620A8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根据工作需要，搞好与对应部门的联系，参加有关会议和活动，掌握了解情况。</w:t>
      </w:r>
    </w:p>
    <w:p w14:paraId="05FE3A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5</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参与上级人大常委会和专门委员会对我县有关教科文卫方面的检查、视察工作，出席上级人大常委会教科文卫工作委员会召开的有关会议。</w:t>
      </w:r>
    </w:p>
    <w:p w14:paraId="74BE1F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6</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承担全国、省人大常委会交办的法律、法规草案征求意见工作，积极参与立法活动。</w:t>
      </w:r>
    </w:p>
    <w:p w14:paraId="05D962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负责接待、办理属于教科文卫工作方面的人民群众来信来访。</w:t>
      </w:r>
    </w:p>
    <w:p w14:paraId="5FBD77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完成县人大常委会及主任会议交办的其他工作。</w:t>
      </w:r>
    </w:p>
    <w:p w14:paraId="231D74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农业民族工作委员会主要工作职责</w:t>
      </w:r>
    </w:p>
    <w:p w14:paraId="2D6B07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民政府及其所属部门有关农业、民族、宗教等方面的工作在贯彻执行国家法律、法规，方针、政策，县人大常委会的决议、决定和审议意见的情况进行调查，为县人大常委会进行法律监督和工作监督提供情况和依据。</w:t>
      </w:r>
    </w:p>
    <w:p w14:paraId="572BDD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对县人大常委会和主任会议将要审议的涉及农业、民族、宗教方面的议题进行调查，写出调查报告，并起草有关决议、决定（草案）。</w:t>
      </w:r>
    </w:p>
    <w:p w14:paraId="01F0ED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对县人民政府有关农业、民族、宗教方面的问题进行调查，写出专题调查报告，提出意见和建议。</w:t>
      </w:r>
    </w:p>
    <w:p w14:paraId="41A1EB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对口参加上级人大常委会和专门委员会对我县的调查和视察。出席上级人大常委会农业民族工作委员会召开的有关会议。</w:t>
      </w:r>
    </w:p>
    <w:p w14:paraId="4761F3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5</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参加县人民政府及所属部门召开的农业、民族、宗教等方面的重要会议，参与联系部门人事任免案审议前的调查或考察，参加对口联系部门的工作评议和干部述职评议的调查。</w:t>
      </w:r>
    </w:p>
    <w:p w14:paraId="2BB590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6</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负责办理属于农业、民族、宗教等方面的人民群众的来信来访。</w:t>
      </w:r>
    </w:p>
    <w:p w14:paraId="66AB69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对全国、省人大常委会交办的有关农业、民族、宗教方面的法律、法规草案征求意见稿，及时组织有关部门进行讨论修改，并将意见综合上报。</w:t>
      </w:r>
    </w:p>
    <w:p w14:paraId="5FBB95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08E69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jc w:val="left"/>
        <w:textAlignment w:val="auto"/>
        <w:rPr>
          <w:color w:val="auto"/>
        </w:rPr>
      </w:pPr>
      <w:r>
        <w:rPr>
          <w:rFonts w:hint="eastAsia" w:ascii="方正仿宋简体" w:hAnsi="方正仿宋简体" w:eastAsia="方正仿宋简体" w:cs="方正仿宋简体"/>
          <w:i w:val="0"/>
          <w:caps w:val="0"/>
          <w:color w:val="auto"/>
          <w:spacing w:val="5"/>
          <w:kern w:val="0"/>
          <w:sz w:val="33"/>
          <w:szCs w:val="33"/>
          <w:shd w:val="clear" w:color="auto" w:fill="FFFFFF"/>
          <w:lang w:val="en-US" w:eastAsia="zh-CN" w:bidi="ar"/>
        </w:rPr>
        <w:t>  </w:t>
      </w: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人事代表联络工作委员会</w:t>
      </w:r>
    </w:p>
    <w:p w14:paraId="554D5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联系县人大代表，负责组织县人大代表的各种活动；受市人大及其常委会的委托，组织市人大代表的视察和其他活动。</w:t>
      </w:r>
    </w:p>
    <w:p w14:paraId="2FC9C3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承办、催办、督办县人大代表的批评、建议和意见。</w:t>
      </w:r>
    </w:p>
    <w:p w14:paraId="129D49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0C49F1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rPr>
      </w:pPr>
      <w:r>
        <w:rPr>
          <w:rFonts w:hint="eastAsia" w:ascii="方正仿宋简体" w:hAnsi="方正仿宋简体" w:eastAsia="方正仿宋简体" w:cs="方正仿宋简体"/>
          <w:b/>
          <w:i w:val="0"/>
          <w:caps w:val="0"/>
          <w:color w:val="auto"/>
          <w:spacing w:val="0"/>
          <w:kern w:val="0"/>
          <w:sz w:val="33"/>
          <w:szCs w:val="33"/>
          <w:shd w:val="clear" w:color="auto" w:fill="FFFFFF"/>
          <w:lang w:val="en-US" w:eastAsia="zh-CN" w:bidi="ar"/>
        </w:rPr>
        <w:t>城乡建设环境资源保护工作委员会</w:t>
      </w:r>
    </w:p>
    <w:p w14:paraId="571E4D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向县人民代表大会或常委会提出县人大常委会城环资工委职权范围内的有关议案。</w:t>
      </w:r>
    </w:p>
    <w:p w14:paraId="153494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2</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研究、审议县人民代表大会主席团或县人大常委会交付的有关城乡建设、环境资源保护等方面的议案，并按程序提出审议意见或报告。</w:t>
      </w:r>
    </w:p>
    <w:p w14:paraId="39B1FE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3</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审议、承办县人民代表大会主席团或县人大常委会交付的有关质询案，听取被质询机关对质询案的答复，并按程序提出办理意见或报告。</w:t>
      </w:r>
    </w:p>
    <w:p w14:paraId="02F6F8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4</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对县人民代表大会及其常委会授权的问题或事项进行调查，并提交调查报告。</w:t>
      </w:r>
    </w:p>
    <w:p w14:paraId="1F915A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5</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根据县</w:t>
      </w:r>
      <w:r>
        <w:rPr>
          <w:rFonts w:hint="default" w:ascii="仿宋_GB2312" w:hAnsi="宋体" w:eastAsia="仿宋_GB2312" w:cs="仿宋_GB2312"/>
          <w:i w:val="0"/>
          <w:caps w:val="0"/>
          <w:color w:val="auto"/>
          <w:spacing w:val="0"/>
          <w:kern w:val="0"/>
          <w:sz w:val="32"/>
          <w:szCs w:val="32"/>
          <w:shd w:val="clear" w:color="auto" w:fill="FFFFFF"/>
          <w:lang w:val="en-US" w:eastAsia="zh-CN" w:bidi="ar"/>
        </w:rPr>
        <w:t>人大常委会会议</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确定的议题或围绕县人大常委会城环资工委工作职责，依法开展调查研究，或者受县人大常委会委托组织执法检查，并提出调查意见、建议或报告。</w:t>
      </w:r>
    </w:p>
    <w:p w14:paraId="361A14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6</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参与县人大常委会组织的视察、专项工作评议和执法检查。</w:t>
      </w:r>
    </w:p>
    <w:p w14:paraId="5C0CB4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7</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对全国人大常委会、省人大常委会、市人大常委会征求意见的相关法律、法规草案，组织有关部门和人员进行研究讨论，提出修改或建议意见，并按程序及时上报。</w:t>
      </w:r>
    </w:p>
    <w:p w14:paraId="30A40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8</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对人民来信来访提出的涉及县人大常委会城环资工委职责的有关申诉和意见，及时转交有关部门限期办理，并报告办理结果。</w:t>
      </w:r>
    </w:p>
    <w:p w14:paraId="0235A5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9</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按照宪法和法律的规定，确保有关城乡建设、环境资源保护方面的法律法规、县人大及其常委会依法作出的有关决议、决定在我县得以贯彻执行。</w:t>
      </w:r>
    </w:p>
    <w:p w14:paraId="5332A3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10</w:t>
      </w:r>
      <w:r>
        <w:rPr>
          <w:rFonts w:hint="eastAsia" w:ascii="仿宋" w:hAnsi="仿宋" w:eastAsia="仿宋" w:cs="仿宋"/>
          <w:i w:val="0"/>
          <w:caps w:val="0"/>
          <w:color w:val="auto"/>
          <w:spacing w:val="0"/>
          <w:kern w:val="0"/>
          <w:sz w:val="33"/>
          <w:szCs w:val="33"/>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完成常委会、主任会议及常委会领导交办的其他工作。</w:t>
      </w:r>
    </w:p>
    <w:p w14:paraId="65AA1F24">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p>
    <w:p w14:paraId="3F10C791">
      <w:pPr>
        <w:spacing w:line="500" w:lineRule="exact"/>
        <w:ind w:firstLine="64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日机关实有在职公务员</w:t>
      </w:r>
      <w:r>
        <w:rPr>
          <w:rFonts w:ascii="仿宋_GB2312" w:eastAsia="仿宋_GB2312"/>
          <w:sz w:val="32"/>
          <w:szCs w:val="32"/>
        </w:rPr>
        <w:t>2</w:t>
      </w:r>
      <w:r>
        <w:rPr>
          <w:rFonts w:hint="eastAsia" w:ascii="仿宋_GB2312" w:eastAsia="仿宋_GB2312"/>
          <w:sz w:val="32"/>
          <w:szCs w:val="32"/>
        </w:rPr>
        <w:t>6人，工勤人员2人，离休人员2人，共计30人。</w:t>
      </w:r>
    </w:p>
    <w:p w14:paraId="56B130E2">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14:paraId="72881360">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（一）部门财政资金收入情况。</w:t>
      </w:r>
    </w:p>
    <w:p w14:paraId="5FCF3402">
      <w:pPr>
        <w:snapToGrid w:val="0"/>
        <w:spacing w:line="560" w:lineRule="exact"/>
        <w:ind w:firstLine="640" w:firstLineChars="200"/>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2018</w:t>
      </w:r>
      <w:r>
        <w:rPr>
          <w:rFonts w:hint="eastAsia" w:ascii="仿宋_GB2312" w:hAnsi="Calibri" w:eastAsia="仿宋_GB2312" w:cs="仿宋_GB2312"/>
          <w:color w:val="000000"/>
          <w:kern w:val="0"/>
          <w:sz w:val="32"/>
          <w:szCs w:val="32"/>
        </w:rPr>
        <w:t>年收入总额为876.57万元，其中：当年财政拨款收入876.57万元。</w:t>
      </w:r>
    </w:p>
    <w:p w14:paraId="114DC218">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（二）部门财政资金支出情况。</w:t>
      </w:r>
    </w:p>
    <w:p w14:paraId="597A0F0E">
      <w:pPr>
        <w:adjustRightInd w:val="0"/>
        <w:snapToGrid w:val="0"/>
        <w:spacing w:line="560" w:lineRule="exact"/>
        <w:ind w:firstLine="720"/>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2018</w:t>
      </w:r>
      <w:r>
        <w:rPr>
          <w:rFonts w:hint="eastAsia" w:ascii="仿宋_GB2312" w:hAnsi="Calibri" w:eastAsia="仿宋_GB2312" w:cs="仿宋_GB2312"/>
          <w:color w:val="000000"/>
          <w:kern w:val="0"/>
          <w:sz w:val="32"/>
          <w:szCs w:val="32"/>
        </w:rPr>
        <w:t>年财政拨款支出总额为876.57万元，其中：基本支出661.45万元、项目支出215.12万元。</w:t>
      </w:r>
    </w:p>
    <w:p w14:paraId="4EE4A873">
      <w:pPr>
        <w:adjustRightInd w:val="0"/>
        <w:snapToGrid w:val="0"/>
        <w:spacing w:line="560" w:lineRule="exact"/>
        <w:ind w:firstLine="72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米易县人大常委会办公室预算安排支出主要用于保障</w:t>
      </w:r>
      <w:r>
        <w:rPr>
          <w:rFonts w:hint="eastAsia" w:ascii="仿宋_GB2312" w:hAnsi="Calibri" w:eastAsia="仿宋_GB2312" w:cs="仿宋_GB2312"/>
          <w:color w:val="000000"/>
          <w:kern w:val="0"/>
          <w:sz w:val="32"/>
          <w:szCs w:val="32"/>
          <w:lang w:val="en-US" w:eastAsia="zh-CN"/>
        </w:rPr>
        <w:t>机关</w:t>
      </w:r>
      <w:r>
        <w:rPr>
          <w:rFonts w:hint="eastAsia" w:ascii="仿宋_GB2312" w:hAnsi="Calibri" w:eastAsia="仿宋_GB2312" w:cs="仿宋_GB2312"/>
          <w:color w:val="000000"/>
          <w:kern w:val="0"/>
          <w:sz w:val="32"/>
          <w:szCs w:val="32"/>
        </w:rPr>
        <w:t>正常运转、完成日常工作任务以及本单位承担的其他专项工作。</w:t>
      </w:r>
    </w:p>
    <w:p w14:paraId="46036BD1">
      <w:pPr>
        <w:adjustRightInd w:val="0"/>
        <w:snapToGrid w:val="0"/>
        <w:spacing w:line="560" w:lineRule="exact"/>
        <w:ind w:firstLine="72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基本支出，是用于保障本单位的正常运转的日常支出，包括基本工资、津贴补贴等人员经费以及办公费、差旅费等日常公用经费。</w:t>
      </w:r>
    </w:p>
    <w:p w14:paraId="0F557F81">
      <w:pPr>
        <w:spacing w:line="560" w:lineRule="exact"/>
        <w:ind w:firstLine="640" w:firstLineChars="20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项目支出，是用于保障县人大常委会办公室为完成特定的行政工作任务或事业发展目标，用于专项业务工作的经费支出。</w:t>
      </w:r>
    </w:p>
    <w:p w14:paraId="6650AE98">
      <w:pPr>
        <w:spacing w:line="560" w:lineRule="exact"/>
        <w:ind w:firstLine="640" w:firstLineChars="200"/>
        <w:rPr>
          <w:rFonts w:ascii="仿宋_GB2312" w:hAnsi="Calibri" w:eastAsia="仿宋_GB2312" w:cs="仿宋_GB2312"/>
          <w:color w:val="000000"/>
          <w:kern w:val="0"/>
          <w:sz w:val="32"/>
          <w:szCs w:val="32"/>
        </w:rPr>
      </w:pPr>
      <w:r>
        <w:rPr>
          <w:rFonts w:hint="eastAsia" w:ascii="仿宋_GB2312" w:hAnsi="Calibri" w:eastAsia="仿宋_GB2312" w:cs="仿宋_GB2312"/>
          <w:color w:val="000000"/>
          <w:kern w:val="0"/>
          <w:sz w:val="32"/>
          <w:szCs w:val="32"/>
        </w:rPr>
        <w:t>按支出功能分类主要用于以下方面</w:t>
      </w:r>
      <w:r>
        <w:rPr>
          <w:rFonts w:ascii="仿宋_GB2312" w:hAnsi="Calibri" w:eastAsia="仿宋_GB2312" w:cs="仿宋_GB2312"/>
          <w:color w:val="000000"/>
          <w:kern w:val="0"/>
          <w:sz w:val="32"/>
          <w:szCs w:val="32"/>
        </w:rPr>
        <w:t>:</w:t>
      </w:r>
    </w:p>
    <w:p w14:paraId="1AF4D487">
      <w:pPr>
        <w:spacing w:line="560" w:lineRule="exact"/>
        <w:ind w:firstLine="640" w:firstLineChars="200"/>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w:t>
      </w:r>
      <w:r>
        <w:rPr>
          <w:rFonts w:hint="eastAsia" w:ascii="仿宋_GB2312" w:hAnsi="Calibri" w:eastAsia="仿宋_GB2312" w:cs="仿宋_GB2312"/>
          <w:color w:val="000000"/>
          <w:kern w:val="0"/>
          <w:sz w:val="32"/>
          <w:szCs w:val="32"/>
        </w:rPr>
        <w:t>一般公共服务支出671.34万元，主要用于：保障县人大常委会办公室正常运转的日常支出，及保障县人大常委会办公室为完成特定的行政工作任务或事业发展目标的专项方面的经费。包含：人大报刊经费、乡镇人大代表之家建设经费等。</w:t>
      </w:r>
    </w:p>
    <w:p w14:paraId="622E0989">
      <w:pPr>
        <w:spacing w:line="560" w:lineRule="exact"/>
        <w:ind w:firstLine="640" w:firstLineChars="200"/>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2.</w:t>
      </w:r>
      <w:r>
        <w:rPr>
          <w:rFonts w:hint="eastAsia" w:ascii="仿宋_GB2312" w:hAnsi="Calibri" w:eastAsia="仿宋_GB2312" w:cs="仿宋_GB2312"/>
          <w:color w:val="000000"/>
          <w:kern w:val="0"/>
          <w:sz w:val="32"/>
          <w:szCs w:val="32"/>
        </w:rPr>
        <w:t>社会保障和就业支出147.73万元，主要用于：县人大常委会办公室离退休人员的工资福利支出。</w:t>
      </w:r>
    </w:p>
    <w:p w14:paraId="0C28CB67">
      <w:pPr>
        <w:spacing w:line="560" w:lineRule="exact"/>
        <w:ind w:firstLine="640" w:firstLineChars="200"/>
        <w:rPr>
          <w:rFonts w:ascii="仿宋_GB2312" w:hAnsi="Calibri" w:eastAsia="仿宋_GB2312" w:cs="仿宋_GB2312"/>
          <w:color w:val="000000"/>
          <w:kern w:val="0"/>
          <w:sz w:val="32"/>
          <w:szCs w:val="32"/>
        </w:rPr>
      </w:pPr>
      <w:r>
        <w:rPr>
          <w:rFonts w:ascii="仿宋_GB2312" w:hAnsi="Calibri" w:eastAsia="仿宋_GB2312" w:cs="仿宋_GB2312"/>
          <w:color w:val="000000"/>
          <w:kern w:val="0"/>
          <w:sz w:val="32"/>
          <w:szCs w:val="32"/>
        </w:rPr>
        <w:t>3.</w:t>
      </w:r>
      <w:r>
        <w:rPr>
          <w:rFonts w:hint="eastAsia" w:ascii="仿宋_GB2312" w:hAnsi="Calibri" w:eastAsia="仿宋_GB2312" w:cs="仿宋_GB2312"/>
          <w:color w:val="000000"/>
          <w:kern w:val="0"/>
          <w:sz w:val="32"/>
          <w:szCs w:val="32"/>
        </w:rPr>
        <w:t>住房保障支出57.51万元，主要用于：县人大常委会办公室在职人员住房公积金的缴纳。</w:t>
      </w:r>
    </w:p>
    <w:p w14:paraId="17AD31E7">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w:t>
      </w:r>
    </w:p>
    <w:p w14:paraId="3BE2515A">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（一）部门预算管理。</w:t>
      </w:r>
    </w:p>
    <w:p w14:paraId="3F8240A0">
      <w:pPr>
        <w:spacing w:line="560" w:lineRule="exact"/>
        <w:ind w:firstLine="640" w:firstLineChars="20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我办严格按照县财政预算编制通知和有关要求，组织职能股室认真收集基础信息，编制年度预算，经过多次讨论汇总，按时将</w:t>
      </w:r>
      <w:r>
        <w:rPr>
          <w:rFonts w:ascii="仿宋_GB2312" w:hAnsi="Calibri" w:eastAsia="仿宋_GB2312" w:cs="仿宋_GB2312"/>
          <w:color w:val="000000"/>
          <w:kern w:val="0"/>
          <w:sz w:val="32"/>
          <w:szCs w:val="32"/>
        </w:rPr>
        <w:t>2018</w:t>
      </w:r>
      <w:r>
        <w:rPr>
          <w:rFonts w:hint="eastAsia" w:ascii="仿宋_GB2312" w:hAnsi="Calibri" w:eastAsia="仿宋_GB2312" w:cs="仿宋_GB2312"/>
          <w:color w:val="000000"/>
          <w:kern w:val="0"/>
          <w:sz w:val="32"/>
          <w:szCs w:val="32"/>
        </w:rPr>
        <w:t>年度预算的基础数据、项目数据报送到县财政局，并根据财政的审核，准确在</w:t>
      </w:r>
      <w:r>
        <w:rPr>
          <w:rFonts w:ascii="仿宋_GB2312" w:hAnsi="Calibri" w:eastAsia="仿宋_GB2312" w:cs="仿宋_GB2312"/>
          <w:color w:val="000000"/>
          <w:kern w:val="0"/>
          <w:sz w:val="32"/>
          <w:szCs w:val="32"/>
        </w:rPr>
        <w:t>E</w:t>
      </w:r>
      <w:r>
        <w:rPr>
          <w:rFonts w:hint="eastAsia" w:ascii="仿宋_GB2312" w:hAnsi="Calibri" w:eastAsia="仿宋_GB2312" w:cs="仿宋_GB2312"/>
          <w:color w:val="000000"/>
          <w:kern w:val="0"/>
          <w:sz w:val="32"/>
          <w:szCs w:val="32"/>
        </w:rPr>
        <w:t>财软件中录入了相关信息，提交了部门预算草案。经核，</w:t>
      </w:r>
      <w:r>
        <w:rPr>
          <w:rFonts w:ascii="仿宋_GB2312" w:hAnsi="Calibri" w:eastAsia="仿宋_GB2312" w:cs="仿宋_GB2312"/>
          <w:color w:val="000000"/>
          <w:kern w:val="0"/>
          <w:sz w:val="32"/>
          <w:szCs w:val="32"/>
        </w:rPr>
        <w:t>2018</w:t>
      </w:r>
      <w:r>
        <w:rPr>
          <w:rFonts w:hint="eastAsia" w:ascii="仿宋_GB2312" w:hAnsi="Calibri" w:eastAsia="仿宋_GB2312" w:cs="仿宋_GB2312"/>
          <w:color w:val="000000"/>
          <w:kern w:val="0"/>
          <w:sz w:val="32"/>
          <w:szCs w:val="32"/>
        </w:rPr>
        <w:t>年县人大常委会办公室部门基本预算数据准确无误，无差错。项目预编制合理，数据准确，确保了年度项目工作的顺利开展。总体上看</w:t>
      </w:r>
      <w:r>
        <w:rPr>
          <w:rFonts w:ascii="仿宋_GB2312" w:hAnsi="Calibri" w:eastAsia="仿宋_GB2312" w:cs="仿宋_GB2312"/>
          <w:color w:val="000000"/>
          <w:kern w:val="0"/>
          <w:sz w:val="32"/>
          <w:szCs w:val="32"/>
        </w:rPr>
        <w:t>2018</w:t>
      </w:r>
      <w:r>
        <w:rPr>
          <w:rFonts w:hint="eastAsia" w:ascii="仿宋_GB2312" w:hAnsi="Calibri" w:eastAsia="仿宋_GB2312" w:cs="仿宋_GB2312"/>
          <w:color w:val="000000"/>
          <w:kern w:val="0"/>
          <w:sz w:val="32"/>
          <w:szCs w:val="32"/>
        </w:rPr>
        <w:t>年部门预算编制质量较高，确保了预算编制的全面性、及时性和科学性。</w:t>
      </w:r>
    </w:p>
    <w:p w14:paraId="45AC38AD">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（二）专项预算管理。</w:t>
      </w:r>
    </w:p>
    <w:p w14:paraId="5A7885EF">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我办根据年度目标任务进行专项项目资金的预算，并制定专项预算项目绩效。财政按程序批复项目资金后，我办严格按照项目资金管理办法实行专款专用，资金拨付严格按照财务管理制度进行。</w:t>
      </w:r>
    </w:p>
    <w:p w14:paraId="202E7427">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hAnsi="Calibri" w:eastAsia="仿宋_GB2312"/>
          <w:color w:val="000000"/>
          <w:kern w:val="0"/>
          <w:sz w:val="32"/>
          <w:szCs w:val="32"/>
        </w:rPr>
      </w:pPr>
      <w:r>
        <w:rPr>
          <w:rFonts w:hint="eastAsia" w:ascii="仿宋_GB2312" w:hAnsi="Calibri" w:eastAsia="仿宋_GB2312" w:cs="仿宋_GB2312"/>
          <w:color w:val="000000"/>
          <w:kern w:val="0"/>
          <w:sz w:val="32"/>
          <w:szCs w:val="32"/>
        </w:rPr>
        <w:t>经自评单位的专项预算项目程序严密、规划合量、结果符合、分配科学、分配及时。</w:t>
      </w:r>
      <w:r>
        <w:rPr>
          <w:rFonts w:ascii="仿宋_GB2312" w:hAnsi="Calibri" w:eastAsia="仿宋_GB2312"/>
          <w:color w:val="000000"/>
          <w:kern w:val="0"/>
          <w:sz w:val="32"/>
          <w:szCs w:val="32"/>
        </w:rPr>
        <w:t> </w:t>
      </w:r>
    </w:p>
    <w:p w14:paraId="69008D97">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hAnsi="Calibri" w:eastAsia="仿宋_GB2312"/>
          <w:color w:val="000000"/>
          <w:kern w:val="0"/>
          <w:sz w:val="32"/>
          <w:szCs w:val="32"/>
        </w:rPr>
      </w:pPr>
      <w:r>
        <w:rPr>
          <w:rFonts w:hint="eastAsia" w:ascii="仿宋" w:hAnsi="仿宋" w:eastAsia="仿宋" w:cs="仿宋_GB2312"/>
          <w:sz w:val="32"/>
          <w:szCs w:val="32"/>
        </w:rPr>
        <w:t>（三）结果应用情况。</w:t>
      </w:r>
    </w:p>
    <w:p w14:paraId="4090EAD2">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kern w:val="0"/>
          <w:sz w:val="32"/>
          <w:szCs w:val="32"/>
          <w:lang w:bidi="ar"/>
        </w:rPr>
      </w:pPr>
      <w:r>
        <w:rPr>
          <w:rFonts w:hint="eastAsia" w:ascii="仿宋" w:hAnsi="仿宋" w:eastAsia="仿宋" w:cs="仿宋_GB2312"/>
          <w:sz w:val="32"/>
          <w:szCs w:val="32"/>
        </w:rPr>
        <w:t>2018年县人大常委会办公室在县委、县政府领导下，把握工作重点，完善工作机制，创新工作方法，进一步规范各项工作程序，严格执行制度，使办公室各项工作有章可循、有据可依、更加科学、规范、快捷、高效运行。一年来，做好综合协调工作，对重大工作、重大活动认真组织，加强调度，多方协调，充分发挥办公室的桥梁纽带作用，注重建立和培养工作协作关系，注重协调处理好县直部门之间、部门与乡镇、乡镇与乡镇间的关系，使</w:t>
      </w:r>
      <w:r>
        <w:rPr>
          <w:rFonts w:hint="eastAsia" w:ascii="仿宋" w:hAnsi="仿宋" w:eastAsia="仿宋" w:cs="仿宋_GB2312"/>
          <w:sz w:val="32"/>
          <w:szCs w:val="32"/>
          <w:lang w:eastAsia="zh-CN"/>
        </w:rPr>
        <w:t>县</w:t>
      </w:r>
      <w:r>
        <w:rPr>
          <w:rFonts w:hint="eastAsia" w:ascii="仿宋" w:hAnsi="仿宋" w:eastAsia="仿宋" w:cs="仿宋_GB2312"/>
          <w:sz w:val="32"/>
          <w:szCs w:val="32"/>
        </w:rPr>
        <w:t>人大常委会各委室工作有序开展，办文办会水平进一步提高，努力提高公文办理质量和速度，规范公文报送程序，减少公文运转环节，做到文件及时收发、传阅、送阅，确保公文处理准确及时和有序运转。总之</w:t>
      </w:r>
      <w:r>
        <w:rPr>
          <w:rFonts w:hint="eastAsia" w:ascii="仿宋" w:hAnsi="仿宋" w:eastAsia="仿宋" w:cs="仿宋"/>
          <w:kern w:val="0"/>
          <w:sz w:val="32"/>
          <w:szCs w:val="32"/>
          <w:lang w:bidi="ar"/>
        </w:rPr>
        <w:t>，2018年在县委、县政府正确领导下，机关全体干部职工切实转变工作作风，态度热情，办事效率高，取得了较好的社会评价。</w:t>
      </w:r>
    </w:p>
    <w:p w14:paraId="767A1A93">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kern w:val="0"/>
          <w:sz w:val="32"/>
          <w:szCs w:val="32"/>
          <w:lang w:bidi="ar"/>
        </w:rPr>
      </w:pPr>
      <w:r>
        <w:rPr>
          <w:rFonts w:hint="eastAsia" w:ascii="黑体" w:hAnsi="黑体" w:eastAsia="黑体" w:cs="黑体"/>
          <w:sz w:val="32"/>
          <w:szCs w:val="32"/>
        </w:rPr>
        <w:t>四、评价结论及建议</w:t>
      </w:r>
    </w:p>
    <w:p w14:paraId="12E7AFDA">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kern w:val="0"/>
          <w:sz w:val="32"/>
          <w:szCs w:val="32"/>
          <w:lang w:bidi="ar"/>
        </w:rPr>
      </w:pPr>
      <w:r>
        <w:rPr>
          <w:rFonts w:hint="eastAsia" w:ascii="仿宋" w:hAnsi="仿宋" w:eastAsia="仿宋" w:cs="仿宋_GB2312"/>
          <w:sz w:val="32"/>
          <w:szCs w:val="32"/>
        </w:rPr>
        <w:t>（</w:t>
      </w:r>
      <w:r>
        <w:rPr>
          <w:rFonts w:hint="eastAsia" w:ascii="仿宋" w:hAnsi="仿宋" w:eastAsia="仿宋" w:cs="仿宋"/>
          <w:color w:val="000000"/>
          <w:kern w:val="0"/>
          <w:sz w:val="32"/>
          <w:szCs w:val="32"/>
        </w:rPr>
        <w:t>一）评价结论。</w:t>
      </w:r>
    </w:p>
    <w:p w14:paraId="29DFF605">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kern w:val="0"/>
          <w:sz w:val="32"/>
          <w:szCs w:val="32"/>
          <w:lang w:bidi="ar"/>
        </w:rPr>
      </w:pPr>
      <w:r>
        <w:rPr>
          <w:rFonts w:hint="eastAsia" w:ascii="仿宋" w:hAnsi="仿宋" w:eastAsia="仿宋" w:cs="仿宋"/>
          <w:color w:val="000000"/>
          <w:kern w:val="0"/>
          <w:sz w:val="32"/>
          <w:szCs w:val="32"/>
        </w:rPr>
        <w:t>综合以上情况，县人大常委会机关财务管理健全规范，2018年部门支出与财政预算一致，达到预期绩效目标。</w:t>
      </w:r>
    </w:p>
    <w:p w14:paraId="2AE0DA25">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color w:val="000000"/>
          <w:kern w:val="0"/>
          <w:sz w:val="32"/>
          <w:szCs w:val="32"/>
        </w:rPr>
      </w:pPr>
      <w:r>
        <w:rPr>
          <w:rFonts w:hint="eastAsia" w:ascii="仿宋" w:hAnsi="仿宋" w:eastAsia="仿宋" w:cs="仿宋"/>
          <w:color w:val="000000"/>
          <w:kern w:val="0"/>
          <w:sz w:val="32"/>
          <w:szCs w:val="32"/>
        </w:rPr>
        <w:t>（二）存在问题。</w:t>
      </w:r>
    </w:p>
    <w:p w14:paraId="79AB4EDC">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color w:val="000000"/>
          <w:kern w:val="0"/>
          <w:sz w:val="32"/>
          <w:szCs w:val="32"/>
        </w:rPr>
      </w:pPr>
      <w:r>
        <w:rPr>
          <w:rFonts w:hint="eastAsia" w:ascii="仿宋_GB2312" w:hAnsi="Calibri" w:eastAsia="仿宋_GB2312" w:cs="仿宋_GB2312"/>
          <w:color w:val="000000"/>
          <w:kern w:val="0"/>
          <w:sz w:val="32"/>
          <w:szCs w:val="32"/>
        </w:rPr>
        <w:t>从绩效评价看，我办还存在如下问题：一是预算管理不够精细，在预算管理过程中，需加强全单位内设机构的协调联动，保证预算编制的合理与精细，并加强与财政部门的沟通和协调，确保预算资金的及时下达。二是在财务管理有待进一步规范，提高资金使用效率。</w:t>
      </w:r>
    </w:p>
    <w:p w14:paraId="4C058E4A">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hAnsi="Calibri" w:eastAsia="仿宋_GB2312"/>
          <w:color w:val="000000"/>
          <w:kern w:val="0"/>
          <w:sz w:val="32"/>
          <w:szCs w:val="32"/>
        </w:rPr>
      </w:pPr>
      <w:r>
        <w:rPr>
          <w:rFonts w:hint="eastAsia" w:ascii="仿宋" w:hAnsi="仿宋" w:eastAsia="仿宋" w:cs="仿宋"/>
          <w:color w:val="000000"/>
          <w:kern w:val="0"/>
          <w:sz w:val="32"/>
          <w:szCs w:val="32"/>
        </w:rPr>
        <w:t>（三）改进建议。</w:t>
      </w:r>
    </w:p>
    <w:p w14:paraId="61C408A5">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hAnsi="Calibri" w:eastAsia="仿宋_GB2312"/>
          <w:color w:val="000000"/>
          <w:kern w:val="0"/>
          <w:sz w:val="32"/>
          <w:szCs w:val="32"/>
        </w:rPr>
      </w:pPr>
      <w:r>
        <w:rPr>
          <w:rFonts w:hint="eastAsia" w:ascii="仿宋" w:hAnsi="仿宋" w:eastAsia="仿宋" w:cs="仿宋"/>
          <w:color w:val="000000"/>
          <w:kern w:val="0"/>
          <w:sz w:val="32"/>
          <w:szCs w:val="32"/>
        </w:rPr>
        <w:t>1.预算编制和预算管理还需进一步细化和加强，严禁超预算和无预算安排支出，严格开支范围和标准，严格审核各项经费的支出，提高资金使用效率。</w:t>
      </w:r>
    </w:p>
    <w:p w14:paraId="293FB484">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 w:hAnsi="仿宋" w:eastAsia="仿宋" w:cs="仿宋"/>
          <w:color w:val="000000"/>
          <w:kern w:val="0"/>
          <w:sz w:val="32"/>
          <w:szCs w:val="32"/>
        </w:rPr>
      </w:pPr>
      <w:r>
        <w:rPr>
          <w:rFonts w:hint="eastAsia" w:ascii="仿宋" w:hAnsi="仿宋" w:eastAsia="仿宋" w:cs="仿宋"/>
          <w:color w:val="000000"/>
          <w:kern w:val="0"/>
          <w:sz w:val="32"/>
          <w:szCs w:val="32"/>
        </w:rPr>
        <w:t>2.加强“三公”经费的管理和控制，认真贯彻落实中央、省委省政府和县委县政府相关规定，严格“三公”经费支出的审核和审批，合理压缩“三公”经费支出。</w:t>
      </w:r>
    </w:p>
    <w:p w14:paraId="3D11BEA6">
      <w:pPr>
        <w:pStyle w:val="34"/>
        <w:spacing w:line="560" w:lineRule="exact"/>
        <w:jc w:val="center"/>
        <w:rPr>
          <w:rFonts w:ascii="黑体" w:hAnsi="黑体" w:eastAsia="黑体" w:cs="方正小标宋简体"/>
          <w:color w:val="auto"/>
          <w:kern w:val="2"/>
          <w:sz w:val="36"/>
          <w:szCs w:val="36"/>
        </w:rPr>
      </w:pPr>
    </w:p>
    <w:p w14:paraId="662FD62A">
      <w:pPr>
        <w:pStyle w:val="34"/>
        <w:spacing w:line="560" w:lineRule="exact"/>
        <w:jc w:val="center"/>
        <w:rPr>
          <w:rFonts w:ascii="黑体" w:hAnsi="黑体" w:eastAsia="黑体" w:cs="方正小标宋简体"/>
          <w:color w:val="auto"/>
          <w:kern w:val="2"/>
          <w:sz w:val="36"/>
          <w:szCs w:val="36"/>
        </w:rPr>
      </w:pPr>
    </w:p>
    <w:p w14:paraId="7208329E">
      <w:pPr>
        <w:pStyle w:val="34"/>
        <w:spacing w:line="560" w:lineRule="exact"/>
        <w:jc w:val="center"/>
        <w:rPr>
          <w:rFonts w:ascii="黑体" w:hAnsi="黑体" w:eastAsia="黑体" w:cs="方正小标宋简体"/>
          <w:color w:val="auto"/>
          <w:kern w:val="2"/>
          <w:sz w:val="36"/>
          <w:szCs w:val="36"/>
        </w:rPr>
      </w:pPr>
    </w:p>
    <w:p w14:paraId="5B70CCE0">
      <w:pPr>
        <w:pStyle w:val="34"/>
        <w:spacing w:line="560" w:lineRule="exact"/>
        <w:jc w:val="center"/>
        <w:rPr>
          <w:rFonts w:ascii="黑体" w:hAnsi="黑体" w:eastAsia="黑体" w:cs="方正小标宋简体"/>
          <w:color w:val="auto"/>
          <w:kern w:val="2"/>
          <w:sz w:val="36"/>
          <w:szCs w:val="36"/>
        </w:rPr>
      </w:pPr>
    </w:p>
    <w:p w14:paraId="6E594B94">
      <w:pPr>
        <w:pStyle w:val="34"/>
        <w:spacing w:line="560" w:lineRule="exact"/>
        <w:rPr>
          <w:rFonts w:ascii="黑体" w:hAnsi="黑体" w:eastAsia="黑体" w:cs="方正小标宋简体"/>
          <w:color w:val="auto"/>
          <w:kern w:val="2"/>
          <w:sz w:val="36"/>
          <w:szCs w:val="36"/>
        </w:rPr>
      </w:pPr>
    </w:p>
    <w:p w14:paraId="5F671F27">
      <w:pPr>
        <w:pStyle w:val="3"/>
        <w:rPr>
          <w:rStyle w:val="17"/>
          <w:rFonts w:ascii="仿宋" w:hAnsi="仿宋" w:eastAsia="仿宋"/>
          <w:b w:val="0"/>
          <w:bCs w:val="0"/>
          <w:sz w:val="32"/>
          <w:szCs w:val="32"/>
        </w:rPr>
      </w:pPr>
      <w:r>
        <w:rPr>
          <w:rStyle w:val="17"/>
          <w:rFonts w:hint="eastAsia" w:ascii="仿宋" w:hAnsi="仿宋" w:eastAsia="仿宋"/>
          <w:b w:val="0"/>
          <w:bCs w:val="0"/>
          <w:sz w:val="32"/>
          <w:szCs w:val="32"/>
        </w:rPr>
        <w:t>附件2</w:t>
      </w:r>
    </w:p>
    <w:p w14:paraId="4E257B4E">
      <w:pPr>
        <w:pStyle w:val="34"/>
        <w:spacing w:line="560" w:lineRule="exact"/>
        <w:jc w:val="center"/>
        <w:rPr>
          <w:rFonts w:ascii="黑体" w:hAnsi="黑体" w:eastAsia="黑体" w:cs="方正小标宋简体"/>
          <w:color w:val="auto"/>
          <w:kern w:val="2"/>
          <w:sz w:val="36"/>
          <w:szCs w:val="36"/>
        </w:rPr>
      </w:pPr>
      <w:r>
        <w:rPr>
          <w:rFonts w:ascii="黑体" w:hAnsi="黑体" w:eastAsia="黑体" w:cs="方正小标宋简体"/>
          <w:color w:val="auto"/>
          <w:kern w:val="2"/>
          <w:sz w:val="36"/>
          <w:szCs w:val="36"/>
        </w:rPr>
        <w:t>2018</w:t>
      </w:r>
      <w:r>
        <w:rPr>
          <w:rFonts w:hint="eastAsia" w:ascii="黑体" w:hAnsi="黑体" w:eastAsia="黑体" w:cs="方正小标宋简体"/>
          <w:color w:val="auto"/>
          <w:kern w:val="2"/>
          <w:sz w:val="36"/>
          <w:szCs w:val="36"/>
        </w:rPr>
        <w:t>年米易县人大常委会办公室</w:t>
      </w:r>
    </w:p>
    <w:p w14:paraId="6FBE0006">
      <w:pPr>
        <w:pStyle w:val="34"/>
        <w:spacing w:line="560" w:lineRule="exact"/>
        <w:jc w:val="center"/>
        <w:rPr>
          <w:rFonts w:ascii="黑体" w:hAnsi="黑体" w:eastAsia="黑体" w:cs="方正小标宋简体"/>
          <w:color w:val="auto"/>
          <w:kern w:val="2"/>
          <w:sz w:val="36"/>
          <w:szCs w:val="36"/>
        </w:rPr>
      </w:pPr>
      <w:r>
        <w:rPr>
          <w:rFonts w:hint="eastAsia" w:ascii="黑体" w:hAnsi="黑体" w:eastAsia="黑体" w:cs="方正小标宋简体"/>
          <w:color w:val="auto"/>
          <w:kern w:val="2"/>
          <w:sz w:val="36"/>
          <w:szCs w:val="36"/>
        </w:rPr>
        <w:t>项目支出绩效评价报告</w:t>
      </w:r>
    </w:p>
    <w:p w14:paraId="2BDACAD2">
      <w:pPr>
        <w:spacing w:line="580" w:lineRule="exact"/>
        <w:jc w:val="center"/>
        <w:rPr>
          <w:rFonts w:ascii="黑体" w:hAnsi="黑体" w:eastAsia="黑体"/>
          <w:sz w:val="44"/>
          <w:szCs w:val="44"/>
        </w:rPr>
      </w:pPr>
    </w:p>
    <w:p w14:paraId="295B69CB">
      <w:pPr>
        <w:spacing w:line="580" w:lineRule="exact"/>
        <w:ind w:firstLine="640" w:firstLineChars="200"/>
        <w:rPr>
          <w:rFonts w:ascii="黑体" w:hAnsi="黑体" w:eastAsia="黑体"/>
          <w:sz w:val="32"/>
          <w:szCs w:val="32"/>
        </w:rPr>
      </w:pPr>
      <w:r>
        <w:rPr>
          <w:rFonts w:hint="eastAsia" w:ascii="黑体" w:hAnsi="黑体" w:eastAsia="黑体" w:cs="仿宋"/>
          <w:sz w:val="32"/>
          <w:szCs w:val="32"/>
        </w:rPr>
        <w:t>一、评价工作开展及项目情况</w:t>
      </w:r>
    </w:p>
    <w:p w14:paraId="625BBE86">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（一）评价工作开展情况</w:t>
      </w:r>
    </w:p>
    <w:p w14:paraId="63CE9C6F">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为进一步加强预算绩效管理，增强单位支出责任意识，提高财政资金使用效益，推进财政绩效评价工作深入开呢，按照《米易县财政局关于开展</w:t>
      </w:r>
      <w:r>
        <w:rPr>
          <w:rFonts w:ascii="仿宋" w:hAnsi="仿宋" w:eastAsia="仿宋" w:cs="仿宋"/>
          <w:sz w:val="32"/>
          <w:szCs w:val="32"/>
        </w:rPr>
        <w:t>2019</w:t>
      </w:r>
      <w:r>
        <w:rPr>
          <w:rFonts w:hint="eastAsia" w:ascii="仿宋" w:hAnsi="仿宋" w:eastAsia="仿宋" w:cs="仿宋"/>
          <w:sz w:val="32"/>
          <w:szCs w:val="32"/>
        </w:rPr>
        <w:t>年财政绩效评价工作的通知》（米财预</w:t>
      </w:r>
      <w:r>
        <w:rPr>
          <w:rFonts w:ascii="仿宋" w:hAnsi="仿宋" w:eastAsia="仿宋" w:cs="仿宋"/>
          <w:sz w:val="32"/>
          <w:szCs w:val="32"/>
        </w:rPr>
        <w:t>[2019]85</w:t>
      </w:r>
      <w:r>
        <w:rPr>
          <w:rFonts w:hint="eastAsia" w:ascii="仿宋" w:hAnsi="仿宋" w:eastAsia="仿宋" w:cs="仿宋"/>
          <w:sz w:val="32"/>
          <w:szCs w:val="32"/>
        </w:rPr>
        <w:t>号）文件精神，我办对本单位</w:t>
      </w:r>
      <w:r>
        <w:rPr>
          <w:rFonts w:ascii="仿宋" w:hAnsi="仿宋" w:eastAsia="仿宋" w:cs="仿宋"/>
          <w:sz w:val="32"/>
          <w:szCs w:val="32"/>
        </w:rPr>
        <w:t>2018</w:t>
      </w:r>
      <w:r>
        <w:rPr>
          <w:rFonts w:hint="eastAsia" w:ascii="仿宋" w:hAnsi="仿宋" w:eastAsia="仿宋" w:cs="仿宋"/>
          <w:sz w:val="32"/>
          <w:szCs w:val="32"/>
        </w:rPr>
        <w:t>年财政资金使用情况开展了自评工作。</w:t>
      </w:r>
    </w:p>
    <w:p w14:paraId="7FB4CE1D">
      <w:pPr>
        <w:autoSpaceDE w:val="0"/>
        <w:autoSpaceDN w:val="0"/>
        <w:adjustRightInd w:val="0"/>
        <w:spacing w:line="550" w:lineRule="exact"/>
        <w:ind w:firstLine="640" w:firstLineChars="200"/>
        <w:jc w:val="left"/>
        <w:rPr>
          <w:rFonts w:ascii="仿宋_GB2312" w:eastAsia="仿宋_GB2312"/>
          <w:sz w:val="32"/>
          <w:szCs w:val="32"/>
        </w:rPr>
      </w:pPr>
      <w:r>
        <w:rPr>
          <w:rFonts w:hint="eastAsia" w:ascii="仿宋_GB2312" w:eastAsia="仿宋_GB2312" w:cs="仿宋_GB2312"/>
          <w:kern w:val="0"/>
          <w:sz w:val="32"/>
          <w:szCs w:val="32"/>
        </w:rPr>
        <w:t>我办根据文件要求，高度重视此次项目绩效评价工作，成立了</w:t>
      </w:r>
      <w:r>
        <w:rPr>
          <w:rFonts w:hint="eastAsia" w:ascii="仿宋_GB2312" w:eastAsia="仿宋_GB2312"/>
          <w:sz w:val="32"/>
          <w:szCs w:val="32"/>
        </w:rPr>
        <w:t>工作领导小组，明确了分管领导、牵头处室和具体负责人，绩效评价组工作成员，负责组织、协调绩效项目的评价工作，并做好绩效前期工作准备和实施。</w:t>
      </w:r>
    </w:p>
    <w:p w14:paraId="2FFD173C">
      <w:pPr>
        <w:pStyle w:val="12"/>
        <w:spacing w:before="0" w:beforeAutospacing="0" w:after="0" w:afterAutospacing="0" w:line="600" w:lineRule="atLeast"/>
        <w:ind w:firstLine="624"/>
        <w:jc w:val="both"/>
        <w:rPr>
          <w:rFonts w:ascii="仿宋_GB2312" w:hAnsi="Times New Roman" w:eastAsia="仿宋_GB2312" w:cs="Times New Roman"/>
          <w:sz w:val="32"/>
          <w:szCs w:val="32"/>
        </w:rPr>
      </w:pPr>
      <w:r>
        <w:rPr>
          <w:rFonts w:hint="eastAsia" w:ascii="仿宋_GB2312" w:eastAsia="仿宋_GB2312" w:cs="Times New Roman"/>
          <w:sz w:val="32"/>
          <w:szCs w:val="32"/>
        </w:rPr>
        <w:t>我办绩效评价工作小组对项目单位提交的绩效总结和相关资料进行分类整理、审查和分析，综合评议形成评价结论。</w:t>
      </w:r>
    </w:p>
    <w:p w14:paraId="78DCC45A">
      <w:pPr>
        <w:pStyle w:val="12"/>
        <w:spacing w:before="0" w:beforeAutospacing="0" w:after="0" w:afterAutospacing="0" w:line="600" w:lineRule="atLeast"/>
        <w:ind w:firstLine="624"/>
        <w:jc w:val="both"/>
        <w:rPr>
          <w:rFonts w:ascii="仿宋_GB2312" w:eastAsia="仿宋_GB2312" w:cs="Times New Roman"/>
          <w:sz w:val="32"/>
          <w:szCs w:val="32"/>
        </w:rPr>
      </w:pPr>
      <w:r>
        <w:rPr>
          <w:rFonts w:hint="eastAsia" w:ascii="仿宋_GB2312" w:eastAsia="仿宋_GB2312" w:cs="Times New Roman"/>
          <w:sz w:val="32"/>
          <w:szCs w:val="32"/>
        </w:rPr>
        <w:t>我办绩效评价工作小组检查了项目主管部门的专项资金下拨文件和专项资金账务，通过听取情况介绍、实地进行考察、对照查证复核等方式，对项目有关情况和基础材料进行核实，掌握第一手评价资料。</w:t>
      </w:r>
      <w:r>
        <w:rPr>
          <w:rFonts w:ascii="仿宋_GB2312" w:eastAsia="仿宋_GB2312" w:cs="Times New Roman"/>
          <w:sz w:val="32"/>
          <w:szCs w:val="32"/>
        </w:rPr>
        <w:t xml:space="preserve"> </w:t>
      </w:r>
    </w:p>
    <w:p w14:paraId="19A95299">
      <w:pPr>
        <w:pStyle w:val="12"/>
        <w:spacing w:before="0" w:beforeAutospacing="0" w:after="0" w:afterAutospacing="0" w:line="600" w:lineRule="atLeast"/>
        <w:ind w:firstLine="624"/>
        <w:jc w:val="both"/>
        <w:rPr>
          <w:rFonts w:ascii="仿宋_GB2312" w:hAnsi="Times New Roman" w:eastAsia="仿宋_GB2312" w:cs="Times New Roman"/>
          <w:sz w:val="32"/>
          <w:szCs w:val="32"/>
        </w:rPr>
      </w:pPr>
      <w:r>
        <w:rPr>
          <w:rFonts w:hint="eastAsia" w:ascii="仿宋_GB2312" w:eastAsia="仿宋_GB2312" w:cs="Times New Roman"/>
          <w:sz w:val="32"/>
          <w:szCs w:val="32"/>
        </w:rPr>
        <w:t>在绩效评价过程中，得到了各委室的支持配合。</w:t>
      </w:r>
    </w:p>
    <w:p w14:paraId="6EB8C60B">
      <w:pPr>
        <w:pStyle w:val="12"/>
        <w:spacing w:before="0" w:beforeAutospacing="0" w:after="0" w:afterAutospacing="0" w:line="600" w:lineRule="atLeast"/>
        <w:ind w:firstLine="624"/>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w:t>
      </w:r>
      <w:r>
        <w:rPr>
          <w:rFonts w:ascii="仿宋_GB2312" w:hAnsi="Times New Roman" w:eastAsia="仿宋_GB2312" w:cs="Times New Roman"/>
          <w:sz w:val="32"/>
          <w:szCs w:val="32"/>
        </w:rPr>
        <w:t>2018</w:t>
      </w:r>
      <w:r>
        <w:rPr>
          <w:rFonts w:hint="eastAsia" w:ascii="仿宋_GB2312" w:hAnsi="Times New Roman" w:eastAsia="仿宋_GB2312" w:cs="Times New Roman"/>
          <w:sz w:val="32"/>
          <w:szCs w:val="32"/>
        </w:rPr>
        <w:t>年项目支出工作评价工作中，我办严格按照《米易县专项（项目）资金评价指标体系》项目支出的绩效评价指标》组织实施评价，评价指标体系分为共性指标和特性指标。</w:t>
      </w:r>
    </w:p>
    <w:p w14:paraId="7A9F1531">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项目支出绩效评价过程分为；前期准备阶段（</w:t>
      </w:r>
      <w:r>
        <w:rPr>
          <w:rFonts w:ascii="仿宋" w:hAnsi="仿宋" w:eastAsia="仿宋" w:cs="仿宋"/>
          <w:sz w:val="32"/>
          <w:szCs w:val="32"/>
        </w:rPr>
        <w:t>5</w:t>
      </w:r>
      <w:r>
        <w:rPr>
          <w:rFonts w:hint="eastAsia" w:ascii="仿宋" w:hAnsi="仿宋" w:eastAsia="仿宋" w:cs="仿宋"/>
          <w:sz w:val="32"/>
          <w:szCs w:val="32"/>
        </w:rPr>
        <w:t>月</w:t>
      </w:r>
      <w:r>
        <w:rPr>
          <w:rFonts w:ascii="仿宋" w:hAnsi="仿宋" w:eastAsia="仿宋" w:cs="仿宋"/>
          <w:sz w:val="32"/>
          <w:szCs w:val="32"/>
        </w:rPr>
        <w:t>15</w:t>
      </w:r>
      <w:r>
        <w:rPr>
          <w:rFonts w:hint="eastAsia" w:ascii="仿宋" w:hAnsi="仿宋" w:eastAsia="仿宋" w:cs="仿宋"/>
          <w:sz w:val="32"/>
          <w:szCs w:val="32"/>
        </w:rPr>
        <w:t>日－</w:t>
      </w:r>
      <w:r>
        <w:rPr>
          <w:rFonts w:ascii="仿宋" w:hAnsi="仿宋" w:eastAsia="仿宋" w:cs="仿宋"/>
          <w:sz w:val="32"/>
          <w:szCs w:val="32"/>
        </w:rPr>
        <w:t>5</w:t>
      </w:r>
      <w:r>
        <w:rPr>
          <w:rFonts w:hint="eastAsia" w:ascii="仿宋" w:hAnsi="仿宋" w:eastAsia="仿宋" w:cs="仿宋"/>
          <w:sz w:val="32"/>
          <w:szCs w:val="32"/>
        </w:rPr>
        <w:t>月</w:t>
      </w:r>
      <w:r>
        <w:rPr>
          <w:rFonts w:ascii="仿宋" w:hAnsi="仿宋" w:eastAsia="仿宋" w:cs="仿宋"/>
          <w:sz w:val="32"/>
          <w:szCs w:val="32"/>
        </w:rPr>
        <w:t>25</w:t>
      </w:r>
      <w:r>
        <w:rPr>
          <w:rFonts w:hint="eastAsia" w:ascii="仿宋" w:hAnsi="仿宋" w:eastAsia="仿宋" w:cs="仿宋"/>
          <w:sz w:val="32"/>
          <w:szCs w:val="32"/>
        </w:rPr>
        <w:t>日）、实施评价阶段（</w:t>
      </w:r>
      <w:r>
        <w:rPr>
          <w:rFonts w:ascii="仿宋" w:hAnsi="仿宋" w:eastAsia="仿宋" w:cs="仿宋"/>
          <w:sz w:val="32"/>
          <w:szCs w:val="32"/>
        </w:rPr>
        <w:t>5</w:t>
      </w:r>
      <w:r>
        <w:rPr>
          <w:rFonts w:hint="eastAsia" w:ascii="仿宋" w:hAnsi="仿宋" w:eastAsia="仿宋" w:cs="仿宋"/>
          <w:sz w:val="32"/>
          <w:szCs w:val="32"/>
        </w:rPr>
        <w:t>月</w:t>
      </w:r>
      <w:r>
        <w:rPr>
          <w:rFonts w:ascii="仿宋" w:hAnsi="仿宋" w:eastAsia="仿宋" w:cs="仿宋"/>
          <w:sz w:val="32"/>
          <w:szCs w:val="32"/>
        </w:rPr>
        <w:t>26</w:t>
      </w:r>
      <w:r>
        <w:rPr>
          <w:rFonts w:hint="eastAsia" w:ascii="仿宋" w:hAnsi="仿宋" w:eastAsia="仿宋" w:cs="仿宋"/>
          <w:sz w:val="32"/>
          <w:szCs w:val="32"/>
        </w:rPr>
        <w:t>日－</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10</w:t>
      </w:r>
      <w:r>
        <w:rPr>
          <w:rFonts w:hint="eastAsia" w:ascii="仿宋" w:hAnsi="仿宋" w:eastAsia="仿宋" w:cs="仿宋"/>
          <w:sz w:val="32"/>
          <w:szCs w:val="32"/>
        </w:rPr>
        <w:t>日）、报告撰写阶段（</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11</w:t>
      </w:r>
      <w:r>
        <w:rPr>
          <w:rFonts w:hint="eastAsia" w:ascii="仿宋" w:hAnsi="仿宋" w:eastAsia="仿宋" w:cs="仿宋"/>
          <w:sz w:val="32"/>
          <w:szCs w:val="32"/>
        </w:rPr>
        <w:t>日－</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20</w:t>
      </w:r>
      <w:r>
        <w:rPr>
          <w:rFonts w:hint="eastAsia" w:ascii="仿宋" w:hAnsi="仿宋" w:eastAsia="仿宋" w:cs="仿宋"/>
          <w:sz w:val="32"/>
          <w:szCs w:val="32"/>
        </w:rPr>
        <w:t>日）。</w:t>
      </w:r>
    </w:p>
    <w:p w14:paraId="429367EF">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此次部门自评和项目绩效自评采取了部门自评和财政复评的办法，此次评价工作强化了结果应用，巩固评价成效，要求单位对发现的问题进行认真整改。</w:t>
      </w:r>
    </w:p>
    <w:p w14:paraId="67CE819D">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w:t>
      </w:r>
      <w:r>
        <w:rPr>
          <w:rFonts w:ascii="仿宋" w:hAnsi="仿宋" w:eastAsia="仿宋" w:cs="仿宋"/>
          <w:sz w:val="32"/>
          <w:szCs w:val="32"/>
        </w:rPr>
        <w:t>2018</w:t>
      </w:r>
      <w:r>
        <w:rPr>
          <w:rFonts w:hint="eastAsia" w:ascii="仿宋" w:hAnsi="仿宋" w:eastAsia="仿宋" w:cs="仿宋"/>
          <w:sz w:val="32"/>
          <w:szCs w:val="32"/>
        </w:rPr>
        <w:t>年项目情况</w:t>
      </w:r>
    </w:p>
    <w:p w14:paraId="1F2EFEF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米易县人大常委会办公室</w:t>
      </w:r>
      <w:r>
        <w:rPr>
          <w:rFonts w:ascii="仿宋" w:hAnsi="仿宋" w:eastAsia="仿宋" w:cs="仿宋"/>
          <w:sz w:val="32"/>
          <w:szCs w:val="32"/>
        </w:rPr>
        <w:t>2018</w:t>
      </w:r>
      <w:r>
        <w:rPr>
          <w:rFonts w:hint="eastAsia" w:ascii="仿宋" w:hAnsi="仿宋" w:eastAsia="仿宋" w:cs="仿宋"/>
          <w:sz w:val="32"/>
          <w:szCs w:val="32"/>
        </w:rPr>
        <w:t>年项目支出13个项目</w:t>
      </w:r>
      <w:r>
        <w:rPr>
          <w:rFonts w:hint="eastAsia" w:ascii="仿宋" w:hAnsi="仿宋" w:eastAsia="仿宋" w:cs="仿宋"/>
          <w:color w:val="000000"/>
          <w:sz w:val="32"/>
          <w:szCs w:val="32"/>
        </w:rPr>
        <w:t>215.12万元，占总支出的24.54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sz w:val="32"/>
          <w:szCs w:val="32"/>
        </w:rPr>
        <w:t>情况如下：</w:t>
      </w:r>
    </w:p>
    <w:p w14:paraId="3894CEC2">
      <w:pPr>
        <w:spacing w:line="58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2018年度项目收入支出情况表</w:t>
      </w:r>
    </w:p>
    <w:p w14:paraId="7C0EC009">
      <w:pPr>
        <w:spacing w:line="58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单位：万元</w:t>
      </w:r>
    </w:p>
    <w:tbl>
      <w:tblPr>
        <w:tblStyle w:val="13"/>
        <w:tblW w:w="8416" w:type="dxa"/>
        <w:tblInd w:w="93" w:type="dxa"/>
        <w:tblLayout w:type="autofit"/>
        <w:tblCellMar>
          <w:top w:w="0" w:type="dxa"/>
          <w:left w:w="108" w:type="dxa"/>
          <w:bottom w:w="0" w:type="dxa"/>
          <w:right w:w="108" w:type="dxa"/>
        </w:tblCellMar>
      </w:tblPr>
      <w:tblGrid>
        <w:gridCol w:w="820"/>
        <w:gridCol w:w="3180"/>
        <w:gridCol w:w="1176"/>
        <w:gridCol w:w="1080"/>
        <w:gridCol w:w="1080"/>
        <w:gridCol w:w="1080"/>
      </w:tblGrid>
      <w:tr w14:paraId="7A60CDC5">
        <w:tblPrEx>
          <w:tblCellMar>
            <w:top w:w="0" w:type="dxa"/>
            <w:left w:w="108" w:type="dxa"/>
            <w:bottom w:w="0" w:type="dxa"/>
            <w:right w:w="108" w:type="dxa"/>
          </w:tblCellMar>
        </w:tblPrEx>
        <w:trPr>
          <w:trHeight w:val="285" w:hRule="atLeast"/>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2599B">
            <w:pPr>
              <w:widowControl/>
              <w:jc w:val="left"/>
              <w:rPr>
                <w:rFonts w:ascii="宋体" w:hAnsi="宋体" w:cs="宋体"/>
                <w:kern w:val="0"/>
                <w:sz w:val="24"/>
              </w:rPr>
            </w:pPr>
            <w:r>
              <w:rPr>
                <w:rFonts w:hint="eastAsia" w:ascii="宋体" w:hAnsi="宋体" w:cs="宋体"/>
                <w:kern w:val="0"/>
                <w:sz w:val="24"/>
              </w:rPr>
              <w:t>序号</w:t>
            </w:r>
          </w:p>
        </w:tc>
        <w:tc>
          <w:tcPr>
            <w:tcW w:w="3180" w:type="dxa"/>
            <w:tcBorders>
              <w:top w:val="single" w:color="auto" w:sz="4" w:space="0"/>
              <w:left w:val="nil"/>
              <w:bottom w:val="single" w:color="auto" w:sz="4" w:space="0"/>
              <w:right w:val="single" w:color="auto" w:sz="4" w:space="0"/>
            </w:tcBorders>
            <w:shd w:val="clear" w:color="auto" w:fill="auto"/>
            <w:noWrap/>
            <w:vAlign w:val="center"/>
          </w:tcPr>
          <w:p w14:paraId="1B95052A">
            <w:pPr>
              <w:widowControl/>
              <w:jc w:val="left"/>
              <w:rPr>
                <w:rFonts w:ascii="宋体" w:hAnsi="宋体" w:cs="宋体"/>
                <w:kern w:val="0"/>
                <w:sz w:val="24"/>
              </w:rPr>
            </w:pPr>
            <w:r>
              <w:rPr>
                <w:rFonts w:hint="eastAsia" w:ascii="宋体" w:hAnsi="宋体" w:cs="宋体"/>
                <w:kern w:val="0"/>
                <w:sz w:val="24"/>
              </w:rPr>
              <w:t>项目名称</w:t>
            </w:r>
          </w:p>
        </w:tc>
        <w:tc>
          <w:tcPr>
            <w:tcW w:w="1176" w:type="dxa"/>
            <w:tcBorders>
              <w:top w:val="single" w:color="auto" w:sz="4" w:space="0"/>
              <w:left w:val="nil"/>
              <w:bottom w:val="single" w:color="auto" w:sz="4" w:space="0"/>
              <w:right w:val="single" w:color="auto" w:sz="4" w:space="0"/>
            </w:tcBorders>
            <w:shd w:val="clear" w:color="auto" w:fill="auto"/>
            <w:noWrap/>
            <w:vAlign w:val="center"/>
          </w:tcPr>
          <w:p w14:paraId="0225C5FD">
            <w:pPr>
              <w:widowControl/>
              <w:jc w:val="left"/>
              <w:rPr>
                <w:rFonts w:ascii="宋体" w:hAnsi="宋体" w:cs="宋体"/>
                <w:kern w:val="0"/>
                <w:sz w:val="24"/>
              </w:rPr>
            </w:pPr>
            <w:r>
              <w:rPr>
                <w:rFonts w:hint="eastAsia" w:ascii="宋体" w:hAnsi="宋体" w:cs="宋体"/>
                <w:kern w:val="0"/>
                <w:sz w:val="24"/>
              </w:rPr>
              <w:t>收入</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4B5DC11A">
            <w:pPr>
              <w:widowControl/>
              <w:jc w:val="left"/>
              <w:rPr>
                <w:rFonts w:ascii="宋体" w:hAnsi="宋体" w:cs="宋体"/>
                <w:kern w:val="0"/>
                <w:sz w:val="24"/>
              </w:rPr>
            </w:pPr>
            <w:r>
              <w:rPr>
                <w:rFonts w:hint="eastAsia" w:ascii="宋体" w:hAnsi="宋体" w:cs="宋体"/>
                <w:kern w:val="0"/>
                <w:sz w:val="24"/>
              </w:rPr>
              <w:t>支出</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14199582">
            <w:pPr>
              <w:widowControl/>
              <w:jc w:val="left"/>
              <w:rPr>
                <w:rFonts w:ascii="宋体" w:hAnsi="宋体" w:cs="宋体"/>
                <w:kern w:val="0"/>
                <w:sz w:val="24"/>
              </w:rPr>
            </w:pPr>
            <w:r>
              <w:rPr>
                <w:rFonts w:hint="eastAsia" w:ascii="宋体" w:hAnsi="宋体" w:cs="宋体"/>
                <w:kern w:val="0"/>
                <w:sz w:val="24"/>
              </w:rPr>
              <w:t>结余</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0EF7FED3">
            <w:pPr>
              <w:widowControl/>
              <w:jc w:val="left"/>
              <w:rPr>
                <w:rFonts w:ascii="宋体" w:hAnsi="宋体" w:cs="宋体"/>
                <w:kern w:val="0"/>
                <w:sz w:val="24"/>
              </w:rPr>
            </w:pPr>
            <w:r>
              <w:rPr>
                <w:rFonts w:hint="eastAsia" w:ascii="宋体" w:hAnsi="宋体" w:cs="宋体"/>
                <w:kern w:val="0"/>
                <w:sz w:val="24"/>
              </w:rPr>
              <w:t>执行率（%）</w:t>
            </w:r>
          </w:p>
        </w:tc>
      </w:tr>
      <w:tr w14:paraId="74D68405">
        <w:tblPrEx>
          <w:tblCellMar>
            <w:top w:w="0" w:type="dxa"/>
            <w:left w:w="108" w:type="dxa"/>
            <w:bottom w:w="0" w:type="dxa"/>
            <w:right w:w="108" w:type="dxa"/>
          </w:tblCellMar>
        </w:tblPrEx>
        <w:trPr>
          <w:trHeight w:val="285"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573767DD">
            <w:pPr>
              <w:widowControl/>
              <w:jc w:val="left"/>
              <w:rPr>
                <w:rFonts w:ascii="宋体" w:hAnsi="宋体" w:cs="宋体"/>
                <w:kern w:val="0"/>
                <w:sz w:val="24"/>
              </w:rPr>
            </w:pPr>
            <w:r>
              <w:rPr>
                <w:rFonts w:hint="eastAsia" w:ascii="宋体" w:hAnsi="宋体" w:cs="宋体"/>
                <w:kern w:val="0"/>
                <w:sz w:val="24"/>
              </w:rPr>
              <w:t>　</w:t>
            </w:r>
          </w:p>
        </w:tc>
        <w:tc>
          <w:tcPr>
            <w:tcW w:w="3180" w:type="dxa"/>
            <w:tcBorders>
              <w:top w:val="nil"/>
              <w:left w:val="nil"/>
              <w:bottom w:val="single" w:color="auto" w:sz="4" w:space="0"/>
              <w:right w:val="single" w:color="auto" w:sz="4" w:space="0"/>
            </w:tcBorders>
            <w:shd w:val="clear" w:color="FFFFFF" w:fill="C0C0C0"/>
            <w:vAlign w:val="center"/>
          </w:tcPr>
          <w:p w14:paraId="5765CA7D">
            <w:pPr>
              <w:widowControl/>
              <w:jc w:val="center"/>
              <w:rPr>
                <w:rFonts w:ascii="宋体" w:hAnsi="宋体" w:cs="宋体"/>
                <w:kern w:val="0"/>
                <w:sz w:val="24"/>
              </w:rPr>
            </w:pPr>
            <w:r>
              <w:rPr>
                <w:rFonts w:hint="eastAsia" w:ascii="宋体" w:hAnsi="宋体" w:cs="宋体"/>
                <w:kern w:val="0"/>
                <w:sz w:val="24"/>
              </w:rPr>
              <w:t>合计</w:t>
            </w:r>
          </w:p>
        </w:tc>
        <w:tc>
          <w:tcPr>
            <w:tcW w:w="1176" w:type="dxa"/>
            <w:tcBorders>
              <w:top w:val="nil"/>
              <w:left w:val="nil"/>
              <w:bottom w:val="single" w:color="auto" w:sz="4" w:space="0"/>
              <w:right w:val="single" w:color="auto" w:sz="4" w:space="0"/>
            </w:tcBorders>
            <w:shd w:val="clear" w:color="auto" w:fill="auto"/>
            <w:vAlign w:val="center"/>
          </w:tcPr>
          <w:p w14:paraId="7CAE8A50">
            <w:pPr>
              <w:widowControl/>
              <w:jc w:val="right"/>
              <w:rPr>
                <w:rFonts w:ascii="宋体" w:hAnsi="宋体" w:cs="宋体"/>
                <w:kern w:val="0"/>
                <w:sz w:val="24"/>
              </w:rPr>
            </w:pPr>
            <w:r>
              <w:rPr>
                <w:rFonts w:hint="eastAsia" w:ascii="宋体" w:hAnsi="宋体" w:cs="宋体"/>
                <w:kern w:val="0"/>
                <w:sz w:val="24"/>
              </w:rPr>
              <w:t>215.12</w:t>
            </w:r>
          </w:p>
        </w:tc>
        <w:tc>
          <w:tcPr>
            <w:tcW w:w="1080" w:type="dxa"/>
            <w:tcBorders>
              <w:top w:val="nil"/>
              <w:left w:val="nil"/>
              <w:bottom w:val="single" w:color="auto" w:sz="4" w:space="0"/>
              <w:right w:val="single" w:color="auto" w:sz="4" w:space="0"/>
            </w:tcBorders>
            <w:shd w:val="clear" w:color="auto" w:fill="auto"/>
            <w:vAlign w:val="center"/>
          </w:tcPr>
          <w:p w14:paraId="39C07D13">
            <w:pPr>
              <w:widowControl/>
              <w:jc w:val="right"/>
              <w:rPr>
                <w:rFonts w:ascii="宋体" w:hAnsi="宋体" w:cs="宋体"/>
                <w:kern w:val="0"/>
                <w:sz w:val="24"/>
              </w:rPr>
            </w:pPr>
            <w:r>
              <w:rPr>
                <w:rFonts w:hint="eastAsia" w:ascii="宋体" w:hAnsi="宋体" w:cs="宋体"/>
                <w:kern w:val="0"/>
                <w:sz w:val="24"/>
              </w:rPr>
              <w:t xml:space="preserve">215.12 </w:t>
            </w:r>
          </w:p>
        </w:tc>
        <w:tc>
          <w:tcPr>
            <w:tcW w:w="1080" w:type="dxa"/>
            <w:tcBorders>
              <w:top w:val="nil"/>
              <w:left w:val="nil"/>
              <w:bottom w:val="single" w:color="auto" w:sz="4" w:space="0"/>
              <w:right w:val="single" w:color="auto" w:sz="4" w:space="0"/>
            </w:tcBorders>
            <w:shd w:val="clear" w:color="auto" w:fill="auto"/>
            <w:vAlign w:val="center"/>
          </w:tcPr>
          <w:p w14:paraId="666E198F">
            <w:pPr>
              <w:widowControl/>
              <w:jc w:val="right"/>
              <w:rPr>
                <w:rFonts w:ascii="宋体" w:hAnsi="宋体" w:cs="宋体"/>
                <w:kern w:val="0"/>
                <w:sz w:val="24"/>
              </w:rPr>
            </w:pPr>
            <w:r>
              <w:rPr>
                <w:rFonts w:hint="eastAsia" w:ascii="宋体" w:hAnsi="宋体" w:cs="宋体"/>
                <w:kern w:val="0"/>
                <w:sz w:val="24"/>
              </w:rPr>
              <w:t>0</w:t>
            </w:r>
          </w:p>
        </w:tc>
        <w:tc>
          <w:tcPr>
            <w:tcW w:w="1080" w:type="dxa"/>
            <w:tcBorders>
              <w:top w:val="nil"/>
              <w:left w:val="nil"/>
              <w:bottom w:val="single" w:color="auto" w:sz="4" w:space="0"/>
              <w:right w:val="single" w:color="auto" w:sz="4" w:space="0"/>
            </w:tcBorders>
            <w:shd w:val="clear" w:color="auto" w:fill="auto"/>
            <w:noWrap/>
            <w:vAlign w:val="center"/>
          </w:tcPr>
          <w:p w14:paraId="14695DF8">
            <w:pPr>
              <w:widowControl/>
              <w:jc w:val="left"/>
              <w:rPr>
                <w:rFonts w:ascii="宋体" w:hAnsi="宋体" w:cs="宋体"/>
                <w:kern w:val="0"/>
                <w:sz w:val="24"/>
              </w:rPr>
            </w:pPr>
            <w:r>
              <w:rPr>
                <w:rFonts w:hint="eastAsia" w:ascii="宋体" w:hAnsi="宋体" w:cs="宋体"/>
                <w:kern w:val="0"/>
                <w:sz w:val="24"/>
              </w:rPr>
              <w:t>　100%</w:t>
            </w:r>
          </w:p>
        </w:tc>
      </w:tr>
      <w:tr w14:paraId="7E2DE666">
        <w:tblPrEx>
          <w:tblCellMar>
            <w:top w:w="0" w:type="dxa"/>
            <w:left w:w="108" w:type="dxa"/>
            <w:bottom w:w="0" w:type="dxa"/>
            <w:right w:w="108" w:type="dxa"/>
          </w:tblCellMar>
        </w:tblPrEx>
        <w:trPr>
          <w:trHeight w:val="855"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5E6889B8">
            <w:pPr>
              <w:widowControl/>
              <w:jc w:val="right"/>
              <w:rPr>
                <w:rFonts w:ascii="宋体" w:hAnsi="宋体" w:cs="宋体"/>
                <w:kern w:val="0"/>
                <w:szCs w:val="21"/>
              </w:rPr>
            </w:pPr>
            <w:r>
              <w:rPr>
                <w:rFonts w:hint="eastAsia" w:ascii="宋体" w:hAnsi="宋体" w:cs="宋体"/>
                <w:kern w:val="0"/>
                <w:szCs w:val="21"/>
              </w:rPr>
              <w:t>1</w:t>
            </w:r>
          </w:p>
        </w:tc>
        <w:tc>
          <w:tcPr>
            <w:tcW w:w="3180" w:type="dxa"/>
            <w:tcBorders>
              <w:top w:val="nil"/>
              <w:left w:val="nil"/>
              <w:bottom w:val="single" w:color="auto" w:sz="4" w:space="0"/>
              <w:right w:val="single" w:color="auto" w:sz="4" w:space="0"/>
            </w:tcBorders>
            <w:shd w:val="clear" w:color="auto" w:fill="auto"/>
            <w:vAlign w:val="center"/>
          </w:tcPr>
          <w:p w14:paraId="3C0F126A">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主任、副主任专项工作经费</w:t>
            </w:r>
          </w:p>
        </w:tc>
        <w:tc>
          <w:tcPr>
            <w:tcW w:w="1176" w:type="dxa"/>
            <w:tcBorders>
              <w:top w:val="nil"/>
              <w:left w:val="nil"/>
              <w:bottom w:val="single" w:color="auto" w:sz="4" w:space="0"/>
              <w:right w:val="single" w:color="auto" w:sz="4" w:space="0"/>
            </w:tcBorders>
            <w:shd w:val="clear" w:color="auto" w:fill="auto"/>
            <w:vAlign w:val="center"/>
          </w:tcPr>
          <w:p w14:paraId="238F9549">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24.72.00 </w:t>
            </w:r>
          </w:p>
        </w:tc>
        <w:tc>
          <w:tcPr>
            <w:tcW w:w="1080" w:type="dxa"/>
            <w:tcBorders>
              <w:top w:val="nil"/>
              <w:left w:val="nil"/>
              <w:bottom w:val="single" w:color="auto" w:sz="4" w:space="0"/>
              <w:right w:val="single" w:color="auto" w:sz="4" w:space="0"/>
            </w:tcBorders>
            <w:shd w:val="clear" w:color="auto" w:fill="auto"/>
            <w:vAlign w:val="center"/>
          </w:tcPr>
          <w:p w14:paraId="52BFA3CE">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24.72.00 </w:t>
            </w:r>
          </w:p>
        </w:tc>
        <w:tc>
          <w:tcPr>
            <w:tcW w:w="1080" w:type="dxa"/>
            <w:tcBorders>
              <w:top w:val="nil"/>
              <w:left w:val="nil"/>
              <w:bottom w:val="single" w:color="auto" w:sz="4" w:space="0"/>
              <w:right w:val="single" w:color="auto" w:sz="4" w:space="0"/>
            </w:tcBorders>
            <w:shd w:val="clear" w:color="auto" w:fill="auto"/>
            <w:vAlign w:val="center"/>
          </w:tcPr>
          <w:p w14:paraId="000E56CE">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348BE47A">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298AE454">
        <w:tblPrEx>
          <w:tblCellMar>
            <w:top w:w="0" w:type="dxa"/>
            <w:left w:w="108" w:type="dxa"/>
            <w:bottom w:w="0" w:type="dxa"/>
            <w:right w:w="108" w:type="dxa"/>
          </w:tblCellMar>
        </w:tblPrEx>
        <w:trPr>
          <w:trHeight w:val="285"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B9082CF">
            <w:pPr>
              <w:widowControl/>
              <w:jc w:val="right"/>
              <w:rPr>
                <w:rFonts w:ascii="宋体" w:hAnsi="宋体" w:cs="宋体"/>
                <w:kern w:val="0"/>
                <w:szCs w:val="21"/>
              </w:rPr>
            </w:pPr>
            <w:r>
              <w:rPr>
                <w:rFonts w:hint="eastAsia" w:ascii="宋体" w:hAnsi="宋体" w:cs="宋体"/>
                <w:kern w:val="0"/>
                <w:szCs w:val="21"/>
              </w:rPr>
              <w:t>2</w:t>
            </w:r>
          </w:p>
        </w:tc>
        <w:tc>
          <w:tcPr>
            <w:tcW w:w="3180" w:type="dxa"/>
            <w:tcBorders>
              <w:top w:val="nil"/>
              <w:left w:val="nil"/>
              <w:bottom w:val="single" w:color="auto" w:sz="4" w:space="0"/>
              <w:right w:val="single" w:color="auto" w:sz="4" w:space="0"/>
            </w:tcBorders>
            <w:shd w:val="clear" w:color="auto" w:fill="auto"/>
            <w:vAlign w:val="center"/>
          </w:tcPr>
          <w:p w14:paraId="70D1D109">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六委一室专项</w:t>
            </w:r>
          </w:p>
        </w:tc>
        <w:tc>
          <w:tcPr>
            <w:tcW w:w="1176" w:type="dxa"/>
            <w:tcBorders>
              <w:top w:val="nil"/>
              <w:left w:val="nil"/>
              <w:bottom w:val="single" w:color="auto" w:sz="4" w:space="0"/>
              <w:right w:val="single" w:color="auto" w:sz="4" w:space="0"/>
            </w:tcBorders>
            <w:shd w:val="clear" w:color="auto" w:fill="auto"/>
            <w:vAlign w:val="center"/>
          </w:tcPr>
          <w:p w14:paraId="014E44D9">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21.00 </w:t>
            </w:r>
          </w:p>
        </w:tc>
        <w:tc>
          <w:tcPr>
            <w:tcW w:w="1080" w:type="dxa"/>
            <w:tcBorders>
              <w:top w:val="nil"/>
              <w:left w:val="nil"/>
              <w:bottom w:val="single" w:color="auto" w:sz="4" w:space="0"/>
              <w:right w:val="single" w:color="auto" w:sz="4" w:space="0"/>
            </w:tcBorders>
            <w:shd w:val="clear" w:color="auto" w:fill="auto"/>
            <w:vAlign w:val="center"/>
          </w:tcPr>
          <w:p w14:paraId="254A50AC">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21.00 </w:t>
            </w:r>
          </w:p>
        </w:tc>
        <w:tc>
          <w:tcPr>
            <w:tcW w:w="1080" w:type="dxa"/>
            <w:tcBorders>
              <w:top w:val="nil"/>
              <w:left w:val="nil"/>
              <w:bottom w:val="single" w:color="auto" w:sz="4" w:space="0"/>
              <w:right w:val="single" w:color="auto" w:sz="4" w:space="0"/>
            </w:tcBorders>
            <w:shd w:val="clear" w:color="auto" w:fill="auto"/>
            <w:vAlign w:val="center"/>
          </w:tcPr>
          <w:p w14:paraId="2419C73E">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77C70D9A">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55098D4D">
        <w:tblPrEx>
          <w:tblCellMar>
            <w:top w:w="0" w:type="dxa"/>
            <w:left w:w="108" w:type="dxa"/>
            <w:bottom w:w="0" w:type="dxa"/>
            <w:right w:w="108" w:type="dxa"/>
          </w:tblCellMar>
        </w:tblPrEx>
        <w:trPr>
          <w:trHeight w:val="458"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12F4E7E8">
            <w:pPr>
              <w:widowControl/>
              <w:jc w:val="right"/>
              <w:rPr>
                <w:rFonts w:ascii="宋体" w:hAnsi="宋体" w:cs="宋体"/>
                <w:kern w:val="0"/>
                <w:szCs w:val="21"/>
              </w:rPr>
            </w:pPr>
            <w:r>
              <w:rPr>
                <w:rFonts w:hint="eastAsia" w:ascii="宋体" w:hAnsi="宋体" w:cs="宋体"/>
                <w:kern w:val="0"/>
                <w:szCs w:val="21"/>
              </w:rPr>
              <w:t>3</w:t>
            </w:r>
          </w:p>
        </w:tc>
        <w:tc>
          <w:tcPr>
            <w:tcW w:w="3180" w:type="dxa"/>
            <w:tcBorders>
              <w:top w:val="nil"/>
              <w:left w:val="nil"/>
              <w:bottom w:val="single" w:color="auto" w:sz="4" w:space="0"/>
              <w:right w:val="single" w:color="auto" w:sz="4" w:space="0"/>
            </w:tcBorders>
            <w:shd w:val="clear" w:color="auto" w:fill="auto"/>
            <w:vAlign w:val="center"/>
          </w:tcPr>
          <w:p w14:paraId="69954E41">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乡镇人大代表之家建设经费</w:t>
            </w:r>
          </w:p>
        </w:tc>
        <w:tc>
          <w:tcPr>
            <w:tcW w:w="1176" w:type="dxa"/>
            <w:tcBorders>
              <w:top w:val="nil"/>
              <w:left w:val="nil"/>
              <w:bottom w:val="single" w:color="auto" w:sz="4" w:space="0"/>
              <w:right w:val="single" w:color="auto" w:sz="4" w:space="0"/>
            </w:tcBorders>
            <w:shd w:val="clear" w:color="auto" w:fill="auto"/>
            <w:vAlign w:val="center"/>
          </w:tcPr>
          <w:p w14:paraId="63ED68FA">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24.00 </w:t>
            </w:r>
          </w:p>
        </w:tc>
        <w:tc>
          <w:tcPr>
            <w:tcW w:w="1080" w:type="dxa"/>
            <w:tcBorders>
              <w:top w:val="nil"/>
              <w:left w:val="nil"/>
              <w:bottom w:val="single" w:color="auto" w:sz="4" w:space="0"/>
              <w:right w:val="single" w:color="auto" w:sz="4" w:space="0"/>
            </w:tcBorders>
            <w:shd w:val="clear" w:color="auto" w:fill="auto"/>
            <w:vAlign w:val="center"/>
          </w:tcPr>
          <w:p w14:paraId="357C0889">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24.00 </w:t>
            </w:r>
          </w:p>
        </w:tc>
        <w:tc>
          <w:tcPr>
            <w:tcW w:w="1080" w:type="dxa"/>
            <w:tcBorders>
              <w:top w:val="nil"/>
              <w:left w:val="nil"/>
              <w:bottom w:val="single" w:color="auto" w:sz="4" w:space="0"/>
              <w:right w:val="single" w:color="auto" w:sz="4" w:space="0"/>
            </w:tcBorders>
            <w:shd w:val="clear" w:color="auto" w:fill="auto"/>
            <w:vAlign w:val="center"/>
          </w:tcPr>
          <w:p w14:paraId="1288B0D5">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1796A840">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7227E434">
        <w:tblPrEx>
          <w:tblCellMar>
            <w:top w:w="0" w:type="dxa"/>
            <w:left w:w="108" w:type="dxa"/>
            <w:bottom w:w="0" w:type="dxa"/>
            <w:right w:w="108" w:type="dxa"/>
          </w:tblCellMar>
        </w:tblPrEx>
        <w:trPr>
          <w:trHeight w:val="57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C51D4A1">
            <w:pPr>
              <w:widowControl/>
              <w:jc w:val="right"/>
              <w:rPr>
                <w:rFonts w:ascii="宋体" w:hAnsi="宋体" w:cs="宋体"/>
                <w:kern w:val="0"/>
                <w:szCs w:val="21"/>
              </w:rPr>
            </w:pPr>
            <w:r>
              <w:rPr>
                <w:rFonts w:hint="eastAsia" w:ascii="宋体" w:hAnsi="宋体" w:cs="宋体"/>
                <w:kern w:val="0"/>
                <w:szCs w:val="21"/>
              </w:rPr>
              <w:t>4</w:t>
            </w:r>
          </w:p>
        </w:tc>
        <w:tc>
          <w:tcPr>
            <w:tcW w:w="3180" w:type="dxa"/>
            <w:tcBorders>
              <w:top w:val="nil"/>
              <w:left w:val="nil"/>
              <w:bottom w:val="single" w:color="auto" w:sz="4" w:space="0"/>
              <w:right w:val="single" w:color="auto" w:sz="4" w:space="0"/>
            </w:tcBorders>
            <w:shd w:val="clear" w:color="auto" w:fill="auto"/>
            <w:vAlign w:val="center"/>
          </w:tcPr>
          <w:p w14:paraId="3267EA08">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人大代表报刊经费</w:t>
            </w:r>
          </w:p>
        </w:tc>
        <w:tc>
          <w:tcPr>
            <w:tcW w:w="1176" w:type="dxa"/>
            <w:tcBorders>
              <w:top w:val="nil"/>
              <w:left w:val="nil"/>
              <w:bottom w:val="single" w:color="auto" w:sz="4" w:space="0"/>
              <w:right w:val="single" w:color="auto" w:sz="4" w:space="0"/>
            </w:tcBorders>
            <w:shd w:val="clear" w:color="auto" w:fill="auto"/>
            <w:vAlign w:val="center"/>
          </w:tcPr>
          <w:p w14:paraId="671FBA7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3.00 </w:t>
            </w:r>
          </w:p>
        </w:tc>
        <w:tc>
          <w:tcPr>
            <w:tcW w:w="1080" w:type="dxa"/>
            <w:tcBorders>
              <w:top w:val="nil"/>
              <w:left w:val="nil"/>
              <w:bottom w:val="single" w:color="auto" w:sz="4" w:space="0"/>
              <w:right w:val="single" w:color="auto" w:sz="4" w:space="0"/>
            </w:tcBorders>
            <w:shd w:val="clear" w:color="auto" w:fill="auto"/>
            <w:vAlign w:val="center"/>
          </w:tcPr>
          <w:p w14:paraId="21793661">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3.00 </w:t>
            </w:r>
          </w:p>
        </w:tc>
        <w:tc>
          <w:tcPr>
            <w:tcW w:w="1080" w:type="dxa"/>
            <w:tcBorders>
              <w:top w:val="nil"/>
              <w:left w:val="nil"/>
              <w:bottom w:val="single" w:color="auto" w:sz="4" w:space="0"/>
              <w:right w:val="single" w:color="auto" w:sz="4" w:space="0"/>
            </w:tcBorders>
            <w:shd w:val="clear" w:color="auto" w:fill="auto"/>
            <w:vAlign w:val="center"/>
          </w:tcPr>
          <w:p w14:paraId="4E5CA668">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05D4750D">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70F54011">
        <w:tblPrEx>
          <w:tblCellMar>
            <w:top w:w="0" w:type="dxa"/>
            <w:left w:w="108" w:type="dxa"/>
            <w:bottom w:w="0" w:type="dxa"/>
            <w:right w:w="108" w:type="dxa"/>
          </w:tblCellMar>
        </w:tblPrEx>
        <w:trPr>
          <w:trHeight w:val="57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70F73B48">
            <w:pPr>
              <w:widowControl/>
              <w:jc w:val="right"/>
              <w:rPr>
                <w:rFonts w:ascii="宋体" w:hAnsi="宋体" w:cs="宋体"/>
                <w:kern w:val="0"/>
                <w:szCs w:val="21"/>
              </w:rPr>
            </w:pPr>
            <w:r>
              <w:rPr>
                <w:rFonts w:hint="eastAsia" w:ascii="宋体" w:hAnsi="宋体" w:cs="宋体"/>
                <w:kern w:val="0"/>
                <w:szCs w:val="21"/>
              </w:rPr>
              <w:t>5</w:t>
            </w:r>
          </w:p>
        </w:tc>
        <w:tc>
          <w:tcPr>
            <w:tcW w:w="3180" w:type="dxa"/>
            <w:tcBorders>
              <w:top w:val="nil"/>
              <w:left w:val="nil"/>
              <w:bottom w:val="single" w:color="auto" w:sz="4" w:space="0"/>
              <w:right w:val="single" w:color="auto" w:sz="4" w:space="0"/>
            </w:tcBorders>
            <w:shd w:val="clear" w:color="auto" w:fill="auto"/>
            <w:vAlign w:val="center"/>
          </w:tcPr>
          <w:p w14:paraId="403270AE">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人大专项经费（含人大代表交流协调、学习考察、培训活动等）</w:t>
            </w:r>
          </w:p>
        </w:tc>
        <w:tc>
          <w:tcPr>
            <w:tcW w:w="1176" w:type="dxa"/>
            <w:tcBorders>
              <w:top w:val="nil"/>
              <w:left w:val="nil"/>
              <w:bottom w:val="single" w:color="auto" w:sz="4" w:space="0"/>
              <w:right w:val="single" w:color="auto" w:sz="4" w:space="0"/>
            </w:tcBorders>
            <w:shd w:val="clear" w:color="auto" w:fill="auto"/>
            <w:vAlign w:val="center"/>
          </w:tcPr>
          <w:p w14:paraId="6AA3284E">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39.38 </w:t>
            </w:r>
          </w:p>
        </w:tc>
        <w:tc>
          <w:tcPr>
            <w:tcW w:w="1080" w:type="dxa"/>
            <w:tcBorders>
              <w:top w:val="nil"/>
              <w:left w:val="nil"/>
              <w:bottom w:val="single" w:color="auto" w:sz="4" w:space="0"/>
              <w:right w:val="single" w:color="auto" w:sz="4" w:space="0"/>
            </w:tcBorders>
            <w:shd w:val="clear" w:color="auto" w:fill="auto"/>
            <w:vAlign w:val="center"/>
          </w:tcPr>
          <w:p w14:paraId="60616E4A">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39.38</w:t>
            </w:r>
          </w:p>
        </w:tc>
        <w:tc>
          <w:tcPr>
            <w:tcW w:w="1080" w:type="dxa"/>
            <w:tcBorders>
              <w:top w:val="nil"/>
              <w:left w:val="nil"/>
              <w:bottom w:val="single" w:color="auto" w:sz="4" w:space="0"/>
              <w:right w:val="single" w:color="auto" w:sz="4" w:space="0"/>
            </w:tcBorders>
            <w:shd w:val="clear" w:color="auto" w:fill="auto"/>
            <w:vAlign w:val="center"/>
          </w:tcPr>
          <w:p w14:paraId="3A462A44">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015EDE12">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6F412D31">
        <w:tblPrEx>
          <w:tblCellMar>
            <w:top w:w="0" w:type="dxa"/>
            <w:left w:w="108" w:type="dxa"/>
            <w:bottom w:w="0" w:type="dxa"/>
            <w:right w:w="108" w:type="dxa"/>
          </w:tblCellMar>
        </w:tblPrEx>
        <w:trPr>
          <w:trHeight w:val="57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39DC9B96">
            <w:pPr>
              <w:widowControl/>
              <w:jc w:val="right"/>
              <w:rPr>
                <w:rFonts w:ascii="宋体" w:hAnsi="宋体" w:cs="宋体"/>
                <w:kern w:val="0"/>
                <w:szCs w:val="21"/>
              </w:rPr>
            </w:pPr>
            <w:r>
              <w:rPr>
                <w:rFonts w:hint="eastAsia" w:ascii="宋体" w:hAnsi="宋体" w:cs="宋体"/>
                <w:kern w:val="0"/>
                <w:szCs w:val="21"/>
              </w:rPr>
              <w:t>6</w:t>
            </w:r>
          </w:p>
        </w:tc>
        <w:tc>
          <w:tcPr>
            <w:tcW w:w="3180" w:type="dxa"/>
            <w:tcBorders>
              <w:top w:val="nil"/>
              <w:left w:val="nil"/>
              <w:bottom w:val="single" w:color="auto" w:sz="4" w:space="0"/>
              <w:right w:val="single" w:color="auto" w:sz="4" w:space="0"/>
            </w:tcBorders>
            <w:shd w:val="clear" w:color="auto" w:fill="auto"/>
            <w:vAlign w:val="center"/>
          </w:tcPr>
          <w:p w14:paraId="7C09285A">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年初预算提前下达：县人大</w:t>
            </w:r>
            <w:r>
              <w:rPr>
                <w:rFonts w:hint="eastAsia" w:cs="宋体" w:asciiTheme="minorEastAsia" w:hAnsiTheme="minorEastAsia" w:eastAsiaTheme="minorEastAsia"/>
                <w:kern w:val="0"/>
                <w:szCs w:val="21"/>
                <w:lang w:eastAsia="zh-CN"/>
              </w:rPr>
              <w:t>第</w:t>
            </w:r>
            <w:r>
              <w:rPr>
                <w:rFonts w:hint="eastAsia" w:cs="宋体" w:asciiTheme="minorEastAsia" w:hAnsiTheme="minorEastAsia" w:eastAsiaTheme="minorEastAsia"/>
                <w:kern w:val="0"/>
                <w:szCs w:val="21"/>
              </w:rPr>
              <w:t>十八届三次会议经费</w:t>
            </w:r>
          </w:p>
        </w:tc>
        <w:tc>
          <w:tcPr>
            <w:tcW w:w="1176" w:type="dxa"/>
            <w:tcBorders>
              <w:top w:val="nil"/>
              <w:left w:val="nil"/>
              <w:bottom w:val="single" w:color="auto" w:sz="4" w:space="0"/>
              <w:right w:val="single" w:color="auto" w:sz="4" w:space="0"/>
            </w:tcBorders>
            <w:shd w:val="clear" w:color="auto" w:fill="auto"/>
            <w:vAlign w:val="center"/>
          </w:tcPr>
          <w:p w14:paraId="5C9726D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31.85 </w:t>
            </w:r>
          </w:p>
        </w:tc>
        <w:tc>
          <w:tcPr>
            <w:tcW w:w="1080" w:type="dxa"/>
            <w:tcBorders>
              <w:top w:val="nil"/>
              <w:left w:val="nil"/>
              <w:bottom w:val="single" w:color="auto" w:sz="4" w:space="0"/>
              <w:right w:val="single" w:color="auto" w:sz="4" w:space="0"/>
            </w:tcBorders>
            <w:shd w:val="clear" w:color="auto" w:fill="auto"/>
            <w:vAlign w:val="center"/>
          </w:tcPr>
          <w:p w14:paraId="1261354B">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31.85 </w:t>
            </w:r>
          </w:p>
        </w:tc>
        <w:tc>
          <w:tcPr>
            <w:tcW w:w="1080" w:type="dxa"/>
            <w:tcBorders>
              <w:top w:val="nil"/>
              <w:left w:val="nil"/>
              <w:bottom w:val="single" w:color="auto" w:sz="4" w:space="0"/>
              <w:right w:val="single" w:color="auto" w:sz="4" w:space="0"/>
            </w:tcBorders>
            <w:shd w:val="clear" w:color="auto" w:fill="auto"/>
            <w:vAlign w:val="center"/>
          </w:tcPr>
          <w:p w14:paraId="5EAD8D6D">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32381AAF">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1B1E0F1A">
        <w:tblPrEx>
          <w:tblCellMar>
            <w:top w:w="0" w:type="dxa"/>
            <w:left w:w="108" w:type="dxa"/>
            <w:bottom w:w="0" w:type="dxa"/>
            <w:right w:w="108" w:type="dxa"/>
          </w:tblCellMar>
        </w:tblPrEx>
        <w:trPr>
          <w:trHeight w:val="746"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D71B54C">
            <w:pPr>
              <w:widowControl/>
              <w:jc w:val="right"/>
              <w:rPr>
                <w:rFonts w:ascii="宋体" w:hAnsi="宋体" w:cs="宋体"/>
                <w:kern w:val="0"/>
                <w:sz w:val="24"/>
              </w:rPr>
            </w:pPr>
            <w:r>
              <w:rPr>
                <w:rFonts w:hint="eastAsia" w:ascii="宋体" w:hAnsi="宋体" w:cs="宋体"/>
                <w:kern w:val="0"/>
                <w:sz w:val="24"/>
              </w:rPr>
              <w:t>7</w:t>
            </w:r>
          </w:p>
        </w:tc>
        <w:tc>
          <w:tcPr>
            <w:tcW w:w="3180" w:type="dxa"/>
            <w:tcBorders>
              <w:top w:val="nil"/>
              <w:left w:val="nil"/>
              <w:bottom w:val="single" w:color="auto" w:sz="4" w:space="0"/>
              <w:right w:val="single" w:color="auto" w:sz="4" w:space="0"/>
            </w:tcBorders>
            <w:shd w:val="clear" w:color="auto" w:fill="auto"/>
            <w:vAlign w:val="center"/>
          </w:tcPr>
          <w:p w14:paraId="46FED14F">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根据米财资行[2018]203号下达采购会议室设备经费</w:t>
            </w:r>
          </w:p>
        </w:tc>
        <w:tc>
          <w:tcPr>
            <w:tcW w:w="1176" w:type="dxa"/>
            <w:tcBorders>
              <w:top w:val="nil"/>
              <w:left w:val="nil"/>
              <w:bottom w:val="single" w:color="auto" w:sz="4" w:space="0"/>
              <w:right w:val="single" w:color="auto" w:sz="4" w:space="0"/>
            </w:tcBorders>
            <w:shd w:val="clear" w:color="auto" w:fill="auto"/>
            <w:vAlign w:val="center"/>
          </w:tcPr>
          <w:p w14:paraId="28718F4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32.41 </w:t>
            </w:r>
          </w:p>
        </w:tc>
        <w:tc>
          <w:tcPr>
            <w:tcW w:w="1080" w:type="dxa"/>
            <w:tcBorders>
              <w:top w:val="nil"/>
              <w:left w:val="nil"/>
              <w:bottom w:val="single" w:color="auto" w:sz="4" w:space="0"/>
              <w:right w:val="single" w:color="auto" w:sz="4" w:space="0"/>
            </w:tcBorders>
            <w:shd w:val="clear" w:color="auto" w:fill="auto"/>
            <w:vAlign w:val="center"/>
          </w:tcPr>
          <w:p w14:paraId="4DE5C018">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32.41 </w:t>
            </w:r>
          </w:p>
        </w:tc>
        <w:tc>
          <w:tcPr>
            <w:tcW w:w="1080" w:type="dxa"/>
            <w:tcBorders>
              <w:top w:val="nil"/>
              <w:left w:val="nil"/>
              <w:bottom w:val="single" w:color="auto" w:sz="4" w:space="0"/>
              <w:right w:val="single" w:color="auto" w:sz="4" w:space="0"/>
            </w:tcBorders>
            <w:shd w:val="clear" w:color="auto" w:fill="auto"/>
            <w:vAlign w:val="center"/>
          </w:tcPr>
          <w:p w14:paraId="71AA1A46">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08C04791">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54E8660A">
        <w:tblPrEx>
          <w:tblCellMar>
            <w:top w:w="0" w:type="dxa"/>
            <w:left w:w="108" w:type="dxa"/>
            <w:bottom w:w="0" w:type="dxa"/>
            <w:right w:w="108" w:type="dxa"/>
          </w:tblCellMar>
        </w:tblPrEx>
        <w:trPr>
          <w:trHeight w:val="855"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FE237EC">
            <w:pPr>
              <w:widowControl/>
              <w:jc w:val="right"/>
              <w:rPr>
                <w:rFonts w:ascii="宋体" w:hAnsi="宋体" w:cs="宋体"/>
                <w:kern w:val="0"/>
                <w:sz w:val="24"/>
              </w:rPr>
            </w:pPr>
            <w:r>
              <w:rPr>
                <w:rFonts w:hint="eastAsia" w:ascii="宋体" w:hAnsi="宋体" w:cs="宋体"/>
                <w:kern w:val="0"/>
                <w:sz w:val="24"/>
              </w:rPr>
              <w:t>8</w:t>
            </w:r>
          </w:p>
        </w:tc>
        <w:tc>
          <w:tcPr>
            <w:tcW w:w="3180" w:type="dxa"/>
            <w:tcBorders>
              <w:top w:val="nil"/>
              <w:left w:val="nil"/>
              <w:bottom w:val="single" w:color="auto" w:sz="4" w:space="0"/>
              <w:right w:val="single" w:color="auto" w:sz="4" w:space="0"/>
            </w:tcBorders>
            <w:shd w:val="clear" w:color="auto" w:fill="auto"/>
            <w:vAlign w:val="center"/>
          </w:tcPr>
          <w:p w14:paraId="006A740B">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根据米财资行[2018]226号下达采购办公设备经费</w:t>
            </w:r>
          </w:p>
        </w:tc>
        <w:tc>
          <w:tcPr>
            <w:tcW w:w="1176" w:type="dxa"/>
            <w:tcBorders>
              <w:top w:val="nil"/>
              <w:left w:val="nil"/>
              <w:bottom w:val="single" w:color="auto" w:sz="4" w:space="0"/>
              <w:right w:val="single" w:color="auto" w:sz="4" w:space="0"/>
            </w:tcBorders>
            <w:shd w:val="clear" w:color="auto" w:fill="auto"/>
            <w:vAlign w:val="center"/>
          </w:tcPr>
          <w:p w14:paraId="072B59F0">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7.82 </w:t>
            </w:r>
          </w:p>
        </w:tc>
        <w:tc>
          <w:tcPr>
            <w:tcW w:w="1080" w:type="dxa"/>
            <w:tcBorders>
              <w:top w:val="nil"/>
              <w:left w:val="nil"/>
              <w:bottom w:val="single" w:color="auto" w:sz="4" w:space="0"/>
              <w:right w:val="single" w:color="auto" w:sz="4" w:space="0"/>
            </w:tcBorders>
            <w:shd w:val="clear" w:color="auto" w:fill="auto"/>
            <w:vAlign w:val="center"/>
          </w:tcPr>
          <w:p w14:paraId="32639957">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7.82</w:t>
            </w:r>
          </w:p>
        </w:tc>
        <w:tc>
          <w:tcPr>
            <w:tcW w:w="1080" w:type="dxa"/>
            <w:tcBorders>
              <w:top w:val="nil"/>
              <w:left w:val="nil"/>
              <w:bottom w:val="single" w:color="auto" w:sz="4" w:space="0"/>
              <w:right w:val="single" w:color="auto" w:sz="4" w:space="0"/>
            </w:tcBorders>
            <w:shd w:val="clear" w:color="auto" w:fill="auto"/>
            <w:vAlign w:val="center"/>
          </w:tcPr>
          <w:p w14:paraId="51570549">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1E11A286">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1CE8735B">
        <w:tblPrEx>
          <w:tblCellMar>
            <w:top w:w="0" w:type="dxa"/>
            <w:left w:w="108" w:type="dxa"/>
            <w:bottom w:w="0" w:type="dxa"/>
            <w:right w:w="108" w:type="dxa"/>
          </w:tblCellMar>
        </w:tblPrEx>
        <w:trPr>
          <w:trHeight w:val="855"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09AA1E55">
            <w:pPr>
              <w:widowControl/>
              <w:jc w:val="right"/>
              <w:rPr>
                <w:rFonts w:ascii="宋体" w:hAnsi="宋体" w:cs="宋体"/>
                <w:kern w:val="0"/>
                <w:sz w:val="24"/>
              </w:rPr>
            </w:pPr>
            <w:r>
              <w:rPr>
                <w:rFonts w:hint="eastAsia" w:ascii="宋体" w:hAnsi="宋体" w:cs="宋体"/>
                <w:kern w:val="0"/>
                <w:sz w:val="24"/>
              </w:rPr>
              <w:t>9</w:t>
            </w:r>
          </w:p>
        </w:tc>
        <w:tc>
          <w:tcPr>
            <w:tcW w:w="3180" w:type="dxa"/>
            <w:tcBorders>
              <w:top w:val="nil"/>
              <w:left w:val="nil"/>
              <w:bottom w:val="single" w:color="auto" w:sz="4" w:space="0"/>
              <w:right w:val="single" w:color="auto" w:sz="4" w:space="0"/>
            </w:tcBorders>
            <w:shd w:val="clear" w:color="auto" w:fill="auto"/>
            <w:vAlign w:val="center"/>
          </w:tcPr>
          <w:p w14:paraId="666AC7DE">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根据米财资行[2018]227号下达全国人大代表和省人大代表工作室建设经费</w:t>
            </w:r>
          </w:p>
        </w:tc>
        <w:tc>
          <w:tcPr>
            <w:tcW w:w="1176" w:type="dxa"/>
            <w:tcBorders>
              <w:top w:val="nil"/>
              <w:left w:val="nil"/>
              <w:bottom w:val="single" w:color="auto" w:sz="4" w:space="0"/>
              <w:right w:val="single" w:color="auto" w:sz="4" w:space="0"/>
            </w:tcBorders>
            <w:shd w:val="clear" w:color="auto" w:fill="auto"/>
            <w:vAlign w:val="center"/>
          </w:tcPr>
          <w:p w14:paraId="53472097">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6.00</w:t>
            </w:r>
          </w:p>
        </w:tc>
        <w:tc>
          <w:tcPr>
            <w:tcW w:w="1080" w:type="dxa"/>
            <w:tcBorders>
              <w:top w:val="nil"/>
              <w:left w:val="nil"/>
              <w:bottom w:val="single" w:color="auto" w:sz="4" w:space="0"/>
              <w:right w:val="single" w:color="auto" w:sz="4" w:space="0"/>
            </w:tcBorders>
            <w:shd w:val="clear" w:color="auto" w:fill="auto"/>
            <w:vAlign w:val="center"/>
          </w:tcPr>
          <w:p w14:paraId="040FBA48">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6.00</w:t>
            </w:r>
          </w:p>
        </w:tc>
        <w:tc>
          <w:tcPr>
            <w:tcW w:w="1080" w:type="dxa"/>
            <w:tcBorders>
              <w:top w:val="nil"/>
              <w:left w:val="nil"/>
              <w:bottom w:val="single" w:color="auto" w:sz="4" w:space="0"/>
              <w:right w:val="single" w:color="auto" w:sz="4" w:space="0"/>
            </w:tcBorders>
            <w:shd w:val="clear" w:color="auto" w:fill="auto"/>
            <w:vAlign w:val="center"/>
          </w:tcPr>
          <w:p w14:paraId="09C4045D">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72ACBB6F">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07969326">
        <w:tblPrEx>
          <w:tblCellMar>
            <w:top w:w="0" w:type="dxa"/>
            <w:left w:w="108" w:type="dxa"/>
            <w:bottom w:w="0" w:type="dxa"/>
            <w:right w:w="108" w:type="dxa"/>
          </w:tblCellMar>
        </w:tblPrEx>
        <w:trPr>
          <w:trHeight w:val="57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51DC3BE6">
            <w:pPr>
              <w:widowControl/>
              <w:jc w:val="right"/>
              <w:rPr>
                <w:rFonts w:ascii="宋体" w:hAnsi="宋体" w:cs="宋体"/>
                <w:kern w:val="0"/>
                <w:sz w:val="24"/>
              </w:rPr>
            </w:pPr>
            <w:r>
              <w:rPr>
                <w:rFonts w:hint="eastAsia" w:ascii="宋体" w:hAnsi="宋体" w:cs="宋体"/>
                <w:kern w:val="0"/>
                <w:sz w:val="24"/>
              </w:rPr>
              <w:t>10</w:t>
            </w:r>
          </w:p>
        </w:tc>
        <w:tc>
          <w:tcPr>
            <w:tcW w:w="3180" w:type="dxa"/>
            <w:tcBorders>
              <w:top w:val="nil"/>
              <w:left w:val="nil"/>
              <w:bottom w:val="single" w:color="auto" w:sz="4" w:space="0"/>
              <w:right w:val="single" w:color="auto" w:sz="4" w:space="0"/>
            </w:tcBorders>
            <w:shd w:val="clear" w:color="auto" w:fill="auto"/>
            <w:vAlign w:val="center"/>
          </w:tcPr>
          <w:p w14:paraId="738E2BA6">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根据米财资行[2018]228号下达《米易县人大志》编印经费</w:t>
            </w:r>
          </w:p>
        </w:tc>
        <w:tc>
          <w:tcPr>
            <w:tcW w:w="1176" w:type="dxa"/>
            <w:tcBorders>
              <w:top w:val="nil"/>
              <w:left w:val="nil"/>
              <w:bottom w:val="single" w:color="auto" w:sz="4" w:space="0"/>
              <w:right w:val="single" w:color="auto" w:sz="4" w:space="0"/>
            </w:tcBorders>
            <w:shd w:val="clear" w:color="auto" w:fill="auto"/>
            <w:vAlign w:val="center"/>
          </w:tcPr>
          <w:p w14:paraId="766719A6">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14.39 </w:t>
            </w:r>
          </w:p>
        </w:tc>
        <w:tc>
          <w:tcPr>
            <w:tcW w:w="1080" w:type="dxa"/>
            <w:tcBorders>
              <w:top w:val="nil"/>
              <w:left w:val="nil"/>
              <w:bottom w:val="single" w:color="auto" w:sz="4" w:space="0"/>
              <w:right w:val="single" w:color="auto" w:sz="4" w:space="0"/>
            </w:tcBorders>
            <w:shd w:val="clear" w:color="auto" w:fill="auto"/>
            <w:vAlign w:val="center"/>
          </w:tcPr>
          <w:p w14:paraId="789B2A00">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14.39 </w:t>
            </w:r>
          </w:p>
        </w:tc>
        <w:tc>
          <w:tcPr>
            <w:tcW w:w="1080" w:type="dxa"/>
            <w:tcBorders>
              <w:top w:val="nil"/>
              <w:left w:val="nil"/>
              <w:bottom w:val="single" w:color="auto" w:sz="4" w:space="0"/>
              <w:right w:val="single" w:color="auto" w:sz="4" w:space="0"/>
            </w:tcBorders>
            <w:shd w:val="clear" w:color="auto" w:fill="auto"/>
            <w:vAlign w:val="center"/>
          </w:tcPr>
          <w:p w14:paraId="4FCB5787">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42D8B75C">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5B92D559">
        <w:tblPrEx>
          <w:tblCellMar>
            <w:top w:w="0" w:type="dxa"/>
            <w:left w:w="108" w:type="dxa"/>
            <w:bottom w:w="0" w:type="dxa"/>
            <w:right w:w="108" w:type="dxa"/>
          </w:tblCellMar>
        </w:tblPrEx>
        <w:trPr>
          <w:trHeight w:val="114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73A70FF5">
            <w:pPr>
              <w:widowControl/>
              <w:jc w:val="right"/>
              <w:rPr>
                <w:rFonts w:ascii="宋体" w:hAnsi="宋体" w:cs="宋体"/>
                <w:kern w:val="0"/>
                <w:sz w:val="24"/>
              </w:rPr>
            </w:pPr>
            <w:r>
              <w:rPr>
                <w:rFonts w:hint="eastAsia" w:ascii="宋体" w:hAnsi="宋体" w:cs="宋体"/>
                <w:kern w:val="0"/>
                <w:sz w:val="24"/>
              </w:rPr>
              <w:t>11</w:t>
            </w:r>
          </w:p>
        </w:tc>
        <w:tc>
          <w:tcPr>
            <w:tcW w:w="3180" w:type="dxa"/>
            <w:tcBorders>
              <w:top w:val="nil"/>
              <w:left w:val="nil"/>
              <w:bottom w:val="single" w:color="auto" w:sz="4" w:space="0"/>
              <w:right w:val="single" w:color="auto" w:sz="4" w:space="0"/>
            </w:tcBorders>
            <w:shd w:val="clear" w:color="auto" w:fill="auto"/>
            <w:vAlign w:val="center"/>
          </w:tcPr>
          <w:p w14:paraId="7BA094BB">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根据米财资行[2018]359号下达会议室装修增量缺口资金</w:t>
            </w:r>
          </w:p>
        </w:tc>
        <w:tc>
          <w:tcPr>
            <w:tcW w:w="1176" w:type="dxa"/>
            <w:tcBorders>
              <w:top w:val="nil"/>
              <w:left w:val="nil"/>
              <w:bottom w:val="single" w:color="auto" w:sz="4" w:space="0"/>
              <w:right w:val="single" w:color="auto" w:sz="4" w:space="0"/>
            </w:tcBorders>
            <w:shd w:val="clear" w:color="auto" w:fill="auto"/>
            <w:vAlign w:val="center"/>
          </w:tcPr>
          <w:p w14:paraId="533FBA01">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3.85</w:t>
            </w:r>
          </w:p>
        </w:tc>
        <w:tc>
          <w:tcPr>
            <w:tcW w:w="1080" w:type="dxa"/>
            <w:tcBorders>
              <w:top w:val="nil"/>
              <w:left w:val="nil"/>
              <w:bottom w:val="single" w:color="auto" w:sz="4" w:space="0"/>
              <w:right w:val="single" w:color="auto" w:sz="4" w:space="0"/>
            </w:tcBorders>
            <w:shd w:val="clear" w:color="auto" w:fill="auto"/>
            <w:vAlign w:val="center"/>
          </w:tcPr>
          <w:p w14:paraId="1D36007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3.85</w:t>
            </w:r>
          </w:p>
        </w:tc>
        <w:tc>
          <w:tcPr>
            <w:tcW w:w="1080" w:type="dxa"/>
            <w:tcBorders>
              <w:top w:val="nil"/>
              <w:left w:val="nil"/>
              <w:bottom w:val="single" w:color="auto" w:sz="4" w:space="0"/>
              <w:right w:val="single" w:color="auto" w:sz="4" w:space="0"/>
            </w:tcBorders>
            <w:shd w:val="clear" w:color="auto" w:fill="auto"/>
            <w:vAlign w:val="center"/>
          </w:tcPr>
          <w:p w14:paraId="3F34B618">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35B56950">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6F0AC6BE">
        <w:tblPrEx>
          <w:tblCellMar>
            <w:top w:w="0" w:type="dxa"/>
            <w:left w:w="108" w:type="dxa"/>
            <w:bottom w:w="0" w:type="dxa"/>
            <w:right w:w="108" w:type="dxa"/>
          </w:tblCellMar>
        </w:tblPrEx>
        <w:trPr>
          <w:trHeight w:val="114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3416EE07">
            <w:pPr>
              <w:widowControl/>
              <w:jc w:val="right"/>
              <w:rPr>
                <w:rFonts w:ascii="宋体" w:hAnsi="宋体" w:cs="宋体"/>
                <w:kern w:val="0"/>
                <w:sz w:val="24"/>
              </w:rPr>
            </w:pPr>
            <w:r>
              <w:rPr>
                <w:rFonts w:hint="eastAsia" w:ascii="宋体" w:hAnsi="宋体" w:cs="宋体"/>
                <w:kern w:val="0"/>
                <w:sz w:val="24"/>
              </w:rPr>
              <w:t>12</w:t>
            </w:r>
          </w:p>
        </w:tc>
        <w:tc>
          <w:tcPr>
            <w:tcW w:w="3180" w:type="dxa"/>
            <w:tcBorders>
              <w:top w:val="nil"/>
              <w:left w:val="nil"/>
              <w:bottom w:val="single" w:color="auto" w:sz="4" w:space="0"/>
              <w:right w:val="single" w:color="auto" w:sz="4" w:space="0"/>
            </w:tcBorders>
            <w:shd w:val="clear" w:color="auto" w:fill="auto"/>
            <w:vAlign w:val="center"/>
          </w:tcPr>
          <w:p w14:paraId="1E6851E7">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根据米财资行[2018]535号下达集中办公区物业管理费</w:t>
            </w:r>
          </w:p>
        </w:tc>
        <w:tc>
          <w:tcPr>
            <w:tcW w:w="1176" w:type="dxa"/>
            <w:tcBorders>
              <w:top w:val="nil"/>
              <w:left w:val="nil"/>
              <w:bottom w:val="single" w:color="auto" w:sz="4" w:space="0"/>
              <w:right w:val="single" w:color="auto" w:sz="4" w:space="0"/>
            </w:tcBorders>
            <w:shd w:val="clear" w:color="auto" w:fill="auto"/>
            <w:vAlign w:val="center"/>
          </w:tcPr>
          <w:p w14:paraId="32D7F4A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2.89</w:t>
            </w:r>
          </w:p>
        </w:tc>
        <w:tc>
          <w:tcPr>
            <w:tcW w:w="1080" w:type="dxa"/>
            <w:tcBorders>
              <w:top w:val="nil"/>
              <w:left w:val="nil"/>
              <w:bottom w:val="single" w:color="auto" w:sz="4" w:space="0"/>
              <w:right w:val="single" w:color="auto" w:sz="4" w:space="0"/>
            </w:tcBorders>
            <w:shd w:val="clear" w:color="auto" w:fill="auto"/>
            <w:vAlign w:val="center"/>
          </w:tcPr>
          <w:p w14:paraId="112C614F">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2.89 </w:t>
            </w:r>
          </w:p>
        </w:tc>
        <w:tc>
          <w:tcPr>
            <w:tcW w:w="1080" w:type="dxa"/>
            <w:tcBorders>
              <w:top w:val="nil"/>
              <w:left w:val="nil"/>
              <w:bottom w:val="single" w:color="auto" w:sz="4" w:space="0"/>
              <w:right w:val="single" w:color="auto" w:sz="4" w:space="0"/>
            </w:tcBorders>
            <w:shd w:val="clear" w:color="auto" w:fill="auto"/>
            <w:vAlign w:val="center"/>
          </w:tcPr>
          <w:p w14:paraId="54A55F44">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23DCB048">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r w14:paraId="36324564">
        <w:tblPrEx>
          <w:tblCellMar>
            <w:top w:w="0" w:type="dxa"/>
            <w:left w:w="108" w:type="dxa"/>
            <w:bottom w:w="0" w:type="dxa"/>
            <w:right w:w="108" w:type="dxa"/>
          </w:tblCellMar>
        </w:tblPrEx>
        <w:trPr>
          <w:trHeight w:val="57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1621507C">
            <w:pPr>
              <w:widowControl/>
              <w:jc w:val="right"/>
              <w:rPr>
                <w:rFonts w:ascii="宋体" w:hAnsi="宋体" w:cs="宋体"/>
                <w:kern w:val="0"/>
                <w:sz w:val="24"/>
              </w:rPr>
            </w:pPr>
            <w:r>
              <w:rPr>
                <w:rFonts w:hint="eastAsia" w:ascii="宋体" w:hAnsi="宋体" w:cs="宋体"/>
                <w:kern w:val="0"/>
                <w:sz w:val="24"/>
              </w:rPr>
              <w:t>13</w:t>
            </w:r>
          </w:p>
        </w:tc>
        <w:tc>
          <w:tcPr>
            <w:tcW w:w="3180" w:type="dxa"/>
            <w:tcBorders>
              <w:top w:val="nil"/>
              <w:left w:val="nil"/>
              <w:bottom w:val="single" w:color="auto" w:sz="4" w:space="0"/>
              <w:right w:val="single" w:color="auto" w:sz="4" w:space="0"/>
            </w:tcBorders>
            <w:shd w:val="clear" w:color="auto" w:fill="auto"/>
            <w:vAlign w:val="center"/>
          </w:tcPr>
          <w:p w14:paraId="5F2280DA">
            <w:pPr>
              <w:widowControl/>
              <w:jc w:val="left"/>
              <w:rPr>
                <w:rFonts w:cs="宋体" w:asciiTheme="minorEastAsia" w:hAnsiTheme="minorEastAsia" w:eastAsiaTheme="minorEastAsia"/>
                <w:kern w:val="0"/>
                <w:szCs w:val="21"/>
              </w:rPr>
            </w:pPr>
            <w:r>
              <w:rPr>
                <w:rFonts w:hint="eastAsia" w:ascii="宋体" w:hAnsi="宋体" w:cs="宋体"/>
                <w:kern w:val="0"/>
                <w:szCs w:val="21"/>
              </w:rPr>
              <w:t>根据米财资行[2018]594号下达补选十八届人大代表经费</w:t>
            </w:r>
          </w:p>
        </w:tc>
        <w:tc>
          <w:tcPr>
            <w:tcW w:w="1176" w:type="dxa"/>
            <w:tcBorders>
              <w:top w:val="nil"/>
              <w:left w:val="nil"/>
              <w:bottom w:val="single" w:color="auto" w:sz="4" w:space="0"/>
              <w:right w:val="single" w:color="auto" w:sz="4" w:space="0"/>
            </w:tcBorders>
            <w:shd w:val="clear" w:color="auto" w:fill="auto"/>
            <w:vAlign w:val="center"/>
          </w:tcPr>
          <w:p w14:paraId="7D3EA0CC">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3.80 </w:t>
            </w:r>
          </w:p>
        </w:tc>
        <w:tc>
          <w:tcPr>
            <w:tcW w:w="1080" w:type="dxa"/>
            <w:tcBorders>
              <w:top w:val="nil"/>
              <w:left w:val="nil"/>
              <w:bottom w:val="single" w:color="auto" w:sz="4" w:space="0"/>
              <w:right w:val="single" w:color="auto" w:sz="4" w:space="0"/>
            </w:tcBorders>
            <w:shd w:val="clear" w:color="auto" w:fill="auto"/>
            <w:vAlign w:val="center"/>
          </w:tcPr>
          <w:p w14:paraId="2B6A58D3">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3.80 </w:t>
            </w:r>
          </w:p>
        </w:tc>
        <w:tc>
          <w:tcPr>
            <w:tcW w:w="1080" w:type="dxa"/>
            <w:tcBorders>
              <w:top w:val="nil"/>
              <w:left w:val="nil"/>
              <w:bottom w:val="single" w:color="auto" w:sz="4" w:space="0"/>
              <w:right w:val="single" w:color="auto" w:sz="4" w:space="0"/>
            </w:tcBorders>
            <w:shd w:val="clear" w:color="auto" w:fill="auto"/>
            <w:vAlign w:val="center"/>
          </w:tcPr>
          <w:p w14:paraId="7E3E193C">
            <w:pPr>
              <w:widowControl/>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0.00 </w:t>
            </w:r>
          </w:p>
        </w:tc>
        <w:tc>
          <w:tcPr>
            <w:tcW w:w="1080" w:type="dxa"/>
            <w:tcBorders>
              <w:top w:val="nil"/>
              <w:left w:val="nil"/>
              <w:bottom w:val="single" w:color="auto" w:sz="4" w:space="0"/>
              <w:right w:val="single" w:color="auto" w:sz="4" w:space="0"/>
            </w:tcBorders>
            <w:shd w:val="clear" w:color="auto" w:fill="auto"/>
            <w:noWrap/>
            <w:vAlign w:val="center"/>
          </w:tcPr>
          <w:p w14:paraId="1A5D7CAB">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100%</w:t>
            </w:r>
          </w:p>
        </w:tc>
      </w:tr>
    </w:tbl>
    <w:p w14:paraId="4352FAB3">
      <w:pPr>
        <w:spacing w:line="580" w:lineRule="exact"/>
        <w:ind w:firstLine="640" w:firstLineChars="200"/>
        <w:rPr>
          <w:rFonts w:ascii="黑体" w:hAnsi="黑体" w:eastAsia="黑体"/>
          <w:sz w:val="32"/>
          <w:szCs w:val="32"/>
        </w:rPr>
      </w:pPr>
      <w:r>
        <w:rPr>
          <w:rFonts w:hint="eastAsia" w:ascii="黑体" w:hAnsi="黑体" w:eastAsia="黑体" w:cs="仿宋"/>
          <w:sz w:val="32"/>
          <w:szCs w:val="32"/>
        </w:rPr>
        <w:t>二、评价结论及绩效分析</w:t>
      </w:r>
    </w:p>
    <w:p w14:paraId="693DF349">
      <w:pPr>
        <w:spacing w:line="580" w:lineRule="exact"/>
        <w:ind w:firstLine="640" w:firstLineChars="200"/>
        <w:rPr>
          <w:rFonts w:ascii="仿宋" w:hAnsi="仿宋" w:eastAsia="仿宋"/>
          <w:sz w:val="32"/>
          <w:szCs w:val="32"/>
        </w:rPr>
      </w:pPr>
      <w:r>
        <w:rPr>
          <w:rFonts w:hint="eastAsia" w:ascii="仿宋" w:hAnsi="仿宋" w:eastAsia="仿宋" w:cs="仿宋"/>
          <w:sz w:val="32"/>
          <w:szCs w:val="32"/>
        </w:rPr>
        <w:t>（一）评价结论</w:t>
      </w:r>
    </w:p>
    <w:p w14:paraId="1EFA9827">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经综合评价，2018年米易县人大常委会办公室项目支出决算严格执行了国家相关规定，项目管理规范，项目监管到位，项目质量较高，运行保障有力，项目绩效实现了年初预算目标。</w:t>
      </w:r>
    </w:p>
    <w:p w14:paraId="656DA200">
      <w:pPr>
        <w:spacing w:line="580" w:lineRule="exact"/>
        <w:ind w:firstLine="640" w:firstLineChars="200"/>
        <w:rPr>
          <w:rFonts w:ascii="仿宋" w:hAnsi="仿宋" w:eastAsia="仿宋"/>
          <w:sz w:val="32"/>
          <w:szCs w:val="32"/>
        </w:rPr>
      </w:pPr>
      <w:r>
        <w:rPr>
          <w:rFonts w:hint="eastAsia" w:ascii="仿宋" w:hAnsi="仿宋" w:eastAsia="仿宋" w:cs="仿宋"/>
          <w:sz w:val="32"/>
          <w:szCs w:val="32"/>
        </w:rPr>
        <w:t>（二）绩效分析</w:t>
      </w:r>
    </w:p>
    <w:p w14:paraId="355BDC27">
      <w:pPr>
        <w:spacing w:line="58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、项目决策</w:t>
      </w:r>
    </w:p>
    <w:p w14:paraId="4D78A313">
      <w:pPr>
        <w:spacing w:line="580" w:lineRule="exact"/>
        <w:ind w:firstLine="640" w:firstLineChars="200"/>
        <w:rPr>
          <w:rFonts w:ascii="仿宋" w:hAnsi="仿宋" w:eastAsia="仿宋"/>
          <w:sz w:val="32"/>
          <w:szCs w:val="32"/>
        </w:rPr>
      </w:pPr>
      <w:r>
        <w:rPr>
          <w:rFonts w:hint="eastAsia" w:ascii="仿宋" w:hAnsi="仿宋" w:eastAsia="仿宋"/>
          <w:sz w:val="32"/>
          <w:szCs w:val="32"/>
        </w:rPr>
        <w:t>经自评，2018年米易县人大常委会办公室项目支出决策依据充分、政策完善，符合规定。项目绩效目标设置明确、合理，具有可行性。</w:t>
      </w:r>
    </w:p>
    <w:p w14:paraId="1B66AAFC">
      <w:pPr>
        <w:spacing w:line="58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、项目管理</w:t>
      </w:r>
    </w:p>
    <w:p w14:paraId="0D299471">
      <w:pPr>
        <w:spacing w:line="580" w:lineRule="exact"/>
        <w:ind w:firstLine="640" w:firstLineChars="200"/>
        <w:rPr>
          <w:rFonts w:eastAsia="仿宋_GB2312"/>
          <w:kern w:val="0"/>
          <w:sz w:val="32"/>
          <w:szCs w:val="32"/>
        </w:rPr>
      </w:pPr>
      <w:r>
        <w:rPr>
          <w:rFonts w:hint="eastAsia" w:ascii="仿宋" w:hAnsi="仿宋" w:eastAsia="仿宋"/>
          <w:sz w:val="32"/>
          <w:szCs w:val="32"/>
        </w:rPr>
        <w:t>经自评，2018年米易县人大常委会办公室项目支出资金分配科学合理，</w:t>
      </w:r>
      <w:r>
        <w:rPr>
          <w:rFonts w:hint="eastAsia" w:eastAsia="仿宋_GB2312"/>
          <w:kern w:val="0"/>
          <w:sz w:val="32"/>
          <w:szCs w:val="32"/>
        </w:rPr>
        <w:t>财政项目资金的管理实行了全过程管理，对于项目资金的分配，在各个环节上严格审查数据，建立了责任追究制。</w:t>
      </w:r>
    </w:p>
    <w:p w14:paraId="26DBC126">
      <w:pPr>
        <w:spacing w:line="580" w:lineRule="exact"/>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、项目绩效</w:t>
      </w:r>
    </w:p>
    <w:p w14:paraId="25920AF0">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截止2018年12月31日，我办项目资金支付215.12万元，资金执行率为100%，完成13个目标项目工作，总体上完成了预设的绩效目标，绩效目标完成质量较高，项目完成时效准确，项目成本控制较好，取得了较好的项目经济效益和社会效益。</w:t>
      </w:r>
    </w:p>
    <w:p w14:paraId="4CE6E08F">
      <w:pPr>
        <w:spacing w:line="580" w:lineRule="exact"/>
        <w:ind w:firstLine="640" w:firstLineChars="200"/>
        <w:rPr>
          <w:rFonts w:ascii="黑体" w:hAnsi="黑体" w:eastAsia="黑体" w:cs="仿宋"/>
          <w:sz w:val="32"/>
          <w:szCs w:val="32"/>
        </w:rPr>
      </w:pPr>
      <w:r>
        <w:rPr>
          <w:rFonts w:hint="eastAsia" w:ascii="黑体" w:hAnsi="黑体" w:eastAsia="黑体" w:cs="仿宋"/>
          <w:sz w:val="32"/>
          <w:szCs w:val="32"/>
        </w:rPr>
        <w:t>三、存在主要问题</w:t>
      </w:r>
    </w:p>
    <w:p w14:paraId="1E39EF80">
      <w:pPr>
        <w:spacing w:line="580" w:lineRule="exact"/>
        <w:ind w:firstLine="640" w:firstLineChars="200"/>
        <w:rPr>
          <w:rFonts w:ascii="仿宋" w:hAnsi="仿宋" w:eastAsia="仿宋"/>
          <w:sz w:val="32"/>
          <w:szCs w:val="32"/>
        </w:rPr>
      </w:pPr>
      <w:r>
        <w:rPr>
          <w:rFonts w:hint="eastAsia" w:ascii="仿宋" w:hAnsi="仿宋" w:eastAsia="仿宋"/>
          <w:sz w:val="32"/>
          <w:szCs w:val="32"/>
        </w:rPr>
        <w:t>单位预算管理意识还有待于进一步加强，预算目标管理力度还有待加强。</w:t>
      </w:r>
    </w:p>
    <w:p w14:paraId="5BE4E964">
      <w:pPr>
        <w:spacing w:line="580" w:lineRule="exact"/>
        <w:ind w:firstLine="640" w:firstLineChars="200"/>
        <w:rPr>
          <w:rFonts w:ascii="黑体" w:hAnsi="黑体" w:eastAsia="黑体" w:cs="仿宋"/>
          <w:sz w:val="32"/>
          <w:szCs w:val="32"/>
        </w:rPr>
      </w:pPr>
      <w:r>
        <w:rPr>
          <w:rFonts w:hint="eastAsia" w:ascii="黑体" w:hAnsi="黑体" w:eastAsia="黑体" w:cs="仿宋"/>
          <w:sz w:val="32"/>
          <w:szCs w:val="32"/>
        </w:rPr>
        <w:t>四、相关措施建议</w:t>
      </w:r>
    </w:p>
    <w:p w14:paraId="594C6A47">
      <w:pPr>
        <w:autoSpaceDE w:val="0"/>
        <w:autoSpaceDN w:val="0"/>
        <w:adjustRightInd w:val="0"/>
        <w:spacing w:line="600" w:lineRule="exact"/>
        <w:ind w:firstLine="640" w:firstLineChars="200"/>
        <w:jc w:val="left"/>
        <w:rPr>
          <w:rStyle w:val="17"/>
          <w:rFonts w:ascii="仿宋" w:hAnsi="仿宋" w:eastAsia="仿宋"/>
          <w:b w:val="0"/>
          <w:bCs w:val="0"/>
          <w:sz w:val="32"/>
          <w:szCs w:val="32"/>
        </w:rPr>
      </w:pPr>
      <w:r>
        <w:rPr>
          <w:rStyle w:val="17"/>
          <w:rFonts w:hint="eastAsia" w:ascii="仿宋" w:hAnsi="仿宋" w:eastAsia="仿宋"/>
          <w:b w:val="0"/>
          <w:bCs w:val="0"/>
          <w:sz w:val="32"/>
          <w:szCs w:val="32"/>
        </w:rPr>
        <w:t>2019年我办要进一步强化预算的准确性，建立项目经费的使用相应的制度，强化单位的预算管理意识，设置合理的预算绩效目标，加强项目绩效的评价。同时配合财政部门改进预算下达方式，直接将项目资金下达乡镇，减少资金的二次分配，实施全面的预算绩效管理，改善项目经费使用结构，提高项目经费的使用效率。</w:t>
      </w:r>
    </w:p>
    <w:p w14:paraId="3D9525C0">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rPr>
          <w:rFonts w:ascii="仿宋_GB2312" w:hAnsi="Calibri" w:eastAsia="仿宋_GB2312"/>
          <w:color w:val="000000"/>
          <w:kern w:val="0"/>
          <w:sz w:val="32"/>
          <w:szCs w:val="32"/>
        </w:rPr>
      </w:pPr>
    </w:p>
    <w:p w14:paraId="5E80C8F2">
      <w:pPr>
        <w:spacing w:line="580" w:lineRule="exact"/>
        <w:ind w:firstLine="640" w:firstLineChars="200"/>
        <w:rPr>
          <w:rFonts w:ascii="仿宋" w:hAnsi="仿宋" w:eastAsia="仿宋" w:cs="仿宋_GB2312"/>
          <w:sz w:val="32"/>
          <w:szCs w:val="32"/>
        </w:rPr>
      </w:pPr>
    </w:p>
    <w:p w14:paraId="78878B8A">
      <w:pPr>
        <w:widowControl/>
        <w:jc w:val="left"/>
        <w:rPr>
          <w:rStyle w:val="17"/>
          <w:rFonts w:ascii="仿宋" w:hAnsi="仿宋" w:eastAsia="仿宋" w:cs="仿宋_GB2312"/>
          <w:b w:val="0"/>
          <w:bCs w:val="0"/>
          <w:kern w:val="2"/>
          <w:sz w:val="32"/>
          <w:szCs w:val="32"/>
        </w:rPr>
      </w:pPr>
      <w:r>
        <w:rPr>
          <w:rStyle w:val="17"/>
          <w:rFonts w:ascii="仿宋" w:hAnsi="仿宋" w:eastAsia="仿宋" w:cs="仿宋_GB2312"/>
          <w:b w:val="0"/>
          <w:bCs w:val="0"/>
          <w:kern w:val="2"/>
          <w:sz w:val="32"/>
          <w:szCs w:val="32"/>
        </w:rPr>
        <w:t xml:space="preserve"> </w:t>
      </w:r>
    </w:p>
    <w:p w14:paraId="22F3B1D4">
      <w:pPr>
        <w:spacing w:line="600" w:lineRule="exact"/>
        <w:jc w:val="center"/>
        <w:outlineLvl w:val="0"/>
        <w:rPr>
          <w:rStyle w:val="17"/>
          <w:rFonts w:ascii="黑体" w:hAnsi="黑体" w:eastAsia="黑体"/>
          <w:b w:val="0"/>
        </w:rPr>
      </w:pPr>
      <w:bookmarkStart w:id="61"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7"/>
      <w:bookmarkEnd w:id="61"/>
    </w:p>
    <w:p w14:paraId="38CF6D3D">
      <w:pPr>
        <w:spacing w:line="600" w:lineRule="exact"/>
        <w:jc w:val="center"/>
        <w:outlineLvl w:val="0"/>
        <w:rPr>
          <w:rFonts w:ascii="仿宋" w:hAnsi="仿宋" w:eastAsia="仿宋"/>
          <w:b/>
          <w:color w:val="000000"/>
          <w:sz w:val="44"/>
          <w:szCs w:val="44"/>
        </w:rPr>
      </w:pPr>
    </w:p>
    <w:p w14:paraId="631FB919">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62"/>
    </w:p>
    <w:p w14:paraId="0D8F9219">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18"/>
          <w:rFonts w:hint="eastAsia" w:ascii="仿宋" w:hAnsi="仿宋" w:eastAsia="仿宋"/>
          <w:b w:val="0"/>
          <w:bCs w:val="0"/>
        </w:rPr>
        <w:t>入总表</w:t>
      </w:r>
      <w:bookmarkEnd w:id="63"/>
    </w:p>
    <w:p w14:paraId="7D8B89D9">
      <w:pPr>
        <w:pStyle w:val="3"/>
        <w:rPr>
          <w:rFonts w:ascii="仿宋" w:hAnsi="仿宋" w:eastAsia="仿宋"/>
          <w:color w:val="000000"/>
        </w:rPr>
      </w:pPr>
      <w:bookmarkStart w:id="64"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64"/>
    </w:p>
    <w:p w14:paraId="40CFF18A">
      <w:pPr>
        <w:pStyle w:val="3"/>
        <w:rPr>
          <w:rFonts w:ascii="仿宋" w:hAnsi="仿宋" w:eastAsia="仿宋"/>
          <w:b w:val="0"/>
          <w:color w:val="000000"/>
        </w:rPr>
      </w:pPr>
      <w:bookmarkStart w:id="65"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5"/>
    </w:p>
    <w:p w14:paraId="6B72148B">
      <w:pPr>
        <w:pStyle w:val="3"/>
        <w:rPr>
          <w:rFonts w:ascii="仿宋" w:hAnsi="仿宋" w:eastAsia="仿宋"/>
          <w:color w:val="000000"/>
        </w:rPr>
      </w:pPr>
      <w:bookmarkStart w:id="66"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66"/>
    </w:p>
    <w:p w14:paraId="01043942">
      <w:pPr>
        <w:pStyle w:val="3"/>
        <w:rPr>
          <w:rFonts w:ascii="仿宋" w:hAnsi="仿宋" w:eastAsia="仿宋"/>
          <w:color w:val="000000"/>
        </w:rPr>
      </w:pPr>
      <w:bookmarkStart w:id="67" w:name="_Toc15396624"/>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7"/>
    </w:p>
    <w:p w14:paraId="6255DBEC">
      <w:pPr>
        <w:pStyle w:val="3"/>
        <w:rPr>
          <w:rFonts w:ascii="仿宋" w:hAnsi="仿宋" w:eastAsia="仿宋"/>
          <w:color w:val="000000"/>
        </w:rPr>
      </w:pPr>
      <w:bookmarkStart w:id="68"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8"/>
    </w:p>
    <w:p w14:paraId="76561D41">
      <w:pPr>
        <w:pStyle w:val="3"/>
        <w:rPr>
          <w:rFonts w:ascii="仿宋" w:hAnsi="仿宋" w:eastAsia="仿宋"/>
          <w:color w:val="000000"/>
        </w:rPr>
      </w:pPr>
      <w:bookmarkStart w:id="69"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9"/>
    </w:p>
    <w:p w14:paraId="3DBC7A58">
      <w:pPr>
        <w:pStyle w:val="3"/>
        <w:rPr>
          <w:rFonts w:ascii="仿宋" w:hAnsi="仿宋" w:eastAsia="仿宋"/>
          <w:color w:val="000000"/>
        </w:rPr>
      </w:pPr>
      <w:bookmarkStart w:id="70"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70"/>
    </w:p>
    <w:p w14:paraId="0DD7F524">
      <w:pPr>
        <w:pStyle w:val="3"/>
        <w:rPr>
          <w:rFonts w:ascii="仿宋" w:hAnsi="仿宋" w:eastAsia="仿宋"/>
          <w:color w:val="000000"/>
        </w:rPr>
      </w:pPr>
      <w:bookmarkStart w:id="71"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71"/>
    </w:p>
    <w:p w14:paraId="1A4C7FE0">
      <w:pPr>
        <w:pStyle w:val="3"/>
        <w:rPr>
          <w:rFonts w:ascii="仿宋" w:hAnsi="仿宋" w:eastAsia="仿宋"/>
          <w:color w:val="000000"/>
        </w:rPr>
      </w:pPr>
      <w:bookmarkStart w:id="72"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2"/>
    </w:p>
    <w:p w14:paraId="6713E29C">
      <w:pPr>
        <w:pStyle w:val="3"/>
        <w:rPr>
          <w:rFonts w:ascii="仿宋" w:hAnsi="仿宋" w:eastAsia="仿宋"/>
          <w:color w:val="000000"/>
        </w:rPr>
      </w:pPr>
      <w:bookmarkStart w:id="73"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3"/>
    </w:p>
    <w:p w14:paraId="46D0BE97">
      <w:pPr>
        <w:pStyle w:val="3"/>
        <w:rPr>
          <w:rFonts w:ascii="仿宋" w:hAnsi="仿宋" w:eastAsia="仿宋"/>
          <w:color w:val="000000"/>
        </w:rPr>
      </w:pPr>
      <w:bookmarkStart w:id="74"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Droid Sans Japanese"/>
    <w:panose1 w:val="02020509000000000000"/>
    <w:charset w:val="88"/>
    <w:family w:val="modern"/>
    <w:pitch w:val="default"/>
    <w:sig w:usb0="00000000" w:usb1="00000000" w:usb2="00000016" w:usb3="00000000" w:csb0="00100001" w:csb1="00000000"/>
  </w:font>
  <w:font w:name="Droid Sans Japanese">
    <w:panose1 w:val="020B0502000000000001"/>
    <w:charset w:val="00"/>
    <w:family w:val="auto"/>
    <w:pitch w:val="default"/>
    <w:sig w:usb0="80000000" w:usb1="08070000" w:usb2="00000010" w:usb3="00000000" w:csb0="00000001"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简体">
    <w:altName w:val="仿宋"/>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977BB">
    <w:pPr>
      <w:pStyle w:val="8"/>
      <w:jc w:val="center"/>
    </w:pPr>
    <w:r>
      <w:fldChar w:fldCharType="begin"/>
    </w:r>
    <w:r>
      <w:instrText xml:space="preserve">PAGE   \* MERGEFORMAT</w:instrText>
    </w:r>
    <w:r>
      <w:fldChar w:fldCharType="separate"/>
    </w:r>
    <w:r>
      <w:rPr>
        <w:lang w:val="zh-CN"/>
      </w:rPr>
      <w:t>3</w:t>
    </w:r>
    <w:r>
      <w:rPr>
        <w:lang w:val="zh-CN"/>
      </w:rPr>
      <w:fldChar w:fldCharType="end"/>
    </w:r>
  </w:p>
  <w:p w14:paraId="3C0F9E7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9BC05">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YjExYWJhYzA0YTQ4MzFkOGZkN2Q2MmQxMWMzMDEifQ=="/>
  </w:docVars>
  <w:rsids>
    <w:rsidRoot w:val="00F1361C"/>
    <w:rsid w:val="000222C6"/>
    <w:rsid w:val="0002549F"/>
    <w:rsid w:val="00030269"/>
    <w:rsid w:val="00051103"/>
    <w:rsid w:val="0006487A"/>
    <w:rsid w:val="00065F8F"/>
    <w:rsid w:val="000768F2"/>
    <w:rsid w:val="00084227"/>
    <w:rsid w:val="0009184B"/>
    <w:rsid w:val="0009593C"/>
    <w:rsid w:val="000B047F"/>
    <w:rsid w:val="000B4E70"/>
    <w:rsid w:val="000B5923"/>
    <w:rsid w:val="000B5A48"/>
    <w:rsid w:val="000B6FF3"/>
    <w:rsid w:val="000C3467"/>
    <w:rsid w:val="000C3CA6"/>
    <w:rsid w:val="000D1267"/>
    <w:rsid w:val="000D1D50"/>
    <w:rsid w:val="000D5782"/>
    <w:rsid w:val="000E6613"/>
    <w:rsid w:val="000E7119"/>
    <w:rsid w:val="00114E9B"/>
    <w:rsid w:val="001211BA"/>
    <w:rsid w:val="00133CEA"/>
    <w:rsid w:val="0014729F"/>
    <w:rsid w:val="00153AF8"/>
    <w:rsid w:val="00157BAB"/>
    <w:rsid w:val="001654D1"/>
    <w:rsid w:val="0018106D"/>
    <w:rsid w:val="001877A7"/>
    <w:rsid w:val="00191536"/>
    <w:rsid w:val="00196687"/>
    <w:rsid w:val="001C0962"/>
    <w:rsid w:val="001D7531"/>
    <w:rsid w:val="001E737D"/>
    <w:rsid w:val="001F0592"/>
    <w:rsid w:val="001F2300"/>
    <w:rsid w:val="001F7506"/>
    <w:rsid w:val="002006CD"/>
    <w:rsid w:val="00202B36"/>
    <w:rsid w:val="00204B7A"/>
    <w:rsid w:val="002059EE"/>
    <w:rsid w:val="0021101A"/>
    <w:rsid w:val="00220536"/>
    <w:rsid w:val="002209F4"/>
    <w:rsid w:val="00235629"/>
    <w:rsid w:val="00260C38"/>
    <w:rsid w:val="002616C0"/>
    <w:rsid w:val="002662AA"/>
    <w:rsid w:val="00280496"/>
    <w:rsid w:val="00286230"/>
    <w:rsid w:val="00295495"/>
    <w:rsid w:val="002B2613"/>
    <w:rsid w:val="002F1818"/>
    <w:rsid w:val="002F567B"/>
    <w:rsid w:val="003216A9"/>
    <w:rsid w:val="0037013F"/>
    <w:rsid w:val="00380C92"/>
    <w:rsid w:val="003A484F"/>
    <w:rsid w:val="003A5AD4"/>
    <w:rsid w:val="003B0BE0"/>
    <w:rsid w:val="003B0C1B"/>
    <w:rsid w:val="003B3506"/>
    <w:rsid w:val="003B5811"/>
    <w:rsid w:val="003B688C"/>
    <w:rsid w:val="003C0291"/>
    <w:rsid w:val="003C39AE"/>
    <w:rsid w:val="003C7B60"/>
    <w:rsid w:val="003D1FB2"/>
    <w:rsid w:val="003D66DA"/>
    <w:rsid w:val="003E1310"/>
    <w:rsid w:val="003E6F55"/>
    <w:rsid w:val="003F1A19"/>
    <w:rsid w:val="00406254"/>
    <w:rsid w:val="004223DE"/>
    <w:rsid w:val="00434489"/>
    <w:rsid w:val="00437085"/>
    <w:rsid w:val="00443880"/>
    <w:rsid w:val="00444D2D"/>
    <w:rsid w:val="004464F4"/>
    <w:rsid w:val="00463B98"/>
    <w:rsid w:val="00471401"/>
    <w:rsid w:val="00473F31"/>
    <w:rsid w:val="0048263A"/>
    <w:rsid w:val="00485EF5"/>
    <w:rsid w:val="00487E5D"/>
    <w:rsid w:val="004A711F"/>
    <w:rsid w:val="004B199D"/>
    <w:rsid w:val="004B4690"/>
    <w:rsid w:val="004E0A2D"/>
    <w:rsid w:val="004E206B"/>
    <w:rsid w:val="004E2DB5"/>
    <w:rsid w:val="004E6DF7"/>
    <w:rsid w:val="004F0FBD"/>
    <w:rsid w:val="00505A47"/>
    <w:rsid w:val="00510901"/>
    <w:rsid w:val="00512FDA"/>
    <w:rsid w:val="00520DA0"/>
    <w:rsid w:val="005664BB"/>
    <w:rsid w:val="0057481D"/>
    <w:rsid w:val="00582D4F"/>
    <w:rsid w:val="0058486E"/>
    <w:rsid w:val="005D1C8B"/>
    <w:rsid w:val="005D5CED"/>
    <w:rsid w:val="005F1A4C"/>
    <w:rsid w:val="005F6EF6"/>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04B6"/>
    <w:rsid w:val="006A3141"/>
    <w:rsid w:val="006A5E34"/>
    <w:rsid w:val="006B2422"/>
    <w:rsid w:val="006B2B9A"/>
    <w:rsid w:val="006C13C2"/>
    <w:rsid w:val="006C1937"/>
    <w:rsid w:val="006F020C"/>
    <w:rsid w:val="007127B7"/>
    <w:rsid w:val="00715E75"/>
    <w:rsid w:val="007416B6"/>
    <w:rsid w:val="00741EDC"/>
    <w:rsid w:val="00746F48"/>
    <w:rsid w:val="0075404D"/>
    <w:rsid w:val="0076182A"/>
    <w:rsid w:val="00767B7E"/>
    <w:rsid w:val="007770C3"/>
    <w:rsid w:val="00784D24"/>
    <w:rsid w:val="00785FBA"/>
    <w:rsid w:val="00786E4A"/>
    <w:rsid w:val="007875EB"/>
    <w:rsid w:val="0079426B"/>
    <w:rsid w:val="007B2997"/>
    <w:rsid w:val="007B69AD"/>
    <w:rsid w:val="007D312A"/>
    <w:rsid w:val="007D3F19"/>
    <w:rsid w:val="007E23B0"/>
    <w:rsid w:val="007F1991"/>
    <w:rsid w:val="007F2C2F"/>
    <w:rsid w:val="007F55FC"/>
    <w:rsid w:val="007F5665"/>
    <w:rsid w:val="00800112"/>
    <w:rsid w:val="00802A4C"/>
    <w:rsid w:val="008253BB"/>
    <w:rsid w:val="0083706E"/>
    <w:rsid w:val="008423A5"/>
    <w:rsid w:val="00850625"/>
    <w:rsid w:val="0085190B"/>
    <w:rsid w:val="00853718"/>
    <w:rsid w:val="00855221"/>
    <w:rsid w:val="00860645"/>
    <w:rsid w:val="00871F71"/>
    <w:rsid w:val="00885AF4"/>
    <w:rsid w:val="008939CD"/>
    <w:rsid w:val="008A1AC1"/>
    <w:rsid w:val="008B06FB"/>
    <w:rsid w:val="008B768C"/>
    <w:rsid w:val="008C4DB1"/>
    <w:rsid w:val="008C4EAF"/>
    <w:rsid w:val="008C5176"/>
    <w:rsid w:val="008C7FD0"/>
    <w:rsid w:val="008D3316"/>
    <w:rsid w:val="008E1DE7"/>
    <w:rsid w:val="008E707C"/>
    <w:rsid w:val="00900B08"/>
    <w:rsid w:val="00902155"/>
    <w:rsid w:val="00902FA3"/>
    <w:rsid w:val="00923564"/>
    <w:rsid w:val="0092392E"/>
    <w:rsid w:val="009315F9"/>
    <w:rsid w:val="00946945"/>
    <w:rsid w:val="00951248"/>
    <w:rsid w:val="0095152F"/>
    <w:rsid w:val="00954C49"/>
    <w:rsid w:val="009565F5"/>
    <w:rsid w:val="0097099F"/>
    <w:rsid w:val="00971997"/>
    <w:rsid w:val="00971FFC"/>
    <w:rsid w:val="0098660A"/>
    <w:rsid w:val="009931C3"/>
    <w:rsid w:val="00993C6F"/>
    <w:rsid w:val="009B2C43"/>
    <w:rsid w:val="009B4EAE"/>
    <w:rsid w:val="009B7573"/>
    <w:rsid w:val="009C22F4"/>
    <w:rsid w:val="009C2E98"/>
    <w:rsid w:val="009D3447"/>
    <w:rsid w:val="009D4402"/>
    <w:rsid w:val="009D4711"/>
    <w:rsid w:val="009E669C"/>
    <w:rsid w:val="009F1185"/>
    <w:rsid w:val="009F18CD"/>
    <w:rsid w:val="009F2A13"/>
    <w:rsid w:val="00A04EB0"/>
    <w:rsid w:val="00A06E67"/>
    <w:rsid w:val="00A11A29"/>
    <w:rsid w:val="00A13CC1"/>
    <w:rsid w:val="00A16847"/>
    <w:rsid w:val="00A237D8"/>
    <w:rsid w:val="00A268C4"/>
    <w:rsid w:val="00A307CD"/>
    <w:rsid w:val="00A359E1"/>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27F4"/>
    <w:rsid w:val="00BF5BD6"/>
    <w:rsid w:val="00C03E31"/>
    <w:rsid w:val="00C33E72"/>
    <w:rsid w:val="00C354B2"/>
    <w:rsid w:val="00C35554"/>
    <w:rsid w:val="00C42709"/>
    <w:rsid w:val="00C5285B"/>
    <w:rsid w:val="00C533CC"/>
    <w:rsid w:val="00C5751C"/>
    <w:rsid w:val="00C61BFC"/>
    <w:rsid w:val="00C62B85"/>
    <w:rsid w:val="00C65438"/>
    <w:rsid w:val="00C91CBB"/>
    <w:rsid w:val="00CB66EE"/>
    <w:rsid w:val="00CC09B6"/>
    <w:rsid w:val="00CC666F"/>
    <w:rsid w:val="00CD1E3F"/>
    <w:rsid w:val="00CD4346"/>
    <w:rsid w:val="00CE44F6"/>
    <w:rsid w:val="00CE49DA"/>
    <w:rsid w:val="00CE7B61"/>
    <w:rsid w:val="00D00095"/>
    <w:rsid w:val="00D03D58"/>
    <w:rsid w:val="00D20620"/>
    <w:rsid w:val="00D26091"/>
    <w:rsid w:val="00D34E7C"/>
    <w:rsid w:val="00D35489"/>
    <w:rsid w:val="00D51276"/>
    <w:rsid w:val="00D7035F"/>
    <w:rsid w:val="00D9256A"/>
    <w:rsid w:val="00DA65AC"/>
    <w:rsid w:val="00DB0F51"/>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2C74"/>
    <w:rsid w:val="00F1361C"/>
    <w:rsid w:val="00F160C7"/>
    <w:rsid w:val="00F34AF5"/>
    <w:rsid w:val="00F36D8F"/>
    <w:rsid w:val="00F417B1"/>
    <w:rsid w:val="00F602DF"/>
    <w:rsid w:val="00F81FD9"/>
    <w:rsid w:val="00F841AA"/>
    <w:rsid w:val="00F8792B"/>
    <w:rsid w:val="00FA23E8"/>
    <w:rsid w:val="00FD3CC1"/>
    <w:rsid w:val="00FF1E02"/>
    <w:rsid w:val="00FF30B4"/>
    <w:rsid w:val="0795763C"/>
    <w:rsid w:val="0B335E02"/>
    <w:rsid w:val="10C055FF"/>
    <w:rsid w:val="1479311A"/>
    <w:rsid w:val="15EA7183"/>
    <w:rsid w:val="16BB723D"/>
    <w:rsid w:val="20C20E09"/>
    <w:rsid w:val="240371BF"/>
    <w:rsid w:val="29FD04D3"/>
    <w:rsid w:val="319F7F4E"/>
    <w:rsid w:val="47777644"/>
    <w:rsid w:val="52E42B4D"/>
    <w:rsid w:val="54DB754A"/>
    <w:rsid w:val="6463662F"/>
    <w:rsid w:val="6FF7202E"/>
    <w:rsid w:val="7C704C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9"/>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semiHidden/>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semiHidden/>
    <w:qFormat/>
    <w:locked/>
    <w:uiPriority w:val="99"/>
    <w:rPr>
      <w:rFonts w:ascii="Times New Roman" w:hAnsi="Times New Roman" w:cs="Times New Roman"/>
      <w:sz w:val="24"/>
      <w:szCs w:val="24"/>
    </w:rPr>
  </w:style>
  <w:style w:type="character" w:customStyle="1" w:styleId="21">
    <w:name w:val="Footer Char"/>
    <w:basedOn w:val="14"/>
    <w:semiHidden/>
    <w:qFormat/>
    <w:locked/>
    <w:uiPriority w:val="99"/>
    <w:rPr>
      <w:rFonts w:ascii="Times New Roman" w:hAnsi="Times New Roman" w:cs="Times New Roman"/>
      <w:sz w:val="18"/>
      <w:szCs w:val="18"/>
    </w:rPr>
  </w:style>
  <w:style w:type="character" w:customStyle="1" w:styleId="22">
    <w:name w:val="Header Char"/>
    <w:basedOn w:val="14"/>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rPr>
  </w:style>
  <w:style w:type="character" w:customStyle="1" w:styleId="24">
    <w:name w:val="页脚 Char"/>
    <w:link w:val="8"/>
    <w:qFormat/>
    <w:locked/>
    <w:uiPriority w:val="99"/>
    <w:rPr>
      <w:sz w:val="18"/>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批注框文本 Char"/>
    <w:basedOn w:val="14"/>
    <w:link w:val="7"/>
    <w:semiHidden/>
    <w:qFormat/>
    <w:locked/>
    <w:uiPriority w:val="99"/>
    <w:rPr>
      <w:rFonts w:ascii="Times New Roman" w:hAnsi="Times New Roman" w:cs="Times New Roman"/>
      <w:kern w:val="2"/>
      <w:sz w:val="18"/>
      <w:szCs w:val="18"/>
    </w:rPr>
  </w:style>
  <w:style w:type="character" w:customStyle="1" w:styleId="30">
    <w:name w:val="Body text (2)_"/>
    <w:link w:val="31"/>
    <w:qFormat/>
    <w:uiPriority w:val="0"/>
    <w:rPr>
      <w:rFonts w:ascii="MingLiU" w:hAnsi="MingLiU" w:eastAsia="MingLiU" w:cs="MingLiU"/>
      <w:b/>
      <w:bCs/>
      <w:sz w:val="32"/>
      <w:szCs w:val="32"/>
      <w:shd w:val="clear" w:color="auto" w:fill="FFFFFF"/>
    </w:rPr>
  </w:style>
  <w:style w:type="paragraph" w:customStyle="1" w:styleId="31">
    <w:name w:val="Body text (2)"/>
    <w:basedOn w:val="1"/>
    <w:link w:val="30"/>
    <w:qFormat/>
    <w:uiPriority w:val="0"/>
    <w:pPr>
      <w:shd w:val="clear" w:color="auto" w:fill="FFFFFF"/>
      <w:spacing w:line="558" w:lineRule="exact"/>
      <w:ind w:firstLine="700"/>
      <w:jc w:val="distribute"/>
    </w:pPr>
    <w:rPr>
      <w:rFonts w:ascii="MingLiU" w:hAnsi="MingLiU" w:eastAsia="MingLiU" w:cs="MingLiU"/>
      <w:b/>
      <w:bCs/>
      <w:kern w:val="0"/>
      <w:sz w:val="32"/>
      <w:szCs w:val="32"/>
    </w:rPr>
  </w:style>
  <w:style w:type="paragraph" w:customStyle="1" w:styleId="32">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33">
    <w:name w:val="四号正文 Char"/>
    <w:link w:val="34"/>
    <w:qFormat/>
    <w:locked/>
    <w:uiPriority w:val="99"/>
    <w:rPr>
      <w:rFonts w:ascii="??" w:hAnsi="??"/>
      <w:color w:val="000000"/>
      <w:sz w:val="21"/>
    </w:rPr>
  </w:style>
  <w:style w:type="paragraph" w:customStyle="1" w:styleId="34">
    <w:name w:val="四号正文"/>
    <w:basedOn w:val="1"/>
    <w:link w:val="33"/>
    <w:qFormat/>
    <w:uiPriority w:val="99"/>
    <w:pPr>
      <w:spacing w:line="360" w:lineRule="auto"/>
    </w:pPr>
    <w:rPr>
      <w:rFonts w:ascii="??" w:hAnsi="??"/>
      <w:color w:val="00000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4"/>
    <customShpInfo spid="_x0000_s2058"/>
    <customShpInfo spid="_x0000_s2060"/>
    <customShpInfo spid="_x0000_s2063"/>
    <customShpInfo spid="_x0000_s2064"/>
    <customShpInfo spid="_x0000_s206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15731</Words>
  <Characters>16953</Characters>
  <Lines>134</Lines>
  <Paragraphs>37</Paragraphs>
  <TotalTime>7</TotalTime>
  <ScaleCrop>false</ScaleCrop>
  <LinksUpToDate>false</LinksUpToDate>
  <CharactersWithSpaces>17125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 回甘</cp:lastModifiedBy>
  <cp:lastPrinted>2019-08-01T08:48:00Z</cp:lastPrinted>
  <dcterms:modified xsi:type="dcterms:W3CDTF">2026-08-24T09:02:32Z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EA542D6818794E0B9A755570B1CC762C</vt:lpwstr>
  </property>
  <property fmtid="{D5CDD505-2E9C-101B-9397-08002B2CF9AE}" pid="4" name="KSOSaveFontToCloudKey">
    <vt:lpwstr>755198560_embed</vt:lpwstr>
  </property>
</Properties>
</file>