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61831">
      <w:pPr>
        <w:spacing w:line="600" w:lineRule="exact"/>
        <w:jc w:val="center"/>
        <w:outlineLvl w:val="0"/>
        <w:rPr>
          <w:rFonts w:hint="eastAsia" w:ascii="方正小标宋简体" w:hAnsi="宋体" w:eastAsia="方正小标宋简体"/>
          <w:color w:val="auto"/>
          <w:sz w:val="72"/>
          <w:szCs w:val="72"/>
          <w:highlight w:val="none"/>
        </w:rPr>
      </w:pPr>
      <w:bookmarkStart w:id="71" w:name="_GoBack"/>
      <w:bookmarkEnd w:id="71"/>
      <w:bookmarkStart w:id="0" w:name="_Toc15306267"/>
    </w:p>
    <w:p w14:paraId="539B9D0D">
      <w:pPr>
        <w:spacing w:line="600" w:lineRule="exact"/>
        <w:jc w:val="center"/>
        <w:outlineLvl w:val="0"/>
        <w:rPr>
          <w:rFonts w:ascii="方正小标宋简体" w:hAnsi="宋体" w:eastAsia="方正小标宋简体"/>
          <w:color w:val="auto"/>
          <w:sz w:val="72"/>
          <w:szCs w:val="72"/>
          <w:highlight w:val="none"/>
        </w:rPr>
      </w:pPr>
    </w:p>
    <w:p w14:paraId="162451B2">
      <w:pPr>
        <w:spacing w:line="600" w:lineRule="exact"/>
        <w:jc w:val="center"/>
        <w:outlineLvl w:val="0"/>
        <w:rPr>
          <w:rFonts w:ascii="方正小标宋简体" w:hAnsi="宋体" w:eastAsia="方正小标宋简体"/>
          <w:color w:val="auto"/>
          <w:sz w:val="72"/>
          <w:szCs w:val="72"/>
          <w:highlight w:val="none"/>
        </w:rPr>
      </w:pPr>
    </w:p>
    <w:p w14:paraId="451F9635">
      <w:pPr>
        <w:spacing w:line="600" w:lineRule="exact"/>
        <w:jc w:val="center"/>
        <w:outlineLvl w:val="0"/>
        <w:rPr>
          <w:rFonts w:ascii="方正小标宋简体" w:hAnsi="宋体" w:eastAsia="方正小标宋简体"/>
          <w:color w:val="auto"/>
          <w:sz w:val="72"/>
          <w:szCs w:val="72"/>
          <w:highlight w:val="none"/>
        </w:rPr>
      </w:pPr>
    </w:p>
    <w:p w14:paraId="0234E65E">
      <w:pPr>
        <w:adjustRightInd w:val="0"/>
        <w:snapToGrid w:val="0"/>
        <w:spacing w:line="360" w:lineRule="auto"/>
        <w:jc w:val="center"/>
        <w:outlineLvl w:val="0"/>
        <w:rPr>
          <w:rFonts w:ascii="方正小标宋简体" w:hAnsi="宋体" w:eastAsia="方正小标宋简体"/>
          <w:color w:val="auto"/>
          <w:sz w:val="56"/>
          <w:szCs w:val="72"/>
          <w:highlight w:val="none"/>
        </w:rPr>
      </w:pPr>
      <w:bookmarkStart w:id="1" w:name="_Toc15377193"/>
      <w:bookmarkStart w:id="2" w:name="_Toc15396475"/>
      <w:bookmarkStart w:id="3" w:name="_Toc15378441"/>
      <w:bookmarkStart w:id="4" w:name="_Toc15396597"/>
      <w:bookmarkStart w:id="5" w:name="_Toc15377425"/>
      <w:r>
        <w:rPr>
          <w:rFonts w:ascii="方正小标宋简体" w:hAnsi="宋体" w:eastAsia="方正小标宋简体"/>
          <w:color w:val="auto"/>
          <w:sz w:val="56"/>
          <w:szCs w:val="72"/>
          <w:highlight w:val="none"/>
        </w:rPr>
        <w:t>2019</w:t>
      </w:r>
      <w:r>
        <w:rPr>
          <w:rFonts w:hint="eastAsia" w:ascii="方正小标宋简体" w:hAnsi="宋体" w:eastAsia="方正小标宋简体"/>
          <w:color w:val="auto"/>
          <w:sz w:val="56"/>
          <w:szCs w:val="72"/>
          <w:highlight w:val="none"/>
        </w:rPr>
        <w:t>年度</w:t>
      </w:r>
      <w:bookmarkEnd w:id="1"/>
      <w:bookmarkEnd w:id="2"/>
      <w:bookmarkEnd w:id="3"/>
      <w:bookmarkEnd w:id="4"/>
      <w:bookmarkEnd w:id="5"/>
    </w:p>
    <w:p w14:paraId="636584B7">
      <w:pPr>
        <w:adjustRightInd w:val="0"/>
        <w:snapToGrid w:val="0"/>
        <w:spacing w:line="360" w:lineRule="auto"/>
        <w:jc w:val="center"/>
        <w:outlineLvl w:val="0"/>
        <w:rPr>
          <w:rFonts w:ascii="方正小标宋简体" w:hAnsi="宋体" w:eastAsia="方正小标宋简体"/>
          <w:color w:val="auto"/>
          <w:sz w:val="56"/>
          <w:szCs w:val="72"/>
          <w:highlight w:val="none"/>
        </w:rPr>
      </w:pPr>
      <w:bookmarkStart w:id="6" w:name="_Toc15396598"/>
      <w:bookmarkStart w:id="7" w:name="_Toc15377426"/>
      <w:bookmarkStart w:id="8" w:name="_Toc15396476"/>
      <w:bookmarkStart w:id="9" w:name="_Toc15377194"/>
      <w:bookmarkStart w:id="10" w:name="_Toc15378442"/>
      <w:r>
        <w:rPr>
          <w:rFonts w:hint="eastAsia" w:ascii="方正小标宋简体" w:hAnsi="宋体" w:eastAsia="方正小标宋简体"/>
          <w:color w:val="auto"/>
          <w:sz w:val="56"/>
          <w:szCs w:val="72"/>
          <w:highlight w:val="none"/>
        </w:rPr>
        <w:t>四川省</w:t>
      </w:r>
      <w:bookmarkEnd w:id="0"/>
      <w:bookmarkStart w:id="11" w:name="_Toc15306268"/>
      <w:r>
        <w:rPr>
          <w:rFonts w:hint="eastAsia" w:ascii="方正小标宋简体" w:hAnsi="宋体" w:eastAsia="方正小标宋简体"/>
          <w:color w:val="auto"/>
          <w:sz w:val="56"/>
          <w:szCs w:val="72"/>
          <w:highlight w:val="none"/>
        </w:rPr>
        <w:t>米易县人大常委会办公室部门决算</w:t>
      </w:r>
      <w:bookmarkEnd w:id="6"/>
      <w:bookmarkEnd w:id="7"/>
      <w:bookmarkEnd w:id="8"/>
      <w:bookmarkEnd w:id="9"/>
      <w:bookmarkEnd w:id="10"/>
      <w:bookmarkEnd w:id="11"/>
    </w:p>
    <w:p w14:paraId="150F3737">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573681E1">
      <w:pPr>
        <w:widowControl/>
        <w:jc w:val="center"/>
        <w:rPr>
          <w:rFonts w:ascii="黑体" w:hAnsi="黑体" w:eastAsia="黑体"/>
          <w:color w:val="auto"/>
          <w:sz w:val="28"/>
          <w:szCs w:val="28"/>
          <w:highlight w:val="none"/>
        </w:rPr>
      </w:pPr>
    </w:p>
    <w:p w14:paraId="32507EF1">
      <w:pPr>
        <w:pStyle w:val="10"/>
        <w:rPr>
          <w:color w:val="auto"/>
          <w:highlight w:val="none"/>
        </w:rPr>
      </w:pPr>
      <w:r>
        <w:rPr>
          <w:rFonts w:hint="eastAsia"/>
          <w:color w:val="auto"/>
          <w:highlight w:val="none"/>
        </w:rPr>
        <w:t>公开时间：</w:t>
      </w:r>
      <w:r>
        <w:rPr>
          <w:color w:val="auto"/>
          <w:highlight w:val="none"/>
        </w:rPr>
        <w:t>2020</w:t>
      </w:r>
      <w:r>
        <w:rPr>
          <w:rFonts w:hint="eastAsia"/>
          <w:color w:val="auto"/>
          <w:highlight w:val="none"/>
        </w:rPr>
        <w:t>年</w:t>
      </w:r>
      <w:r>
        <w:rPr>
          <w:color w:val="auto"/>
          <w:highlight w:val="none"/>
        </w:rPr>
        <w:t>9</w:t>
      </w:r>
      <w:r>
        <w:rPr>
          <w:rFonts w:hint="eastAsia"/>
          <w:color w:val="auto"/>
          <w:highlight w:val="none"/>
        </w:rPr>
        <w:t>月</w:t>
      </w:r>
      <w:r>
        <w:rPr>
          <w:color w:val="auto"/>
          <w:highlight w:val="none"/>
        </w:rPr>
        <w:t>3</w:t>
      </w:r>
      <w:r>
        <w:rPr>
          <w:rFonts w:hint="eastAsia"/>
          <w:color w:val="auto"/>
          <w:highlight w:val="none"/>
        </w:rPr>
        <w:t>日</w:t>
      </w:r>
    </w:p>
    <w:p w14:paraId="6674A1E3">
      <w:pPr>
        <w:rPr>
          <w:color w:val="auto"/>
          <w:highlight w:val="none"/>
        </w:rPr>
      </w:pPr>
    </w:p>
    <w:p w14:paraId="316292AD">
      <w:pPr>
        <w:pStyle w:val="10"/>
        <w:adjustRightInd w:val="0"/>
        <w:snapToGrid w:val="0"/>
        <w:spacing w:before="0" w:line="440" w:lineRule="exact"/>
        <w:jc w:val="left"/>
        <w:rPr>
          <w:color w:val="auto"/>
          <w:sz w:val="24"/>
          <w:szCs w:val="24"/>
          <w:highlight w:val="none"/>
        </w:rPr>
      </w:pPr>
      <w:r>
        <w:rPr>
          <w:rFonts w:hint="eastAsia"/>
          <w:color w:val="auto"/>
          <w:sz w:val="24"/>
          <w:highlight w:val="none"/>
        </w:rPr>
        <w:t>第一部分</w:t>
      </w:r>
      <w:r>
        <w:rPr>
          <w:color w:val="auto"/>
          <w:sz w:val="24"/>
          <w:highlight w:val="none"/>
        </w:rPr>
        <w:t xml:space="preserve"> </w:t>
      </w:r>
      <w:r>
        <w:rPr>
          <w:rFonts w:hint="eastAsia"/>
          <w:color w:val="auto"/>
          <w:sz w:val="24"/>
          <w:highlight w:val="none"/>
        </w:rPr>
        <w:t>部门概况</w:t>
      </w:r>
      <w:r>
        <w:rPr>
          <w:color w:val="auto"/>
          <w:sz w:val="24"/>
          <w:highlight w:val="none"/>
        </w:rPr>
        <w:tab/>
      </w:r>
      <w:r>
        <w:rPr>
          <w:rFonts w:hint="eastAsia"/>
          <w:color w:val="auto"/>
          <w:sz w:val="24"/>
          <w:highlight w:val="none"/>
        </w:rPr>
        <w:t>4</w:t>
      </w:r>
    </w:p>
    <w:p w14:paraId="59FE2C6F">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一、基本职能及主要工作</w:t>
      </w:r>
      <w:r>
        <w:rPr>
          <w:rFonts w:ascii="宋体" w:hAnsi="宋体"/>
          <w:color w:val="auto"/>
          <w:sz w:val="24"/>
          <w:highlight w:val="none"/>
        </w:rPr>
        <w:tab/>
      </w:r>
      <w:r>
        <w:rPr>
          <w:rFonts w:hint="eastAsia" w:ascii="宋体" w:hAnsi="宋体"/>
          <w:color w:val="auto"/>
          <w:sz w:val="24"/>
          <w:highlight w:val="none"/>
        </w:rPr>
        <w:t>4</w:t>
      </w:r>
    </w:p>
    <w:p w14:paraId="4E0C2C4E">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二、机构设置</w:t>
      </w:r>
      <w:r>
        <w:rPr>
          <w:rFonts w:ascii="宋体" w:hAnsi="宋体"/>
          <w:color w:val="auto"/>
          <w:sz w:val="24"/>
          <w:highlight w:val="none"/>
        </w:rPr>
        <w:tab/>
      </w:r>
      <w:r>
        <w:rPr>
          <w:rFonts w:hint="eastAsia" w:ascii="宋体" w:hAnsi="宋体"/>
          <w:color w:val="auto"/>
          <w:sz w:val="24"/>
          <w:highlight w:val="none"/>
        </w:rPr>
        <w:t>14</w:t>
      </w:r>
    </w:p>
    <w:p w14:paraId="014CDC47">
      <w:pPr>
        <w:pStyle w:val="10"/>
        <w:adjustRightInd w:val="0"/>
        <w:snapToGrid w:val="0"/>
        <w:spacing w:before="0" w:line="440" w:lineRule="exact"/>
        <w:jc w:val="left"/>
        <w:rPr>
          <w:color w:val="auto"/>
          <w:sz w:val="24"/>
          <w:szCs w:val="24"/>
          <w:highlight w:val="none"/>
        </w:rPr>
      </w:pPr>
      <w:r>
        <w:rPr>
          <w:rFonts w:hint="eastAsia"/>
          <w:color w:val="auto"/>
          <w:sz w:val="24"/>
          <w:highlight w:val="none"/>
        </w:rPr>
        <w:t>第二部分 部门决算情况说明</w:t>
      </w:r>
      <w:r>
        <w:rPr>
          <w:color w:val="auto"/>
          <w:sz w:val="24"/>
          <w:highlight w:val="none"/>
        </w:rPr>
        <w:tab/>
      </w:r>
      <w:r>
        <w:rPr>
          <w:rFonts w:hint="eastAsia"/>
          <w:color w:val="auto"/>
          <w:sz w:val="24"/>
          <w:highlight w:val="none"/>
        </w:rPr>
        <w:t>15</w:t>
      </w:r>
    </w:p>
    <w:p w14:paraId="3F969FE2">
      <w:pPr>
        <w:pStyle w:val="11"/>
        <w:adjustRightInd w:val="0"/>
        <w:snapToGrid w:val="0"/>
        <w:spacing w:line="440" w:lineRule="exact"/>
        <w:ind w:left="0" w:leftChars="0" w:firstLine="480" w:firstLineChars="200"/>
        <w:jc w:val="left"/>
        <w:rPr>
          <w:rFonts w:ascii="宋体" w:hAnsi="宋体"/>
          <w:color w:val="auto"/>
          <w:sz w:val="24"/>
          <w:highlight w:val="none"/>
        </w:rPr>
      </w:pPr>
      <w:r>
        <w:rPr>
          <w:rFonts w:hint="eastAsia" w:ascii="宋体" w:hAnsi="宋体"/>
          <w:color w:val="auto"/>
          <w:sz w:val="24"/>
          <w:highlight w:val="none"/>
        </w:rPr>
        <w:t>一、收入支出决算总体情况说明</w:t>
      </w:r>
      <w:r>
        <w:rPr>
          <w:rFonts w:ascii="宋体" w:hAnsi="宋体"/>
          <w:color w:val="auto"/>
          <w:sz w:val="24"/>
          <w:highlight w:val="none"/>
        </w:rPr>
        <w:tab/>
      </w:r>
      <w:r>
        <w:rPr>
          <w:rFonts w:hint="eastAsia" w:ascii="宋体" w:hAnsi="宋体"/>
          <w:color w:val="auto"/>
          <w:sz w:val="24"/>
          <w:highlight w:val="none"/>
        </w:rPr>
        <w:t>15</w:t>
      </w:r>
    </w:p>
    <w:p w14:paraId="53DF215F">
      <w:pPr>
        <w:pStyle w:val="11"/>
        <w:adjustRightInd w:val="0"/>
        <w:snapToGrid w:val="0"/>
        <w:spacing w:line="440" w:lineRule="exact"/>
        <w:ind w:left="0" w:leftChars="0" w:firstLine="480" w:firstLineChars="200"/>
        <w:jc w:val="left"/>
        <w:rPr>
          <w:rFonts w:ascii="宋体" w:hAnsi="宋体"/>
          <w:color w:val="auto"/>
          <w:sz w:val="24"/>
          <w:highlight w:val="none"/>
        </w:rPr>
      </w:pPr>
      <w:r>
        <w:rPr>
          <w:rFonts w:hint="eastAsia" w:ascii="宋体" w:hAnsi="宋体"/>
          <w:color w:val="auto"/>
          <w:sz w:val="24"/>
          <w:highlight w:val="none"/>
        </w:rPr>
        <w:t>二、收入决算情况说明</w:t>
      </w:r>
      <w:r>
        <w:rPr>
          <w:rFonts w:ascii="宋体" w:hAnsi="宋体"/>
          <w:color w:val="auto"/>
          <w:sz w:val="24"/>
          <w:highlight w:val="none"/>
        </w:rPr>
        <w:tab/>
      </w:r>
      <w:r>
        <w:rPr>
          <w:rFonts w:hint="eastAsia" w:ascii="宋体" w:hAnsi="宋体"/>
          <w:color w:val="auto"/>
          <w:sz w:val="24"/>
          <w:highlight w:val="none"/>
        </w:rPr>
        <w:t>15</w:t>
      </w:r>
    </w:p>
    <w:p w14:paraId="19D3F1A3">
      <w:pPr>
        <w:pStyle w:val="11"/>
        <w:adjustRightInd w:val="0"/>
        <w:snapToGrid w:val="0"/>
        <w:spacing w:line="440" w:lineRule="exact"/>
        <w:ind w:left="0" w:leftChars="0" w:firstLine="480" w:firstLineChars="200"/>
        <w:jc w:val="left"/>
        <w:rPr>
          <w:rFonts w:ascii="宋体" w:hAnsi="宋体"/>
          <w:color w:val="auto"/>
          <w:sz w:val="24"/>
          <w:highlight w:val="none"/>
        </w:rPr>
      </w:pPr>
      <w:r>
        <w:rPr>
          <w:rFonts w:hint="eastAsia" w:ascii="宋体" w:hAnsi="宋体"/>
          <w:color w:val="auto"/>
          <w:sz w:val="24"/>
          <w:highlight w:val="none"/>
        </w:rPr>
        <w:t>三、支出决算情况说明</w:t>
      </w:r>
      <w:r>
        <w:rPr>
          <w:rFonts w:ascii="宋体" w:hAnsi="宋体"/>
          <w:color w:val="auto"/>
          <w:sz w:val="24"/>
          <w:highlight w:val="none"/>
        </w:rPr>
        <w:tab/>
      </w:r>
      <w:r>
        <w:rPr>
          <w:rFonts w:hint="eastAsia" w:ascii="宋体" w:hAnsi="宋体"/>
          <w:color w:val="auto"/>
          <w:sz w:val="24"/>
          <w:highlight w:val="none"/>
        </w:rPr>
        <w:t>16</w:t>
      </w:r>
    </w:p>
    <w:p w14:paraId="0D58D83A">
      <w:pPr>
        <w:pStyle w:val="11"/>
        <w:adjustRightInd w:val="0"/>
        <w:snapToGrid w:val="0"/>
        <w:spacing w:line="440" w:lineRule="exact"/>
        <w:ind w:left="0" w:leftChars="0" w:firstLine="480" w:firstLineChars="200"/>
        <w:jc w:val="left"/>
        <w:rPr>
          <w:rFonts w:ascii="宋体" w:hAnsi="宋体"/>
          <w:color w:val="auto"/>
          <w:sz w:val="24"/>
          <w:highlight w:val="none"/>
        </w:rPr>
      </w:pPr>
      <w:r>
        <w:rPr>
          <w:rFonts w:hint="eastAsia" w:ascii="宋体" w:hAnsi="宋体"/>
          <w:color w:val="auto"/>
          <w:sz w:val="24"/>
          <w:highlight w:val="none"/>
        </w:rPr>
        <w:t>四、财政拨款收入支出决算总体情况说明</w:t>
      </w:r>
      <w:r>
        <w:rPr>
          <w:rFonts w:ascii="宋体" w:hAnsi="宋体"/>
          <w:color w:val="auto"/>
          <w:sz w:val="24"/>
          <w:highlight w:val="none"/>
        </w:rPr>
        <w:tab/>
      </w:r>
      <w:r>
        <w:rPr>
          <w:rFonts w:hint="eastAsia" w:ascii="宋体" w:hAnsi="宋体"/>
          <w:color w:val="auto"/>
          <w:sz w:val="24"/>
          <w:highlight w:val="none"/>
        </w:rPr>
        <w:t>16</w:t>
      </w:r>
    </w:p>
    <w:p w14:paraId="56837AF7">
      <w:pPr>
        <w:pStyle w:val="11"/>
        <w:adjustRightInd w:val="0"/>
        <w:snapToGrid w:val="0"/>
        <w:spacing w:line="440" w:lineRule="exact"/>
        <w:ind w:left="0" w:leftChars="0" w:firstLine="480" w:firstLineChars="200"/>
        <w:jc w:val="left"/>
        <w:rPr>
          <w:rFonts w:ascii="宋体" w:hAnsi="宋体"/>
          <w:color w:val="auto"/>
          <w:sz w:val="24"/>
          <w:highlight w:val="none"/>
        </w:rPr>
      </w:pPr>
      <w:r>
        <w:rPr>
          <w:rFonts w:hint="eastAsia" w:ascii="宋体" w:hAnsi="宋体"/>
          <w:color w:val="auto"/>
          <w:sz w:val="24"/>
          <w:highlight w:val="none"/>
        </w:rPr>
        <w:t>五、一般公共预算财政拨款支出决算情况说明</w:t>
      </w:r>
      <w:r>
        <w:rPr>
          <w:rFonts w:ascii="宋体" w:hAnsi="宋体"/>
          <w:color w:val="auto"/>
          <w:sz w:val="24"/>
          <w:highlight w:val="none"/>
        </w:rPr>
        <w:tab/>
      </w:r>
      <w:r>
        <w:rPr>
          <w:rFonts w:hint="eastAsia" w:ascii="宋体" w:hAnsi="宋体"/>
          <w:color w:val="auto"/>
          <w:sz w:val="24"/>
          <w:highlight w:val="none"/>
        </w:rPr>
        <w:t>17</w:t>
      </w:r>
    </w:p>
    <w:p w14:paraId="79F331E7">
      <w:pPr>
        <w:pStyle w:val="11"/>
        <w:adjustRightInd w:val="0"/>
        <w:snapToGrid w:val="0"/>
        <w:spacing w:line="440" w:lineRule="exact"/>
        <w:ind w:left="0" w:leftChars="0" w:firstLine="480" w:firstLineChars="200"/>
        <w:jc w:val="left"/>
        <w:rPr>
          <w:rFonts w:ascii="宋体" w:hAnsi="宋体"/>
          <w:color w:val="auto"/>
          <w:sz w:val="24"/>
          <w:highlight w:val="none"/>
        </w:rPr>
      </w:pPr>
      <w:r>
        <w:rPr>
          <w:rFonts w:hint="eastAsia" w:ascii="宋体" w:hAnsi="宋体"/>
          <w:color w:val="auto"/>
          <w:sz w:val="24"/>
          <w:highlight w:val="none"/>
        </w:rPr>
        <w:t>六、一般公共预算财政拨款基本支出决算情况说明</w:t>
      </w:r>
      <w:r>
        <w:rPr>
          <w:rFonts w:ascii="宋体" w:hAnsi="宋体"/>
          <w:color w:val="auto"/>
          <w:sz w:val="24"/>
          <w:highlight w:val="none"/>
        </w:rPr>
        <w:tab/>
      </w:r>
      <w:r>
        <w:rPr>
          <w:rFonts w:hint="eastAsia" w:ascii="宋体" w:hAnsi="宋体"/>
          <w:color w:val="auto"/>
          <w:sz w:val="24"/>
          <w:highlight w:val="none"/>
        </w:rPr>
        <w:t>19</w:t>
      </w:r>
    </w:p>
    <w:p w14:paraId="0624D7AD">
      <w:pPr>
        <w:pStyle w:val="11"/>
        <w:adjustRightInd w:val="0"/>
        <w:snapToGrid w:val="0"/>
        <w:spacing w:line="440" w:lineRule="exact"/>
        <w:ind w:left="0" w:leftChars="0" w:firstLine="480" w:firstLineChars="200"/>
        <w:jc w:val="left"/>
        <w:rPr>
          <w:rFonts w:ascii="宋体" w:hAnsi="宋体"/>
          <w:color w:val="auto"/>
          <w:sz w:val="24"/>
          <w:highlight w:val="none"/>
        </w:rPr>
      </w:pPr>
      <w:r>
        <w:rPr>
          <w:rFonts w:hint="eastAsia" w:ascii="宋体" w:hAnsi="宋体"/>
          <w:color w:val="auto"/>
          <w:sz w:val="24"/>
          <w:highlight w:val="none"/>
        </w:rPr>
        <w:t>七、</w:t>
      </w:r>
      <w:r>
        <w:rPr>
          <w:rFonts w:ascii="宋体" w:hAnsi="宋体"/>
          <w:color w:val="auto"/>
          <w:sz w:val="24"/>
          <w:highlight w:val="none"/>
        </w:rPr>
        <w:t>“</w:t>
      </w:r>
      <w:r>
        <w:rPr>
          <w:rFonts w:hint="eastAsia" w:ascii="宋体" w:hAnsi="宋体"/>
          <w:color w:val="auto"/>
          <w:sz w:val="24"/>
          <w:highlight w:val="none"/>
        </w:rPr>
        <w:t>三公”经费财政拨款支出决算情况说明</w:t>
      </w:r>
      <w:r>
        <w:rPr>
          <w:rFonts w:ascii="宋体" w:hAnsi="宋体"/>
          <w:color w:val="auto"/>
          <w:sz w:val="24"/>
          <w:highlight w:val="none"/>
        </w:rPr>
        <w:tab/>
      </w:r>
      <w:r>
        <w:rPr>
          <w:rFonts w:hint="eastAsia" w:ascii="宋体" w:hAnsi="宋体"/>
          <w:color w:val="auto"/>
          <w:sz w:val="24"/>
          <w:highlight w:val="none"/>
        </w:rPr>
        <w:t>20</w:t>
      </w:r>
    </w:p>
    <w:p w14:paraId="3F350E62">
      <w:pPr>
        <w:pStyle w:val="11"/>
        <w:adjustRightInd w:val="0"/>
        <w:snapToGrid w:val="0"/>
        <w:spacing w:line="440" w:lineRule="exact"/>
        <w:ind w:left="0" w:leftChars="0" w:firstLine="480" w:firstLineChars="200"/>
        <w:jc w:val="left"/>
        <w:rPr>
          <w:rFonts w:ascii="宋体" w:hAnsi="宋体"/>
          <w:color w:val="auto"/>
          <w:sz w:val="24"/>
          <w:highlight w:val="none"/>
        </w:rPr>
      </w:pPr>
      <w:r>
        <w:rPr>
          <w:rFonts w:hint="eastAsia" w:ascii="宋体" w:hAnsi="宋体"/>
          <w:color w:val="auto"/>
          <w:sz w:val="24"/>
          <w:highlight w:val="none"/>
        </w:rPr>
        <w:t>八、政府性基金预算支出决算情况说明</w:t>
      </w:r>
      <w:r>
        <w:rPr>
          <w:rFonts w:ascii="宋体" w:hAnsi="宋体"/>
          <w:color w:val="auto"/>
          <w:sz w:val="24"/>
          <w:highlight w:val="none"/>
        </w:rPr>
        <w:tab/>
      </w:r>
      <w:r>
        <w:rPr>
          <w:rFonts w:hint="eastAsia" w:ascii="宋体" w:hAnsi="宋体"/>
          <w:color w:val="auto"/>
          <w:sz w:val="24"/>
          <w:highlight w:val="none"/>
        </w:rPr>
        <w:t>21</w:t>
      </w:r>
    </w:p>
    <w:p w14:paraId="7E581244">
      <w:pPr>
        <w:pStyle w:val="11"/>
        <w:adjustRightInd w:val="0"/>
        <w:snapToGrid w:val="0"/>
        <w:spacing w:line="440" w:lineRule="exact"/>
        <w:ind w:left="0" w:leftChars="0" w:firstLine="480" w:firstLineChars="200"/>
        <w:jc w:val="left"/>
        <w:rPr>
          <w:rFonts w:ascii="宋体" w:hAnsi="宋体"/>
          <w:color w:val="auto"/>
          <w:sz w:val="24"/>
          <w:highlight w:val="none"/>
        </w:rPr>
      </w:pPr>
      <w:r>
        <w:rPr>
          <w:rFonts w:hint="eastAsia" w:ascii="宋体" w:hAnsi="宋体"/>
          <w:color w:val="auto"/>
          <w:sz w:val="24"/>
          <w:highlight w:val="none"/>
        </w:rPr>
        <w:t>九、国有资本经营预算支出决算情况说明</w:t>
      </w:r>
      <w:r>
        <w:rPr>
          <w:rFonts w:ascii="宋体" w:hAnsi="宋体"/>
          <w:color w:val="auto"/>
          <w:sz w:val="24"/>
          <w:highlight w:val="none"/>
        </w:rPr>
        <w:tab/>
      </w:r>
      <w:r>
        <w:rPr>
          <w:rFonts w:hint="eastAsia" w:ascii="宋体" w:hAnsi="宋体"/>
          <w:color w:val="auto"/>
          <w:sz w:val="24"/>
          <w:highlight w:val="none"/>
        </w:rPr>
        <w:t>21</w:t>
      </w:r>
    </w:p>
    <w:p w14:paraId="2A0B4FD6">
      <w:pPr>
        <w:pStyle w:val="11"/>
        <w:adjustRightInd w:val="0"/>
        <w:snapToGrid w:val="0"/>
        <w:spacing w:line="440" w:lineRule="exact"/>
        <w:ind w:left="0" w:leftChars="0" w:firstLine="480" w:firstLineChars="200"/>
        <w:jc w:val="left"/>
        <w:rPr>
          <w:rFonts w:ascii="宋体" w:hAnsi="宋体"/>
          <w:color w:val="auto"/>
          <w:sz w:val="24"/>
          <w:highlight w:val="none"/>
        </w:rPr>
      </w:pPr>
      <w:r>
        <w:rPr>
          <w:rStyle w:val="16"/>
          <w:rFonts w:hint="eastAsia" w:ascii="宋体" w:hAnsi="宋体"/>
          <w:color w:val="auto"/>
          <w:sz w:val="24"/>
          <w:highlight w:val="none"/>
          <w:u w:val="none"/>
        </w:rPr>
        <w:t>十、其他重要事项的情况说明</w:t>
      </w:r>
      <w:r>
        <w:rPr>
          <w:rFonts w:ascii="宋体" w:hAnsi="宋体"/>
          <w:color w:val="auto"/>
          <w:sz w:val="24"/>
          <w:highlight w:val="none"/>
        </w:rPr>
        <w:tab/>
      </w:r>
      <w:r>
        <w:rPr>
          <w:rFonts w:hint="eastAsia" w:ascii="宋体" w:hAnsi="宋体"/>
          <w:color w:val="auto"/>
          <w:sz w:val="24"/>
          <w:highlight w:val="none"/>
        </w:rPr>
        <w:t>21</w:t>
      </w:r>
    </w:p>
    <w:p w14:paraId="7CDFDF32">
      <w:pPr>
        <w:pStyle w:val="10"/>
        <w:adjustRightInd w:val="0"/>
        <w:snapToGrid w:val="0"/>
        <w:spacing w:before="0" w:line="440" w:lineRule="exact"/>
        <w:jc w:val="left"/>
        <w:rPr>
          <w:color w:val="auto"/>
          <w:sz w:val="24"/>
          <w:szCs w:val="24"/>
          <w:highlight w:val="none"/>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r>
        <w:rPr>
          <w:color w:val="auto"/>
          <w:sz w:val="24"/>
          <w:highlight w:val="none"/>
        </w:rPr>
        <w:tab/>
      </w:r>
      <w:r>
        <w:rPr>
          <w:rFonts w:hint="eastAsia"/>
          <w:color w:val="auto"/>
          <w:sz w:val="24"/>
          <w:highlight w:val="none"/>
        </w:rPr>
        <w:t>30</w:t>
      </w:r>
    </w:p>
    <w:p w14:paraId="086E3049">
      <w:pPr>
        <w:pStyle w:val="10"/>
        <w:adjustRightInd w:val="0"/>
        <w:snapToGrid w:val="0"/>
        <w:spacing w:before="0" w:line="440" w:lineRule="exact"/>
        <w:jc w:val="left"/>
        <w:rPr>
          <w:color w:val="auto"/>
          <w:sz w:val="24"/>
          <w:szCs w:val="24"/>
          <w:highlight w:val="none"/>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r>
        <w:rPr>
          <w:color w:val="auto"/>
          <w:sz w:val="24"/>
          <w:highlight w:val="none"/>
        </w:rPr>
        <w:tab/>
      </w:r>
      <w:r>
        <w:rPr>
          <w:rFonts w:hint="eastAsia"/>
          <w:color w:val="auto"/>
          <w:sz w:val="24"/>
          <w:highlight w:val="none"/>
        </w:rPr>
        <w:t>32</w:t>
      </w:r>
    </w:p>
    <w:p w14:paraId="082FD215">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附件</w:t>
      </w:r>
      <w:r>
        <w:rPr>
          <w:rFonts w:ascii="宋体" w:hAnsi="宋体"/>
          <w:color w:val="auto"/>
          <w:sz w:val="24"/>
          <w:highlight w:val="none"/>
        </w:rPr>
        <w:t>1</w:t>
      </w:r>
      <w:r>
        <w:rPr>
          <w:rFonts w:ascii="宋体" w:hAnsi="宋体"/>
          <w:color w:val="auto"/>
          <w:sz w:val="24"/>
          <w:highlight w:val="none"/>
        </w:rPr>
        <w:tab/>
      </w:r>
      <w:r>
        <w:rPr>
          <w:rFonts w:hint="eastAsia" w:ascii="宋体" w:hAnsi="宋体"/>
          <w:color w:val="auto"/>
          <w:sz w:val="24"/>
          <w:highlight w:val="none"/>
        </w:rPr>
        <w:t>32</w:t>
      </w:r>
    </w:p>
    <w:p w14:paraId="44BEE186">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附件2</w:t>
      </w:r>
      <w:r>
        <w:rPr>
          <w:rFonts w:ascii="宋体" w:hAnsi="宋体"/>
          <w:color w:val="auto"/>
          <w:sz w:val="24"/>
          <w:highlight w:val="none"/>
        </w:rPr>
        <w:tab/>
      </w:r>
      <w:r>
        <w:rPr>
          <w:rFonts w:hint="eastAsia" w:ascii="宋体" w:hAnsi="宋体"/>
          <w:color w:val="auto"/>
          <w:sz w:val="24"/>
          <w:highlight w:val="none"/>
        </w:rPr>
        <w:t>43</w:t>
      </w:r>
    </w:p>
    <w:p w14:paraId="109AE0C6">
      <w:pPr>
        <w:pStyle w:val="10"/>
        <w:adjustRightInd w:val="0"/>
        <w:snapToGrid w:val="0"/>
        <w:spacing w:before="0" w:line="440" w:lineRule="exact"/>
        <w:jc w:val="left"/>
        <w:rPr>
          <w:color w:val="auto"/>
          <w:sz w:val="24"/>
          <w:szCs w:val="24"/>
          <w:highlight w:val="none"/>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r>
        <w:rPr>
          <w:color w:val="auto"/>
          <w:sz w:val="24"/>
          <w:highlight w:val="none"/>
        </w:rPr>
        <w:tab/>
      </w:r>
      <w:r>
        <w:rPr>
          <w:rFonts w:hint="eastAsia"/>
          <w:color w:val="auto"/>
          <w:sz w:val="24"/>
          <w:highlight w:val="none"/>
        </w:rPr>
        <w:t>49</w:t>
      </w:r>
    </w:p>
    <w:p w14:paraId="704C8828">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一、收入支出决算总表</w:t>
      </w:r>
      <w:r>
        <w:rPr>
          <w:rFonts w:ascii="宋体" w:hAnsi="宋体"/>
          <w:color w:val="auto"/>
          <w:sz w:val="24"/>
          <w:highlight w:val="none"/>
        </w:rPr>
        <w:tab/>
      </w:r>
      <w:r>
        <w:rPr>
          <w:rFonts w:hint="eastAsia" w:ascii="宋体" w:hAnsi="宋体"/>
          <w:color w:val="auto"/>
          <w:sz w:val="24"/>
          <w:highlight w:val="none"/>
        </w:rPr>
        <w:t>49</w:t>
      </w:r>
    </w:p>
    <w:p w14:paraId="727BFD61">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二、收入决算表</w:t>
      </w:r>
      <w:r>
        <w:rPr>
          <w:rFonts w:ascii="宋体" w:hAnsi="宋体"/>
          <w:color w:val="auto"/>
          <w:sz w:val="24"/>
          <w:highlight w:val="none"/>
        </w:rPr>
        <w:tab/>
      </w:r>
      <w:r>
        <w:rPr>
          <w:rFonts w:hint="eastAsia" w:ascii="宋体" w:hAnsi="宋体"/>
          <w:color w:val="auto"/>
          <w:sz w:val="24"/>
          <w:highlight w:val="none"/>
        </w:rPr>
        <w:t>49</w:t>
      </w:r>
    </w:p>
    <w:p w14:paraId="1498324A">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三、支出决算表</w:t>
      </w:r>
      <w:r>
        <w:rPr>
          <w:rFonts w:ascii="宋体" w:hAnsi="宋体"/>
          <w:color w:val="auto"/>
          <w:sz w:val="24"/>
          <w:highlight w:val="none"/>
        </w:rPr>
        <w:tab/>
      </w:r>
      <w:r>
        <w:rPr>
          <w:rFonts w:hint="eastAsia" w:ascii="宋体" w:hAnsi="宋体"/>
          <w:color w:val="auto"/>
          <w:sz w:val="24"/>
          <w:highlight w:val="none"/>
        </w:rPr>
        <w:t>49</w:t>
      </w:r>
    </w:p>
    <w:p w14:paraId="4D1B683C">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四、财政拨款收入支出决算总表</w:t>
      </w:r>
      <w:r>
        <w:rPr>
          <w:rFonts w:ascii="宋体" w:hAnsi="宋体"/>
          <w:color w:val="auto"/>
          <w:sz w:val="24"/>
          <w:highlight w:val="none"/>
        </w:rPr>
        <w:tab/>
      </w:r>
      <w:r>
        <w:rPr>
          <w:rFonts w:hint="eastAsia" w:ascii="宋体" w:hAnsi="宋体"/>
          <w:color w:val="auto"/>
          <w:sz w:val="24"/>
          <w:highlight w:val="none"/>
        </w:rPr>
        <w:t>49</w:t>
      </w:r>
    </w:p>
    <w:p w14:paraId="4B98D94B">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五、财政拨款支出决算明细表</w:t>
      </w:r>
      <w:r>
        <w:rPr>
          <w:rFonts w:ascii="宋体" w:hAnsi="宋体"/>
          <w:color w:val="auto"/>
          <w:sz w:val="24"/>
          <w:highlight w:val="none"/>
        </w:rPr>
        <w:tab/>
      </w:r>
      <w:r>
        <w:rPr>
          <w:rFonts w:hint="eastAsia" w:ascii="宋体" w:hAnsi="宋体"/>
          <w:color w:val="auto"/>
          <w:sz w:val="24"/>
          <w:highlight w:val="none"/>
        </w:rPr>
        <w:t>49</w:t>
      </w:r>
    </w:p>
    <w:p w14:paraId="610484C1">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六、一般公共预算财政拨款支出决算表</w:t>
      </w:r>
      <w:r>
        <w:rPr>
          <w:rFonts w:ascii="宋体" w:hAnsi="宋体"/>
          <w:color w:val="auto"/>
          <w:sz w:val="24"/>
          <w:highlight w:val="none"/>
        </w:rPr>
        <w:tab/>
      </w:r>
      <w:r>
        <w:rPr>
          <w:rFonts w:hint="eastAsia" w:ascii="宋体" w:hAnsi="宋体"/>
          <w:color w:val="auto"/>
          <w:sz w:val="24"/>
          <w:highlight w:val="none"/>
        </w:rPr>
        <w:t>49</w:t>
      </w:r>
    </w:p>
    <w:p w14:paraId="2DD6685E">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七、一般公共预算财政拨款支出决算明细表</w:t>
      </w:r>
      <w:r>
        <w:rPr>
          <w:rFonts w:ascii="宋体" w:hAnsi="宋体"/>
          <w:color w:val="auto"/>
          <w:sz w:val="24"/>
          <w:highlight w:val="none"/>
        </w:rPr>
        <w:tab/>
      </w:r>
      <w:r>
        <w:rPr>
          <w:rFonts w:hint="eastAsia" w:ascii="宋体" w:hAnsi="宋体"/>
          <w:color w:val="auto"/>
          <w:sz w:val="24"/>
          <w:highlight w:val="none"/>
        </w:rPr>
        <w:t>49</w:t>
      </w:r>
    </w:p>
    <w:p w14:paraId="49553BA2">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八、一般公共预算财政拨款基本支出决算表</w:t>
      </w:r>
      <w:r>
        <w:rPr>
          <w:rFonts w:ascii="宋体" w:hAnsi="宋体"/>
          <w:color w:val="auto"/>
          <w:sz w:val="24"/>
          <w:highlight w:val="none"/>
        </w:rPr>
        <w:tab/>
      </w:r>
      <w:r>
        <w:rPr>
          <w:rFonts w:hint="eastAsia" w:ascii="宋体" w:hAnsi="宋体"/>
          <w:color w:val="auto"/>
          <w:sz w:val="24"/>
          <w:highlight w:val="none"/>
        </w:rPr>
        <w:t>49</w:t>
      </w:r>
    </w:p>
    <w:p w14:paraId="201ECD35">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九、一般公共预算财政拨款项目支出决算表</w:t>
      </w:r>
      <w:r>
        <w:rPr>
          <w:rFonts w:ascii="宋体" w:hAnsi="宋体"/>
          <w:color w:val="auto"/>
          <w:sz w:val="24"/>
          <w:highlight w:val="none"/>
        </w:rPr>
        <w:tab/>
      </w:r>
      <w:r>
        <w:rPr>
          <w:rFonts w:hint="eastAsia" w:ascii="宋体" w:hAnsi="宋体"/>
          <w:color w:val="auto"/>
          <w:sz w:val="24"/>
          <w:highlight w:val="none"/>
        </w:rPr>
        <w:t>49</w:t>
      </w:r>
    </w:p>
    <w:p w14:paraId="04B5CB46">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十、一般公共预算财政拨款“三公”经费支出决算表</w:t>
      </w:r>
      <w:r>
        <w:rPr>
          <w:rFonts w:ascii="宋体" w:hAnsi="宋体"/>
          <w:color w:val="auto"/>
          <w:sz w:val="24"/>
          <w:highlight w:val="none"/>
        </w:rPr>
        <w:tab/>
      </w:r>
      <w:r>
        <w:rPr>
          <w:rFonts w:hint="eastAsia" w:ascii="宋体" w:hAnsi="宋体"/>
          <w:color w:val="auto"/>
          <w:sz w:val="24"/>
          <w:highlight w:val="none"/>
        </w:rPr>
        <w:t>49</w:t>
      </w:r>
    </w:p>
    <w:p w14:paraId="24694AA1">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十一、政府性基金预算财政拨款收入支出决算表</w:t>
      </w:r>
      <w:r>
        <w:rPr>
          <w:rFonts w:ascii="宋体" w:hAnsi="宋体"/>
          <w:color w:val="auto"/>
          <w:sz w:val="24"/>
          <w:highlight w:val="none"/>
        </w:rPr>
        <w:tab/>
      </w:r>
      <w:r>
        <w:rPr>
          <w:rFonts w:hint="eastAsia" w:ascii="宋体" w:hAnsi="宋体"/>
          <w:color w:val="auto"/>
          <w:sz w:val="24"/>
          <w:highlight w:val="none"/>
        </w:rPr>
        <w:t>49</w:t>
      </w:r>
    </w:p>
    <w:p w14:paraId="3E9D5995">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十二、政府性基金预算财政拨款“三公”经费支出决算表</w:t>
      </w:r>
      <w:r>
        <w:rPr>
          <w:rFonts w:ascii="宋体" w:hAnsi="宋体"/>
          <w:color w:val="auto"/>
          <w:sz w:val="24"/>
          <w:highlight w:val="none"/>
        </w:rPr>
        <w:tab/>
      </w:r>
      <w:r>
        <w:rPr>
          <w:rFonts w:hint="eastAsia" w:ascii="宋体" w:hAnsi="宋体"/>
          <w:color w:val="auto"/>
          <w:sz w:val="24"/>
          <w:highlight w:val="none"/>
        </w:rPr>
        <w:t>49</w:t>
      </w:r>
    </w:p>
    <w:p w14:paraId="20A0D5BD">
      <w:pPr>
        <w:pStyle w:val="11"/>
        <w:adjustRightInd w:val="0"/>
        <w:snapToGrid w:val="0"/>
        <w:spacing w:line="440" w:lineRule="exact"/>
        <w:jc w:val="left"/>
        <w:rPr>
          <w:rFonts w:ascii="宋体" w:hAnsi="宋体"/>
          <w:color w:val="auto"/>
          <w:sz w:val="24"/>
          <w:highlight w:val="none"/>
        </w:rPr>
      </w:pPr>
      <w:r>
        <w:rPr>
          <w:rFonts w:hint="eastAsia" w:ascii="宋体" w:hAnsi="宋体"/>
          <w:color w:val="auto"/>
          <w:sz w:val="24"/>
          <w:highlight w:val="none"/>
        </w:rPr>
        <w:t>十三、国有资本经营预算支出决算表</w:t>
      </w:r>
      <w:r>
        <w:rPr>
          <w:rFonts w:ascii="宋体" w:hAnsi="宋体"/>
          <w:color w:val="auto"/>
          <w:sz w:val="24"/>
          <w:highlight w:val="none"/>
        </w:rPr>
        <w:tab/>
      </w:r>
      <w:r>
        <w:rPr>
          <w:rFonts w:hint="eastAsia" w:ascii="宋体" w:hAnsi="宋体"/>
          <w:color w:val="auto"/>
          <w:sz w:val="24"/>
          <w:highlight w:val="none"/>
        </w:rPr>
        <w:t>49</w:t>
      </w:r>
    </w:p>
    <w:p w14:paraId="4E34FE49">
      <w:pPr>
        <w:pStyle w:val="11"/>
        <w:adjustRightInd w:val="0"/>
        <w:snapToGrid w:val="0"/>
        <w:spacing w:line="440" w:lineRule="exact"/>
        <w:jc w:val="left"/>
        <w:rPr>
          <w:rFonts w:ascii="仿宋" w:hAnsi="仿宋" w:eastAsia="仿宋"/>
          <w:color w:val="auto"/>
          <w:sz w:val="24"/>
          <w:highlight w:val="none"/>
        </w:rPr>
      </w:pPr>
      <w:r>
        <w:rPr>
          <w:rFonts w:hint="eastAsia" w:ascii="宋体" w:hAnsi="宋体"/>
          <w:color w:val="auto"/>
          <w:sz w:val="24"/>
          <w:highlight w:val="none"/>
        </w:rPr>
        <w:t>十四、机关运行经费、资产占用及政府采购支出信息表</w:t>
      </w:r>
      <w:r>
        <w:rPr>
          <w:rFonts w:ascii="宋体" w:hAnsi="宋体"/>
          <w:color w:val="auto"/>
          <w:sz w:val="24"/>
          <w:highlight w:val="none"/>
        </w:rPr>
        <w:tab/>
      </w:r>
      <w:r>
        <w:rPr>
          <w:rFonts w:hint="eastAsia" w:ascii="宋体" w:hAnsi="宋体"/>
          <w:color w:val="auto"/>
          <w:sz w:val="24"/>
          <w:highlight w:val="none"/>
        </w:rPr>
        <w:t>49</w:t>
      </w:r>
    </w:p>
    <w:p w14:paraId="6A6044C7">
      <w:pPr>
        <w:pStyle w:val="11"/>
        <w:adjustRightInd w:val="0"/>
        <w:snapToGrid w:val="0"/>
        <w:spacing w:line="440" w:lineRule="exact"/>
        <w:jc w:val="left"/>
        <w:rPr>
          <w:rFonts w:ascii="仿宋" w:hAnsi="仿宋" w:eastAsia="仿宋"/>
          <w:color w:val="auto"/>
          <w:sz w:val="24"/>
          <w:highlight w:val="none"/>
        </w:rPr>
      </w:pPr>
    </w:p>
    <w:p w14:paraId="03A0250D">
      <w:pPr>
        <w:widowControl/>
        <w:adjustRightInd w:val="0"/>
        <w:snapToGrid w:val="0"/>
        <w:spacing w:line="440" w:lineRule="exact"/>
        <w:ind w:firstLine="1325" w:firstLineChars="550"/>
        <w:jc w:val="left"/>
        <w:rPr>
          <w:rFonts w:ascii="仿宋" w:hAnsi="仿宋" w:eastAsia="仿宋"/>
          <w:bCs/>
          <w:color w:val="auto"/>
          <w:kern w:val="44"/>
          <w:sz w:val="24"/>
          <w:highlight w:val="none"/>
        </w:rPr>
      </w:pPr>
      <w:bookmarkStart w:id="12" w:name="_Toc15377196"/>
      <w:bookmarkStart w:id="13" w:name="_Toc15396599"/>
      <w:r>
        <w:rPr>
          <w:rFonts w:ascii="仿宋" w:hAnsi="仿宋" w:eastAsia="仿宋"/>
          <w:b/>
          <w:color w:val="auto"/>
          <w:sz w:val="24"/>
          <w:highlight w:val="none"/>
        </w:rPr>
        <w:br w:type="page"/>
      </w:r>
    </w:p>
    <w:p w14:paraId="52177A52">
      <w:pPr>
        <w:pStyle w:val="2"/>
        <w:jc w:val="center"/>
        <w:rPr>
          <w:rStyle w:val="17"/>
          <w:rFonts w:ascii="黑体" w:hAnsi="黑体" w:eastAsia="黑体"/>
          <w:b/>
          <w:bCs w:val="0"/>
          <w:color w:val="auto"/>
          <w:highlight w:val="none"/>
        </w:rPr>
      </w:pPr>
      <w:r>
        <w:rPr>
          <w:rFonts w:hint="eastAsia" w:ascii="黑体" w:hAnsi="黑体" w:eastAsia="黑体"/>
          <w:b w:val="0"/>
          <w:color w:val="auto"/>
          <w:highlight w:val="none"/>
        </w:rPr>
        <w:t>第一部分</w:t>
      </w:r>
      <w:r>
        <w:rPr>
          <w:rFonts w:ascii="黑体" w:hAnsi="黑体" w:eastAsia="黑体"/>
          <w:b w:val="0"/>
          <w:color w:val="auto"/>
          <w:highlight w:val="none"/>
        </w:rPr>
        <w:t xml:space="preserve"> </w:t>
      </w:r>
      <w:r>
        <w:rPr>
          <w:rStyle w:val="17"/>
          <w:rFonts w:hint="eastAsia" w:ascii="黑体" w:hAnsi="黑体" w:eastAsia="黑体"/>
          <w:b w:val="0"/>
          <w:bCs w:val="0"/>
          <w:color w:val="auto"/>
          <w:highlight w:val="none"/>
        </w:rPr>
        <w:t>部门概况</w:t>
      </w:r>
      <w:bookmarkEnd w:id="12"/>
      <w:bookmarkEnd w:id="13"/>
    </w:p>
    <w:p w14:paraId="18BDF709">
      <w:pPr>
        <w:widowControl/>
        <w:jc w:val="left"/>
        <w:rPr>
          <w:rFonts w:ascii="黑体" w:eastAsia="黑体"/>
          <w:color w:val="auto"/>
          <w:sz w:val="32"/>
          <w:szCs w:val="32"/>
          <w:highlight w:val="none"/>
        </w:rPr>
      </w:pPr>
    </w:p>
    <w:p w14:paraId="0E353C78">
      <w:pPr>
        <w:pStyle w:val="3"/>
        <w:rPr>
          <w:rStyle w:val="18"/>
          <w:rFonts w:ascii="仿宋" w:hAnsi="仿宋" w:eastAsia="仿宋"/>
          <w:b w:val="0"/>
          <w:bCs w:val="0"/>
          <w:color w:val="auto"/>
          <w:highlight w:val="none"/>
        </w:rPr>
      </w:pPr>
      <w:bookmarkStart w:id="14" w:name="_Toc15377197"/>
      <w:bookmarkStart w:id="15" w:name="_Toc15396600"/>
      <w:r>
        <w:rPr>
          <w:rFonts w:hint="eastAsia" w:ascii="黑体" w:hAnsi="黑体" w:eastAsia="黑体"/>
          <w:b w:val="0"/>
          <w:color w:val="auto"/>
          <w:highlight w:val="none"/>
        </w:rPr>
        <w:t>一、基</w:t>
      </w:r>
      <w:r>
        <w:rPr>
          <w:rStyle w:val="18"/>
          <w:rFonts w:hint="eastAsia" w:ascii="黑体" w:hAnsi="黑体" w:eastAsia="黑体"/>
          <w:b w:val="0"/>
          <w:bCs w:val="0"/>
          <w:color w:val="auto"/>
          <w:highlight w:val="none"/>
        </w:rPr>
        <w:t>本职能及主要工作</w:t>
      </w:r>
      <w:bookmarkEnd w:id="14"/>
      <w:bookmarkEnd w:id="15"/>
    </w:p>
    <w:p w14:paraId="1BD7AEB6">
      <w:pPr>
        <w:pStyle w:val="5"/>
        <w:adjustRightInd w:val="0"/>
        <w:snapToGrid w:val="0"/>
        <w:spacing w:before="93" w:line="580" w:lineRule="exact"/>
        <w:ind w:firstLine="672" w:firstLineChars="210"/>
        <w:outlineLvl w:val="2"/>
        <w:rPr>
          <w:rFonts w:hint="eastAsia" w:hAnsi="仿宋"/>
          <w:bCs/>
          <w:color w:val="auto"/>
          <w:sz w:val="32"/>
          <w:szCs w:val="32"/>
          <w:highlight w:val="none"/>
        </w:rPr>
      </w:pPr>
      <w:r>
        <w:rPr>
          <w:rFonts w:hint="eastAsia" w:hAnsi="仿宋"/>
          <w:bCs/>
          <w:color w:val="auto"/>
          <w:sz w:val="32"/>
          <w:szCs w:val="32"/>
          <w:highlight w:val="none"/>
        </w:rPr>
        <w:t>（一）主要职能</w:t>
      </w:r>
    </w:p>
    <w:p w14:paraId="4401D841">
      <w:pPr>
        <w:pStyle w:val="5"/>
        <w:adjustRightInd w:val="0"/>
        <w:snapToGrid w:val="0"/>
        <w:spacing w:before="93" w:line="580" w:lineRule="exact"/>
        <w:ind w:firstLine="675" w:firstLineChars="210"/>
        <w:outlineLvl w:val="2"/>
        <w:rPr>
          <w:rFonts w:hint="eastAsia" w:hAnsi="仿宋" w:eastAsia="仿宋_GB2312"/>
          <w:b/>
          <w:bCs w:val="0"/>
          <w:color w:val="auto"/>
          <w:sz w:val="32"/>
          <w:szCs w:val="32"/>
          <w:highlight w:val="none"/>
          <w:lang w:val="en-US" w:eastAsia="zh-CN"/>
        </w:rPr>
      </w:pPr>
      <w:r>
        <w:rPr>
          <w:rFonts w:hint="eastAsia" w:hAnsi="仿宋"/>
          <w:b/>
          <w:bCs w:val="0"/>
          <w:color w:val="auto"/>
          <w:sz w:val="32"/>
          <w:szCs w:val="32"/>
          <w:highlight w:val="none"/>
          <w:lang w:val="en-US" w:eastAsia="zh-CN"/>
        </w:rPr>
        <w:t>办公室</w:t>
      </w:r>
    </w:p>
    <w:p w14:paraId="4F370A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bookmarkStart w:id="16" w:name="_Toc15377199"/>
      <w:bookmarkStart w:id="17" w:name="_Toc15378446"/>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1</w:t>
      </w:r>
      <w:r>
        <w:rPr>
          <w:rFonts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对县人民政府在贯彻执行国家宪法和有关法律、法规、方针、政策、县人大及其常委会的决议、决定、审议意见的情况进行检查，为县人大常委会进行法律监督和工作监督提供情况和依据。</w:t>
      </w:r>
    </w:p>
    <w:p w14:paraId="24F0A1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承办县人民代表大会、县人大常委会会议、主任会议和常委会党组会议有关事项的筹备与会务工作；协助机关党群组织工作；负责县人大常委会及其机关的各种文件、材料、表册的打印及上报下发工作；负责机关精神文明建设、党风廉政、爱国卫生、信访、绿化、档案管理、机要保密等达标；负责县人大常委会机关的“挂包帮”、精准脱贫等工作。</w:t>
      </w:r>
    </w:p>
    <w:p w14:paraId="72B715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负责常委会会议、主任会议有关决议、决定（草案）、审议意见、会议纪要、《公报》、工作总结、工作报告等材料的起草工作。</w:t>
      </w:r>
    </w:p>
    <w:p w14:paraId="138C0F5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pPr>
      <w:r>
        <w:rPr>
          <w:rFonts w:hint="default"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.负责常委会重大活动的具体组织和服务工作，协调各工作委员会的日常工作。</w:t>
      </w:r>
    </w:p>
    <w:p w14:paraId="308CE7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5.负责与县委、县人民政府、县政协、县人民法院、县人民检察院办公室的联系沟通以及与其他分工联系部门（单位）和分工联系乡镇的工作联系。</w:t>
      </w:r>
    </w:p>
    <w:p w14:paraId="1BFB36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对提请县人大常委会审议的人事任免案的有关情况进行调查了解，参与对准备提请县人大常委会任命前的干部考察；参与对有关部门工作评议和述职评议的评前调查；负责任免案交付表决前的各项具体准备工作。</w:t>
      </w:r>
    </w:p>
    <w:p w14:paraId="140725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负责人民群众来信来访的接待工作。</w:t>
      </w:r>
    </w:p>
    <w:p w14:paraId="6311F5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机关的财务管理、劳资工作，编制财务预算和决算；负责机关固定资产管理和办公用品的采购、保管、发放等工作；负责机关车辆的管理和调度工作；负责机关基本建设计划的立项、报批和实施；负责机关办公楼的管理；负责机关内部的治安、保卫、环境卫生、庭院绿化、节日慰问、住院病人慰问等行政事务工作；负责离退休人员的服务工作；负责上级人大常委会来县视察、指导、检查及省内外人大常委会来县考察学习的接待工作。</w:t>
      </w:r>
    </w:p>
    <w:p w14:paraId="68B13F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9</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承办全国人大常委会、省人大及其常委会交办的有关法律、法规（草案）征求意见稿的讨论修改，综合意见上报工作。</w:t>
      </w:r>
    </w:p>
    <w:p w14:paraId="21FA9E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10</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64839D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财政经济工作委员会主要工作职责</w:t>
      </w:r>
    </w:p>
    <w:p w14:paraId="358E16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对县人民政府有关财经方面的工作在贯彻执行国家宪法、法律、法规、方针、政策、县人大及其常委会的决议、决定、审议意见的执行情况进行检查，为县人大及其常委会进行法律监督和工作监督提供情况和依据。</w:t>
      </w:r>
    </w:p>
    <w:p w14:paraId="14700C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对县人大常委会听取和审议的财经方面的议题，进行会前调查，写出调查报告，并起草有关决议、决定（草案）。</w:t>
      </w:r>
    </w:p>
    <w:p w14:paraId="2C113B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督促、检查全县国民经济和社会发展计划、财政预决算等方面工作的落实情况。</w:t>
      </w:r>
    </w:p>
    <w:p w14:paraId="0CE11B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参加对口联系部门人事任免前调查或考察，参加对口联系部门工作评议的评前调查，并写出调查报告。</w:t>
      </w:r>
    </w:p>
    <w:p w14:paraId="361A5B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对口参加上级人大常委会及专门委员会对本县有关情况的调查，出席上级人大专门委员会召开的有关会议。</w:t>
      </w:r>
    </w:p>
    <w:p w14:paraId="6194E4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6．参加县人民政府及所属部门召开的财经方面的重要会议。</w:t>
      </w:r>
    </w:p>
    <w:p w14:paraId="6C9CC6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负责办理属于财经方面的人民群众来信来访。</w:t>
      </w:r>
    </w:p>
    <w:p w14:paraId="66F954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对全国人大常委会和省人大常委会交办的有关法律、法规征求意见稿，及时组织有关部门讨论、修改，并将意见综合上报。</w:t>
      </w:r>
    </w:p>
    <w:p w14:paraId="27D2F1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9</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0C5B79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法制工作委员会主要工作职责</w:t>
      </w:r>
    </w:p>
    <w:p w14:paraId="0D9045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对“一府两院”贯彻执行国家宪法和有关法律、法规、方针、政策、县人大及其常委会决议、决定、审议意见的情况进行检查、督促。</w:t>
      </w:r>
    </w:p>
    <w:p w14:paraId="732D3F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负责对我县社会主义民主法制建设中的重大问题进行调查研究，并将专题调查的情况向县人大常委会或主任会议报告并提出建议。负责县人大常委会机关的社会治安综合治理和普法教育工作的规划和总结。</w:t>
      </w:r>
    </w:p>
    <w:p w14:paraId="19B72B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对县人大常委会听取和审议的法制工作方面的议题，进行会前调查，写出调查报告，并起草有关决议、决定（草案）。</w:t>
      </w:r>
    </w:p>
    <w:p w14:paraId="65BF45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加强对口联系部门的联系，参加有关会议、了解情况、交换意见，参与联系部门人事任命前调查，参加对口联系部门工作评议和述职评议的评前调查，并写出调查报告。</w:t>
      </w:r>
    </w:p>
    <w:p w14:paraId="1B39C4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积极参与上级人大常委会和专门委员会来我县的视察和专项调查工作，出席上级人大有关专门委员会召开的会议。</w:t>
      </w:r>
    </w:p>
    <w:p w14:paraId="18498D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对全国人大常委会和省人大常委会交办的有关法律、法规草案征求意见稿，及时组织有关部门进行讨论修改，并将意见综合上报。</w:t>
      </w:r>
    </w:p>
    <w:p w14:paraId="22D29F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接待和受理公民对法制工作方面的控告、申诉、检举案件。</w:t>
      </w:r>
    </w:p>
    <w:p w14:paraId="179C88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75709F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教科文卫工作委员会主要工作职责</w:t>
      </w:r>
    </w:p>
    <w:p w14:paraId="1D3659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政府及所属部门有关教科文卫等方面的工作在贯彻执行国家宪法、法律、法规、方针政策、县人大及其常委会的决议、决定和审议意见的情况进行检查，为县人大常委会进行法律监督和工作监督提供情况和依据，初步审查县人大常委会交办的议案。</w:t>
      </w:r>
    </w:p>
    <w:p w14:paraId="7BDCCB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对县人大常委会和主任会议将要审议的有关教科文卫等方面的议题进行调查，写出调查报告，并起草有关决议、决定草案。</w:t>
      </w:r>
    </w:p>
    <w:p w14:paraId="4A064B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参与对口联系部门人事任免案审议前的调查或考察，参加对口联系部门工作评议和干部述职评议前的调查。</w:t>
      </w:r>
    </w:p>
    <w:p w14:paraId="11879E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根据工作需要，搞好与对应部门的联系，参加有关会议和活动，掌握了解情况。</w:t>
      </w:r>
    </w:p>
    <w:p w14:paraId="578DC0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参与上级人大常委会和专门委员会对我县有关教科文卫方面的检查、视察工作，出席上级人大常委会教科文卫工作委员会召开的有关会议。</w:t>
      </w:r>
    </w:p>
    <w:p w14:paraId="6C1ECF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承担全国、省人大常委会交办的法律、法规草案征求意见工作，积极参与立法活动。</w:t>
      </w:r>
    </w:p>
    <w:p w14:paraId="3098F4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负责接待、办理属于教科文卫工作方面的人民群众来信来访。</w:t>
      </w:r>
    </w:p>
    <w:p w14:paraId="2ED31C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完成县人大常委会及主任会议交办的其他工作。</w:t>
      </w:r>
    </w:p>
    <w:p w14:paraId="1397D5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农业民族工作委员会主要工作职责</w:t>
      </w:r>
    </w:p>
    <w:p w14:paraId="253A9C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政府及其所属部门有关农业、民族、宗教等方面的工作在贯彻执行国家法律、法规，方针、政策，县人大常委会的决议、决定和审议意见的情况进行调查，为县人大常委会进行法律监督和工作监督提供情况和依据。</w:t>
      </w:r>
    </w:p>
    <w:p w14:paraId="25A7B7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对县人大常委会和主任会议将要审议的涉及农业、民族、宗教方面的议题进行调查，写出调查报告，并起草有关决议、决定（草案）。</w:t>
      </w:r>
    </w:p>
    <w:p w14:paraId="4ADB1A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对县人民政府有关农业、民族、宗教方面的问题进行调查，写出专题调查报告，提出意见和建议。</w:t>
      </w:r>
    </w:p>
    <w:p w14:paraId="02587D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对口参加上级人大常委会和专门委员会对我县的调查和视察。出席上级人大常委会农业民族工作委员会召开的有关会议。</w:t>
      </w:r>
    </w:p>
    <w:p w14:paraId="24A2DA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参加县人民政府及所属部门召开的农业、民族、宗教等方面的重要会议，参与联系部门人事任免案审议前的调查或考察，参加对口联系部门的工作评议和干部述职评议的调查。</w:t>
      </w:r>
    </w:p>
    <w:p w14:paraId="5BFD3B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负责办理属于农业、民族、宗教等方面的人民群众的来信来访。</w:t>
      </w:r>
    </w:p>
    <w:p w14:paraId="644F95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对全国、省人大常委会交办的有关农业、民族、宗教方面的法律、法规草案征求意见稿，及时组织有关部门进行讨论修改，并将意见综合上报。</w:t>
      </w:r>
    </w:p>
    <w:p w14:paraId="1C7572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3FFA0C1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jc w:val="left"/>
        <w:textAlignment w:val="auto"/>
        <w:rPr>
          <w:color w:val="auto"/>
          <w:highlight w:val="none"/>
        </w:rPr>
      </w:pPr>
      <w:r>
        <w:rPr>
          <w:rFonts w:hint="eastAsia" w:ascii="方正仿宋简体" w:hAnsi="方正仿宋简体" w:eastAsia="方正仿宋简体" w:cs="方正仿宋简体"/>
          <w:i w:val="0"/>
          <w:caps w:val="0"/>
          <w:color w:val="auto"/>
          <w:spacing w:val="5"/>
          <w:kern w:val="0"/>
          <w:sz w:val="33"/>
          <w:szCs w:val="33"/>
          <w:highlight w:val="none"/>
          <w:shd w:val="clear" w:color="auto" w:fill="FFFFFF"/>
          <w:lang w:val="en-US" w:eastAsia="zh-CN" w:bidi="ar"/>
        </w:rPr>
        <w:t>   </w:t>
      </w: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人事代表联络工作委员会</w:t>
      </w:r>
    </w:p>
    <w:p w14:paraId="31EFC2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联系县人大代表，负责组织县人大代表的各种活动；受市人大及其常委会的委托，组织市人大代表的视察和其他活动。</w:t>
      </w:r>
    </w:p>
    <w:p w14:paraId="123E70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承办、催办、督办县人大代表的批评、建议和意见。</w:t>
      </w:r>
    </w:p>
    <w:p w14:paraId="7EB582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3AA6C7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城乡建设环境资源保护工作委员会</w:t>
      </w:r>
    </w:p>
    <w:p w14:paraId="760C67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向县人民代表大会或常委会提出县人大常委会城环资工委职权范围内的有关议案。</w:t>
      </w:r>
    </w:p>
    <w:p w14:paraId="061E5B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研究、审议县人民代表大会主席团或县人大常委会交付的有关城乡建设、环境资源保护等方面的议案，并按程序提出审议意见或报告。</w:t>
      </w:r>
    </w:p>
    <w:p w14:paraId="641622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审议、承办县人民代表大会主席团或县人大常委会交付的有关质询案，听取被质询机关对质询案的答复，并按程序提出办理意见或报告。</w:t>
      </w:r>
    </w:p>
    <w:p w14:paraId="2EB6C7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对县人民代表大会及其常委会授权的问题或事项进行调查，并提交调查报告。</w:t>
      </w:r>
    </w:p>
    <w:p w14:paraId="0669C3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根据县</w:t>
      </w:r>
      <w:r>
        <w:rPr>
          <w:rFonts w:hint="default" w:ascii="仿宋_GB2312" w:hAnsi="宋体" w:eastAsia="仿宋_GB2312" w:cs="仿宋_GB2312"/>
          <w:i w:val="0"/>
          <w:caps w:val="0"/>
          <w:color w:val="auto"/>
          <w:spacing w:val="0"/>
          <w:kern w:val="0"/>
          <w:sz w:val="32"/>
          <w:szCs w:val="32"/>
          <w:highlight w:val="none"/>
          <w:shd w:val="clear" w:color="auto" w:fill="FFFFFF"/>
          <w:lang w:val="en-US" w:eastAsia="zh-CN" w:bidi="ar"/>
        </w:rPr>
        <w:t>人大常委会会议</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确定的议题或围绕县人大常委会城环资工委工作职责，依法开展调查研究，或者受县人大常委会委托组织执法检查，并提出调查意见、建议或报告。</w:t>
      </w:r>
    </w:p>
    <w:p w14:paraId="550494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参与县人大常委会组织的视察、专项工作评议和执法检查。</w:t>
      </w:r>
    </w:p>
    <w:p w14:paraId="02671C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对全国人大常委会、省人大常委会、市人大常委会征求意见的相关法律、法规草案，组织有关部门和人员进行研究讨论，提出修改或建议意见，并按程序及时上报。</w:t>
      </w:r>
    </w:p>
    <w:p w14:paraId="355D3B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对人民来信来访提出的涉及县人大常委会城环资工委职责的有关申诉和意见，及时转交有关部门限期办理，并报告办理结果。</w:t>
      </w:r>
    </w:p>
    <w:p w14:paraId="5E37BB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9</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按照宪法和法律的规定，确保有关城乡建设、环境资源保护方面的法律法规、县人大及其常委会依法作出的有关决议、决定在我县得以贯彻执行。</w:t>
      </w:r>
    </w:p>
    <w:p w14:paraId="17EAAC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10</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2AC60CD0">
      <w:pPr>
        <w:pStyle w:val="5"/>
        <w:adjustRightInd w:val="0"/>
        <w:snapToGrid w:val="0"/>
        <w:spacing w:before="93" w:line="580" w:lineRule="exact"/>
        <w:ind w:firstLine="672" w:firstLineChars="210"/>
        <w:outlineLvl w:val="2"/>
        <w:rPr>
          <w:rFonts w:ascii="仿宋" w:hAnsi="仿宋" w:eastAsia="仿宋"/>
          <w:bCs/>
          <w:color w:val="auto"/>
          <w:sz w:val="32"/>
          <w:szCs w:val="32"/>
          <w:highlight w:val="none"/>
        </w:rPr>
      </w:pPr>
      <w:r>
        <w:rPr>
          <w:rFonts w:hint="eastAsia" w:ascii="仿宋" w:hAnsi="仿宋" w:eastAsia="仿宋"/>
          <w:bCs/>
          <w:color w:val="auto"/>
          <w:sz w:val="32"/>
          <w:szCs w:val="32"/>
          <w:highlight w:val="none"/>
        </w:rPr>
        <w:t>（二）</w:t>
      </w:r>
      <w:r>
        <w:rPr>
          <w:rFonts w:ascii="仿宋" w:hAnsi="仿宋" w:eastAsia="仿宋"/>
          <w:bCs/>
          <w:color w:val="auto"/>
          <w:sz w:val="32"/>
          <w:szCs w:val="32"/>
          <w:highlight w:val="none"/>
        </w:rPr>
        <w:t>2019</w:t>
      </w:r>
      <w:r>
        <w:rPr>
          <w:rFonts w:hint="eastAsia" w:ascii="仿宋" w:hAnsi="仿宋" w:eastAsia="仿宋"/>
          <w:bCs/>
          <w:color w:val="auto"/>
          <w:sz w:val="32"/>
          <w:szCs w:val="32"/>
          <w:highlight w:val="none"/>
        </w:rPr>
        <w:t>年重点工作完成情况。</w:t>
      </w:r>
      <w:bookmarkEnd w:id="16"/>
      <w:bookmarkEnd w:id="17"/>
    </w:p>
    <w:p w14:paraId="4BB3AA86">
      <w:pPr>
        <w:spacing w:line="580" w:lineRule="exact"/>
        <w:ind w:firstLine="663"/>
        <w:rPr>
          <w:rFonts w:eastAsia="方正仿宋_GBK"/>
          <w:color w:val="auto"/>
          <w:sz w:val="32"/>
          <w:szCs w:val="33"/>
          <w:highlight w:val="none"/>
        </w:rPr>
      </w:pPr>
      <w:r>
        <w:rPr>
          <w:rFonts w:hint="eastAsia" w:ascii="方正楷体_GBK" w:hAnsi="方正楷体_GBK" w:eastAsia="方正楷体_GBK" w:cs="方正楷体_GBK"/>
          <w:b/>
          <w:color w:val="auto"/>
          <w:sz w:val="32"/>
          <w:szCs w:val="33"/>
          <w:highlight w:val="none"/>
          <w:lang w:val="en-US" w:eastAsia="zh-CN"/>
        </w:rPr>
        <w:t>1.</w:t>
      </w:r>
      <w:r>
        <w:rPr>
          <w:rFonts w:hint="eastAsia" w:ascii="方正楷体_GBK" w:hAnsi="方正楷体_GBK" w:eastAsia="方正楷体_GBK" w:cs="方正楷体_GBK"/>
          <w:b/>
          <w:bCs/>
          <w:color w:val="auto"/>
          <w:sz w:val="32"/>
          <w:szCs w:val="33"/>
          <w:highlight w:val="none"/>
        </w:rPr>
        <w:t>加强经济运行监督</w:t>
      </w:r>
      <w:r>
        <w:rPr>
          <w:rFonts w:hint="eastAsia" w:ascii="方正楷体_GBK" w:hAnsi="方正楷体_GBK" w:eastAsia="方正楷体_GBK" w:cs="方正楷体_GBK"/>
          <w:b/>
          <w:color w:val="auto"/>
          <w:sz w:val="32"/>
          <w:szCs w:val="33"/>
          <w:highlight w:val="none"/>
        </w:rPr>
        <w:t>。</w:t>
      </w:r>
      <w:r>
        <w:rPr>
          <w:rFonts w:hint="eastAsia" w:eastAsia="方正仿宋_GBK"/>
          <w:color w:val="auto"/>
          <w:sz w:val="32"/>
          <w:szCs w:val="33"/>
          <w:highlight w:val="none"/>
        </w:rPr>
        <w:t>加强对预算管理的监督，听取审议财政收支预算调整、财政决算和债务情况报告，并根据需要批准预算调整和地方政府债务限额，督促县政府强化预算法定意识，不断提高预算管理水平；听取审议审计查出突出问题整改情况报告，推动审计查出突出问题整改落实；跟踪国民经济和社会发展“十三五”规划纲要实施中期评估报告审议意见落实情况，推动相关问题得到及时有效解决。听取审议国民经济和社会发展计划执行情况报告，促进经济社会高质量发展。</w:t>
      </w:r>
    </w:p>
    <w:p w14:paraId="36A5762D">
      <w:pPr>
        <w:spacing w:line="580" w:lineRule="exact"/>
        <w:ind w:firstLine="663"/>
        <w:rPr>
          <w:rFonts w:eastAsia="方正仿宋_GBK"/>
          <w:color w:val="auto"/>
          <w:sz w:val="32"/>
          <w:szCs w:val="33"/>
          <w:highlight w:val="none"/>
        </w:rPr>
      </w:pPr>
      <w:r>
        <w:rPr>
          <w:rFonts w:hint="eastAsia" w:ascii="方正楷体_GBK" w:hAnsi="方正楷体_GBK" w:eastAsia="方正楷体_GBK" w:cs="方正楷体_GBK"/>
          <w:b/>
          <w:color w:val="auto"/>
          <w:sz w:val="32"/>
          <w:szCs w:val="33"/>
          <w:highlight w:val="none"/>
          <w:lang w:val="en-US" w:eastAsia="zh-CN"/>
        </w:rPr>
        <w:t>2.</w:t>
      </w:r>
      <w:r>
        <w:rPr>
          <w:rFonts w:hint="eastAsia" w:ascii="方正楷体_GBK" w:hAnsi="方正楷体_GBK" w:eastAsia="方正楷体_GBK" w:cs="方正楷体_GBK"/>
          <w:b/>
          <w:color w:val="auto"/>
          <w:sz w:val="32"/>
          <w:szCs w:val="33"/>
          <w:highlight w:val="none"/>
        </w:rPr>
        <w:t>突出民生保障监督。</w:t>
      </w:r>
      <w:r>
        <w:rPr>
          <w:rFonts w:hint="eastAsia" w:eastAsia="方正仿宋_GBK"/>
          <w:color w:val="auto"/>
          <w:sz w:val="32"/>
          <w:szCs w:val="33"/>
          <w:highlight w:val="none"/>
        </w:rPr>
        <w:t>围绕群众关注的交通、环境、脱贫等重大民生工程，聚焦医疗、教育、就业、养老等民生事项，通过听取报告、专题调研、视察、督导检查等方式，促进汽车客运站等民生工程建设有序推进，征地拆迁安置房建设等民生事项相继落实，让人民群众更有幸福感、获得感。听取凉山籍自发搬迁贫困人口脱贫帮扶工作情况报告，针对贫困地区产业发展、住房建设、教育医疗等问题开展专题调研，组织发动全县五级人大代表助力脱贫攻坚，全县各级人大代表积极投身脱贫攻坚一线，共结对帮扶困难（贫困）群众1317户，走访慰问困难（贫困）群众450余人次，捐款11.91万元、捐物价值25.08万元，协调社会资金1294.14万元，争取财政资金8944.94万元，资助贫困学生243人，帮助困难（贫困）群众提供就业岗位374个，提出脱贫攻坚工作建议68条。常委会领导和机关干部坚持精准施策，扎实抓好联系贫困村和贫困户的帮扶工作，常委会领导联系的5个贫困村都按照相关要求完成了各项目标任务，机关牵头帮扶的麻陇乡黄草坪村93户520人实现脱贫，帮扶工作取得实效。听取深化医疗体制改革暨医疗集团工作开展情况报告，督促县政府加强工作专项督导，完善并落实监督管理机制，开展医德医风建设，稳步提升医疗服务管理水平；紧盯生态环境保护、重点项目建设中的难点热点，连续三年对小区物业管理、既有建筑电梯增设、县城区空气质量监测、森林资源保护等问题开展持续监督，督促各项问题得到有效解决；持续跟踪以农产品安全为重点的食品安全，把好人民群众“舌尖上安全”的第一道关口；高度关注民生工程，组织全国、省、市、县人大代表对全县重点民生工程推进情况进行视察，听取县政府关于我县2019年度重点工作和民生工程实施情况报告，从加大推进力度、提升质量管理、强化跟踪问效等方面提出意见建议，推动民生实事办实办好；坚持把接待和受理群众来信来访作为了解民生疾苦、维护群众权益的重要渠道，全年共受理群众来信来电</w:t>
      </w:r>
      <w:r>
        <w:rPr>
          <w:rFonts w:eastAsia="方正仿宋_GBK"/>
          <w:color w:val="auto"/>
          <w:sz w:val="32"/>
          <w:szCs w:val="33"/>
          <w:highlight w:val="none"/>
        </w:rPr>
        <w:t>31</w:t>
      </w:r>
      <w:r>
        <w:rPr>
          <w:rFonts w:hint="eastAsia" w:eastAsia="方正仿宋_GBK"/>
          <w:color w:val="auto"/>
          <w:sz w:val="32"/>
          <w:szCs w:val="33"/>
          <w:highlight w:val="none"/>
        </w:rPr>
        <w:t>件、来访</w:t>
      </w:r>
      <w:r>
        <w:rPr>
          <w:rFonts w:eastAsia="方正仿宋_GBK"/>
          <w:color w:val="auto"/>
          <w:sz w:val="32"/>
          <w:szCs w:val="33"/>
          <w:highlight w:val="none"/>
        </w:rPr>
        <w:t>40</w:t>
      </w:r>
      <w:r>
        <w:rPr>
          <w:rFonts w:hint="eastAsia" w:eastAsia="方正仿宋_GBK"/>
          <w:color w:val="auto"/>
          <w:sz w:val="32"/>
          <w:szCs w:val="33"/>
          <w:highlight w:val="none"/>
        </w:rPr>
        <w:t>余人（次），把群众信访反映集中的问题纳入监督议题，促进</w:t>
      </w:r>
      <w:r>
        <w:rPr>
          <w:rFonts w:eastAsia="方正仿宋_GBK"/>
          <w:color w:val="auto"/>
          <w:sz w:val="32"/>
          <w:szCs w:val="33"/>
          <w:highlight w:val="none"/>
        </w:rPr>
        <w:t>相关部门</w:t>
      </w:r>
      <w:r>
        <w:rPr>
          <w:rFonts w:hint="eastAsia" w:eastAsia="方正仿宋_GBK"/>
          <w:color w:val="auto"/>
          <w:sz w:val="32"/>
          <w:szCs w:val="33"/>
          <w:highlight w:val="none"/>
        </w:rPr>
        <w:t>依法解决群众合法诉求，践行了一心为民的“人大情怀”。</w:t>
      </w:r>
    </w:p>
    <w:p w14:paraId="3E6D31F3">
      <w:pPr>
        <w:spacing w:line="580" w:lineRule="exact"/>
        <w:ind w:firstLine="663"/>
        <w:rPr>
          <w:rFonts w:eastAsia="方正仿宋_GBK"/>
          <w:color w:val="auto"/>
          <w:sz w:val="32"/>
          <w:szCs w:val="33"/>
          <w:highlight w:val="none"/>
        </w:rPr>
      </w:pPr>
      <w:r>
        <w:rPr>
          <w:rFonts w:hint="eastAsia" w:ascii="方正楷体_GBK" w:hAnsi="方正楷体_GBK" w:eastAsia="方正楷体_GBK" w:cs="方正楷体_GBK"/>
          <w:b/>
          <w:color w:val="auto"/>
          <w:sz w:val="32"/>
          <w:szCs w:val="33"/>
          <w:highlight w:val="none"/>
          <w:lang w:val="en-US" w:eastAsia="zh-CN"/>
        </w:rPr>
        <w:t>3.</w:t>
      </w:r>
      <w:r>
        <w:rPr>
          <w:rFonts w:hint="eastAsia" w:ascii="方正楷体_GBK" w:hAnsi="方正楷体_GBK" w:eastAsia="方正楷体_GBK" w:cs="方正楷体_GBK"/>
          <w:b/>
          <w:color w:val="auto"/>
          <w:sz w:val="32"/>
          <w:szCs w:val="33"/>
          <w:highlight w:val="none"/>
        </w:rPr>
        <w:t>聚焦生态环保监督。</w:t>
      </w:r>
      <w:r>
        <w:rPr>
          <w:rFonts w:hint="eastAsia" w:eastAsia="方正仿宋_GBK"/>
          <w:color w:val="auto"/>
          <w:sz w:val="32"/>
          <w:szCs w:val="33"/>
          <w:highlight w:val="none"/>
        </w:rPr>
        <w:t>密切关注农村人居环境整治、水源地保护等环境资源保护工作，听取审议环境状况和环境保护目标完成情况报告，建议县政府继续加大大气污染整治力度，加快农村环保基础设施建设，推进环境质量持续改善。支持县政府严格落实中央和省市关于环保督察“回头看”的各项要求，督促反馈问题整改到位，坚决打好污染防治攻坚战。积极参与“河（湖）长制”实施，督促抓好水污染防治、水环境保护、水生态修复。持续跟踪督促《中华人民共和国森林法》执法检查问题整改和审议意见落实情况，组织部分组成人员通过明察暗访的方式对森林资源保护情况进行了“回头看”，力促我县《关于进一步加强森林资源保护管理的实施意见》得到贯彻落实，进一步增强群众的生态环境保护意识。</w:t>
      </w:r>
    </w:p>
    <w:p w14:paraId="34284A2E">
      <w:pPr>
        <w:spacing w:line="580" w:lineRule="exact"/>
        <w:ind w:firstLine="663"/>
        <w:rPr>
          <w:rFonts w:eastAsia="方正仿宋_GBK"/>
          <w:color w:val="auto"/>
          <w:sz w:val="32"/>
          <w:szCs w:val="33"/>
          <w:highlight w:val="none"/>
        </w:rPr>
      </w:pPr>
      <w:r>
        <w:rPr>
          <w:rFonts w:hint="eastAsia" w:ascii="方正楷体_GBK" w:hAnsi="方正楷体_GBK" w:eastAsia="方正楷体_GBK" w:cs="方正楷体_GBK"/>
          <w:b/>
          <w:color w:val="auto"/>
          <w:sz w:val="32"/>
          <w:szCs w:val="33"/>
          <w:highlight w:val="none"/>
          <w:lang w:val="en-US" w:eastAsia="zh-CN"/>
        </w:rPr>
        <w:t>4.</w:t>
      </w:r>
      <w:r>
        <w:rPr>
          <w:rFonts w:hint="eastAsia" w:ascii="方正楷体_GBK" w:hAnsi="方正楷体_GBK" w:eastAsia="方正楷体_GBK" w:cs="方正楷体_GBK"/>
          <w:b/>
          <w:color w:val="auto"/>
          <w:sz w:val="32"/>
          <w:szCs w:val="33"/>
          <w:highlight w:val="none"/>
        </w:rPr>
        <w:t>加强权力运行监督。</w:t>
      </w:r>
      <w:r>
        <w:rPr>
          <w:rFonts w:hint="eastAsia" w:eastAsia="方正仿宋_GBK"/>
          <w:color w:val="auto"/>
          <w:sz w:val="32"/>
          <w:szCs w:val="33"/>
          <w:highlight w:val="none"/>
        </w:rPr>
        <w:t>听取审议法治政府建设工作情况报告，提出推动建设职能科学、权责法定、执法严明、廉洁高效法治政府的意见建议。专题听取“两院”半年工作情况报告，促进“两院”立足自身职能，司法为民、公正司法，主动服务全县经济社会发展大局。对县政府户籍迁移，法治宣传，法院人民陪审员制度，检察院公益诉讼等工作开展专题调研，推动影响司法公正、阻碍司法机关执法、破坏司法形象等问题的解决。</w:t>
      </w:r>
    </w:p>
    <w:p w14:paraId="2765D3CE">
      <w:pPr>
        <w:spacing w:line="580" w:lineRule="exact"/>
        <w:ind w:firstLine="663"/>
        <w:rPr>
          <w:rFonts w:eastAsia="方正仿宋_GBK"/>
          <w:color w:val="auto"/>
          <w:sz w:val="32"/>
          <w:szCs w:val="33"/>
          <w:highlight w:val="none"/>
        </w:rPr>
      </w:pPr>
      <w:r>
        <w:rPr>
          <w:rFonts w:hint="eastAsia" w:ascii="方正楷体_GBK" w:hAnsi="方正楷体_GBK" w:eastAsia="方正楷体_GBK" w:cs="方正楷体_GBK"/>
          <w:b/>
          <w:color w:val="auto"/>
          <w:sz w:val="32"/>
          <w:szCs w:val="33"/>
          <w:highlight w:val="none"/>
          <w:lang w:val="en-US" w:eastAsia="zh-CN"/>
        </w:rPr>
        <w:t>5.</w:t>
      </w:r>
      <w:r>
        <w:rPr>
          <w:rFonts w:hint="eastAsia" w:ascii="方正楷体_GBK" w:hAnsi="方正楷体_GBK" w:eastAsia="方正楷体_GBK" w:cs="方正楷体_GBK"/>
          <w:b/>
          <w:color w:val="auto"/>
          <w:sz w:val="32"/>
          <w:szCs w:val="33"/>
          <w:highlight w:val="none"/>
        </w:rPr>
        <w:t>助力扫黑除恶专项斗争。</w:t>
      </w:r>
      <w:r>
        <w:rPr>
          <w:rFonts w:hint="eastAsia" w:eastAsia="方正仿宋_GBK"/>
          <w:color w:val="auto"/>
          <w:sz w:val="32"/>
          <w:szCs w:val="33"/>
          <w:highlight w:val="none"/>
        </w:rPr>
        <w:t>组织常委会组成人员专题调研扫黑除恶专项斗争工作开展情况，对重点行业、重点领域扫黑除恶工作进行督查，针对存在问题提出整改意见，形成督导报告，供县委决策参考。</w:t>
      </w:r>
    </w:p>
    <w:p w14:paraId="4D180F50">
      <w:pPr>
        <w:spacing w:line="580" w:lineRule="exact"/>
        <w:ind w:firstLine="663"/>
        <w:rPr>
          <w:rFonts w:eastAsia="方正仿宋_GBK"/>
          <w:color w:val="auto"/>
          <w:sz w:val="32"/>
          <w:szCs w:val="33"/>
          <w:highlight w:val="none"/>
        </w:rPr>
      </w:pPr>
      <w:r>
        <w:rPr>
          <w:rFonts w:hint="eastAsia" w:ascii="方正楷体_GBK" w:hAnsi="方正楷体_GBK" w:eastAsia="方正楷体_GBK" w:cs="方正楷体_GBK"/>
          <w:b/>
          <w:color w:val="auto"/>
          <w:sz w:val="32"/>
          <w:szCs w:val="33"/>
          <w:highlight w:val="none"/>
          <w:lang w:val="en-US" w:eastAsia="zh-CN"/>
        </w:rPr>
        <w:t>6.</w:t>
      </w:r>
      <w:r>
        <w:rPr>
          <w:rFonts w:hint="eastAsia" w:ascii="方正楷体_GBK" w:hAnsi="方正楷体_GBK" w:eastAsia="方正楷体_GBK" w:cs="方正楷体_GBK"/>
          <w:b/>
          <w:color w:val="auto"/>
          <w:sz w:val="32"/>
          <w:szCs w:val="33"/>
          <w:highlight w:val="none"/>
        </w:rPr>
        <w:t>推进法治宣传教育。</w:t>
      </w:r>
      <w:r>
        <w:rPr>
          <w:rFonts w:hint="eastAsia" w:eastAsia="方正仿宋_GBK"/>
          <w:color w:val="auto"/>
          <w:sz w:val="32"/>
          <w:szCs w:val="33"/>
          <w:highlight w:val="none"/>
        </w:rPr>
        <w:t>听取审议“七五”普法工作情况报告，督促</w:t>
      </w:r>
      <w:r>
        <w:rPr>
          <w:rFonts w:eastAsia="方正仿宋_GBK"/>
          <w:color w:val="auto"/>
          <w:sz w:val="32"/>
          <w:szCs w:val="33"/>
          <w:highlight w:val="none"/>
        </w:rPr>
        <w:t>县政府</w:t>
      </w:r>
      <w:r>
        <w:rPr>
          <w:rFonts w:hint="eastAsia" w:eastAsia="方正仿宋_GBK"/>
          <w:color w:val="auto"/>
          <w:sz w:val="32"/>
          <w:szCs w:val="33"/>
          <w:highlight w:val="none"/>
        </w:rPr>
        <w:t>贯彻</w:t>
      </w:r>
      <w:r>
        <w:rPr>
          <w:rFonts w:eastAsia="方正仿宋_GBK"/>
          <w:color w:val="auto"/>
          <w:sz w:val="32"/>
          <w:szCs w:val="33"/>
          <w:highlight w:val="none"/>
        </w:rPr>
        <w:t>执行</w:t>
      </w:r>
      <w:r>
        <w:rPr>
          <w:rFonts w:hint="eastAsia" w:eastAsia="方正仿宋_GBK"/>
          <w:color w:val="auto"/>
          <w:sz w:val="32"/>
          <w:szCs w:val="33"/>
          <w:highlight w:val="none"/>
        </w:rPr>
        <w:t>“七五”普法决议，深入开展“法律七进”和法治政府创建活动。常委会领导带头宣讲宪法，积极参与12.4“宪法宣传日”活动，促进</w:t>
      </w:r>
      <w:r>
        <w:rPr>
          <w:rFonts w:eastAsia="方正仿宋_GBK"/>
          <w:color w:val="auto"/>
          <w:sz w:val="32"/>
          <w:szCs w:val="33"/>
          <w:highlight w:val="none"/>
        </w:rPr>
        <w:t>全社会</w:t>
      </w:r>
      <w:r>
        <w:rPr>
          <w:rFonts w:hint="eastAsia" w:eastAsia="方正仿宋_GBK"/>
          <w:color w:val="auto"/>
          <w:sz w:val="32"/>
          <w:szCs w:val="33"/>
          <w:highlight w:val="none"/>
        </w:rPr>
        <w:t>形成学习宪法、遵守宪法、维护宪法的浓厚氛围。</w:t>
      </w:r>
    </w:p>
    <w:p w14:paraId="239F1E76">
      <w:pPr>
        <w:spacing w:line="580" w:lineRule="exact"/>
        <w:ind w:firstLine="663"/>
        <w:rPr>
          <w:rFonts w:eastAsia="方正仿宋_GBK"/>
          <w:color w:val="auto"/>
          <w:sz w:val="32"/>
          <w:szCs w:val="33"/>
          <w:highlight w:val="none"/>
        </w:rPr>
      </w:pPr>
      <w:r>
        <w:rPr>
          <w:rFonts w:hint="eastAsia" w:ascii="方正楷体_GBK" w:hAnsi="方正楷体_GBK" w:eastAsia="方正楷体_GBK" w:cs="方正楷体_GBK"/>
          <w:b/>
          <w:color w:val="auto"/>
          <w:sz w:val="32"/>
          <w:szCs w:val="33"/>
          <w:highlight w:val="none"/>
          <w:lang w:val="en-US" w:eastAsia="zh-CN"/>
        </w:rPr>
        <w:t>7.</w:t>
      </w:r>
      <w:r>
        <w:rPr>
          <w:rFonts w:hint="eastAsia" w:ascii="方正楷体_GBK" w:hAnsi="方正楷体_GBK" w:eastAsia="方正楷体_GBK" w:cs="方正楷体_GBK"/>
          <w:b/>
          <w:color w:val="auto"/>
          <w:sz w:val="32"/>
          <w:szCs w:val="33"/>
          <w:highlight w:val="none"/>
        </w:rPr>
        <w:t>加强规范性文件备案审查。</w:t>
      </w:r>
      <w:r>
        <w:rPr>
          <w:rFonts w:hint="eastAsia" w:eastAsia="方正仿宋_GBK"/>
          <w:color w:val="auto"/>
          <w:sz w:val="32"/>
          <w:szCs w:val="33"/>
          <w:highlight w:val="none"/>
        </w:rPr>
        <w:t>建立备案审查信息平台，对县政府和</w:t>
      </w:r>
      <w:r>
        <w:rPr>
          <w:rFonts w:eastAsia="方正仿宋_GBK"/>
          <w:color w:val="auto"/>
          <w:sz w:val="32"/>
          <w:szCs w:val="33"/>
          <w:highlight w:val="none"/>
        </w:rPr>
        <w:t>各乡镇人大主席团</w:t>
      </w:r>
      <w:r>
        <w:rPr>
          <w:rFonts w:hint="eastAsia" w:eastAsia="方正仿宋_GBK"/>
          <w:color w:val="auto"/>
          <w:sz w:val="32"/>
          <w:szCs w:val="33"/>
          <w:highlight w:val="none"/>
        </w:rPr>
        <w:t>报送的52件规范性文件进行合法性审查，有效保障规范性文件的合法合规。督促规范性文件清理，有效维护法制统一。</w:t>
      </w:r>
    </w:p>
    <w:p w14:paraId="402BF269">
      <w:pPr>
        <w:pStyle w:val="3"/>
        <w:spacing w:line="560" w:lineRule="exact"/>
        <w:rPr>
          <w:rStyle w:val="18"/>
          <w:b w:val="0"/>
          <w:bCs w:val="0"/>
          <w:color w:val="auto"/>
          <w:highlight w:val="none"/>
        </w:rPr>
      </w:pPr>
      <w:bookmarkStart w:id="18" w:name="_Toc15396601"/>
      <w:bookmarkStart w:id="19" w:name="_Toc15377200"/>
      <w:r>
        <w:rPr>
          <w:rFonts w:hint="eastAsia" w:ascii="黑体" w:eastAsia="黑体"/>
          <w:b w:val="0"/>
          <w:color w:val="auto"/>
          <w:highlight w:val="none"/>
        </w:rPr>
        <w:t>二、</w:t>
      </w:r>
      <w:r>
        <w:rPr>
          <w:rFonts w:hint="eastAsia" w:ascii="黑体" w:hAnsi="黑体" w:eastAsia="黑体"/>
          <w:b w:val="0"/>
          <w:color w:val="auto"/>
          <w:highlight w:val="none"/>
        </w:rPr>
        <w:t>机</w:t>
      </w:r>
      <w:r>
        <w:rPr>
          <w:rStyle w:val="18"/>
          <w:rFonts w:hint="eastAsia" w:ascii="黑体" w:hAnsi="黑体" w:eastAsia="黑体"/>
          <w:b w:val="0"/>
          <w:bCs w:val="0"/>
          <w:color w:val="auto"/>
          <w:highlight w:val="none"/>
        </w:rPr>
        <w:t>构设置</w:t>
      </w:r>
      <w:bookmarkEnd w:id="18"/>
      <w:bookmarkEnd w:id="19"/>
    </w:p>
    <w:p w14:paraId="070E8403">
      <w:pPr>
        <w:widowControl/>
        <w:adjustRightInd w:val="0"/>
        <w:snapToGrid w:val="0"/>
        <w:spacing w:line="600" w:lineRule="exact"/>
        <w:ind w:firstLine="640" w:firstLineChars="200"/>
        <w:jc w:val="left"/>
        <w:rPr>
          <w:rFonts w:ascii="仿宋_GB2312" w:hAnsi="仿宋" w:eastAsia="仿宋_GB2312"/>
          <w:bCs/>
          <w:color w:val="auto"/>
          <w:kern w:val="0"/>
          <w:sz w:val="32"/>
          <w:szCs w:val="32"/>
          <w:highlight w:val="none"/>
        </w:rPr>
      </w:pPr>
      <w:r>
        <w:rPr>
          <w:rFonts w:hint="eastAsia" w:ascii="仿宋_GB2312" w:hAnsi="仿宋" w:eastAsia="仿宋_GB2312"/>
          <w:bCs/>
          <w:color w:val="auto"/>
          <w:kern w:val="0"/>
          <w:sz w:val="32"/>
          <w:szCs w:val="32"/>
          <w:highlight w:val="none"/>
        </w:rPr>
        <w:t>米易县人大常委会</w:t>
      </w:r>
      <w:r>
        <w:rPr>
          <w:rFonts w:hint="eastAsia" w:ascii="仿宋_GB2312" w:hAnsi="仿宋" w:eastAsia="仿宋_GB2312"/>
          <w:bCs/>
          <w:color w:val="auto"/>
          <w:kern w:val="0"/>
          <w:sz w:val="32"/>
          <w:szCs w:val="32"/>
          <w:highlight w:val="none"/>
          <w:lang w:eastAsia="zh-CN"/>
        </w:rPr>
        <w:t>机关</w:t>
      </w:r>
      <w:r>
        <w:rPr>
          <w:rFonts w:hint="eastAsia" w:ascii="仿宋_GB2312" w:hAnsi="仿宋" w:eastAsia="仿宋_GB2312"/>
          <w:bCs/>
          <w:color w:val="auto"/>
          <w:kern w:val="0"/>
          <w:sz w:val="32"/>
          <w:szCs w:val="32"/>
          <w:highlight w:val="none"/>
        </w:rPr>
        <w:t>机构设置为一室、六委：即办公室、财政经济工作委员会、法制工作委员会、教育科学文化卫生工作委员会、农业民族工作委员会、人事代表联络工作委员会、城乡环境资源保护工作委员会。</w:t>
      </w:r>
    </w:p>
    <w:p w14:paraId="6F70B730">
      <w:pPr>
        <w:widowControl/>
        <w:adjustRightInd w:val="0"/>
        <w:snapToGrid w:val="0"/>
        <w:spacing w:line="600" w:lineRule="exact"/>
        <w:ind w:firstLine="640" w:firstLineChars="200"/>
        <w:jc w:val="left"/>
        <w:rPr>
          <w:rFonts w:ascii="仿宋_GB2312" w:hAnsi="仿宋" w:eastAsia="仿宋_GB2312"/>
          <w:bCs/>
          <w:color w:val="auto"/>
          <w:kern w:val="0"/>
          <w:sz w:val="32"/>
          <w:szCs w:val="32"/>
          <w:highlight w:val="none"/>
        </w:rPr>
      </w:pPr>
      <w:r>
        <w:rPr>
          <w:rFonts w:hint="eastAsia" w:ascii="仿宋_GB2312" w:eastAsia="仿宋_GB2312"/>
          <w:color w:val="auto"/>
          <w:sz w:val="32"/>
          <w:szCs w:val="32"/>
          <w:highlight w:val="none"/>
        </w:rPr>
        <w:t>无纳入2019年度部门决算编制范围的二级预算单位。</w:t>
      </w:r>
    </w:p>
    <w:p w14:paraId="6A775AB8">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14:paraId="65E8B242">
      <w:pPr>
        <w:pStyle w:val="2"/>
        <w:ind w:right="440"/>
        <w:jc w:val="right"/>
        <w:rPr>
          <w:rStyle w:val="17"/>
          <w:rFonts w:ascii="黑体" w:hAnsi="黑体" w:eastAsia="黑体"/>
          <w:b w:val="0"/>
          <w:bCs w:val="0"/>
          <w:color w:val="auto"/>
          <w:highlight w:val="none"/>
        </w:rPr>
      </w:pPr>
      <w:bookmarkStart w:id="20" w:name="_Toc15377204"/>
      <w:bookmarkStart w:id="21" w:name="_Toc15396602"/>
      <w:r>
        <w:rPr>
          <w:rFonts w:hint="eastAsia" w:ascii="黑体" w:hAnsi="黑体" w:eastAsia="黑体"/>
          <w:b w:val="0"/>
          <w:color w:val="auto"/>
          <w:highlight w:val="none"/>
        </w:rPr>
        <w:t>第二部分</w:t>
      </w:r>
      <w:r>
        <w:rPr>
          <w:rFonts w:ascii="黑体" w:hAnsi="黑体" w:eastAsia="黑体"/>
          <w:color w:val="auto"/>
          <w:highlight w:val="none"/>
        </w:rPr>
        <w:t xml:space="preserve"> </w:t>
      </w:r>
      <w:r>
        <w:rPr>
          <w:rStyle w:val="17"/>
          <w:rFonts w:ascii="黑体" w:hAnsi="黑体" w:eastAsia="黑体"/>
          <w:b w:val="0"/>
          <w:bCs w:val="0"/>
          <w:color w:val="auto"/>
          <w:highlight w:val="none"/>
        </w:rPr>
        <w:t>2019</w:t>
      </w:r>
      <w:r>
        <w:rPr>
          <w:rStyle w:val="17"/>
          <w:rFonts w:hint="eastAsia" w:ascii="黑体" w:hAnsi="黑体" w:eastAsia="黑体"/>
          <w:b w:val="0"/>
          <w:bCs w:val="0"/>
          <w:color w:val="auto"/>
          <w:highlight w:val="none"/>
        </w:rPr>
        <w:t>年度部门决算情况说明</w:t>
      </w:r>
      <w:bookmarkEnd w:id="20"/>
      <w:bookmarkEnd w:id="21"/>
    </w:p>
    <w:p w14:paraId="231B0801">
      <w:pPr>
        <w:rPr>
          <w:color w:val="auto"/>
          <w:highlight w:val="none"/>
        </w:rPr>
      </w:pPr>
    </w:p>
    <w:p w14:paraId="04AA989A">
      <w:pPr>
        <w:pStyle w:val="28"/>
        <w:numPr>
          <w:ilvl w:val="0"/>
          <w:numId w:val="1"/>
        </w:numPr>
        <w:spacing w:line="560" w:lineRule="exact"/>
        <w:ind w:firstLineChars="0"/>
        <w:outlineLvl w:val="1"/>
        <w:rPr>
          <w:rStyle w:val="18"/>
          <w:rFonts w:ascii="黑体" w:hAnsi="黑体" w:eastAsia="黑体"/>
          <w:b w:val="0"/>
          <w:color w:val="auto"/>
          <w:highlight w:val="none"/>
        </w:rPr>
      </w:pPr>
      <w:bookmarkStart w:id="22" w:name="_Toc15377205"/>
      <w:bookmarkStart w:id="23" w:name="_Toc15396603"/>
      <w:r>
        <w:rPr>
          <w:rFonts w:hint="eastAsia" w:ascii="黑体" w:hAnsi="黑体" w:eastAsia="黑体"/>
          <w:color w:val="auto"/>
          <w:sz w:val="32"/>
          <w:szCs w:val="32"/>
          <w:highlight w:val="none"/>
        </w:rPr>
        <w:t>收</w:t>
      </w:r>
      <w:r>
        <w:rPr>
          <w:rStyle w:val="18"/>
          <w:rFonts w:hint="eastAsia" w:ascii="黑体" w:hAnsi="黑体" w:eastAsia="黑体"/>
          <w:b w:val="0"/>
          <w:color w:val="auto"/>
          <w:highlight w:val="none"/>
        </w:rPr>
        <w:t>入支出决算总体情况说明</w:t>
      </w:r>
      <w:bookmarkEnd w:id="22"/>
      <w:bookmarkEnd w:id="23"/>
    </w:p>
    <w:p w14:paraId="03F79156">
      <w:pPr>
        <w:spacing w:line="60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2019年度收入总计952.53万元。与2018年876.57万元相比，收入总计增加75.96万元，增长8.7%。主要变动原因是</w:t>
      </w:r>
      <w:r>
        <w:rPr>
          <w:rFonts w:hint="eastAsia" w:ascii="仿宋_GB2312" w:hAnsi="仿宋" w:eastAsia="仿宋_GB2312" w:cs="仿宋"/>
          <w:color w:val="auto"/>
          <w:sz w:val="32"/>
          <w:szCs w:val="32"/>
          <w:highlight w:val="none"/>
        </w:rPr>
        <w:t>2019年人员经费支出增加。</w:t>
      </w:r>
    </w:p>
    <w:p w14:paraId="5063CBFF">
      <w:pPr>
        <w:spacing w:line="600" w:lineRule="exact"/>
        <w:ind w:firstLine="640" w:firstLineChars="200"/>
        <w:rPr>
          <w:rFonts w:ascii="仿宋_GB2312" w:hAnsi="仿宋" w:eastAsia="仿宋_GB2312"/>
          <w:color w:val="auto"/>
          <w:sz w:val="32"/>
          <w:szCs w:val="32"/>
          <w:highlight w:val="none"/>
        </w:rPr>
      </w:pPr>
      <w:r>
        <w:rPr>
          <w:rFonts w:ascii="仿宋_GB2312" w:eastAsia="仿宋_GB2312"/>
          <w:color w:val="auto"/>
          <w:sz w:val="32"/>
          <w:szCs w:val="32"/>
          <w:highlight w:val="none"/>
        </w:rPr>
        <w:pict>
          <v:shape id="_x0000_s1026" o:spid="_x0000_s1026" o:spt="75" type="#_x0000_t75" style="position:absolute;left:0pt;margin-left:84.7pt;margin-top:87.85pt;height:177.55pt;width:225.9pt;z-index:-251657216;mso-width-relative:page;mso-height-relative:page;" o:ole="t" filled="f" o:preferrelative="t" stroked="f" coordsize="21600,21600">
            <v:path/>
            <v:fill on="f" focussize="0,0"/>
            <v:stroke on="f" joinstyle="miter"/>
            <v:imagedata r:id="rId7" o:title=""/>
            <o:lock v:ext="edit" aspectratio="t"/>
          </v:shape>
          <o:OLEObject Type="Embed" ProgID="MSGraph.Chart.8" ShapeID="_x0000_s1026" DrawAspect="Content" ObjectID="_1468075725" r:id="rId6">
            <o:LockedField>false</o:LockedField>
          </o:OLEObject>
        </w:pict>
      </w:r>
      <w:r>
        <w:rPr>
          <w:rFonts w:hint="eastAsia" w:ascii="仿宋_GB2312" w:hAnsi="仿宋" w:eastAsia="仿宋_GB2312"/>
          <w:color w:val="auto"/>
          <w:sz w:val="32"/>
          <w:szCs w:val="32"/>
          <w:highlight w:val="none"/>
        </w:rPr>
        <w:t>2019年度支出总计950.86万元。与2018年876.57万元相比，支出总计各增加74.29万元，增长8.5%。主要变动原因是</w:t>
      </w:r>
      <w:r>
        <w:rPr>
          <w:rFonts w:hint="eastAsia" w:ascii="仿宋_GB2312" w:hAnsi="仿宋" w:eastAsia="仿宋_GB2312" w:cs="仿宋"/>
          <w:color w:val="auto"/>
          <w:sz w:val="32"/>
          <w:szCs w:val="32"/>
          <w:highlight w:val="none"/>
        </w:rPr>
        <w:t>2019年人员经费支出增加。</w:t>
      </w:r>
    </w:p>
    <w:p w14:paraId="4568E9C4">
      <w:pPr>
        <w:spacing w:line="600" w:lineRule="exact"/>
        <w:ind w:firstLine="640" w:firstLineChars="200"/>
        <w:jc w:val="left"/>
        <w:rPr>
          <w:rFonts w:ascii="仿宋_GB2312" w:eastAsia="仿宋_GB2312"/>
          <w:color w:val="auto"/>
          <w:sz w:val="32"/>
          <w:szCs w:val="32"/>
          <w:highlight w:val="none"/>
        </w:rPr>
      </w:pPr>
    </w:p>
    <w:p w14:paraId="33C58D18">
      <w:pPr>
        <w:spacing w:line="600" w:lineRule="exact"/>
        <w:ind w:firstLine="640" w:firstLineChars="200"/>
        <w:jc w:val="left"/>
        <w:rPr>
          <w:rFonts w:ascii="仿宋_GB2312" w:eastAsia="仿宋_GB2312"/>
          <w:color w:val="auto"/>
          <w:sz w:val="32"/>
          <w:szCs w:val="32"/>
          <w:highlight w:val="none"/>
        </w:rPr>
      </w:pPr>
    </w:p>
    <w:p w14:paraId="6EDB726E">
      <w:pPr>
        <w:spacing w:line="600" w:lineRule="exact"/>
        <w:ind w:firstLine="640" w:firstLineChars="200"/>
        <w:jc w:val="left"/>
        <w:rPr>
          <w:rFonts w:ascii="仿宋_GB2312" w:eastAsia="仿宋_GB2312"/>
          <w:color w:val="auto"/>
          <w:sz w:val="32"/>
          <w:szCs w:val="32"/>
          <w:highlight w:val="none"/>
        </w:rPr>
      </w:pPr>
    </w:p>
    <w:p w14:paraId="3CF31D10">
      <w:pPr>
        <w:tabs>
          <w:tab w:val="left" w:pos="3206"/>
        </w:tabs>
        <w:spacing w:line="600" w:lineRule="exact"/>
        <w:ind w:firstLine="640" w:firstLineChars="200"/>
        <w:jc w:val="left"/>
        <w:rPr>
          <w:rFonts w:ascii="仿宋_GB2312" w:eastAsia="仿宋_GB2312"/>
          <w:color w:val="auto"/>
          <w:sz w:val="32"/>
          <w:szCs w:val="32"/>
          <w:highlight w:val="none"/>
        </w:rPr>
      </w:pPr>
      <w:r>
        <w:rPr>
          <w:rFonts w:ascii="仿宋_GB2312" w:eastAsia="仿宋_GB2312"/>
          <w:color w:val="auto"/>
          <w:sz w:val="32"/>
          <w:szCs w:val="32"/>
          <w:highlight w:val="none"/>
        </w:rPr>
        <w:tab/>
      </w:r>
    </w:p>
    <w:p w14:paraId="30164619">
      <w:pPr>
        <w:spacing w:line="600" w:lineRule="exact"/>
        <w:jc w:val="left"/>
        <w:rPr>
          <w:rFonts w:ascii="仿宋_GB2312" w:eastAsia="仿宋_GB2312"/>
          <w:color w:val="auto"/>
          <w:sz w:val="32"/>
          <w:szCs w:val="32"/>
          <w:highlight w:val="none"/>
        </w:rPr>
      </w:pPr>
    </w:p>
    <w:p w14:paraId="170E1DD2">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14:paraId="4506F7EB">
      <w:pPr>
        <w:pStyle w:val="28"/>
        <w:numPr>
          <w:ilvl w:val="0"/>
          <w:numId w:val="1"/>
        </w:numPr>
        <w:spacing w:line="600" w:lineRule="exact"/>
        <w:ind w:firstLineChars="0"/>
        <w:outlineLvl w:val="1"/>
        <w:rPr>
          <w:rStyle w:val="18"/>
          <w:rFonts w:ascii="黑体" w:hAnsi="黑体" w:eastAsia="黑体"/>
          <w:b w:val="0"/>
          <w:color w:val="auto"/>
          <w:highlight w:val="none"/>
        </w:rPr>
      </w:pPr>
      <w:bookmarkStart w:id="24" w:name="_Toc15396604"/>
      <w:bookmarkStart w:id="25" w:name="_Toc15377206"/>
      <w:r>
        <w:rPr>
          <w:rFonts w:hint="eastAsia" w:ascii="黑体" w:hAnsi="黑体" w:eastAsia="黑体"/>
          <w:color w:val="auto"/>
          <w:sz w:val="32"/>
          <w:szCs w:val="32"/>
          <w:highlight w:val="none"/>
        </w:rPr>
        <w:t>收</w:t>
      </w:r>
      <w:r>
        <w:rPr>
          <w:rStyle w:val="18"/>
          <w:rFonts w:hint="eastAsia" w:ascii="黑体" w:hAnsi="黑体" w:eastAsia="黑体"/>
          <w:b w:val="0"/>
          <w:color w:val="auto"/>
          <w:highlight w:val="none"/>
        </w:rPr>
        <w:t>入决算情况说明</w:t>
      </w:r>
      <w:bookmarkEnd w:id="24"/>
      <w:bookmarkEnd w:id="25"/>
    </w:p>
    <w:p w14:paraId="082110A2">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2019</w:t>
      </w:r>
      <w:r>
        <w:rPr>
          <w:rFonts w:hint="eastAsia" w:ascii="仿宋" w:hAnsi="仿宋" w:eastAsia="仿宋"/>
          <w:color w:val="auto"/>
          <w:sz w:val="32"/>
          <w:szCs w:val="32"/>
          <w:highlight w:val="none"/>
        </w:rPr>
        <w:t>年本年收入合计952.53万元，其中：一般公共预算财政拨款收入952.53万元，占100.0</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57D30173">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pict>
          <v:shape id="_x0000_s1027" o:spid="_x0000_s1027" o:spt="75" type="#_x0000_t75" style="position:absolute;left:0pt;margin-left:32.05pt;margin-top:8.15pt;height:201pt;width:353pt;z-index:-251656192;mso-width-relative:page;mso-height-relative:page;" o:ole="t" filled="f" o:preferrelative="t" stroked="f" coordsize="21600,21600">
            <v:path/>
            <v:fill on="f" focussize="0,0"/>
            <v:stroke on="f" joinstyle="miter"/>
            <v:imagedata r:id="rId9" o:title=""/>
            <o:lock v:ext="edit" aspectratio="t"/>
          </v:shape>
          <o:OLEObject Type="Embed" ProgID="MSGraph.Chart.8" ShapeID="_x0000_s1027" DrawAspect="Content" ObjectID="_1468075726" r:id="rId8">
            <o:LockedField>false</o:LockedField>
          </o:OLEObject>
        </w:pict>
      </w:r>
    </w:p>
    <w:p w14:paraId="3A8041D8">
      <w:pPr>
        <w:spacing w:line="600" w:lineRule="exact"/>
        <w:ind w:firstLine="640" w:firstLineChars="200"/>
        <w:outlineLvl w:val="1"/>
        <w:rPr>
          <w:rFonts w:ascii="仿宋" w:hAnsi="仿宋" w:eastAsia="仿宋"/>
          <w:color w:val="auto"/>
          <w:sz w:val="32"/>
          <w:szCs w:val="32"/>
          <w:highlight w:val="none"/>
        </w:rPr>
      </w:pPr>
    </w:p>
    <w:p w14:paraId="75A8DFD7">
      <w:pPr>
        <w:tabs>
          <w:tab w:val="left" w:pos="3080"/>
          <w:tab w:val="left" w:pos="3343"/>
        </w:tabs>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ab/>
      </w:r>
      <w:r>
        <w:rPr>
          <w:rFonts w:ascii="仿宋" w:hAnsi="仿宋" w:eastAsia="仿宋"/>
          <w:color w:val="auto"/>
          <w:sz w:val="32"/>
          <w:szCs w:val="32"/>
          <w:highlight w:val="none"/>
        </w:rPr>
        <w:tab/>
      </w:r>
    </w:p>
    <w:p w14:paraId="050E506B">
      <w:pPr>
        <w:spacing w:line="600" w:lineRule="exact"/>
        <w:ind w:firstLine="640" w:firstLineChars="200"/>
        <w:outlineLvl w:val="1"/>
        <w:rPr>
          <w:rFonts w:ascii="仿宋" w:hAnsi="仿宋" w:eastAsia="仿宋"/>
          <w:color w:val="auto"/>
          <w:sz w:val="32"/>
          <w:szCs w:val="32"/>
          <w:highlight w:val="none"/>
        </w:rPr>
      </w:pPr>
    </w:p>
    <w:p w14:paraId="4A1C6B0E">
      <w:pPr>
        <w:spacing w:line="600" w:lineRule="exact"/>
        <w:ind w:firstLine="640" w:firstLineChars="200"/>
        <w:outlineLvl w:val="1"/>
        <w:rPr>
          <w:rFonts w:ascii="仿宋" w:hAnsi="仿宋" w:eastAsia="仿宋"/>
          <w:color w:val="auto"/>
          <w:sz w:val="32"/>
          <w:szCs w:val="32"/>
          <w:highlight w:val="none"/>
        </w:rPr>
      </w:pPr>
    </w:p>
    <w:p w14:paraId="1D891093">
      <w:pPr>
        <w:spacing w:line="600" w:lineRule="exact"/>
        <w:ind w:firstLine="640" w:firstLineChars="200"/>
        <w:outlineLvl w:val="1"/>
        <w:rPr>
          <w:rFonts w:ascii="仿宋" w:hAnsi="仿宋" w:eastAsia="仿宋"/>
          <w:color w:val="auto"/>
          <w:sz w:val="32"/>
          <w:szCs w:val="32"/>
          <w:highlight w:val="none"/>
        </w:rPr>
      </w:pPr>
    </w:p>
    <w:p w14:paraId="6CE1229B">
      <w:pPr>
        <w:spacing w:line="600" w:lineRule="exact"/>
        <w:ind w:firstLine="640" w:firstLineChars="200"/>
        <w:outlineLvl w:val="1"/>
        <w:rPr>
          <w:rFonts w:ascii="仿宋" w:hAnsi="仿宋" w:eastAsia="仿宋"/>
          <w:color w:val="auto"/>
          <w:sz w:val="32"/>
          <w:szCs w:val="32"/>
          <w:highlight w:val="none"/>
        </w:rPr>
      </w:pPr>
    </w:p>
    <w:p w14:paraId="6FF715BC">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2</w:t>
      </w:r>
      <w:r>
        <w:rPr>
          <w:rFonts w:hint="eastAsia" w:ascii="仿宋" w:hAnsi="仿宋" w:eastAsia="仿宋"/>
          <w:color w:val="auto"/>
          <w:sz w:val="32"/>
          <w:szCs w:val="32"/>
          <w:highlight w:val="none"/>
        </w:rPr>
        <w:t>：收入决算结构图）（饼状图）</w:t>
      </w:r>
    </w:p>
    <w:p w14:paraId="4ED43749">
      <w:pPr>
        <w:pStyle w:val="28"/>
        <w:numPr>
          <w:ilvl w:val="0"/>
          <w:numId w:val="1"/>
        </w:numPr>
        <w:spacing w:line="600" w:lineRule="exact"/>
        <w:ind w:firstLineChars="0"/>
        <w:outlineLvl w:val="1"/>
        <w:rPr>
          <w:rStyle w:val="18"/>
          <w:rFonts w:ascii="黑体" w:hAnsi="黑体" w:eastAsia="黑体"/>
          <w:b w:val="0"/>
          <w:color w:val="auto"/>
          <w:highlight w:val="none"/>
        </w:rPr>
      </w:pPr>
      <w:bookmarkStart w:id="26" w:name="_Toc15377207"/>
      <w:bookmarkStart w:id="27" w:name="_Toc15396605"/>
      <w:r>
        <w:rPr>
          <w:rFonts w:hint="eastAsia" w:ascii="黑体" w:hAnsi="黑体" w:eastAsia="黑体"/>
          <w:color w:val="auto"/>
          <w:sz w:val="32"/>
          <w:szCs w:val="32"/>
          <w:highlight w:val="none"/>
        </w:rPr>
        <w:t>支</w:t>
      </w:r>
      <w:r>
        <w:rPr>
          <w:rStyle w:val="18"/>
          <w:rFonts w:hint="eastAsia" w:ascii="黑体" w:hAnsi="黑体" w:eastAsia="黑体"/>
          <w:b w:val="0"/>
          <w:color w:val="auto"/>
          <w:highlight w:val="none"/>
        </w:rPr>
        <w:t>出决算情况说明</w:t>
      </w:r>
      <w:bookmarkEnd w:id="26"/>
      <w:bookmarkEnd w:id="27"/>
    </w:p>
    <w:p w14:paraId="150AE520">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2019</w:t>
      </w:r>
      <w:r>
        <w:rPr>
          <w:rFonts w:hint="eastAsia" w:ascii="仿宋" w:hAnsi="仿宋" w:eastAsia="仿宋"/>
          <w:color w:val="auto"/>
          <w:sz w:val="32"/>
          <w:szCs w:val="32"/>
          <w:highlight w:val="none"/>
        </w:rPr>
        <w:t>年本年支出合计950.86万元，其中：基本支出742.36万元，占78.1</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；项目支出208.50万元，占21.9</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5F4C2418">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pict>
          <v:shape id="_x0000_s1028" o:spid="_x0000_s1028" o:spt="75" type="#_x0000_t75" style="position:absolute;left:0pt;margin-left:55.65pt;margin-top:7.1pt;height:165.15pt;width:316.75pt;z-index:-251655168;mso-width-relative:page;mso-height-relative:page;" o:ole="t" filled="f" o:preferrelative="t" stroked="t" coordsize="21600,21600">
            <v:path/>
            <v:fill on="f" focussize="0,0"/>
            <v:stroke weight="0.5pt" joinstyle="miter"/>
            <v:imagedata r:id="rId11" o:title=""/>
            <o:lock v:ext="edit" aspectratio="t"/>
          </v:shape>
          <o:OLEObject Type="Embed" ProgID="MSGraph.Chart.8" ShapeID="_x0000_s1028" DrawAspect="Content" ObjectID="_1468075727" r:id="rId10">
            <o:LockedField>false</o:LockedField>
          </o:OLEObject>
        </w:pict>
      </w:r>
    </w:p>
    <w:p w14:paraId="27911792">
      <w:pPr>
        <w:spacing w:line="600" w:lineRule="exact"/>
        <w:ind w:firstLine="640" w:firstLineChars="200"/>
        <w:outlineLvl w:val="1"/>
        <w:rPr>
          <w:rFonts w:ascii="仿宋" w:hAnsi="仿宋" w:eastAsia="仿宋"/>
          <w:color w:val="auto"/>
          <w:sz w:val="32"/>
          <w:szCs w:val="32"/>
          <w:highlight w:val="none"/>
        </w:rPr>
      </w:pPr>
    </w:p>
    <w:p w14:paraId="0C9AAD90">
      <w:pPr>
        <w:spacing w:line="600" w:lineRule="exact"/>
        <w:ind w:firstLine="640" w:firstLineChars="200"/>
        <w:outlineLvl w:val="1"/>
        <w:rPr>
          <w:rFonts w:ascii="仿宋" w:hAnsi="仿宋" w:eastAsia="仿宋"/>
          <w:color w:val="auto"/>
          <w:sz w:val="32"/>
          <w:szCs w:val="32"/>
          <w:highlight w:val="none"/>
        </w:rPr>
      </w:pPr>
    </w:p>
    <w:p w14:paraId="7B535C0B">
      <w:pPr>
        <w:spacing w:line="600" w:lineRule="exact"/>
        <w:ind w:firstLine="640" w:firstLineChars="200"/>
        <w:outlineLvl w:val="1"/>
        <w:rPr>
          <w:rFonts w:ascii="仿宋" w:hAnsi="仿宋" w:eastAsia="仿宋"/>
          <w:color w:val="auto"/>
          <w:sz w:val="32"/>
          <w:szCs w:val="32"/>
          <w:highlight w:val="none"/>
        </w:rPr>
      </w:pPr>
    </w:p>
    <w:p w14:paraId="1901EA62">
      <w:pPr>
        <w:spacing w:line="600" w:lineRule="exact"/>
        <w:ind w:firstLine="640" w:firstLineChars="200"/>
        <w:outlineLvl w:val="1"/>
        <w:rPr>
          <w:rFonts w:ascii="仿宋" w:hAnsi="仿宋" w:eastAsia="仿宋"/>
          <w:color w:val="auto"/>
          <w:sz w:val="32"/>
          <w:szCs w:val="32"/>
          <w:highlight w:val="none"/>
        </w:rPr>
      </w:pPr>
    </w:p>
    <w:p w14:paraId="12E34E24">
      <w:pPr>
        <w:spacing w:line="600" w:lineRule="exact"/>
        <w:ind w:firstLine="640" w:firstLineChars="200"/>
        <w:outlineLvl w:val="1"/>
        <w:rPr>
          <w:rFonts w:ascii="仿宋" w:hAnsi="仿宋" w:eastAsia="仿宋"/>
          <w:color w:val="auto"/>
          <w:sz w:val="32"/>
          <w:szCs w:val="32"/>
          <w:highlight w:val="none"/>
        </w:rPr>
      </w:pPr>
    </w:p>
    <w:p w14:paraId="0735C7EE">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3</w:t>
      </w:r>
      <w:r>
        <w:rPr>
          <w:rFonts w:hint="eastAsia" w:ascii="仿宋" w:hAnsi="仿宋" w:eastAsia="仿宋"/>
          <w:color w:val="auto"/>
          <w:sz w:val="32"/>
          <w:szCs w:val="32"/>
          <w:highlight w:val="none"/>
        </w:rPr>
        <w:t>：支出决算结构图）（饼状图）</w:t>
      </w:r>
    </w:p>
    <w:p w14:paraId="09B2A54F">
      <w:pPr>
        <w:spacing w:line="600" w:lineRule="exact"/>
        <w:ind w:firstLine="640" w:firstLineChars="200"/>
        <w:outlineLvl w:val="1"/>
        <w:rPr>
          <w:rStyle w:val="18"/>
          <w:rFonts w:ascii="黑体" w:hAnsi="黑体" w:eastAsia="黑体"/>
          <w:b w:val="0"/>
          <w:color w:val="auto"/>
          <w:highlight w:val="none"/>
        </w:rPr>
      </w:pPr>
      <w:bookmarkStart w:id="28" w:name="_Toc15396606"/>
      <w:bookmarkStart w:id="29" w:name="_Toc15377208"/>
      <w:r>
        <w:rPr>
          <w:rFonts w:hint="eastAsia" w:ascii="黑体" w:hAnsi="黑体" w:eastAsia="黑体"/>
          <w:color w:val="auto"/>
          <w:sz w:val="32"/>
          <w:szCs w:val="32"/>
          <w:highlight w:val="none"/>
        </w:rPr>
        <w:t>四、财</w:t>
      </w:r>
      <w:r>
        <w:rPr>
          <w:rStyle w:val="18"/>
          <w:rFonts w:hint="eastAsia" w:ascii="黑体" w:hAnsi="黑体" w:eastAsia="黑体"/>
          <w:b w:val="0"/>
          <w:color w:val="auto"/>
          <w:highlight w:val="none"/>
        </w:rPr>
        <w:t>政拨款收入支出决算总体情况说明</w:t>
      </w:r>
      <w:bookmarkEnd w:id="28"/>
      <w:bookmarkEnd w:id="29"/>
    </w:p>
    <w:p w14:paraId="230E44A3">
      <w:pPr>
        <w:spacing w:line="60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s="仿宋"/>
          <w:color w:val="auto"/>
          <w:sz w:val="32"/>
          <w:szCs w:val="32"/>
          <w:highlight w:val="none"/>
        </w:rPr>
        <w:t>2019年财政拨款收入总计952.53万元。与2018年876.57万元相比，财政拨款收入总计增加75.96万元，增加8.7%。主要变动原因是2019年人员经费支出增加。</w:t>
      </w:r>
    </w:p>
    <w:p w14:paraId="6B50A59A">
      <w:pPr>
        <w:spacing w:line="60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s="仿宋"/>
          <w:color w:val="auto"/>
          <w:sz w:val="32"/>
          <w:szCs w:val="32"/>
          <w:highlight w:val="none"/>
        </w:rPr>
        <w:t>2019年财政拨款支出总计950.86万元。与2018年876.57万元相比，财政拨款支出总计增加74.29万元，增加8.5%。主要变动原因是2019年人员经费支出增加。</w:t>
      </w:r>
    </w:p>
    <w:p w14:paraId="11B5822B">
      <w:pPr>
        <w:spacing w:line="600" w:lineRule="exact"/>
        <w:rPr>
          <w:rFonts w:ascii="仿宋" w:hAnsi="仿宋" w:eastAsia="仿宋"/>
          <w:color w:val="auto"/>
          <w:sz w:val="32"/>
          <w:szCs w:val="32"/>
          <w:highlight w:val="none"/>
        </w:rPr>
      </w:pPr>
      <w:r>
        <w:rPr>
          <w:rFonts w:ascii="仿宋" w:hAnsi="仿宋" w:eastAsia="仿宋"/>
          <w:color w:val="auto"/>
          <w:sz w:val="32"/>
          <w:szCs w:val="32"/>
          <w:highlight w:val="none"/>
        </w:rPr>
        <w:pict>
          <v:shape id="_x0000_s1029" o:spid="_x0000_s1029" o:spt="75" type="#_x0000_t75" style="position:absolute;left:0pt;margin-left:91.3pt;margin-top:5.8pt;height:169.25pt;width:246.7pt;z-index:-251654144;mso-width-relative:page;mso-height-relative:page;" o:ole="t" filled="f" o:preferrelative="t" stroked="t" coordsize="21600,21600">
            <v:path/>
            <v:fill on="f" focussize="0,0"/>
            <v:stroke weight="0.5pt" joinstyle="miter"/>
            <v:imagedata r:id="rId13" o:title=""/>
            <o:lock v:ext="edit" aspectratio="t"/>
          </v:shape>
          <o:OLEObject Type="Embed" ProgID="MSGraph.Chart.8" ShapeID="_x0000_s1029" DrawAspect="Content" ObjectID="_1468075728" r:id="rId12">
            <o:LockedField>false</o:LockedField>
          </o:OLEObject>
        </w:pict>
      </w:r>
    </w:p>
    <w:p w14:paraId="0EFA4A94">
      <w:pPr>
        <w:spacing w:line="600" w:lineRule="exact"/>
        <w:rPr>
          <w:rFonts w:ascii="仿宋" w:hAnsi="仿宋" w:eastAsia="仿宋"/>
          <w:color w:val="auto"/>
          <w:sz w:val="32"/>
          <w:szCs w:val="32"/>
          <w:highlight w:val="none"/>
        </w:rPr>
      </w:pPr>
    </w:p>
    <w:p w14:paraId="0F0B1F51">
      <w:pPr>
        <w:spacing w:line="600" w:lineRule="exact"/>
        <w:rPr>
          <w:rFonts w:ascii="仿宋" w:hAnsi="仿宋" w:eastAsia="仿宋"/>
          <w:color w:val="auto"/>
          <w:sz w:val="32"/>
          <w:szCs w:val="32"/>
          <w:highlight w:val="none"/>
        </w:rPr>
      </w:pPr>
    </w:p>
    <w:p w14:paraId="66E09FCC">
      <w:pPr>
        <w:spacing w:line="600" w:lineRule="exact"/>
        <w:rPr>
          <w:rFonts w:ascii="仿宋" w:hAnsi="仿宋" w:eastAsia="仿宋"/>
          <w:color w:val="auto"/>
          <w:sz w:val="32"/>
          <w:szCs w:val="32"/>
          <w:highlight w:val="none"/>
        </w:rPr>
      </w:pPr>
    </w:p>
    <w:p w14:paraId="2BF794DD">
      <w:pPr>
        <w:spacing w:line="600" w:lineRule="exact"/>
        <w:rPr>
          <w:rFonts w:ascii="仿宋" w:hAnsi="仿宋" w:eastAsia="仿宋"/>
          <w:color w:val="auto"/>
          <w:sz w:val="32"/>
          <w:szCs w:val="32"/>
          <w:highlight w:val="none"/>
        </w:rPr>
      </w:pPr>
    </w:p>
    <w:p w14:paraId="33B608CC">
      <w:pPr>
        <w:spacing w:line="600" w:lineRule="exact"/>
        <w:rPr>
          <w:rFonts w:ascii="仿宋" w:hAnsi="仿宋" w:eastAsia="仿宋"/>
          <w:color w:val="auto"/>
          <w:sz w:val="32"/>
          <w:szCs w:val="32"/>
          <w:highlight w:val="none"/>
        </w:rPr>
      </w:pPr>
    </w:p>
    <w:p w14:paraId="68E81E89">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4</w:t>
      </w:r>
      <w:r>
        <w:rPr>
          <w:rFonts w:hint="eastAsia" w:ascii="仿宋" w:hAnsi="仿宋" w:eastAsia="仿宋"/>
          <w:color w:val="auto"/>
          <w:sz w:val="32"/>
          <w:szCs w:val="32"/>
          <w:highlight w:val="none"/>
        </w:rPr>
        <w:t>：财政拨款收、支决算总计变动情况）（柱状图）</w:t>
      </w:r>
    </w:p>
    <w:p w14:paraId="3AA6CA80">
      <w:pPr>
        <w:spacing w:line="600" w:lineRule="exact"/>
        <w:ind w:firstLine="640" w:firstLineChars="200"/>
        <w:outlineLvl w:val="1"/>
        <w:rPr>
          <w:rStyle w:val="18"/>
          <w:rFonts w:ascii="黑体" w:hAnsi="黑体" w:eastAsia="黑体"/>
          <w:b w:val="0"/>
          <w:color w:val="auto"/>
          <w:highlight w:val="none"/>
        </w:rPr>
      </w:pPr>
      <w:bookmarkStart w:id="30" w:name="_Toc15396607"/>
      <w:bookmarkStart w:id="31"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18"/>
          <w:rFonts w:hint="eastAsia" w:ascii="黑体" w:hAnsi="黑体" w:eastAsia="黑体"/>
          <w:b w:val="0"/>
          <w:color w:val="auto"/>
          <w:highlight w:val="none"/>
        </w:rPr>
        <w:t>般公共预算财政拨款支出决算情况说明</w:t>
      </w:r>
      <w:bookmarkEnd w:id="30"/>
      <w:bookmarkEnd w:id="31"/>
    </w:p>
    <w:p w14:paraId="7818567B">
      <w:pPr>
        <w:spacing w:line="600" w:lineRule="exact"/>
        <w:ind w:firstLine="643" w:firstLineChars="200"/>
        <w:outlineLvl w:val="2"/>
        <w:rPr>
          <w:rFonts w:ascii="仿宋" w:hAnsi="仿宋" w:eastAsia="仿宋"/>
          <w:b/>
          <w:color w:val="auto"/>
          <w:sz w:val="32"/>
          <w:szCs w:val="32"/>
          <w:highlight w:val="none"/>
        </w:rPr>
      </w:pPr>
      <w:bookmarkStart w:id="32" w:name="_Toc15377210"/>
      <w:r>
        <w:rPr>
          <w:rFonts w:hint="eastAsia" w:ascii="仿宋" w:hAnsi="仿宋" w:eastAsia="仿宋"/>
          <w:b/>
          <w:color w:val="auto"/>
          <w:sz w:val="32"/>
          <w:szCs w:val="32"/>
          <w:highlight w:val="none"/>
        </w:rPr>
        <w:t>（一）一般公共预算财政拨款支出决算总体情况</w:t>
      </w:r>
      <w:bookmarkEnd w:id="32"/>
    </w:p>
    <w:p w14:paraId="5F6B70BD">
      <w:pPr>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2019</w:t>
      </w:r>
      <w:r>
        <w:rPr>
          <w:rFonts w:hint="eastAsia" w:ascii="仿宋" w:hAnsi="仿宋" w:eastAsia="仿宋"/>
          <w:color w:val="auto"/>
          <w:sz w:val="32"/>
          <w:szCs w:val="32"/>
          <w:highlight w:val="none"/>
        </w:rPr>
        <w:t>年一般公共预算财政拨款支出950.86万元，占本年支出合计的100.0</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2018</w:t>
      </w:r>
      <w:r>
        <w:rPr>
          <w:rFonts w:hint="eastAsia" w:ascii="仿宋" w:hAnsi="仿宋" w:eastAsia="仿宋"/>
          <w:color w:val="auto"/>
          <w:sz w:val="32"/>
          <w:szCs w:val="32"/>
          <w:highlight w:val="none"/>
        </w:rPr>
        <w:t>年</w:t>
      </w:r>
      <w:r>
        <w:rPr>
          <w:rFonts w:hint="eastAsia" w:ascii="仿宋_GB2312" w:hAnsi="仿宋" w:eastAsia="仿宋_GB2312" w:cs="仿宋"/>
          <w:color w:val="auto"/>
          <w:sz w:val="32"/>
          <w:szCs w:val="32"/>
          <w:highlight w:val="none"/>
        </w:rPr>
        <w:t>876.57万元</w:t>
      </w:r>
      <w:r>
        <w:rPr>
          <w:rFonts w:hint="eastAsia" w:ascii="仿宋" w:hAnsi="仿宋" w:eastAsia="仿宋"/>
          <w:color w:val="auto"/>
          <w:sz w:val="32"/>
          <w:szCs w:val="32"/>
          <w:highlight w:val="none"/>
        </w:rPr>
        <w:t>相比，一般公共预算财政拨款增加74.29万元，增长8.5</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_GB2312" w:hAnsi="仿宋" w:eastAsia="仿宋_GB2312" w:cs="仿宋"/>
          <w:color w:val="auto"/>
          <w:sz w:val="32"/>
          <w:szCs w:val="32"/>
          <w:highlight w:val="none"/>
        </w:rPr>
        <w:t>主要变动原因是2019年人员经费支出增加。</w:t>
      </w:r>
    </w:p>
    <w:p w14:paraId="2CD5A14D">
      <w:pPr>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pict>
          <v:shape id="_x0000_s1030" o:spid="_x0000_s1030" o:spt="75" type="#_x0000_t75" style="position:absolute;left:0pt;margin-left:73.9pt;margin-top:7.35pt;height:173.05pt;width:288.3pt;z-index:-251654144;mso-width-relative:page;mso-height-relative:page;" o:ole="t" filled="f" o:preferrelative="t" stroked="t" coordsize="21600,21600">
            <v:path/>
            <v:fill on="f" focussize="0,0"/>
            <v:stroke weight="0.5pt" joinstyle="miter"/>
            <v:imagedata r:id="rId15" o:title=""/>
            <o:lock v:ext="edit" aspectratio="t"/>
          </v:shape>
          <o:OLEObject Type="Embed" ProgID="MSGraph.Chart.8" ShapeID="_x0000_s1030" DrawAspect="Content" ObjectID="_1468075729" r:id="rId14">
            <o:LockedField>false</o:LockedField>
          </o:OLEObject>
        </w:pict>
      </w:r>
    </w:p>
    <w:p w14:paraId="57AFC226">
      <w:pPr>
        <w:spacing w:line="600" w:lineRule="exact"/>
        <w:ind w:firstLine="640" w:firstLineChars="200"/>
        <w:rPr>
          <w:rFonts w:ascii="仿宋" w:hAnsi="仿宋" w:eastAsia="仿宋"/>
          <w:color w:val="auto"/>
          <w:sz w:val="32"/>
          <w:szCs w:val="32"/>
          <w:highlight w:val="none"/>
        </w:rPr>
      </w:pPr>
    </w:p>
    <w:p w14:paraId="6C2E7F3B">
      <w:pPr>
        <w:spacing w:line="600" w:lineRule="exact"/>
        <w:ind w:firstLine="640" w:firstLineChars="200"/>
        <w:rPr>
          <w:rFonts w:ascii="仿宋" w:hAnsi="仿宋" w:eastAsia="仿宋"/>
          <w:color w:val="auto"/>
          <w:sz w:val="32"/>
          <w:szCs w:val="32"/>
          <w:highlight w:val="none"/>
        </w:rPr>
      </w:pPr>
    </w:p>
    <w:p w14:paraId="16CA849F">
      <w:pPr>
        <w:spacing w:line="600" w:lineRule="exact"/>
        <w:ind w:firstLine="640" w:firstLineChars="200"/>
        <w:rPr>
          <w:rFonts w:ascii="仿宋" w:hAnsi="仿宋" w:eastAsia="仿宋"/>
          <w:color w:val="auto"/>
          <w:sz w:val="32"/>
          <w:szCs w:val="32"/>
          <w:highlight w:val="none"/>
        </w:rPr>
      </w:pPr>
    </w:p>
    <w:p w14:paraId="5B98DA78">
      <w:pPr>
        <w:spacing w:line="600" w:lineRule="exact"/>
        <w:ind w:firstLine="640" w:firstLineChars="200"/>
        <w:rPr>
          <w:rFonts w:ascii="仿宋" w:hAnsi="仿宋" w:eastAsia="仿宋"/>
          <w:color w:val="auto"/>
          <w:sz w:val="32"/>
          <w:szCs w:val="32"/>
          <w:highlight w:val="none"/>
        </w:rPr>
      </w:pPr>
    </w:p>
    <w:p w14:paraId="398C953C">
      <w:pPr>
        <w:spacing w:line="600" w:lineRule="exact"/>
        <w:ind w:firstLine="640" w:firstLineChars="200"/>
        <w:rPr>
          <w:rFonts w:ascii="仿宋" w:hAnsi="仿宋" w:eastAsia="仿宋"/>
          <w:color w:val="auto"/>
          <w:sz w:val="32"/>
          <w:szCs w:val="32"/>
          <w:highlight w:val="none"/>
        </w:rPr>
      </w:pPr>
    </w:p>
    <w:p w14:paraId="697706BC">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5</w:t>
      </w:r>
      <w:r>
        <w:rPr>
          <w:rFonts w:hint="eastAsia" w:ascii="仿宋" w:hAnsi="仿宋" w:eastAsia="仿宋"/>
          <w:color w:val="auto"/>
          <w:sz w:val="32"/>
          <w:szCs w:val="32"/>
          <w:highlight w:val="none"/>
        </w:rPr>
        <w:t>：一般公共预算财政拨款支出决算变动情况）（柱状图）</w:t>
      </w:r>
    </w:p>
    <w:p w14:paraId="5EFEA1D0">
      <w:pPr>
        <w:spacing w:line="600" w:lineRule="exact"/>
        <w:ind w:firstLine="643" w:firstLineChars="200"/>
        <w:outlineLvl w:val="2"/>
        <w:rPr>
          <w:rFonts w:ascii="仿宋" w:hAnsi="仿宋" w:eastAsia="仿宋"/>
          <w:b/>
          <w:color w:val="auto"/>
          <w:sz w:val="32"/>
          <w:szCs w:val="32"/>
          <w:highlight w:val="none"/>
        </w:rPr>
      </w:pPr>
      <w:bookmarkStart w:id="33" w:name="_Toc15377211"/>
      <w:r>
        <w:rPr>
          <w:rFonts w:hint="eastAsia" w:ascii="仿宋" w:hAnsi="仿宋" w:eastAsia="仿宋"/>
          <w:b/>
          <w:color w:val="auto"/>
          <w:sz w:val="32"/>
          <w:szCs w:val="32"/>
          <w:highlight w:val="none"/>
        </w:rPr>
        <w:t>（二）一般公共预算财政拨款支出决算结构情况</w:t>
      </w:r>
      <w:bookmarkEnd w:id="33"/>
    </w:p>
    <w:p w14:paraId="223A96D0">
      <w:pPr>
        <w:spacing w:line="600" w:lineRule="exact"/>
        <w:ind w:firstLine="640"/>
        <w:rPr>
          <w:rFonts w:eastAsia="仿宋"/>
          <w:color w:val="auto"/>
          <w:sz w:val="32"/>
          <w:szCs w:val="32"/>
          <w:highlight w:val="none"/>
        </w:rPr>
      </w:pPr>
      <w:r>
        <w:rPr>
          <w:rFonts w:eastAsia="仿宋"/>
          <w:color w:val="auto"/>
          <w:sz w:val="32"/>
          <w:szCs w:val="32"/>
          <w:highlight w:val="none"/>
        </w:rPr>
        <w:t>2019年一般公共预算财政拨款支出</w:t>
      </w:r>
      <w:r>
        <w:rPr>
          <w:rFonts w:eastAsia="仿宋_GB2312"/>
          <w:color w:val="auto"/>
          <w:sz w:val="32"/>
          <w:szCs w:val="32"/>
          <w:highlight w:val="none"/>
        </w:rPr>
        <w:t>950.86</w:t>
      </w:r>
      <w:r>
        <w:rPr>
          <w:rFonts w:eastAsia="仿宋"/>
          <w:color w:val="auto"/>
          <w:sz w:val="32"/>
          <w:szCs w:val="32"/>
          <w:highlight w:val="none"/>
        </w:rPr>
        <w:t>万元，主要用于以下方面:</w:t>
      </w:r>
      <w:r>
        <w:rPr>
          <w:rFonts w:eastAsia="仿宋"/>
          <w:b/>
          <w:color w:val="auto"/>
          <w:sz w:val="32"/>
          <w:szCs w:val="32"/>
          <w:highlight w:val="none"/>
        </w:rPr>
        <w:t>一般公共服务（类）</w:t>
      </w:r>
      <w:r>
        <w:rPr>
          <w:rFonts w:eastAsia="仿宋"/>
          <w:color w:val="auto"/>
          <w:sz w:val="32"/>
          <w:szCs w:val="32"/>
          <w:highlight w:val="none"/>
        </w:rPr>
        <w:t>支出</w:t>
      </w:r>
      <w:r>
        <w:rPr>
          <w:rFonts w:eastAsia="仿宋_GB2312"/>
          <w:color w:val="auto"/>
          <w:sz w:val="32"/>
          <w:szCs w:val="32"/>
          <w:highlight w:val="none"/>
        </w:rPr>
        <w:t>702.45</w:t>
      </w:r>
      <w:r>
        <w:rPr>
          <w:rFonts w:eastAsia="仿宋"/>
          <w:color w:val="auto"/>
          <w:sz w:val="32"/>
          <w:szCs w:val="32"/>
          <w:highlight w:val="none"/>
        </w:rPr>
        <w:t>万元，占</w:t>
      </w:r>
      <w:r>
        <w:rPr>
          <w:rFonts w:eastAsia="仿宋_GB2312"/>
          <w:color w:val="auto"/>
          <w:sz w:val="32"/>
          <w:szCs w:val="32"/>
          <w:highlight w:val="none"/>
        </w:rPr>
        <w:t>73.90</w:t>
      </w:r>
      <w:r>
        <w:rPr>
          <w:rFonts w:eastAsia="仿宋"/>
          <w:color w:val="auto"/>
          <w:sz w:val="32"/>
          <w:szCs w:val="32"/>
          <w:highlight w:val="none"/>
        </w:rPr>
        <w:t>%；</w:t>
      </w:r>
      <w:r>
        <w:rPr>
          <w:rFonts w:eastAsia="仿宋"/>
          <w:b/>
          <w:color w:val="auto"/>
          <w:sz w:val="32"/>
          <w:szCs w:val="32"/>
          <w:highlight w:val="none"/>
        </w:rPr>
        <w:t>社会保障和就业（类）</w:t>
      </w:r>
      <w:r>
        <w:rPr>
          <w:rFonts w:eastAsia="仿宋"/>
          <w:color w:val="auto"/>
          <w:sz w:val="32"/>
          <w:szCs w:val="32"/>
          <w:highlight w:val="none"/>
        </w:rPr>
        <w:t>支出</w:t>
      </w:r>
      <w:r>
        <w:rPr>
          <w:rFonts w:eastAsia="仿宋_GB2312"/>
          <w:color w:val="auto"/>
          <w:sz w:val="32"/>
          <w:szCs w:val="32"/>
          <w:highlight w:val="none"/>
        </w:rPr>
        <w:t>142.82</w:t>
      </w:r>
      <w:r>
        <w:rPr>
          <w:rFonts w:eastAsia="仿宋"/>
          <w:color w:val="auto"/>
          <w:sz w:val="32"/>
          <w:szCs w:val="32"/>
          <w:highlight w:val="none"/>
        </w:rPr>
        <w:t>万元，占15.0%；</w:t>
      </w:r>
      <w:r>
        <w:rPr>
          <w:rFonts w:eastAsia="仿宋"/>
          <w:b/>
          <w:bCs/>
          <w:color w:val="auto"/>
          <w:sz w:val="32"/>
          <w:szCs w:val="32"/>
          <w:highlight w:val="none"/>
        </w:rPr>
        <w:t>卫生健康</w:t>
      </w:r>
      <w:r>
        <w:rPr>
          <w:rFonts w:eastAsia="仿宋"/>
          <w:b/>
          <w:color w:val="auto"/>
          <w:sz w:val="32"/>
          <w:szCs w:val="32"/>
          <w:highlight w:val="none"/>
        </w:rPr>
        <w:t>（类）</w:t>
      </w:r>
      <w:r>
        <w:rPr>
          <w:rFonts w:eastAsia="仿宋"/>
          <w:bCs/>
          <w:color w:val="auto"/>
          <w:sz w:val="32"/>
          <w:szCs w:val="32"/>
          <w:highlight w:val="none"/>
        </w:rPr>
        <w:t>支出</w:t>
      </w:r>
      <w:r>
        <w:rPr>
          <w:rFonts w:eastAsia="仿宋"/>
          <w:color w:val="auto"/>
          <w:sz w:val="32"/>
          <w:szCs w:val="32"/>
          <w:highlight w:val="none"/>
        </w:rPr>
        <w:t>39.55万元，占</w:t>
      </w:r>
      <w:r>
        <w:rPr>
          <w:rFonts w:eastAsia="仿宋_GB2312"/>
          <w:color w:val="auto"/>
          <w:sz w:val="32"/>
          <w:szCs w:val="32"/>
          <w:highlight w:val="none"/>
        </w:rPr>
        <w:t>4.2</w:t>
      </w:r>
      <w:r>
        <w:rPr>
          <w:rFonts w:eastAsia="仿宋"/>
          <w:color w:val="auto"/>
          <w:sz w:val="32"/>
          <w:szCs w:val="32"/>
          <w:highlight w:val="none"/>
        </w:rPr>
        <w:t>%；</w:t>
      </w:r>
      <w:r>
        <w:rPr>
          <w:rFonts w:eastAsia="仿宋"/>
          <w:b/>
          <w:color w:val="auto"/>
          <w:sz w:val="32"/>
          <w:szCs w:val="32"/>
          <w:highlight w:val="none"/>
        </w:rPr>
        <w:t>住房保障（类）</w:t>
      </w:r>
      <w:r>
        <w:rPr>
          <w:rFonts w:eastAsia="仿宋"/>
          <w:color w:val="auto"/>
          <w:sz w:val="32"/>
          <w:szCs w:val="32"/>
          <w:highlight w:val="none"/>
        </w:rPr>
        <w:t>支出</w:t>
      </w:r>
      <w:r>
        <w:rPr>
          <w:rFonts w:eastAsia="仿宋_GB2312"/>
          <w:color w:val="auto"/>
          <w:sz w:val="32"/>
          <w:szCs w:val="32"/>
          <w:highlight w:val="none"/>
        </w:rPr>
        <w:t>66.04</w:t>
      </w:r>
      <w:r>
        <w:rPr>
          <w:rFonts w:eastAsia="仿宋"/>
          <w:color w:val="auto"/>
          <w:sz w:val="32"/>
          <w:szCs w:val="32"/>
          <w:highlight w:val="none"/>
        </w:rPr>
        <w:t>万元，占</w:t>
      </w:r>
      <w:r>
        <w:rPr>
          <w:rFonts w:eastAsia="仿宋_GB2312"/>
          <w:color w:val="auto"/>
          <w:sz w:val="32"/>
          <w:szCs w:val="32"/>
          <w:highlight w:val="none"/>
        </w:rPr>
        <w:t>6.9</w:t>
      </w:r>
      <w:r>
        <w:rPr>
          <w:rFonts w:eastAsia="仿宋"/>
          <w:color w:val="auto"/>
          <w:sz w:val="32"/>
          <w:szCs w:val="32"/>
          <w:highlight w:val="none"/>
        </w:rPr>
        <w:t>%。</w:t>
      </w:r>
    </w:p>
    <w:p w14:paraId="7B3103CE">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pict>
          <v:shape id="_x0000_s1031" o:spid="_x0000_s1031" o:spt="75" type="#_x0000_t75" style="position:absolute;left:0pt;margin-left:83.95pt;margin-top:6.35pt;height:172.2pt;width:277.2pt;z-index:-251653120;mso-width-relative:page;mso-height-relative:page;" o:ole="t" filled="f" o:preferrelative="t" stroked="t" coordsize="21600,21600">
            <v:path/>
            <v:fill on="f" focussize="0,0"/>
            <v:stroke weight="0.5pt" joinstyle="miter"/>
            <v:imagedata r:id="rId17" o:title=""/>
            <o:lock v:ext="edit" aspectratio="t"/>
          </v:shape>
          <o:OLEObject Type="Embed" ProgID="MSGraph.Chart.8" ShapeID="_x0000_s1031" DrawAspect="Content" ObjectID="_1468075730" r:id="rId16">
            <o:LockedField>false</o:LockedField>
          </o:OLEObject>
        </w:pict>
      </w:r>
    </w:p>
    <w:p w14:paraId="0336E6D9">
      <w:pPr>
        <w:spacing w:line="600" w:lineRule="exact"/>
        <w:ind w:firstLine="640"/>
        <w:rPr>
          <w:rFonts w:ascii="仿宋" w:hAnsi="仿宋" w:eastAsia="仿宋"/>
          <w:color w:val="auto"/>
          <w:sz w:val="32"/>
          <w:szCs w:val="32"/>
          <w:highlight w:val="none"/>
        </w:rPr>
      </w:pPr>
    </w:p>
    <w:p w14:paraId="4C123705">
      <w:pPr>
        <w:spacing w:line="600" w:lineRule="exact"/>
        <w:ind w:firstLine="640"/>
        <w:rPr>
          <w:rFonts w:ascii="仿宋" w:hAnsi="仿宋" w:eastAsia="仿宋"/>
          <w:color w:val="auto"/>
          <w:sz w:val="32"/>
          <w:szCs w:val="32"/>
          <w:highlight w:val="none"/>
        </w:rPr>
      </w:pPr>
    </w:p>
    <w:p w14:paraId="6AC959E2">
      <w:pPr>
        <w:tabs>
          <w:tab w:val="left" w:pos="6086"/>
        </w:tabs>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ab/>
      </w:r>
    </w:p>
    <w:p w14:paraId="2E611362">
      <w:pPr>
        <w:spacing w:line="600" w:lineRule="exact"/>
        <w:ind w:firstLine="640"/>
        <w:rPr>
          <w:rFonts w:ascii="仿宋" w:hAnsi="仿宋" w:eastAsia="仿宋"/>
          <w:color w:val="auto"/>
          <w:sz w:val="32"/>
          <w:szCs w:val="32"/>
          <w:highlight w:val="none"/>
        </w:rPr>
      </w:pPr>
    </w:p>
    <w:p w14:paraId="7620F933">
      <w:pPr>
        <w:spacing w:line="600" w:lineRule="exact"/>
        <w:ind w:firstLine="640"/>
        <w:rPr>
          <w:rFonts w:ascii="仿宋" w:hAnsi="仿宋" w:eastAsia="仿宋"/>
          <w:color w:val="auto"/>
          <w:sz w:val="32"/>
          <w:szCs w:val="32"/>
          <w:highlight w:val="none"/>
        </w:rPr>
      </w:pPr>
    </w:p>
    <w:p w14:paraId="62A6024B">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6</w:t>
      </w:r>
      <w:r>
        <w:rPr>
          <w:rFonts w:hint="eastAsia" w:ascii="仿宋" w:hAnsi="仿宋" w:eastAsia="仿宋"/>
          <w:color w:val="auto"/>
          <w:sz w:val="32"/>
          <w:szCs w:val="32"/>
          <w:highlight w:val="none"/>
        </w:rPr>
        <w:t>：一般公共预算财政拨款支出决算结构）（饼状图）</w:t>
      </w:r>
    </w:p>
    <w:p w14:paraId="61F0489D">
      <w:pPr>
        <w:spacing w:line="600" w:lineRule="exact"/>
        <w:ind w:firstLine="643" w:firstLineChars="200"/>
        <w:outlineLvl w:val="2"/>
        <w:rPr>
          <w:rFonts w:ascii="仿宋" w:hAnsi="仿宋" w:eastAsia="仿宋"/>
          <w:b/>
          <w:color w:val="auto"/>
          <w:sz w:val="32"/>
          <w:szCs w:val="32"/>
          <w:highlight w:val="none"/>
        </w:rPr>
      </w:pPr>
      <w:bookmarkStart w:id="34" w:name="_Toc15377212"/>
      <w:r>
        <w:rPr>
          <w:rFonts w:hint="eastAsia" w:ascii="仿宋" w:hAnsi="仿宋" w:eastAsia="仿宋"/>
          <w:b/>
          <w:color w:val="auto"/>
          <w:sz w:val="32"/>
          <w:szCs w:val="32"/>
          <w:highlight w:val="none"/>
        </w:rPr>
        <w:t>（三）一般公共预算财政拨款支出决算具体情况</w:t>
      </w:r>
      <w:bookmarkEnd w:id="34"/>
    </w:p>
    <w:p w14:paraId="78B73F23">
      <w:pPr>
        <w:spacing w:line="600" w:lineRule="exact"/>
        <w:ind w:firstLine="643" w:firstLineChars="200"/>
        <w:outlineLvl w:val="2"/>
        <w:rPr>
          <w:rFonts w:ascii="仿宋" w:hAnsi="仿宋" w:eastAsia="仿宋"/>
          <w:color w:val="auto"/>
          <w:sz w:val="32"/>
          <w:szCs w:val="32"/>
          <w:highlight w:val="none"/>
        </w:rPr>
      </w:pPr>
      <w:bookmarkStart w:id="35" w:name="_Toc15377444"/>
      <w:bookmarkStart w:id="36" w:name="_Toc15377213"/>
      <w:bookmarkStart w:id="37" w:name="_Toc15378460"/>
      <w:r>
        <w:rPr>
          <w:rFonts w:ascii="仿宋" w:hAnsi="仿宋" w:eastAsia="仿宋"/>
          <w:b/>
          <w:color w:val="auto"/>
          <w:sz w:val="32"/>
          <w:szCs w:val="32"/>
          <w:highlight w:val="none"/>
        </w:rPr>
        <w:t>2019</w:t>
      </w:r>
      <w:r>
        <w:rPr>
          <w:rFonts w:hint="eastAsia" w:ascii="仿宋" w:hAnsi="仿宋" w:eastAsia="仿宋"/>
          <w:b/>
          <w:color w:val="auto"/>
          <w:sz w:val="32"/>
          <w:szCs w:val="32"/>
          <w:highlight w:val="none"/>
        </w:rPr>
        <w:t>年一般公共预算支出决算数为950.86万元</w:t>
      </w:r>
      <w:r>
        <w:rPr>
          <w:rFonts w:hint="eastAsia" w:ascii="仿宋" w:hAnsi="仿宋" w:eastAsia="仿宋"/>
          <w:color w:val="auto"/>
          <w:sz w:val="32"/>
          <w:szCs w:val="32"/>
          <w:highlight w:val="none"/>
        </w:rPr>
        <w:t>，</w:t>
      </w:r>
      <w:r>
        <w:rPr>
          <w:rStyle w:val="15"/>
          <w:rFonts w:hint="eastAsia" w:ascii="仿宋" w:hAnsi="仿宋" w:eastAsia="仿宋"/>
          <w:bCs/>
          <w:color w:val="auto"/>
          <w:sz w:val="32"/>
          <w:szCs w:val="32"/>
          <w:highlight w:val="none"/>
        </w:rPr>
        <w:t>完成预算100</w:t>
      </w:r>
      <w:r>
        <w:rPr>
          <w:rStyle w:val="15"/>
          <w:rFonts w:ascii="仿宋" w:hAnsi="仿宋" w:eastAsia="仿宋"/>
          <w:bCs/>
          <w:color w:val="auto"/>
          <w:sz w:val="32"/>
          <w:szCs w:val="32"/>
          <w:highlight w:val="none"/>
        </w:rPr>
        <w:t>%</w:t>
      </w:r>
      <w:r>
        <w:rPr>
          <w:rStyle w:val="15"/>
          <w:rFonts w:hint="eastAsia" w:ascii="仿宋" w:hAnsi="仿宋" w:eastAsia="仿宋"/>
          <w:bCs/>
          <w:color w:val="auto"/>
          <w:sz w:val="32"/>
          <w:szCs w:val="32"/>
          <w:highlight w:val="none"/>
        </w:rPr>
        <w:t>。其中：</w:t>
      </w:r>
      <w:bookmarkEnd w:id="35"/>
      <w:bookmarkEnd w:id="36"/>
      <w:bookmarkEnd w:id="37"/>
    </w:p>
    <w:p w14:paraId="38E48385">
      <w:pPr>
        <w:spacing w:line="600" w:lineRule="exact"/>
        <w:ind w:firstLine="643" w:firstLineChars="200"/>
        <w:rPr>
          <w:rFonts w:ascii="仿宋" w:hAnsi="仿宋" w:eastAsia="仿宋"/>
          <w:b/>
          <w:color w:val="auto"/>
          <w:sz w:val="32"/>
          <w:szCs w:val="32"/>
          <w:highlight w:val="none"/>
        </w:rPr>
      </w:pPr>
      <w:r>
        <w:rPr>
          <w:rStyle w:val="15"/>
          <w:rFonts w:ascii="仿宋" w:hAnsi="仿宋" w:eastAsia="仿宋"/>
          <w:bCs/>
          <w:color w:val="auto"/>
          <w:sz w:val="32"/>
          <w:szCs w:val="32"/>
          <w:highlight w:val="none"/>
        </w:rPr>
        <w:t>1.</w:t>
      </w:r>
      <w:r>
        <w:rPr>
          <w:rStyle w:val="15"/>
          <w:rFonts w:hint="eastAsia" w:ascii="仿宋_GB2312" w:hAnsi="仿宋" w:eastAsia="仿宋_GB2312"/>
          <w:bCs/>
          <w:color w:val="auto"/>
          <w:sz w:val="32"/>
          <w:szCs w:val="32"/>
          <w:highlight w:val="none"/>
        </w:rPr>
        <w:t>一般公共服务（类）人大事务（款）行政运行（项）:</w:t>
      </w:r>
      <w:r>
        <w:rPr>
          <w:rStyle w:val="15"/>
          <w:rFonts w:ascii="仿宋" w:hAnsi="仿宋" w:eastAsia="仿宋"/>
          <w:bCs/>
          <w:color w:val="auto"/>
          <w:sz w:val="32"/>
          <w:szCs w:val="32"/>
          <w:highlight w:val="none"/>
        </w:rPr>
        <w:t>:</w:t>
      </w:r>
      <w:r>
        <w:rPr>
          <w:rStyle w:val="15"/>
          <w:rFonts w:ascii="仿宋" w:hAnsi="仿宋" w:eastAsia="仿宋"/>
          <w:b w:val="0"/>
          <w:bCs/>
          <w:color w:val="auto"/>
          <w:sz w:val="32"/>
          <w:szCs w:val="32"/>
          <w:highlight w:val="none"/>
        </w:rPr>
        <w:t xml:space="preserve"> </w:t>
      </w:r>
      <w:r>
        <w:rPr>
          <w:rStyle w:val="15"/>
          <w:rFonts w:hint="eastAsia" w:ascii="仿宋" w:hAnsi="仿宋" w:eastAsia="仿宋"/>
          <w:b w:val="0"/>
          <w:bCs/>
          <w:color w:val="auto"/>
          <w:sz w:val="32"/>
          <w:szCs w:val="32"/>
          <w:highlight w:val="none"/>
        </w:rPr>
        <w:t>支出决算为493.95万元，完成预算100.0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p>
    <w:p w14:paraId="0B12FD71">
      <w:pPr>
        <w:spacing w:line="600" w:lineRule="exact"/>
        <w:ind w:firstLine="643" w:firstLineChars="200"/>
        <w:rPr>
          <w:rFonts w:ascii="仿宋" w:hAnsi="仿宋" w:eastAsia="仿宋"/>
          <w:b/>
          <w:color w:val="auto"/>
          <w:sz w:val="32"/>
          <w:szCs w:val="32"/>
          <w:highlight w:val="none"/>
        </w:rPr>
      </w:pPr>
      <w:r>
        <w:rPr>
          <w:rStyle w:val="15"/>
          <w:rFonts w:ascii="仿宋" w:hAnsi="仿宋" w:eastAsia="仿宋"/>
          <w:bCs/>
          <w:color w:val="auto"/>
          <w:sz w:val="32"/>
          <w:szCs w:val="32"/>
          <w:highlight w:val="none"/>
        </w:rPr>
        <w:t>2.</w:t>
      </w:r>
      <w:r>
        <w:rPr>
          <w:rStyle w:val="15"/>
          <w:rFonts w:hint="eastAsia" w:ascii="仿宋_GB2312" w:hAnsi="仿宋" w:eastAsia="仿宋_GB2312"/>
          <w:bCs/>
          <w:color w:val="auto"/>
          <w:sz w:val="32"/>
          <w:szCs w:val="32"/>
          <w:highlight w:val="none"/>
        </w:rPr>
        <w:t>一般公共服务（类）人大事务（款）一般行政管理事务（项）</w:t>
      </w:r>
      <w:r>
        <w:rPr>
          <w:rStyle w:val="15"/>
          <w:rFonts w:ascii="仿宋" w:hAnsi="仿宋" w:eastAsia="仿宋"/>
          <w:bCs/>
          <w:color w:val="auto"/>
          <w:sz w:val="32"/>
          <w:szCs w:val="32"/>
          <w:highlight w:val="none"/>
        </w:rPr>
        <w:t>:</w:t>
      </w:r>
      <w:r>
        <w:rPr>
          <w:rStyle w:val="15"/>
          <w:rFonts w:ascii="仿宋" w:hAnsi="仿宋" w:eastAsia="仿宋"/>
          <w:b w:val="0"/>
          <w:bCs/>
          <w:color w:val="auto"/>
          <w:sz w:val="32"/>
          <w:szCs w:val="32"/>
          <w:highlight w:val="none"/>
        </w:rPr>
        <w:t xml:space="preserve"> </w:t>
      </w:r>
      <w:r>
        <w:rPr>
          <w:rStyle w:val="15"/>
          <w:rFonts w:hint="eastAsia" w:ascii="仿宋" w:hAnsi="仿宋" w:eastAsia="仿宋"/>
          <w:b w:val="0"/>
          <w:bCs/>
          <w:color w:val="auto"/>
          <w:sz w:val="32"/>
          <w:szCs w:val="32"/>
          <w:highlight w:val="none"/>
        </w:rPr>
        <w:t>支出决算为208.50万元，完成预算100.0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p>
    <w:p w14:paraId="54FD65D5">
      <w:pPr>
        <w:spacing w:line="600" w:lineRule="exact"/>
        <w:ind w:firstLine="643" w:firstLineChars="200"/>
        <w:rPr>
          <w:rFonts w:ascii="仿宋" w:hAnsi="仿宋" w:eastAsia="仿宋"/>
          <w:b/>
          <w:color w:val="auto"/>
          <w:sz w:val="32"/>
          <w:szCs w:val="32"/>
          <w:highlight w:val="none"/>
        </w:rPr>
      </w:pPr>
      <w:r>
        <w:rPr>
          <w:rStyle w:val="15"/>
          <w:rFonts w:ascii="仿宋" w:hAnsi="仿宋" w:eastAsia="仿宋"/>
          <w:bCs/>
          <w:color w:val="auto"/>
          <w:sz w:val="32"/>
          <w:szCs w:val="32"/>
          <w:highlight w:val="none"/>
        </w:rPr>
        <w:t>3.</w:t>
      </w:r>
      <w:r>
        <w:rPr>
          <w:rStyle w:val="15"/>
          <w:rFonts w:hint="eastAsia" w:ascii="仿宋_GB2312" w:hAnsi="仿宋" w:eastAsia="仿宋_GB2312"/>
          <w:bCs/>
          <w:color w:val="auto"/>
          <w:sz w:val="32"/>
          <w:szCs w:val="32"/>
          <w:highlight w:val="none"/>
        </w:rPr>
        <w:t>社会保障和就业（类）</w:t>
      </w:r>
      <w:r>
        <w:rPr>
          <w:rStyle w:val="15"/>
          <w:rFonts w:hint="eastAsia" w:ascii="仿宋_GB2312" w:hAnsi="仿宋" w:eastAsia="仿宋_GB2312" w:cs="仿宋"/>
          <w:color w:val="auto"/>
          <w:sz w:val="32"/>
          <w:szCs w:val="32"/>
          <w:highlight w:val="none"/>
        </w:rPr>
        <w:t>行政事业单位离退休</w:t>
      </w:r>
      <w:r>
        <w:rPr>
          <w:rStyle w:val="15"/>
          <w:rFonts w:hint="eastAsia" w:ascii="仿宋_GB2312" w:hAnsi="仿宋" w:eastAsia="仿宋_GB2312"/>
          <w:bCs/>
          <w:color w:val="auto"/>
          <w:sz w:val="32"/>
          <w:szCs w:val="32"/>
          <w:highlight w:val="none"/>
        </w:rPr>
        <w:t>（款）</w:t>
      </w:r>
      <w:r>
        <w:rPr>
          <w:rStyle w:val="15"/>
          <w:rFonts w:hint="eastAsia" w:ascii="仿宋_GB2312" w:hAnsi="仿宋" w:eastAsia="仿宋_GB2312" w:cs="仿宋"/>
          <w:color w:val="auto"/>
          <w:sz w:val="32"/>
          <w:szCs w:val="32"/>
          <w:highlight w:val="none"/>
        </w:rPr>
        <w:t>未归口管理的行政单位离退休</w:t>
      </w:r>
      <w:r>
        <w:rPr>
          <w:rStyle w:val="15"/>
          <w:rFonts w:hint="eastAsia" w:ascii="仿宋_GB2312" w:hAnsi="仿宋" w:eastAsia="仿宋_GB2312"/>
          <w:bCs/>
          <w:color w:val="auto"/>
          <w:sz w:val="32"/>
          <w:szCs w:val="32"/>
          <w:highlight w:val="none"/>
        </w:rPr>
        <w:t>（项）</w:t>
      </w:r>
      <w:r>
        <w:rPr>
          <w:rStyle w:val="15"/>
          <w:rFonts w:ascii="仿宋" w:hAnsi="仿宋" w:eastAsia="仿宋"/>
          <w:bCs/>
          <w:color w:val="auto"/>
          <w:sz w:val="32"/>
          <w:szCs w:val="32"/>
          <w:highlight w:val="none"/>
        </w:rPr>
        <w:t>:</w:t>
      </w:r>
      <w:r>
        <w:rPr>
          <w:rStyle w:val="15"/>
          <w:rFonts w:ascii="仿宋" w:hAnsi="仿宋" w:eastAsia="仿宋"/>
          <w:b w:val="0"/>
          <w:bCs/>
          <w:color w:val="auto"/>
          <w:sz w:val="32"/>
          <w:szCs w:val="32"/>
          <w:highlight w:val="none"/>
        </w:rPr>
        <w:t xml:space="preserve"> </w:t>
      </w:r>
      <w:r>
        <w:rPr>
          <w:rStyle w:val="15"/>
          <w:rFonts w:hint="eastAsia" w:ascii="仿宋" w:hAnsi="仿宋" w:eastAsia="仿宋"/>
          <w:b w:val="0"/>
          <w:bCs/>
          <w:color w:val="auto"/>
          <w:sz w:val="32"/>
          <w:szCs w:val="32"/>
          <w:highlight w:val="none"/>
        </w:rPr>
        <w:t>支出决算为78.88万元，完成预算100.0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p>
    <w:p w14:paraId="6E9CA902">
      <w:pPr>
        <w:spacing w:line="600" w:lineRule="exact"/>
        <w:ind w:firstLine="643" w:firstLineChars="200"/>
        <w:rPr>
          <w:rStyle w:val="15"/>
          <w:rFonts w:ascii="仿宋" w:hAnsi="仿宋" w:eastAsia="仿宋"/>
          <w:b w:val="0"/>
          <w:bCs/>
          <w:color w:val="auto"/>
          <w:sz w:val="32"/>
          <w:szCs w:val="32"/>
          <w:highlight w:val="none"/>
        </w:rPr>
      </w:pPr>
      <w:r>
        <w:rPr>
          <w:rStyle w:val="15"/>
          <w:rFonts w:ascii="仿宋" w:hAnsi="仿宋" w:eastAsia="仿宋"/>
          <w:bCs/>
          <w:color w:val="auto"/>
          <w:sz w:val="32"/>
          <w:szCs w:val="32"/>
          <w:highlight w:val="none"/>
        </w:rPr>
        <w:t>4.</w:t>
      </w:r>
      <w:r>
        <w:rPr>
          <w:rStyle w:val="15"/>
          <w:rFonts w:hint="eastAsia" w:ascii="仿宋_GB2312" w:hAnsi="仿宋" w:eastAsia="仿宋_GB2312"/>
          <w:bCs/>
          <w:color w:val="auto"/>
          <w:sz w:val="32"/>
          <w:szCs w:val="32"/>
          <w:highlight w:val="none"/>
        </w:rPr>
        <w:t>社会保障和就业（类）</w:t>
      </w:r>
      <w:r>
        <w:rPr>
          <w:rStyle w:val="15"/>
          <w:rFonts w:hint="eastAsia" w:ascii="仿宋_GB2312" w:hAnsi="仿宋" w:eastAsia="仿宋_GB2312" w:cs="仿宋"/>
          <w:color w:val="auto"/>
          <w:sz w:val="32"/>
          <w:szCs w:val="32"/>
          <w:highlight w:val="none"/>
        </w:rPr>
        <w:t>行政事业单位离退休</w:t>
      </w:r>
      <w:r>
        <w:rPr>
          <w:rStyle w:val="15"/>
          <w:rFonts w:hint="eastAsia" w:ascii="仿宋_GB2312" w:hAnsi="仿宋" w:eastAsia="仿宋_GB2312"/>
          <w:bCs/>
          <w:color w:val="auto"/>
          <w:sz w:val="32"/>
          <w:szCs w:val="32"/>
          <w:highlight w:val="none"/>
        </w:rPr>
        <w:t>（款）</w:t>
      </w:r>
      <w:r>
        <w:rPr>
          <w:rStyle w:val="15"/>
          <w:rFonts w:hint="eastAsia" w:ascii="仿宋_GB2312" w:hAnsi="仿宋" w:eastAsia="仿宋_GB2312" w:cs="仿宋"/>
          <w:color w:val="auto"/>
          <w:sz w:val="32"/>
          <w:szCs w:val="32"/>
          <w:highlight w:val="none"/>
        </w:rPr>
        <w:t>机关事业单位基本养老保险缴费支出</w:t>
      </w:r>
      <w:r>
        <w:rPr>
          <w:rStyle w:val="15"/>
          <w:rFonts w:hint="eastAsia" w:ascii="仿宋_GB2312" w:hAnsi="仿宋" w:eastAsia="仿宋_GB2312"/>
          <w:bCs/>
          <w:color w:val="auto"/>
          <w:sz w:val="32"/>
          <w:szCs w:val="32"/>
          <w:highlight w:val="none"/>
        </w:rPr>
        <w:t>（项）</w:t>
      </w:r>
      <w:r>
        <w:rPr>
          <w:rStyle w:val="15"/>
          <w:rFonts w:ascii="仿宋" w:hAnsi="仿宋" w:eastAsia="仿宋"/>
          <w:bCs/>
          <w:color w:val="auto"/>
          <w:sz w:val="32"/>
          <w:szCs w:val="32"/>
          <w:highlight w:val="none"/>
        </w:rPr>
        <w:t>:</w:t>
      </w:r>
      <w:r>
        <w:rPr>
          <w:rStyle w:val="15"/>
          <w:rFonts w:ascii="仿宋" w:hAnsi="仿宋" w:eastAsia="仿宋"/>
          <w:b w:val="0"/>
          <w:bCs/>
          <w:color w:val="auto"/>
          <w:sz w:val="32"/>
          <w:szCs w:val="32"/>
          <w:highlight w:val="none"/>
        </w:rPr>
        <w:t xml:space="preserve"> </w:t>
      </w:r>
      <w:r>
        <w:rPr>
          <w:rStyle w:val="15"/>
          <w:rFonts w:hint="eastAsia" w:ascii="仿宋" w:hAnsi="仿宋" w:eastAsia="仿宋"/>
          <w:b w:val="0"/>
          <w:bCs/>
          <w:color w:val="auto"/>
          <w:sz w:val="32"/>
          <w:szCs w:val="32"/>
          <w:highlight w:val="none"/>
        </w:rPr>
        <w:t>支出决算为45.71万元，完成预算100.0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p>
    <w:p w14:paraId="31467616">
      <w:pPr>
        <w:spacing w:line="600" w:lineRule="exact"/>
        <w:ind w:firstLine="643" w:firstLineChars="200"/>
        <w:rPr>
          <w:rFonts w:ascii="仿宋_GB2312" w:hAnsi="仿宋" w:eastAsia="仿宋_GB2312"/>
          <w:bCs/>
          <w:color w:val="auto"/>
          <w:sz w:val="32"/>
          <w:szCs w:val="32"/>
          <w:highlight w:val="none"/>
        </w:rPr>
      </w:pPr>
      <w:r>
        <w:rPr>
          <w:rStyle w:val="15"/>
          <w:rFonts w:hint="eastAsia" w:ascii="仿宋_GB2312" w:hAnsi="仿宋" w:eastAsia="仿宋_GB2312" w:cs="仿宋"/>
          <w:color w:val="auto"/>
          <w:sz w:val="32"/>
          <w:szCs w:val="32"/>
          <w:highlight w:val="none"/>
        </w:rPr>
        <w:t>5.社会保障和就业支出（类）抚恤（款）死亡抚恤（项）:</w:t>
      </w:r>
      <w:r>
        <w:rPr>
          <w:rStyle w:val="15"/>
          <w:rFonts w:hint="eastAsia" w:ascii="仿宋" w:hAnsi="仿宋" w:eastAsia="仿宋"/>
          <w:b w:val="0"/>
          <w:bCs/>
          <w:color w:val="auto"/>
          <w:sz w:val="32"/>
          <w:szCs w:val="32"/>
          <w:highlight w:val="none"/>
        </w:rPr>
        <w:t>支出决算为18.23万元，完成预算100.0%。</w:t>
      </w:r>
    </w:p>
    <w:p w14:paraId="351B9095">
      <w:pPr>
        <w:spacing w:line="600" w:lineRule="exact"/>
        <w:ind w:firstLine="643" w:firstLineChars="200"/>
        <w:rPr>
          <w:rStyle w:val="15"/>
          <w:rFonts w:ascii="仿宋" w:hAnsi="仿宋" w:eastAsia="仿宋"/>
          <w:b w:val="0"/>
          <w:bCs/>
          <w:color w:val="auto"/>
          <w:sz w:val="32"/>
          <w:szCs w:val="32"/>
          <w:highlight w:val="none"/>
        </w:rPr>
      </w:pPr>
      <w:r>
        <w:rPr>
          <w:rStyle w:val="15"/>
          <w:rFonts w:hint="eastAsia" w:ascii="仿宋" w:hAnsi="仿宋" w:eastAsia="仿宋"/>
          <w:bCs/>
          <w:color w:val="auto"/>
          <w:sz w:val="32"/>
          <w:szCs w:val="32"/>
          <w:highlight w:val="none"/>
        </w:rPr>
        <w:t>6</w:t>
      </w:r>
      <w:r>
        <w:rPr>
          <w:rStyle w:val="15"/>
          <w:rFonts w:ascii="仿宋" w:hAnsi="仿宋" w:eastAsia="仿宋"/>
          <w:bCs/>
          <w:color w:val="auto"/>
          <w:sz w:val="32"/>
          <w:szCs w:val="32"/>
          <w:highlight w:val="none"/>
        </w:rPr>
        <w:t>.</w:t>
      </w:r>
      <w:r>
        <w:rPr>
          <w:rStyle w:val="15"/>
          <w:rFonts w:hint="eastAsia" w:ascii="仿宋" w:hAnsi="仿宋" w:eastAsia="仿宋"/>
          <w:bCs/>
          <w:color w:val="auto"/>
          <w:sz w:val="32"/>
          <w:szCs w:val="32"/>
          <w:highlight w:val="none"/>
        </w:rPr>
        <w:t>卫生健康支出（类）行政事业单位医疗（款）行政单位医疗（项）</w:t>
      </w:r>
      <w:r>
        <w:rPr>
          <w:rStyle w:val="15"/>
          <w:rFonts w:ascii="仿宋" w:hAnsi="仿宋" w:eastAsia="仿宋"/>
          <w:bCs/>
          <w:color w:val="auto"/>
          <w:sz w:val="32"/>
          <w:szCs w:val="32"/>
          <w:highlight w:val="none"/>
        </w:rPr>
        <w:t>:</w:t>
      </w:r>
      <w:r>
        <w:rPr>
          <w:rStyle w:val="15"/>
          <w:rFonts w:ascii="仿宋" w:hAnsi="仿宋" w:eastAsia="仿宋"/>
          <w:b w:val="0"/>
          <w:bCs/>
          <w:color w:val="auto"/>
          <w:sz w:val="32"/>
          <w:szCs w:val="32"/>
          <w:highlight w:val="none"/>
        </w:rPr>
        <w:t xml:space="preserve"> </w:t>
      </w:r>
      <w:r>
        <w:rPr>
          <w:rStyle w:val="15"/>
          <w:rFonts w:hint="eastAsia" w:ascii="仿宋" w:hAnsi="仿宋" w:eastAsia="仿宋"/>
          <w:b w:val="0"/>
          <w:bCs/>
          <w:color w:val="auto"/>
          <w:sz w:val="32"/>
          <w:szCs w:val="32"/>
          <w:highlight w:val="none"/>
        </w:rPr>
        <w:t>支出决算为37.35万元，完成预算100.0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p>
    <w:p w14:paraId="1DE6F5E1">
      <w:pPr>
        <w:spacing w:line="600" w:lineRule="exact"/>
        <w:ind w:firstLine="643" w:firstLineChars="200"/>
        <w:rPr>
          <w:rFonts w:ascii="仿宋" w:hAnsi="仿宋" w:eastAsia="仿宋"/>
          <w:bCs/>
          <w:color w:val="auto"/>
          <w:sz w:val="32"/>
          <w:szCs w:val="32"/>
          <w:highlight w:val="none"/>
        </w:rPr>
      </w:pPr>
      <w:r>
        <w:rPr>
          <w:rStyle w:val="15"/>
          <w:rFonts w:hint="eastAsia" w:ascii="仿宋" w:hAnsi="仿宋" w:eastAsia="仿宋"/>
          <w:bCs/>
          <w:color w:val="auto"/>
          <w:sz w:val="32"/>
          <w:szCs w:val="32"/>
          <w:highlight w:val="none"/>
        </w:rPr>
        <w:t>7</w:t>
      </w:r>
      <w:r>
        <w:rPr>
          <w:rStyle w:val="15"/>
          <w:rFonts w:ascii="仿宋" w:hAnsi="仿宋" w:eastAsia="仿宋"/>
          <w:bCs/>
          <w:color w:val="auto"/>
          <w:sz w:val="32"/>
          <w:szCs w:val="32"/>
          <w:highlight w:val="none"/>
        </w:rPr>
        <w:t>.</w:t>
      </w:r>
      <w:r>
        <w:rPr>
          <w:rStyle w:val="15"/>
          <w:rFonts w:hint="eastAsia" w:ascii="仿宋" w:hAnsi="仿宋" w:eastAsia="仿宋"/>
          <w:bCs/>
          <w:color w:val="auto"/>
          <w:sz w:val="32"/>
          <w:szCs w:val="32"/>
          <w:highlight w:val="none"/>
        </w:rPr>
        <w:t>卫生健康支出（类）行政事业单位医疗（款）公务员医疗补助（项）</w:t>
      </w:r>
      <w:r>
        <w:rPr>
          <w:rStyle w:val="15"/>
          <w:rFonts w:ascii="仿宋" w:hAnsi="仿宋" w:eastAsia="仿宋"/>
          <w:bCs/>
          <w:color w:val="auto"/>
          <w:sz w:val="32"/>
          <w:szCs w:val="32"/>
          <w:highlight w:val="none"/>
        </w:rPr>
        <w:t>:</w:t>
      </w:r>
      <w:r>
        <w:rPr>
          <w:rStyle w:val="15"/>
          <w:rFonts w:ascii="仿宋" w:hAnsi="仿宋" w:eastAsia="仿宋"/>
          <w:b w:val="0"/>
          <w:bCs/>
          <w:color w:val="auto"/>
          <w:sz w:val="32"/>
          <w:szCs w:val="32"/>
          <w:highlight w:val="none"/>
        </w:rPr>
        <w:t xml:space="preserve"> </w:t>
      </w:r>
      <w:r>
        <w:rPr>
          <w:rStyle w:val="15"/>
          <w:rFonts w:hint="eastAsia" w:ascii="仿宋" w:hAnsi="仿宋" w:eastAsia="仿宋"/>
          <w:b w:val="0"/>
          <w:bCs/>
          <w:color w:val="auto"/>
          <w:sz w:val="32"/>
          <w:szCs w:val="32"/>
          <w:highlight w:val="none"/>
        </w:rPr>
        <w:t>支出决算为2.2万元，完成预算100.0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p>
    <w:p w14:paraId="05055018">
      <w:pPr>
        <w:spacing w:line="600" w:lineRule="exact"/>
        <w:ind w:firstLine="643" w:firstLineChars="200"/>
        <w:rPr>
          <w:rFonts w:ascii="仿宋" w:hAnsi="仿宋" w:eastAsia="仿宋"/>
          <w:b/>
          <w:color w:val="auto"/>
          <w:sz w:val="32"/>
          <w:szCs w:val="32"/>
          <w:highlight w:val="none"/>
        </w:rPr>
      </w:pPr>
      <w:r>
        <w:rPr>
          <w:rStyle w:val="15"/>
          <w:rFonts w:hint="eastAsia" w:ascii="仿宋" w:hAnsi="仿宋" w:eastAsia="仿宋"/>
          <w:bCs/>
          <w:color w:val="auto"/>
          <w:sz w:val="32"/>
          <w:szCs w:val="32"/>
          <w:highlight w:val="none"/>
        </w:rPr>
        <w:t>8</w:t>
      </w:r>
      <w:r>
        <w:rPr>
          <w:rStyle w:val="15"/>
          <w:rFonts w:ascii="仿宋" w:hAnsi="仿宋" w:eastAsia="仿宋"/>
          <w:bCs/>
          <w:color w:val="auto"/>
          <w:sz w:val="32"/>
          <w:szCs w:val="32"/>
          <w:highlight w:val="none"/>
        </w:rPr>
        <w:t>.</w:t>
      </w:r>
      <w:r>
        <w:rPr>
          <w:rStyle w:val="22"/>
          <w:rFonts w:hint="eastAsia" w:ascii="仿宋_GB2312" w:hAnsi="仿宋" w:eastAsia="仿宋_GB2312" w:cs="仿宋"/>
          <w:color w:val="auto"/>
          <w:sz w:val="32"/>
          <w:szCs w:val="32"/>
          <w:highlight w:val="none"/>
        </w:rPr>
        <w:t xml:space="preserve"> </w:t>
      </w:r>
      <w:r>
        <w:rPr>
          <w:rStyle w:val="15"/>
          <w:rFonts w:hint="eastAsia" w:ascii="仿宋_GB2312" w:hAnsi="仿宋" w:eastAsia="仿宋_GB2312" w:cs="仿宋"/>
          <w:color w:val="auto"/>
          <w:sz w:val="32"/>
          <w:szCs w:val="32"/>
          <w:highlight w:val="none"/>
        </w:rPr>
        <w:t>住房保障支出（类）住房改革支出（款）住房公积金（项）</w:t>
      </w:r>
      <w:r>
        <w:rPr>
          <w:rStyle w:val="15"/>
          <w:rFonts w:ascii="仿宋" w:hAnsi="仿宋" w:eastAsia="仿宋"/>
          <w:bCs/>
          <w:color w:val="auto"/>
          <w:sz w:val="32"/>
          <w:szCs w:val="32"/>
          <w:highlight w:val="none"/>
        </w:rPr>
        <w:t>:</w:t>
      </w:r>
      <w:r>
        <w:rPr>
          <w:rStyle w:val="15"/>
          <w:rFonts w:hint="eastAsia" w:ascii="仿宋" w:hAnsi="仿宋" w:eastAsia="仿宋"/>
          <w:b w:val="0"/>
          <w:bCs/>
          <w:color w:val="auto"/>
          <w:sz w:val="32"/>
          <w:szCs w:val="32"/>
          <w:highlight w:val="none"/>
        </w:rPr>
        <w:t>支出决算为66.04万元，完成预算100.0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p>
    <w:p w14:paraId="5969B393">
      <w:pPr>
        <w:tabs>
          <w:tab w:val="right" w:pos="8306"/>
        </w:tabs>
        <w:spacing w:line="600" w:lineRule="exact"/>
        <w:ind w:firstLine="640"/>
        <w:outlineLvl w:val="1"/>
        <w:rPr>
          <w:rStyle w:val="18"/>
          <w:color w:val="auto"/>
          <w:highlight w:val="none"/>
        </w:rPr>
      </w:pPr>
      <w:bookmarkStart w:id="38" w:name="_Toc15396608"/>
      <w:bookmarkStart w:id="39"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18"/>
          <w:rFonts w:hint="eastAsia" w:ascii="黑体" w:hAnsi="黑体" w:eastAsia="黑体"/>
          <w:b w:val="0"/>
          <w:color w:val="auto"/>
          <w:highlight w:val="none"/>
        </w:rPr>
        <w:t>般公共预算财政拨款基本支出决算情况说明</w:t>
      </w:r>
      <w:bookmarkEnd w:id="38"/>
      <w:bookmarkEnd w:id="39"/>
      <w:r>
        <w:rPr>
          <w:rStyle w:val="18"/>
          <w:rFonts w:ascii="黑体" w:hAnsi="黑体" w:eastAsia="黑体"/>
          <w:b w:val="0"/>
          <w:color w:val="auto"/>
          <w:highlight w:val="none"/>
        </w:rPr>
        <w:tab/>
      </w:r>
    </w:p>
    <w:p w14:paraId="10905150">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2019</w:t>
      </w:r>
      <w:r>
        <w:rPr>
          <w:rFonts w:hint="eastAsia" w:ascii="仿宋" w:hAnsi="仿宋" w:eastAsia="仿宋"/>
          <w:color w:val="auto"/>
          <w:sz w:val="32"/>
          <w:szCs w:val="32"/>
          <w:highlight w:val="none"/>
        </w:rPr>
        <w:t>年一般公共预算财政拨款基本支出742.35万元，其中：</w:t>
      </w:r>
    </w:p>
    <w:p w14:paraId="215CC63A">
      <w:pPr>
        <w:spacing w:line="60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rPr>
        <w:t>人员经费674.57万元，主要包括：基本工资、津贴补贴、奖金、机关事业单位基本养老保险缴费、职工基本医疗保险缴费、公务员医疗补助缴费、其他社会保障缴费、住房公积金、其他工资福利支出、离休费、退休费、抚恤金、生活补助、奖励金。</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日常公用经费67.78万元，主要包括：办公费、邮电费、物业管理费、差旅费、维修（护）费、会议费、培训费、公务接待费、劳务费、委托业务费、福利费、其他交通费、其他商品和服务支出等。</w:t>
      </w:r>
    </w:p>
    <w:p w14:paraId="61A686D1">
      <w:pPr>
        <w:spacing w:line="600" w:lineRule="exact"/>
        <w:ind w:firstLine="640"/>
        <w:outlineLvl w:val="1"/>
        <w:rPr>
          <w:rStyle w:val="18"/>
          <w:rFonts w:ascii="黑体" w:hAnsi="黑体" w:eastAsia="黑体"/>
          <w:b w:val="0"/>
          <w:color w:val="auto"/>
          <w:highlight w:val="none"/>
        </w:rPr>
      </w:pPr>
      <w:bookmarkStart w:id="40" w:name="_Toc15377215"/>
      <w:bookmarkStart w:id="41" w:name="_Toc15396609"/>
      <w:r>
        <w:rPr>
          <w:rFonts w:hint="eastAsia" w:ascii="黑体" w:eastAsia="黑体"/>
          <w:color w:val="auto"/>
          <w:sz w:val="32"/>
          <w:szCs w:val="32"/>
          <w:highlight w:val="none"/>
        </w:rPr>
        <w:t>七、</w:t>
      </w:r>
      <w:r>
        <w:rPr>
          <w:rStyle w:val="18"/>
          <w:rFonts w:hint="eastAsia" w:ascii="黑体" w:hAnsi="黑体" w:eastAsia="黑体"/>
          <w:color w:val="auto"/>
          <w:highlight w:val="none"/>
        </w:rPr>
        <w:t>“</w:t>
      </w:r>
      <w:r>
        <w:rPr>
          <w:rStyle w:val="18"/>
          <w:rFonts w:hint="eastAsia" w:ascii="黑体" w:hAnsi="黑体" w:eastAsia="黑体"/>
          <w:b w:val="0"/>
          <w:color w:val="auto"/>
          <w:highlight w:val="none"/>
        </w:rPr>
        <w:t>三公”经费财政拨款支出决算情况说明</w:t>
      </w:r>
      <w:bookmarkEnd w:id="40"/>
      <w:bookmarkEnd w:id="41"/>
    </w:p>
    <w:p w14:paraId="6E1C2BCA">
      <w:pPr>
        <w:spacing w:line="600" w:lineRule="exact"/>
        <w:ind w:firstLine="640"/>
        <w:outlineLvl w:val="2"/>
        <w:rPr>
          <w:rFonts w:ascii="仿宋" w:hAnsi="仿宋" w:eastAsia="仿宋"/>
          <w:b/>
          <w:color w:val="auto"/>
          <w:sz w:val="32"/>
          <w:szCs w:val="32"/>
          <w:highlight w:val="none"/>
        </w:rPr>
      </w:pPr>
      <w:bookmarkStart w:id="42" w:name="_Toc15377216"/>
      <w:r>
        <w:rPr>
          <w:rFonts w:hint="eastAsia" w:ascii="仿宋" w:hAnsi="仿宋" w:eastAsia="仿宋"/>
          <w:b/>
          <w:color w:val="auto"/>
          <w:sz w:val="32"/>
          <w:szCs w:val="32"/>
          <w:highlight w:val="none"/>
        </w:rPr>
        <w:t>（一）“三公”经费财政拨款支出决算总体情况说明</w:t>
      </w:r>
      <w:bookmarkEnd w:id="42"/>
    </w:p>
    <w:p w14:paraId="74C64898">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2019</w:t>
      </w:r>
      <w:r>
        <w:rPr>
          <w:rFonts w:hint="eastAsia" w:ascii="仿宋" w:hAnsi="仿宋" w:eastAsia="仿宋"/>
          <w:color w:val="auto"/>
          <w:sz w:val="32"/>
          <w:szCs w:val="32"/>
          <w:highlight w:val="none"/>
        </w:rPr>
        <w:t>年“三公”经费财政拨款支出决算为3.68万元，完成预算100.0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69F3F67E">
      <w:pPr>
        <w:spacing w:line="600" w:lineRule="exact"/>
        <w:ind w:firstLine="640"/>
        <w:outlineLvl w:val="2"/>
        <w:rPr>
          <w:rFonts w:ascii="仿宋" w:hAnsi="仿宋" w:eastAsia="仿宋"/>
          <w:b/>
          <w:color w:val="auto"/>
          <w:sz w:val="32"/>
          <w:szCs w:val="32"/>
          <w:highlight w:val="none"/>
        </w:rPr>
      </w:pPr>
      <w:bookmarkStart w:id="43" w:name="_Toc15377217"/>
      <w:r>
        <w:rPr>
          <w:rFonts w:hint="eastAsia" w:ascii="仿宋" w:hAnsi="仿宋" w:eastAsia="仿宋"/>
          <w:b/>
          <w:color w:val="auto"/>
          <w:sz w:val="32"/>
          <w:szCs w:val="32"/>
          <w:highlight w:val="none"/>
        </w:rPr>
        <w:t>（二）“三公”经费财政拨款支出决算具体情况说明</w:t>
      </w:r>
      <w:bookmarkEnd w:id="43"/>
    </w:p>
    <w:p w14:paraId="31024E8B">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2019</w:t>
      </w:r>
      <w:r>
        <w:rPr>
          <w:rFonts w:hint="eastAsia" w:ascii="仿宋" w:hAnsi="仿宋" w:eastAsia="仿宋"/>
          <w:color w:val="auto"/>
          <w:sz w:val="32"/>
          <w:szCs w:val="32"/>
          <w:highlight w:val="none"/>
        </w:rPr>
        <w:t>年“三公”经费财政拨款支出决算中，因公出国（境）费支出决算0万元，占0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；公务用车购置及运行维护费支出决算0万元，占0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；公务接待费支出决算3.68万元，占100.0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4A606FF5">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pict>
          <v:shape id="_x0000_s1032" o:spid="_x0000_s1032" o:spt="75" type="#_x0000_t75" style="position:absolute;left:0pt;margin-left:52.7pt;margin-top:11.3pt;height:167.7pt;width:327.6pt;z-index:-251652096;mso-width-relative:page;mso-height-relative:page;" o:ole="t" filled="f" o:preferrelative="t" stroked="t" coordsize="21600,21600">
            <v:path/>
            <v:fill on="f" focussize="0,0"/>
            <v:stroke weight="0.5pt" joinstyle="miter"/>
            <v:imagedata r:id="rId19" o:title=""/>
            <o:lock v:ext="edit" aspectratio="t"/>
          </v:shape>
          <o:OLEObject Type="Embed" ProgID="MSGraph.Chart.8" ShapeID="_x0000_s1032" DrawAspect="Content" ObjectID="_1468075731" r:id="rId18">
            <o:LockedField>false</o:LockedField>
          </o:OLEObject>
        </w:pict>
      </w:r>
    </w:p>
    <w:p w14:paraId="1DF2C6F4">
      <w:pPr>
        <w:spacing w:line="600" w:lineRule="exact"/>
        <w:ind w:firstLine="640"/>
        <w:rPr>
          <w:rFonts w:ascii="仿宋" w:hAnsi="仿宋" w:eastAsia="仿宋"/>
          <w:color w:val="auto"/>
          <w:sz w:val="32"/>
          <w:szCs w:val="32"/>
          <w:highlight w:val="none"/>
        </w:rPr>
      </w:pPr>
    </w:p>
    <w:p w14:paraId="11B22218">
      <w:pPr>
        <w:spacing w:line="600" w:lineRule="exact"/>
        <w:ind w:firstLine="640"/>
        <w:rPr>
          <w:rFonts w:ascii="仿宋" w:hAnsi="仿宋" w:eastAsia="仿宋"/>
          <w:color w:val="auto"/>
          <w:sz w:val="32"/>
          <w:szCs w:val="32"/>
          <w:highlight w:val="none"/>
        </w:rPr>
      </w:pPr>
    </w:p>
    <w:p w14:paraId="038B5BE2">
      <w:pPr>
        <w:spacing w:line="600" w:lineRule="exact"/>
        <w:ind w:firstLine="640"/>
        <w:rPr>
          <w:rFonts w:ascii="仿宋" w:hAnsi="仿宋" w:eastAsia="仿宋"/>
          <w:color w:val="auto"/>
          <w:sz w:val="32"/>
          <w:szCs w:val="32"/>
          <w:highlight w:val="none"/>
        </w:rPr>
      </w:pPr>
    </w:p>
    <w:p w14:paraId="45C6CB13">
      <w:pPr>
        <w:spacing w:line="600" w:lineRule="exact"/>
        <w:ind w:firstLine="640"/>
        <w:rPr>
          <w:rFonts w:ascii="仿宋" w:hAnsi="仿宋" w:eastAsia="仿宋"/>
          <w:color w:val="auto"/>
          <w:sz w:val="32"/>
          <w:szCs w:val="32"/>
          <w:highlight w:val="none"/>
        </w:rPr>
      </w:pPr>
    </w:p>
    <w:p w14:paraId="4AC6D1FB">
      <w:pPr>
        <w:spacing w:line="600" w:lineRule="exact"/>
        <w:ind w:firstLine="640"/>
        <w:rPr>
          <w:rFonts w:ascii="仿宋" w:hAnsi="仿宋" w:eastAsia="仿宋"/>
          <w:color w:val="auto"/>
          <w:sz w:val="32"/>
          <w:szCs w:val="32"/>
          <w:highlight w:val="none"/>
        </w:rPr>
      </w:pPr>
    </w:p>
    <w:p w14:paraId="0D56065F">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7</w:t>
      </w:r>
      <w:r>
        <w:rPr>
          <w:rFonts w:hint="eastAsia" w:ascii="仿宋" w:hAnsi="仿宋" w:eastAsia="仿宋"/>
          <w:color w:val="auto"/>
          <w:sz w:val="32"/>
          <w:szCs w:val="32"/>
          <w:highlight w:val="none"/>
        </w:rPr>
        <w:t>：“三公”经费财政拨款支出结构）（饼状图）</w:t>
      </w:r>
    </w:p>
    <w:p w14:paraId="5B9F1686">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rPr>
        <w:t>0万元，</w:t>
      </w:r>
      <w:r>
        <w:rPr>
          <w:rStyle w:val="15"/>
          <w:rFonts w:hint="eastAsia" w:ascii="仿宋" w:hAnsi="仿宋" w:eastAsia="仿宋"/>
          <w:b w:val="0"/>
          <w:bCs/>
          <w:color w:val="auto"/>
          <w:sz w:val="32"/>
          <w:szCs w:val="32"/>
          <w:highlight w:val="none"/>
        </w:rPr>
        <w:t>完成预算0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全年安排因公出国（境）团组0次，出国（境）0人。因公出国（境）支出决算比</w:t>
      </w:r>
      <w:r>
        <w:rPr>
          <w:rFonts w:ascii="仿宋_GB2312" w:eastAsia="仿宋_GB2312"/>
          <w:color w:val="auto"/>
          <w:sz w:val="32"/>
          <w:szCs w:val="32"/>
          <w:highlight w:val="none"/>
        </w:rPr>
        <w:t>2018</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减少0万元，增长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613F3797">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rPr>
        <w:t>0万元</w:t>
      </w:r>
      <w:r>
        <w:rPr>
          <w:rFonts w:ascii="仿宋_GB2312" w:eastAsia="仿宋_GB2312"/>
          <w:color w:val="auto"/>
          <w:sz w:val="32"/>
          <w:szCs w:val="32"/>
          <w:highlight w:val="none"/>
        </w:rPr>
        <w:t>,</w:t>
      </w:r>
      <w:r>
        <w:rPr>
          <w:rStyle w:val="15"/>
          <w:rFonts w:hint="eastAsia" w:ascii="仿宋" w:hAnsi="仿宋" w:eastAsia="仿宋"/>
          <w:b w:val="0"/>
          <w:bCs/>
          <w:color w:val="auto"/>
          <w:sz w:val="32"/>
          <w:szCs w:val="32"/>
          <w:highlight w:val="none"/>
        </w:rPr>
        <w:t>完成预算0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2018</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减少0万元，增长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0CF364D7">
      <w:pPr>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rPr>
        <w:t>0万元。全年按规定更新购置公务用车0辆，金额0元。截至</w:t>
      </w:r>
      <w:r>
        <w:rPr>
          <w:rFonts w:ascii="仿宋_GB2312" w:eastAsia="仿宋_GB2312"/>
          <w:color w:val="auto"/>
          <w:sz w:val="32"/>
          <w:szCs w:val="32"/>
          <w:highlight w:val="none"/>
        </w:rPr>
        <w:t>2019</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月底，单位共有公务用车0辆，其中：主要领导干部用车0辆、机要通信用车0辆、应急保障用车0辆、</w:t>
      </w:r>
      <w:r>
        <w:rPr>
          <w:rFonts w:ascii="仿宋_GB2312" w:eastAsia="仿宋_GB2312"/>
          <w:color w:val="auto"/>
          <w:sz w:val="32"/>
          <w:szCs w:val="32"/>
          <w:highlight w:val="none"/>
        </w:rPr>
        <w:t xml:space="preserve"> </w:t>
      </w:r>
      <w:r>
        <w:rPr>
          <w:rFonts w:hint="eastAsia" w:ascii="仿宋_GB2312" w:eastAsia="仿宋_GB2312"/>
          <w:color w:val="auto"/>
          <w:sz w:val="32"/>
          <w:szCs w:val="32"/>
          <w:highlight w:val="none"/>
        </w:rPr>
        <w:t>执法执勤用车0辆。</w:t>
      </w:r>
    </w:p>
    <w:p w14:paraId="20B62CB8">
      <w:p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rPr>
        <w:t>0万元。</w:t>
      </w:r>
    </w:p>
    <w:p w14:paraId="4144900A">
      <w:pPr>
        <w:spacing w:line="600" w:lineRule="exact"/>
        <w:ind w:firstLine="640"/>
        <w:rPr>
          <w:rFonts w:ascii="仿宋" w:hAnsi="仿宋" w:eastAsia="仿宋"/>
          <w:bCs/>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rPr>
        <w:t>3.68万元，</w:t>
      </w:r>
      <w:r>
        <w:rPr>
          <w:rStyle w:val="15"/>
          <w:rFonts w:hint="eastAsia" w:ascii="仿宋" w:hAnsi="仿宋" w:eastAsia="仿宋"/>
          <w:b w:val="0"/>
          <w:bCs/>
          <w:color w:val="auto"/>
          <w:sz w:val="32"/>
          <w:szCs w:val="32"/>
          <w:highlight w:val="none"/>
        </w:rPr>
        <w:t>完成预算100.0</w:t>
      </w:r>
      <w:r>
        <w:rPr>
          <w:rStyle w:val="15"/>
          <w:rFonts w:ascii="仿宋" w:hAnsi="仿宋" w:eastAsia="仿宋"/>
          <w:b w:val="0"/>
          <w:bCs/>
          <w:color w:val="auto"/>
          <w:sz w:val="32"/>
          <w:szCs w:val="32"/>
          <w:highlight w:val="none"/>
        </w:rPr>
        <w:t>%</w:t>
      </w:r>
      <w:r>
        <w:rPr>
          <w:rStyle w:val="15"/>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2018</w:t>
      </w:r>
      <w:r>
        <w:rPr>
          <w:rFonts w:hint="eastAsia" w:ascii="仿宋_GB2312" w:eastAsia="仿宋_GB2312"/>
          <w:color w:val="auto"/>
          <w:sz w:val="32"/>
          <w:szCs w:val="32"/>
          <w:highlight w:val="none"/>
        </w:rPr>
        <w:t>年增加1.38万元。主要原因是来米易考察批次、人数增多。</w:t>
      </w:r>
    </w:p>
    <w:p w14:paraId="5AFA55D5">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rPr>
        <w:t>3.68</w:t>
      </w:r>
      <w:r>
        <w:rPr>
          <w:rFonts w:hint="eastAsia" w:ascii="仿宋_GB2312" w:eastAsia="仿宋_GB2312"/>
          <w:color w:val="auto"/>
          <w:sz w:val="32"/>
          <w:szCs w:val="32"/>
          <w:highlight w:val="none"/>
        </w:rPr>
        <w:t>万元，主要用于执行公务、开展业务活动开支的交通费、住宿费、用餐费等。国内公务接待19批次，211人次（不包括陪同人员），共计支出3.68万元，具体内容包括：</w:t>
      </w:r>
      <w:r>
        <w:rPr>
          <w:rFonts w:hint="eastAsia" w:ascii="仿宋_GB2312" w:hAnsi="宋体" w:eastAsia="仿宋_GB2312" w:cs="仿宋_GB2312"/>
          <w:color w:val="auto"/>
          <w:kern w:val="0"/>
          <w:sz w:val="32"/>
          <w:szCs w:val="32"/>
          <w:highlight w:val="none"/>
          <w:shd w:val="clear" w:color="auto" w:fill="FFFFFF"/>
          <w:lang w:bidi="ar"/>
        </w:rPr>
        <w:t>主要用于接待毗邻区县人大</w:t>
      </w:r>
      <w:r>
        <w:rPr>
          <w:rFonts w:hint="eastAsia" w:ascii="仿宋_GB2312" w:hAnsi="宋体" w:eastAsia="仿宋_GB2312" w:cs="仿宋_GB2312"/>
          <w:color w:val="auto"/>
          <w:kern w:val="0"/>
          <w:sz w:val="32"/>
          <w:szCs w:val="32"/>
          <w:highlight w:val="none"/>
          <w:shd w:val="clear" w:color="auto" w:fill="FFFFFF"/>
          <w:lang w:val="en-US" w:eastAsia="zh-CN" w:bidi="ar"/>
        </w:rPr>
        <w:t>常委会</w:t>
      </w:r>
      <w:r>
        <w:rPr>
          <w:rFonts w:hint="eastAsia" w:ascii="仿宋_GB2312" w:hAnsi="宋体" w:eastAsia="仿宋_GB2312" w:cs="仿宋_GB2312"/>
          <w:color w:val="auto"/>
          <w:kern w:val="0"/>
          <w:sz w:val="32"/>
          <w:szCs w:val="32"/>
          <w:highlight w:val="none"/>
          <w:shd w:val="clear" w:color="auto" w:fill="FFFFFF"/>
          <w:lang w:bidi="ar"/>
        </w:rPr>
        <w:t>及相关单位来我县考察城市建设、康养产业、议题调研等项目</w:t>
      </w:r>
      <w:r>
        <w:rPr>
          <w:rFonts w:hint="eastAsia" w:ascii="仿宋_GB2312" w:eastAsia="仿宋_GB2312"/>
          <w:color w:val="auto"/>
          <w:sz w:val="32"/>
          <w:szCs w:val="32"/>
          <w:highlight w:val="none"/>
        </w:rPr>
        <w:t>。</w:t>
      </w:r>
    </w:p>
    <w:p w14:paraId="07223AF4">
      <w:pPr>
        <w:spacing w:line="600" w:lineRule="exact"/>
        <w:ind w:firstLine="643" w:firstLineChars="200"/>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rPr>
        <w:t>0</w:t>
      </w:r>
      <w:r>
        <w:rPr>
          <w:rFonts w:hint="eastAsia" w:ascii="仿宋_GB2312" w:eastAsia="仿宋_GB2312"/>
          <w:color w:val="auto"/>
          <w:sz w:val="32"/>
          <w:szCs w:val="32"/>
          <w:highlight w:val="none"/>
        </w:rPr>
        <w:t>万元。</w:t>
      </w:r>
      <w:bookmarkStart w:id="44" w:name="_Toc15377218"/>
      <w:bookmarkStart w:id="45" w:name="_Toc15396610"/>
    </w:p>
    <w:p w14:paraId="2EAE1A3C">
      <w:pPr>
        <w:spacing w:line="600" w:lineRule="exact"/>
        <w:ind w:firstLine="640"/>
        <w:outlineLvl w:val="1"/>
        <w:rPr>
          <w:rStyle w:val="18"/>
          <w:rFonts w:ascii="黑体" w:hAnsi="黑体" w:eastAsia="黑体"/>
          <w:color w:val="auto"/>
          <w:highlight w:val="none"/>
        </w:rPr>
      </w:pPr>
      <w:r>
        <w:rPr>
          <w:rFonts w:hint="eastAsia" w:ascii="黑体" w:eastAsia="黑体"/>
          <w:color w:val="auto"/>
          <w:sz w:val="32"/>
          <w:szCs w:val="32"/>
          <w:highlight w:val="none"/>
        </w:rPr>
        <w:t>八、</w:t>
      </w:r>
      <w:r>
        <w:rPr>
          <w:rStyle w:val="18"/>
          <w:rFonts w:hint="eastAsia" w:ascii="黑体" w:hAnsi="黑体" w:eastAsia="黑体"/>
          <w:b w:val="0"/>
          <w:color w:val="auto"/>
          <w:highlight w:val="none"/>
        </w:rPr>
        <w:t>政府性基金预算支出决算情况说明</w:t>
      </w:r>
      <w:bookmarkEnd w:id="44"/>
      <w:bookmarkEnd w:id="45"/>
    </w:p>
    <w:p w14:paraId="702F9C8F">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2019</w:t>
      </w:r>
      <w:r>
        <w:rPr>
          <w:rFonts w:hint="eastAsia" w:ascii="仿宋_GB2312" w:eastAsia="仿宋_GB2312"/>
          <w:color w:val="auto"/>
          <w:sz w:val="32"/>
          <w:szCs w:val="32"/>
          <w:highlight w:val="none"/>
        </w:rPr>
        <w:t>年政府性基金预算拨款支出0万元。</w:t>
      </w:r>
    </w:p>
    <w:p w14:paraId="2099232B">
      <w:pPr>
        <w:numPr>
          <w:ilvl w:val="0"/>
          <w:numId w:val="2"/>
        </w:numPr>
        <w:spacing w:line="600" w:lineRule="exact"/>
        <w:ind w:firstLine="640"/>
        <w:outlineLvl w:val="1"/>
        <w:rPr>
          <w:rStyle w:val="18"/>
          <w:rFonts w:ascii="黑体" w:hAnsi="黑体" w:eastAsia="黑体"/>
          <w:b w:val="0"/>
          <w:color w:val="auto"/>
          <w:highlight w:val="none"/>
        </w:rPr>
      </w:pPr>
      <w:bookmarkStart w:id="46" w:name="_Toc15377219"/>
      <w:bookmarkStart w:id="47" w:name="_Toc15396611"/>
      <w:r>
        <w:rPr>
          <w:rStyle w:val="18"/>
          <w:rFonts w:hint="eastAsia" w:ascii="黑体" w:hAnsi="黑体" w:eastAsia="黑体"/>
          <w:b w:val="0"/>
          <w:color w:val="auto"/>
          <w:highlight w:val="none"/>
        </w:rPr>
        <w:t>国有资本经营预算支出决算情况说明</w:t>
      </w:r>
      <w:bookmarkEnd w:id="46"/>
      <w:bookmarkEnd w:id="47"/>
    </w:p>
    <w:p w14:paraId="0757655B">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2019</w:t>
      </w:r>
      <w:r>
        <w:rPr>
          <w:rFonts w:hint="eastAsia" w:ascii="仿宋_GB2312" w:eastAsia="仿宋_GB2312"/>
          <w:color w:val="auto"/>
          <w:sz w:val="32"/>
          <w:szCs w:val="32"/>
          <w:highlight w:val="none"/>
        </w:rPr>
        <w:t>年国有资本经营预算拨款支出0万元。</w:t>
      </w:r>
    </w:p>
    <w:p w14:paraId="2FFE9090">
      <w:pPr>
        <w:spacing w:line="600" w:lineRule="exact"/>
        <w:ind w:firstLine="640" w:firstLineChars="200"/>
        <w:outlineLvl w:val="1"/>
        <w:rPr>
          <w:rStyle w:val="18"/>
          <w:rFonts w:ascii="黑体" w:hAnsi="黑体" w:eastAsia="黑体"/>
          <w:color w:val="auto"/>
          <w:highlight w:val="none"/>
        </w:rPr>
      </w:pPr>
      <w:bookmarkStart w:id="48" w:name="_Toc15396612"/>
      <w:bookmarkStart w:id="49" w:name="_Toc15377221"/>
      <w:r>
        <w:rPr>
          <w:rFonts w:hint="eastAsia" w:ascii="黑体" w:hAnsi="黑体" w:eastAsia="黑体"/>
          <w:color w:val="auto"/>
          <w:sz w:val="32"/>
          <w:szCs w:val="32"/>
          <w:highlight w:val="none"/>
        </w:rPr>
        <w:t>十</w:t>
      </w:r>
      <w:r>
        <w:rPr>
          <w:rStyle w:val="18"/>
          <w:rFonts w:hint="eastAsia" w:ascii="黑体" w:hAnsi="黑体" w:eastAsia="黑体"/>
          <w:color w:val="auto"/>
          <w:highlight w:val="none"/>
        </w:rPr>
        <w:t>、</w:t>
      </w:r>
      <w:r>
        <w:rPr>
          <w:rStyle w:val="18"/>
          <w:rFonts w:hint="eastAsia" w:ascii="黑体" w:hAnsi="黑体" w:eastAsia="黑体"/>
          <w:b w:val="0"/>
          <w:color w:val="auto"/>
          <w:highlight w:val="none"/>
        </w:rPr>
        <w:t>其他重要事项的情况说明</w:t>
      </w:r>
      <w:bookmarkEnd w:id="48"/>
      <w:bookmarkEnd w:id="49"/>
    </w:p>
    <w:p w14:paraId="0CEAD656">
      <w:pPr>
        <w:spacing w:line="600" w:lineRule="exact"/>
        <w:ind w:firstLine="643" w:firstLineChars="200"/>
        <w:outlineLvl w:val="2"/>
        <w:rPr>
          <w:rFonts w:ascii="仿宋" w:hAnsi="仿宋" w:eastAsia="仿宋"/>
          <w:color w:val="auto"/>
          <w:sz w:val="32"/>
          <w:szCs w:val="32"/>
          <w:highlight w:val="none"/>
        </w:rPr>
      </w:pPr>
      <w:bookmarkStart w:id="50" w:name="_Toc15377222"/>
      <w:r>
        <w:rPr>
          <w:rFonts w:hint="eastAsia" w:ascii="仿宋" w:hAnsi="仿宋" w:eastAsia="仿宋"/>
          <w:b/>
          <w:color w:val="auto"/>
          <w:sz w:val="32"/>
          <w:szCs w:val="32"/>
          <w:highlight w:val="none"/>
        </w:rPr>
        <w:t>（一）机关运行经费支出情况</w:t>
      </w:r>
      <w:bookmarkEnd w:id="50"/>
    </w:p>
    <w:p w14:paraId="3EC047D1">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2019</w:t>
      </w:r>
      <w:r>
        <w:rPr>
          <w:rFonts w:hint="eastAsia" w:ascii="仿宋_GB2312" w:eastAsia="仿宋_GB2312"/>
          <w:color w:val="auto"/>
          <w:sz w:val="32"/>
          <w:szCs w:val="32"/>
          <w:highlight w:val="none"/>
        </w:rPr>
        <w:t>年，米易县</w:t>
      </w:r>
      <w:r>
        <w:rPr>
          <w:rFonts w:hint="eastAsia" w:ascii="仿宋_GB2312" w:eastAsia="仿宋_GB2312"/>
          <w:color w:val="auto"/>
          <w:sz w:val="32"/>
          <w:szCs w:val="32"/>
          <w:highlight w:val="none"/>
          <w:lang w:val="en-US" w:eastAsia="zh-CN"/>
        </w:rPr>
        <w:t>人大常委会</w:t>
      </w:r>
      <w:r>
        <w:rPr>
          <w:rFonts w:hint="eastAsia" w:ascii="仿宋_GB2312" w:eastAsia="仿宋_GB2312"/>
          <w:color w:val="auto"/>
          <w:sz w:val="32"/>
          <w:szCs w:val="32"/>
          <w:highlight w:val="none"/>
        </w:rPr>
        <w:t>办公室机关运行经费支出67.78万元，比</w:t>
      </w:r>
      <w:r>
        <w:rPr>
          <w:rFonts w:ascii="仿宋_GB2312" w:eastAsia="仿宋_GB2312"/>
          <w:color w:val="auto"/>
          <w:sz w:val="32"/>
          <w:szCs w:val="32"/>
          <w:highlight w:val="none"/>
        </w:rPr>
        <w:t>2018</w:t>
      </w:r>
      <w:r>
        <w:rPr>
          <w:rFonts w:hint="eastAsia" w:ascii="仿宋_GB2312" w:eastAsia="仿宋_GB2312"/>
          <w:color w:val="auto"/>
          <w:sz w:val="32"/>
          <w:szCs w:val="32"/>
          <w:highlight w:val="none"/>
        </w:rPr>
        <w:t>年增加9.38万元，增长13.8</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。主要原因是2019年</w:t>
      </w:r>
      <w:r>
        <w:rPr>
          <w:rFonts w:hint="eastAsia" w:ascii="仿宋" w:hAnsi="仿宋" w:eastAsia="仿宋" w:cs="仿宋"/>
          <w:color w:val="auto"/>
          <w:sz w:val="32"/>
          <w:szCs w:val="32"/>
          <w:highlight w:val="none"/>
        </w:rPr>
        <w:t>人员增加，经费支出相应增加。</w:t>
      </w:r>
    </w:p>
    <w:p w14:paraId="0CE328CA">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1" w:name="_Toc15377223"/>
      <w:r>
        <w:rPr>
          <w:rFonts w:hint="eastAsia" w:ascii="仿宋" w:hAnsi="仿宋" w:eastAsia="仿宋"/>
          <w:b/>
          <w:color w:val="auto"/>
          <w:sz w:val="32"/>
          <w:szCs w:val="32"/>
          <w:highlight w:val="none"/>
        </w:rPr>
        <w:t>（二）政府采购支出情况</w:t>
      </w:r>
      <w:bookmarkEnd w:id="51"/>
    </w:p>
    <w:p w14:paraId="439065F4">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2019</w:t>
      </w:r>
      <w:r>
        <w:rPr>
          <w:rFonts w:hint="eastAsia" w:ascii="仿宋_GB2312" w:eastAsia="仿宋_GB2312"/>
          <w:color w:val="auto"/>
          <w:sz w:val="32"/>
          <w:szCs w:val="32"/>
          <w:highlight w:val="none"/>
        </w:rPr>
        <w:t>年，米易县</w:t>
      </w:r>
      <w:r>
        <w:rPr>
          <w:rFonts w:hint="eastAsia" w:ascii="仿宋_GB2312" w:eastAsia="仿宋_GB2312"/>
          <w:color w:val="auto"/>
          <w:sz w:val="32"/>
          <w:szCs w:val="32"/>
          <w:highlight w:val="none"/>
          <w:lang w:val="en-US" w:eastAsia="zh-CN"/>
        </w:rPr>
        <w:t>人大常委会</w:t>
      </w:r>
      <w:r>
        <w:rPr>
          <w:rFonts w:hint="eastAsia" w:ascii="仿宋_GB2312" w:eastAsia="仿宋_GB2312"/>
          <w:color w:val="auto"/>
          <w:sz w:val="32"/>
          <w:szCs w:val="32"/>
          <w:highlight w:val="none"/>
        </w:rPr>
        <w:t>办公室政府采购支出总额0万元，其中：政府采购货物支出0万元、政府采购工程支出0万元、政府采购服务支出0万元。授予中小企业合同金额0万元，占政府采购支出总额的0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，其中：授予小微企业合同金额0万元，占政府采购支出总额的0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4D17D784">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2" w:name="_Toc15377224"/>
      <w:r>
        <w:rPr>
          <w:rFonts w:hint="eastAsia" w:ascii="仿宋" w:hAnsi="仿宋" w:eastAsia="仿宋"/>
          <w:b/>
          <w:color w:val="auto"/>
          <w:sz w:val="32"/>
          <w:szCs w:val="32"/>
          <w:highlight w:val="none"/>
        </w:rPr>
        <w:t>（三）国有资产占有使用情况</w:t>
      </w:r>
      <w:bookmarkEnd w:id="52"/>
    </w:p>
    <w:p w14:paraId="37F8AB01">
      <w:pPr>
        <w:autoSpaceDE w:val="0"/>
        <w:autoSpaceDN w:val="0"/>
        <w:adjustRightInd w:val="0"/>
        <w:spacing w:line="600" w:lineRule="exact"/>
        <w:ind w:firstLine="640" w:firstLineChars="200"/>
        <w:jc w:val="left"/>
        <w:rPr>
          <w:rFonts w:ascii="仿宋" w:hAnsi="仿宋" w:eastAsia="仿宋"/>
          <w:b/>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2019</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日，米易县</w:t>
      </w:r>
      <w:r>
        <w:rPr>
          <w:rFonts w:hint="eastAsia" w:ascii="仿宋_GB2312" w:eastAsia="仿宋_GB2312"/>
          <w:color w:val="auto"/>
          <w:sz w:val="32"/>
          <w:szCs w:val="32"/>
          <w:highlight w:val="none"/>
          <w:lang w:val="en-US" w:eastAsia="zh-CN"/>
        </w:rPr>
        <w:t>人大常委会</w:t>
      </w:r>
      <w:r>
        <w:rPr>
          <w:rFonts w:hint="eastAsia" w:ascii="仿宋_GB2312" w:eastAsia="仿宋_GB2312"/>
          <w:color w:val="auto"/>
          <w:sz w:val="32"/>
          <w:szCs w:val="32"/>
          <w:highlight w:val="none"/>
        </w:rPr>
        <w:t>办公室共有车辆0辆，其中：主要领导干部用车0辆、机要通信用车0辆、应急保障用车0辆、其他用车0辆。单价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万元以上通用设备0台（套），单价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万元以上专用设备0台（套）。</w:t>
      </w:r>
    </w:p>
    <w:p w14:paraId="2FD02296">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14:paraId="7CF3CA84">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单位在年初预算编制阶段，组织对5项目（主任、副主任专项工作经费；六委一室专项；人大代表报刊经费；乡镇人大代表之家建设经费；2019年集中办公区物业管理费用）开展了预算事前绩效评估，对5个项目编制了绩效目标，预算执行过程中，选取1个项目开展绩效监控，年终执行完毕后，对5个项目开展了绩效目标完成情况自评。</w:t>
      </w:r>
    </w:p>
    <w:p w14:paraId="1E9C90A3">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本单位按要求对</w:t>
      </w:r>
      <w:r>
        <w:rPr>
          <w:rFonts w:ascii="仿宋_GB2312" w:hAnsi="仿宋_GB2312" w:eastAsia="仿宋_GB2312" w:cs="仿宋_GB2312"/>
          <w:color w:val="auto"/>
          <w:sz w:val="32"/>
          <w:szCs w:val="32"/>
          <w:highlight w:val="none"/>
        </w:rPr>
        <w:t>2019</w:t>
      </w:r>
      <w:r>
        <w:rPr>
          <w:rFonts w:hint="eastAsia" w:ascii="仿宋_GB2312" w:hAnsi="仿宋_GB2312" w:eastAsia="仿宋_GB2312" w:cs="仿宋_GB2312"/>
          <w:color w:val="auto"/>
          <w:sz w:val="32"/>
          <w:szCs w:val="32"/>
          <w:highlight w:val="none"/>
        </w:rPr>
        <w:t>年部门整体支出开展绩效自评，从评价情况来看</w:t>
      </w:r>
      <w:r>
        <w:rPr>
          <w:rFonts w:ascii="仿宋_GB2312" w:hAnsi="仿宋_GB2312" w:eastAsia="仿宋_GB2312" w:cs="仿宋_GB2312"/>
          <w:color w:val="auto"/>
          <w:sz w:val="32"/>
          <w:szCs w:val="32"/>
          <w:highlight w:val="none"/>
        </w:rPr>
        <w:t>201</w:t>
      </w:r>
      <w:r>
        <w:rPr>
          <w:rFonts w:hint="eastAsia" w:ascii="仿宋_GB2312" w:hAnsi="仿宋_GB2312" w:eastAsia="仿宋_GB2312" w:cs="仿宋_GB2312"/>
          <w:color w:val="auto"/>
          <w:sz w:val="32"/>
          <w:szCs w:val="32"/>
          <w:highlight w:val="none"/>
        </w:rPr>
        <w:t>9年</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人大常委会办公室将部门整体支出绩效评价作为了财政预算资金使用管理的一项重要工作，切实加强预算收入管理，全面梳理内部管理流程，建立健全了内部管理制度，有效提升了部门整体支出的管理水平。整体上完成了年初设定的绩效目标，保障了部门各单位的正常运转，充分发挥了财政资金的经济效益和社会效益。</w:t>
      </w:r>
    </w:p>
    <w:p w14:paraId="77A91D6D">
      <w:pPr>
        <w:spacing w:line="600" w:lineRule="exact"/>
        <w:ind w:firstLine="640" w:firstLineChars="200"/>
        <w:rPr>
          <w:rFonts w:ascii="仿宋_GB2312" w:hAnsi="仿宋_GB2312" w:eastAsia="仿宋_GB2312" w:cs="仿宋_GB2312"/>
          <w:color w:val="auto"/>
          <w:sz w:val="32"/>
          <w:szCs w:val="32"/>
          <w:highlight w:val="none"/>
        </w:rPr>
      </w:pPr>
      <w:r>
        <w:rPr>
          <w:rFonts w:ascii="楷体_GB2312" w:hAnsi="楷体_GB2312" w:eastAsia="楷体_GB2312" w:cs="楷体_GB2312"/>
          <w:color w:val="auto"/>
          <w:sz w:val="32"/>
          <w:szCs w:val="32"/>
          <w:highlight w:val="none"/>
        </w:rPr>
        <w:t>1.</w:t>
      </w:r>
      <w:r>
        <w:rPr>
          <w:rFonts w:hint="eastAsia" w:ascii="楷体_GB2312" w:hAnsi="楷体_GB2312" w:eastAsia="楷体_GB2312" w:cs="楷体_GB2312"/>
          <w:color w:val="auto"/>
          <w:sz w:val="32"/>
          <w:szCs w:val="32"/>
          <w:highlight w:val="none"/>
        </w:rPr>
        <w:t>项目绩效目标完成情况。</w:t>
      </w:r>
      <w:r>
        <w:rPr>
          <w:rFonts w:ascii="楷体_GB2312" w:hAnsi="楷体_GB2312" w:eastAsia="楷体_GB2312" w:cs="楷体_GB2312"/>
          <w:color w:val="auto"/>
          <w:sz w:val="32"/>
          <w:szCs w:val="32"/>
          <w:highlight w:val="none"/>
        </w:rPr>
        <w:br w:type="textWrapping"/>
      </w: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本部门在</w:t>
      </w:r>
      <w:r>
        <w:rPr>
          <w:rFonts w:ascii="仿宋_GB2312" w:hAnsi="仿宋_GB2312" w:eastAsia="仿宋_GB2312" w:cs="仿宋_GB2312"/>
          <w:color w:val="auto"/>
          <w:sz w:val="32"/>
          <w:szCs w:val="32"/>
          <w:highlight w:val="none"/>
        </w:rPr>
        <w:t>2019</w:t>
      </w:r>
      <w:r>
        <w:rPr>
          <w:rFonts w:hint="eastAsia" w:ascii="仿宋_GB2312" w:hAnsi="仿宋_GB2312" w:eastAsia="仿宋_GB2312" w:cs="仿宋_GB2312"/>
          <w:color w:val="auto"/>
          <w:sz w:val="32"/>
          <w:szCs w:val="32"/>
          <w:highlight w:val="none"/>
        </w:rPr>
        <w:t>年度部门决算中反映人大代表专项经费、人大代表报刊经费、乡镇人大代表之家建设经费等5个项目绩效目标实际完成情况。</w:t>
      </w:r>
    </w:p>
    <w:p w14:paraId="533BFCC7">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t>）人大代表专项经费项目绩效目标完成情况综述。项目全年预算数8.94万元，执行数为8.94万元，完成预算的100</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。通过项目实施，保障了</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人大</w:t>
      </w:r>
      <w:r>
        <w:rPr>
          <w:rFonts w:hint="eastAsia" w:ascii="仿宋_GB2312" w:hAnsi="仿宋_GB2312" w:eastAsia="仿宋_GB2312" w:cs="仿宋_GB2312"/>
          <w:color w:val="auto"/>
          <w:sz w:val="32"/>
          <w:szCs w:val="32"/>
          <w:highlight w:val="none"/>
          <w:lang w:val="en-US" w:eastAsia="zh-CN"/>
        </w:rPr>
        <w:t>常委会</w:t>
      </w:r>
      <w:r>
        <w:rPr>
          <w:rFonts w:hint="eastAsia" w:ascii="仿宋_GB2312" w:hAnsi="仿宋_GB2312" w:eastAsia="仿宋_GB2312" w:cs="仿宋_GB2312"/>
          <w:color w:val="auto"/>
          <w:sz w:val="32"/>
          <w:szCs w:val="32"/>
          <w:highlight w:val="none"/>
        </w:rPr>
        <w:t>机关工作的正常运转。</w:t>
      </w:r>
    </w:p>
    <w:p w14:paraId="205BD549">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rPr>
        <w:t>）人大代表报刊经费项目绩效目标完成情况综述。项目全年预算数3万元，执行数为3万元，完成预算的100</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。通过项目实施，保障了人大代表的知识理论储备。</w:t>
      </w:r>
    </w:p>
    <w:p w14:paraId="234D3329">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rPr>
        <w:t>）乡镇人大代表之家建设经费项目绩效目标完成情况综述。项目全年预算数24万元，执行数为24万元，完成预算的100</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通过项目实施，保障了乡镇人大代表开展活动的阵地，解决乡镇人大代表“活动难组织难开展，能力难提升难发挥，实效难体现”等突出问题，使“人大代表之家”真正成为人大代表学习进步的平台、履职尽责的平台、展示形象的平台。</w:t>
      </w:r>
    </w:p>
    <w:p w14:paraId="16312B49">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（4）2019年集中办公区物业管理费用项目绩效目标完成情况综述。项目全年预算数9.21万元，执行数为9.21万元，完成预算的100</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。通过项目实施，实现了办公楼物业的统一管理、综合服务，</w:t>
      </w:r>
      <w:r>
        <w:rPr>
          <w:rFonts w:hint="eastAsia" w:ascii="仿宋_GB2312" w:hAnsi="仿宋_GB2312" w:eastAsia="仿宋_GB2312" w:cs="仿宋_GB2312"/>
          <w:color w:val="auto"/>
          <w:sz w:val="32"/>
          <w:szCs w:val="32"/>
          <w:highlight w:val="none"/>
          <w:lang w:val="en-US" w:eastAsia="zh-CN"/>
        </w:rPr>
        <w:t>保障</w:t>
      </w:r>
      <w:r>
        <w:rPr>
          <w:rFonts w:hint="eastAsia" w:ascii="仿宋_GB2312" w:hAnsi="仿宋_GB2312" w:eastAsia="仿宋_GB2312" w:cs="仿宋_GB2312"/>
          <w:color w:val="auto"/>
          <w:sz w:val="32"/>
          <w:szCs w:val="32"/>
          <w:highlight w:val="none"/>
        </w:rPr>
        <w:t>了办公区及公共区域内的设施设备完好并能正常运转，保障了管理区域内的安全有秩，环境卫生干净整洁等。</w:t>
      </w:r>
    </w:p>
    <w:p w14:paraId="372376ED">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（5）主任、副主任专项工作经费项目绩效目标完成情况综述。项目全年预算数25万元，执行数为25万元，完成预算的100</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。通过项目实施，保障了</w:t>
      </w:r>
      <w:r>
        <w:rPr>
          <w:rFonts w:hint="eastAsia" w:ascii="仿宋_GB2312" w:hAnsi="仿宋_GB2312" w:eastAsia="仿宋_GB2312" w:cs="仿宋_GB2312"/>
          <w:color w:val="auto"/>
          <w:sz w:val="32"/>
          <w:szCs w:val="32"/>
          <w:highlight w:val="none"/>
          <w:lang w:val="en-US" w:eastAsia="zh-CN"/>
        </w:rPr>
        <w:t>县</w:t>
      </w:r>
      <w:r>
        <w:rPr>
          <w:rFonts w:hint="eastAsia" w:ascii="仿宋_GB2312" w:hAnsi="仿宋_GB2312" w:eastAsia="仿宋_GB2312" w:cs="仿宋_GB2312"/>
          <w:color w:val="auto"/>
          <w:sz w:val="32"/>
          <w:szCs w:val="32"/>
          <w:highlight w:val="none"/>
        </w:rPr>
        <w:t>人大常委会主任、副主任工作的正常运转。</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1175"/>
        <w:gridCol w:w="1025"/>
        <w:gridCol w:w="2392"/>
        <w:gridCol w:w="2394"/>
        <w:gridCol w:w="2392"/>
      </w:tblGrid>
      <w:tr w14:paraId="013579CA">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04B27E92">
            <w:pPr>
              <w:widowControl/>
              <w:jc w:val="center"/>
              <w:textAlignment w:val="center"/>
              <w:rPr>
                <w:rFonts w:ascii="宋体" w:cs="宋体"/>
                <w:color w:val="auto"/>
                <w:sz w:val="36"/>
                <w:szCs w:val="36"/>
                <w:highlight w:val="none"/>
              </w:rPr>
            </w:pPr>
            <w:r>
              <w:rPr>
                <w:rFonts w:hint="eastAsia" w:ascii="宋体" w:hAnsi="宋体" w:cs="宋体"/>
                <w:b/>
                <w:bCs/>
                <w:color w:val="auto"/>
                <w:kern w:val="0"/>
                <w:sz w:val="36"/>
                <w:szCs w:val="36"/>
                <w:highlight w:val="none"/>
              </w:rPr>
              <w:t>项目绩效目标完成情况表</w:t>
            </w:r>
            <w:r>
              <w:rPr>
                <w:rFonts w:ascii="宋体" w:cs="宋体"/>
                <w:b/>
                <w:bCs/>
                <w:color w:val="auto"/>
                <w:kern w:val="0"/>
                <w:sz w:val="36"/>
                <w:szCs w:val="36"/>
                <w:highlight w:val="none"/>
              </w:rPr>
              <w:br w:type="textWrapping"/>
            </w:r>
            <w:r>
              <w:rPr>
                <w:rFonts w:ascii="宋体" w:hAnsi="宋体" w:cs="宋体"/>
                <w:color w:val="auto"/>
                <w:kern w:val="0"/>
                <w:sz w:val="36"/>
                <w:szCs w:val="36"/>
                <w:highlight w:val="none"/>
              </w:rPr>
              <w:t xml:space="preserve">(2019 </w:t>
            </w:r>
            <w:r>
              <w:rPr>
                <w:rFonts w:hint="eastAsia" w:ascii="宋体" w:hAnsi="宋体" w:cs="宋体"/>
                <w:color w:val="auto"/>
                <w:kern w:val="0"/>
                <w:sz w:val="36"/>
                <w:szCs w:val="36"/>
                <w:highlight w:val="none"/>
              </w:rPr>
              <w:t>年度</w:t>
            </w:r>
            <w:r>
              <w:rPr>
                <w:rFonts w:ascii="宋体" w:hAnsi="宋体" w:cs="宋体"/>
                <w:color w:val="auto"/>
                <w:kern w:val="0"/>
                <w:sz w:val="36"/>
                <w:szCs w:val="36"/>
                <w:highlight w:val="none"/>
              </w:rPr>
              <w:t>)</w:t>
            </w:r>
          </w:p>
        </w:tc>
      </w:tr>
      <w:tr w14:paraId="70AB95FC">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109EB">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B89CF">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人大代表专项经费</w:t>
            </w:r>
          </w:p>
        </w:tc>
      </w:tr>
      <w:tr w14:paraId="0D9961B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5761D3">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F043F3">
            <w:pPr>
              <w:widowControl/>
              <w:jc w:val="center"/>
              <w:textAlignment w:val="center"/>
              <w:rPr>
                <w:rFonts w:ascii="宋体" w:cs="宋体"/>
                <w:color w:val="auto"/>
                <w:sz w:val="24"/>
                <w:highlight w:val="none"/>
              </w:rPr>
            </w:pPr>
            <w:r>
              <w:rPr>
                <w:rFonts w:hint="eastAsia" w:ascii="宋体" w:cs="宋体"/>
                <w:color w:val="auto"/>
                <w:sz w:val="24"/>
                <w:highlight w:val="none"/>
              </w:rPr>
              <w:t>米易县人大常委会办公室</w:t>
            </w:r>
          </w:p>
        </w:tc>
      </w:tr>
      <w:tr w14:paraId="2426AD92">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3B48A6">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预算执行情况</w:t>
            </w:r>
            <w:r>
              <w:rPr>
                <w:rFonts w:ascii="宋体" w:hAnsi="宋体" w:cs="宋体"/>
                <w:color w:val="auto"/>
                <w:kern w:val="0"/>
                <w:sz w:val="24"/>
                <w:highlight w:val="none"/>
              </w:rPr>
              <w:t>(</w:t>
            </w:r>
            <w:r>
              <w:rPr>
                <w:rFonts w:hint="eastAsia" w:ascii="宋体" w:hAnsi="宋体" w:cs="宋体"/>
                <w:color w:val="auto"/>
                <w:kern w:val="0"/>
                <w:sz w:val="24"/>
                <w:highlight w:val="none"/>
              </w:rPr>
              <w:t>万元</w:t>
            </w:r>
            <w:r>
              <w:rPr>
                <w:rFonts w:ascii="宋体" w:hAnsi="宋体" w:cs="宋体"/>
                <w:color w:val="auto"/>
                <w:kern w:val="0"/>
                <w:sz w:val="24"/>
                <w:highlight w:val="none"/>
              </w:rPr>
              <w:t>)</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E5B2D2">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4B5E70">
            <w:pPr>
              <w:widowControl/>
              <w:jc w:val="center"/>
              <w:textAlignment w:val="center"/>
              <w:rPr>
                <w:rFonts w:ascii="宋体" w:cs="宋体"/>
                <w:color w:val="auto"/>
                <w:sz w:val="24"/>
                <w:highlight w:val="none"/>
              </w:rPr>
            </w:pPr>
            <w:r>
              <w:rPr>
                <w:rFonts w:hint="eastAsia" w:ascii="宋体" w:cs="宋体"/>
                <w:color w:val="auto"/>
                <w:sz w:val="24"/>
                <w:highlight w:val="none"/>
              </w:rPr>
              <w:t>8.94</w:t>
            </w:r>
            <w:r>
              <w:rPr>
                <w:rFonts w:ascii="宋体" w:cs="宋体"/>
                <w:color w:val="auto"/>
                <w:sz w:val="24"/>
                <w:highlight w:val="none"/>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FFC998">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执行数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8FEEE7">
            <w:pPr>
              <w:widowControl/>
              <w:jc w:val="center"/>
              <w:textAlignment w:val="center"/>
              <w:rPr>
                <w:rFonts w:ascii="宋体" w:cs="宋体"/>
                <w:color w:val="auto"/>
                <w:sz w:val="24"/>
                <w:highlight w:val="none"/>
              </w:rPr>
            </w:pPr>
            <w:r>
              <w:rPr>
                <w:rFonts w:hint="eastAsia" w:ascii="宋体" w:cs="宋体"/>
                <w:color w:val="auto"/>
                <w:sz w:val="24"/>
                <w:highlight w:val="none"/>
              </w:rPr>
              <w:t>8.94</w:t>
            </w:r>
            <w:r>
              <w:rPr>
                <w:rFonts w:ascii="宋体" w:cs="宋体"/>
                <w:color w:val="auto"/>
                <w:sz w:val="24"/>
                <w:highlight w:val="none"/>
              </w:rPr>
              <w:t xml:space="preserve"> </w:t>
            </w:r>
          </w:p>
        </w:tc>
      </w:tr>
      <w:tr w14:paraId="4F2B5003">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7E5181">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0D268">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8E9CF">
            <w:pPr>
              <w:widowControl/>
              <w:jc w:val="center"/>
              <w:textAlignment w:val="center"/>
              <w:rPr>
                <w:rFonts w:ascii="宋体" w:cs="宋体"/>
                <w:color w:val="auto"/>
                <w:sz w:val="24"/>
                <w:highlight w:val="none"/>
              </w:rPr>
            </w:pPr>
            <w:r>
              <w:rPr>
                <w:rFonts w:hint="eastAsia" w:ascii="宋体" w:cs="宋体"/>
                <w:color w:val="auto"/>
                <w:sz w:val="24"/>
                <w:highlight w:val="none"/>
              </w:rPr>
              <w:t>8.94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6186F">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373A76">
            <w:pPr>
              <w:widowControl/>
              <w:jc w:val="center"/>
              <w:textAlignment w:val="center"/>
              <w:rPr>
                <w:rFonts w:ascii="宋体" w:cs="宋体"/>
                <w:color w:val="auto"/>
                <w:sz w:val="24"/>
                <w:highlight w:val="none"/>
              </w:rPr>
            </w:pPr>
            <w:r>
              <w:rPr>
                <w:rFonts w:hint="eastAsia" w:ascii="宋体" w:cs="宋体"/>
                <w:color w:val="auto"/>
                <w:sz w:val="24"/>
                <w:highlight w:val="none"/>
              </w:rPr>
              <w:t>8.94</w:t>
            </w:r>
            <w:r>
              <w:rPr>
                <w:rFonts w:ascii="宋体" w:cs="宋体"/>
                <w:color w:val="auto"/>
                <w:sz w:val="24"/>
                <w:highlight w:val="none"/>
              </w:rPr>
              <w:t xml:space="preserve"> </w:t>
            </w:r>
          </w:p>
        </w:tc>
      </w:tr>
      <w:tr w14:paraId="5EC877C4">
        <w:tblPrEx>
          <w:tblCellMar>
            <w:top w:w="0" w:type="dxa"/>
            <w:left w:w="0" w:type="dxa"/>
            <w:bottom w:w="0" w:type="dxa"/>
            <w:right w:w="0" w:type="dxa"/>
          </w:tblCellMar>
        </w:tblPrEx>
        <w:trPr>
          <w:trHeight w:val="1511"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73081">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BA1B1B">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4EB7E3">
            <w:pPr>
              <w:widowControl/>
              <w:jc w:val="center"/>
              <w:textAlignment w:val="center"/>
              <w:rPr>
                <w:rFonts w:ascii="宋体" w:cs="宋体"/>
                <w:color w:val="auto"/>
                <w:sz w:val="24"/>
                <w:highlight w:val="none"/>
              </w:rPr>
            </w:pPr>
            <w:r>
              <w:rPr>
                <w:rFonts w:hint="eastAsia" w:ascii="宋体" w:cs="宋体"/>
                <w:color w:val="auto"/>
                <w:sz w:val="24"/>
                <w:highlight w:val="none"/>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8B33B0">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433F4">
            <w:pPr>
              <w:jc w:val="center"/>
              <w:rPr>
                <w:rFonts w:ascii="宋体" w:cs="宋体"/>
                <w:color w:val="auto"/>
                <w:sz w:val="24"/>
                <w:highlight w:val="none"/>
              </w:rPr>
            </w:pPr>
            <w:r>
              <w:rPr>
                <w:rFonts w:hint="eastAsia" w:ascii="宋体" w:cs="宋体"/>
                <w:color w:val="auto"/>
                <w:sz w:val="24"/>
                <w:highlight w:val="none"/>
              </w:rPr>
              <w:t>0</w:t>
            </w:r>
          </w:p>
        </w:tc>
      </w:tr>
      <w:tr w14:paraId="1C4DB642">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C9F7D4">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36D958">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C8CEB6">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实际完成目标</w:t>
            </w:r>
          </w:p>
        </w:tc>
      </w:tr>
      <w:tr w14:paraId="487772BA">
        <w:tblPrEx>
          <w:tblCellMar>
            <w:top w:w="0" w:type="dxa"/>
            <w:left w:w="0" w:type="dxa"/>
            <w:bottom w:w="0" w:type="dxa"/>
            <w:right w:w="0" w:type="dxa"/>
          </w:tblCellMar>
        </w:tblPrEx>
        <w:trPr>
          <w:trHeight w:val="1159"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2605AA">
            <w:pPr>
              <w:jc w:val="center"/>
              <w:rPr>
                <w:rFonts w:ascii="宋体" w:cs="宋体"/>
                <w:color w:val="auto"/>
                <w:sz w:val="24"/>
                <w:highlight w:val="none"/>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7D5F738A">
            <w:pPr>
              <w:rPr>
                <w:rFonts w:ascii="宋体" w:cs="宋体"/>
                <w:color w:val="auto"/>
                <w:kern w:val="0"/>
                <w:sz w:val="24"/>
                <w:highlight w:val="none"/>
              </w:rPr>
            </w:pPr>
            <w:r>
              <w:rPr>
                <w:rFonts w:hint="eastAsia" w:ascii="宋体" w:cs="宋体"/>
                <w:color w:val="auto"/>
                <w:kern w:val="0"/>
                <w:sz w:val="24"/>
                <w:highlight w:val="none"/>
              </w:rPr>
              <w:t>保障</w:t>
            </w:r>
            <w:r>
              <w:rPr>
                <w:rFonts w:hint="eastAsia" w:ascii="宋体" w:cs="宋体"/>
                <w:color w:val="auto"/>
                <w:kern w:val="0"/>
                <w:sz w:val="24"/>
                <w:highlight w:val="none"/>
                <w:lang w:val="en-US" w:eastAsia="zh-CN"/>
              </w:rPr>
              <w:t>县</w:t>
            </w:r>
            <w:r>
              <w:rPr>
                <w:rFonts w:hint="eastAsia" w:ascii="宋体" w:cs="宋体"/>
                <w:color w:val="auto"/>
                <w:kern w:val="0"/>
                <w:sz w:val="24"/>
                <w:highlight w:val="none"/>
              </w:rPr>
              <w:t>人大</w:t>
            </w:r>
            <w:r>
              <w:rPr>
                <w:rFonts w:hint="eastAsia" w:ascii="宋体" w:cs="宋体"/>
                <w:color w:val="auto"/>
                <w:kern w:val="0"/>
                <w:sz w:val="24"/>
                <w:highlight w:val="none"/>
                <w:lang w:val="en-US" w:eastAsia="zh-CN"/>
              </w:rPr>
              <w:t>常委会</w:t>
            </w:r>
            <w:r>
              <w:rPr>
                <w:rFonts w:hint="eastAsia" w:ascii="宋体" w:cs="宋体"/>
                <w:color w:val="auto"/>
                <w:kern w:val="0"/>
                <w:sz w:val="24"/>
                <w:highlight w:val="none"/>
              </w:rPr>
              <w:t>机关工作的正常运转。</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2D3603A6">
            <w:pPr>
              <w:rPr>
                <w:rFonts w:ascii="宋体" w:cs="宋体"/>
                <w:color w:val="auto"/>
                <w:kern w:val="0"/>
                <w:sz w:val="24"/>
                <w:highlight w:val="none"/>
              </w:rPr>
            </w:pPr>
            <w:r>
              <w:rPr>
                <w:rFonts w:hint="eastAsia" w:ascii="宋体" w:cs="宋体"/>
                <w:color w:val="auto"/>
                <w:kern w:val="0"/>
                <w:sz w:val="24"/>
                <w:highlight w:val="none"/>
              </w:rPr>
              <w:t>保障</w:t>
            </w:r>
            <w:r>
              <w:rPr>
                <w:rFonts w:hint="eastAsia" w:ascii="宋体" w:cs="宋体"/>
                <w:color w:val="auto"/>
                <w:kern w:val="0"/>
                <w:sz w:val="24"/>
                <w:highlight w:val="none"/>
                <w:lang w:val="en-US" w:eastAsia="zh-CN"/>
              </w:rPr>
              <w:t>县</w:t>
            </w:r>
            <w:r>
              <w:rPr>
                <w:rFonts w:hint="eastAsia" w:ascii="宋体" w:cs="宋体"/>
                <w:color w:val="auto"/>
                <w:kern w:val="0"/>
                <w:sz w:val="24"/>
                <w:highlight w:val="none"/>
              </w:rPr>
              <w:t>人大</w:t>
            </w:r>
            <w:r>
              <w:rPr>
                <w:rFonts w:hint="eastAsia" w:ascii="宋体" w:cs="宋体"/>
                <w:color w:val="auto"/>
                <w:kern w:val="0"/>
                <w:sz w:val="24"/>
                <w:highlight w:val="none"/>
                <w:lang w:val="en-US" w:eastAsia="zh-CN"/>
              </w:rPr>
              <w:t>常委会</w:t>
            </w:r>
            <w:r>
              <w:rPr>
                <w:rFonts w:hint="eastAsia" w:ascii="宋体" w:cs="宋体"/>
                <w:color w:val="auto"/>
                <w:kern w:val="0"/>
                <w:sz w:val="24"/>
                <w:highlight w:val="none"/>
              </w:rPr>
              <w:t>机关工作的正常运转。</w:t>
            </w:r>
          </w:p>
        </w:tc>
      </w:tr>
      <w:tr w14:paraId="19B54592">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527EE8A">
            <w:pPr>
              <w:widowControl/>
              <w:jc w:val="center"/>
              <w:textAlignment w:val="center"/>
              <w:rPr>
                <w:rFonts w:ascii="宋体" w:cs="宋体"/>
                <w:color w:val="auto"/>
                <w:sz w:val="24"/>
                <w:highlight w:val="none"/>
              </w:rPr>
            </w:pPr>
            <w:r>
              <w:rPr>
                <w:rFonts w:hint="eastAsia" w:ascii="宋体" w:hAnsi="宋体" w:cs="宋体"/>
                <w:color w:val="auto"/>
                <w:sz w:val="24"/>
                <w:highlight w:val="none"/>
              </w:rPr>
              <w:t>绩效指标完成情况</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F39E32">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671698">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0051FF">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6C9C5C">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B88D8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r>
      <w:tr w14:paraId="439DED94">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6DEB7681">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463E81">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15CB20">
            <w:pPr>
              <w:widowControl/>
              <w:jc w:val="center"/>
              <w:textAlignment w:val="center"/>
              <w:rPr>
                <w:rFonts w:ascii="宋体" w:hAnsi="宋体" w:cs="宋体"/>
                <w:color w:val="auto"/>
                <w:sz w:val="24"/>
                <w:highlight w:val="none"/>
              </w:rPr>
            </w:pPr>
            <w:r>
              <w:rPr>
                <w:rFonts w:hint="eastAsia" w:ascii="宋体" w:hAnsi="宋体" w:cs="宋体"/>
                <w:color w:val="auto"/>
                <w:sz w:val="24"/>
                <w:highlight w:val="none"/>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A62A01">
            <w:pPr>
              <w:widowControl/>
              <w:jc w:val="center"/>
              <w:textAlignment w:val="center"/>
              <w:rPr>
                <w:rFonts w:ascii="宋体" w:hAnsi="宋体" w:cs="宋体"/>
                <w:color w:val="auto"/>
                <w:sz w:val="24"/>
                <w:highlight w:val="none"/>
              </w:rPr>
            </w:pPr>
            <w:r>
              <w:rPr>
                <w:rFonts w:hint="eastAsia" w:ascii="宋体" w:hAnsi="宋体" w:cs="宋体"/>
                <w:color w:val="auto"/>
                <w:sz w:val="24"/>
                <w:highlight w:val="none"/>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7A1504">
            <w:pPr>
              <w:widowControl/>
              <w:jc w:val="left"/>
              <w:textAlignment w:val="center"/>
              <w:rPr>
                <w:rFonts w:ascii="宋体" w:hAnsi="宋体" w:cs="宋体"/>
                <w:color w:val="auto"/>
                <w:sz w:val="24"/>
                <w:highlight w:val="none"/>
              </w:rPr>
            </w:pPr>
            <w:r>
              <w:rPr>
                <w:rFonts w:hint="eastAsia" w:ascii="宋体" w:hAnsi="宋体" w:cs="宋体"/>
                <w:color w:val="auto"/>
                <w:sz w:val="24"/>
                <w:highlight w:val="none"/>
              </w:rPr>
              <w:t>支付人大代表交流协调、学习考察、培训活动等8.94万元。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B93BC">
            <w:pPr>
              <w:widowControl/>
              <w:jc w:val="left"/>
              <w:textAlignment w:val="center"/>
              <w:rPr>
                <w:rFonts w:ascii="宋体" w:hAnsi="宋体" w:cs="宋体"/>
                <w:color w:val="auto"/>
                <w:sz w:val="24"/>
                <w:highlight w:val="none"/>
              </w:rPr>
            </w:pPr>
            <w:r>
              <w:rPr>
                <w:rFonts w:hint="eastAsia" w:ascii="宋体" w:hAnsi="宋体" w:cs="宋体"/>
                <w:color w:val="auto"/>
                <w:sz w:val="24"/>
                <w:highlight w:val="none"/>
              </w:rPr>
              <w:t>支付人大代表交流协调、学习考察、培训活动等8.94万元。</w:t>
            </w:r>
          </w:p>
        </w:tc>
      </w:tr>
      <w:tr w14:paraId="2492D7D0">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1F939368">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23EE5C">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9EFCB">
            <w:pPr>
              <w:widowControl/>
              <w:jc w:val="center"/>
              <w:textAlignment w:val="center"/>
              <w:rPr>
                <w:rFonts w:ascii="宋体" w:hAnsi="宋体"/>
                <w:color w:val="auto"/>
                <w:sz w:val="24"/>
                <w:highlight w:val="none"/>
              </w:rPr>
            </w:pPr>
            <w:r>
              <w:rPr>
                <w:rFonts w:hint="eastAsia" w:ascii="宋体" w:hAnsi="宋体" w:cs="宋体"/>
                <w:color w:val="auto"/>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7951B4">
            <w:pPr>
              <w:widowControl/>
              <w:jc w:val="center"/>
              <w:textAlignment w:val="center"/>
              <w:rPr>
                <w:rFonts w:ascii="宋体" w:hAnsi="宋体"/>
                <w:color w:val="auto"/>
                <w:sz w:val="24"/>
                <w:highlight w:val="none"/>
              </w:rPr>
            </w:pPr>
            <w:r>
              <w:rPr>
                <w:rFonts w:hint="eastAsia" w:ascii="宋体" w:hAnsi="宋体" w:cs="宋体"/>
                <w:color w:val="auto"/>
                <w:sz w:val="24"/>
                <w:highlight w:val="none"/>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829E52">
            <w:pPr>
              <w:widowControl/>
              <w:jc w:val="center"/>
              <w:textAlignment w:val="center"/>
              <w:rPr>
                <w:rFonts w:ascii="宋体" w:hAnsi="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DD8CEA">
            <w:pPr>
              <w:widowControl/>
              <w:jc w:val="center"/>
              <w:textAlignment w:val="center"/>
              <w:rPr>
                <w:rFonts w:ascii="宋体" w:hAnsi="宋体"/>
                <w:color w:val="auto"/>
                <w:sz w:val="24"/>
                <w:highlight w:val="none"/>
              </w:rPr>
            </w:pPr>
            <w:r>
              <w:rPr>
                <w:rFonts w:hint="eastAsia" w:ascii="宋体" w:hAnsi="宋体"/>
                <w:color w:val="auto"/>
                <w:sz w:val="24"/>
                <w:highlight w:val="none"/>
              </w:rPr>
              <w:t>完成</w:t>
            </w:r>
            <w:r>
              <w:rPr>
                <w:rFonts w:ascii="宋体" w:hAnsi="宋体"/>
                <w:color w:val="auto"/>
                <w:sz w:val="24"/>
                <w:highlight w:val="none"/>
              </w:rPr>
              <w:t>100%</w:t>
            </w:r>
          </w:p>
        </w:tc>
      </w:tr>
      <w:tr w14:paraId="1F9F0883">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7D56941E">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A49201">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0A8E7">
            <w:pPr>
              <w:widowControl/>
              <w:jc w:val="center"/>
              <w:textAlignment w:val="center"/>
              <w:rPr>
                <w:rFonts w:ascii="宋体" w:hAnsi="宋体"/>
                <w:color w:val="auto"/>
                <w:sz w:val="24"/>
                <w:highlight w:val="none"/>
              </w:rPr>
            </w:pPr>
            <w:r>
              <w:rPr>
                <w:rFonts w:hint="eastAsia" w:ascii="宋体" w:hAnsi="宋体" w:cs="宋体"/>
                <w:color w:val="auto"/>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035E35">
            <w:pPr>
              <w:widowControl/>
              <w:jc w:val="center"/>
              <w:textAlignment w:val="center"/>
              <w:rPr>
                <w:rFonts w:ascii="宋体" w:hAnsi="宋体"/>
                <w:color w:val="auto"/>
                <w:sz w:val="24"/>
                <w:highlight w:val="none"/>
              </w:rPr>
            </w:pPr>
            <w:r>
              <w:rPr>
                <w:rFonts w:hint="eastAsia" w:ascii="宋体" w:hAnsi="宋体" w:cs="宋体"/>
                <w:color w:val="auto"/>
                <w:sz w:val="24"/>
                <w:highlight w:val="none"/>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235117">
            <w:pPr>
              <w:widowControl/>
              <w:jc w:val="center"/>
              <w:textAlignment w:val="center"/>
              <w:rPr>
                <w:rFonts w:ascii="宋体" w:hAnsi="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F94A54">
            <w:pPr>
              <w:widowControl/>
              <w:jc w:val="center"/>
              <w:textAlignment w:val="center"/>
              <w:rPr>
                <w:rFonts w:ascii="宋体" w:hAnsi="宋体"/>
                <w:color w:val="auto"/>
                <w:sz w:val="24"/>
                <w:highlight w:val="none"/>
              </w:rPr>
            </w:pPr>
            <w:r>
              <w:rPr>
                <w:rFonts w:hint="eastAsia" w:ascii="宋体" w:hAnsi="宋体"/>
                <w:color w:val="auto"/>
                <w:sz w:val="24"/>
                <w:highlight w:val="none"/>
              </w:rPr>
              <w:t>资金支付</w:t>
            </w:r>
            <w:r>
              <w:rPr>
                <w:rFonts w:ascii="宋体" w:hAnsi="宋体"/>
                <w:color w:val="auto"/>
                <w:sz w:val="24"/>
                <w:highlight w:val="none"/>
              </w:rPr>
              <w:t>100%</w:t>
            </w:r>
          </w:p>
        </w:tc>
      </w:tr>
      <w:tr w14:paraId="17F05958">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627D786E">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EF390A">
            <w:pPr>
              <w:widowControl/>
              <w:jc w:val="center"/>
              <w:textAlignment w:val="center"/>
              <w:rPr>
                <w:rFonts w:ascii="宋体" w:cs="宋体"/>
                <w:color w:val="auto"/>
                <w:kern w:val="0"/>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472A75">
            <w:pPr>
              <w:widowControl/>
              <w:jc w:val="center"/>
              <w:textAlignment w:val="center"/>
              <w:rPr>
                <w:rFonts w:ascii="宋体" w:hAnsi="宋体"/>
                <w:color w:val="auto"/>
                <w:sz w:val="24"/>
                <w:highlight w:val="none"/>
              </w:rPr>
            </w:pPr>
            <w:r>
              <w:rPr>
                <w:rFonts w:hint="eastAsia" w:ascii="宋体" w:hAnsi="宋体" w:cs="宋体"/>
                <w:color w:val="auto"/>
                <w:sz w:val="24"/>
                <w:highlight w:val="none"/>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A3E336">
            <w:pPr>
              <w:widowControl/>
              <w:jc w:val="center"/>
              <w:textAlignment w:val="center"/>
              <w:rPr>
                <w:rFonts w:ascii="宋体" w:hAnsi="宋体"/>
                <w:color w:val="auto"/>
                <w:sz w:val="24"/>
                <w:highlight w:val="none"/>
              </w:rPr>
            </w:pPr>
            <w:r>
              <w:rPr>
                <w:rFonts w:hint="eastAsia" w:ascii="宋体" w:hAnsi="宋体" w:cs="宋体"/>
                <w:color w:val="auto"/>
                <w:sz w:val="24"/>
                <w:highlight w:val="none"/>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7CFE96">
            <w:pPr>
              <w:widowControl/>
              <w:jc w:val="center"/>
              <w:textAlignment w:val="center"/>
              <w:rPr>
                <w:rFonts w:ascii="宋体" w:hAnsi="宋体"/>
                <w:color w:val="auto"/>
                <w:sz w:val="24"/>
                <w:highlight w:val="none"/>
              </w:rPr>
            </w:pPr>
            <w:r>
              <w:rPr>
                <w:rFonts w:ascii="宋体" w:hAnsi="宋体" w:cs="宋体"/>
                <w:color w:val="auto"/>
                <w:sz w:val="24"/>
                <w:highlight w:val="none"/>
              </w:rPr>
              <w:t>201</w:t>
            </w:r>
            <w:r>
              <w:rPr>
                <w:rFonts w:hint="eastAsia" w:ascii="宋体" w:hAnsi="宋体" w:cs="宋体"/>
                <w:color w:val="auto"/>
                <w:sz w:val="24"/>
                <w:highlight w:val="none"/>
              </w:rPr>
              <w:t>9年</w:t>
            </w:r>
            <w:r>
              <w:rPr>
                <w:rFonts w:ascii="宋体" w:hAnsi="宋体" w:cs="宋体"/>
                <w:color w:val="auto"/>
                <w:sz w:val="24"/>
                <w:highlight w:val="none"/>
              </w:rPr>
              <w:t>1-12</w:t>
            </w:r>
            <w:r>
              <w:rPr>
                <w:rFonts w:hint="eastAsia" w:ascii="宋体" w:hAnsi="宋体" w:cs="宋体"/>
                <w:color w:val="auto"/>
                <w:sz w:val="24"/>
                <w:highlight w:val="none"/>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767A52">
            <w:pPr>
              <w:widowControl/>
              <w:jc w:val="center"/>
              <w:textAlignment w:val="center"/>
              <w:rPr>
                <w:rFonts w:ascii="宋体" w:hAnsi="宋体"/>
                <w:color w:val="auto"/>
                <w:sz w:val="24"/>
                <w:highlight w:val="none"/>
              </w:rPr>
            </w:pPr>
            <w:r>
              <w:rPr>
                <w:rFonts w:ascii="宋体" w:hAnsi="宋体"/>
                <w:color w:val="auto"/>
                <w:sz w:val="24"/>
                <w:highlight w:val="none"/>
              </w:rPr>
              <w:t>201</w:t>
            </w:r>
            <w:r>
              <w:rPr>
                <w:rFonts w:hint="eastAsia" w:ascii="宋体" w:hAnsi="宋体"/>
                <w:color w:val="auto"/>
                <w:sz w:val="24"/>
                <w:highlight w:val="none"/>
              </w:rPr>
              <w:t>9年度全部完成</w:t>
            </w:r>
          </w:p>
        </w:tc>
      </w:tr>
      <w:tr w14:paraId="2CB943B7">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52A0B39">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EB2007">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C74311">
            <w:pPr>
              <w:widowControl/>
              <w:jc w:val="center"/>
              <w:textAlignment w:val="center"/>
              <w:rPr>
                <w:rFonts w:ascii="宋体" w:hAnsi="宋体"/>
                <w:color w:val="auto"/>
                <w:sz w:val="24"/>
                <w:highlight w:val="none"/>
              </w:rPr>
            </w:pPr>
            <w:r>
              <w:rPr>
                <w:rFonts w:hint="eastAsia" w:ascii="宋体" w:hAnsi="宋体" w:cs="宋体"/>
                <w:color w:val="auto"/>
                <w:sz w:val="24"/>
                <w:highlight w:val="none"/>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DFF617">
            <w:pPr>
              <w:widowControl/>
              <w:jc w:val="center"/>
              <w:textAlignment w:val="center"/>
              <w:rPr>
                <w:rFonts w:ascii="宋体" w:hAnsi="宋体"/>
                <w:color w:val="auto"/>
                <w:sz w:val="24"/>
                <w:highlight w:val="none"/>
              </w:rPr>
            </w:pPr>
            <w:r>
              <w:rPr>
                <w:rFonts w:hint="eastAsia" w:ascii="宋体" w:hAnsi="宋体" w:cs="宋体"/>
                <w:color w:val="auto"/>
                <w:sz w:val="24"/>
                <w:highlight w:val="none"/>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CA1D34">
            <w:pPr>
              <w:widowControl/>
              <w:jc w:val="center"/>
              <w:textAlignment w:val="center"/>
              <w:rPr>
                <w:rFonts w:ascii="宋体" w:hAnsi="宋体"/>
                <w:color w:val="auto"/>
                <w:sz w:val="24"/>
                <w:highlight w:val="none"/>
              </w:rPr>
            </w:pPr>
            <w:r>
              <w:rPr>
                <w:rFonts w:hint="eastAsia" w:ascii="宋体" w:hAnsi="宋体" w:cs="宋体"/>
                <w:color w:val="auto"/>
                <w:sz w:val="24"/>
                <w:highlight w:val="none"/>
              </w:rPr>
              <w:t>〉90</w:t>
            </w:r>
            <w:r>
              <w:rPr>
                <w:rFonts w:ascii="宋体" w:hAnsi="宋体" w:cs="宋体"/>
                <w:color w:val="auto"/>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E5A35A">
            <w:pPr>
              <w:widowControl/>
              <w:jc w:val="center"/>
              <w:textAlignment w:val="center"/>
              <w:rPr>
                <w:rFonts w:ascii="宋体" w:hAnsi="宋体"/>
                <w:color w:val="auto"/>
                <w:sz w:val="24"/>
                <w:highlight w:val="none"/>
              </w:rPr>
            </w:pPr>
            <w:r>
              <w:rPr>
                <w:rFonts w:hint="eastAsia" w:ascii="宋体" w:hAnsi="宋体" w:cs="宋体"/>
                <w:color w:val="auto"/>
                <w:sz w:val="24"/>
                <w:highlight w:val="none"/>
              </w:rPr>
              <w:t>〉90</w:t>
            </w:r>
            <w:r>
              <w:rPr>
                <w:rFonts w:ascii="宋体" w:hAnsi="宋体" w:cs="宋体"/>
                <w:color w:val="auto"/>
                <w:sz w:val="24"/>
                <w:highlight w:val="none"/>
              </w:rPr>
              <w:t>%</w:t>
            </w:r>
          </w:p>
        </w:tc>
      </w:tr>
    </w:tbl>
    <w:p w14:paraId="419E07F6">
      <w:pPr>
        <w:spacing w:line="580" w:lineRule="exact"/>
        <w:ind w:left="630"/>
        <w:rPr>
          <w:rFonts w:ascii="仿宋_GB2312" w:hAnsi="仿宋_GB2312" w:eastAsia="仿宋_GB2312" w:cs="仿宋_GB2312"/>
          <w:color w:val="auto"/>
          <w:sz w:val="32"/>
          <w:szCs w:val="32"/>
          <w:highlight w:val="none"/>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1175"/>
        <w:gridCol w:w="1025"/>
        <w:gridCol w:w="2392"/>
        <w:gridCol w:w="2394"/>
        <w:gridCol w:w="2392"/>
      </w:tblGrid>
      <w:tr w14:paraId="73E3B81B">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4FF0097D">
            <w:pPr>
              <w:widowControl/>
              <w:jc w:val="center"/>
              <w:textAlignment w:val="center"/>
              <w:rPr>
                <w:rFonts w:ascii="宋体" w:cs="宋体"/>
                <w:color w:val="auto"/>
                <w:sz w:val="36"/>
                <w:szCs w:val="36"/>
                <w:highlight w:val="none"/>
              </w:rPr>
            </w:pPr>
            <w:r>
              <w:rPr>
                <w:rFonts w:hint="eastAsia" w:ascii="宋体" w:hAnsi="宋体" w:cs="宋体"/>
                <w:b/>
                <w:bCs/>
                <w:color w:val="auto"/>
                <w:kern w:val="0"/>
                <w:sz w:val="36"/>
                <w:szCs w:val="36"/>
                <w:highlight w:val="none"/>
              </w:rPr>
              <w:t>项目绩效目标完成情况表</w:t>
            </w:r>
            <w:r>
              <w:rPr>
                <w:rFonts w:ascii="宋体" w:cs="宋体"/>
                <w:b/>
                <w:bCs/>
                <w:color w:val="auto"/>
                <w:kern w:val="0"/>
                <w:sz w:val="36"/>
                <w:szCs w:val="36"/>
                <w:highlight w:val="none"/>
              </w:rPr>
              <w:br w:type="textWrapping"/>
            </w:r>
            <w:r>
              <w:rPr>
                <w:rFonts w:ascii="宋体" w:hAnsi="宋体" w:cs="宋体"/>
                <w:color w:val="auto"/>
                <w:kern w:val="0"/>
                <w:sz w:val="36"/>
                <w:szCs w:val="36"/>
                <w:highlight w:val="none"/>
              </w:rPr>
              <w:t xml:space="preserve">(2019 </w:t>
            </w:r>
            <w:r>
              <w:rPr>
                <w:rFonts w:hint="eastAsia" w:ascii="宋体" w:hAnsi="宋体" w:cs="宋体"/>
                <w:color w:val="auto"/>
                <w:kern w:val="0"/>
                <w:sz w:val="36"/>
                <w:szCs w:val="36"/>
                <w:highlight w:val="none"/>
              </w:rPr>
              <w:t>年度</w:t>
            </w:r>
            <w:r>
              <w:rPr>
                <w:rFonts w:ascii="宋体" w:hAnsi="宋体" w:cs="宋体"/>
                <w:color w:val="auto"/>
                <w:kern w:val="0"/>
                <w:sz w:val="36"/>
                <w:szCs w:val="36"/>
                <w:highlight w:val="none"/>
              </w:rPr>
              <w:t>)</w:t>
            </w:r>
          </w:p>
        </w:tc>
      </w:tr>
      <w:tr w14:paraId="6C94EB7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E6D4F5">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DEF2D5">
            <w:pPr>
              <w:widowControl/>
              <w:jc w:val="center"/>
              <w:textAlignment w:val="center"/>
              <w:rPr>
                <w:rFonts w:ascii="宋体" w:hAnsi="宋体" w:cs="宋体"/>
                <w:color w:val="auto"/>
                <w:kern w:val="0"/>
                <w:sz w:val="24"/>
                <w:highlight w:val="none"/>
              </w:rPr>
            </w:pPr>
            <w:r>
              <w:rPr>
                <w:rFonts w:hint="eastAsia" w:ascii="宋体" w:cs="宋体"/>
                <w:color w:val="auto"/>
                <w:sz w:val="24"/>
                <w:highlight w:val="none"/>
              </w:rPr>
              <w:t>2019年集中办公区物业管理费用</w:t>
            </w:r>
          </w:p>
        </w:tc>
      </w:tr>
      <w:tr w14:paraId="6AAC267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0571BB">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6F0113">
            <w:pPr>
              <w:widowControl/>
              <w:jc w:val="center"/>
              <w:textAlignment w:val="center"/>
              <w:rPr>
                <w:rFonts w:ascii="宋体" w:cs="宋体"/>
                <w:color w:val="auto"/>
                <w:sz w:val="24"/>
                <w:highlight w:val="none"/>
              </w:rPr>
            </w:pPr>
            <w:r>
              <w:rPr>
                <w:rFonts w:hint="eastAsia" w:ascii="宋体" w:cs="宋体"/>
                <w:color w:val="auto"/>
                <w:sz w:val="24"/>
                <w:highlight w:val="none"/>
              </w:rPr>
              <w:t>米易县人大常委会办公室</w:t>
            </w:r>
          </w:p>
        </w:tc>
      </w:tr>
      <w:tr w14:paraId="4DD64029">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36B050">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预算执行情况</w:t>
            </w:r>
            <w:r>
              <w:rPr>
                <w:rFonts w:ascii="宋体" w:hAnsi="宋体" w:cs="宋体"/>
                <w:color w:val="auto"/>
                <w:kern w:val="0"/>
                <w:sz w:val="24"/>
                <w:highlight w:val="none"/>
              </w:rPr>
              <w:t>(</w:t>
            </w:r>
            <w:r>
              <w:rPr>
                <w:rFonts w:hint="eastAsia" w:ascii="宋体" w:hAnsi="宋体" w:cs="宋体"/>
                <w:color w:val="auto"/>
                <w:kern w:val="0"/>
                <w:sz w:val="24"/>
                <w:highlight w:val="none"/>
              </w:rPr>
              <w:t>万元</w:t>
            </w:r>
            <w:r>
              <w:rPr>
                <w:rFonts w:ascii="宋体" w:hAnsi="宋体" w:cs="宋体"/>
                <w:color w:val="auto"/>
                <w:kern w:val="0"/>
                <w:sz w:val="24"/>
                <w:highlight w:val="none"/>
              </w:rPr>
              <w:t>)</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A14E2B">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DAED59">
            <w:pPr>
              <w:widowControl/>
              <w:jc w:val="center"/>
              <w:textAlignment w:val="center"/>
              <w:rPr>
                <w:rFonts w:ascii="宋体" w:cs="宋体"/>
                <w:color w:val="auto"/>
                <w:sz w:val="24"/>
                <w:highlight w:val="none"/>
              </w:rPr>
            </w:pPr>
            <w:r>
              <w:rPr>
                <w:rFonts w:hint="eastAsia" w:ascii="宋体" w:cs="宋体"/>
                <w:color w:val="auto"/>
                <w:sz w:val="24"/>
                <w:highlight w:val="none"/>
              </w:rPr>
              <w:t>9.21</w:t>
            </w:r>
            <w:r>
              <w:rPr>
                <w:rFonts w:ascii="宋体" w:cs="宋体"/>
                <w:color w:val="auto"/>
                <w:sz w:val="24"/>
                <w:highlight w:val="none"/>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9DB584">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执行数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271C66">
            <w:pPr>
              <w:widowControl/>
              <w:jc w:val="center"/>
              <w:textAlignment w:val="center"/>
              <w:rPr>
                <w:rFonts w:ascii="宋体" w:cs="宋体"/>
                <w:color w:val="auto"/>
                <w:sz w:val="24"/>
                <w:highlight w:val="none"/>
              </w:rPr>
            </w:pPr>
            <w:r>
              <w:rPr>
                <w:rFonts w:hint="eastAsia" w:ascii="宋体" w:cs="宋体"/>
                <w:color w:val="auto"/>
                <w:sz w:val="24"/>
                <w:highlight w:val="none"/>
              </w:rPr>
              <w:t>9.21</w:t>
            </w:r>
            <w:r>
              <w:rPr>
                <w:rFonts w:ascii="宋体" w:cs="宋体"/>
                <w:color w:val="auto"/>
                <w:sz w:val="24"/>
                <w:highlight w:val="none"/>
              </w:rPr>
              <w:t xml:space="preserve"> </w:t>
            </w:r>
          </w:p>
        </w:tc>
      </w:tr>
      <w:tr w14:paraId="4A669B37">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368EDD">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CEEFB3">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820500">
            <w:pPr>
              <w:widowControl/>
              <w:jc w:val="center"/>
              <w:textAlignment w:val="center"/>
              <w:rPr>
                <w:rFonts w:ascii="宋体" w:cs="宋体"/>
                <w:color w:val="auto"/>
                <w:sz w:val="24"/>
                <w:highlight w:val="none"/>
              </w:rPr>
            </w:pPr>
            <w:r>
              <w:rPr>
                <w:rFonts w:hint="eastAsia" w:ascii="宋体" w:cs="宋体"/>
                <w:color w:val="auto"/>
                <w:sz w:val="24"/>
                <w:highlight w:val="none"/>
              </w:rPr>
              <w:t>9.21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44F161">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333C3B">
            <w:pPr>
              <w:widowControl/>
              <w:jc w:val="center"/>
              <w:textAlignment w:val="center"/>
              <w:rPr>
                <w:rFonts w:ascii="宋体" w:cs="宋体"/>
                <w:color w:val="auto"/>
                <w:sz w:val="24"/>
                <w:highlight w:val="none"/>
              </w:rPr>
            </w:pPr>
            <w:r>
              <w:rPr>
                <w:rFonts w:hint="eastAsia" w:ascii="宋体" w:cs="宋体"/>
                <w:color w:val="auto"/>
                <w:sz w:val="24"/>
                <w:highlight w:val="none"/>
              </w:rPr>
              <w:t>9.21</w:t>
            </w:r>
            <w:r>
              <w:rPr>
                <w:rFonts w:ascii="宋体" w:cs="宋体"/>
                <w:color w:val="auto"/>
                <w:sz w:val="24"/>
                <w:highlight w:val="none"/>
              </w:rPr>
              <w:t xml:space="preserve"> </w:t>
            </w:r>
          </w:p>
        </w:tc>
      </w:tr>
      <w:tr w14:paraId="01922426">
        <w:tblPrEx>
          <w:tblCellMar>
            <w:top w:w="0" w:type="dxa"/>
            <w:left w:w="0" w:type="dxa"/>
            <w:bottom w:w="0" w:type="dxa"/>
            <w:right w:w="0" w:type="dxa"/>
          </w:tblCellMar>
        </w:tblPrEx>
        <w:trPr>
          <w:trHeight w:val="1511"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933BA5">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1CA8FD">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4C152B">
            <w:pPr>
              <w:widowControl/>
              <w:jc w:val="center"/>
              <w:textAlignment w:val="center"/>
              <w:rPr>
                <w:rFonts w:ascii="宋体" w:cs="宋体"/>
                <w:color w:val="auto"/>
                <w:sz w:val="24"/>
                <w:highlight w:val="none"/>
              </w:rPr>
            </w:pPr>
            <w:r>
              <w:rPr>
                <w:rFonts w:hint="eastAsia" w:ascii="宋体" w:cs="宋体"/>
                <w:color w:val="auto"/>
                <w:sz w:val="24"/>
                <w:highlight w:val="none"/>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D0F9FD">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BC2A3E">
            <w:pPr>
              <w:jc w:val="center"/>
              <w:rPr>
                <w:rFonts w:ascii="宋体" w:cs="宋体"/>
                <w:color w:val="auto"/>
                <w:sz w:val="24"/>
                <w:highlight w:val="none"/>
              </w:rPr>
            </w:pPr>
            <w:r>
              <w:rPr>
                <w:rFonts w:hint="eastAsia" w:ascii="宋体" w:cs="宋体"/>
                <w:color w:val="auto"/>
                <w:sz w:val="24"/>
                <w:highlight w:val="none"/>
              </w:rPr>
              <w:t>0</w:t>
            </w:r>
          </w:p>
        </w:tc>
      </w:tr>
      <w:tr w14:paraId="694EA58A">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F23A48">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9D4D1">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AA8D88">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实际完成目标</w:t>
            </w:r>
          </w:p>
        </w:tc>
      </w:tr>
      <w:tr w14:paraId="680869D3">
        <w:tblPrEx>
          <w:tblCellMar>
            <w:top w:w="0" w:type="dxa"/>
            <w:left w:w="0" w:type="dxa"/>
            <w:bottom w:w="0" w:type="dxa"/>
            <w:right w:w="0" w:type="dxa"/>
          </w:tblCellMar>
        </w:tblPrEx>
        <w:trPr>
          <w:trHeight w:val="1159"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EC2085">
            <w:pPr>
              <w:jc w:val="center"/>
              <w:rPr>
                <w:rFonts w:ascii="宋体" w:cs="宋体"/>
                <w:color w:val="auto"/>
                <w:sz w:val="24"/>
                <w:highlight w:val="none"/>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5CB174">
            <w:pPr>
              <w:widowControl/>
              <w:jc w:val="left"/>
              <w:textAlignment w:val="center"/>
              <w:rPr>
                <w:rFonts w:ascii="宋体" w:hAnsi="宋体" w:cs="仿宋_GB2312"/>
                <w:color w:val="auto"/>
                <w:sz w:val="24"/>
                <w:szCs w:val="32"/>
                <w:highlight w:val="none"/>
              </w:rPr>
            </w:pPr>
            <w:r>
              <w:rPr>
                <w:rFonts w:hint="eastAsia" w:ascii="宋体" w:hAnsi="宋体" w:cs="仿宋_GB2312"/>
                <w:color w:val="auto"/>
                <w:sz w:val="24"/>
                <w:szCs w:val="32"/>
                <w:highlight w:val="none"/>
              </w:rPr>
              <w:t>实现了办公楼物业的统一管理、综合服务，保障了办公区及公共区域内的设施设备完好并能正常运转，保障了管理区域内的安全有秩，环境卫生干净整洁等。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121155">
            <w:pPr>
              <w:widowControl/>
              <w:jc w:val="left"/>
              <w:textAlignment w:val="center"/>
              <w:rPr>
                <w:rFonts w:ascii="宋体" w:hAnsi="宋体" w:cs="宋体"/>
                <w:color w:val="auto"/>
                <w:sz w:val="24"/>
                <w:highlight w:val="none"/>
              </w:rPr>
            </w:pPr>
            <w:r>
              <w:rPr>
                <w:rFonts w:hint="eastAsia" w:ascii="宋体" w:hAnsi="宋体" w:cs="仿宋_GB2312"/>
                <w:color w:val="auto"/>
                <w:sz w:val="24"/>
                <w:szCs w:val="32"/>
                <w:highlight w:val="none"/>
              </w:rPr>
              <w:t>实现了办公楼物业的统一管理、综合服务，保障了办公区及公共区域内的设施设备完好并能正常运转，保障了管理区域内的安全有秩，环境卫生干净整洁等。</w:t>
            </w:r>
          </w:p>
        </w:tc>
      </w:tr>
      <w:tr w14:paraId="5C0F4C9B">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D2D86E1">
            <w:pPr>
              <w:widowControl/>
              <w:jc w:val="center"/>
              <w:textAlignment w:val="center"/>
              <w:rPr>
                <w:rFonts w:ascii="宋体" w:cs="宋体"/>
                <w:color w:val="auto"/>
                <w:sz w:val="24"/>
                <w:highlight w:val="none"/>
              </w:rPr>
            </w:pPr>
            <w:r>
              <w:rPr>
                <w:rFonts w:hint="eastAsia" w:ascii="宋体" w:hAnsi="宋体" w:cs="宋体"/>
                <w:color w:val="auto"/>
                <w:sz w:val="24"/>
                <w:highlight w:val="none"/>
              </w:rPr>
              <w:t>绩效指标完成情况</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56855F">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61274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9E9B7F">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88DE4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C7C070">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r>
      <w:tr w14:paraId="3B16778A">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28CAC37C">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B0A5A8">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76E4FD">
            <w:pPr>
              <w:widowControl/>
              <w:jc w:val="center"/>
              <w:textAlignment w:val="center"/>
              <w:rPr>
                <w:rFonts w:ascii="宋体" w:cs="宋体"/>
                <w:color w:val="auto"/>
                <w:sz w:val="24"/>
                <w:highlight w:val="none"/>
              </w:rPr>
            </w:pPr>
            <w:r>
              <w:rPr>
                <w:rFonts w:hint="eastAsia" w:ascii="宋体" w:cs="宋体"/>
                <w:color w:val="auto"/>
                <w:sz w:val="24"/>
                <w:highlight w:val="none"/>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9B7824">
            <w:pPr>
              <w:widowControl/>
              <w:jc w:val="center"/>
              <w:textAlignment w:val="center"/>
              <w:rPr>
                <w:rFonts w:ascii="宋体" w:cs="宋体"/>
                <w:color w:val="auto"/>
                <w:sz w:val="24"/>
                <w:highlight w:val="none"/>
              </w:rPr>
            </w:pPr>
            <w:r>
              <w:rPr>
                <w:rFonts w:hint="eastAsia" w:ascii="宋体" w:cs="宋体"/>
                <w:color w:val="auto"/>
                <w:sz w:val="24"/>
                <w:highlight w:val="none"/>
              </w:rPr>
              <w:t>物业面积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EF15A1">
            <w:pPr>
              <w:widowControl/>
              <w:jc w:val="center"/>
              <w:textAlignment w:val="center"/>
              <w:rPr>
                <w:rFonts w:ascii="宋体" w:cs="宋体"/>
                <w:color w:val="auto"/>
                <w:sz w:val="24"/>
                <w:highlight w:val="none"/>
              </w:rPr>
            </w:pPr>
            <w:r>
              <w:rPr>
                <w:rFonts w:hint="eastAsia" w:ascii="宋体" w:cs="宋体"/>
                <w:color w:val="auto"/>
                <w:sz w:val="24"/>
                <w:highlight w:val="none"/>
              </w:rPr>
              <w:t>县人大</w:t>
            </w:r>
            <w:r>
              <w:rPr>
                <w:rFonts w:hint="eastAsia" w:ascii="宋体" w:cs="宋体"/>
                <w:color w:val="auto"/>
                <w:sz w:val="24"/>
                <w:highlight w:val="none"/>
                <w:lang w:val="en-US" w:eastAsia="zh-CN"/>
              </w:rPr>
              <w:t>常委会办公室</w:t>
            </w:r>
            <w:r>
              <w:rPr>
                <w:rFonts w:hint="eastAsia" w:ascii="宋体" w:cs="宋体"/>
                <w:color w:val="auto"/>
                <w:sz w:val="24"/>
                <w:highlight w:val="none"/>
              </w:rPr>
              <w:t>四楼、五楼办公区及公共区域约1959.94平方米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B05A12">
            <w:pPr>
              <w:widowControl/>
              <w:jc w:val="center"/>
              <w:textAlignment w:val="center"/>
              <w:rPr>
                <w:rFonts w:ascii="宋体" w:cs="宋体"/>
                <w:color w:val="auto"/>
                <w:sz w:val="24"/>
                <w:highlight w:val="none"/>
              </w:rPr>
            </w:pPr>
            <w:r>
              <w:rPr>
                <w:rFonts w:hint="eastAsia" w:ascii="宋体" w:cs="宋体"/>
                <w:color w:val="auto"/>
                <w:sz w:val="24"/>
                <w:highlight w:val="none"/>
              </w:rPr>
              <w:t>县人大</w:t>
            </w:r>
            <w:r>
              <w:rPr>
                <w:rFonts w:hint="eastAsia" w:ascii="宋体" w:cs="宋体"/>
                <w:color w:val="auto"/>
                <w:sz w:val="24"/>
                <w:highlight w:val="none"/>
                <w:lang w:val="en-US" w:eastAsia="zh-CN"/>
              </w:rPr>
              <w:t>常委会办公室</w:t>
            </w:r>
            <w:r>
              <w:rPr>
                <w:rFonts w:hint="eastAsia" w:ascii="宋体" w:cs="宋体"/>
                <w:color w:val="auto"/>
                <w:sz w:val="24"/>
                <w:highlight w:val="none"/>
              </w:rPr>
              <w:t>四楼、五楼办公区及公共区域约1959.94平方米</w:t>
            </w:r>
          </w:p>
        </w:tc>
      </w:tr>
      <w:tr w14:paraId="63E538C8">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13C128E4">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A3CC31">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1E41B7">
            <w:pPr>
              <w:widowControl/>
              <w:jc w:val="center"/>
              <w:textAlignment w:val="center"/>
              <w:rPr>
                <w:rFonts w:ascii="宋体" w:cs="宋体"/>
                <w:color w:val="auto"/>
                <w:sz w:val="24"/>
                <w:highlight w:val="none"/>
              </w:rPr>
            </w:pPr>
            <w:r>
              <w:rPr>
                <w:rFonts w:hint="eastAsia" w:ascii="宋体" w:cs="宋体"/>
                <w:color w:val="auto"/>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184F1D">
            <w:pPr>
              <w:widowControl/>
              <w:jc w:val="center"/>
              <w:textAlignment w:val="center"/>
              <w:rPr>
                <w:rFonts w:ascii="宋体" w:cs="宋体"/>
                <w:color w:val="auto"/>
                <w:sz w:val="24"/>
                <w:highlight w:val="none"/>
              </w:rPr>
            </w:pPr>
            <w:r>
              <w:rPr>
                <w:rFonts w:hint="eastAsia" w:ascii="宋体" w:cs="宋体"/>
                <w:color w:val="auto"/>
                <w:sz w:val="24"/>
                <w:highlight w:val="none"/>
              </w:rPr>
              <w:t>保洁及安保工作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FA17F8">
            <w:pPr>
              <w:widowControl/>
              <w:jc w:val="center"/>
              <w:textAlignment w:val="center"/>
              <w:rPr>
                <w:rFonts w:ascii="宋体" w:cs="宋体"/>
                <w:color w:val="auto"/>
                <w:sz w:val="24"/>
                <w:highlight w:val="none"/>
              </w:rPr>
            </w:pPr>
            <w:r>
              <w:rPr>
                <w:rFonts w:hint="eastAsia" w:ascii="宋体" w:cs="宋体"/>
                <w:color w:val="auto"/>
                <w:sz w:val="24"/>
                <w:highlight w:val="none"/>
              </w:rPr>
              <w:t>合同区域内的安全、卫生、维修维护等达到合同约定的标准和要求</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044F7E">
            <w:pPr>
              <w:widowControl/>
              <w:jc w:val="center"/>
              <w:textAlignment w:val="center"/>
              <w:rPr>
                <w:rFonts w:ascii="宋体" w:cs="宋体"/>
                <w:color w:val="auto"/>
                <w:sz w:val="24"/>
                <w:highlight w:val="none"/>
              </w:rPr>
            </w:pPr>
            <w:r>
              <w:rPr>
                <w:rFonts w:hint="eastAsia" w:ascii="宋体" w:cs="宋体"/>
                <w:color w:val="auto"/>
                <w:sz w:val="24"/>
                <w:highlight w:val="none"/>
              </w:rPr>
              <w:t>合同区域内的安全、卫生、维修维护等达到合同约定的标准和要求</w:t>
            </w:r>
          </w:p>
        </w:tc>
      </w:tr>
      <w:tr w14:paraId="616439E6">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4BF698DE">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F1166B">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8FDF9D">
            <w:pPr>
              <w:widowControl/>
              <w:jc w:val="center"/>
              <w:textAlignment w:val="center"/>
              <w:rPr>
                <w:rFonts w:ascii="宋体" w:cs="宋体"/>
                <w:color w:val="auto"/>
                <w:sz w:val="24"/>
                <w:highlight w:val="none"/>
              </w:rPr>
            </w:pPr>
            <w:r>
              <w:rPr>
                <w:rFonts w:hint="eastAsia" w:ascii="宋体" w:cs="宋体"/>
                <w:color w:val="auto"/>
                <w:sz w:val="24"/>
                <w:highlight w:val="none"/>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EDDF40">
            <w:pPr>
              <w:widowControl/>
              <w:jc w:val="center"/>
              <w:textAlignment w:val="center"/>
              <w:rPr>
                <w:rFonts w:ascii="宋体" w:cs="宋体"/>
                <w:color w:val="auto"/>
                <w:sz w:val="24"/>
                <w:highlight w:val="none"/>
              </w:rPr>
            </w:pPr>
            <w:r>
              <w:rPr>
                <w:rFonts w:hint="eastAsia" w:ascii="宋体" w:cs="宋体"/>
                <w:color w:val="auto"/>
                <w:sz w:val="24"/>
                <w:highlight w:val="none"/>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A345BB">
            <w:pPr>
              <w:widowControl/>
              <w:jc w:val="center"/>
              <w:textAlignment w:val="center"/>
              <w:rPr>
                <w:rFonts w:ascii="宋体" w:cs="宋体"/>
                <w:color w:val="auto"/>
                <w:sz w:val="24"/>
                <w:highlight w:val="none"/>
              </w:rPr>
            </w:pPr>
            <w:r>
              <w:rPr>
                <w:rFonts w:hint="eastAsia" w:ascii="宋体" w:cs="宋体"/>
                <w:color w:val="auto"/>
                <w:sz w:val="24"/>
                <w:highlight w:val="none"/>
              </w:rPr>
              <w:t>2019年全年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5CB194">
            <w:pPr>
              <w:widowControl/>
              <w:jc w:val="center"/>
              <w:textAlignment w:val="center"/>
              <w:rPr>
                <w:rFonts w:ascii="宋体" w:cs="宋体"/>
                <w:color w:val="auto"/>
                <w:sz w:val="24"/>
                <w:highlight w:val="none"/>
              </w:rPr>
            </w:pPr>
            <w:r>
              <w:rPr>
                <w:rFonts w:hint="eastAsia" w:ascii="宋体" w:cs="宋体"/>
                <w:color w:val="auto"/>
                <w:sz w:val="24"/>
                <w:highlight w:val="none"/>
              </w:rPr>
              <w:t>2019年全年</w:t>
            </w:r>
          </w:p>
        </w:tc>
      </w:tr>
      <w:tr w14:paraId="1CE124BB">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43D7E5EE">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ACA172">
            <w:pPr>
              <w:widowControl/>
              <w:jc w:val="center"/>
              <w:textAlignment w:val="center"/>
              <w:rPr>
                <w:rFonts w:ascii="宋体" w:cs="宋体"/>
                <w:color w:val="auto"/>
                <w:kern w:val="0"/>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C4CF35">
            <w:pPr>
              <w:widowControl/>
              <w:jc w:val="center"/>
              <w:textAlignment w:val="center"/>
              <w:rPr>
                <w:rFonts w:ascii="宋体" w:cs="宋体"/>
                <w:color w:val="auto"/>
                <w:sz w:val="24"/>
                <w:highlight w:val="none"/>
              </w:rPr>
            </w:pPr>
            <w:r>
              <w:rPr>
                <w:rFonts w:hint="eastAsia" w:ascii="宋体" w:cs="宋体"/>
                <w:color w:val="auto"/>
                <w:sz w:val="24"/>
                <w:highlight w:val="none"/>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D4B36B">
            <w:pPr>
              <w:widowControl/>
              <w:jc w:val="center"/>
              <w:textAlignment w:val="center"/>
              <w:rPr>
                <w:rFonts w:ascii="宋体" w:cs="宋体"/>
                <w:color w:val="auto"/>
                <w:sz w:val="24"/>
                <w:highlight w:val="none"/>
              </w:rPr>
            </w:pPr>
            <w:r>
              <w:rPr>
                <w:rFonts w:hint="eastAsia" w:ascii="宋体" w:cs="宋体"/>
                <w:color w:val="auto"/>
                <w:sz w:val="24"/>
                <w:highlight w:val="none"/>
              </w:rPr>
              <w:t>每平方米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2E0F05">
            <w:pPr>
              <w:widowControl/>
              <w:jc w:val="center"/>
              <w:textAlignment w:val="center"/>
              <w:rPr>
                <w:rFonts w:ascii="宋体" w:cs="宋体"/>
                <w:color w:val="auto"/>
                <w:sz w:val="24"/>
                <w:highlight w:val="none"/>
              </w:rPr>
            </w:pPr>
            <w:r>
              <w:rPr>
                <w:rFonts w:hint="eastAsia" w:ascii="宋体" w:cs="宋体"/>
                <w:color w:val="auto"/>
                <w:sz w:val="24"/>
                <w:highlight w:val="none"/>
              </w:rPr>
              <w:t>46.99元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A71E2B">
            <w:pPr>
              <w:widowControl/>
              <w:jc w:val="center"/>
              <w:textAlignment w:val="center"/>
              <w:rPr>
                <w:rFonts w:ascii="宋体" w:cs="宋体"/>
                <w:color w:val="auto"/>
                <w:sz w:val="24"/>
                <w:highlight w:val="none"/>
              </w:rPr>
            </w:pPr>
            <w:r>
              <w:rPr>
                <w:rFonts w:hint="eastAsia" w:ascii="宋体" w:cs="宋体"/>
                <w:color w:val="auto"/>
                <w:sz w:val="24"/>
                <w:highlight w:val="none"/>
              </w:rPr>
              <w:t>46.99元</w:t>
            </w:r>
          </w:p>
        </w:tc>
      </w:tr>
      <w:tr w14:paraId="0AF51DF7">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D17F120">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5D40C">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E217BC">
            <w:pPr>
              <w:widowControl/>
              <w:jc w:val="center"/>
              <w:textAlignment w:val="center"/>
              <w:rPr>
                <w:rFonts w:ascii="宋体" w:cs="宋体"/>
                <w:color w:val="auto"/>
                <w:sz w:val="24"/>
                <w:highlight w:val="none"/>
              </w:rPr>
            </w:pPr>
            <w:r>
              <w:rPr>
                <w:rFonts w:hint="eastAsia" w:ascii="宋体" w:cs="宋体"/>
                <w:color w:val="auto"/>
                <w:sz w:val="24"/>
                <w:highlight w:val="none"/>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17BBA8">
            <w:pPr>
              <w:widowControl/>
              <w:jc w:val="center"/>
              <w:textAlignment w:val="center"/>
              <w:rPr>
                <w:rFonts w:ascii="宋体" w:cs="宋体"/>
                <w:color w:val="auto"/>
                <w:sz w:val="24"/>
                <w:highlight w:val="none"/>
              </w:rPr>
            </w:pPr>
            <w:r>
              <w:rPr>
                <w:rFonts w:hint="eastAsia" w:ascii="宋体" w:cs="宋体"/>
                <w:color w:val="auto"/>
                <w:sz w:val="24"/>
                <w:highlight w:val="none"/>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78B106">
            <w:pPr>
              <w:widowControl/>
              <w:jc w:val="center"/>
              <w:textAlignment w:val="center"/>
              <w:rPr>
                <w:rFonts w:ascii="宋体" w:cs="宋体"/>
                <w:color w:val="auto"/>
                <w:sz w:val="24"/>
                <w:highlight w:val="none"/>
              </w:rPr>
            </w:pPr>
            <w:r>
              <w:rPr>
                <w:rFonts w:hint="eastAsia" w:ascii="宋体" w:cs="宋体"/>
                <w:color w:val="auto"/>
                <w:sz w:val="24"/>
                <w:highlight w:val="none"/>
              </w:rPr>
              <w:t>〉90</w:t>
            </w:r>
            <w:r>
              <w:rPr>
                <w:rFonts w:ascii="宋体" w:cs="宋体"/>
                <w:color w:val="auto"/>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CDD04C">
            <w:pPr>
              <w:widowControl/>
              <w:jc w:val="center"/>
              <w:textAlignment w:val="center"/>
              <w:rPr>
                <w:rFonts w:ascii="宋体" w:cs="宋体"/>
                <w:color w:val="auto"/>
                <w:sz w:val="24"/>
                <w:highlight w:val="none"/>
              </w:rPr>
            </w:pPr>
            <w:r>
              <w:rPr>
                <w:rFonts w:hint="eastAsia" w:ascii="宋体" w:cs="宋体"/>
                <w:color w:val="auto"/>
                <w:sz w:val="24"/>
                <w:highlight w:val="none"/>
              </w:rPr>
              <w:t>〉90</w:t>
            </w:r>
            <w:r>
              <w:rPr>
                <w:rFonts w:ascii="宋体" w:cs="宋体"/>
                <w:color w:val="auto"/>
                <w:sz w:val="24"/>
                <w:highlight w:val="none"/>
              </w:rPr>
              <w:t>%</w:t>
            </w:r>
          </w:p>
        </w:tc>
      </w:tr>
    </w:tbl>
    <w:p w14:paraId="2ECFDB8C">
      <w:pPr>
        <w:spacing w:line="580" w:lineRule="exact"/>
        <w:ind w:left="630"/>
        <w:rPr>
          <w:rFonts w:ascii="仿宋_GB2312" w:hAnsi="仿宋_GB2312" w:eastAsia="仿宋_GB2312" w:cs="仿宋_GB2312"/>
          <w:color w:val="auto"/>
          <w:sz w:val="32"/>
          <w:szCs w:val="32"/>
          <w:highlight w:val="none"/>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1175"/>
        <w:gridCol w:w="1025"/>
        <w:gridCol w:w="2392"/>
        <w:gridCol w:w="2394"/>
        <w:gridCol w:w="2392"/>
      </w:tblGrid>
      <w:tr w14:paraId="1A54D05F">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D8440B0">
            <w:pPr>
              <w:widowControl/>
              <w:jc w:val="center"/>
              <w:textAlignment w:val="center"/>
              <w:rPr>
                <w:rFonts w:ascii="宋体" w:cs="宋体"/>
                <w:color w:val="auto"/>
                <w:sz w:val="36"/>
                <w:szCs w:val="36"/>
                <w:highlight w:val="none"/>
              </w:rPr>
            </w:pPr>
            <w:r>
              <w:rPr>
                <w:rFonts w:hint="eastAsia" w:ascii="宋体" w:hAnsi="宋体" w:cs="宋体"/>
                <w:b/>
                <w:bCs/>
                <w:color w:val="auto"/>
                <w:kern w:val="0"/>
                <w:sz w:val="36"/>
                <w:szCs w:val="36"/>
                <w:highlight w:val="none"/>
              </w:rPr>
              <w:t>项目绩效目标完成情况表</w:t>
            </w:r>
            <w:r>
              <w:rPr>
                <w:rFonts w:ascii="宋体" w:cs="宋体"/>
                <w:b/>
                <w:bCs/>
                <w:color w:val="auto"/>
                <w:kern w:val="0"/>
                <w:sz w:val="36"/>
                <w:szCs w:val="36"/>
                <w:highlight w:val="none"/>
              </w:rPr>
              <w:br w:type="textWrapping"/>
            </w:r>
            <w:r>
              <w:rPr>
                <w:rFonts w:ascii="宋体" w:hAnsi="宋体" w:cs="宋体"/>
                <w:color w:val="auto"/>
                <w:kern w:val="0"/>
                <w:sz w:val="36"/>
                <w:szCs w:val="36"/>
                <w:highlight w:val="none"/>
              </w:rPr>
              <w:t xml:space="preserve">(2019 </w:t>
            </w:r>
            <w:r>
              <w:rPr>
                <w:rFonts w:hint="eastAsia" w:ascii="宋体" w:hAnsi="宋体" w:cs="宋体"/>
                <w:color w:val="auto"/>
                <w:kern w:val="0"/>
                <w:sz w:val="36"/>
                <w:szCs w:val="36"/>
                <w:highlight w:val="none"/>
              </w:rPr>
              <w:t>年度</w:t>
            </w:r>
            <w:r>
              <w:rPr>
                <w:rFonts w:ascii="宋体" w:hAnsi="宋体" w:cs="宋体"/>
                <w:color w:val="auto"/>
                <w:kern w:val="0"/>
                <w:sz w:val="36"/>
                <w:szCs w:val="36"/>
                <w:highlight w:val="none"/>
              </w:rPr>
              <w:t>)</w:t>
            </w:r>
          </w:p>
        </w:tc>
      </w:tr>
      <w:tr w14:paraId="3C5EB29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BF678D">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F84EF3">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主任、副主任专项工作经费</w:t>
            </w:r>
          </w:p>
        </w:tc>
      </w:tr>
      <w:tr w14:paraId="1158200D">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5B587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3A309C">
            <w:pPr>
              <w:widowControl/>
              <w:jc w:val="center"/>
              <w:textAlignment w:val="center"/>
              <w:rPr>
                <w:rFonts w:ascii="宋体" w:cs="宋体"/>
                <w:color w:val="auto"/>
                <w:sz w:val="24"/>
                <w:highlight w:val="none"/>
              </w:rPr>
            </w:pPr>
            <w:r>
              <w:rPr>
                <w:rFonts w:hint="eastAsia" w:ascii="宋体" w:cs="宋体"/>
                <w:color w:val="auto"/>
                <w:sz w:val="24"/>
                <w:highlight w:val="none"/>
              </w:rPr>
              <w:t>米易县人大常委会办公室</w:t>
            </w:r>
          </w:p>
        </w:tc>
      </w:tr>
      <w:tr w14:paraId="276752AD">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D38987">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预算执行情况</w:t>
            </w:r>
            <w:r>
              <w:rPr>
                <w:rFonts w:ascii="宋体" w:hAnsi="宋体" w:cs="宋体"/>
                <w:color w:val="auto"/>
                <w:kern w:val="0"/>
                <w:sz w:val="24"/>
                <w:highlight w:val="none"/>
              </w:rPr>
              <w:t>(</w:t>
            </w:r>
            <w:r>
              <w:rPr>
                <w:rFonts w:hint="eastAsia" w:ascii="宋体" w:hAnsi="宋体" w:cs="宋体"/>
                <w:color w:val="auto"/>
                <w:kern w:val="0"/>
                <w:sz w:val="24"/>
                <w:highlight w:val="none"/>
              </w:rPr>
              <w:t>万元</w:t>
            </w:r>
            <w:r>
              <w:rPr>
                <w:rFonts w:ascii="宋体" w:hAnsi="宋体" w:cs="宋体"/>
                <w:color w:val="auto"/>
                <w:kern w:val="0"/>
                <w:sz w:val="24"/>
                <w:highlight w:val="none"/>
              </w:rPr>
              <w:t>)</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CB3834">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5CD82">
            <w:pPr>
              <w:widowControl/>
              <w:jc w:val="center"/>
              <w:textAlignment w:val="center"/>
              <w:rPr>
                <w:rFonts w:ascii="宋体" w:cs="宋体"/>
                <w:color w:val="auto"/>
                <w:sz w:val="24"/>
                <w:highlight w:val="none"/>
              </w:rPr>
            </w:pPr>
            <w:r>
              <w:rPr>
                <w:rFonts w:hint="eastAsia" w:ascii="宋体" w:cs="宋体"/>
                <w:color w:val="auto"/>
                <w:sz w:val="24"/>
                <w:highlight w:val="none"/>
              </w:rPr>
              <w:t>25</w:t>
            </w:r>
            <w:r>
              <w:rPr>
                <w:rFonts w:ascii="宋体" w:cs="宋体"/>
                <w:color w:val="auto"/>
                <w:sz w:val="24"/>
                <w:highlight w:val="none"/>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5AADF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执行数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58C13">
            <w:pPr>
              <w:widowControl/>
              <w:jc w:val="center"/>
              <w:textAlignment w:val="center"/>
              <w:rPr>
                <w:rFonts w:ascii="宋体" w:cs="宋体"/>
                <w:color w:val="auto"/>
                <w:sz w:val="24"/>
                <w:highlight w:val="none"/>
              </w:rPr>
            </w:pPr>
            <w:r>
              <w:rPr>
                <w:rFonts w:hint="eastAsia" w:ascii="宋体" w:cs="宋体"/>
                <w:color w:val="auto"/>
                <w:sz w:val="24"/>
                <w:highlight w:val="none"/>
              </w:rPr>
              <w:t>25</w:t>
            </w:r>
            <w:r>
              <w:rPr>
                <w:rFonts w:ascii="宋体" w:cs="宋体"/>
                <w:color w:val="auto"/>
                <w:sz w:val="24"/>
                <w:highlight w:val="none"/>
              </w:rPr>
              <w:t xml:space="preserve"> </w:t>
            </w:r>
          </w:p>
        </w:tc>
      </w:tr>
      <w:tr w14:paraId="586896F0">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F9C4F7">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4DAD90">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A1FAE5">
            <w:pPr>
              <w:widowControl/>
              <w:jc w:val="center"/>
              <w:textAlignment w:val="center"/>
              <w:rPr>
                <w:rFonts w:ascii="宋体" w:cs="宋体"/>
                <w:color w:val="auto"/>
                <w:sz w:val="24"/>
                <w:highlight w:val="none"/>
              </w:rPr>
            </w:pPr>
            <w:r>
              <w:rPr>
                <w:rFonts w:hint="eastAsia" w:ascii="宋体" w:cs="宋体"/>
                <w:color w:val="auto"/>
                <w:sz w:val="24"/>
                <w:highlight w:val="none"/>
              </w:rPr>
              <w:t>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8E48A1">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6DCA2E">
            <w:pPr>
              <w:widowControl/>
              <w:jc w:val="center"/>
              <w:textAlignment w:val="center"/>
              <w:rPr>
                <w:rFonts w:ascii="宋体" w:cs="宋体"/>
                <w:color w:val="auto"/>
                <w:sz w:val="24"/>
                <w:highlight w:val="none"/>
              </w:rPr>
            </w:pPr>
            <w:r>
              <w:rPr>
                <w:rFonts w:hint="eastAsia" w:ascii="宋体" w:cs="宋体"/>
                <w:color w:val="auto"/>
                <w:sz w:val="24"/>
                <w:highlight w:val="none"/>
              </w:rPr>
              <w:t>25</w:t>
            </w:r>
            <w:r>
              <w:rPr>
                <w:rFonts w:ascii="宋体" w:cs="宋体"/>
                <w:color w:val="auto"/>
                <w:sz w:val="24"/>
                <w:highlight w:val="none"/>
              </w:rPr>
              <w:t xml:space="preserve"> </w:t>
            </w:r>
          </w:p>
        </w:tc>
      </w:tr>
      <w:tr w14:paraId="311E9B4D">
        <w:tblPrEx>
          <w:tblCellMar>
            <w:top w:w="0" w:type="dxa"/>
            <w:left w:w="0" w:type="dxa"/>
            <w:bottom w:w="0" w:type="dxa"/>
            <w:right w:w="0" w:type="dxa"/>
          </w:tblCellMar>
        </w:tblPrEx>
        <w:trPr>
          <w:trHeight w:val="1757"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A71C0C">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FD6F53">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CE6624">
            <w:pPr>
              <w:widowControl/>
              <w:jc w:val="center"/>
              <w:textAlignment w:val="center"/>
              <w:rPr>
                <w:rFonts w:ascii="宋体" w:cs="宋体"/>
                <w:color w:val="auto"/>
                <w:sz w:val="24"/>
                <w:highlight w:val="none"/>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61831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472212">
            <w:pPr>
              <w:jc w:val="center"/>
              <w:rPr>
                <w:rFonts w:ascii="宋体" w:cs="宋体"/>
                <w:color w:val="auto"/>
                <w:sz w:val="24"/>
                <w:highlight w:val="none"/>
              </w:rPr>
            </w:pPr>
          </w:p>
        </w:tc>
      </w:tr>
      <w:tr w14:paraId="7AB08FBA">
        <w:tblPrEx>
          <w:tblCellMar>
            <w:top w:w="0" w:type="dxa"/>
            <w:left w:w="0" w:type="dxa"/>
            <w:bottom w:w="0" w:type="dxa"/>
            <w:right w:w="0" w:type="dxa"/>
          </w:tblCellMar>
        </w:tblPrEx>
        <w:trPr>
          <w:trHeight w:val="45"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6F043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9927D">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00708A">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实际完成目标</w:t>
            </w:r>
          </w:p>
        </w:tc>
      </w:tr>
      <w:tr w14:paraId="35A45C2E">
        <w:tblPrEx>
          <w:tblCellMar>
            <w:top w:w="0" w:type="dxa"/>
            <w:left w:w="0" w:type="dxa"/>
            <w:bottom w:w="0" w:type="dxa"/>
            <w:right w:w="0" w:type="dxa"/>
          </w:tblCellMar>
        </w:tblPrEx>
        <w:trPr>
          <w:trHeight w:val="113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544213">
            <w:pPr>
              <w:jc w:val="center"/>
              <w:rPr>
                <w:rFonts w:ascii="宋体" w:cs="宋体"/>
                <w:color w:val="auto"/>
                <w:sz w:val="24"/>
                <w:highlight w:val="none"/>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4707E1">
            <w:pPr>
              <w:widowControl/>
              <w:jc w:val="center"/>
              <w:textAlignment w:val="center"/>
              <w:rPr>
                <w:rFonts w:ascii="宋体" w:hAnsi="宋体" w:cs="仿宋_GB2312"/>
                <w:color w:val="auto"/>
                <w:sz w:val="22"/>
                <w:szCs w:val="32"/>
                <w:highlight w:val="none"/>
              </w:rPr>
            </w:pPr>
            <w:r>
              <w:rPr>
                <w:rFonts w:hint="eastAsia" w:ascii="宋体" w:hAnsi="宋体" w:cs="仿宋_GB2312"/>
                <w:color w:val="auto"/>
                <w:sz w:val="22"/>
                <w:szCs w:val="32"/>
                <w:highlight w:val="none"/>
              </w:rPr>
              <w:t>保障</w:t>
            </w:r>
            <w:r>
              <w:rPr>
                <w:rFonts w:hint="eastAsia" w:ascii="宋体" w:hAnsi="宋体" w:cs="仿宋_GB2312"/>
                <w:color w:val="auto"/>
                <w:sz w:val="22"/>
                <w:szCs w:val="32"/>
                <w:highlight w:val="none"/>
                <w:lang w:val="en-US" w:eastAsia="zh-CN"/>
              </w:rPr>
              <w:t>县</w:t>
            </w:r>
            <w:r>
              <w:rPr>
                <w:rFonts w:hint="eastAsia" w:ascii="宋体" w:hAnsi="宋体" w:cs="仿宋_GB2312"/>
                <w:color w:val="auto"/>
                <w:sz w:val="22"/>
                <w:szCs w:val="32"/>
                <w:highlight w:val="none"/>
              </w:rPr>
              <w:t>人大常委会主任、副主任工作的正常运转。</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91DC3C">
            <w:pPr>
              <w:widowControl/>
              <w:jc w:val="center"/>
              <w:textAlignment w:val="center"/>
              <w:rPr>
                <w:rFonts w:ascii="宋体" w:hAnsi="宋体" w:cs="宋体"/>
                <w:color w:val="auto"/>
                <w:sz w:val="22"/>
                <w:highlight w:val="none"/>
              </w:rPr>
            </w:pPr>
            <w:r>
              <w:rPr>
                <w:rFonts w:hint="eastAsia" w:ascii="宋体" w:hAnsi="宋体" w:cs="仿宋_GB2312"/>
                <w:color w:val="auto"/>
                <w:sz w:val="22"/>
                <w:szCs w:val="32"/>
                <w:highlight w:val="none"/>
              </w:rPr>
              <w:t>保障</w:t>
            </w:r>
            <w:r>
              <w:rPr>
                <w:rFonts w:hint="eastAsia" w:ascii="宋体" w:hAnsi="宋体" w:cs="仿宋_GB2312"/>
                <w:color w:val="auto"/>
                <w:sz w:val="22"/>
                <w:szCs w:val="32"/>
                <w:highlight w:val="none"/>
                <w:lang w:val="en-US" w:eastAsia="zh-CN"/>
              </w:rPr>
              <w:t>县</w:t>
            </w:r>
            <w:r>
              <w:rPr>
                <w:rFonts w:hint="eastAsia" w:ascii="宋体" w:hAnsi="宋体" w:cs="仿宋_GB2312"/>
                <w:color w:val="auto"/>
                <w:sz w:val="22"/>
                <w:szCs w:val="32"/>
                <w:highlight w:val="none"/>
              </w:rPr>
              <w:t>人大常委会主任、副主任工作的正常运转。</w:t>
            </w:r>
          </w:p>
        </w:tc>
      </w:tr>
      <w:tr w14:paraId="4618E817">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3FF7DCC">
            <w:pPr>
              <w:widowControl/>
              <w:jc w:val="center"/>
              <w:textAlignment w:val="center"/>
              <w:rPr>
                <w:rFonts w:ascii="宋体" w:cs="宋体"/>
                <w:color w:val="auto"/>
                <w:sz w:val="24"/>
                <w:highlight w:val="none"/>
              </w:rPr>
            </w:pPr>
            <w:r>
              <w:rPr>
                <w:rFonts w:hint="eastAsia" w:ascii="宋体" w:hAnsi="宋体" w:cs="宋体"/>
                <w:color w:val="auto"/>
                <w:sz w:val="24"/>
                <w:highlight w:val="none"/>
              </w:rPr>
              <w:t>绩效指标完成情况</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736A9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5BE53">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FD3920">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B23C3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2D665F">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r>
      <w:tr w14:paraId="3EA96548">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5C567412">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84AE90">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F3A2BC">
            <w:pPr>
              <w:widowControl/>
              <w:jc w:val="center"/>
              <w:textAlignment w:val="center"/>
              <w:rPr>
                <w:rFonts w:ascii="宋体" w:cs="宋体"/>
                <w:color w:val="auto"/>
                <w:sz w:val="24"/>
                <w:highlight w:val="none"/>
              </w:rPr>
            </w:pPr>
            <w:r>
              <w:rPr>
                <w:rFonts w:hint="eastAsia" w:ascii="宋体" w:cs="宋体"/>
                <w:color w:val="auto"/>
                <w:sz w:val="24"/>
                <w:highlight w:val="none"/>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49AA00">
            <w:pPr>
              <w:widowControl/>
              <w:jc w:val="center"/>
              <w:textAlignment w:val="center"/>
              <w:rPr>
                <w:rFonts w:ascii="宋体" w:cs="宋体"/>
                <w:color w:val="auto"/>
                <w:sz w:val="24"/>
                <w:highlight w:val="none"/>
              </w:rPr>
            </w:pPr>
            <w:r>
              <w:rPr>
                <w:rFonts w:hint="eastAsia" w:ascii="宋体" w:cs="宋体"/>
                <w:color w:val="auto"/>
                <w:sz w:val="24"/>
                <w:highlight w:val="none"/>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3C2393">
            <w:pPr>
              <w:widowControl/>
              <w:jc w:val="left"/>
              <w:textAlignment w:val="center"/>
              <w:rPr>
                <w:rFonts w:ascii="宋体" w:cs="宋体"/>
                <w:color w:val="auto"/>
                <w:sz w:val="24"/>
                <w:highlight w:val="none"/>
              </w:rPr>
            </w:pPr>
            <w:r>
              <w:rPr>
                <w:rFonts w:hint="eastAsia" w:ascii="宋体" w:cs="宋体"/>
                <w:color w:val="auto"/>
                <w:sz w:val="24"/>
                <w:highlight w:val="none"/>
              </w:rPr>
              <w:t>支付</w:t>
            </w:r>
            <w:r>
              <w:rPr>
                <w:rFonts w:hint="eastAsia" w:ascii="宋体" w:hAnsi="宋体" w:cs="仿宋_GB2312"/>
                <w:color w:val="auto"/>
                <w:sz w:val="22"/>
                <w:szCs w:val="32"/>
                <w:highlight w:val="none"/>
                <w:lang w:val="en-US" w:eastAsia="zh-CN"/>
              </w:rPr>
              <w:t>县</w:t>
            </w:r>
            <w:r>
              <w:rPr>
                <w:rFonts w:hint="eastAsia" w:ascii="宋体" w:hAnsi="宋体" w:cs="仿宋_GB2312"/>
                <w:color w:val="auto"/>
                <w:sz w:val="22"/>
                <w:szCs w:val="32"/>
                <w:highlight w:val="none"/>
              </w:rPr>
              <w:t>人大</w:t>
            </w:r>
            <w:r>
              <w:rPr>
                <w:rFonts w:hint="eastAsia" w:ascii="宋体" w:cs="宋体"/>
                <w:color w:val="auto"/>
                <w:sz w:val="24"/>
                <w:highlight w:val="none"/>
              </w:rPr>
              <w:t>常委会主任、副主任差旅费、考察调研费、办公费等25万元。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2940A">
            <w:pPr>
              <w:widowControl/>
              <w:jc w:val="center"/>
              <w:textAlignment w:val="center"/>
              <w:rPr>
                <w:rFonts w:ascii="宋体" w:cs="宋体"/>
                <w:color w:val="auto"/>
                <w:sz w:val="24"/>
                <w:highlight w:val="none"/>
              </w:rPr>
            </w:pPr>
            <w:r>
              <w:rPr>
                <w:rFonts w:hint="eastAsia" w:ascii="宋体" w:cs="宋体"/>
                <w:color w:val="auto"/>
                <w:sz w:val="24"/>
                <w:highlight w:val="none"/>
              </w:rPr>
              <w:t>支付</w:t>
            </w:r>
            <w:r>
              <w:rPr>
                <w:rFonts w:hint="eastAsia" w:ascii="宋体" w:hAnsi="宋体" w:cs="仿宋_GB2312"/>
                <w:color w:val="auto"/>
                <w:sz w:val="22"/>
                <w:szCs w:val="32"/>
                <w:highlight w:val="none"/>
                <w:lang w:val="en-US" w:eastAsia="zh-CN"/>
              </w:rPr>
              <w:t>县</w:t>
            </w:r>
            <w:r>
              <w:rPr>
                <w:rFonts w:hint="eastAsia" w:ascii="宋体" w:hAnsi="宋体" w:cs="仿宋_GB2312"/>
                <w:color w:val="auto"/>
                <w:sz w:val="22"/>
                <w:szCs w:val="32"/>
                <w:highlight w:val="none"/>
              </w:rPr>
              <w:t>人大</w:t>
            </w:r>
            <w:r>
              <w:rPr>
                <w:rFonts w:hint="eastAsia" w:ascii="宋体" w:cs="宋体"/>
                <w:color w:val="auto"/>
                <w:sz w:val="24"/>
                <w:highlight w:val="none"/>
              </w:rPr>
              <w:t>常委会主任、副主任差旅费、考察调研费、办公费等25万元。</w:t>
            </w:r>
          </w:p>
        </w:tc>
      </w:tr>
      <w:tr w14:paraId="714E7B17">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295F0458">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09438F">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BA69EC">
            <w:pPr>
              <w:widowControl/>
              <w:jc w:val="center"/>
              <w:textAlignment w:val="center"/>
              <w:rPr>
                <w:rFonts w:ascii="宋体" w:cs="宋体"/>
                <w:color w:val="auto"/>
                <w:sz w:val="24"/>
                <w:highlight w:val="none"/>
              </w:rPr>
            </w:pPr>
            <w:r>
              <w:rPr>
                <w:rFonts w:hint="eastAsia" w:ascii="宋体" w:cs="宋体"/>
                <w:color w:val="auto"/>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D47280">
            <w:pPr>
              <w:widowControl/>
              <w:jc w:val="center"/>
              <w:textAlignment w:val="center"/>
              <w:rPr>
                <w:rFonts w:ascii="宋体" w:cs="宋体"/>
                <w:color w:val="auto"/>
                <w:sz w:val="24"/>
                <w:highlight w:val="none"/>
              </w:rPr>
            </w:pPr>
            <w:r>
              <w:rPr>
                <w:rFonts w:hint="eastAsia" w:ascii="宋体" w:cs="宋体"/>
                <w:color w:val="auto"/>
                <w:sz w:val="24"/>
                <w:highlight w:val="none"/>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72094A">
            <w:pPr>
              <w:widowControl/>
              <w:jc w:val="center"/>
              <w:textAlignment w:val="center"/>
              <w:rPr>
                <w:rFonts w:ascii="宋体" w:cs="宋体"/>
                <w:color w:val="auto"/>
                <w:sz w:val="24"/>
                <w:highlight w:val="none"/>
              </w:rPr>
            </w:pPr>
            <w:r>
              <w:rPr>
                <w:rFonts w:hint="eastAsia" w:ascii="宋体" w:cs="宋体"/>
                <w:color w:val="auto"/>
                <w:sz w:val="24"/>
                <w:highlight w:val="none"/>
              </w:rPr>
              <w:t>＝</w:t>
            </w:r>
            <w:r>
              <w:rPr>
                <w:rFonts w:ascii="宋体" w:cs="宋体"/>
                <w:color w:val="auto"/>
                <w:sz w:val="24"/>
                <w:highlight w:val="none"/>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356C4B">
            <w:pPr>
              <w:widowControl/>
              <w:jc w:val="center"/>
              <w:textAlignment w:val="center"/>
              <w:rPr>
                <w:rFonts w:ascii="宋体" w:cs="宋体"/>
                <w:color w:val="auto"/>
                <w:sz w:val="24"/>
                <w:highlight w:val="none"/>
              </w:rPr>
            </w:pPr>
            <w:r>
              <w:rPr>
                <w:rFonts w:hint="eastAsia" w:ascii="宋体" w:cs="宋体"/>
                <w:color w:val="auto"/>
                <w:sz w:val="24"/>
                <w:highlight w:val="none"/>
              </w:rPr>
              <w:t>完成</w:t>
            </w:r>
            <w:r>
              <w:rPr>
                <w:rFonts w:ascii="宋体" w:cs="宋体"/>
                <w:color w:val="auto"/>
                <w:sz w:val="24"/>
                <w:highlight w:val="none"/>
              </w:rPr>
              <w:t>100%</w:t>
            </w:r>
          </w:p>
        </w:tc>
      </w:tr>
      <w:tr w14:paraId="17E070DF">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2FF68F5F">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3E5701">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4CB945">
            <w:pPr>
              <w:widowControl/>
              <w:jc w:val="center"/>
              <w:textAlignment w:val="center"/>
              <w:rPr>
                <w:rFonts w:ascii="宋体" w:cs="宋体"/>
                <w:color w:val="auto"/>
                <w:sz w:val="24"/>
                <w:highlight w:val="none"/>
              </w:rPr>
            </w:pPr>
            <w:r>
              <w:rPr>
                <w:rFonts w:hint="eastAsia" w:ascii="宋体" w:cs="宋体"/>
                <w:color w:val="auto"/>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9DA868">
            <w:pPr>
              <w:widowControl/>
              <w:jc w:val="center"/>
              <w:textAlignment w:val="center"/>
              <w:rPr>
                <w:rFonts w:ascii="宋体" w:cs="宋体"/>
                <w:color w:val="auto"/>
                <w:sz w:val="24"/>
                <w:highlight w:val="none"/>
              </w:rPr>
            </w:pPr>
            <w:r>
              <w:rPr>
                <w:rFonts w:hint="eastAsia" w:ascii="宋体" w:cs="宋体"/>
                <w:color w:val="auto"/>
                <w:sz w:val="24"/>
                <w:highlight w:val="none"/>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F4520">
            <w:pPr>
              <w:widowControl/>
              <w:jc w:val="center"/>
              <w:textAlignment w:val="center"/>
              <w:rPr>
                <w:rFonts w:ascii="宋体" w:cs="宋体"/>
                <w:color w:val="auto"/>
                <w:sz w:val="24"/>
                <w:highlight w:val="none"/>
              </w:rPr>
            </w:pPr>
            <w:r>
              <w:rPr>
                <w:rFonts w:hint="eastAsia" w:ascii="宋体" w:cs="宋体"/>
                <w:color w:val="auto"/>
                <w:sz w:val="24"/>
                <w:highlight w:val="none"/>
              </w:rPr>
              <w:t>＝</w:t>
            </w:r>
            <w:r>
              <w:rPr>
                <w:rFonts w:ascii="宋体" w:cs="宋体"/>
                <w:color w:val="auto"/>
                <w:sz w:val="24"/>
                <w:highlight w:val="none"/>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E74B3B">
            <w:pPr>
              <w:widowControl/>
              <w:jc w:val="center"/>
              <w:textAlignment w:val="center"/>
              <w:rPr>
                <w:rFonts w:ascii="宋体" w:cs="宋体"/>
                <w:color w:val="auto"/>
                <w:sz w:val="24"/>
                <w:highlight w:val="none"/>
              </w:rPr>
            </w:pPr>
            <w:r>
              <w:rPr>
                <w:rFonts w:hint="eastAsia" w:ascii="宋体" w:cs="宋体"/>
                <w:color w:val="auto"/>
                <w:sz w:val="24"/>
                <w:highlight w:val="none"/>
              </w:rPr>
              <w:t>资金支付</w:t>
            </w:r>
            <w:r>
              <w:rPr>
                <w:rFonts w:ascii="宋体" w:cs="宋体"/>
                <w:color w:val="auto"/>
                <w:sz w:val="24"/>
                <w:highlight w:val="none"/>
              </w:rPr>
              <w:t>100%</w:t>
            </w:r>
          </w:p>
        </w:tc>
      </w:tr>
      <w:tr w14:paraId="346FC26D">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3328052C">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35427">
            <w:pPr>
              <w:widowControl/>
              <w:jc w:val="center"/>
              <w:textAlignment w:val="center"/>
              <w:rPr>
                <w:rFonts w:ascii="宋体" w:cs="宋体"/>
                <w:color w:val="auto"/>
                <w:kern w:val="0"/>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A323A7">
            <w:pPr>
              <w:widowControl/>
              <w:jc w:val="center"/>
              <w:textAlignment w:val="center"/>
              <w:rPr>
                <w:rFonts w:ascii="宋体" w:cs="宋体"/>
                <w:color w:val="auto"/>
                <w:sz w:val="24"/>
                <w:highlight w:val="none"/>
              </w:rPr>
            </w:pPr>
            <w:r>
              <w:rPr>
                <w:rFonts w:hint="eastAsia" w:ascii="宋体" w:cs="宋体"/>
                <w:color w:val="auto"/>
                <w:sz w:val="24"/>
                <w:highlight w:val="none"/>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D8C422">
            <w:pPr>
              <w:widowControl/>
              <w:jc w:val="center"/>
              <w:textAlignment w:val="center"/>
              <w:rPr>
                <w:rFonts w:ascii="宋体" w:cs="宋体"/>
                <w:color w:val="auto"/>
                <w:sz w:val="24"/>
                <w:highlight w:val="none"/>
              </w:rPr>
            </w:pPr>
            <w:r>
              <w:rPr>
                <w:rFonts w:hint="eastAsia" w:ascii="宋体" w:cs="宋体"/>
                <w:color w:val="auto"/>
                <w:sz w:val="24"/>
                <w:highlight w:val="none"/>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FB920B">
            <w:pPr>
              <w:widowControl/>
              <w:jc w:val="center"/>
              <w:textAlignment w:val="center"/>
              <w:rPr>
                <w:rFonts w:ascii="宋体" w:cs="宋体"/>
                <w:color w:val="auto"/>
                <w:sz w:val="24"/>
                <w:highlight w:val="none"/>
              </w:rPr>
            </w:pPr>
            <w:r>
              <w:rPr>
                <w:rFonts w:ascii="宋体" w:cs="宋体"/>
                <w:color w:val="auto"/>
                <w:sz w:val="24"/>
                <w:highlight w:val="none"/>
              </w:rPr>
              <w:t>201</w:t>
            </w:r>
            <w:r>
              <w:rPr>
                <w:rFonts w:hint="eastAsia" w:ascii="宋体" w:cs="宋体"/>
                <w:color w:val="auto"/>
                <w:sz w:val="24"/>
                <w:highlight w:val="none"/>
              </w:rPr>
              <w:t>9年</w:t>
            </w:r>
            <w:r>
              <w:rPr>
                <w:rFonts w:ascii="宋体" w:cs="宋体"/>
                <w:color w:val="auto"/>
                <w:sz w:val="24"/>
                <w:highlight w:val="none"/>
              </w:rPr>
              <w:t>1-12</w:t>
            </w:r>
            <w:r>
              <w:rPr>
                <w:rFonts w:hint="eastAsia" w:ascii="宋体" w:cs="宋体"/>
                <w:color w:val="auto"/>
                <w:sz w:val="24"/>
                <w:highlight w:val="none"/>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5C40B4">
            <w:pPr>
              <w:widowControl/>
              <w:jc w:val="center"/>
              <w:textAlignment w:val="center"/>
              <w:rPr>
                <w:rFonts w:ascii="宋体" w:cs="宋体"/>
                <w:color w:val="auto"/>
                <w:sz w:val="24"/>
                <w:highlight w:val="none"/>
              </w:rPr>
            </w:pPr>
            <w:r>
              <w:rPr>
                <w:rFonts w:ascii="宋体" w:cs="宋体"/>
                <w:color w:val="auto"/>
                <w:sz w:val="24"/>
                <w:highlight w:val="none"/>
              </w:rPr>
              <w:t>201</w:t>
            </w:r>
            <w:r>
              <w:rPr>
                <w:rFonts w:hint="eastAsia" w:ascii="宋体" w:cs="宋体"/>
                <w:color w:val="auto"/>
                <w:sz w:val="24"/>
                <w:highlight w:val="none"/>
              </w:rPr>
              <w:t>9年度全部完成</w:t>
            </w:r>
          </w:p>
        </w:tc>
      </w:tr>
      <w:tr w14:paraId="1627863D">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35D1666">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4CD41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4803B0">
            <w:pPr>
              <w:widowControl/>
              <w:jc w:val="center"/>
              <w:textAlignment w:val="center"/>
              <w:rPr>
                <w:rFonts w:ascii="宋体" w:cs="宋体"/>
                <w:color w:val="auto"/>
                <w:sz w:val="24"/>
                <w:highlight w:val="none"/>
              </w:rPr>
            </w:pPr>
            <w:r>
              <w:rPr>
                <w:rFonts w:hint="eastAsia" w:ascii="宋体" w:cs="宋体"/>
                <w:color w:val="auto"/>
                <w:sz w:val="24"/>
                <w:highlight w:val="none"/>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92FECD">
            <w:pPr>
              <w:widowControl/>
              <w:jc w:val="center"/>
              <w:textAlignment w:val="center"/>
              <w:rPr>
                <w:rFonts w:ascii="宋体" w:cs="宋体"/>
                <w:color w:val="auto"/>
                <w:sz w:val="24"/>
                <w:highlight w:val="none"/>
              </w:rPr>
            </w:pPr>
            <w:r>
              <w:rPr>
                <w:rFonts w:hint="eastAsia" w:ascii="宋体" w:cs="宋体"/>
                <w:color w:val="auto"/>
                <w:sz w:val="24"/>
                <w:highlight w:val="none"/>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EF351">
            <w:pPr>
              <w:widowControl/>
              <w:jc w:val="center"/>
              <w:textAlignment w:val="center"/>
              <w:rPr>
                <w:rFonts w:ascii="宋体" w:cs="宋体"/>
                <w:color w:val="auto"/>
                <w:sz w:val="24"/>
                <w:highlight w:val="none"/>
              </w:rPr>
            </w:pPr>
            <w:r>
              <w:rPr>
                <w:rFonts w:hint="eastAsia" w:ascii="宋体" w:cs="宋体"/>
                <w:color w:val="auto"/>
                <w:sz w:val="24"/>
                <w:highlight w:val="none"/>
              </w:rPr>
              <w:t>〉90</w:t>
            </w:r>
            <w:r>
              <w:rPr>
                <w:rFonts w:ascii="宋体" w:cs="宋体"/>
                <w:color w:val="auto"/>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117488">
            <w:pPr>
              <w:widowControl/>
              <w:jc w:val="center"/>
              <w:textAlignment w:val="center"/>
              <w:rPr>
                <w:rFonts w:ascii="宋体" w:cs="宋体"/>
                <w:color w:val="auto"/>
                <w:sz w:val="24"/>
                <w:highlight w:val="none"/>
              </w:rPr>
            </w:pPr>
            <w:r>
              <w:rPr>
                <w:rFonts w:hint="eastAsia" w:ascii="宋体" w:cs="宋体"/>
                <w:color w:val="auto"/>
                <w:sz w:val="24"/>
                <w:highlight w:val="none"/>
              </w:rPr>
              <w:t>〉90</w:t>
            </w:r>
            <w:r>
              <w:rPr>
                <w:rFonts w:ascii="宋体" w:cs="宋体"/>
                <w:color w:val="auto"/>
                <w:sz w:val="24"/>
                <w:highlight w:val="none"/>
              </w:rPr>
              <w:t>%</w:t>
            </w:r>
          </w:p>
        </w:tc>
      </w:tr>
    </w:tbl>
    <w:p w14:paraId="4ABA2BDC">
      <w:pPr>
        <w:spacing w:line="580" w:lineRule="exact"/>
        <w:ind w:left="630"/>
        <w:rPr>
          <w:rFonts w:ascii="仿宋_GB2312" w:hAnsi="仿宋_GB2312" w:eastAsia="仿宋_GB2312" w:cs="仿宋_GB2312"/>
          <w:color w:val="auto"/>
          <w:sz w:val="32"/>
          <w:szCs w:val="32"/>
          <w:highlight w:val="none"/>
        </w:rPr>
      </w:pPr>
    </w:p>
    <w:p w14:paraId="63B17775">
      <w:pPr>
        <w:spacing w:line="580" w:lineRule="exact"/>
        <w:ind w:left="630"/>
        <w:rPr>
          <w:rFonts w:ascii="仿宋_GB2312" w:hAnsi="仿宋_GB2312" w:eastAsia="仿宋_GB2312" w:cs="仿宋_GB2312"/>
          <w:color w:val="auto"/>
          <w:sz w:val="32"/>
          <w:szCs w:val="32"/>
          <w:highlight w:val="none"/>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1175"/>
        <w:gridCol w:w="1025"/>
        <w:gridCol w:w="2392"/>
        <w:gridCol w:w="2394"/>
        <w:gridCol w:w="2392"/>
      </w:tblGrid>
      <w:tr w14:paraId="0103DBC8">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18AEB342">
            <w:pPr>
              <w:widowControl/>
              <w:jc w:val="center"/>
              <w:textAlignment w:val="center"/>
              <w:rPr>
                <w:rFonts w:ascii="宋体" w:cs="宋体"/>
                <w:color w:val="auto"/>
                <w:sz w:val="36"/>
                <w:szCs w:val="36"/>
                <w:highlight w:val="none"/>
              </w:rPr>
            </w:pPr>
            <w:r>
              <w:rPr>
                <w:rFonts w:hint="eastAsia" w:ascii="宋体" w:hAnsi="宋体" w:cs="宋体"/>
                <w:b/>
                <w:bCs/>
                <w:color w:val="auto"/>
                <w:kern w:val="0"/>
                <w:sz w:val="36"/>
                <w:szCs w:val="36"/>
                <w:highlight w:val="none"/>
              </w:rPr>
              <w:t>项目绩效目标完成情况表</w:t>
            </w:r>
            <w:r>
              <w:rPr>
                <w:rFonts w:ascii="宋体" w:cs="宋体"/>
                <w:b/>
                <w:bCs/>
                <w:color w:val="auto"/>
                <w:kern w:val="0"/>
                <w:sz w:val="36"/>
                <w:szCs w:val="36"/>
                <w:highlight w:val="none"/>
              </w:rPr>
              <w:br w:type="textWrapping"/>
            </w:r>
            <w:r>
              <w:rPr>
                <w:rFonts w:ascii="宋体" w:hAnsi="宋体" w:cs="宋体"/>
                <w:color w:val="auto"/>
                <w:kern w:val="0"/>
                <w:sz w:val="36"/>
                <w:szCs w:val="36"/>
                <w:highlight w:val="none"/>
              </w:rPr>
              <w:t xml:space="preserve">(2019 </w:t>
            </w:r>
            <w:r>
              <w:rPr>
                <w:rFonts w:hint="eastAsia" w:ascii="宋体" w:hAnsi="宋体" w:cs="宋体"/>
                <w:color w:val="auto"/>
                <w:kern w:val="0"/>
                <w:sz w:val="36"/>
                <w:szCs w:val="36"/>
                <w:highlight w:val="none"/>
              </w:rPr>
              <w:t>年度</w:t>
            </w:r>
            <w:r>
              <w:rPr>
                <w:rFonts w:ascii="宋体" w:hAnsi="宋体" w:cs="宋体"/>
                <w:color w:val="auto"/>
                <w:kern w:val="0"/>
                <w:sz w:val="36"/>
                <w:szCs w:val="36"/>
                <w:highlight w:val="none"/>
              </w:rPr>
              <w:t>)</w:t>
            </w:r>
          </w:p>
        </w:tc>
      </w:tr>
      <w:tr w14:paraId="3E5A7B0F">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9202F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8771D9">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乡镇人大代表之家建设经费</w:t>
            </w:r>
          </w:p>
        </w:tc>
      </w:tr>
      <w:tr w14:paraId="215494D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7898D2">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D06AF4">
            <w:pPr>
              <w:widowControl/>
              <w:jc w:val="center"/>
              <w:textAlignment w:val="center"/>
              <w:rPr>
                <w:rFonts w:ascii="宋体" w:cs="宋体"/>
                <w:color w:val="auto"/>
                <w:sz w:val="24"/>
                <w:highlight w:val="none"/>
              </w:rPr>
            </w:pPr>
            <w:r>
              <w:rPr>
                <w:rFonts w:hint="eastAsia" w:ascii="宋体" w:cs="宋体"/>
                <w:color w:val="auto"/>
                <w:sz w:val="24"/>
                <w:highlight w:val="none"/>
              </w:rPr>
              <w:t>米易县人大常委会办公室</w:t>
            </w:r>
          </w:p>
        </w:tc>
      </w:tr>
      <w:tr w14:paraId="1DC62DFF">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FE30C5">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预算执行情况</w:t>
            </w:r>
            <w:r>
              <w:rPr>
                <w:rFonts w:ascii="宋体" w:hAnsi="宋体" w:cs="宋体"/>
                <w:color w:val="auto"/>
                <w:kern w:val="0"/>
                <w:sz w:val="24"/>
                <w:highlight w:val="none"/>
              </w:rPr>
              <w:t>(</w:t>
            </w:r>
            <w:r>
              <w:rPr>
                <w:rFonts w:hint="eastAsia" w:ascii="宋体" w:hAnsi="宋体" w:cs="宋体"/>
                <w:color w:val="auto"/>
                <w:kern w:val="0"/>
                <w:sz w:val="24"/>
                <w:highlight w:val="none"/>
              </w:rPr>
              <w:t>万元</w:t>
            </w:r>
            <w:r>
              <w:rPr>
                <w:rFonts w:ascii="宋体" w:hAnsi="宋体" w:cs="宋体"/>
                <w:color w:val="auto"/>
                <w:kern w:val="0"/>
                <w:sz w:val="24"/>
                <w:highlight w:val="none"/>
              </w:rPr>
              <w:t>)</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E6268">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3F4193">
            <w:pPr>
              <w:widowControl/>
              <w:jc w:val="center"/>
              <w:textAlignment w:val="center"/>
              <w:rPr>
                <w:rFonts w:ascii="宋体" w:cs="宋体"/>
                <w:color w:val="auto"/>
                <w:sz w:val="24"/>
                <w:highlight w:val="none"/>
              </w:rPr>
            </w:pPr>
            <w:r>
              <w:rPr>
                <w:rFonts w:hint="eastAsia" w:ascii="宋体" w:cs="宋体"/>
                <w:color w:val="auto"/>
                <w:sz w:val="24"/>
                <w:highlight w:val="none"/>
              </w:rPr>
              <w:t>24</w:t>
            </w:r>
            <w:r>
              <w:rPr>
                <w:rFonts w:ascii="宋体" w:cs="宋体"/>
                <w:color w:val="auto"/>
                <w:sz w:val="24"/>
                <w:highlight w:val="none"/>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82959F">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执行数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3624BE">
            <w:pPr>
              <w:widowControl/>
              <w:jc w:val="center"/>
              <w:textAlignment w:val="center"/>
              <w:rPr>
                <w:rFonts w:ascii="宋体" w:cs="宋体"/>
                <w:color w:val="auto"/>
                <w:sz w:val="24"/>
                <w:highlight w:val="none"/>
              </w:rPr>
            </w:pPr>
            <w:r>
              <w:rPr>
                <w:rFonts w:hint="eastAsia" w:ascii="宋体" w:cs="宋体"/>
                <w:color w:val="auto"/>
                <w:sz w:val="24"/>
                <w:highlight w:val="none"/>
              </w:rPr>
              <w:t>24</w:t>
            </w:r>
          </w:p>
        </w:tc>
      </w:tr>
      <w:tr w14:paraId="559D6645">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BE29FA">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71B6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9F8403">
            <w:pPr>
              <w:widowControl/>
              <w:jc w:val="center"/>
              <w:textAlignment w:val="center"/>
              <w:rPr>
                <w:rFonts w:ascii="宋体" w:cs="宋体"/>
                <w:color w:val="auto"/>
                <w:sz w:val="24"/>
                <w:highlight w:val="none"/>
              </w:rPr>
            </w:pPr>
            <w:r>
              <w:rPr>
                <w:rFonts w:hint="eastAsia" w:ascii="宋体" w:cs="宋体"/>
                <w:color w:val="auto"/>
                <w:sz w:val="24"/>
                <w:highlight w:val="none"/>
              </w:rPr>
              <w:t>24</w:t>
            </w:r>
            <w:r>
              <w:rPr>
                <w:rFonts w:ascii="宋体" w:cs="宋体"/>
                <w:color w:val="auto"/>
                <w:sz w:val="24"/>
                <w:highlight w:val="none"/>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0CDA56">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312ECA">
            <w:pPr>
              <w:widowControl/>
              <w:jc w:val="center"/>
              <w:textAlignment w:val="center"/>
              <w:rPr>
                <w:rFonts w:ascii="宋体" w:cs="宋体"/>
                <w:color w:val="auto"/>
                <w:sz w:val="24"/>
                <w:highlight w:val="none"/>
              </w:rPr>
            </w:pPr>
            <w:r>
              <w:rPr>
                <w:rFonts w:hint="eastAsia" w:ascii="宋体" w:cs="宋体"/>
                <w:color w:val="auto"/>
                <w:sz w:val="24"/>
                <w:highlight w:val="none"/>
              </w:rPr>
              <w:t>24</w:t>
            </w:r>
            <w:r>
              <w:rPr>
                <w:rFonts w:ascii="宋体" w:cs="宋体"/>
                <w:color w:val="auto"/>
                <w:sz w:val="24"/>
                <w:highlight w:val="none"/>
              </w:rPr>
              <w:t xml:space="preserve"> </w:t>
            </w:r>
          </w:p>
        </w:tc>
      </w:tr>
      <w:tr w14:paraId="7B287971">
        <w:tblPrEx>
          <w:tblCellMar>
            <w:top w:w="0" w:type="dxa"/>
            <w:left w:w="0" w:type="dxa"/>
            <w:bottom w:w="0" w:type="dxa"/>
            <w:right w:w="0" w:type="dxa"/>
          </w:tblCellMar>
        </w:tblPrEx>
        <w:trPr>
          <w:trHeight w:val="1511"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FF8219">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D2A3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650044">
            <w:pPr>
              <w:widowControl/>
              <w:jc w:val="center"/>
              <w:textAlignment w:val="center"/>
              <w:rPr>
                <w:rFonts w:ascii="宋体" w:cs="宋体"/>
                <w:color w:val="auto"/>
                <w:sz w:val="24"/>
                <w:highlight w:val="none"/>
              </w:rPr>
            </w:pPr>
            <w:r>
              <w:rPr>
                <w:rFonts w:hint="eastAsia" w:ascii="宋体" w:cs="宋体"/>
                <w:color w:val="auto"/>
                <w:sz w:val="24"/>
                <w:highlight w:val="none"/>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9C9DC">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29824">
            <w:pPr>
              <w:jc w:val="center"/>
              <w:rPr>
                <w:rFonts w:ascii="宋体" w:cs="宋体"/>
                <w:color w:val="auto"/>
                <w:sz w:val="24"/>
                <w:highlight w:val="none"/>
              </w:rPr>
            </w:pPr>
            <w:r>
              <w:rPr>
                <w:rFonts w:hint="eastAsia" w:ascii="宋体" w:cs="宋体"/>
                <w:color w:val="auto"/>
                <w:sz w:val="24"/>
                <w:highlight w:val="none"/>
              </w:rPr>
              <w:t>0</w:t>
            </w:r>
          </w:p>
        </w:tc>
      </w:tr>
      <w:tr w14:paraId="5E1BD974">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F31DC">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CC3EC4">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EC6921">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实际完成目标</w:t>
            </w:r>
          </w:p>
        </w:tc>
      </w:tr>
      <w:tr w14:paraId="5A09A722">
        <w:tblPrEx>
          <w:tblCellMar>
            <w:top w:w="0" w:type="dxa"/>
            <w:left w:w="0" w:type="dxa"/>
            <w:bottom w:w="0" w:type="dxa"/>
            <w:right w:w="0" w:type="dxa"/>
          </w:tblCellMar>
        </w:tblPrEx>
        <w:trPr>
          <w:trHeight w:val="1159"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C52914">
            <w:pPr>
              <w:jc w:val="center"/>
              <w:rPr>
                <w:rFonts w:ascii="宋体" w:cs="宋体"/>
                <w:color w:val="auto"/>
                <w:sz w:val="24"/>
                <w:highlight w:val="none"/>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7D7BDFE">
            <w:pPr>
              <w:rPr>
                <w:rFonts w:ascii="宋体" w:hAnsi="宋体"/>
                <w:color w:val="auto"/>
                <w:sz w:val="24"/>
                <w:highlight w:val="none"/>
              </w:rPr>
            </w:pPr>
            <w:r>
              <w:rPr>
                <w:rFonts w:hint="eastAsia" w:ascii="宋体" w:hAnsi="宋体" w:cs="仿宋_GB2312"/>
                <w:color w:val="auto"/>
                <w:sz w:val="24"/>
                <w:highlight w:val="none"/>
              </w:rPr>
              <w:t>保障乡镇人大代表开展活动的阵地，解决乡镇人大代表“活动难组织难开展，能力难提升难发挥，实效难体现”等突出问题，使“人大代表之家”真正成为人大代表学习进步的平台、履职尽责的平台、展示形象的平台。</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0FD9B2E8">
            <w:pPr>
              <w:rPr>
                <w:rFonts w:ascii="宋体" w:hAnsi="宋体"/>
                <w:color w:val="auto"/>
                <w:sz w:val="24"/>
                <w:highlight w:val="none"/>
              </w:rPr>
            </w:pPr>
            <w:r>
              <w:rPr>
                <w:rFonts w:hint="eastAsia" w:ascii="宋体" w:hAnsi="宋体" w:cs="仿宋_GB2312"/>
                <w:color w:val="auto"/>
                <w:sz w:val="24"/>
                <w:highlight w:val="none"/>
              </w:rPr>
              <w:t>保障乡镇人大代表开展活动的阵地，解决乡镇人大代表“活动难组织难开展，能力难提升难发挥，实效难体现”等突出问题，使“人大代表之家”真正成为人大代表学习进步的平台、履职尽责的平台、展示形象的平台。</w:t>
            </w:r>
          </w:p>
        </w:tc>
      </w:tr>
      <w:tr w14:paraId="6D7A753B">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8E2EF58">
            <w:pPr>
              <w:widowControl/>
              <w:jc w:val="center"/>
              <w:textAlignment w:val="center"/>
              <w:rPr>
                <w:rFonts w:ascii="宋体" w:cs="宋体"/>
                <w:color w:val="auto"/>
                <w:sz w:val="24"/>
                <w:highlight w:val="none"/>
              </w:rPr>
            </w:pPr>
            <w:r>
              <w:rPr>
                <w:rFonts w:hint="eastAsia" w:ascii="宋体" w:hAnsi="宋体" w:cs="宋体"/>
                <w:color w:val="auto"/>
                <w:sz w:val="24"/>
                <w:highlight w:val="none"/>
              </w:rPr>
              <w:t>绩效指标完成情况</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5258D4">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716047">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46988">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5D838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F4EDA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r>
      <w:tr w14:paraId="2DECBE4C">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02DF9D88">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466E5">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2717F">
            <w:pPr>
              <w:widowControl/>
              <w:jc w:val="center"/>
              <w:textAlignment w:val="center"/>
              <w:rPr>
                <w:rFonts w:ascii="宋体" w:hAnsi="宋体"/>
                <w:color w:val="auto"/>
                <w:sz w:val="24"/>
                <w:highlight w:val="none"/>
              </w:rPr>
            </w:pPr>
            <w:r>
              <w:rPr>
                <w:rFonts w:hint="eastAsia" w:ascii="宋体" w:hAnsi="宋体" w:cs="宋体"/>
                <w:color w:val="auto"/>
                <w:sz w:val="24"/>
                <w:highlight w:val="none"/>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ED346D">
            <w:pPr>
              <w:widowControl/>
              <w:jc w:val="center"/>
              <w:textAlignment w:val="center"/>
              <w:rPr>
                <w:rFonts w:ascii="宋体" w:hAnsi="宋体"/>
                <w:color w:val="auto"/>
                <w:sz w:val="24"/>
                <w:highlight w:val="none"/>
              </w:rPr>
            </w:pPr>
            <w:r>
              <w:rPr>
                <w:rFonts w:hint="eastAsia" w:ascii="宋体" w:hAnsi="宋体" w:cs="宋体"/>
                <w:color w:val="auto"/>
                <w:sz w:val="24"/>
                <w:highlight w:val="none"/>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A39453">
            <w:pPr>
              <w:widowControl/>
              <w:jc w:val="left"/>
              <w:textAlignment w:val="center"/>
              <w:rPr>
                <w:rFonts w:ascii="宋体" w:hAnsi="宋体"/>
                <w:color w:val="auto"/>
                <w:sz w:val="24"/>
                <w:highlight w:val="none"/>
              </w:rPr>
            </w:pPr>
            <w:r>
              <w:rPr>
                <w:rFonts w:hint="eastAsia" w:ascii="宋体" w:hAnsi="宋体" w:cs="宋体"/>
                <w:color w:val="auto"/>
                <w:sz w:val="24"/>
                <w:highlight w:val="none"/>
              </w:rPr>
              <w:t>支付乡镇人大代表之家建设经费24万元。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6D3FAE">
            <w:pPr>
              <w:widowControl/>
              <w:jc w:val="left"/>
              <w:textAlignment w:val="center"/>
              <w:rPr>
                <w:rFonts w:ascii="宋体" w:hAnsi="宋体"/>
                <w:color w:val="auto"/>
                <w:sz w:val="24"/>
                <w:highlight w:val="none"/>
              </w:rPr>
            </w:pPr>
            <w:r>
              <w:rPr>
                <w:rFonts w:hint="eastAsia" w:ascii="宋体" w:hAnsi="宋体" w:cs="宋体"/>
                <w:color w:val="auto"/>
                <w:sz w:val="24"/>
                <w:highlight w:val="none"/>
              </w:rPr>
              <w:t>支付乡镇人大代表之家建设经费24万元。</w:t>
            </w:r>
          </w:p>
        </w:tc>
      </w:tr>
      <w:tr w14:paraId="631BF888">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4DD7E6E7">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64D744">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CEFD1A">
            <w:pPr>
              <w:widowControl/>
              <w:jc w:val="center"/>
              <w:textAlignment w:val="center"/>
              <w:rPr>
                <w:rFonts w:ascii="宋体" w:hAnsi="宋体"/>
                <w:color w:val="auto"/>
                <w:sz w:val="24"/>
                <w:highlight w:val="none"/>
              </w:rPr>
            </w:pPr>
            <w:r>
              <w:rPr>
                <w:rFonts w:hint="eastAsia" w:ascii="宋体" w:hAnsi="宋体" w:cs="宋体"/>
                <w:color w:val="auto"/>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E054E4">
            <w:pPr>
              <w:widowControl/>
              <w:jc w:val="center"/>
              <w:textAlignment w:val="center"/>
              <w:rPr>
                <w:rFonts w:ascii="宋体" w:hAnsi="宋体"/>
                <w:color w:val="auto"/>
                <w:sz w:val="24"/>
                <w:highlight w:val="none"/>
              </w:rPr>
            </w:pPr>
            <w:r>
              <w:rPr>
                <w:rFonts w:hint="eastAsia" w:ascii="宋体" w:hAnsi="宋体" w:cs="宋体"/>
                <w:color w:val="auto"/>
                <w:sz w:val="24"/>
                <w:highlight w:val="none"/>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1643AD">
            <w:pPr>
              <w:widowControl/>
              <w:jc w:val="center"/>
              <w:textAlignment w:val="center"/>
              <w:rPr>
                <w:rFonts w:ascii="宋体" w:hAnsi="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FA3FBD">
            <w:pPr>
              <w:widowControl/>
              <w:jc w:val="center"/>
              <w:textAlignment w:val="center"/>
              <w:rPr>
                <w:rFonts w:ascii="宋体" w:hAnsi="宋体"/>
                <w:color w:val="auto"/>
                <w:sz w:val="24"/>
                <w:highlight w:val="none"/>
              </w:rPr>
            </w:pPr>
            <w:r>
              <w:rPr>
                <w:rFonts w:hint="eastAsia" w:ascii="宋体" w:hAnsi="宋体"/>
                <w:color w:val="auto"/>
                <w:sz w:val="24"/>
                <w:highlight w:val="none"/>
              </w:rPr>
              <w:t>完成</w:t>
            </w:r>
            <w:r>
              <w:rPr>
                <w:rFonts w:ascii="宋体" w:hAnsi="宋体"/>
                <w:color w:val="auto"/>
                <w:sz w:val="24"/>
                <w:highlight w:val="none"/>
              </w:rPr>
              <w:t>100%</w:t>
            </w:r>
          </w:p>
        </w:tc>
      </w:tr>
      <w:tr w14:paraId="7FE609B2">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4050FBC8">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43C20">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155E15">
            <w:pPr>
              <w:widowControl/>
              <w:jc w:val="center"/>
              <w:textAlignment w:val="center"/>
              <w:rPr>
                <w:rFonts w:ascii="宋体" w:hAnsi="宋体"/>
                <w:color w:val="auto"/>
                <w:sz w:val="24"/>
                <w:highlight w:val="none"/>
              </w:rPr>
            </w:pPr>
            <w:r>
              <w:rPr>
                <w:rFonts w:hint="eastAsia" w:ascii="宋体" w:hAnsi="宋体" w:cs="宋体"/>
                <w:color w:val="auto"/>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702274">
            <w:pPr>
              <w:widowControl/>
              <w:jc w:val="center"/>
              <w:textAlignment w:val="center"/>
              <w:rPr>
                <w:rFonts w:ascii="宋体" w:hAnsi="宋体"/>
                <w:color w:val="auto"/>
                <w:sz w:val="24"/>
                <w:highlight w:val="none"/>
              </w:rPr>
            </w:pPr>
            <w:r>
              <w:rPr>
                <w:rFonts w:hint="eastAsia" w:ascii="宋体" w:hAnsi="宋体" w:cs="宋体"/>
                <w:color w:val="auto"/>
                <w:sz w:val="24"/>
                <w:highlight w:val="none"/>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907635">
            <w:pPr>
              <w:widowControl/>
              <w:jc w:val="center"/>
              <w:textAlignment w:val="center"/>
              <w:rPr>
                <w:rFonts w:ascii="宋体" w:hAnsi="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059F7">
            <w:pPr>
              <w:widowControl/>
              <w:jc w:val="center"/>
              <w:textAlignment w:val="center"/>
              <w:rPr>
                <w:rFonts w:ascii="宋体" w:hAnsi="宋体"/>
                <w:color w:val="auto"/>
                <w:sz w:val="24"/>
                <w:highlight w:val="none"/>
              </w:rPr>
            </w:pPr>
            <w:r>
              <w:rPr>
                <w:rFonts w:hint="eastAsia" w:ascii="宋体" w:hAnsi="宋体"/>
                <w:color w:val="auto"/>
                <w:sz w:val="24"/>
                <w:highlight w:val="none"/>
              </w:rPr>
              <w:t>资金支付</w:t>
            </w:r>
            <w:r>
              <w:rPr>
                <w:rFonts w:ascii="宋体" w:hAnsi="宋体"/>
                <w:color w:val="auto"/>
                <w:sz w:val="24"/>
                <w:highlight w:val="none"/>
              </w:rPr>
              <w:t>100%</w:t>
            </w:r>
          </w:p>
        </w:tc>
      </w:tr>
      <w:tr w14:paraId="0335C15F">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45488C29">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555410">
            <w:pPr>
              <w:widowControl/>
              <w:jc w:val="center"/>
              <w:textAlignment w:val="center"/>
              <w:rPr>
                <w:rFonts w:ascii="宋体" w:cs="宋体"/>
                <w:color w:val="auto"/>
                <w:kern w:val="0"/>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5D7953">
            <w:pPr>
              <w:widowControl/>
              <w:jc w:val="center"/>
              <w:textAlignment w:val="center"/>
              <w:rPr>
                <w:rFonts w:ascii="宋体" w:hAnsi="宋体"/>
                <w:color w:val="auto"/>
                <w:sz w:val="24"/>
                <w:highlight w:val="none"/>
              </w:rPr>
            </w:pPr>
            <w:r>
              <w:rPr>
                <w:rFonts w:hint="eastAsia" w:ascii="宋体" w:hAnsi="宋体" w:cs="宋体"/>
                <w:color w:val="auto"/>
                <w:sz w:val="24"/>
                <w:highlight w:val="none"/>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3B61A8">
            <w:pPr>
              <w:widowControl/>
              <w:jc w:val="center"/>
              <w:textAlignment w:val="center"/>
              <w:rPr>
                <w:rFonts w:ascii="宋体" w:hAnsi="宋体"/>
                <w:color w:val="auto"/>
                <w:sz w:val="24"/>
                <w:highlight w:val="none"/>
              </w:rPr>
            </w:pPr>
            <w:r>
              <w:rPr>
                <w:rFonts w:hint="eastAsia" w:ascii="宋体" w:hAnsi="宋体" w:cs="宋体"/>
                <w:color w:val="auto"/>
                <w:sz w:val="24"/>
                <w:highlight w:val="none"/>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0567E4">
            <w:pPr>
              <w:widowControl/>
              <w:jc w:val="center"/>
              <w:textAlignment w:val="center"/>
              <w:rPr>
                <w:rFonts w:ascii="宋体" w:hAnsi="宋体"/>
                <w:color w:val="auto"/>
                <w:sz w:val="24"/>
                <w:highlight w:val="none"/>
              </w:rPr>
            </w:pPr>
            <w:r>
              <w:rPr>
                <w:rFonts w:ascii="宋体" w:hAnsi="宋体" w:cs="宋体"/>
                <w:color w:val="auto"/>
                <w:sz w:val="24"/>
                <w:highlight w:val="none"/>
              </w:rPr>
              <w:t>201</w:t>
            </w:r>
            <w:r>
              <w:rPr>
                <w:rFonts w:hint="eastAsia" w:ascii="宋体" w:hAnsi="宋体" w:cs="宋体"/>
                <w:color w:val="auto"/>
                <w:sz w:val="24"/>
                <w:highlight w:val="none"/>
              </w:rPr>
              <w:t>9年</w:t>
            </w:r>
            <w:r>
              <w:rPr>
                <w:rFonts w:ascii="宋体" w:hAnsi="宋体" w:cs="宋体"/>
                <w:color w:val="auto"/>
                <w:sz w:val="24"/>
                <w:highlight w:val="none"/>
              </w:rPr>
              <w:t>1-12</w:t>
            </w:r>
            <w:r>
              <w:rPr>
                <w:rFonts w:hint="eastAsia" w:ascii="宋体" w:hAnsi="宋体" w:cs="宋体"/>
                <w:color w:val="auto"/>
                <w:sz w:val="24"/>
                <w:highlight w:val="none"/>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B9805E">
            <w:pPr>
              <w:widowControl/>
              <w:jc w:val="center"/>
              <w:textAlignment w:val="center"/>
              <w:rPr>
                <w:rFonts w:ascii="宋体" w:hAnsi="宋体"/>
                <w:color w:val="auto"/>
                <w:sz w:val="24"/>
                <w:highlight w:val="none"/>
              </w:rPr>
            </w:pPr>
            <w:r>
              <w:rPr>
                <w:rFonts w:ascii="宋体" w:hAnsi="宋体"/>
                <w:color w:val="auto"/>
                <w:sz w:val="24"/>
                <w:highlight w:val="none"/>
              </w:rPr>
              <w:t>201</w:t>
            </w:r>
            <w:r>
              <w:rPr>
                <w:rFonts w:hint="eastAsia" w:ascii="宋体" w:hAnsi="宋体"/>
                <w:color w:val="auto"/>
                <w:sz w:val="24"/>
                <w:highlight w:val="none"/>
              </w:rPr>
              <w:t>9年度全部完成</w:t>
            </w:r>
          </w:p>
        </w:tc>
      </w:tr>
      <w:tr w14:paraId="337079AF">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116EFE8">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E78C2">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186C0A">
            <w:pPr>
              <w:widowControl/>
              <w:jc w:val="center"/>
              <w:textAlignment w:val="center"/>
              <w:rPr>
                <w:rFonts w:ascii="宋体" w:hAnsi="宋体"/>
                <w:color w:val="auto"/>
                <w:sz w:val="24"/>
                <w:highlight w:val="none"/>
              </w:rPr>
            </w:pPr>
            <w:r>
              <w:rPr>
                <w:rFonts w:hint="eastAsia" w:ascii="宋体" w:hAnsi="宋体" w:cs="宋体"/>
                <w:color w:val="auto"/>
                <w:sz w:val="24"/>
                <w:highlight w:val="none"/>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7B9449">
            <w:pPr>
              <w:widowControl/>
              <w:jc w:val="center"/>
              <w:textAlignment w:val="center"/>
              <w:rPr>
                <w:rFonts w:ascii="宋体" w:hAnsi="宋体"/>
                <w:color w:val="auto"/>
                <w:sz w:val="24"/>
                <w:highlight w:val="none"/>
              </w:rPr>
            </w:pPr>
            <w:r>
              <w:rPr>
                <w:rFonts w:hint="eastAsia" w:ascii="宋体" w:hAnsi="宋体" w:cs="宋体"/>
                <w:color w:val="auto"/>
                <w:sz w:val="24"/>
                <w:highlight w:val="none"/>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1E9D1D">
            <w:pPr>
              <w:widowControl/>
              <w:jc w:val="center"/>
              <w:textAlignment w:val="center"/>
              <w:rPr>
                <w:rFonts w:ascii="宋体" w:hAnsi="宋体"/>
                <w:color w:val="auto"/>
                <w:sz w:val="24"/>
                <w:highlight w:val="none"/>
              </w:rPr>
            </w:pPr>
            <w:r>
              <w:rPr>
                <w:rFonts w:hint="eastAsia" w:ascii="宋体" w:hAnsi="宋体" w:cs="宋体"/>
                <w:color w:val="auto"/>
                <w:sz w:val="24"/>
                <w:highlight w:val="none"/>
              </w:rPr>
              <w:t>〉90</w:t>
            </w:r>
            <w:r>
              <w:rPr>
                <w:rFonts w:ascii="宋体" w:hAnsi="宋体" w:cs="宋体"/>
                <w:color w:val="auto"/>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276034">
            <w:pPr>
              <w:widowControl/>
              <w:jc w:val="center"/>
              <w:textAlignment w:val="center"/>
              <w:rPr>
                <w:rFonts w:ascii="宋体" w:hAnsi="宋体"/>
                <w:color w:val="auto"/>
                <w:sz w:val="24"/>
                <w:highlight w:val="none"/>
              </w:rPr>
            </w:pPr>
            <w:r>
              <w:rPr>
                <w:rFonts w:hint="eastAsia" w:ascii="宋体" w:hAnsi="宋体" w:cs="宋体"/>
                <w:color w:val="auto"/>
                <w:sz w:val="24"/>
                <w:highlight w:val="none"/>
              </w:rPr>
              <w:t>〉90</w:t>
            </w:r>
            <w:r>
              <w:rPr>
                <w:rFonts w:ascii="宋体" w:hAnsi="宋体" w:cs="宋体"/>
                <w:color w:val="auto"/>
                <w:sz w:val="24"/>
                <w:highlight w:val="none"/>
              </w:rPr>
              <w:t>%</w:t>
            </w:r>
          </w:p>
        </w:tc>
      </w:tr>
    </w:tbl>
    <w:p w14:paraId="05687EBF">
      <w:pPr>
        <w:spacing w:line="580" w:lineRule="exact"/>
        <w:ind w:left="630"/>
        <w:rPr>
          <w:rFonts w:ascii="仿宋_GB2312" w:hAnsi="仿宋_GB2312" w:eastAsia="仿宋_GB2312" w:cs="仿宋_GB2312"/>
          <w:color w:val="auto"/>
          <w:sz w:val="32"/>
          <w:szCs w:val="32"/>
          <w:highlight w:val="none"/>
        </w:rPr>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582"/>
        <w:gridCol w:w="1175"/>
        <w:gridCol w:w="1025"/>
        <w:gridCol w:w="2392"/>
        <w:gridCol w:w="2394"/>
        <w:gridCol w:w="2392"/>
      </w:tblGrid>
      <w:tr w14:paraId="2E19163A">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26C5A6D">
            <w:pPr>
              <w:widowControl/>
              <w:jc w:val="center"/>
              <w:textAlignment w:val="center"/>
              <w:rPr>
                <w:rFonts w:ascii="宋体" w:cs="宋体"/>
                <w:color w:val="auto"/>
                <w:sz w:val="36"/>
                <w:szCs w:val="36"/>
                <w:highlight w:val="none"/>
              </w:rPr>
            </w:pPr>
            <w:r>
              <w:rPr>
                <w:rFonts w:hint="eastAsia" w:ascii="宋体" w:hAnsi="宋体" w:cs="宋体"/>
                <w:b/>
                <w:bCs/>
                <w:color w:val="auto"/>
                <w:kern w:val="0"/>
                <w:sz w:val="36"/>
                <w:szCs w:val="36"/>
                <w:highlight w:val="none"/>
              </w:rPr>
              <w:t>项目绩效目标完成情况表</w:t>
            </w:r>
            <w:r>
              <w:rPr>
                <w:rFonts w:ascii="宋体" w:cs="宋体"/>
                <w:b/>
                <w:bCs/>
                <w:color w:val="auto"/>
                <w:kern w:val="0"/>
                <w:sz w:val="36"/>
                <w:szCs w:val="36"/>
                <w:highlight w:val="none"/>
              </w:rPr>
              <w:br w:type="textWrapping"/>
            </w:r>
            <w:r>
              <w:rPr>
                <w:rFonts w:ascii="宋体" w:hAnsi="宋体" w:cs="宋体"/>
                <w:color w:val="auto"/>
                <w:kern w:val="0"/>
                <w:sz w:val="36"/>
                <w:szCs w:val="36"/>
                <w:highlight w:val="none"/>
              </w:rPr>
              <w:t xml:space="preserve">(2019 </w:t>
            </w:r>
            <w:r>
              <w:rPr>
                <w:rFonts w:hint="eastAsia" w:ascii="宋体" w:hAnsi="宋体" w:cs="宋体"/>
                <w:color w:val="auto"/>
                <w:kern w:val="0"/>
                <w:sz w:val="36"/>
                <w:szCs w:val="36"/>
                <w:highlight w:val="none"/>
              </w:rPr>
              <w:t>年度</w:t>
            </w:r>
            <w:r>
              <w:rPr>
                <w:rFonts w:ascii="宋体" w:hAnsi="宋体" w:cs="宋体"/>
                <w:color w:val="auto"/>
                <w:kern w:val="0"/>
                <w:sz w:val="36"/>
                <w:szCs w:val="36"/>
                <w:highlight w:val="none"/>
              </w:rPr>
              <w:t>)</w:t>
            </w:r>
          </w:p>
        </w:tc>
      </w:tr>
      <w:tr w14:paraId="6829477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A22FBC">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D76F5">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人大代表报刊经费</w:t>
            </w:r>
          </w:p>
        </w:tc>
      </w:tr>
      <w:tr w14:paraId="729389C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50C81D">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460B90">
            <w:pPr>
              <w:widowControl/>
              <w:jc w:val="center"/>
              <w:textAlignment w:val="center"/>
              <w:rPr>
                <w:rFonts w:ascii="宋体" w:cs="宋体"/>
                <w:color w:val="auto"/>
                <w:sz w:val="24"/>
                <w:highlight w:val="none"/>
              </w:rPr>
            </w:pPr>
            <w:r>
              <w:rPr>
                <w:rFonts w:hint="eastAsia" w:ascii="宋体" w:cs="宋体"/>
                <w:color w:val="auto"/>
                <w:sz w:val="24"/>
                <w:highlight w:val="none"/>
              </w:rPr>
              <w:t>米易县人大常委会办公室</w:t>
            </w:r>
          </w:p>
        </w:tc>
      </w:tr>
      <w:tr w14:paraId="452B0FDD">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9EE78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预算执行情况</w:t>
            </w:r>
            <w:r>
              <w:rPr>
                <w:rFonts w:ascii="宋体" w:hAnsi="宋体" w:cs="宋体"/>
                <w:color w:val="auto"/>
                <w:kern w:val="0"/>
                <w:sz w:val="24"/>
                <w:highlight w:val="none"/>
              </w:rPr>
              <w:t>(</w:t>
            </w:r>
            <w:r>
              <w:rPr>
                <w:rFonts w:hint="eastAsia" w:ascii="宋体" w:hAnsi="宋体" w:cs="宋体"/>
                <w:color w:val="auto"/>
                <w:kern w:val="0"/>
                <w:sz w:val="24"/>
                <w:highlight w:val="none"/>
              </w:rPr>
              <w:t>万元</w:t>
            </w:r>
            <w:r>
              <w:rPr>
                <w:rFonts w:ascii="宋体" w:hAnsi="宋体" w:cs="宋体"/>
                <w:color w:val="auto"/>
                <w:kern w:val="0"/>
                <w:sz w:val="24"/>
                <w:highlight w:val="none"/>
              </w:rPr>
              <w:t>)</w:t>
            </w: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53A874">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预算数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6D9860">
            <w:pPr>
              <w:widowControl/>
              <w:jc w:val="center"/>
              <w:textAlignment w:val="center"/>
              <w:rPr>
                <w:rFonts w:ascii="宋体" w:cs="宋体"/>
                <w:color w:val="auto"/>
                <w:sz w:val="24"/>
                <w:highlight w:val="none"/>
              </w:rPr>
            </w:pPr>
            <w:r>
              <w:rPr>
                <w:rFonts w:hint="eastAsia" w:ascii="宋体" w:cs="宋体"/>
                <w:color w:val="auto"/>
                <w:sz w:val="24"/>
                <w:highlight w:val="none"/>
              </w:rPr>
              <w:t>3</w:t>
            </w:r>
            <w:r>
              <w:rPr>
                <w:rFonts w:ascii="宋体" w:cs="宋体"/>
                <w:color w:val="auto"/>
                <w:sz w:val="24"/>
                <w:highlight w:val="none"/>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FA36CD">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执行数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2436A2">
            <w:pPr>
              <w:widowControl/>
              <w:jc w:val="center"/>
              <w:textAlignment w:val="center"/>
              <w:rPr>
                <w:rFonts w:ascii="宋体" w:cs="宋体"/>
                <w:color w:val="auto"/>
                <w:sz w:val="24"/>
                <w:highlight w:val="none"/>
              </w:rPr>
            </w:pPr>
            <w:r>
              <w:rPr>
                <w:rFonts w:hint="eastAsia" w:ascii="宋体" w:cs="宋体"/>
                <w:color w:val="auto"/>
                <w:sz w:val="24"/>
                <w:highlight w:val="none"/>
              </w:rPr>
              <w:t>3</w:t>
            </w:r>
          </w:p>
        </w:tc>
      </w:tr>
      <w:tr w14:paraId="6B6D9DF1">
        <w:tblPrEx>
          <w:tblCellMar>
            <w:top w:w="0" w:type="dxa"/>
            <w:left w:w="0" w:type="dxa"/>
            <w:bottom w:w="0" w:type="dxa"/>
            <w:right w:w="0" w:type="dxa"/>
          </w:tblCellMar>
        </w:tblPrEx>
        <w:trPr>
          <w:trHeight w:val="276"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2CBC6">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28B9B">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BDF277">
            <w:pPr>
              <w:widowControl/>
              <w:jc w:val="center"/>
              <w:textAlignment w:val="center"/>
              <w:rPr>
                <w:rFonts w:ascii="宋体" w:cs="宋体"/>
                <w:color w:val="auto"/>
                <w:sz w:val="24"/>
                <w:highlight w:val="none"/>
              </w:rPr>
            </w:pPr>
            <w:r>
              <w:rPr>
                <w:rFonts w:hint="eastAsia" w:ascii="宋体" w:cs="宋体"/>
                <w:color w:val="auto"/>
                <w:sz w:val="24"/>
                <w:highlight w:val="none"/>
              </w:rPr>
              <w:t>3</w:t>
            </w:r>
            <w:r>
              <w:rPr>
                <w:rFonts w:ascii="宋体" w:cs="宋体"/>
                <w:color w:val="auto"/>
                <w:sz w:val="24"/>
                <w:highlight w:val="none"/>
              </w:rPr>
              <w:t xml:space="preserve"> </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832A7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其中</w:t>
            </w:r>
            <w:r>
              <w:rPr>
                <w:rFonts w:ascii="宋体" w:cs="宋体"/>
                <w:color w:val="auto"/>
                <w:kern w:val="0"/>
                <w:sz w:val="24"/>
                <w:highlight w:val="none"/>
              </w:rPr>
              <w:t>-</w:t>
            </w:r>
            <w:r>
              <w:rPr>
                <w:rFonts w:hint="eastAsia" w:ascii="宋体" w:hAnsi="宋体" w:cs="宋体"/>
                <w:color w:val="auto"/>
                <w:kern w:val="0"/>
                <w:sz w:val="24"/>
                <w:highlight w:val="none"/>
              </w:rPr>
              <w:t>财政拨款</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0F1E19">
            <w:pPr>
              <w:widowControl/>
              <w:jc w:val="center"/>
              <w:textAlignment w:val="center"/>
              <w:rPr>
                <w:rFonts w:ascii="宋体" w:cs="宋体"/>
                <w:color w:val="auto"/>
                <w:sz w:val="24"/>
                <w:highlight w:val="none"/>
              </w:rPr>
            </w:pPr>
            <w:r>
              <w:rPr>
                <w:rFonts w:hint="eastAsia" w:ascii="宋体" w:cs="宋体"/>
                <w:color w:val="auto"/>
                <w:sz w:val="24"/>
                <w:highlight w:val="none"/>
              </w:rPr>
              <w:t>3</w:t>
            </w:r>
            <w:r>
              <w:rPr>
                <w:rFonts w:ascii="宋体" w:cs="宋体"/>
                <w:color w:val="auto"/>
                <w:sz w:val="24"/>
                <w:highlight w:val="none"/>
              </w:rPr>
              <w:t xml:space="preserve"> </w:t>
            </w:r>
          </w:p>
        </w:tc>
      </w:tr>
      <w:tr w14:paraId="645F4223">
        <w:tblPrEx>
          <w:tblCellMar>
            <w:top w:w="0" w:type="dxa"/>
            <w:left w:w="0" w:type="dxa"/>
            <w:bottom w:w="0" w:type="dxa"/>
            <w:right w:w="0" w:type="dxa"/>
          </w:tblCellMar>
        </w:tblPrEx>
        <w:trPr>
          <w:trHeight w:val="1511"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82024">
            <w:pPr>
              <w:jc w:val="center"/>
              <w:rPr>
                <w:rFonts w:ascii="宋体" w:cs="宋体"/>
                <w:color w:val="auto"/>
                <w:sz w:val="24"/>
                <w:highlight w:val="none"/>
              </w:rPr>
            </w:pPr>
          </w:p>
        </w:tc>
        <w:tc>
          <w:tcPr>
            <w:tcW w:w="220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9F50FC">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122037">
            <w:pPr>
              <w:widowControl/>
              <w:jc w:val="center"/>
              <w:textAlignment w:val="center"/>
              <w:rPr>
                <w:rFonts w:ascii="宋体" w:cs="宋体"/>
                <w:color w:val="auto"/>
                <w:sz w:val="24"/>
                <w:highlight w:val="none"/>
              </w:rPr>
            </w:pPr>
            <w:r>
              <w:rPr>
                <w:rFonts w:hint="eastAsia" w:ascii="宋体" w:cs="宋体"/>
                <w:color w:val="auto"/>
                <w:sz w:val="24"/>
                <w:highlight w:val="none"/>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26302F">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其它资金</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245A9B">
            <w:pPr>
              <w:jc w:val="center"/>
              <w:rPr>
                <w:rFonts w:ascii="宋体" w:cs="宋体"/>
                <w:color w:val="auto"/>
                <w:sz w:val="24"/>
                <w:highlight w:val="none"/>
              </w:rPr>
            </w:pPr>
            <w:r>
              <w:rPr>
                <w:rFonts w:hint="eastAsia" w:ascii="宋体" w:cs="宋体"/>
                <w:color w:val="auto"/>
                <w:sz w:val="24"/>
                <w:highlight w:val="none"/>
              </w:rPr>
              <w:t>0</w:t>
            </w:r>
          </w:p>
        </w:tc>
      </w:tr>
      <w:tr w14:paraId="5ED23B18">
        <w:tblPrEx>
          <w:tblCellMar>
            <w:top w:w="0" w:type="dxa"/>
            <w:left w:w="0" w:type="dxa"/>
            <w:bottom w:w="0" w:type="dxa"/>
            <w:right w:w="0" w:type="dxa"/>
          </w:tblCellMar>
        </w:tblPrEx>
        <w:trPr>
          <w:trHeight w:val="276" w:hRule="atLeast"/>
          <w:jc w:val="center"/>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A18E7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年度目标完成情况</w:t>
            </w: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6ADBF">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7796F2">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实际完成目标</w:t>
            </w:r>
          </w:p>
        </w:tc>
      </w:tr>
      <w:tr w14:paraId="0B922FDD">
        <w:tblPrEx>
          <w:tblCellMar>
            <w:top w:w="0" w:type="dxa"/>
            <w:left w:w="0" w:type="dxa"/>
            <w:bottom w:w="0" w:type="dxa"/>
            <w:right w:w="0" w:type="dxa"/>
          </w:tblCellMar>
        </w:tblPrEx>
        <w:trPr>
          <w:trHeight w:val="1159" w:hRule="atLeast"/>
          <w:jc w:val="center"/>
        </w:trPr>
        <w:tc>
          <w:tcPr>
            <w:tcW w:w="5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EFBF0C">
            <w:pPr>
              <w:jc w:val="center"/>
              <w:rPr>
                <w:rFonts w:ascii="宋体" w:cs="宋体"/>
                <w:color w:val="auto"/>
                <w:sz w:val="24"/>
                <w:highlight w:val="none"/>
              </w:rPr>
            </w:pPr>
          </w:p>
        </w:tc>
        <w:tc>
          <w:tcPr>
            <w:tcW w:w="459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4248303B">
            <w:pPr>
              <w:rPr>
                <w:rFonts w:ascii="宋体" w:hAnsi="宋体"/>
                <w:color w:val="auto"/>
                <w:sz w:val="24"/>
                <w:szCs w:val="30"/>
                <w:highlight w:val="none"/>
              </w:rPr>
            </w:pPr>
            <w:r>
              <w:rPr>
                <w:rFonts w:hint="eastAsia" w:ascii="宋体" w:hAnsi="宋体" w:cs="仿宋_GB2312"/>
                <w:color w:val="auto"/>
                <w:sz w:val="24"/>
                <w:szCs w:val="30"/>
                <w:highlight w:val="none"/>
              </w:rPr>
              <w:t>为人大代表购买相关书籍。</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14:paraId="712AC429">
            <w:pPr>
              <w:rPr>
                <w:rFonts w:ascii="宋体" w:hAnsi="宋体"/>
                <w:color w:val="auto"/>
                <w:sz w:val="24"/>
                <w:szCs w:val="30"/>
                <w:highlight w:val="none"/>
              </w:rPr>
            </w:pPr>
            <w:r>
              <w:rPr>
                <w:rFonts w:hint="eastAsia" w:ascii="宋体" w:hAnsi="宋体" w:cs="仿宋_GB2312"/>
                <w:color w:val="auto"/>
                <w:sz w:val="24"/>
                <w:szCs w:val="30"/>
                <w:highlight w:val="none"/>
              </w:rPr>
              <w:t>为人大代表购买相关书籍。</w:t>
            </w:r>
          </w:p>
        </w:tc>
      </w:tr>
      <w:tr w14:paraId="01155906">
        <w:tblPrEx>
          <w:tblCellMar>
            <w:top w:w="0" w:type="dxa"/>
            <w:left w:w="0" w:type="dxa"/>
            <w:bottom w:w="0" w:type="dxa"/>
            <w:right w:w="0" w:type="dxa"/>
          </w:tblCellMar>
        </w:tblPrEx>
        <w:trPr>
          <w:trHeight w:val="1042" w:hRule="atLeast"/>
          <w:jc w:val="center"/>
        </w:trPr>
        <w:tc>
          <w:tcPr>
            <w:tcW w:w="5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B8F0DBC">
            <w:pPr>
              <w:widowControl/>
              <w:jc w:val="center"/>
              <w:textAlignment w:val="center"/>
              <w:rPr>
                <w:rFonts w:ascii="宋体" w:cs="宋体"/>
                <w:color w:val="auto"/>
                <w:sz w:val="24"/>
                <w:highlight w:val="none"/>
              </w:rPr>
            </w:pPr>
            <w:r>
              <w:rPr>
                <w:rFonts w:hint="eastAsia" w:ascii="宋体" w:hAnsi="宋体" w:cs="宋体"/>
                <w:color w:val="auto"/>
                <w:sz w:val="24"/>
                <w:highlight w:val="none"/>
              </w:rPr>
              <w:t>绩效指标完成情况</w:t>
            </w: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08DB4B">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D7002">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5502D">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8F4369">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预期指标值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F679D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实际完成指标值</w:t>
            </w:r>
            <w:r>
              <w:rPr>
                <w:rFonts w:ascii="宋体" w:hAnsi="宋体" w:cs="宋体"/>
                <w:color w:val="auto"/>
                <w:kern w:val="0"/>
                <w:sz w:val="24"/>
                <w:highlight w:val="none"/>
              </w:rPr>
              <w:t>(</w:t>
            </w:r>
            <w:r>
              <w:rPr>
                <w:rFonts w:hint="eastAsia" w:ascii="宋体" w:hAnsi="宋体" w:cs="宋体"/>
                <w:color w:val="auto"/>
                <w:kern w:val="0"/>
                <w:sz w:val="24"/>
                <w:highlight w:val="none"/>
              </w:rPr>
              <w:t>包含数字及文字描述</w:t>
            </w:r>
            <w:r>
              <w:rPr>
                <w:rFonts w:ascii="宋体" w:hAnsi="宋体" w:cs="宋体"/>
                <w:color w:val="auto"/>
                <w:kern w:val="0"/>
                <w:sz w:val="24"/>
                <w:highlight w:val="none"/>
              </w:rPr>
              <w:t>)</w:t>
            </w:r>
          </w:p>
        </w:tc>
      </w:tr>
      <w:tr w14:paraId="4FA7948E">
        <w:tblPrEx>
          <w:tblCellMar>
            <w:top w:w="0" w:type="dxa"/>
            <w:left w:w="0" w:type="dxa"/>
            <w:bottom w:w="0" w:type="dxa"/>
            <w:right w:w="0" w:type="dxa"/>
          </w:tblCellMar>
        </w:tblPrEx>
        <w:trPr>
          <w:trHeight w:val="953"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0F43DC1F">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36F331">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876B2">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88EC60">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资金总额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9BE1C">
            <w:pPr>
              <w:widowControl/>
              <w:jc w:val="left"/>
              <w:textAlignment w:val="center"/>
              <w:rPr>
                <w:rFonts w:ascii="宋体" w:hAnsi="宋体" w:cs="宋体"/>
                <w:color w:val="auto"/>
                <w:kern w:val="0"/>
                <w:sz w:val="24"/>
                <w:highlight w:val="none"/>
              </w:rPr>
            </w:pPr>
            <w:r>
              <w:rPr>
                <w:rFonts w:hint="eastAsia" w:ascii="宋体" w:hAnsi="宋体" w:cs="宋体"/>
                <w:color w:val="auto"/>
                <w:kern w:val="0"/>
                <w:sz w:val="24"/>
                <w:highlight w:val="none"/>
              </w:rPr>
              <w:t>支付人大代表报刊经费经费3万元。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104CB5">
            <w:pPr>
              <w:widowControl/>
              <w:jc w:val="left"/>
              <w:textAlignment w:val="center"/>
              <w:rPr>
                <w:rFonts w:ascii="宋体" w:hAnsi="宋体" w:cs="宋体"/>
                <w:color w:val="auto"/>
                <w:kern w:val="0"/>
                <w:sz w:val="24"/>
                <w:highlight w:val="none"/>
              </w:rPr>
            </w:pPr>
            <w:r>
              <w:rPr>
                <w:rFonts w:hint="eastAsia" w:ascii="宋体" w:hAnsi="宋体" w:cs="宋体"/>
                <w:color w:val="auto"/>
                <w:kern w:val="0"/>
                <w:sz w:val="24"/>
                <w:highlight w:val="none"/>
              </w:rPr>
              <w:t>支付人大代表报刊经费经费3万元。</w:t>
            </w:r>
          </w:p>
        </w:tc>
      </w:tr>
      <w:tr w14:paraId="462BF764">
        <w:tblPrEx>
          <w:tblCellMar>
            <w:top w:w="0" w:type="dxa"/>
            <w:left w:w="0" w:type="dxa"/>
            <w:bottom w:w="0" w:type="dxa"/>
            <w:right w:w="0" w:type="dxa"/>
          </w:tblCellMar>
        </w:tblPrEx>
        <w:trPr>
          <w:trHeight w:val="1297"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4D667069">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169D4E">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9F6C17">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F8EB4A">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工作完成率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AFDFD5">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729AFB">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完成</w:t>
            </w:r>
            <w:r>
              <w:rPr>
                <w:rFonts w:ascii="宋体" w:hAnsi="宋体" w:cs="宋体"/>
                <w:color w:val="auto"/>
                <w:kern w:val="0"/>
                <w:sz w:val="24"/>
                <w:highlight w:val="none"/>
              </w:rPr>
              <w:t>100%</w:t>
            </w:r>
          </w:p>
        </w:tc>
      </w:tr>
      <w:tr w14:paraId="46AADEAA">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2BADA3C5">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FF9D75">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AE0EA7">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0AE126">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资金支付率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733E7F">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w:t>
            </w:r>
            <w:r>
              <w:rPr>
                <w:rFonts w:ascii="宋体" w:hAnsi="宋体" w:cs="宋体"/>
                <w:color w:val="auto"/>
                <w:kern w:val="0"/>
                <w:sz w:val="24"/>
                <w:highlight w:val="none"/>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965406">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资金支付</w:t>
            </w:r>
            <w:r>
              <w:rPr>
                <w:rFonts w:ascii="宋体" w:hAnsi="宋体" w:cs="宋体"/>
                <w:color w:val="auto"/>
                <w:kern w:val="0"/>
                <w:sz w:val="24"/>
                <w:highlight w:val="none"/>
              </w:rPr>
              <w:t>100%</w:t>
            </w:r>
          </w:p>
        </w:tc>
      </w:tr>
      <w:tr w14:paraId="78E8298A">
        <w:tblPrEx>
          <w:tblCellMar>
            <w:top w:w="0" w:type="dxa"/>
            <w:left w:w="0" w:type="dxa"/>
            <w:bottom w:w="0" w:type="dxa"/>
            <w:right w:w="0" w:type="dxa"/>
          </w:tblCellMar>
        </w:tblPrEx>
        <w:trPr>
          <w:trHeight w:val="1042" w:hRule="atLeast"/>
          <w:jc w:val="center"/>
        </w:trPr>
        <w:tc>
          <w:tcPr>
            <w:tcW w:w="582" w:type="dxa"/>
            <w:vMerge w:val="continue"/>
            <w:tcBorders>
              <w:left w:val="single" w:color="000000" w:sz="4" w:space="0"/>
              <w:right w:val="single" w:color="000000" w:sz="4" w:space="0"/>
            </w:tcBorders>
            <w:tcMar>
              <w:top w:w="15" w:type="dxa"/>
              <w:left w:w="15" w:type="dxa"/>
              <w:right w:w="15" w:type="dxa"/>
            </w:tcMar>
            <w:vAlign w:val="center"/>
          </w:tcPr>
          <w:p w14:paraId="39C84266">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AFEAA9">
            <w:pPr>
              <w:widowControl/>
              <w:jc w:val="center"/>
              <w:textAlignment w:val="center"/>
              <w:rPr>
                <w:rFonts w:ascii="宋体" w:cs="宋体"/>
                <w:color w:val="auto"/>
                <w:kern w:val="0"/>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B8F093">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3A0BC">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完成时限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B67463">
            <w:pPr>
              <w:widowControl/>
              <w:jc w:val="center"/>
              <w:textAlignment w:val="center"/>
              <w:rPr>
                <w:rFonts w:ascii="宋体" w:hAnsi="宋体" w:cs="宋体"/>
                <w:color w:val="auto"/>
                <w:kern w:val="0"/>
                <w:sz w:val="24"/>
                <w:highlight w:val="none"/>
              </w:rPr>
            </w:pPr>
            <w:r>
              <w:rPr>
                <w:rFonts w:ascii="宋体" w:hAnsi="宋体" w:cs="宋体"/>
                <w:color w:val="auto"/>
                <w:kern w:val="0"/>
                <w:sz w:val="24"/>
                <w:highlight w:val="none"/>
              </w:rPr>
              <w:t>201</w:t>
            </w:r>
            <w:r>
              <w:rPr>
                <w:rFonts w:hint="eastAsia" w:ascii="宋体" w:hAnsi="宋体" w:cs="宋体"/>
                <w:color w:val="auto"/>
                <w:kern w:val="0"/>
                <w:sz w:val="24"/>
                <w:highlight w:val="none"/>
              </w:rPr>
              <w:t>9年</w:t>
            </w:r>
            <w:r>
              <w:rPr>
                <w:rFonts w:ascii="宋体" w:hAnsi="宋体" w:cs="宋体"/>
                <w:color w:val="auto"/>
                <w:kern w:val="0"/>
                <w:sz w:val="24"/>
                <w:highlight w:val="none"/>
              </w:rPr>
              <w:t>1-12</w:t>
            </w:r>
            <w:r>
              <w:rPr>
                <w:rFonts w:hint="eastAsia" w:ascii="宋体" w:hAnsi="宋体" w:cs="宋体"/>
                <w:color w:val="auto"/>
                <w:kern w:val="0"/>
                <w:sz w:val="24"/>
                <w:highlight w:val="none"/>
              </w:rPr>
              <w:t>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33430">
            <w:pPr>
              <w:widowControl/>
              <w:jc w:val="center"/>
              <w:textAlignment w:val="center"/>
              <w:rPr>
                <w:rFonts w:ascii="宋体" w:hAnsi="宋体" w:cs="宋体"/>
                <w:color w:val="auto"/>
                <w:kern w:val="0"/>
                <w:sz w:val="24"/>
                <w:highlight w:val="none"/>
              </w:rPr>
            </w:pPr>
            <w:r>
              <w:rPr>
                <w:rFonts w:ascii="宋体" w:hAnsi="宋体" w:cs="宋体"/>
                <w:color w:val="auto"/>
                <w:kern w:val="0"/>
                <w:sz w:val="24"/>
                <w:highlight w:val="none"/>
              </w:rPr>
              <w:t>201</w:t>
            </w:r>
            <w:r>
              <w:rPr>
                <w:rFonts w:hint="eastAsia" w:ascii="宋体" w:hAnsi="宋体" w:cs="宋体"/>
                <w:color w:val="auto"/>
                <w:kern w:val="0"/>
                <w:sz w:val="24"/>
                <w:highlight w:val="none"/>
              </w:rPr>
              <w:t>9年度全部完成</w:t>
            </w:r>
          </w:p>
        </w:tc>
      </w:tr>
      <w:tr w14:paraId="703C68F1">
        <w:tblPrEx>
          <w:tblCellMar>
            <w:top w:w="0" w:type="dxa"/>
            <w:left w:w="0" w:type="dxa"/>
            <w:bottom w:w="0" w:type="dxa"/>
            <w:right w:w="0" w:type="dxa"/>
          </w:tblCellMar>
        </w:tblPrEx>
        <w:trPr>
          <w:trHeight w:val="1050" w:hRule="atLeast"/>
          <w:jc w:val="center"/>
        </w:trPr>
        <w:tc>
          <w:tcPr>
            <w:tcW w:w="5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1B4406DE">
            <w:pPr>
              <w:widowControl/>
              <w:jc w:val="center"/>
              <w:textAlignment w:val="center"/>
              <w:rPr>
                <w:rFonts w:ascii="宋体" w:cs="宋体"/>
                <w:color w:val="auto"/>
                <w:sz w:val="24"/>
                <w:highlight w:val="none"/>
              </w:rPr>
            </w:pPr>
          </w:p>
        </w:tc>
        <w:tc>
          <w:tcPr>
            <w:tcW w:w="11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2710C4">
            <w:pPr>
              <w:widowControl/>
              <w:jc w:val="center"/>
              <w:textAlignment w:val="center"/>
              <w:rPr>
                <w:rFonts w:ascii="宋体" w:cs="宋体"/>
                <w:color w:val="auto"/>
                <w:sz w:val="24"/>
                <w:highlight w:val="none"/>
              </w:rPr>
            </w:pPr>
            <w:r>
              <w:rPr>
                <w:rFonts w:hint="eastAsia" w:ascii="宋体" w:hAnsi="宋体" w:cs="宋体"/>
                <w:color w:val="auto"/>
                <w:kern w:val="0"/>
                <w:sz w:val="24"/>
                <w:highlight w:val="none"/>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5172DE">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4C9C4B">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机关的满意度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0FCE0">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〉90</w:t>
            </w:r>
            <w:r>
              <w:rPr>
                <w:rFonts w:ascii="宋体" w:hAnsi="宋体" w:cs="宋体"/>
                <w:color w:val="auto"/>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C4CC22">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〉90</w:t>
            </w:r>
            <w:r>
              <w:rPr>
                <w:rFonts w:ascii="宋体" w:hAnsi="宋体" w:cs="宋体"/>
                <w:color w:val="auto"/>
                <w:kern w:val="0"/>
                <w:sz w:val="24"/>
                <w:highlight w:val="none"/>
              </w:rPr>
              <w:t>%</w:t>
            </w:r>
          </w:p>
        </w:tc>
      </w:tr>
    </w:tbl>
    <w:p w14:paraId="30EF2944">
      <w:pPr>
        <w:spacing w:line="580" w:lineRule="exact"/>
        <w:ind w:left="630"/>
        <w:rPr>
          <w:rFonts w:ascii="仿宋_GB2312" w:hAnsi="仿宋_GB2312" w:eastAsia="仿宋_GB2312" w:cs="仿宋_GB2312"/>
          <w:color w:val="auto"/>
          <w:sz w:val="32"/>
          <w:szCs w:val="32"/>
          <w:highlight w:val="none"/>
        </w:rPr>
      </w:pPr>
    </w:p>
    <w:p w14:paraId="1C89BA6B">
      <w:pPr>
        <w:spacing w:line="600" w:lineRule="exact"/>
        <w:ind w:left="630"/>
        <w:rPr>
          <w:rFonts w:ascii="仿宋_GB2312" w:hAnsi="仿宋_GB2312" w:eastAsia="仿宋_GB2312" w:cs="仿宋_GB2312"/>
          <w:color w:val="auto"/>
          <w:sz w:val="32"/>
          <w:szCs w:val="32"/>
          <w:highlight w:val="none"/>
        </w:rPr>
      </w:pPr>
      <w:r>
        <w:rPr>
          <w:rFonts w:ascii="楷体_GB2312" w:hAnsi="楷体_GB2312" w:eastAsia="楷体_GB2312" w:cs="楷体_GB2312"/>
          <w:color w:val="auto"/>
          <w:sz w:val="32"/>
          <w:szCs w:val="32"/>
          <w:highlight w:val="none"/>
        </w:rPr>
        <w:t>2.</w:t>
      </w:r>
      <w:r>
        <w:rPr>
          <w:rFonts w:hint="eastAsia" w:ascii="楷体_GB2312" w:hAnsi="楷体_GB2312" w:eastAsia="楷体_GB2312" w:cs="楷体_GB2312"/>
          <w:color w:val="auto"/>
          <w:sz w:val="32"/>
          <w:szCs w:val="32"/>
          <w:highlight w:val="none"/>
        </w:rPr>
        <w:t>部门绩效评价结果。</w:t>
      </w:r>
    </w:p>
    <w:p w14:paraId="100DBFE0">
      <w:pPr>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本部门按要求对</w:t>
      </w:r>
      <w:r>
        <w:rPr>
          <w:rFonts w:ascii="仿宋_GB2312" w:hAnsi="仿宋_GB2312" w:eastAsia="仿宋_GB2312" w:cs="仿宋_GB2312"/>
          <w:color w:val="auto"/>
          <w:sz w:val="32"/>
          <w:szCs w:val="32"/>
          <w:highlight w:val="none"/>
        </w:rPr>
        <w:t>2019</w:t>
      </w:r>
      <w:r>
        <w:rPr>
          <w:rFonts w:hint="eastAsia" w:ascii="仿宋_GB2312" w:hAnsi="仿宋_GB2312" w:eastAsia="仿宋_GB2312" w:cs="仿宋_GB2312"/>
          <w:color w:val="auto"/>
          <w:sz w:val="32"/>
          <w:szCs w:val="32"/>
          <w:highlight w:val="none"/>
        </w:rPr>
        <w:t>年部门整体支出绩效评价情况开展自评，《米易县人大常委会办公室</w:t>
      </w:r>
      <w:r>
        <w:rPr>
          <w:rFonts w:ascii="仿宋_GB2312" w:hAnsi="仿宋_GB2312" w:eastAsia="仿宋_GB2312" w:cs="仿宋_GB2312"/>
          <w:color w:val="auto"/>
          <w:sz w:val="32"/>
          <w:szCs w:val="32"/>
          <w:highlight w:val="none"/>
        </w:rPr>
        <w:t>2019</w:t>
      </w:r>
      <w:r>
        <w:rPr>
          <w:rFonts w:hint="eastAsia" w:ascii="仿宋_GB2312" w:hAnsi="仿宋_GB2312" w:eastAsia="仿宋_GB2312" w:cs="仿宋_GB2312"/>
          <w:color w:val="auto"/>
          <w:sz w:val="32"/>
          <w:szCs w:val="32"/>
          <w:highlight w:val="none"/>
        </w:rPr>
        <w:t>年部门整体支出绩效评价报告》见附件（附件</w:t>
      </w:r>
      <w:r>
        <w:rPr>
          <w:rFonts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t>）。</w:t>
      </w:r>
    </w:p>
    <w:p w14:paraId="7ABCDCEB">
      <w:pPr>
        <w:spacing w:line="600" w:lineRule="exact"/>
        <w:ind w:firstLine="640" w:firstLineChars="200"/>
        <w:rPr>
          <w:rFonts w:ascii="仿宋_GB2312" w:eastAsia="仿宋_GB2312"/>
          <w:b/>
          <w:color w:val="auto"/>
          <w:sz w:val="32"/>
          <w:szCs w:val="32"/>
          <w:highlight w:val="none"/>
        </w:rPr>
      </w:pPr>
      <w:r>
        <w:rPr>
          <w:rFonts w:hint="eastAsia" w:ascii="仿宋_GB2312" w:hAnsi="仿宋_GB2312" w:eastAsia="仿宋_GB2312" w:cs="仿宋_GB2312"/>
          <w:color w:val="auto"/>
          <w:sz w:val="32"/>
          <w:szCs w:val="32"/>
          <w:highlight w:val="none"/>
        </w:rPr>
        <w:t>本部门自行组织对县十八届人大四次会议经费开展了绩效评价，《县十八届人大四次会议经费</w:t>
      </w:r>
      <w:r>
        <w:rPr>
          <w:rFonts w:ascii="仿宋_GB2312" w:hAnsi="仿宋_GB2312" w:eastAsia="仿宋_GB2312" w:cs="仿宋_GB2312"/>
          <w:color w:val="auto"/>
          <w:sz w:val="32"/>
          <w:szCs w:val="32"/>
          <w:highlight w:val="none"/>
        </w:rPr>
        <w:t>2019</w:t>
      </w:r>
      <w:r>
        <w:rPr>
          <w:rFonts w:hint="eastAsia" w:ascii="仿宋_GB2312" w:hAnsi="仿宋_GB2312" w:eastAsia="仿宋_GB2312" w:cs="仿宋_GB2312"/>
          <w:color w:val="auto"/>
          <w:sz w:val="32"/>
          <w:szCs w:val="32"/>
          <w:highlight w:val="none"/>
        </w:rPr>
        <w:t>年绩效评价报告》见附件（附件</w:t>
      </w:r>
      <w:r>
        <w:rPr>
          <w:rFonts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rPr>
        <w:t>）。</w:t>
      </w:r>
    </w:p>
    <w:p w14:paraId="22F91E64">
      <w:pPr>
        <w:spacing w:line="580" w:lineRule="exact"/>
        <w:ind w:firstLine="640" w:firstLineChars="200"/>
        <w:rPr>
          <w:rFonts w:ascii="仿宋_GB2312" w:hAnsi="仿宋_GB2312" w:eastAsia="仿宋_GB2312" w:cs="仿宋_GB2312"/>
          <w:color w:val="auto"/>
          <w:sz w:val="32"/>
          <w:szCs w:val="32"/>
          <w:highlight w:val="none"/>
        </w:rPr>
      </w:pPr>
    </w:p>
    <w:p w14:paraId="6C56DC52">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14:paraId="2B44F62C">
      <w:pPr>
        <w:numPr>
          <w:ilvl w:val="0"/>
          <w:numId w:val="3"/>
        </w:numPr>
        <w:spacing w:line="600" w:lineRule="exact"/>
        <w:ind w:firstLine="660" w:firstLineChars="150"/>
        <w:jc w:val="center"/>
        <w:outlineLvl w:val="0"/>
        <w:rPr>
          <w:rStyle w:val="17"/>
          <w:rFonts w:ascii="黑体" w:hAnsi="黑体" w:eastAsia="黑体"/>
          <w:b w:val="0"/>
          <w:color w:val="auto"/>
          <w:highlight w:val="none"/>
        </w:rPr>
      </w:pPr>
      <w:bookmarkStart w:id="53" w:name="_Toc15396613"/>
      <w:bookmarkStart w:id="54" w:name="_Toc15377225"/>
      <w:r>
        <w:rPr>
          <w:rFonts w:hint="eastAsia" w:ascii="黑体" w:hAnsi="黑体" w:eastAsia="黑体"/>
          <w:color w:val="auto"/>
          <w:sz w:val="44"/>
          <w:szCs w:val="44"/>
          <w:highlight w:val="none"/>
        </w:rPr>
        <w:t>名</w:t>
      </w:r>
      <w:r>
        <w:rPr>
          <w:rStyle w:val="17"/>
          <w:rFonts w:hint="eastAsia" w:ascii="黑体" w:hAnsi="黑体" w:eastAsia="黑体"/>
          <w:b w:val="0"/>
          <w:color w:val="auto"/>
          <w:highlight w:val="none"/>
        </w:rPr>
        <w:t>词解释</w:t>
      </w:r>
      <w:bookmarkEnd w:id="53"/>
      <w:bookmarkEnd w:id="54"/>
    </w:p>
    <w:p w14:paraId="1A678E8C">
      <w:pPr>
        <w:spacing w:line="600" w:lineRule="exact"/>
        <w:jc w:val="left"/>
        <w:rPr>
          <w:rFonts w:ascii="宋体"/>
          <w:b/>
          <w:color w:val="auto"/>
          <w:sz w:val="44"/>
          <w:szCs w:val="44"/>
          <w:highlight w:val="none"/>
        </w:rPr>
      </w:pPr>
    </w:p>
    <w:p w14:paraId="5C764126">
      <w:pPr>
        <w:pStyle w:val="27"/>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14:paraId="4A48A47F">
      <w:pPr>
        <w:pStyle w:val="27"/>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2</w:t>
      </w:r>
      <w:r>
        <w:rPr>
          <w:rFonts w:ascii="仿宋_GB2312" w:eastAsia="仿宋_GB2312"/>
          <w:color w:val="auto"/>
          <w:sz w:val="32"/>
          <w:szCs w:val="32"/>
          <w:highlight w:val="none"/>
        </w:rPr>
        <w:t>.</w:t>
      </w:r>
      <w:r>
        <w:rPr>
          <w:rFonts w:hint="eastAsia" w:ascii="仿宋_GB2312" w:eastAsia="仿宋_GB2312"/>
          <w:color w:val="auto"/>
          <w:sz w:val="32"/>
          <w:szCs w:val="32"/>
          <w:highlight w:val="none"/>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highlight w:val="none"/>
        </w:rPr>
        <w:t xml:space="preserve"> </w:t>
      </w:r>
    </w:p>
    <w:p w14:paraId="67B64D4C">
      <w:pPr>
        <w:pStyle w:val="27"/>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3</w:t>
      </w:r>
      <w:r>
        <w:rPr>
          <w:rFonts w:ascii="仿宋_GB2312" w:eastAsia="仿宋_GB2312"/>
          <w:color w:val="auto"/>
          <w:sz w:val="32"/>
          <w:szCs w:val="32"/>
          <w:highlight w:val="none"/>
        </w:rPr>
        <w:t>.</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14:paraId="55EF4910">
      <w:pPr>
        <w:pStyle w:val="27"/>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4</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结余分配：指事业单位按照事业单位会计制度的规定从非财政补助结余中分配的事业基金和职工福利基金等。</w:t>
      </w:r>
    </w:p>
    <w:p w14:paraId="79891747">
      <w:pPr>
        <w:pStyle w:val="27"/>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5、年末结转和结余：指单位按有关规定结转到下年或以后年度继续使用的资金。</w:t>
      </w:r>
    </w:p>
    <w:p w14:paraId="2C098B7F">
      <w:pPr>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2AEFEAAC">
      <w:pPr>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7</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742E864D">
      <w:pPr>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8</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14:paraId="6E6CB5CE">
      <w:pPr>
        <w:pStyle w:val="27"/>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9</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8CFA6FC">
      <w:pPr>
        <w:pStyle w:val="27"/>
        <w:spacing w:line="60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rPr>
        <w:t>10</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8E9A086">
      <w:pPr>
        <w:spacing w:line="600" w:lineRule="exact"/>
        <w:jc w:val="center"/>
        <w:outlineLvl w:val="0"/>
        <w:rPr>
          <w:rStyle w:val="17"/>
          <w:rFonts w:ascii="黑体" w:hAnsi="黑体" w:eastAsia="黑体"/>
          <w:b w:val="0"/>
          <w:color w:val="auto"/>
          <w:highlight w:val="none"/>
        </w:rPr>
      </w:pPr>
      <w:bookmarkStart w:id="55" w:name="_Toc15377226"/>
      <w:r>
        <w:rPr>
          <w:rFonts w:ascii="宋体"/>
          <w:b/>
          <w:color w:val="auto"/>
          <w:sz w:val="44"/>
          <w:szCs w:val="44"/>
          <w:highlight w:val="none"/>
        </w:rPr>
        <w:br w:type="page"/>
      </w:r>
      <w:bookmarkStart w:id="56" w:name="_Toc15396614"/>
      <w:r>
        <w:rPr>
          <w:rFonts w:hint="eastAsia" w:ascii="黑体" w:hAnsi="黑体" w:eastAsia="黑体"/>
          <w:color w:val="auto"/>
          <w:sz w:val="44"/>
          <w:szCs w:val="44"/>
          <w:highlight w:val="none"/>
        </w:rPr>
        <w:t>第</w:t>
      </w:r>
      <w:r>
        <w:rPr>
          <w:rStyle w:val="17"/>
          <w:rFonts w:hint="eastAsia" w:ascii="黑体" w:hAnsi="黑体" w:eastAsia="黑体"/>
          <w:b w:val="0"/>
          <w:color w:val="auto"/>
          <w:highlight w:val="none"/>
        </w:rPr>
        <w:t>四部分</w:t>
      </w:r>
      <w:r>
        <w:rPr>
          <w:rStyle w:val="17"/>
          <w:rFonts w:ascii="黑体" w:hAnsi="黑体" w:eastAsia="黑体"/>
          <w:b w:val="0"/>
          <w:color w:val="auto"/>
          <w:highlight w:val="none"/>
        </w:rPr>
        <w:t xml:space="preserve"> </w:t>
      </w:r>
      <w:r>
        <w:rPr>
          <w:rStyle w:val="17"/>
          <w:rFonts w:hint="eastAsia" w:ascii="黑体" w:hAnsi="黑体" w:eastAsia="黑体"/>
          <w:b w:val="0"/>
          <w:color w:val="auto"/>
          <w:highlight w:val="none"/>
        </w:rPr>
        <w:t>附件</w:t>
      </w:r>
      <w:bookmarkEnd w:id="56"/>
    </w:p>
    <w:p w14:paraId="5B65F6D3">
      <w:pPr>
        <w:spacing w:line="600" w:lineRule="exact"/>
        <w:jc w:val="left"/>
        <w:outlineLvl w:val="0"/>
        <w:rPr>
          <w:rFonts w:ascii="方正小标宋简体" w:hAnsi="方正小标宋简体" w:eastAsia="方正小标宋简体" w:cs="方正小标宋简体"/>
          <w:color w:val="auto"/>
          <w:sz w:val="32"/>
          <w:szCs w:val="32"/>
          <w:highlight w:val="none"/>
        </w:rPr>
      </w:pPr>
      <w:r>
        <w:rPr>
          <w:rFonts w:hint="eastAsia" w:ascii="黑体" w:hAnsi="黑体" w:eastAsia="黑体" w:cs="黑体"/>
          <w:color w:val="auto"/>
          <w:sz w:val="32"/>
          <w:szCs w:val="32"/>
          <w:highlight w:val="none"/>
        </w:rPr>
        <w:t>附件</w:t>
      </w:r>
      <w:r>
        <w:rPr>
          <w:rFonts w:ascii="黑体" w:hAnsi="黑体" w:eastAsia="黑体" w:cs="黑体"/>
          <w:color w:val="auto"/>
          <w:sz w:val="32"/>
          <w:szCs w:val="32"/>
          <w:highlight w:val="none"/>
        </w:rPr>
        <w:t>1</w:t>
      </w:r>
    </w:p>
    <w:p w14:paraId="075410A8">
      <w:pPr>
        <w:spacing w:line="580" w:lineRule="exact"/>
        <w:jc w:val="center"/>
        <w:rPr>
          <w:rFonts w:ascii="方正小标宋简体" w:hAnsi="方正小标宋简体" w:eastAsia="方正小标宋简体" w:cs="方正小标宋简体"/>
          <w:color w:val="auto"/>
          <w:sz w:val="44"/>
          <w:szCs w:val="44"/>
          <w:highlight w:val="none"/>
        </w:rPr>
      </w:pPr>
    </w:p>
    <w:p w14:paraId="4DDE44CD">
      <w:pPr>
        <w:spacing w:line="600" w:lineRule="exact"/>
        <w:jc w:val="center"/>
        <w:outlineLvl w:val="0"/>
        <w:rPr>
          <w:rFonts w:ascii="方正小标宋简体" w:hAnsi="宋体" w:eastAsia="方正小标宋简体"/>
          <w:color w:val="auto"/>
          <w:kern w:val="0"/>
          <w:sz w:val="40"/>
          <w:szCs w:val="44"/>
          <w:highlight w:val="none"/>
          <w:lang w:val="zh-CN"/>
        </w:rPr>
      </w:pPr>
      <w:r>
        <w:rPr>
          <w:rFonts w:hint="eastAsia" w:ascii="方正小标宋简体" w:hAnsi="宋体" w:eastAsia="方正小标宋简体"/>
          <w:color w:val="auto"/>
          <w:kern w:val="0"/>
          <w:sz w:val="40"/>
          <w:szCs w:val="44"/>
          <w:highlight w:val="none"/>
          <w:lang w:val="zh-CN"/>
        </w:rPr>
        <w:t>米易县人大常委会办公室</w:t>
      </w:r>
    </w:p>
    <w:p w14:paraId="025A1384">
      <w:pPr>
        <w:spacing w:line="600" w:lineRule="exact"/>
        <w:jc w:val="center"/>
        <w:rPr>
          <w:rFonts w:ascii="方正小标宋简体" w:hAnsi="宋体" w:eastAsia="方正小标宋简体"/>
          <w:color w:val="auto"/>
          <w:kern w:val="0"/>
          <w:sz w:val="40"/>
          <w:szCs w:val="44"/>
          <w:highlight w:val="none"/>
          <w:lang w:val="zh-CN"/>
        </w:rPr>
      </w:pPr>
      <w:r>
        <w:rPr>
          <w:rFonts w:ascii="方正小标宋简体" w:hAnsi="宋体" w:eastAsia="方正小标宋简体"/>
          <w:color w:val="auto"/>
          <w:kern w:val="0"/>
          <w:sz w:val="40"/>
          <w:szCs w:val="44"/>
          <w:highlight w:val="none"/>
        </w:rPr>
        <w:t>2019</w:t>
      </w:r>
      <w:r>
        <w:rPr>
          <w:rFonts w:hint="eastAsia" w:ascii="方正小标宋简体" w:hAnsi="宋体" w:eastAsia="方正小标宋简体"/>
          <w:color w:val="auto"/>
          <w:kern w:val="0"/>
          <w:sz w:val="40"/>
          <w:szCs w:val="44"/>
          <w:highlight w:val="none"/>
        </w:rPr>
        <w:t>年部门</w:t>
      </w:r>
      <w:r>
        <w:rPr>
          <w:rFonts w:hint="eastAsia" w:ascii="方正小标宋简体" w:hAnsi="宋体" w:eastAsia="方正小标宋简体"/>
          <w:color w:val="auto"/>
          <w:kern w:val="0"/>
          <w:sz w:val="40"/>
          <w:szCs w:val="44"/>
          <w:highlight w:val="none"/>
          <w:lang w:val="zh-CN"/>
        </w:rPr>
        <w:t>整体支出绩效评价报告</w:t>
      </w:r>
    </w:p>
    <w:p w14:paraId="6BD02A86">
      <w:pPr>
        <w:widowControl/>
        <w:adjustRightInd w:val="0"/>
        <w:snapToGrid w:val="0"/>
        <w:spacing w:line="580" w:lineRule="exact"/>
        <w:ind w:firstLine="480" w:firstLineChars="200"/>
        <w:contextualSpacing/>
        <w:jc w:val="left"/>
        <w:rPr>
          <w:rFonts w:ascii="黑体" w:hAnsi="宋体" w:eastAsia="黑体" w:cs="宋体"/>
          <w:color w:val="auto"/>
          <w:kern w:val="0"/>
          <w:sz w:val="24"/>
          <w:szCs w:val="32"/>
          <w:highlight w:val="none"/>
          <w:shd w:val="clear" w:color="auto" w:fill="FFFFFF"/>
        </w:rPr>
      </w:pPr>
    </w:p>
    <w:p w14:paraId="5EF9C7FB">
      <w:pPr>
        <w:widowControl/>
        <w:adjustRightInd w:val="0"/>
        <w:snapToGrid w:val="0"/>
        <w:spacing w:line="600" w:lineRule="exact"/>
        <w:ind w:firstLine="640" w:firstLineChars="200"/>
        <w:contextualSpacing/>
        <w:jc w:val="left"/>
        <w:rPr>
          <w:rFonts w:ascii="黑体" w:hAnsi="宋体" w:eastAsia="黑体" w:cs="宋体"/>
          <w:color w:val="auto"/>
          <w:kern w:val="0"/>
          <w:sz w:val="32"/>
          <w:szCs w:val="32"/>
          <w:highlight w:val="none"/>
          <w:shd w:val="clear" w:color="auto" w:fill="FFFFFF"/>
          <w:lang w:val="zh-CN"/>
        </w:rPr>
      </w:pPr>
      <w:r>
        <w:rPr>
          <w:rFonts w:hint="eastAsia" w:ascii="黑体" w:hAnsi="宋体" w:eastAsia="黑体" w:cs="宋体"/>
          <w:color w:val="auto"/>
          <w:kern w:val="0"/>
          <w:sz w:val="32"/>
          <w:szCs w:val="32"/>
          <w:highlight w:val="none"/>
          <w:shd w:val="clear" w:color="auto" w:fill="FFFFFF"/>
        </w:rPr>
        <w:t>一、</w:t>
      </w:r>
      <w:r>
        <w:rPr>
          <w:rFonts w:hint="eastAsia" w:ascii="黑体" w:hAnsi="宋体" w:eastAsia="黑体" w:cs="宋体"/>
          <w:color w:val="auto"/>
          <w:kern w:val="0"/>
          <w:sz w:val="32"/>
          <w:szCs w:val="32"/>
          <w:highlight w:val="none"/>
          <w:shd w:val="clear" w:color="auto" w:fill="FFFFFF"/>
          <w:lang w:val="zh-CN"/>
        </w:rPr>
        <w:t>部门（单位）概况</w:t>
      </w:r>
    </w:p>
    <w:p w14:paraId="1F69ED02">
      <w:pPr>
        <w:widowControl/>
        <w:adjustRightInd w:val="0"/>
        <w:snapToGrid w:val="0"/>
        <w:spacing w:line="600" w:lineRule="exact"/>
        <w:ind w:firstLine="640" w:firstLineChars="200"/>
        <w:contextualSpacing/>
        <w:jc w:val="left"/>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（一）机构组成。</w:t>
      </w:r>
    </w:p>
    <w:p w14:paraId="496806B3">
      <w:pPr>
        <w:spacing w:line="600" w:lineRule="exact"/>
        <w:ind w:firstLine="640" w:firstLineChars="200"/>
        <w:rPr>
          <w:rFonts w:ascii="仿宋" w:hAnsi="仿宋" w:eastAsia="仿宋" w:cs="仿宋_GB2312"/>
          <w:color w:val="auto"/>
          <w:sz w:val="32"/>
          <w:szCs w:val="32"/>
          <w:highlight w:val="none"/>
        </w:rPr>
      </w:pPr>
      <w:r>
        <w:rPr>
          <w:rFonts w:hint="eastAsia" w:ascii="仿宋" w:hAnsi="仿宋" w:eastAsia="仿宋" w:cs="仿宋"/>
          <w:color w:val="auto"/>
          <w:kern w:val="0"/>
          <w:sz w:val="32"/>
          <w:szCs w:val="32"/>
          <w:highlight w:val="none"/>
          <w:lang w:val="zh-CN"/>
        </w:rPr>
        <w:t>米易</w:t>
      </w:r>
      <w:r>
        <w:rPr>
          <w:rFonts w:hint="eastAsia" w:ascii="仿宋_GB2312" w:eastAsia="仿宋_GB2312"/>
          <w:color w:val="auto"/>
          <w:sz w:val="32"/>
          <w:szCs w:val="32"/>
          <w:highlight w:val="none"/>
        </w:rPr>
        <w:t>县人大常委会</w:t>
      </w:r>
      <w:r>
        <w:rPr>
          <w:rFonts w:hint="eastAsia" w:ascii="仿宋_GB2312" w:eastAsia="仿宋_GB2312"/>
          <w:color w:val="auto"/>
          <w:sz w:val="32"/>
          <w:szCs w:val="32"/>
          <w:highlight w:val="none"/>
          <w:lang w:eastAsia="zh-CN"/>
        </w:rPr>
        <w:t>机关</w:t>
      </w:r>
      <w:r>
        <w:rPr>
          <w:rFonts w:hint="eastAsia" w:ascii="仿宋_GB2312" w:eastAsia="仿宋_GB2312"/>
          <w:color w:val="auto"/>
          <w:sz w:val="32"/>
          <w:szCs w:val="32"/>
          <w:highlight w:val="none"/>
        </w:rPr>
        <w:t>机构设置为一室、六委：即办公室、财政经济工作委员会、法制工作委员会、教育科学文化卫生工作委员会、农业民族工作委员会、人事代表联络工作委员会、城乡环境资源保护工作委员会。</w:t>
      </w:r>
    </w:p>
    <w:p w14:paraId="6D2C868B">
      <w:pPr>
        <w:widowControl/>
        <w:numPr>
          <w:ilvl w:val="0"/>
          <w:numId w:val="4"/>
        </w:numPr>
        <w:adjustRightInd w:val="0"/>
        <w:snapToGrid w:val="0"/>
        <w:spacing w:line="600" w:lineRule="exact"/>
        <w:ind w:firstLine="640" w:firstLineChars="200"/>
        <w:contextualSpacing/>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机构职能。</w:t>
      </w:r>
    </w:p>
    <w:p w14:paraId="7E06E555">
      <w:pPr>
        <w:widowControl/>
        <w:numPr>
          <w:ilvl w:val="0"/>
          <w:numId w:val="0"/>
        </w:numPr>
        <w:adjustRightInd w:val="0"/>
        <w:snapToGrid w:val="0"/>
        <w:spacing w:line="600" w:lineRule="exact"/>
        <w:ind w:firstLine="643" w:firstLineChars="200"/>
        <w:contextualSpacing/>
        <w:jc w:val="left"/>
        <w:rPr>
          <w:rFonts w:hint="eastAsia" w:ascii="仿宋_GB2312" w:hAnsi="宋体" w:eastAsia="仿宋_GB2312" w:cs="宋体"/>
          <w:b/>
          <w:bCs/>
          <w:color w:val="auto"/>
          <w:kern w:val="0"/>
          <w:sz w:val="32"/>
          <w:szCs w:val="32"/>
          <w:highlight w:val="none"/>
          <w:shd w:val="clear" w:color="auto" w:fill="FFFFFF"/>
          <w:lang w:val="zh-CN"/>
        </w:rPr>
      </w:pPr>
      <w:r>
        <w:rPr>
          <w:rFonts w:hint="eastAsia" w:ascii="仿宋_GB2312" w:hAnsi="宋体" w:eastAsia="仿宋_GB2312" w:cs="宋体"/>
          <w:b/>
          <w:bCs/>
          <w:color w:val="auto"/>
          <w:kern w:val="0"/>
          <w:sz w:val="32"/>
          <w:szCs w:val="32"/>
          <w:highlight w:val="none"/>
          <w:shd w:val="clear" w:color="auto" w:fill="FFFFFF"/>
          <w:lang w:val="zh-CN"/>
        </w:rPr>
        <w:t>办公室</w:t>
      </w:r>
    </w:p>
    <w:p w14:paraId="048EF4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1</w:t>
      </w:r>
      <w:r>
        <w:rPr>
          <w:rFonts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对县人民政府在贯彻执行国家宪法和有关法律、法规、方针、政策、县人大及其常委会的决议、决定、审议意见的情况进行检查，为县人大常委会进行法律监督和工作监督提供情况和依据。</w:t>
      </w:r>
    </w:p>
    <w:p w14:paraId="5DD1BF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承办县人民代表大会、县人大常委会会议、主任会议和常委会党组会议有关事项的筹备与会务工作；协助机关党群组织工作；负责县人大常委会及其机关的各种文件、材料、表册的打印及上报下发工作；负责机关精神文明建设、党风廉政、爱国卫生、信访、绿化、档案管理、机要保密等达标；负责县人大常委会机关的“挂包帮”、精准脱贫等工作。</w:t>
      </w:r>
    </w:p>
    <w:p w14:paraId="514770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负责常委会会议、主任会议有关决议、决定（草案）、审议意见、会议纪要、《公报》、工作总结、工作报告等材料的起草工作。</w:t>
      </w:r>
    </w:p>
    <w:p w14:paraId="65761E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.负责常委会重大活动的具体组织和服务工作，协调各工作委员会的日常工作。</w:t>
      </w:r>
    </w:p>
    <w:p w14:paraId="330981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 w:hAnsi="仿宋" w:eastAsia="仿宋" w:cs="仿宋"/>
          <w:i w:val="0"/>
          <w:caps w:val="0"/>
          <w:color w:val="auto"/>
          <w:spacing w:val="0"/>
          <w:kern w:val="0"/>
          <w:sz w:val="33"/>
          <w:szCs w:val="33"/>
          <w:highlight w:val="none"/>
          <w:shd w:val="clear" w:color="auto" w:fill="FFFFFF"/>
          <w:lang w:val="en-US" w:eastAsia="zh-CN" w:bidi="ar"/>
        </w:rPr>
        <w:t>5.负责与县委、县人民政府、县政协、县人民法院、县人民检察院办公室的联系沟通以及与其他分工联系部门（单位）和分工联系乡镇的工作联系。</w:t>
      </w:r>
    </w:p>
    <w:p w14:paraId="05CBB3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对提请县人大常委会审议的人事任免案的有关情况进行调查了解，参与对准备提请县人大常委会任命前的干部考察；参与对有关部门工作评议和述职评议的评前调查；负责任免案交付表决前的各项具体准备工作。</w:t>
      </w:r>
    </w:p>
    <w:p w14:paraId="43CB5E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负责人民群众来信来访的接待工作。</w:t>
      </w:r>
    </w:p>
    <w:p w14:paraId="66F3D2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机关的财务管理、劳资工作，编制财务预算和决算；负责机关固定资产管理和办公用品的采购、保管、发放等工作；负责机关车辆的管理和调度工作；负责机关基本建设计划的立项、报批和实施；负责机关办公楼的管理；负责机关内部的治安、保卫、环境卫生、庭院绿化、节日慰问、住院病人慰问等行政事务工作；负责离退休人员的服务工作；负责上级人大常委会来县视察、指导、检查及省内外人大常委会来县考察学习的接待工作。</w:t>
      </w:r>
    </w:p>
    <w:p w14:paraId="4B49B6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9</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承办全国人大常委会、省人大及其常委会交办的有关法律、法规（草案）征求意见稿的讨论修改，综合意见上报工作。</w:t>
      </w:r>
    </w:p>
    <w:p w14:paraId="36096E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default" w:ascii="Times New Roman" w:hAnsi="Times New Roman" w:eastAsia="宋体" w:cs="Times New Roman"/>
          <w:i w:val="0"/>
          <w:caps w:val="0"/>
          <w:color w:val="auto"/>
          <w:spacing w:val="0"/>
          <w:kern w:val="0"/>
          <w:sz w:val="32"/>
          <w:szCs w:val="32"/>
          <w:highlight w:val="none"/>
          <w:shd w:val="clear" w:color="auto" w:fill="FFFFFF"/>
          <w:lang w:val="en-US" w:eastAsia="zh-CN" w:bidi="ar"/>
        </w:rPr>
        <w:t>10</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0BB9DB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财政经济工作委员会主要工作职责</w:t>
      </w:r>
    </w:p>
    <w:p w14:paraId="683D06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对县人民政府有关财经方面的工作在贯彻执行国家宪法、法律、法规、方针、政策、县人大及其常委会的决议、决定、审议意见的执行情况进行检查，为县人大及其常委会进行法律监督和工作监督提供情况和依据。</w:t>
      </w:r>
    </w:p>
    <w:p w14:paraId="2A5F40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对县人大常委会听取和审议的财经方面的议题，进行会前调查，写出调查报告，并起草有关决议、决定（草案）。</w:t>
      </w:r>
    </w:p>
    <w:p w14:paraId="341EC4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督促、检查全县国民经济和社会发展计划、财政预决算等方面工作的落实情况。</w:t>
      </w:r>
    </w:p>
    <w:p w14:paraId="583160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参加对口联系部门人事任免前调查或考察，参加对口联系部门工作评议的评前调查，并写出调查报告。</w:t>
      </w:r>
    </w:p>
    <w:p w14:paraId="030FA0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对口参加上级人大常委会及专门委员会对本县有关情况的调查，出席上级人大专门委员会召开的有关会议。</w:t>
      </w:r>
    </w:p>
    <w:p w14:paraId="5519E7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6．参加县人民政府及所属部门召开的财经方面的重要会议。</w:t>
      </w:r>
    </w:p>
    <w:p w14:paraId="160C52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负责办理属于财经方面的人民群众来信来访。</w:t>
      </w:r>
    </w:p>
    <w:p w14:paraId="4BB1D3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对全国人大常委会和省人大常委会交办的有关法律、法规征求意见稿，及时组织有关部门讨论、修改，并将意见综合上报。</w:t>
      </w:r>
    </w:p>
    <w:p w14:paraId="2D4E21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9</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797C57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法制工作委员会主要工作职责</w:t>
      </w:r>
    </w:p>
    <w:p w14:paraId="584953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对“一府两院”贯彻执行国家宪法和有关法律、法规、方针、政策、县人大及其常委会决议、决定、审议意见的情况进行检查、督促。</w:t>
      </w:r>
    </w:p>
    <w:p w14:paraId="456F98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负责对我县社会主义民主法制建设中的重大问题进行调查研究，并将专题调查的情况向县人大常委会或主任会议报告并提出建议。负责县人大常委会机关的社会治安综合治理和普法教育工作的规划和总结。</w:t>
      </w:r>
    </w:p>
    <w:p w14:paraId="62A1CA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对县人大常委会听取和审议的法制工作方面的议题，进行会前调查，写出调查报告，并起草有关决议、决定（草案）。</w:t>
      </w:r>
    </w:p>
    <w:p w14:paraId="6D51D1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加强对口联系部门的联系，参加有关会议、了解情况、交换意见，参与联系部门人事任命前调查，参加对口联系部门工作评议和述职评议的评前调查，并写出调查报告。</w:t>
      </w:r>
    </w:p>
    <w:p w14:paraId="1DBC1E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积极参与上级人大常委会和专门委员会来我县的视察和专项调查工作，出席上级人大有关专门委员会召开的会议。</w:t>
      </w:r>
    </w:p>
    <w:p w14:paraId="763CAAA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对全国人大常委会和省人大常委会交办的有关法律、法规草案征求意见稿，及时组织有关部门进行讨论修改，并将意见综合上报。</w:t>
      </w:r>
    </w:p>
    <w:p w14:paraId="097632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接待和受理公民对法制工作方面的控告、申诉、检举案件。</w:t>
      </w:r>
    </w:p>
    <w:p w14:paraId="2B6D66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77BC9C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教科文卫工作委员会主要工作职责</w:t>
      </w:r>
    </w:p>
    <w:p w14:paraId="01C50F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政府及所属部门有关教科文卫等方面的工作在贯彻执行国家宪法、法律、法规、方针政策、县人大及其常委会的决议、决定和审议意见的情况进行检查，为县人大常委会进行法律监督和工作监督提供情况和依据，初步审查县人大常委会交办的议案。</w:t>
      </w:r>
    </w:p>
    <w:p w14:paraId="06B4FF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对县人大常委会和主任会议将要审议的有关教科文卫等方面的议题进行调查，写出调查报告，并起草有关决议、决定草案。</w:t>
      </w:r>
    </w:p>
    <w:p w14:paraId="111DC2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参与对口联系部门人事任免案审议前的调查或考察，参加对口联系部门工作评议和干部述职评议前的调查。</w:t>
      </w:r>
    </w:p>
    <w:p w14:paraId="4EFD31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根据工作需要，搞好与对应部门的联系，参加有关会议和活动，掌握了解情况。</w:t>
      </w:r>
    </w:p>
    <w:p w14:paraId="652503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参与上级人大常委会和专门委员会对我县有关教科文卫方面的检查、视察工作，出席上级人大常委会教科文卫工作委员会召开的有关会议。</w:t>
      </w:r>
    </w:p>
    <w:p w14:paraId="2C9949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承担全国、省人大常委会交办的法律、法规草案征求意见工作，积极参与立法活动。</w:t>
      </w:r>
    </w:p>
    <w:p w14:paraId="78E97F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负责接待、办理属于教科文卫工作方面的人民群众来信来访。</w:t>
      </w:r>
    </w:p>
    <w:p w14:paraId="7142B5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完成县人大常委会及主任会议交办的其他工作。</w:t>
      </w:r>
    </w:p>
    <w:p w14:paraId="7E7762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农业民族工作委员会主要工作职责</w:t>
      </w:r>
    </w:p>
    <w:p w14:paraId="491FAF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政府及其所属部门有关农业、民族、宗教等方面的工作在贯彻执行国家法律、法规，方针、政策，县人大常委会的决议、决定和审议意见的情况进行调查，为县人大常委会进行法律监督和工作监督提供情况和依据。</w:t>
      </w:r>
    </w:p>
    <w:p w14:paraId="11D541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对县人大常委会和主任会议将要审议的涉及农业、民族、宗教方面的议题进行调查，写出调查报告，并起草有关决议、决定（草案）。</w:t>
      </w:r>
    </w:p>
    <w:p w14:paraId="733800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对县人民政府有关农业、民族、宗教方面的问题进行调查，写出专题调查报告，提出意见和建议。</w:t>
      </w:r>
    </w:p>
    <w:p w14:paraId="730E39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对口参加上级人大常委会和专门委员会对我县的调查和视察。出席上级人大常委会农业民族工作委员会召开的有关会议。</w:t>
      </w:r>
    </w:p>
    <w:p w14:paraId="03578D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参加县人民政府及所属部门召开的农业、民族、宗教等方面的重要会议，参与联系部门人事任免案审议前的调查或考察，参加对口联系部门的工作评议和干部述职评议的调查。</w:t>
      </w:r>
    </w:p>
    <w:p w14:paraId="0CF77F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负责办理属于农业、民族、宗教等方面的人民群众的来信来访。</w:t>
      </w:r>
    </w:p>
    <w:p w14:paraId="5904242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对全国、省人大常委会交办的有关农业、民族、宗教方面的法律、法规草案征求意见稿，及时组织有关部门进行讨论修改，并将意见综合上报。</w:t>
      </w:r>
    </w:p>
    <w:p w14:paraId="535D49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4B4499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63" w:firstLineChars="200"/>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人事代表联络工作委员会</w:t>
      </w:r>
    </w:p>
    <w:p w14:paraId="6DF112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联系县人大代表，负责组织县人大代表的各种活动；受市人大及其常委会的委托，组织市人大代表的视察和其他活动。</w:t>
      </w:r>
    </w:p>
    <w:p w14:paraId="21A35B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承办、催办、督办县人大代表的批评、建议和意见。</w:t>
      </w:r>
    </w:p>
    <w:p w14:paraId="33C52C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7F9A0D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39"/>
        <w:jc w:val="left"/>
        <w:textAlignment w:val="auto"/>
        <w:rPr>
          <w:color w:val="auto"/>
          <w:highlight w:val="none"/>
        </w:rPr>
      </w:pPr>
      <w:r>
        <w:rPr>
          <w:rFonts w:hint="eastAsia" w:ascii="方正仿宋简体" w:hAnsi="方正仿宋简体" w:eastAsia="方正仿宋简体" w:cs="方正仿宋简体"/>
          <w:b/>
          <w:i w:val="0"/>
          <w:caps w:val="0"/>
          <w:color w:val="auto"/>
          <w:spacing w:val="0"/>
          <w:kern w:val="0"/>
          <w:sz w:val="33"/>
          <w:szCs w:val="33"/>
          <w:highlight w:val="none"/>
          <w:shd w:val="clear" w:color="auto" w:fill="FFFFFF"/>
          <w:lang w:val="en-US" w:eastAsia="zh-CN" w:bidi="ar"/>
        </w:rPr>
        <w:t>城乡建设环境资源保护工作委员会</w:t>
      </w:r>
    </w:p>
    <w:p w14:paraId="3552F9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向县人民代表大会或常委会提出县人大常委会城环资工委职权范围内的有关议案。</w:t>
      </w:r>
    </w:p>
    <w:p w14:paraId="5EDED5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2</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研究、审议县人民代表大会主席团或县人大常委会交付的有关城乡建设、环境资源保护等方面的议案，并按程序提出审议意见或报告。</w:t>
      </w:r>
    </w:p>
    <w:p w14:paraId="14E7FA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3</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审议、承办县人民代表大会主席团或县人大常委会交付的有关质询案，听取被质询机关对质询案的答复，并按程序提出办理意见或报告。</w:t>
      </w:r>
    </w:p>
    <w:p w14:paraId="28A48B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4</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对县人民代表大会及其常委会授权的问题或事项进行调查，并提交调查报告。</w:t>
      </w:r>
    </w:p>
    <w:p w14:paraId="2011BD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5</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根据县</w:t>
      </w:r>
      <w:r>
        <w:rPr>
          <w:rFonts w:hint="default" w:ascii="仿宋_GB2312" w:hAnsi="宋体" w:eastAsia="仿宋_GB2312" w:cs="仿宋_GB2312"/>
          <w:i w:val="0"/>
          <w:caps w:val="0"/>
          <w:color w:val="auto"/>
          <w:spacing w:val="0"/>
          <w:kern w:val="0"/>
          <w:sz w:val="32"/>
          <w:szCs w:val="32"/>
          <w:highlight w:val="none"/>
          <w:shd w:val="clear" w:color="auto" w:fill="FFFFFF"/>
          <w:lang w:val="en-US" w:eastAsia="zh-CN" w:bidi="ar"/>
        </w:rPr>
        <w:t>人大常委会会议</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确定的议题或围绕县人大常委会城环资工委工作职责，依法开展调查研究，或者受县人大常委会委托组织执法检查，并提出调查意见、建议或报告。</w:t>
      </w:r>
    </w:p>
    <w:p w14:paraId="02E8091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6</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参与县人大常委会组织的视察、专项工作评议和执法检查。</w:t>
      </w:r>
    </w:p>
    <w:p w14:paraId="39A41B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7</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对全国人大常委会、省人大常委会、市人大常委会征求意见的相关法律、法规草案，组织有关部门和人员进行研究讨论，提出修改或建议意见，并按程序及时上报。</w:t>
      </w:r>
    </w:p>
    <w:p w14:paraId="18FFDA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8</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对人民来信来访提出的涉及县人大常委会城环资工委职责的有关申诉和意见，及时转交有关部门限期办理，并报告办理结果。</w:t>
      </w:r>
    </w:p>
    <w:p w14:paraId="58F093E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9</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按照宪法和法律的规定，确保有关城乡建设、环境资源保护方面的法律法规、县人大及其常委会依法作出的有关决议、决定在我县得以贯彻执行。</w:t>
      </w:r>
    </w:p>
    <w:p w14:paraId="1D335B0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atLeast"/>
        <w:ind w:left="0" w:right="0" w:firstLine="640"/>
        <w:jc w:val="left"/>
        <w:textAlignment w:val="auto"/>
        <w:rPr>
          <w:color w:val="auto"/>
          <w:highlight w:val="none"/>
        </w:rPr>
      </w:pP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10</w:t>
      </w:r>
      <w:r>
        <w:rPr>
          <w:rFonts w:hint="eastAsia" w:ascii="仿宋" w:hAnsi="仿宋" w:eastAsia="仿宋" w:cs="仿宋"/>
          <w:i w:val="0"/>
          <w:caps w:val="0"/>
          <w:color w:val="auto"/>
          <w:spacing w:val="0"/>
          <w:kern w:val="0"/>
          <w:sz w:val="33"/>
          <w:szCs w:val="33"/>
          <w:highlight w:val="none"/>
          <w:shd w:val="clear" w:color="auto" w:fill="FFFFFF"/>
          <w:lang w:val="en-US" w:eastAsia="zh-CN" w:bidi="ar"/>
        </w:rPr>
        <w:t>.</w:t>
      </w:r>
      <w:r>
        <w:rPr>
          <w:rFonts w:hint="eastAsia" w:ascii="仿宋_GB2312" w:hAnsi="宋体" w:eastAsia="仿宋_GB2312" w:cs="仿宋_GB2312"/>
          <w:i w:val="0"/>
          <w:caps w:val="0"/>
          <w:color w:val="auto"/>
          <w:spacing w:val="0"/>
          <w:kern w:val="0"/>
          <w:sz w:val="32"/>
          <w:szCs w:val="32"/>
          <w:highlight w:val="none"/>
          <w:shd w:val="clear" w:color="auto" w:fill="FFFFFF"/>
          <w:lang w:val="en-US" w:eastAsia="zh-CN" w:bidi="ar"/>
        </w:rPr>
        <w:t>完成常委会、主任会议及常委会领导交办的其他工作。</w:t>
      </w:r>
    </w:p>
    <w:p w14:paraId="59497528">
      <w:pPr>
        <w:widowControl/>
        <w:adjustRightInd w:val="0"/>
        <w:snapToGrid w:val="0"/>
        <w:spacing w:line="600" w:lineRule="exact"/>
        <w:ind w:firstLine="640" w:firstLineChars="200"/>
        <w:contextualSpacing/>
        <w:jc w:val="left"/>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（三）人员概况。</w:t>
      </w:r>
    </w:p>
    <w:p w14:paraId="2690B0A2">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201</w:t>
      </w:r>
      <w:r>
        <w:rPr>
          <w:rFonts w:hint="eastAsia" w:ascii="仿宋_GB2312" w:eastAsia="仿宋_GB2312"/>
          <w:color w:val="auto"/>
          <w:sz w:val="32"/>
          <w:szCs w:val="32"/>
          <w:highlight w:val="none"/>
        </w:rPr>
        <w:t>9年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日机关实有在职公务员29人，工勤人员2人，离休人员2人，共计33人。</w:t>
      </w:r>
    </w:p>
    <w:p w14:paraId="5927BA95">
      <w:pPr>
        <w:widowControl/>
        <w:adjustRightInd w:val="0"/>
        <w:snapToGrid w:val="0"/>
        <w:spacing w:line="600" w:lineRule="exact"/>
        <w:ind w:firstLine="640" w:firstLineChars="200"/>
        <w:contextualSpacing/>
        <w:jc w:val="left"/>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二、部门财政资金收支情况</w:t>
      </w:r>
    </w:p>
    <w:p w14:paraId="6C5544EA">
      <w:pPr>
        <w:widowControl/>
        <w:adjustRightInd w:val="0"/>
        <w:snapToGrid w:val="0"/>
        <w:spacing w:line="600" w:lineRule="exact"/>
        <w:ind w:firstLine="640" w:firstLineChars="200"/>
        <w:contextualSpacing/>
        <w:jc w:val="left"/>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（一）部门财政资金收入情况。</w:t>
      </w:r>
    </w:p>
    <w:p w14:paraId="1247FBEC">
      <w:pPr>
        <w:snapToGrid w:val="0"/>
        <w:spacing w:line="600" w:lineRule="exact"/>
        <w:ind w:firstLine="640" w:firstLineChars="200"/>
        <w:rPr>
          <w:rFonts w:ascii="仿宋_GB2312" w:hAnsi="Calibri" w:eastAsia="仿宋_GB2312"/>
          <w:color w:val="auto"/>
          <w:kern w:val="0"/>
          <w:sz w:val="32"/>
          <w:szCs w:val="32"/>
          <w:highlight w:val="none"/>
        </w:rPr>
      </w:pPr>
      <w:r>
        <w:rPr>
          <w:rFonts w:ascii="仿宋_GB2312" w:hAnsi="Calibri" w:eastAsia="仿宋_GB2312" w:cs="仿宋_GB2312"/>
          <w:color w:val="auto"/>
          <w:kern w:val="0"/>
          <w:sz w:val="32"/>
          <w:szCs w:val="32"/>
          <w:highlight w:val="none"/>
        </w:rPr>
        <w:t>201</w:t>
      </w:r>
      <w:r>
        <w:rPr>
          <w:rFonts w:hint="eastAsia" w:ascii="仿宋_GB2312" w:hAnsi="Calibri" w:eastAsia="仿宋_GB2312" w:cs="仿宋_GB2312"/>
          <w:color w:val="auto"/>
          <w:kern w:val="0"/>
          <w:sz w:val="32"/>
          <w:szCs w:val="32"/>
          <w:highlight w:val="none"/>
        </w:rPr>
        <w:t>9年收入总额为952.53万元，其中：当年财政拨款收入952.53万元。</w:t>
      </w:r>
    </w:p>
    <w:p w14:paraId="0306D241">
      <w:pPr>
        <w:widowControl/>
        <w:adjustRightInd w:val="0"/>
        <w:snapToGrid w:val="0"/>
        <w:spacing w:line="600" w:lineRule="exact"/>
        <w:ind w:firstLine="640" w:firstLineChars="200"/>
        <w:contextualSpacing/>
        <w:jc w:val="left"/>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（二）部门财政资金支出情况。</w:t>
      </w:r>
    </w:p>
    <w:p w14:paraId="14E16B41">
      <w:pPr>
        <w:adjustRightInd w:val="0"/>
        <w:snapToGrid w:val="0"/>
        <w:spacing w:line="600" w:lineRule="exact"/>
        <w:ind w:firstLine="720"/>
        <w:rPr>
          <w:rFonts w:ascii="仿宋_GB2312" w:hAnsi="Calibri" w:eastAsia="仿宋_GB2312"/>
          <w:color w:val="auto"/>
          <w:kern w:val="0"/>
          <w:sz w:val="32"/>
          <w:szCs w:val="32"/>
          <w:highlight w:val="none"/>
        </w:rPr>
      </w:pPr>
      <w:r>
        <w:rPr>
          <w:rFonts w:ascii="仿宋_GB2312" w:hAnsi="Calibri" w:eastAsia="仿宋_GB2312" w:cs="仿宋_GB2312"/>
          <w:color w:val="auto"/>
          <w:kern w:val="0"/>
          <w:sz w:val="32"/>
          <w:szCs w:val="32"/>
          <w:highlight w:val="none"/>
        </w:rPr>
        <w:t>201</w:t>
      </w:r>
      <w:r>
        <w:rPr>
          <w:rFonts w:hint="eastAsia" w:ascii="仿宋_GB2312" w:hAnsi="Calibri" w:eastAsia="仿宋_GB2312" w:cs="仿宋_GB2312"/>
          <w:color w:val="auto"/>
          <w:kern w:val="0"/>
          <w:sz w:val="32"/>
          <w:szCs w:val="32"/>
          <w:highlight w:val="none"/>
        </w:rPr>
        <w:t>9年财政拨款支出总额为950.86万元，其中：基本支出742.36万元、项目支出208.50万元。</w:t>
      </w:r>
    </w:p>
    <w:p w14:paraId="71BEF8E8">
      <w:pPr>
        <w:adjustRightInd w:val="0"/>
        <w:snapToGrid w:val="0"/>
        <w:spacing w:line="600" w:lineRule="exact"/>
        <w:ind w:firstLine="720"/>
        <w:rPr>
          <w:rFonts w:ascii="仿宋_GB2312" w:hAnsi="Calibri" w:eastAsia="仿宋_GB2312"/>
          <w:color w:val="auto"/>
          <w:kern w:val="0"/>
          <w:sz w:val="32"/>
          <w:szCs w:val="32"/>
          <w:highlight w:val="none"/>
        </w:rPr>
      </w:pPr>
      <w:r>
        <w:rPr>
          <w:rFonts w:hint="eastAsia" w:ascii="仿宋_GB2312" w:hAnsi="Calibri" w:eastAsia="仿宋_GB2312" w:cs="仿宋_GB2312"/>
          <w:color w:val="auto"/>
          <w:kern w:val="0"/>
          <w:sz w:val="32"/>
          <w:szCs w:val="32"/>
          <w:highlight w:val="none"/>
        </w:rPr>
        <w:t>米易县人大常委会办公室预算安排支出主要用于保障</w:t>
      </w:r>
      <w:r>
        <w:rPr>
          <w:rFonts w:hint="eastAsia" w:ascii="仿宋_GB2312" w:hAnsi="Calibri" w:eastAsia="仿宋_GB2312" w:cs="仿宋_GB2312"/>
          <w:color w:val="auto"/>
          <w:kern w:val="0"/>
          <w:sz w:val="32"/>
          <w:szCs w:val="32"/>
          <w:highlight w:val="none"/>
          <w:lang w:val="en-US" w:eastAsia="zh-CN"/>
        </w:rPr>
        <w:t>机关</w:t>
      </w:r>
      <w:r>
        <w:rPr>
          <w:rFonts w:hint="eastAsia" w:ascii="仿宋_GB2312" w:hAnsi="Calibri" w:eastAsia="仿宋_GB2312" w:cs="仿宋_GB2312"/>
          <w:color w:val="auto"/>
          <w:kern w:val="0"/>
          <w:sz w:val="32"/>
          <w:szCs w:val="32"/>
          <w:highlight w:val="none"/>
        </w:rPr>
        <w:t>正常运转、完成日常工作任务以及本单位承担的其他专项工作。</w:t>
      </w:r>
    </w:p>
    <w:p w14:paraId="3C57DC9F">
      <w:pPr>
        <w:adjustRightInd w:val="0"/>
        <w:snapToGrid w:val="0"/>
        <w:spacing w:line="600" w:lineRule="exact"/>
        <w:ind w:firstLine="720"/>
        <w:rPr>
          <w:rFonts w:ascii="仿宋_GB2312" w:hAnsi="Calibri" w:eastAsia="仿宋_GB2312"/>
          <w:color w:val="auto"/>
          <w:kern w:val="0"/>
          <w:sz w:val="32"/>
          <w:szCs w:val="32"/>
          <w:highlight w:val="none"/>
        </w:rPr>
      </w:pPr>
      <w:r>
        <w:rPr>
          <w:rFonts w:hint="eastAsia" w:ascii="仿宋_GB2312" w:hAnsi="Calibri" w:eastAsia="仿宋_GB2312" w:cs="仿宋_GB2312"/>
          <w:color w:val="auto"/>
          <w:kern w:val="0"/>
          <w:sz w:val="32"/>
          <w:szCs w:val="32"/>
          <w:highlight w:val="none"/>
        </w:rPr>
        <w:t>基本支出，是用于保障本单位的正常运转的日常支出，包括基本工资、津贴补贴等人员经费以及办公费、差旅费等日常公用经费。</w:t>
      </w:r>
    </w:p>
    <w:p w14:paraId="5B628582">
      <w:pPr>
        <w:spacing w:line="600" w:lineRule="exact"/>
        <w:ind w:firstLine="640" w:firstLineChars="200"/>
        <w:rPr>
          <w:rFonts w:ascii="仿宋_GB2312" w:hAnsi="Calibri" w:eastAsia="仿宋_GB2312"/>
          <w:color w:val="auto"/>
          <w:kern w:val="0"/>
          <w:sz w:val="32"/>
          <w:szCs w:val="32"/>
          <w:highlight w:val="none"/>
        </w:rPr>
      </w:pPr>
      <w:r>
        <w:rPr>
          <w:rFonts w:hint="eastAsia" w:ascii="仿宋_GB2312" w:hAnsi="Calibri" w:eastAsia="仿宋_GB2312" w:cs="仿宋_GB2312"/>
          <w:color w:val="auto"/>
          <w:kern w:val="0"/>
          <w:sz w:val="32"/>
          <w:szCs w:val="32"/>
          <w:highlight w:val="none"/>
        </w:rPr>
        <w:t>项目支出，是用于保障县人大常委会办公室为完成特定的行政工作任务或事业发展目标，用于专项业务工作的经费支出。</w:t>
      </w:r>
    </w:p>
    <w:p w14:paraId="0D82F658">
      <w:pPr>
        <w:spacing w:line="600" w:lineRule="exact"/>
        <w:ind w:firstLine="640" w:firstLineChars="200"/>
        <w:rPr>
          <w:rFonts w:ascii="仿宋_GB2312" w:hAnsi="Calibri" w:eastAsia="仿宋_GB2312" w:cs="仿宋_GB2312"/>
          <w:color w:val="auto"/>
          <w:kern w:val="0"/>
          <w:sz w:val="32"/>
          <w:szCs w:val="32"/>
          <w:highlight w:val="none"/>
        </w:rPr>
      </w:pPr>
      <w:r>
        <w:rPr>
          <w:rFonts w:hint="eastAsia" w:ascii="仿宋_GB2312" w:hAnsi="Calibri" w:eastAsia="仿宋_GB2312" w:cs="仿宋_GB2312"/>
          <w:color w:val="auto"/>
          <w:kern w:val="0"/>
          <w:sz w:val="32"/>
          <w:szCs w:val="32"/>
          <w:highlight w:val="none"/>
        </w:rPr>
        <w:t>按支出功能分类主要用于以下方面</w:t>
      </w:r>
      <w:r>
        <w:rPr>
          <w:rFonts w:ascii="仿宋_GB2312" w:hAnsi="Calibri" w:eastAsia="仿宋_GB2312" w:cs="仿宋_GB2312"/>
          <w:color w:val="auto"/>
          <w:kern w:val="0"/>
          <w:sz w:val="32"/>
          <w:szCs w:val="32"/>
          <w:highlight w:val="none"/>
        </w:rPr>
        <w:t>:</w:t>
      </w:r>
    </w:p>
    <w:p w14:paraId="00CC6DBA">
      <w:pPr>
        <w:spacing w:line="600" w:lineRule="exact"/>
        <w:ind w:firstLine="640" w:firstLineChars="200"/>
        <w:rPr>
          <w:rFonts w:ascii="仿宋_GB2312" w:hAnsi="Calibri" w:eastAsia="仿宋_GB2312"/>
          <w:color w:val="auto"/>
          <w:kern w:val="0"/>
          <w:sz w:val="32"/>
          <w:szCs w:val="32"/>
          <w:highlight w:val="none"/>
        </w:rPr>
      </w:pPr>
      <w:r>
        <w:rPr>
          <w:rFonts w:ascii="仿宋_GB2312" w:hAnsi="Calibri" w:eastAsia="仿宋_GB2312" w:cs="仿宋_GB2312"/>
          <w:color w:val="auto"/>
          <w:kern w:val="0"/>
          <w:sz w:val="32"/>
          <w:szCs w:val="32"/>
          <w:highlight w:val="none"/>
        </w:rPr>
        <w:t>1.</w:t>
      </w:r>
      <w:r>
        <w:rPr>
          <w:rFonts w:hint="eastAsia" w:ascii="仿宋_GB2312" w:hAnsi="Calibri" w:eastAsia="仿宋_GB2312" w:cs="仿宋_GB2312"/>
          <w:color w:val="auto"/>
          <w:kern w:val="0"/>
          <w:sz w:val="32"/>
          <w:szCs w:val="32"/>
          <w:highlight w:val="none"/>
        </w:rPr>
        <w:t>一般公共服务支出702.45万元，主要用于：保障县人大常委会办公室正常运转的日常支出，及保障县人大常委会办公室为完成特定的行政工作任务或事业发展目标的专项方面的经费。包含：人大报刊经费、乡镇人大代表之家建设经费等。</w:t>
      </w:r>
    </w:p>
    <w:p w14:paraId="0A1840F1">
      <w:pPr>
        <w:spacing w:line="600" w:lineRule="exact"/>
        <w:ind w:firstLine="640" w:firstLineChars="200"/>
        <w:rPr>
          <w:rFonts w:ascii="仿宋_GB2312" w:hAnsi="Calibri" w:eastAsia="仿宋_GB2312" w:cs="仿宋_GB2312"/>
          <w:color w:val="auto"/>
          <w:kern w:val="0"/>
          <w:sz w:val="32"/>
          <w:szCs w:val="32"/>
          <w:highlight w:val="none"/>
        </w:rPr>
      </w:pPr>
      <w:r>
        <w:rPr>
          <w:rFonts w:ascii="仿宋_GB2312" w:hAnsi="Calibri" w:eastAsia="仿宋_GB2312" w:cs="仿宋_GB2312"/>
          <w:color w:val="auto"/>
          <w:kern w:val="0"/>
          <w:sz w:val="32"/>
          <w:szCs w:val="32"/>
          <w:highlight w:val="none"/>
        </w:rPr>
        <w:t>2.</w:t>
      </w:r>
      <w:r>
        <w:rPr>
          <w:rFonts w:hint="eastAsia" w:ascii="仿宋_GB2312" w:hAnsi="Calibri" w:eastAsia="仿宋_GB2312" w:cs="仿宋_GB2312"/>
          <w:color w:val="auto"/>
          <w:kern w:val="0"/>
          <w:sz w:val="32"/>
          <w:szCs w:val="32"/>
          <w:highlight w:val="none"/>
        </w:rPr>
        <w:t>社会保障和就业支出142.82万元，主要用于：县人大常委会办公室离退休人员的工资福利支出。</w:t>
      </w:r>
    </w:p>
    <w:p w14:paraId="76A64A19">
      <w:pPr>
        <w:spacing w:line="600" w:lineRule="exact"/>
        <w:ind w:firstLine="640" w:firstLineChars="200"/>
        <w:rPr>
          <w:rFonts w:ascii="仿宋_GB2312" w:hAnsi="Calibri" w:eastAsia="仿宋_GB2312"/>
          <w:color w:val="auto"/>
          <w:kern w:val="0"/>
          <w:sz w:val="32"/>
          <w:szCs w:val="32"/>
          <w:highlight w:val="none"/>
        </w:rPr>
      </w:pPr>
      <w:r>
        <w:rPr>
          <w:rFonts w:hint="eastAsia" w:ascii="仿宋_GB2312" w:hAnsi="Calibri" w:eastAsia="仿宋_GB2312" w:cs="仿宋_GB2312"/>
          <w:color w:val="auto"/>
          <w:kern w:val="0"/>
          <w:sz w:val="32"/>
          <w:szCs w:val="32"/>
          <w:highlight w:val="none"/>
        </w:rPr>
        <w:t>3.卫生健康支出39.55万元，只要用于职工医疗费用支出。</w:t>
      </w:r>
    </w:p>
    <w:p w14:paraId="78096B84">
      <w:pPr>
        <w:spacing w:line="600" w:lineRule="exact"/>
        <w:ind w:firstLine="640" w:firstLineChars="200"/>
        <w:rPr>
          <w:rFonts w:ascii="仿宋_GB2312" w:hAnsi="Calibri" w:eastAsia="仿宋_GB2312" w:cs="仿宋_GB2312"/>
          <w:color w:val="auto"/>
          <w:kern w:val="0"/>
          <w:sz w:val="32"/>
          <w:szCs w:val="32"/>
          <w:highlight w:val="none"/>
        </w:rPr>
      </w:pPr>
      <w:r>
        <w:rPr>
          <w:rFonts w:hint="eastAsia" w:ascii="仿宋_GB2312" w:hAnsi="Calibri" w:eastAsia="仿宋_GB2312" w:cs="仿宋_GB2312"/>
          <w:color w:val="auto"/>
          <w:kern w:val="0"/>
          <w:sz w:val="32"/>
          <w:szCs w:val="32"/>
          <w:highlight w:val="none"/>
        </w:rPr>
        <w:t>4</w:t>
      </w:r>
      <w:r>
        <w:rPr>
          <w:rFonts w:ascii="仿宋_GB2312" w:hAnsi="Calibri" w:eastAsia="仿宋_GB2312" w:cs="仿宋_GB2312"/>
          <w:color w:val="auto"/>
          <w:kern w:val="0"/>
          <w:sz w:val="32"/>
          <w:szCs w:val="32"/>
          <w:highlight w:val="none"/>
        </w:rPr>
        <w:t>.</w:t>
      </w:r>
      <w:r>
        <w:rPr>
          <w:rFonts w:hint="eastAsia" w:ascii="仿宋_GB2312" w:hAnsi="Calibri" w:eastAsia="仿宋_GB2312" w:cs="仿宋_GB2312"/>
          <w:color w:val="auto"/>
          <w:kern w:val="0"/>
          <w:sz w:val="32"/>
          <w:szCs w:val="32"/>
          <w:highlight w:val="none"/>
        </w:rPr>
        <w:t>住房保障支出66.04万元，主要用于：县人大常委会办公室在职人员住房公积金的缴纳。</w:t>
      </w:r>
    </w:p>
    <w:p w14:paraId="4BB9458D">
      <w:pPr>
        <w:widowControl/>
        <w:adjustRightInd w:val="0"/>
        <w:snapToGrid w:val="0"/>
        <w:spacing w:line="600" w:lineRule="exact"/>
        <w:ind w:firstLine="640" w:firstLineChars="200"/>
        <w:contextualSpacing/>
        <w:jc w:val="left"/>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三、部门整体预算绩效管理情况</w:t>
      </w:r>
    </w:p>
    <w:p w14:paraId="267DDE35">
      <w:pPr>
        <w:widowControl/>
        <w:adjustRightInd w:val="0"/>
        <w:snapToGrid w:val="0"/>
        <w:spacing w:line="600" w:lineRule="exact"/>
        <w:ind w:firstLine="640" w:firstLineChars="200"/>
        <w:contextualSpacing/>
        <w:jc w:val="left"/>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（一）部门预算管理。</w:t>
      </w:r>
    </w:p>
    <w:p w14:paraId="47BB83CE">
      <w:pPr>
        <w:spacing w:line="600" w:lineRule="exact"/>
        <w:ind w:firstLine="640" w:firstLineChars="200"/>
        <w:rPr>
          <w:rFonts w:ascii="仿宋_GB2312" w:hAnsi="Calibri" w:eastAsia="仿宋_GB2312"/>
          <w:color w:val="auto"/>
          <w:kern w:val="0"/>
          <w:sz w:val="32"/>
          <w:szCs w:val="32"/>
          <w:highlight w:val="none"/>
        </w:rPr>
      </w:pPr>
      <w:r>
        <w:rPr>
          <w:rFonts w:hint="eastAsia" w:ascii="仿宋_GB2312" w:hAnsi="Calibri" w:eastAsia="仿宋_GB2312" w:cs="仿宋_GB2312"/>
          <w:color w:val="auto"/>
          <w:kern w:val="0"/>
          <w:sz w:val="32"/>
          <w:szCs w:val="32"/>
          <w:highlight w:val="none"/>
        </w:rPr>
        <w:t>我办严格按照县财政预算编制通知和有关要求，组织职能委室认真收集基础信息，编制年度预算，经过多次讨论汇总，按时将</w:t>
      </w:r>
      <w:r>
        <w:rPr>
          <w:rFonts w:ascii="仿宋_GB2312" w:hAnsi="Calibri" w:eastAsia="仿宋_GB2312" w:cs="仿宋_GB2312"/>
          <w:color w:val="auto"/>
          <w:kern w:val="0"/>
          <w:sz w:val="32"/>
          <w:szCs w:val="32"/>
          <w:highlight w:val="none"/>
        </w:rPr>
        <w:t>201</w:t>
      </w:r>
      <w:r>
        <w:rPr>
          <w:rFonts w:hint="eastAsia" w:ascii="仿宋_GB2312" w:hAnsi="Calibri" w:eastAsia="仿宋_GB2312" w:cs="仿宋_GB2312"/>
          <w:color w:val="auto"/>
          <w:kern w:val="0"/>
          <w:sz w:val="32"/>
          <w:szCs w:val="32"/>
          <w:highlight w:val="none"/>
        </w:rPr>
        <w:t>9年度预算的基础数据、项目数据报送到县财政局，并根据财政的审核，准确在</w:t>
      </w:r>
      <w:r>
        <w:rPr>
          <w:rFonts w:ascii="仿宋_GB2312" w:hAnsi="Calibri" w:eastAsia="仿宋_GB2312" w:cs="仿宋_GB2312"/>
          <w:color w:val="auto"/>
          <w:kern w:val="0"/>
          <w:sz w:val="32"/>
          <w:szCs w:val="32"/>
          <w:highlight w:val="none"/>
        </w:rPr>
        <w:t>E</w:t>
      </w:r>
      <w:r>
        <w:rPr>
          <w:rFonts w:hint="eastAsia" w:ascii="仿宋_GB2312" w:hAnsi="Calibri" w:eastAsia="仿宋_GB2312" w:cs="仿宋_GB2312"/>
          <w:color w:val="auto"/>
          <w:kern w:val="0"/>
          <w:sz w:val="32"/>
          <w:szCs w:val="32"/>
          <w:highlight w:val="none"/>
        </w:rPr>
        <w:t>财软件中录入了相关信息，提交了部门预算草案。经核，</w:t>
      </w:r>
      <w:r>
        <w:rPr>
          <w:rFonts w:ascii="仿宋_GB2312" w:hAnsi="Calibri" w:eastAsia="仿宋_GB2312" w:cs="仿宋_GB2312"/>
          <w:color w:val="auto"/>
          <w:kern w:val="0"/>
          <w:sz w:val="32"/>
          <w:szCs w:val="32"/>
          <w:highlight w:val="none"/>
        </w:rPr>
        <w:t>201</w:t>
      </w:r>
      <w:r>
        <w:rPr>
          <w:rFonts w:hint="eastAsia" w:ascii="仿宋_GB2312" w:hAnsi="Calibri" w:eastAsia="仿宋_GB2312" w:cs="仿宋_GB2312"/>
          <w:color w:val="auto"/>
          <w:kern w:val="0"/>
          <w:sz w:val="32"/>
          <w:szCs w:val="32"/>
          <w:highlight w:val="none"/>
        </w:rPr>
        <w:t>9年县人大常委会办公室部门基本预算数据准确无误，无差错。项目预算编制合理，数据准确，确保了年度项目工作的顺利开展。总体上看</w:t>
      </w:r>
      <w:r>
        <w:rPr>
          <w:rFonts w:ascii="仿宋_GB2312" w:hAnsi="Calibri" w:eastAsia="仿宋_GB2312" w:cs="仿宋_GB2312"/>
          <w:color w:val="auto"/>
          <w:kern w:val="0"/>
          <w:sz w:val="32"/>
          <w:szCs w:val="32"/>
          <w:highlight w:val="none"/>
        </w:rPr>
        <w:t>201</w:t>
      </w:r>
      <w:r>
        <w:rPr>
          <w:rFonts w:hint="eastAsia" w:ascii="仿宋_GB2312" w:hAnsi="Calibri" w:eastAsia="仿宋_GB2312" w:cs="仿宋_GB2312"/>
          <w:color w:val="auto"/>
          <w:kern w:val="0"/>
          <w:sz w:val="32"/>
          <w:szCs w:val="32"/>
          <w:highlight w:val="none"/>
        </w:rPr>
        <w:t>9年部门预算编制质量较高，确保了预算编制的全面性、及时性和科学性。</w:t>
      </w:r>
    </w:p>
    <w:p w14:paraId="362E8234">
      <w:pPr>
        <w:widowControl/>
        <w:adjustRightInd w:val="0"/>
        <w:snapToGrid w:val="0"/>
        <w:spacing w:line="600" w:lineRule="exact"/>
        <w:ind w:firstLine="640" w:firstLineChars="200"/>
        <w:contextualSpacing/>
        <w:jc w:val="left"/>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（二）结果应用情况。</w:t>
      </w:r>
    </w:p>
    <w:p w14:paraId="7F381912">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800" w:firstLineChars="250"/>
        <w:rPr>
          <w:rFonts w:ascii="仿宋_GB2312" w:hAnsi="仿宋" w:eastAsia="仿宋_GB2312" w:cs="仿宋"/>
          <w:color w:val="auto"/>
          <w:kern w:val="0"/>
          <w:sz w:val="32"/>
          <w:szCs w:val="32"/>
          <w:highlight w:val="none"/>
          <w:lang w:bidi="ar"/>
        </w:rPr>
      </w:pPr>
      <w:r>
        <w:rPr>
          <w:rFonts w:hint="eastAsia" w:ascii="仿宋_GB2312" w:hAnsi="仿宋" w:eastAsia="仿宋_GB2312" w:cs="仿宋_GB2312"/>
          <w:color w:val="auto"/>
          <w:sz w:val="32"/>
          <w:szCs w:val="32"/>
          <w:highlight w:val="none"/>
        </w:rPr>
        <w:t>2019年县人大常委会办公室在县委、县政府领导下，把握工作重点，完善工作机制，创新工作方法，进一步规范各项工作程序，严格执行制度，使办公室各项工作有章可循、有据可依、更加科学、规范、快捷、高效运行。一年来，做好综合协调工作，对重大工作、重大活动认真组织，加强调度，多方协调，充分发挥办公室的桥梁纽带作用，注重建立和培养工作协作关系，注重协调处理好县直部门之间、部门与乡镇、乡镇与乡镇间的关系，使</w:t>
      </w:r>
      <w:r>
        <w:rPr>
          <w:rFonts w:hint="eastAsia" w:ascii="仿宋_GB2312" w:hAnsi="仿宋" w:eastAsia="仿宋_GB2312" w:cs="仿宋_GB2312"/>
          <w:color w:val="auto"/>
          <w:sz w:val="32"/>
          <w:szCs w:val="32"/>
          <w:highlight w:val="none"/>
          <w:lang w:val="en-US" w:eastAsia="zh-CN"/>
        </w:rPr>
        <w:t>县</w:t>
      </w:r>
      <w:r>
        <w:rPr>
          <w:rFonts w:hint="eastAsia" w:ascii="仿宋_GB2312" w:hAnsi="仿宋" w:eastAsia="仿宋_GB2312" w:cs="仿宋_GB2312"/>
          <w:color w:val="auto"/>
          <w:sz w:val="32"/>
          <w:szCs w:val="32"/>
          <w:highlight w:val="none"/>
        </w:rPr>
        <w:t>人大常委会各委室工作有序开展，办文办会水平进一步提高，努力提高公文办理质量和速度，规范公文报送程序，减少公文运转环节，做到文件及时收发、传阅、送阅，确保公文处理准确及时和有序运转。总之</w:t>
      </w:r>
      <w:r>
        <w:rPr>
          <w:rFonts w:hint="eastAsia" w:ascii="仿宋_GB2312" w:hAnsi="仿宋" w:eastAsia="仿宋_GB2312" w:cs="仿宋"/>
          <w:color w:val="auto"/>
          <w:kern w:val="0"/>
          <w:sz w:val="32"/>
          <w:szCs w:val="32"/>
          <w:highlight w:val="none"/>
          <w:lang w:bidi="ar"/>
        </w:rPr>
        <w:t>，2019年在县委、县政府正确领导下，机关全体干部职工切实转变工作作风，态度热情，办事效率高，取得了较好的社会评价。</w:t>
      </w:r>
    </w:p>
    <w:p w14:paraId="6BB1D53C">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800" w:firstLineChars="250"/>
        <w:rPr>
          <w:rFonts w:ascii="仿宋" w:hAnsi="仿宋" w:eastAsia="仿宋" w:cs="仿宋"/>
          <w:color w:val="auto"/>
          <w:kern w:val="0"/>
          <w:sz w:val="32"/>
          <w:szCs w:val="32"/>
          <w:highlight w:val="none"/>
          <w:lang w:bidi="ar"/>
        </w:rPr>
      </w:pPr>
      <w:r>
        <w:rPr>
          <w:rFonts w:hint="eastAsia" w:ascii="黑体" w:hAnsi="宋体" w:eastAsia="黑体" w:cs="宋体"/>
          <w:color w:val="auto"/>
          <w:kern w:val="0"/>
          <w:sz w:val="32"/>
          <w:szCs w:val="32"/>
          <w:highlight w:val="none"/>
          <w:shd w:val="clear" w:color="auto" w:fill="FFFFFF"/>
        </w:rPr>
        <w:t>四、评价结论及建议</w:t>
      </w:r>
    </w:p>
    <w:p w14:paraId="49146833">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640" w:firstLineChars="200"/>
        <w:rPr>
          <w:rFonts w:ascii="仿宋_GB2312" w:hAnsi="仿宋" w:eastAsia="仿宋_GB2312" w:cs="仿宋"/>
          <w:color w:val="auto"/>
          <w:kern w:val="0"/>
          <w:sz w:val="32"/>
          <w:szCs w:val="32"/>
          <w:highlight w:val="none"/>
          <w:lang w:bidi="ar"/>
        </w:rPr>
      </w:pPr>
      <w:r>
        <w:rPr>
          <w:rFonts w:hint="eastAsia" w:ascii="仿宋_GB2312" w:hAnsi="仿宋" w:eastAsia="仿宋_GB2312" w:cs="仿宋_GB2312"/>
          <w:color w:val="auto"/>
          <w:sz w:val="32"/>
          <w:szCs w:val="32"/>
          <w:highlight w:val="none"/>
        </w:rPr>
        <w:t>（</w:t>
      </w:r>
      <w:r>
        <w:rPr>
          <w:rFonts w:hint="eastAsia" w:ascii="仿宋_GB2312" w:hAnsi="仿宋" w:eastAsia="仿宋_GB2312" w:cs="仿宋"/>
          <w:color w:val="auto"/>
          <w:kern w:val="0"/>
          <w:sz w:val="32"/>
          <w:szCs w:val="32"/>
          <w:highlight w:val="none"/>
        </w:rPr>
        <w:t>一）评价结论。</w:t>
      </w:r>
    </w:p>
    <w:p w14:paraId="1C5A7D19">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800" w:firstLineChars="250"/>
        <w:jc w:val="center"/>
        <w:rPr>
          <w:rFonts w:ascii="仿宋_GB2312" w:hAnsi="仿宋" w:eastAsia="仿宋_GB2312" w:cs="仿宋"/>
          <w:color w:val="auto"/>
          <w:kern w:val="0"/>
          <w:sz w:val="32"/>
          <w:szCs w:val="32"/>
          <w:highlight w:val="none"/>
          <w:lang w:bidi="ar"/>
        </w:rPr>
      </w:pPr>
      <w:r>
        <w:rPr>
          <w:rFonts w:hint="eastAsia" w:ascii="仿宋_GB2312" w:hAnsi="仿宋" w:eastAsia="仿宋_GB2312" w:cs="仿宋"/>
          <w:color w:val="auto"/>
          <w:kern w:val="0"/>
          <w:sz w:val="32"/>
          <w:szCs w:val="32"/>
          <w:highlight w:val="none"/>
        </w:rPr>
        <w:t>综合以上情况，县人大常委会机关财务管理健全规范，2019年部门支出与财政预算一致，达到预期绩效目标。</w:t>
      </w:r>
    </w:p>
    <w:p w14:paraId="037A3D72">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800" w:firstLineChars="250"/>
        <w:rPr>
          <w:rFonts w:ascii="仿宋_GB2312" w:hAnsi="仿宋" w:eastAsia="仿宋_GB2312" w:cs="仿宋"/>
          <w:color w:val="auto"/>
          <w:kern w:val="0"/>
          <w:sz w:val="32"/>
          <w:szCs w:val="32"/>
          <w:highlight w:val="none"/>
        </w:rPr>
      </w:pPr>
      <w:r>
        <w:rPr>
          <w:rFonts w:hint="eastAsia" w:ascii="仿宋_GB2312" w:hAnsi="仿宋" w:eastAsia="仿宋_GB2312" w:cs="仿宋"/>
          <w:color w:val="auto"/>
          <w:kern w:val="0"/>
          <w:sz w:val="32"/>
          <w:szCs w:val="32"/>
          <w:highlight w:val="none"/>
        </w:rPr>
        <w:t>（二）存在问题。</w:t>
      </w:r>
    </w:p>
    <w:p w14:paraId="6CCE8F51">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800" w:firstLineChars="250"/>
        <w:rPr>
          <w:rFonts w:ascii="仿宋_GB2312" w:hAnsi="仿宋" w:eastAsia="仿宋_GB2312" w:cs="仿宋"/>
          <w:color w:val="auto"/>
          <w:kern w:val="0"/>
          <w:sz w:val="32"/>
          <w:szCs w:val="32"/>
          <w:highlight w:val="none"/>
        </w:rPr>
      </w:pPr>
      <w:r>
        <w:rPr>
          <w:rFonts w:hint="eastAsia" w:ascii="仿宋_GB2312" w:hAnsi="Calibri" w:eastAsia="仿宋_GB2312" w:cs="仿宋_GB2312"/>
          <w:color w:val="auto"/>
          <w:kern w:val="0"/>
          <w:sz w:val="32"/>
          <w:szCs w:val="32"/>
          <w:highlight w:val="none"/>
        </w:rPr>
        <w:t>从绩效评价看，我办还存在如下问题：一是预算管理不够精细，在预算管理过程中，需加强全单位内设机构的协调联动，保证预算编制的合理与精细，并加强与财政部门的沟通和协调，确保预算资金的及时下达。二是在财务管理有待进一步规范，提高资金使用效率。</w:t>
      </w:r>
    </w:p>
    <w:p w14:paraId="7451D978">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800" w:firstLineChars="250"/>
        <w:rPr>
          <w:rFonts w:ascii="仿宋_GB2312" w:hAnsi="Calibri" w:eastAsia="仿宋_GB2312"/>
          <w:color w:val="auto"/>
          <w:kern w:val="0"/>
          <w:sz w:val="32"/>
          <w:szCs w:val="32"/>
          <w:highlight w:val="none"/>
        </w:rPr>
      </w:pPr>
      <w:r>
        <w:rPr>
          <w:rFonts w:hint="eastAsia" w:ascii="仿宋_GB2312" w:hAnsi="仿宋" w:eastAsia="仿宋_GB2312" w:cs="仿宋"/>
          <w:color w:val="auto"/>
          <w:kern w:val="0"/>
          <w:sz w:val="32"/>
          <w:szCs w:val="32"/>
          <w:highlight w:val="none"/>
        </w:rPr>
        <w:t>（三）改进建议。</w:t>
      </w:r>
    </w:p>
    <w:p w14:paraId="387C6BCB">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800" w:firstLineChars="250"/>
        <w:rPr>
          <w:rFonts w:ascii="仿宋_GB2312" w:hAnsi="Calibri" w:eastAsia="仿宋_GB2312"/>
          <w:color w:val="auto"/>
          <w:kern w:val="0"/>
          <w:sz w:val="32"/>
          <w:szCs w:val="32"/>
          <w:highlight w:val="none"/>
        </w:rPr>
      </w:pPr>
      <w:r>
        <w:rPr>
          <w:rFonts w:hint="eastAsia" w:ascii="仿宋_GB2312" w:hAnsi="仿宋" w:eastAsia="仿宋_GB2312" w:cs="仿宋"/>
          <w:color w:val="auto"/>
          <w:kern w:val="0"/>
          <w:sz w:val="32"/>
          <w:szCs w:val="32"/>
          <w:highlight w:val="none"/>
        </w:rPr>
        <w:t>1.预算编制和预算管理还需进一步细化和加强，严禁超预算和无预算安排支出，严格开支范围和标准，严格审核各项经费的支出，提高资金使用效率。</w:t>
      </w:r>
    </w:p>
    <w:p w14:paraId="25F983C7">
      <w:pPr>
        <w:pBdr>
          <w:top w:val="single" w:color="FFFFFF" w:sz="4" w:space="0"/>
          <w:left w:val="single" w:color="FFFFFF" w:sz="4" w:space="31"/>
          <w:bottom w:val="single" w:color="FFFFFF" w:sz="4" w:space="31"/>
          <w:right w:val="single" w:color="FFFFFF" w:sz="4" w:space="7"/>
        </w:pBdr>
        <w:adjustRightInd w:val="0"/>
        <w:snapToGrid w:val="0"/>
        <w:spacing w:line="600" w:lineRule="exact"/>
        <w:ind w:right="23" w:rightChars="11" w:firstLine="800" w:firstLineChars="250"/>
        <w:rPr>
          <w:rFonts w:ascii="仿宋_GB2312" w:hAnsi="仿宋" w:eastAsia="仿宋_GB2312" w:cs="仿宋"/>
          <w:color w:val="auto"/>
          <w:kern w:val="0"/>
          <w:sz w:val="32"/>
          <w:szCs w:val="32"/>
          <w:highlight w:val="none"/>
        </w:rPr>
      </w:pPr>
      <w:r>
        <w:rPr>
          <w:rFonts w:hint="eastAsia" w:ascii="仿宋_GB2312" w:hAnsi="仿宋" w:eastAsia="仿宋_GB2312" w:cs="仿宋"/>
          <w:color w:val="auto"/>
          <w:kern w:val="0"/>
          <w:sz w:val="32"/>
          <w:szCs w:val="32"/>
          <w:highlight w:val="none"/>
        </w:rPr>
        <w:t>2.加强“三公”经费的管理和控制，认真贯彻落实中央、省委省政府和县委县政府相关规定，严格“三公”经费支出的审核和审批，合理压缩“三公”经费支出。</w:t>
      </w:r>
    </w:p>
    <w:p w14:paraId="3F01D6F1">
      <w:pPr>
        <w:spacing w:line="580" w:lineRule="exact"/>
        <w:ind w:firstLine="640" w:firstLineChars="200"/>
        <w:rPr>
          <w:rFonts w:ascii="仿宋_GB2312" w:hAnsi="仿宋_GB2312" w:eastAsia="仿宋_GB2312" w:cs="仿宋_GB2312"/>
          <w:color w:val="auto"/>
          <w:sz w:val="32"/>
          <w:szCs w:val="32"/>
          <w:highlight w:val="none"/>
        </w:rPr>
      </w:pPr>
    </w:p>
    <w:p w14:paraId="4135C0AE">
      <w:pPr>
        <w:spacing w:line="580" w:lineRule="exact"/>
        <w:rPr>
          <w:rFonts w:ascii="仿宋_GB2312" w:hAnsi="仿宋_GB2312" w:eastAsia="仿宋_GB2312" w:cs="仿宋_GB2312"/>
          <w:color w:val="auto"/>
          <w:sz w:val="32"/>
          <w:szCs w:val="32"/>
          <w:highlight w:val="none"/>
        </w:rPr>
      </w:pPr>
      <w:r>
        <w:rPr>
          <w:rStyle w:val="17"/>
          <w:rFonts w:ascii="黑体" w:hAnsi="黑体" w:eastAsia="黑体"/>
          <w:b w:val="0"/>
          <w:color w:val="auto"/>
          <w:highlight w:val="none"/>
        </w:rPr>
        <w:br w:type="page"/>
      </w:r>
      <w:r>
        <w:rPr>
          <w:rFonts w:hint="eastAsia" w:ascii="黑体" w:hAnsi="黑体" w:eastAsia="黑体" w:cs="黑体"/>
          <w:color w:val="auto"/>
          <w:sz w:val="32"/>
          <w:szCs w:val="32"/>
          <w:highlight w:val="none"/>
        </w:rPr>
        <w:t>附件</w:t>
      </w:r>
      <w:r>
        <w:rPr>
          <w:rFonts w:ascii="黑体" w:hAnsi="黑体" w:eastAsia="黑体" w:cs="黑体"/>
          <w:color w:val="auto"/>
          <w:sz w:val="32"/>
          <w:szCs w:val="32"/>
          <w:highlight w:val="none"/>
        </w:rPr>
        <w:t>2</w:t>
      </w:r>
    </w:p>
    <w:p w14:paraId="3D3D2820">
      <w:pPr>
        <w:spacing w:line="580" w:lineRule="exact"/>
        <w:ind w:firstLine="640" w:firstLineChars="200"/>
        <w:rPr>
          <w:rFonts w:ascii="仿宋_GB2312" w:hAnsi="仿宋_GB2312" w:eastAsia="仿宋_GB2312" w:cs="仿宋_GB2312"/>
          <w:color w:val="auto"/>
          <w:sz w:val="32"/>
          <w:szCs w:val="32"/>
          <w:highlight w:val="none"/>
        </w:rPr>
      </w:pPr>
    </w:p>
    <w:p w14:paraId="3E6096EF">
      <w:pPr>
        <w:spacing w:line="600" w:lineRule="exact"/>
        <w:jc w:val="center"/>
        <w:rPr>
          <w:rFonts w:ascii="方正小标宋简体" w:hAnsi="宋体" w:eastAsia="方正小标宋简体"/>
          <w:color w:val="auto"/>
          <w:kern w:val="0"/>
          <w:sz w:val="44"/>
          <w:szCs w:val="44"/>
          <w:highlight w:val="none"/>
        </w:rPr>
      </w:pPr>
      <w:r>
        <w:rPr>
          <w:rFonts w:hint="eastAsia" w:ascii="方正小标宋简体" w:hAnsi="宋体" w:eastAsia="方正小标宋简体"/>
          <w:color w:val="auto"/>
          <w:kern w:val="0"/>
          <w:sz w:val="44"/>
          <w:szCs w:val="44"/>
          <w:highlight w:val="none"/>
        </w:rPr>
        <w:t>县十八届人大四次会议经费</w:t>
      </w:r>
    </w:p>
    <w:p w14:paraId="1AE72B09">
      <w:pPr>
        <w:spacing w:line="600" w:lineRule="exact"/>
        <w:jc w:val="center"/>
        <w:rPr>
          <w:rFonts w:ascii="方正小标宋简体" w:hAnsi="宋体" w:eastAsia="方正小标宋简体"/>
          <w:color w:val="auto"/>
          <w:kern w:val="0"/>
          <w:sz w:val="44"/>
          <w:szCs w:val="44"/>
          <w:highlight w:val="none"/>
          <w:lang w:val="zh-CN"/>
        </w:rPr>
      </w:pPr>
      <w:r>
        <w:rPr>
          <w:rFonts w:ascii="方正小标宋简体" w:hAnsi="宋体" w:eastAsia="方正小标宋简体"/>
          <w:color w:val="auto"/>
          <w:kern w:val="0"/>
          <w:sz w:val="44"/>
          <w:szCs w:val="44"/>
          <w:highlight w:val="none"/>
        </w:rPr>
        <w:t>2019</w:t>
      </w:r>
      <w:r>
        <w:rPr>
          <w:rFonts w:hint="eastAsia" w:ascii="方正小标宋简体" w:hAnsi="宋体" w:eastAsia="方正小标宋简体"/>
          <w:color w:val="auto"/>
          <w:kern w:val="0"/>
          <w:sz w:val="44"/>
          <w:szCs w:val="44"/>
          <w:highlight w:val="none"/>
        </w:rPr>
        <w:t>年</w:t>
      </w:r>
      <w:r>
        <w:rPr>
          <w:rFonts w:hint="eastAsia" w:ascii="方正小标宋简体" w:hAnsi="宋体" w:eastAsia="方正小标宋简体"/>
          <w:color w:val="auto"/>
          <w:kern w:val="0"/>
          <w:sz w:val="44"/>
          <w:szCs w:val="44"/>
          <w:highlight w:val="none"/>
          <w:lang w:val="zh-CN"/>
        </w:rPr>
        <w:t>绩效评价报告</w:t>
      </w:r>
    </w:p>
    <w:p w14:paraId="62E48CB3">
      <w:pPr>
        <w:spacing w:line="600" w:lineRule="exact"/>
        <w:rPr>
          <w:rFonts w:ascii="宋体"/>
          <w:color w:val="auto"/>
          <w:sz w:val="32"/>
          <w:szCs w:val="32"/>
          <w:highlight w:val="none"/>
          <w:lang w:val="zh-CN"/>
        </w:rPr>
      </w:pPr>
    </w:p>
    <w:p w14:paraId="33B979D8">
      <w:pPr>
        <w:adjustRightInd w:val="0"/>
        <w:snapToGrid w:val="0"/>
        <w:spacing w:line="600" w:lineRule="exact"/>
        <w:ind w:firstLine="720"/>
        <w:rPr>
          <w:rFonts w:ascii="黑体" w:hAnsi="宋体" w:eastAsia="黑体"/>
          <w:color w:val="auto"/>
          <w:sz w:val="32"/>
          <w:szCs w:val="32"/>
          <w:highlight w:val="none"/>
          <w:lang w:val="zh-CN"/>
        </w:rPr>
      </w:pPr>
      <w:r>
        <w:rPr>
          <w:rFonts w:hint="eastAsia" w:ascii="黑体" w:hAnsi="宋体" w:eastAsia="黑体"/>
          <w:color w:val="auto"/>
          <w:sz w:val="32"/>
          <w:szCs w:val="32"/>
          <w:highlight w:val="none"/>
        </w:rPr>
        <w:t>一、</w:t>
      </w:r>
      <w:r>
        <w:rPr>
          <w:rFonts w:hint="eastAsia" w:ascii="黑体" w:hAnsi="宋体" w:eastAsia="黑体"/>
          <w:color w:val="auto"/>
          <w:sz w:val="32"/>
          <w:szCs w:val="32"/>
          <w:highlight w:val="none"/>
          <w:lang w:val="zh-CN"/>
        </w:rPr>
        <w:t>项目概况</w:t>
      </w:r>
    </w:p>
    <w:p w14:paraId="51E85974">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楷体_GB2312" w:hAnsi="宋体" w:eastAsia="楷体_GB2312"/>
          <w:b/>
          <w:color w:val="auto"/>
          <w:sz w:val="32"/>
          <w:szCs w:val="32"/>
          <w:highlight w:val="none"/>
          <w:lang w:val="zh-CN"/>
        </w:rPr>
        <w:t>（一）项目基本情况。</w:t>
      </w:r>
    </w:p>
    <w:p w14:paraId="4C716D8A">
      <w:pPr>
        <w:widowControl/>
        <w:snapToGrid w:val="0"/>
        <w:spacing w:line="560" w:lineRule="exact"/>
        <w:ind w:firstLine="658"/>
        <w:rPr>
          <w:rFonts w:eastAsia="方正仿宋_GBK"/>
          <w:color w:val="auto"/>
          <w:sz w:val="33"/>
          <w:szCs w:val="33"/>
          <w:highlight w:val="none"/>
        </w:rPr>
      </w:pPr>
      <w:r>
        <w:rPr>
          <w:rFonts w:hint="eastAsia" w:ascii="仿宋_GB2312" w:hAnsi="宋体" w:eastAsia="仿宋_GB2312"/>
          <w:color w:val="auto"/>
          <w:sz w:val="32"/>
          <w:szCs w:val="32"/>
          <w:highlight w:val="none"/>
          <w:lang w:val="zh-CN"/>
        </w:rPr>
        <w:t>人民代表大会是人民行使国家权力的主要途径，根据宪法规定，全国人民代表大会和地方各级人民代表大会每年至少召开一次。2019年3月18日-21日，县十八届人大四次会议在米易县政务中心二楼会议室召开。会议主要议程为：</w:t>
      </w:r>
      <w:r>
        <w:rPr>
          <w:rFonts w:eastAsia="方正仿宋_GBK"/>
          <w:color w:val="auto"/>
          <w:sz w:val="33"/>
          <w:szCs w:val="33"/>
          <w:highlight w:val="none"/>
        </w:rPr>
        <w:t>1.</w:t>
      </w:r>
      <w:r>
        <w:rPr>
          <w:rFonts w:hint="eastAsia" w:eastAsia="方正仿宋_GBK"/>
          <w:color w:val="auto"/>
          <w:sz w:val="33"/>
          <w:szCs w:val="33"/>
          <w:highlight w:val="none"/>
        </w:rPr>
        <w:t>听取和审查米易县人民政府工作报告；</w:t>
      </w:r>
      <w:r>
        <w:rPr>
          <w:rFonts w:eastAsia="方正仿宋_GBK"/>
          <w:color w:val="auto"/>
          <w:sz w:val="33"/>
          <w:szCs w:val="33"/>
          <w:highlight w:val="none"/>
        </w:rPr>
        <w:t>2.</w:t>
      </w:r>
      <w:r>
        <w:rPr>
          <w:rFonts w:hint="eastAsia" w:eastAsia="方正仿宋_GBK"/>
          <w:color w:val="auto"/>
          <w:sz w:val="33"/>
          <w:szCs w:val="33"/>
          <w:highlight w:val="none"/>
        </w:rPr>
        <w:t>审查和批准米易县</w:t>
      </w:r>
      <w:r>
        <w:rPr>
          <w:rFonts w:eastAsia="方正仿宋_GBK"/>
          <w:color w:val="auto"/>
          <w:sz w:val="33"/>
          <w:szCs w:val="33"/>
          <w:highlight w:val="none"/>
        </w:rPr>
        <w:t>2018</w:t>
      </w:r>
      <w:r>
        <w:rPr>
          <w:rFonts w:hint="eastAsia" w:eastAsia="方正仿宋_GBK"/>
          <w:color w:val="auto"/>
          <w:sz w:val="33"/>
          <w:szCs w:val="33"/>
          <w:highlight w:val="none"/>
        </w:rPr>
        <w:t>年国民经济和社会发展计划执行情况及</w:t>
      </w:r>
      <w:r>
        <w:rPr>
          <w:rFonts w:eastAsia="方正仿宋_GBK"/>
          <w:color w:val="auto"/>
          <w:sz w:val="33"/>
          <w:szCs w:val="33"/>
          <w:highlight w:val="none"/>
        </w:rPr>
        <w:t>2019</w:t>
      </w:r>
      <w:r>
        <w:rPr>
          <w:rFonts w:hint="eastAsia" w:eastAsia="方正仿宋_GBK"/>
          <w:color w:val="auto"/>
          <w:sz w:val="33"/>
          <w:szCs w:val="33"/>
          <w:highlight w:val="none"/>
        </w:rPr>
        <w:t>年计划草案的报告；</w:t>
      </w:r>
      <w:r>
        <w:rPr>
          <w:rFonts w:eastAsia="方正仿宋_GBK"/>
          <w:color w:val="auto"/>
          <w:sz w:val="33"/>
          <w:szCs w:val="33"/>
          <w:highlight w:val="none"/>
        </w:rPr>
        <w:t>3.</w:t>
      </w:r>
      <w:r>
        <w:rPr>
          <w:rFonts w:hint="eastAsia" w:eastAsia="方正仿宋_GBK"/>
          <w:color w:val="auto"/>
          <w:sz w:val="33"/>
          <w:szCs w:val="33"/>
          <w:highlight w:val="none"/>
        </w:rPr>
        <w:t>审查米易县</w:t>
      </w:r>
      <w:r>
        <w:rPr>
          <w:rFonts w:eastAsia="方正仿宋_GBK"/>
          <w:color w:val="auto"/>
          <w:sz w:val="33"/>
          <w:szCs w:val="33"/>
          <w:highlight w:val="none"/>
        </w:rPr>
        <w:t>2018</w:t>
      </w:r>
      <w:r>
        <w:rPr>
          <w:rFonts w:hint="eastAsia" w:eastAsia="方正仿宋_GBK"/>
          <w:color w:val="auto"/>
          <w:sz w:val="33"/>
          <w:szCs w:val="33"/>
          <w:highlight w:val="none"/>
        </w:rPr>
        <w:t>年财政预算执行情况及</w:t>
      </w:r>
      <w:r>
        <w:rPr>
          <w:rFonts w:eastAsia="方正仿宋_GBK"/>
          <w:color w:val="auto"/>
          <w:sz w:val="33"/>
          <w:szCs w:val="33"/>
          <w:highlight w:val="none"/>
        </w:rPr>
        <w:t>2019</w:t>
      </w:r>
      <w:r>
        <w:rPr>
          <w:rFonts w:hint="eastAsia" w:eastAsia="方正仿宋_GBK"/>
          <w:color w:val="auto"/>
          <w:sz w:val="33"/>
          <w:szCs w:val="33"/>
          <w:highlight w:val="none"/>
        </w:rPr>
        <w:t>年财政预算草案的报告，批准</w:t>
      </w:r>
      <w:r>
        <w:rPr>
          <w:rFonts w:eastAsia="方正仿宋_GBK"/>
          <w:color w:val="auto"/>
          <w:sz w:val="33"/>
          <w:szCs w:val="33"/>
          <w:highlight w:val="none"/>
        </w:rPr>
        <w:t>2018</w:t>
      </w:r>
      <w:r>
        <w:rPr>
          <w:rFonts w:hint="eastAsia" w:eastAsia="方正仿宋_GBK"/>
          <w:color w:val="auto"/>
          <w:sz w:val="33"/>
          <w:szCs w:val="33"/>
          <w:highlight w:val="none"/>
        </w:rPr>
        <w:t>年县本级财政预算执行情况的报告和</w:t>
      </w:r>
      <w:r>
        <w:rPr>
          <w:rFonts w:eastAsia="方正仿宋_GBK"/>
          <w:color w:val="auto"/>
          <w:sz w:val="33"/>
          <w:szCs w:val="33"/>
          <w:highlight w:val="none"/>
        </w:rPr>
        <w:t>2019</w:t>
      </w:r>
      <w:r>
        <w:rPr>
          <w:rFonts w:hint="eastAsia" w:eastAsia="方正仿宋_GBK"/>
          <w:color w:val="auto"/>
          <w:sz w:val="33"/>
          <w:szCs w:val="33"/>
          <w:highlight w:val="none"/>
        </w:rPr>
        <w:t>年县本级财政预算；</w:t>
      </w:r>
      <w:r>
        <w:rPr>
          <w:rFonts w:eastAsia="方正仿宋_GBK"/>
          <w:color w:val="auto"/>
          <w:sz w:val="33"/>
          <w:szCs w:val="33"/>
          <w:highlight w:val="none"/>
        </w:rPr>
        <w:t>4.</w:t>
      </w:r>
      <w:r>
        <w:rPr>
          <w:rFonts w:hint="eastAsia" w:eastAsia="方正仿宋_GBK"/>
          <w:color w:val="auto"/>
          <w:sz w:val="33"/>
          <w:szCs w:val="33"/>
          <w:highlight w:val="none"/>
        </w:rPr>
        <w:t>听取和审查米易县人民代表大会常务委员会工作报告；</w:t>
      </w:r>
      <w:r>
        <w:rPr>
          <w:rFonts w:eastAsia="方正仿宋_GBK"/>
          <w:color w:val="auto"/>
          <w:sz w:val="33"/>
          <w:szCs w:val="33"/>
          <w:highlight w:val="none"/>
        </w:rPr>
        <w:t>5.</w:t>
      </w:r>
      <w:r>
        <w:rPr>
          <w:rFonts w:hint="eastAsia" w:eastAsia="方正仿宋_GBK"/>
          <w:color w:val="auto"/>
          <w:sz w:val="33"/>
          <w:szCs w:val="33"/>
          <w:highlight w:val="none"/>
        </w:rPr>
        <w:t>听取和审查米易县人民法院工作报告；</w:t>
      </w:r>
      <w:r>
        <w:rPr>
          <w:rFonts w:eastAsia="方正仿宋_GBK"/>
          <w:color w:val="auto"/>
          <w:sz w:val="33"/>
          <w:szCs w:val="33"/>
          <w:highlight w:val="none"/>
        </w:rPr>
        <w:t>6.</w:t>
      </w:r>
      <w:r>
        <w:rPr>
          <w:rFonts w:hint="eastAsia" w:eastAsia="方正仿宋_GBK"/>
          <w:color w:val="auto"/>
          <w:sz w:val="33"/>
          <w:szCs w:val="33"/>
          <w:highlight w:val="none"/>
        </w:rPr>
        <w:t>听取和审查米易县人民检察院工作报告；</w:t>
      </w:r>
      <w:r>
        <w:rPr>
          <w:rFonts w:eastAsia="方正仿宋_GBK"/>
          <w:color w:val="auto"/>
          <w:sz w:val="33"/>
          <w:szCs w:val="33"/>
          <w:highlight w:val="none"/>
        </w:rPr>
        <w:t>7.选举事项</w:t>
      </w:r>
      <w:r>
        <w:rPr>
          <w:rFonts w:hint="eastAsia" w:eastAsia="方正仿宋_GBK"/>
          <w:color w:val="auto"/>
          <w:sz w:val="33"/>
          <w:szCs w:val="33"/>
          <w:highlight w:val="none"/>
        </w:rPr>
        <w:t>。</w:t>
      </w:r>
    </w:p>
    <w:p w14:paraId="7BFCFE1A">
      <w:pPr>
        <w:adjustRightInd w:val="0"/>
        <w:snapToGrid w:val="0"/>
        <w:spacing w:line="600" w:lineRule="exact"/>
        <w:ind w:firstLine="720"/>
        <w:rPr>
          <w:rFonts w:ascii="仿宋_GB2312" w:hAnsi="宋体" w:eastAsia="仿宋_GB2312"/>
          <w:color w:val="auto"/>
          <w:sz w:val="32"/>
          <w:szCs w:val="32"/>
          <w:highlight w:val="none"/>
          <w:lang w:val="zh-CN"/>
        </w:rPr>
      </w:pPr>
      <w:r>
        <w:rPr>
          <w:rFonts w:hint="eastAsia" w:ascii="仿宋_GB2312" w:hAnsi="宋体" w:eastAsia="仿宋_GB2312"/>
          <w:color w:val="auto"/>
          <w:sz w:val="32"/>
          <w:szCs w:val="32"/>
          <w:highlight w:val="none"/>
          <w:lang w:val="zh-CN"/>
        </w:rPr>
        <w:t>根据人代会实际支出情况，设立本专项，本专项实际支出为26.10万元，批复指标文号为：米财资行</w:t>
      </w:r>
      <w:r>
        <w:rPr>
          <w:rFonts w:hint="eastAsia" w:ascii="宋体" w:hAnsi="宋体" w:cs="宋体"/>
          <w:color w:val="auto"/>
          <w:sz w:val="32"/>
          <w:szCs w:val="32"/>
          <w:highlight w:val="none"/>
          <w:lang w:val="zh-CN"/>
        </w:rPr>
        <w:t>﹝</w:t>
      </w:r>
      <w:r>
        <w:rPr>
          <w:rFonts w:hint="eastAsia" w:ascii="仿宋_GB2312" w:hAnsi="宋体" w:eastAsia="仿宋_GB2312"/>
          <w:color w:val="auto"/>
          <w:sz w:val="32"/>
          <w:szCs w:val="32"/>
          <w:highlight w:val="none"/>
          <w:lang w:val="zh-CN"/>
        </w:rPr>
        <w:t>2019</w:t>
      </w:r>
      <w:r>
        <w:rPr>
          <w:rFonts w:hint="eastAsia" w:ascii="宋体" w:hAnsi="宋体" w:cs="宋体"/>
          <w:color w:val="auto"/>
          <w:sz w:val="32"/>
          <w:szCs w:val="32"/>
          <w:highlight w:val="none"/>
          <w:lang w:val="zh-CN"/>
        </w:rPr>
        <w:t>﹞</w:t>
      </w:r>
      <w:r>
        <w:rPr>
          <w:rFonts w:hint="eastAsia" w:ascii="仿宋_GB2312" w:hAnsi="宋体" w:eastAsia="仿宋_GB2312"/>
          <w:color w:val="auto"/>
          <w:sz w:val="32"/>
          <w:szCs w:val="32"/>
          <w:highlight w:val="none"/>
          <w:lang w:val="zh-CN"/>
        </w:rPr>
        <w:t>2号。</w:t>
      </w:r>
    </w:p>
    <w:p w14:paraId="5CBAED30">
      <w:pPr>
        <w:adjustRightInd w:val="0"/>
        <w:snapToGrid w:val="0"/>
        <w:spacing w:line="600" w:lineRule="exact"/>
        <w:ind w:firstLine="720"/>
        <w:rPr>
          <w:rFonts w:ascii="仿宋_GB2312" w:hAnsi="宋体" w:eastAsia="仿宋_GB2312"/>
          <w:color w:val="auto"/>
          <w:sz w:val="32"/>
          <w:szCs w:val="32"/>
          <w:highlight w:val="none"/>
          <w:lang w:val="zh-CN"/>
        </w:rPr>
      </w:pPr>
      <w:r>
        <w:rPr>
          <w:rFonts w:hint="eastAsia" w:ascii="仿宋_GB2312" w:hAnsi="宋体" w:eastAsia="仿宋_GB2312"/>
          <w:color w:val="auto"/>
          <w:sz w:val="32"/>
          <w:szCs w:val="32"/>
          <w:highlight w:val="none"/>
          <w:lang w:val="zh-CN"/>
        </w:rPr>
        <w:t>资金根据单位职能职责，年度重点工作、工作计划，历年人大会议服务保障情况，充分保证人大会议各项职能工作的开展等因素进行测算。</w:t>
      </w:r>
    </w:p>
    <w:p w14:paraId="44FFE573">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楷体_GB2312" w:hAnsi="宋体" w:eastAsia="楷体_GB2312"/>
          <w:b/>
          <w:color w:val="auto"/>
          <w:sz w:val="32"/>
          <w:szCs w:val="32"/>
          <w:highlight w:val="none"/>
          <w:lang w:val="zh-CN"/>
        </w:rPr>
        <w:t>（二）项目绩效目标。</w:t>
      </w:r>
    </w:p>
    <w:p w14:paraId="1A92C5B8">
      <w:pPr>
        <w:adjustRightInd w:val="0"/>
        <w:snapToGrid w:val="0"/>
        <w:spacing w:line="600" w:lineRule="exact"/>
        <w:ind w:firstLine="720"/>
        <w:rPr>
          <w:rFonts w:ascii="仿宋_GB2312" w:hAnsi="楷体" w:eastAsia="仿宋_GB2312"/>
          <w:color w:val="auto"/>
          <w:sz w:val="32"/>
          <w:szCs w:val="32"/>
          <w:highlight w:val="none"/>
          <w:shd w:val="clear" w:color="auto" w:fill="FFFFFF"/>
        </w:rPr>
      </w:pPr>
      <w:r>
        <w:rPr>
          <w:rFonts w:hint="eastAsia" w:ascii="仿宋_GB2312" w:hAnsi="楷体" w:eastAsia="仿宋_GB2312"/>
          <w:color w:val="auto"/>
          <w:sz w:val="32"/>
          <w:szCs w:val="32"/>
          <w:highlight w:val="none"/>
          <w:shd w:val="clear" w:color="auto" w:fill="FFFFFF"/>
        </w:rPr>
        <w:t>1、按标准足额保障人代会相关会议费支出，确保人代会圆满完成。</w:t>
      </w:r>
    </w:p>
    <w:p w14:paraId="28EB308C">
      <w:pPr>
        <w:adjustRightInd w:val="0"/>
        <w:snapToGrid w:val="0"/>
        <w:spacing w:line="600" w:lineRule="exact"/>
        <w:ind w:firstLine="720"/>
        <w:rPr>
          <w:rFonts w:ascii="仿宋_GB2312" w:hAnsi="楷体" w:eastAsia="仿宋_GB2312"/>
          <w:color w:val="auto"/>
          <w:sz w:val="32"/>
          <w:szCs w:val="32"/>
          <w:highlight w:val="none"/>
          <w:shd w:val="clear" w:color="auto" w:fill="FFFFFF"/>
        </w:rPr>
      </w:pPr>
      <w:r>
        <w:rPr>
          <w:rFonts w:hint="eastAsia" w:ascii="仿宋_GB2312" w:hAnsi="楷体" w:eastAsia="仿宋_GB2312"/>
          <w:color w:val="auto"/>
          <w:sz w:val="32"/>
          <w:szCs w:val="32"/>
          <w:highlight w:val="none"/>
          <w:shd w:val="clear" w:color="auto" w:fill="FFFFFF"/>
        </w:rPr>
        <w:t>2、确保人代会期间的相关协调经费支出。</w:t>
      </w:r>
    </w:p>
    <w:p w14:paraId="732ECC71">
      <w:pPr>
        <w:adjustRightInd w:val="0"/>
        <w:snapToGrid w:val="0"/>
        <w:spacing w:line="600" w:lineRule="exact"/>
        <w:ind w:firstLine="720"/>
        <w:rPr>
          <w:rFonts w:ascii="仿宋_GB2312" w:hAnsi="楷体" w:eastAsia="仿宋_GB2312"/>
          <w:color w:val="auto"/>
          <w:sz w:val="32"/>
          <w:szCs w:val="32"/>
          <w:highlight w:val="none"/>
          <w:shd w:val="clear" w:color="auto" w:fill="FFFFFF"/>
        </w:rPr>
      </w:pPr>
      <w:r>
        <w:rPr>
          <w:rFonts w:hint="eastAsia" w:ascii="仿宋_GB2312" w:hAnsi="楷体" w:eastAsia="仿宋_GB2312"/>
          <w:color w:val="auto"/>
          <w:sz w:val="32"/>
          <w:szCs w:val="32"/>
          <w:highlight w:val="none"/>
          <w:shd w:val="clear" w:color="auto" w:fill="FFFFFF"/>
        </w:rPr>
        <w:t>3、确保人代会期间的交通费用支出。</w:t>
      </w:r>
    </w:p>
    <w:p w14:paraId="2128018A">
      <w:pPr>
        <w:adjustRightInd w:val="0"/>
        <w:snapToGrid w:val="0"/>
        <w:spacing w:line="600" w:lineRule="exact"/>
        <w:ind w:firstLine="720"/>
        <w:rPr>
          <w:rFonts w:ascii="仿宋_GB2312" w:hAnsi="楷体" w:eastAsia="仿宋_GB2312"/>
          <w:color w:val="auto"/>
          <w:sz w:val="32"/>
          <w:szCs w:val="32"/>
          <w:highlight w:val="none"/>
          <w:shd w:val="clear" w:color="auto" w:fill="FFFFFF"/>
        </w:rPr>
      </w:pPr>
      <w:r>
        <w:rPr>
          <w:rFonts w:hint="eastAsia" w:ascii="仿宋_GB2312" w:hAnsi="楷体" w:eastAsia="仿宋_GB2312"/>
          <w:color w:val="auto"/>
          <w:sz w:val="32"/>
          <w:szCs w:val="32"/>
          <w:highlight w:val="none"/>
          <w:shd w:val="clear" w:color="auto" w:fill="FFFFFF"/>
        </w:rPr>
        <w:t>4、确保人代会期间应急费用支出。</w:t>
      </w:r>
    </w:p>
    <w:p w14:paraId="108250AA">
      <w:pPr>
        <w:adjustRightInd w:val="0"/>
        <w:snapToGrid w:val="0"/>
        <w:spacing w:line="600" w:lineRule="exact"/>
        <w:ind w:firstLine="720"/>
        <w:rPr>
          <w:rFonts w:ascii="仿宋_GB2312" w:hAnsi="楷体" w:eastAsia="仿宋_GB2312"/>
          <w:color w:val="auto"/>
          <w:sz w:val="32"/>
          <w:szCs w:val="32"/>
          <w:highlight w:val="none"/>
          <w:shd w:val="clear" w:color="auto" w:fill="FFFFFF"/>
        </w:rPr>
      </w:pPr>
      <w:r>
        <w:rPr>
          <w:rFonts w:hint="eastAsia" w:ascii="仿宋_GB2312" w:hAnsi="楷体" w:eastAsia="仿宋_GB2312"/>
          <w:color w:val="auto"/>
          <w:sz w:val="32"/>
          <w:szCs w:val="32"/>
          <w:highlight w:val="none"/>
          <w:shd w:val="clear" w:color="auto" w:fill="FFFFFF"/>
        </w:rPr>
        <w:t>5、确保人代会的新闻宣传费用支出。</w:t>
      </w:r>
    </w:p>
    <w:p w14:paraId="0D0B28FA">
      <w:pPr>
        <w:adjustRightInd w:val="0"/>
        <w:snapToGrid w:val="0"/>
        <w:spacing w:line="600" w:lineRule="exact"/>
        <w:ind w:firstLine="720"/>
        <w:rPr>
          <w:rFonts w:ascii="仿宋_GB2312" w:hAnsi="宋体" w:eastAsia="仿宋_GB2312"/>
          <w:color w:val="auto"/>
          <w:sz w:val="32"/>
          <w:szCs w:val="32"/>
          <w:highlight w:val="none"/>
          <w:lang w:val="zh-CN"/>
        </w:rPr>
      </w:pPr>
      <w:r>
        <w:rPr>
          <w:rFonts w:hint="eastAsia" w:ascii="仿宋_GB2312" w:hAnsi="楷体" w:eastAsia="仿宋_GB2312"/>
          <w:color w:val="auto"/>
          <w:sz w:val="32"/>
          <w:szCs w:val="32"/>
          <w:highlight w:val="none"/>
          <w:shd w:val="clear" w:color="auto" w:fill="FFFFFF"/>
        </w:rPr>
        <w:t>6、通过经费保障，确保人代会各项议程顺利进行，确保会议达到预期效果。</w:t>
      </w:r>
    </w:p>
    <w:p w14:paraId="6BD6A26C">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楷体_GB2312" w:hAnsi="宋体" w:eastAsia="楷体_GB2312"/>
          <w:b/>
          <w:color w:val="auto"/>
          <w:sz w:val="32"/>
          <w:szCs w:val="32"/>
          <w:highlight w:val="none"/>
          <w:lang w:val="zh-CN"/>
        </w:rPr>
        <w:t>（三）项目自评步骤及方法。</w:t>
      </w:r>
    </w:p>
    <w:p w14:paraId="607B6399">
      <w:pPr>
        <w:adjustRightInd w:val="0"/>
        <w:snapToGrid w:val="0"/>
        <w:spacing w:line="600" w:lineRule="exact"/>
        <w:ind w:firstLine="720"/>
        <w:rPr>
          <w:rFonts w:ascii="仿宋_GB2312" w:hAnsi="楷体" w:eastAsia="仿宋_GB2312"/>
          <w:color w:val="auto"/>
          <w:sz w:val="32"/>
          <w:szCs w:val="32"/>
          <w:highlight w:val="none"/>
          <w:shd w:val="clear" w:color="auto" w:fill="FFFFFF"/>
        </w:rPr>
      </w:pPr>
      <w:r>
        <w:rPr>
          <w:rFonts w:ascii="仿宋_GB2312" w:hAnsi="楷体" w:eastAsia="仿宋_GB2312"/>
          <w:color w:val="auto"/>
          <w:sz w:val="32"/>
          <w:szCs w:val="32"/>
          <w:highlight w:val="none"/>
          <w:shd w:val="clear" w:color="auto" w:fill="FFFFFF"/>
        </w:rPr>
        <w:t>（一）前期准备：由</w:t>
      </w:r>
      <w:r>
        <w:rPr>
          <w:rFonts w:hint="eastAsia" w:ascii="仿宋_GB2312" w:hAnsi="楷体" w:eastAsia="仿宋_GB2312"/>
          <w:color w:val="auto"/>
          <w:sz w:val="32"/>
          <w:szCs w:val="32"/>
          <w:highlight w:val="none"/>
          <w:shd w:val="clear" w:color="auto" w:fill="FFFFFF"/>
        </w:rPr>
        <w:t>县</w:t>
      </w:r>
      <w:r>
        <w:rPr>
          <w:rFonts w:ascii="仿宋_GB2312" w:hAnsi="楷体" w:eastAsia="仿宋_GB2312"/>
          <w:color w:val="auto"/>
          <w:sz w:val="32"/>
          <w:szCs w:val="32"/>
          <w:highlight w:val="none"/>
          <w:shd w:val="clear" w:color="auto" w:fill="FFFFFF"/>
        </w:rPr>
        <w:t>人大常委会办公室牵头组织开展评价工作，提交相关资料，为评价提供充实的依据。</w:t>
      </w:r>
      <w:r>
        <w:rPr>
          <w:rFonts w:ascii="仿宋_GB2312" w:hAnsi="楷体" w:eastAsia="仿宋_GB2312"/>
          <w:color w:val="auto"/>
          <w:sz w:val="32"/>
          <w:szCs w:val="32"/>
          <w:highlight w:val="none"/>
          <w:shd w:val="clear" w:color="auto" w:fill="FFFFFF"/>
        </w:rPr>
        <w:br w:type="textWrapping"/>
      </w:r>
      <w:r>
        <w:rPr>
          <w:rFonts w:ascii="仿宋_GB2312" w:hAnsi="楷体" w:eastAsia="仿宋_GB2312"/>
          <w:color w:val="auto"/>
          <w:sz w:val="32"/>
          <w:szCs w:val="32"/>
          <w:highlight w:val="none"/>
          <w:shd w:val="clear" w:color="auto" w:fill="FFFFFF"/>
        </w:rPr>
        <w:t>　　（二）组织实施：各</w:t>
      </w:r>
      <w:r>
        <w:rPr>
          <w:rFonts w:hint="eastAsia" w:ascii="仿宋_GB2312" w:hAnsi="楷体" w:eastAsia="仿宋_GB2312"/>
          <w:color w:val="auto"/>
          <w:sz w:val="32"/>
          <w:szCs w:val="32"/>
          <w:highlight w:val="none"/>
          <w:shd w:val="clear" w:color="auto" w:fill="FFFFFF"/>
        </w:rPr>
        <w:t>委室</w:t>
      </w:r>
      <w:r>
        <w:rPr>
          <w:rFonts w:ascii="仿宋_GB2312" w:hAnsi="楷体" w:eastAsia="仿宋_GB2312"/>
          <w:color w:val="auto"/>
          <w:sz w:val="32"/>
          <w:szCs w:val="32"/>
          <w:highlight w:val="none"/>
          <w:shd w:val="clear" w:color="auto" w:fill="FFFFFF"/>
        </w:rPr>
        <w:t>按要求提交年初的计划文本和年终的工作报告，并根据各项目支出的有关绩效情况，填写《绩效目标自评表》，初步形成自评报告。</w:t>
      </w:r>
      <w:r>
        <w:rPr>
          <w:rFonts w:hint="eastAsia" w:ascii="仿宋_GB2312" w:hAnsi="楷体" w:eastAsia="仿宋_GB2312"/>
          <w:color w:val="auto"/>
          <w:sz w:val="32"/>
          <w:szCs w:val="32"/>
          <w:highlight w:val="none"/>
          <w:shd w:val="clear" w:color="auto" w:fill="FFFFFF"/>
        </w:rPr>
        <w:t>县</w:t>
      </w:r>
      <w:r>
        <w:rPr>
          <w:rFonts w:ascii="仿宋_GB2312" w:hAnsi="楷体" w:eastAsia="仿宋_GB2312"/>
          <w:color w:val="auto"/>
          <w:sz w:val="32"/>
          <w:szCs w:val="32"/>
          <w:highlight w:val="none"/>
          <w:shd w:val="clear" w:color="auto" w:fill="FFFFFF"/>
        </w:rPr>
        <w:t>人大常委会办公室在</w:t>
      </w:r>
      <w:r>
        <w:rPr>
          <w:rFonts w:hint="eastAsia" w:ascii="仿宋_GB2312" w:hAnsi="楷体" w:eastAsia="仿宋_GB2312"/>
          <w:color w:val="auto"/>
          <w:sz w:val="32"/>
          <w:szCs w:val="32"/>
          <w:highlight w:val="none"/>
          <w:shd w:val="clear" w:color="auto" w:fill="FFFFFF"/>
        </w:rPr>
        <w:t>各委室</w:t>
      </w:r>
      <w:r>
        <w:rPr>
          <w:rFonts w:ascii="仿宋_GB2312" w:hAnsi="楷体" w:eastAsia="仿宋_GB2312"/>
          <w:color w:val="auto"/>
          <w:sz w:val="32"/>
          <w:szCs w:val="32"/>
          <w:highlight w:val="none"/>
          <w:shd w:val="clear" w:color="auto" w:fill="FFFFFF"/>
        </w:rPr>
        <w:t>自评报告的基础上，结合项目实施情况展开评价。最后分析原因，提出建议，形成最终自评价报告。</w:t>
      </w:r>
      <w:r>
        <w:rPr>
          <w:rFonts w:ascii="仿宋_GB2312" w:hAnsi="楷体" w:eastAsia="仿宋_GB2312"/>
          <w:color w:val="auto"/>
          <w:sz w:val="32"/>
          <w:szCs w:val="32"/>
          <w:highlight w:val="none"/>
          <w:shd w:val="clear" w:color="auto" w:fill="FFFFFF"/>
        </w:rPr>
        <w:br w:type="textWrapping"/>
      </w:r>
      <w:r>
        <w:rPr>
          <w:rFonts w:ascii="仿宋_GB2312" w:hAnsi="楷体" w:eastAsia="仿宋_GB2312"/>
          <w:color w:val="auto"/>
          <w:sz w:val="32"/>
          <w:szCs w:val="32"/>
          <w:highlight w:val="none"/>
          <w:shd w:val="clear" w:color="auto" w:fill="FFFFFF"/>
        </w:rPr>
        <w:t>　　（三）分析评价：此次预算绩效评价是加强机关财务管理、保证资金安全性和效益性的重要抓手，对照年初确定的绩效目标各项任务，加强项目和资金管理，确保资金使用合规合法，促进工作效率提高，确保专项资金绩效评价工作达到预期目的。</w:t>
      </w:r>
    </w:p>
    <w:p w14:paraId="3DE3108C">
      <w:pPr>
        <w:adjustRightInd w:val="0"/>
        <w:snapToGrid w:val="0"/>
        <w:spacing w:line="600" w:lineRule="exact"/>
        <w:ind w:firstLine="720"/>
        <w:rPr>
          <w:rFonts w:ascii="黑体" w:hAnsi="宋体" w:eastAsia="黑体"/>
          <w:color w:val="auto"/>
          <w:sz w:val="32"/>
          <w:szCs w:val="32"/>
          <w:highlight w:val="none"/>
        </w:rPr>
      </w:pPr>
      <w:r>
        <w:rPr>
          <w:rFonts w:hint="eastAsia" w:ascii="黑体" w:hAnsi="宋体" w:eastAsia="黑体"/>
          <w:color w:val="auto"/>
          <w:sz w:val="32"/>
          <w:szCs w:val="32"/>
          <w:highlight w:val="none"/>
        </w:rPr>
        <w:t>二、项目资金申报及使用情况</w:t>
      </w:r>
    </w:p>
    <w:p w14:paraId="68161392">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楷体_GB2312" w:hAnsi="宋体" w:eastAsia="楷体_GB2312"/>
          <w:b/>
          <w:color w:val="auto"/>
          <w:sz w:val="32"/>
          <w:szCs w:val="32"/>
          <w:highlight w:val="none"/>
          <w:lang w:val="zh-CN"/>
        </w:rPr>
        <w:t>（一）项目资金申报及批复情况。</w:t>
      </w:r>
    </w:p>
    <w:p w14:paraId="74B893AD">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仿宋_GB2312" w:hAnsi="宋体" w:eastAsia="仿宋_GB2312"/>
          <w:color w:val="auto"/>
          <w:sz w:val="32"/>
          <w:szCs w:val="32"/>
          <w:highlight w:val="none"/>
          <w:lang w:val="zh-CN"/>
        </w:rPr>
        <w:t>2018年12月，《米易县人大常委会办公室关于解决县十八届人大四次会议经费的请示》（米人办</w:t>
      </w:r>
      <w:r>
        <w:rPr>
          <w:rFonts w:hint="eastAsia" w:ascii="宋体" w:hAnsi="宋体" w:cs="宋体"/>
          <w:color w:val="auto"/>
          <w:sz w:val="32"/>
          <w:szCs w:val="32"/>
          <w:highlight w:val="none"/>
          <w:lang w:val="zh-CN"/>
        </w:rPr>
        <w:t>﹝</w:t>
      </w:r>
      <w:r>
        <w:rPr>
          <w:rFonts w:hint="eastAsia" w:ascii="仿宋_GB2312" w:hAnsi="宋体" w:eastAsia="仿宋_GB2312"/>
          <w:color w:val="auto"/>
          <w:sz w:val="32"/>
          <w:szCs w:val="32"/>
          <w:highlight w:val="none"/>
          <w:lang w:val="zh-CN"/>
        </w:rPr>
        <w:t>2018</w:t>
      </w:r>
      <w:r>
        <w:rPr>
          <w:rFonts w:hint="eastAsia" w:ascii="宋体" w:hAnsi="宋体" w:cs="宋体"/>
          <w:color w:val="auto"/>
          <w:sz w:val="32"/>
          <w:szCs w:val="32"/>
          <w:highlight w:val="none"/>
          <w:lang w:val="zh-CN"/>
        </w:rPr>
        <w:t>﹞</w:t>
      </w:r>
      <w:r>
        <w:rPr>
          <w:rFonts w:hint="eastAsia" w:ascii="仿宋_GB2312" w:hAnsi="宋体" w:eastAsia="仿宋_GB2312"/>
          <w:color w:val="auto"/>
          <w:sz w:val="32"/>
          <w:szCs w:val="32"/>
          <w:highlight w:val="none"/>
          <w:lang w:val="zh-CN"/>
        </w:rPr>
        <w:t>62号）资金文件上报县政府，经县政府同意并批复，送县财政局，根据米财资行</w:t>
      </w:r>
      <w:r>
        <w:rPr>
          <w:rFonts w:hint="eastAsia" w:ascii="宋体" w:hAnsi="宋体" w:cs="宋体"/>
          <w:color w:val="auto"/>
          <w:sz w:val="32"/>
          <w:szCs w:val="32"/>
          <w:highlight w:val="none"/>
          <w:lang w:val="zh-CN"/>
        </w:rPr>
        <w:t>﹝</w:t>
      </w:r>
      <w:r>
        <w:rPr>
          <w:rFonts w:hint="eastAsia" w:ascii="仿宋_GB2312" w:hAnsi="宋体" w:eastAsia="仿宋_GB2312"/>
          <w:color w:val="auto"/>
          <w:sz w:val="32"/>
          <w:szCs w:val="32"/>
          <w:highlight w:val="none"/>
          <w:lang w:val="zh-CN"/>
        </w:rPr>
        <w:t>2019</w:t>
      </w:r>
      <w:r>
        <w:rPr>
          <w:rFonts w:hint="eastAsia" w:ascii="宋体" w:hAnsi="宋体" w:cs="宋体"/>
          <w:color w:val="auto"/>
          <w:sz w:val="32"/>
          <w:szCs w:val="32"/>
          <w:highlight w:val="none"/>
          <w:lang w:val="zh-CN"/>
        </w:rPr>
        <w:t>﹞</w:t>
      </w:r>
      <w:r>
        <w:rPr>
          <w:rFonts w:hint="eastAsia" w:ascii="仿宋_GB2312" w:hAnsi="宋体" w:eastAsia="仿宋_GB2312"/>
          <w:color w:val="auto"/>
          <w:sz w:val="32"/>
          <w:szCs w:val="32"/>
          <w:highlight w:val="none"/>
          <w:lang w:val="zh-CN"/>
        </w:rPr>
        <w:t>2号拨付县十八届人大四次会议经费26.10万元。</w:t>
      </w:r>
    </w:p>
    <w:p w14:paraId="4C8BB473">
      <w:pPr>
        <w:adjustRightInd w:val="0"/>
        <w:snapToGrid w:val="0"/>
        <w:spacing w:line="600" w:lineRule="exact"/>
        <w:ind w:firstLine="720"/>
        <w:rPr>
          <w:rFonts w:ascii="仿宋_GB2312" w:hAnsi="宋体" w:eastAsia="仿宋_GB2312"/>
          <w:color w:val="auto"/>
          <w:sz w:val="32"/>
          <w:szCs w:val="32"/>
          <w:highlight w:val="none"/>
          <w:lang w:val="zh-CN"/>
        </w:rPr>
      </w:pPr>
      <w:r>
        <w:rPr>
          <w:rFonts w:hint="eastAsia" w:ascii="楷体_GB2312" w:hAnsi="宋体" w:eastAsia="楷体_GB2312"/>
          <w:b/>
          <w:color w:val="auto"/>
          <w:sz w:val="32"/>
          <w:szCs w:val="32"/>
          <w:highlight w:val="none"/>
          <w:lang w:val="zh-CN"/>
        </w:rPr>
        <w:t>（二）资金计划、到位及使用情况。</w:t>
      </w:r>
    </w:p>
    <w:p w14:paraId="0A77CD3D">
      <w:pPr>
        <w:adjustRightInd w:val="0"/>
        <w:snapToGrid w:val="0"/>
        <w:spacing w:line="600" w:lineRule="exact"/>
        <w:ind w:firstLine="720"/>
        <w:rPr>
          <w:rFonts w:ascii="仿宋_GB2312" w:hAnsi="宋体" w:eastAsia="仿宋_GB2312"/>
          <w:color w:val="auto"/>
          <w:sz w:val="32"/>
          <w:szCs w:val="32"/>
          <w:highlight w:val="none"/>
          <w:lang w:val="zh-CN"/>
        </w:rPr>
      </w:pPr>
      <w:r>
        <w:rPr>
          <w:rFonts w:ascii="楷体_GB2312" w:hAnsi="宋体" w:eastAsia="楷体_GB2312"/>
          <w:color w:val="auto"/>
          <w:sz w:val="32"/>
          <w:szCs w:val="32"/>
          <w:highlight w:val="none"/>
          <w:lang w:val="zh-CN"/>
        </w:rPr>
        <w:t>1</w:t>
      </w:r>
      <w:r>
        <w:rPr>
          <w:rFonts w:hint="eastAsia" w:ascii="楷体_GB2312" w:hAnsi="宋体" w:eastAsia="楷体_GB2312"/>
          <w:color w:val="auto"/>
          <w:sz w:val="32"/>
          <w:szCs w:val="32"/>
          <w:highlight w:val="none"/>
          <w:lang w:val="zh-CN"/>
        </w:rPr>
        <w:t>.资金计划。</w:t>
      </w:r>
      <w:r>
        <w:rPr>
          <w:rFonts w:hint="eastAsia" w:ascii="仿宋_GB2312" w:hAnsi="宋体" w:eastAsia="仿宋_GB2312"/>
          <w:color w:val="auto"/>
          <w:sz w:val="32"/>
          <w:szCs w:val="32"/>
          <w:highlight w:val="none"/>
          <w:lang w:val="zh-CN"/>
        </w:rPr>
        <w:t>县十八届人大四次会议经费为26.10万元，全部由县财政资金解决。</w:t>
      </w:r>
    </w:p>
    <w:p w14:paraId="70718A8A">
      <w:pPr>
        <w:adjustRightInd w:val="0"/>
        <w:snapToGrid w:val="0"/>
        <w:spacing w:line="600" w:lineRule="exact"/>
        <w:ind w:firstLine="720"/>
        <w:rPr>
          <w:rFonts w:ascii="仿宋_GB2312" w:hAnsi="宋体" w:eastAsia="仿宋_GB2312"/>
          <w:color w:val="auto"/>
          <w:sz w:val="32"/>
          <w:szCs w:val="32"/>
          <w:highlight w:val="none"/>
          <w:lang w:val="zh-CN"/>
        </w:rPr>
      </w:pPr>
      <w:r>
        <w:rPr>
          <w:rFonts w:ascii="楷体_GB2312" w:hAnsi="宋体" w:eastAsia="楷体_GB2312"/>
          <w:color w:val="auto"/>
          <w:sz w:val="32"/>
          <w:szCs w:val="32"/>
          <w:highlight w:val="none"/>
          <w:lang w:val="zh-CN"/>
        </w:rPr>
        <w:t>2</w:t>
      </w:r>
      <w:r>
        <w:rPr>
          <w:rFonts w:hint="eastAsia" w:ascii="楷体_GB2312" w:hAnsi="宋体" w:eastAsia="楷体_GB2312"/>
          <w:color w:val="auto"/>
          <w:sz w:val="32"/>
          <w:szCs w:val="32"/>
          <w:highlight w:val="none"/>
          <w:lang w:val="zh-CN"/>
        </w:rPr>
        <w:t>.资金到位。</w:t>
      </w:r>
      <w:r>
        <w:rPr>
          <w:rFonts w:hint="eastAsia" w:ascii="仿宋_GB2312" w:hAnsi="宋体" w:eastAsia="仿宋_GB2312"/>
          <w:color w:val="auto"/>
          <w:sz w:val="32"/>
          <w:szCs w:val="32"/>
          <w:highlight w:val="none"/>
          <w:lang w:val="zh-CN"/>
        </w:rPr>
        <w:t>2019年1月3日，县十八届人大四次会议经费全部到位。县人大常委会办公室按照项目资金加强管理，所拨款项全部用于本次会议。</w:t>
      </w:r>
    </w:p>
    <w:p w14:paraId="6A924D7C">
      <w:pPr>
        <w:adjustRightInd w:val="0"/>
        <w:snapToGrid w:val="0"/>
        <w:spacing w:line="600" w:lineRule="exact"/>
        <w:ind w:firstLine="720"/>
        <w:rPr>
          <w:rFonts w:ascii="仿宋_GB2312" w:hAnsi="宋体" w:eastAsia="仿宋_GB2312"/>
          <w:color w:val="auto"/>
          <w:sz w:val="32"/>
          <w:szCs w:val="32"/>
          <w:highlight w:val="none"/>
          <w:lang w:val="zh-CN"/>
        </w:rPr>
      </w:pPr>
      <w:r>
        <w:rPr>
          <w:rFonts w:ascii="楷体_GB2312" w:hAnsi="宋体" w:eastAsia="楷体_GB2312"/>
          <w:color w:val="auto"/>
          <w:sz w:val="32"/>
          <w:szCs w:val="32"/>
          <w:highlight w:val="none"/>
          <w:lang w:val="zh-CN"/>
        </w:rPr>
        <w:t>3</w:t>
      </w:r>
      <w:r>
        <w:rPr>
          <w:rFonts w:hint="eastAsia" w:ascii="楷体_GB2312" w:hAnsi="宋体" w:eastAsia="楷体_GB2312"/>
          <w:color w:val="auto"/>
          <w:sz w:val="32"/>
          <w:szCs w:val="32"/>
          <w:highlight w:val="none"/>
          <w:lang w:val="zh-CN"/>
        </w:rPr>
        <w:t>.资金使用。</w:t>
      </w:r>
      <w:r>
        <w:rPr>
          <w:rFonts w:hint="eastAsia" w:ascii="仿宋_GB2312" w:hAnsi="宋体" w:eastAsia="仿宋_GB2312"/>
          <w:color w:val="auto"/>
          <w:sz w:val="32"/>
          <w:szCs w:val="32"/>
          <w:highlight w:val="none"/>
          <w:lang w:val="zh-CN"/>
        </w:rPr>
        <w:t>主要用于县人大代表、列席人员和邀请人员的误餐补助、农村代表食宿、误工补贴，以及会议期间所必需的办公用品、展板广告制作费等。</w:t>
      </w:r>
    </w:p>
    <w:p w14:paraId="49BA83D7">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楷体_GB2312" w:hAnsi="宋体" w:eastAsia="楷体_GB2312"/>
          <w:b/>
          <w:color w:val="auto"/>
          <w:sz w:val="32"/>
          <w:szCs w:val="32"/>
          <w:highlight w:val="none"/>
          <w:lang w:val="zh-CN"/>
        </w:rPr>
        <w:t>（三）项目财务管理情况。</w:t>
      </w:r>
    </w:p>
    <w:p w14:paraId="78826AD1">
      <w:pPr>
        <w:adjustRightInd w:val="0"/>
        <w:snapToGrid w:val="0"/>
        <w:spacing w:line="600" w:lineRule="exact"/>
        <w:ind w:firstLine="720"/>
        <w:rPr>
          <w:rFonts w:hint="eastAsia" w:ascii="仿宋_GB2312" w:hAnsi="宋体" w:eastAsia="仿宋_GB2312"/>
          <w:color w:val="auto"/>
          <w:sz w:val="32"/>
          <w:szCs w:val="32"/>
          <w:highlight w:val="none"/>
          <w:lang w:val="zh-CN"/>
        </w:rPr>
      </w:pPr>
      <w:r>
        <w:rPr>
          <w:rFonts w:hint="eastAsia" w:ascii="楷体_GB2312" w:hAnsi="宋体" w:eastAsia="楷体_GB2312"/>
          <w:color w:val="auto"/>
          <w:sz w:val="32"/>
          <w:szCs w:val="32"/>
          <w:highlight w:val="none"/>
          <w:lang w:val="zh-CN"/>
        </w:rPr>
        <w:t>1.制度建设及执行情况。</w:t>
      </w:r>
      <w:r>
        <w:rPr>
          <w:rFonts w:hint="eastAsia" w:ascii="仿宋_GB2312" w:hAnsi="宋体" w:eastAsia="仿宋_GB2312"/>
          <w:color w:val="auto"/>
          <w:sz w:val="32"/>
          <w:szCs w:val="32"/>
          <w:highlight w:val="none"/>
          <w:lang w:val="zh-CN"/>
        </w:rPr>
        <w:t>严格执行县财政局、县人大常委会办公室各项财经管理规定及办法，根据《中华人民共和国会计法》、《现金管理暂行条例》、《行政单位会计制度》及行政事业单位内部控制相关规定，建立完善了内控相关制度，严格管理机关财务工作及资金存放管理等工作，其内容符合现行国家有关财经法规制度。坚持以实际发生的经济活动的原始凭证为依据，对原始凭证进行审核，并根据审核无误的原始凭证编制记账凭证。各项原始凭证、记账凭证填制及时、内容完整、字迹清晰、并经有关责任人签章、复核。会计凭证与所附原始单据相符，确保账务处理的合法性、合理性、规范性和正确性，严格执行会计核算制度。</w:t>
      </w:r>
    </w:p>
    <w:p w14:paraId="1B2F2DC7">
      <w:pPr>
        <w:adjustRightInd w:val="0"/>
        <w:snapToGrid w:val="0"/>
        <w:spacing w:line="600" w:lineRule="exact"/>
        <w:ind w:firstLine="720"/>
        <w:rPr>
          <w:rFonts w:hint="eastAsia" w:ascii="仿宋_GB2312" w:hAnsi="宋体" w:eastAsia="仿宋_GB2312"/>
          <w:color w:val="auto"/>
          <w:sz w:val="32"/>
          <w:szCs w:val="32"/>
          <w:highlight w:val="none"/>
          <w:lang w:val="zh-CN"/>
        </w:rPr>
      </w:pPr>
      <w:r>
        <w:rPr>
          <w:rFonts w:hint="eastAsia" w:ascii="楷体_GB2312" w:hAnsi="宋体" w:eastAsia="楷体_GB2312"/>
          <w:color w:val="auto"/>
          <w:sz w:val="32"/>
          <w:szCs w:val="32"/>
          <w:highlight w:val="none"/>
          <w:lang w:val="zh-CN"/>
        </w:rPr>
        <w:t>2.资金使用情况。</w:t>
      </w:r>
      <w:r>
        <w:rPr>
          <w:rFonts w:hint="eastAsia" w:ascii="仿宋_GB2312" w:hAnsi="宋体" w:eastAsia="仿宋_GB2312"/>
          <w:color w:val="auto"/>
          <w:sz w:val="32"/>
          <w:szCs w:val="32"/>
          <w:highlight w:val="none"/>
          <w:lang w:val="zh-CN"/>
        </w:rPr>
        <w:t>2019年县人大常委会办公室项目资金支出情况良好，为县十八届人大四次会议提供了资金保障，项目资金的使用合法合规，不存在截留、挤占、挪用专项资金等情况，资金开支范围、标准及支付进度等均符合规定，支付依据充分，会计核算正确规范，资金使用范围与预算相符。</w:t>
      </w:r>
    </w:p>
    <w:p w14:paraId="1641832B">
      <w:pPr>
        <w:adjustRightInd w:val="0"/>
        <w:snapToGrid w:val="0"/>
        <w:spacing w:line="600" w:lineRule="exact"/>
        <w:ind w:firstLine="720"/>
        <w:rPr>
          <w:rFonts w:ascii="黑体" w:hAnsi="宋体" w:eastAsia="黑体"/>
          <w:color w:val="auto"/>
          <w:sz w:val="32"/>
          <w:szCs w:val="32"/>
          <w:highlight w:val="none"/>
        </w:rPr>
      </w:pPr>
      <w:r>
        <w:rPr>
          <w:rFonts w:hint="eastAsia" w:ascii="黑体" w:hAnsi="宋体" w:eastAsia="黑体"/>
          <w:color w:val="auto"/>
          <w:sz w:val="32"/>
          <w:szCs w:val="32"/>
          <w:highlight w:val="none"/>
        </w:rPr>
        <w:t>三、项目实施及管理情况</w:t>
      </w:r>
    </w:p>
    <w:p w14:paraId="78547CC0">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楷体_GB2312" w:hAnsi="宋体" w:eastAsia="楷体_GB2312"/>
          <w:b/>
          <w:color w:val="auto"/>
          <w:sz w:val="32"/>
          <w:szCs w:val="32"/>
          <w:highlight w:val="none"/>
          <w:lang w:val="zh-CN"/>
        </w:rPr>
        <w:t>（一）项目组织架构及实施流程。</w:t>
      </w:r>
    </w:p>
    <w:p w14:paraId="0FB88EE3">
      <w:pPr>
        <w:adjustRightInd w:val="0"/>
        <w:snapToGrid w:val="0"/>
        <w:spacing w:line="600" w:lineRule="exact"/>
        <w:ind w:firstLine="720"/>
        <w:rPr>
          <w:rFonts w:ascii="仿宋_GB2312" w:hAnsi="宋体" w:eastAsia="仿宋_GB2312"/>
          <w:color w:val="auto"/>
          <w:sz w:val="32"/>
          <w:szCs w:val="32"/>
          <w:highlight w:val="none"/>
          <w:lang w:val="zh-CN"/>
        </w:rPr>
      </w:pPr>
      <w:r>
        <w:rPr>
          <w:rFonts w:hint="eastAsia" w:ascii="仿宋_GB2312" w:hAnsi="宋体" w:eastAsia="仿宋_GB2312"/>
          <w:color w:val="auto"/>
          <w:sz w:val="32"/>
          <w:szCs w:val="32"/>
          <w:highlight w:val="none"/>
          <w:lang w:val="zh-CN"/>
        </w:rPr>
        <w:t>该项目由县人大常委会办公室按照相关程序和管理办法实施，并由财务室统一监督核查，项目开展情况和结果向县人大常委会办公室负责报告，在执行过程中，通过程序规范，监管合理，有效杜绝了在项目执行过程中的违法违纪问题。</w:t>
      </w:r>
    </w:p>
    <w:p w14:paraId="35E516EB">
      <w:pPr>
        <w:adjustRightInd w:val="0"/>
        <w:snapToGrid w:val="0"/>
        <w:spacing w:line="600" w:lineRule="exact"/>
        <w:ind w:firstLine="720"/>
        <w:rPr>
          <w:rFonts w:ascii="仿宋_GB2312" w:hAnsi="宋体" w:eastAsia="仿宋_GB2312"/>
          <w:color w:val="auto"/>
          <w:sz w:val="32"/>
          <w:szCs w:val="32"/>
          <w:highlight w:val="none"/>
          <w:lang w:val="zh-CN"/>
        </w:rPr>
      </w:pPr>
      <w:r>
        <w:rPr>
          <w:rFonts w:hint="eastAsia" w:ascii="楷体_GB2312" w:hAnsi="宋体" w:eastAsia="楷体_GB2312"/>
          <w:b/>
          <w:color w:val="auto"/>
          <w:sz w:val="32"/>
          <w:szCs w:val="32"/>
          <w:highlight w:val="none"/>
          <w:lang w:val="zh-CN"/>
        </w:rPr>
        <w:t>（二）项目管理情况。</w:t>
      </w:r>
    </w:p>
    <w:p w14:paraId="10CFA32F">
      <w:pPr>
        <w:adjustRightInd w:val="0"/>
        <w:snapToGrid w:val="0"/>
        <w:spacing w:line="600" w:lineRule="exact"/>
        <w:ind w:firstLine="720"/>
        <w:rPr>
          <w:rFonts w:ascii="仿宋_GB2312" w:hAnsi="宋体" w:eastAsia="仿宋_GB2312"/>
          <w:color w:val="auto"/>
          <w:sz w:val="32"/>
          <w:szCs w:val="32"/>
          <w:highlight w:val="none"/>
          <w:lang w:val="zh-CN"/>
        </w:rPr>
      </w:pPr>
      <w:r>
        <w:rPr>
          <w:rFonts w:hint="eastAsia" w:ascii="仿宋_GB2312" w:hAnsi="宋体" w:eastAsia="仿宋_GB2312"/>
          <w:color w:val="auto"/>
          <w:sz w:val="32"/>
          <w:szCs w:val="32"/>
          <w:highlight w:val="none"/>
          <w:lang w:val="en-US" w:eastAsia="zh-CN"/>
        </w:rPr>
        <w:t>严格</w:t>
      </w:r>
      <w:r>
        <w:rPr>
          <w:rFonts w:hint="eastAsia" w:ascii="仿宋_GB2312" w:hAnsi="宋体" w:eastAsia="仿宋_GB2312"/>
          <w:color w:val="auto"/>
          <w:sz w:val="32"/>
          <w:szCs w:val="32"/>
          <w:highlight w:val="none"/>
          <w:lang w:val="zh-CN"/>
        </w:rPr>
        <w:t>按照相关财务制度，严格审核，规范执行，在相关过程结算过程中，严格执行财务管理制度，并按要求报送县财政进行审核，无违规违法问题存在。</w:t>
      </w:r>
    </w:p>
    <w:p w14:paraId="5DAD78F6">
      <w:pPr>
        <w:adjustRightInd w:val="0"/>
        <w:snapToGrid w:val="0"/>
        <w:spacing w:line="600" w:lineRule="exact"/>
        <w:ind w:firstLine="720"/>
        <w:rPr>
          <w:rFonts w:ascii="仿宋_GB2312" w:hAnsi="宋体" w:eastAsia="仿宋_GB2312"/>
          <w:color w:val="auto"/>
          <w:sz w:val="32"/>
          <w:szCs w:val="32"/>
          <w:highlight w:val="none"/>
          <w:lang w:val="zh-CN"/>
        </w:rPr>
      </w:pPr>
      <w:r>
        <w:rPr>
          <w:rFonts w:hint="eastAsia" w:ascii="黑体" w:hAnsi="宋体" w:eastAsia="黑体"/>
          <w:color w:val="auto"/>
          <w:sz w:val="32"/>
          <w:szCs w:val="32"/>
          <w:highlight w:val="none"/>
        </w:rPr>
        <w:t>四、项目绩效情况</w:t>
      </w:r>
      <w:r>
        <w:rPr>
          <w:rFonts w:ascii="仿宋_GB2312" w:hAnsi="宋体" w:eastAsia="仿宋_GB2312"/>
          <w:color w:val="auto"/>
          <w:sz w:val="32"/>
          <w:szCs w:val="32"/>
          <w:highlight w:val="none"/>
          <w:lang w:val="zh-CN"/>
        </w:rPr>
        <w:tab/>
      </w:r>
    </w:p>
    <w:p w14:paraId="1F400CDB">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楷体_GB2312" w:hAnsi="宋体" w:eastAsia="楷体_GB2312"/>
          <w:b/>
          <w:color w:val="auto"/>
          <w:sz w:val="32"/>
          <w:szCs w:val="32"/>
          <w:highlight w:val="none"/>
          <w:lang w:val="zh-CN"/>
        </w:rPr>
        <w:t>（一）项目完成情况。</w:t>
      </w:r>
    </w:p>
    <w:p w14:paraId="73A16473">
      <w:pPr>
        <w:pStyle w:val="12"/>
        <w:shd w:val="clear" w:color="auto" w:fill="FFFFFF"/>
        <w:spacing w:before="0" w:beforeAutospacing="0" w:after="0" w:afterAutospacing="0" w:line="600" w:lineRule="exact"/>
        <w:ind w:firstLine="640"/>
        <w:jc w:val="both"/>
        <w:rPr>
          <w:rFonts w:ascii="仿宋_GB2312" w:hAnsi="Times New Roman" w:eastAsia="仿宋_GB2312" w:cs="Times New Roman"/>
          <w:color w:val="auto"/>
          <w:sz w:val="32"/>
          <w:szCs w:val="32"/>
          <w:highlight w:val="none"/>
        </w:rPr>
      </w:pPr>
      <w:r>
        <w:rPr>
          <w:rFonts w:hint="eastAsia" w:ascii="仿宋_GB2312" w:hAnsi="仿宋" w:eastAsia="仿宋_GB2312" w:cs="Times New Roman"/>
          <w:color w:val="auto"/>
          <w:sz w:val="32"/>
          <w:szCs w:val="32"/>
          <w:highlight w:val="none"/>
        </w:rPr>
        <w:t>2019年3月18日至21日，圆满组织召开了县十八届人大四次会议，顺利完成了各项会议议程。在为期4天的会议时间里，经过三次全体会议，来自全县各条战线的150余名县人大代表认真履职尽责，审议批准了县政府工作报告、县人大常委会工作报告等六个工作报告；大会依法选举产生米易县人民政府县长，并进行宪法宣誓；大会依法选举产生</w:t>
      </w:r>
      <w:r>
        <w:rPr>
          <w:rFonts w:hint="eastAsia" w:ascii="仿宋_GB2312" w:eastAsia="仿宋_GB2312"/>
          <w:color w:val="auto"/>
          <w:sz w:val="32"/>
          <w:szCs w:val="32"/>
          <w:highlight w:val="none"/>
        </w:rPr>
        <w:t>米易县第十八届人民代表大会常务委员会委员4</w:t>
      </w:r>
      <w:r>
        <w:rPr>
          <w:rFonts w:hint="eastAsia" w:ascii="仿宋_GB2312" w:hAnsi="仿宋" w:eastAsia="仿宋_GB2312" w:cs="Times New Roman"/>
          <w:color w:val="auto"/>
          <w:sz w:val="32"/>
          <w:szCs w:val="32"/>
          <w:highlight w:val="none"/>
        </w:rPr>
        <w:t>名。</w:t>
      </w:r>
    </w:p>
    <w:p w14:paraId="35905636">
      <w:pPr>
        <w:widowControl/>
        <w:spacing w:line="560" w:lineRule="exact"/>
        <w:ind w:firstLine="639"/>
        <w:rPr>
          <w:rFonts w:ascii="仿宋_GB2312" w:eastAsia="仿宋_GB2312"/>
          <w:color w:val="auto"/>
          <w:sz w:val="32"/>
          <w:szCs w:val="32"/>
          <w:highlight w:val="none"/>
        </w:rPr>
      </w:pPr>
      <w:r>
        <w:rPr>
          <w:rFonts w:hint="eastAsia" w:ascii="仿宋_GB2312" w:eastAsia="仿宋_GB2312"/>
          <w:color w:val="auto"/>
          <w:sz w:val="32"/>
          <w:szCs w:val="32"/>
          <w:highlight w:val="none"/>
        </w:rPr>
        <w:t>会议要求，2019年，县人大常委会要在县委的坚强领导下，坚定以习近平新时代中国特色社会主义思想为指导，深入学习贯彻党的十九大和十九届二中、三中全会精神，全面贯彻落实省委十一届四次全会，市委十届六次全会和县第十四届党代会第三次会议精神，不忘初心、牢记使命，自觉践行新发展理念，坚持稳中求进总基调，紧紧围绕市委“一二三五”工作思路和县委各项决策部署，更加切实有效地行使宪法和法律赋予的各项职权，充分发挥人大及其常委会在民主法治建设第一线的职能作用，积极助推“一城三区三基地”建设，为奋力争当高质量发展排头兵作出新的更大贡献，以优异成绩迎接新中国成立70周年！</w:t>
      </w:r>
    </w:p>
    <w:p w14:paraId="26DD966E">
      <w:pPr>
        <w:pStyle w:val="12"/>
        <w:shd w:val="clear" w:color="auto" w:fill="FFFFFF"/>
        <w:spacing w:before="0" w:beforeAutospacing="0" w:after="0" w:afterAutospacing="0" w:line="600" w:lineRule="exact"/>
        <w:ind w:firstLine="640"/>
        <w:jc w:val="both"/>
        <w:rPr>
          <w:rFonts w:ascii="仿宋_GB2312" w:hAnsi="Times New Roman" w:eastAsia="仿宋_GB2312" w:cs="Times New Roman"/>
          <w:color w:val="auto"/>
          <w:sz w:val="32"/>
          <w:szCs w:val="32"/>
          <w:highlight w:val="none"/>
        </w:rPr>
      </w:pPr>
      <w:r>
        <w:rPr>
          <w:rFonts w:hint="eastAsia" w:ascii="仿宋_GB2312" w:hAnsi="仿宋" w:eastAsia="仿宋_GB2312" w:cs="Times New Roman"/>
          <w:color w:val="auto"/>
          <w:sz w:val="32"/>
          <w:szCs w:val="32"/>
          <w:highlight w:val="none"/>
        </w:rPr>
        <w:t>全年执行预算26.10元，预算执行率为100%。</w:t>
      </w:r>
    </w:p>
    <w:p w14:paraId="3B96D0FE">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楷体_GB2312" w:hAnsi="宋体" w:eastAsia="楷体_GB2312"/>
          <w:b/>
          <w:color w:val="auto"/>
          <w:sz w:val="32"/>
          <w:szCs w:val="32"/>
          <w:highlight w:val="none"/>
          <w:lang w:val="zh-CN"/>
        </w:rPr>
        <w:t>（二）项目效益情况。</w:t>
      </w:r>
    </w:p>
    <w:p w14:paraId="0E3253CB">
      <w:pPr>
        <w:adjustRightInd w:val="0"/>
        <w:snapToGrid w:val="0"/>
        <w:spacing w:line="600" w:lineRule="exact"/>
        <w:ind w:firstLine="720"/>
        <w:rPr>
          <w:rFonts w:ascii="仿宋_GB2312" w:hAnsi="仿宋" w:eastAsia="仿宋_GB2312"/>
          <w:color w:val="auto"/>
          <w:sz w:val="32"/>
          <w:szCs w:val="32"/>
          <w:highlight w:val="none"/>
          <w:shd w:val="clear" w:color="auto" w:fill="FFFFFF"/>
        </w:rPr>
      </w:pPr>
      <w:r>
        <w:rPr>
          <w:rFonts w:hint="eastAsia" w:ascii="仿宋_GB2312" w:hAnsi="仿宋" w:eastAsia="仿宋_GB2312"/>
          <w:color w:val="auto"/>
          <w:sz w:val="32"/>
          <w:szCs w:val="32"/>
          <w:highlight w:val="none"/>
          <w:shd w:val="clear" w:color="auto" w:fill="FFFFFF"/>
        </w:rPr>
        <w:t>圆满组织召开了县十八届人大四次会议，完成了会议的各项议程，听取并审议一府两院2018年度工作报告，收集代表意见建议共36件。实现了代表满意、领导满意的目标，完成率100%。</w:t>
      </w:r>
    </w:p>
    <w:p w14:paraId="2BCEEFB8">
      <w:pPr>
        <w:adjustRightInd w:val="0"/>
        <w:snapToGrid w:val="0"/>
        <w:spacing w:line="600" w:lineRule="exact"/>
        <w:ind w:firstLine="720"/>
        <w:rPr>
          <w:rFonts w:ascii="黑体" w:hAnsi="宋体" w:eastAsia="黑体"/>
          <w:color w:val="auto"/>
          <w:sz w:val="32"/>
          <w:szCs w:val="32"/>
          <w:highlight w:val="none"/>
        </w:rPr>
      </w:pPr>
      <w:r>
        <w:rPr>
          <w:rFonts w:hint="eastAsia" w:ascii="黑体" w:hAnsi="宋体" w:eastAsia="黑体"/>
          <w:color w:val="auto"/>
          <w:sz w:val="32"/>
          <w:szCs w:val="32"/>
          <w:highlight w:val="none"/>
        </w:rPr>
        <w:t>五、评价结论及建议</w:t>
      </w:r>
    </w:p>
    <w:p w14:paraId="69557A7D">
      <w:pPr>
        <w:adjustRightInd w:val="0"/>
        <w:snapToGrid w:val="0"/>
        <w:spacing w:line="600" w:lineRule="exact"/>
        <w:ind w:firstLine="720"/>
        <w:rPr>
          <w:rFonts w:ascii="楷体_GB2312" w:hAnsi="宋体" w:eastAsia="楷体_GB2312"/>
          <w:b/>
          <w:color w:val="auto"/>
          <w:sz w:val="32"/>
          <w:szCs w:val="32"/>
          <w:highlight w:val="none"/>
          <w:lang w:val="zh-CN"/>
        </w:rPr>
      </w:pPr>
      <w:r>
        <w:rPr>
          <w:rFonts w:hint="eastAsia" w:ascii="楷体_GB2312" w:hAnsi="宋体" w:eastAsia="楷体_GB2312"/>
          <w:b/>
          <w:color w:val="auto"/>
          <w:sz w:val="32"/>
          <w:szCs w:val="32"/>
          <w:highlight w:val="none"/>
          <w:lang w:val="zh-CN"/>
        </w:rPr>
        <w:t>（一）评价结论。</w:t>
      </w:r>
    </w:p>
    <w:p w14:paraId="5209158E">
      <w:pPr>
        <w:adjustRightInd w:val="0"/>
        <w:snapToGrid w:val="0"/>
        <w:spacing w:line="600" w:lineRule="exact"/>
        <w:ind w:firstLine="720"/>
        <w:rPr>
          <w:rFonts w:ascii="仿宋_GB2312" w:hAnsi="仿宋" w:eastAsia="仿宋_GB2312"/>
          <w:color w:val="auto"/>
          <w:sz w:val="32"/>
          <w:szCs w:val="32"/>
          <w:highlight w:val="none"/>
          <w:shd w:val="clear" w:color="auto" w:fill="FFFFFF"/>
        </w:rPr>
      </w:pPr>
      <w:r>
        <w:rPr>
          <w:rFonts w:hint="eastAsia" w:ascii="仿宋_GB2312" w:hAnsi="仿宋" w:eastAsia="仿宋_GB2312"/>
          <w:color w:val="auto"/>
          <w:sz w:val="32"/>
          <w:szCs w:val="32"/>
          <w:highlight w:val="none"/>
          <w:shd w:val="clear" w:color="auto" w:fill="FFFFFF"/>
        </w:rPr>
        <w:t>经评价，该项目总体完成情况良好，资金绩效目标明确，预算编制合理，项目和资金管理较为落实，整体项目效果良好。</w:t>
      </w:r>
    </w:p>
    <w:p w14:paraId="10859E5D">
      <w:pPr>
        <w:adjustRightInd w:val="0"/>
        <w:snapToGrid w:val="0"/>
        <w:spacing w:line="600" w:lineRule="exact"/>
        <w:ind w:firstLine="720"/>
        <w:rPr>
          <w:rFonts w:ascii="仿宋_GB2312" w:hAnsi="宋体" w:eastAsia="仿宋_GB2312"/>
          <w:color w:val="auto"/>
          <w:sz w:val="32"/>
          <w:szCs w:val="32"/>
          <w:highlight w:val="none"/>
          <w:lang w:val="zh-CN"/>
        </w:rPr>
      </w:pPr>
      <w:r>
        <w:rPr>
          <w:rFonts w:hint="eastAsia" w:ascii="楷体_GB2312" w:hAnsi="宋体" w:eastAsia="楷体_GB2312"/>
          <w:b/>
          <w:color w:val="auto"/>
          <w:sz w:val="32"/>
          <w:szCs w:val="32"/>
          <w:highlight w:val="none"/>
          <w:lang w:val="zh-CN"/>
        </w:rPr>
        <w:t>（二）相关建议。</w:t>
      </w:r>
    </w:p>
    <w:p w14:paraId="3C838777">
      <w:pPr>
        <w:widowControl/>
        <w:spacing w:line="600" w:lineRule="exact"/>
        <w:ind w:firstLine="640" w:firstLineChars="200"/>
        <w:jc w:val="left"/>
        <w:rPr>
          <w:rFonts w:ascii="仿宋_GB2312" w:hAnsi="仿宋" w:eastAsia="仿宋_GB2312"/>
          <w:bCs/>
          <w:color w:val="auto"/>
          <w:sz w:val="32"/>
          <w:szCs w:val="32"/>
          <w:highlight w:val="none"/>
          <w:shd w:val="clear" w:color="auto" w:fill="FFFFFF"/>
        </w:rPr>
      </w:pPr>
      <w:r>
        <w:rPr>
          <w:rFonts w:hint="eastAsia" w:ascii="仿宋_GB2312" w:hAnsi="仿宋" w:eastAsia="仿宋_GB2312"/>
          <w:color w:val="auto"/>
          <w:sz w:val="32"/>
          <w:szCs w:val="32"/>
          <w:highlight w:val="none"/>
          <w:shd w:val="clear" w:color="auto" w:fill="FFFFFF"/>
        </w:rPr>
        <w:t>应当综合考虑项目预算编制的测算依据，保证资金的合理运用。</w:t>
      </w:r>
      <w:r>
        <w:rPr>
          <w:rFonts w:ascii="仿宋_GB2312" w:hAnsi="仿宋" w:eastAsia="仿宋_GB2312"/>
          <w:color w:val="auto"/>
          <w:sz w:val="32"/>
          <w:szCs w:val="32"/>
          <w:highlight w:val="none"/>
          <w:shd w:val="clear" w:color="auto" w:fill="FFFFFF"/>
        </w:rPr>
        <w:t>我们将在下一步的工作中，认真总结经验，改进会务工作，提升办会水平和能力</w:t>
      </w:r>
      <w:r>
        <w:rPr>
          <w:rFonts w:hint="eastAsia" w:ascii="仿宋_GB2312" w:hAnsi="仿宋" w:eastAsia="仿宋_GB2312"/>
          <w:color w:val="auto"/>
          <w:sz w:val="32"/>
          <w:szCs w:val="32"/>
          <w:highlight w:val="none"/>
          <w:shd w:val="clear" w:color="auto" w:fill="FFFFFF"/>
        </w:rPr>
        <w:t>。</w:t>
      </w:r>
    </w:p>
    <w:p w14:paraId="12529F1C">
      <w:pPr>
        <w:widowControl/>
        <w:jc w:val="left"/>
        <w:rPr>
          <w:rStyle w:val="17"/>
          <w:rFonts w:ascii="黑体" w:hAnsi="黑体" w:eastAsia="黑体"/>
          <w:b w:val="0"/>
          <w:color w:val="auto"/>
          <w:highlight w:val="none"/>
        </w:rPr>
      </w:pPr>
    </w:p>
    <w:p w14:paraId="0F7DA023">
      <w:pPr>
        <w:widowControl/>
        <w:jc w:val="left"/>
        <w:rPr>
          <w:rStyle w:val="17"/>
          <w:rFonts w:ascii="黑体" w:hAnsi="黑体" w:eastAsia="黑体"/>
          <w:b w:val="0"/>
          <w:color w:val="auto"/>
          <w:highlight w:val="none"/>
        </w:rPr>
      </w:pPr>
    </w:p>
    <w:p w14:paraId="22066D4E">
      <w:pPr>
        <w:widowControl/>
        <w:jc w:val="left"/>
        <w:rPr>
          <w:rStyle w:val="17"/>
          <w:rFonts w:ascii="黑体" w:hAnsi="黑体" w:eastAsia="黑体"/>
          <w:b w:val="0"/>
          <w:color w:val="auto"/>
          <w:highlight w:val="none"/>
        </w:rPr>
      </w:pPr>
    </w:p>
    <w:p w14:paraId="29CF5DB4">
      <w:pPr>
        <w:widowControl/>
        <w:jc w:val="left"/>
        <w:rPr>
          <w:rStyle w:val="17"/>
          <w:rFonts w:ascii="黑体" w:hAnsi="黑体" w:eastAsia="黑体"/>
          <w:b w:val="0"/>
          <w:color w:val="auto"/>
          <w:highlight w:val="none"/>
        </w:rPr>
      </w:pPr>
    </w:p>
    <w:p w14:paraId="0AADF2CE">
      <w:pPr>
        <w:widowControl/>
        <w:jc w:val="left"/>
        <w:rPr>
          <w:rStyle w:val="17"/>
          <w:rFonts w:ascii="黑体" w:hAnsi="黑体" w:eastAsia="黑体"/>
          <w:b w:val="0"/>
          <w:color w:val="auto"/>
          <w:highlight w:val="none"/>
        </w:rPr>
      </w:pPr>
    </w:p>
    <w:p w14:paraId="1E48AC07">
      <w:pPr>
        <w:widowControl/>
        <w:jc w:val="left"/>
        <w:rPr>
          <w:rStyle w:val="17"/>
          <w:rFonts w:ascii="黑体" w:hAnsi="黑体" w:eastAsia="黑体"/>
          <w:b w:val="0"/>
          <w:color w:val="auto"/>
          <w:highlight w:val="none"/>
        </w:rPr>
      </w:pPr>
    </w:p>
    <w:p w14:paraId="4BBB18F9">
      <w:pPr>
        <w:widowControl/>
        <w:jc w:val="left"/>
        <w:rPr>
          <w:rStyle w:val="17"/>
          <w:rFonts w:ascii="黑体" w:hAnsi="黑体" w:eastAsia="黑体"/>
          <w:b w:val="0"/>
          <w:color w:val="auto"/>
          <w:highlight w:val="none"/>
        </w:rPr>
      </w:pPr>
    </w:p>
    <w:p w14:paraId="7E0258CA">
      <w:pPr>
        <w:widowControl/>
        <w:jc w:val="left"/>
        <w:rPr>
          <w:rStyle w:val="17"/>
          <w:rFonts w:ascii="黑体" w:hAnsi="黑体" w:eastAsia="黑体"/>
          <w:b w:val="0"/>
          <w:color w:val="auto"/>
          <w:highlight w:val="none"/>
        </w:rPr>
      </w:pPr>
    </w:p>
    <w:p w14:paraId="745A8E44">
      <w:pPr>
        <w:widowControl/>
        <w:jc w:val="left"/>
        <w:rPr>
          <w:rStyle w:val="17"/>
          <w:rFonts w:ascii="黑体" w:hAnsi="黑体" w:eastAsia="黑体"/>
          <w:b w:val="0"/>
          <w:color w:val="auto"/>
          <w:highlight w:val="none"/>
        </w:rPr>
      </w:pPr>
    </w:p>
    <w:p w14:paraId="1890EBC4">
      <w:pPr>
        <w:widowControl/>
        <w:jc w:val="left"/>
        <w:rPr>
          <w:rStyle w:val="17"/>
          <w:rFonts w:ascii="黑体" w:hAnsi="黑体" w:eastAsia="黑体"/>
          <w:b w:val="0"/>
          <w:color w:val="auto"/>
          <w:highlight w:val="none"/>
        </w:rPr>
      </w:pPr>
    </w:p>
    <w:p w14:paraId="6593F174">
      <w:pPr>
        <w:widowControl/>
        <w:jc w:val="left"/>
        <w:rPr>
          <w:rStyle w:val="17"/>
          <w:rFonts w:ascii="黑体" w:hAnsi="黑体" w:eastAsia="黑体"/>
          <w:b w:val="0"/>
          <w:color w:val="auto"/>
          <w:highlight w:val="none"/>
        </w:rPr>
      </w:pPr>
    </w:p>
    <w:p w14:paraId="56B32576">
      <w:pPr>
        <w:widowControl/>
        <w:jc w:val="left"/>
        <w:rPr>
          <w:rStyle w:val="17"/>
          <w:rFonts w:ascii="黑体" w:hAnsi="黑体" w:eastAsia="黑体"/>
          <w:b w:val="0"/>
          <w:color w:val="auto"/>
          <w:highlight w:val="none"/>
        </w:rPr>
      </w:pPr>
    </w:p>
    <w:p w14:paraId="6DE84658">
      <w:pPr>
        <w:spacing w:line="600" w:lineRule="exact"/>
        <w:jc w:val="center"/>
        <w:outlineLvl w:val="0"/>
        <w:rPr>
          <w:rStyle w:val="17"/>
          <w:rFonts w:ascii="黑体" w:hAnsi="黑体" w:eastAsia="黑体"/>
          <w:b w:val="0"/>
          <w:color w:val="auto"/>
          <w:highlight w:val="none"/>
        </w:rPr>
      </w:pPr>
      <w:bookmarkStart w:id="57" w:name="_Toc15396618"/>
      <w:r>
        <w:rPr>
          <w:rFonts w:hint="eastAsia" w:ascii="黑体" w:hAnsi="黑体" w:eastAsia="黑体"/>
          <w:color w:val="auto"/>
          <w:sz w:val="44"/>
          <w:szCs w:val="44"/>
          <w:highlight w:val="none"/>
        </w:rPr>
        <w:t>第</w:t>
      </w:r>
      <w:r>
        <w:rPr>
          <w:rStyle w:val="17"/>
          <w:rFonts w:hint="eastAsia" w:ascii="黑体" w:hAnsi="黑体" w:eastAsia="黑体"/>
          <w:b w:val="0"/>
          <w:color w:val="auto"/>
          <w:highlight w:val="none"/>
        </w:rPr>
        <w:t>五部分</w:t>
      </w:r>
      <w:r>
        <w:rPr>
          <w:rStyle w:val="17"/>
          <w:rFonts w:ascii="黑体" w:hAnsi="黑体" w:eastAsia="黑体"/>
          <w:b w:val="0"/>
          <w:color w:val="auto"/>
          <w:highlight w:val="none"/>
        </w:rPr>
        <w:t xml:space="preserve"> </w:t>
      </w:r>
      <w:r>
        <w:rPr>
          <w:rStyle w:val="17"/>
          <w:rFonts w:hint="eastAsia" w:ascii="黑体" w:hAnsi="黑体" w:eastAsia="黑体"/>
          <w:b w:val="0"/>
          <w:color w:val="auto"/>
          <w:highlight w:val="none"/>
        </w:rPr>
        <w:t>附表</w:t>
      </w:r>
      <w:bookmarkEnd w:id="55"/>
      <w:bookmarkEnd w:id="57"/>
      <w:bookmarkStart w:id="58" w:name="_Toc15396619"/>
    </w:p>
    <w:p w14:paraId="1D6B111E">
      <w:pPr>
        <w:pStyle w:val="3"/>
        <w:rPr>
          <w:rFonts w:ascii="仿宋" w:hAnsi="仿宋" w:eastAsia="仿宋"/>
          <w:b w:val="0"/>
          <w:color w:val="auto"/>
          <w:highlight w:val="none"/>
        </w:rPr>
      </w:pPr>
      <w:r>
        <w:rPr>
          <w:rFonts w:hint="eastAsia" w:ascii="仿宋" w:hAnsi="仿宋" w:eastAsia="仿宋"/>
          <w:b w:val="0"/>
          <w:color w:val="auto"/>
          <w:highlight w:val="none"/>
        </w:rPr>
        <w:t>一</w:t>
      </w:r>
      <w:r>
        <w:rPr>
          <w:rFonts w:hint="eastAsia" w:ascii="仿宋" w:hAnsi="仿宋" w:eastAsia="仿宋"/>
          <w:b w:val="0"/>
          <w:bCs w:val="0"/>
          <w:color w:val="auto"/>
          <w:highlight w:val="none"/>
        </w:rPr>
        <w:t>、收入支出决算总表</w:t>
      </w:r>
      <w:bookmarkEnd w:id="58"/>
    </w:p>
    <w:p w14:paraId="57ACA263">
      <w:pPr>
        <w:pStyle w:val="3"/>
        <w:rPr>
          <w:rFonts w:ascii="仿宋" w:hAnsi="仿宋" w:eastAsia="仿宋"/>
          <w:color w:val="auto"/>
          <w:highlight w:val="none"/>
        </w:rPr>
      </w:pPr>
      <w:bookmarkStart w:id="59" w:name="_Toc15396620"/>
      <w:r>
        <w:rPr>
          <w:rFonts w:hint="eastAsia" w:ascii="仿宋" w:hAnsi="仿宋" w:eastAsia="仿宋"/>
          <w:b w:val="0"/>
          <w:color w:val="auto"/>
          <w:highlight w:val="none"/>
        </w:rPr>
        <w:t>二、收</w:t>
      </w:r>
      <w:r>
        <w:rPr>
          <w:rStyle w:val="18"/>
          <w:rFonts w:hint="eastAsia" w:ascii="仿宋" w:hAnsi="仿宋" w:eastAsia="仿宋"/>
          <w:b w:val="0"/>
          <w:bCs w:val="0"/>
          <w:color w:val="auto"/>
          <w:highlight w:val="none"/>
        </w:rPr>
        <w:t>入决算表</w:t>
      </w:r>
      <w:bookmarkEnd w:id="59"/>
    </w:p>
    <w:p w14:paraId="111D4837">
      <w:pPr>
        <w:pStyle w:val="3"/>
        <w:rPr>
          <w:rFonts w:ascii="仿宋" w:hAnsi="仿宋" w:eastAsia="仿宋"/>
          <w:color w:val="auto"/>
          <w:highlight w:val="none"/>
        </w:rPr>
      </w:pPr>
      <w:bookmarkStart w:id="60" w:name="_Toc15396621"/>
      <w:r>
        <w:rPr>
          <w:rStyle w:val="18"/>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18"/>
          <w:rFonts w:hint="eastAsia" w:ascii="仿宋" w:hAnsi="仿宋" w:eastAsia="仿宋"/>
          <w:b w:val="0"/>
          <w:bCs w:val="0"/>
          <w:color w:val="auto"/>
          <w:highlight w:val="none"/>
        </w:rPr>
        <w:t>出决算表</w:t>
      </w:r>
      <w:bookmarkEnd w:id="60"/>
    </w:p>
    <w:p w14:paraId="1CF26C20">
      <w:pPr>
        <w:pStyle w:val="3"/>
        <w:rPr>
          <w:rFonts w:ascii="仿宋" w:hAnsi="仿宋" w:eastAsia="仿宋"/>
          <w:b w:val="0"/>
          <w:color w:val="auto"/>
          <w:highlight w:val="none"/>
        </w:rPr>
      </w:pPr>
      <w:bookmarkStart w:id="61" w:name="_Toc15396622"/>
      <w:r>
        <w:rPr>
          <w:rStyle w:val="18"/>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18"/>
          <w:rFonts w:hint="eastAsia" w:ascii="仿宋" w:hAnsi="仿宋" w:eastAsia="仿宋"/>
          <w:b w:val="0"/>
          <w:bCs w:val="0"/>
          <w:color w:val="auto"/>
          <w:highlight w:val="none"/>
        </w:rPr>
        <w:t>政拨款收入支出决算总表</w:t>
      </w:r>
      <w:bookmarkEnd w:id="61"/>
    </w:p>
    <w:p w14:paraId="346422F5">
      <w:pPr>
        <w:pStyle w:val="3"/>
        <w:rPr>
          <w:rStyle w:val="18"/>
          <w:rFonts w:ascii="仿宋" w:hAnsi="仿宋" w:eastAsia="仿宋"/>
          <w:b w:val="0"/>
          <w:bCs w:val="0"/>
          <w:color w:val="auto"/>
          <w:highlight w:val="none"/>
        </w:rPr>
      </w:pPr>
      <w:bookmarkStart w:id="62" w:name="_Toc15396623"/>
      <w:r>
        <w:rPr>
          <w:rStyle w:val="18"/>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18"/>
          <w:rFonts w:hint="eastAsia" w:ascii="仿宋" w:hAnsi="仿宋" w:eastAsia="仿宋"/>
          <w:b w:val="0"/>
          <w:bCs w:val="0"/>
          <w:color w:val="auto"/>
          <w:highlight w:val="none"/>
        </w:rPr>
        <w:t>政拨款支出决算明细表</w:t>
      </w:r>
      <w:bookmarkEnd w:id="62"/>
      <w:bookmarkStart w:id="63" w:name="_Toc15396624"/>
    </w:p>
    <w:p w14:paraId="6F14FBBE">
      <w:pPr>
        <w:pStyle w:val="3"/>
        <w:rPr>
          <w:rFonts w:ascii="仿宋" w:hAnsi="仿宋" w:eastAsia="仿宋"/>
          <w:color w:val="auto"/>
          <w:highlight w:val="none"/>
        </w:rPr>
      </w:pPr>
      <w:r>
        <w:rPr>
          <w:rStyle w:val="18"/>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18"/>
          <w:rFonts w:hint="eastAsia" w:ascii="仿宋" w:hAnsi="仿宋" w:eastAsia="仿宋"/>
          <w:b w:val="0"/>
          <w:bCs w:val="0"/>
          <w:color w:val="auto"/>
          <w:highlight w:val="none"/>
        </w:rPr>
        <w:t>般公共预算财政拨款支出决算表</w:t>
      </w:r>
      <w:bookmarkEnd w:id="63"/>
    </w:p>
    <w:p w14:paraId="01815850">
      <w:pPr>
        <w:pStyle w:val="3"/>
        <w:rPr>
          <w:rFonts w:ascii="仿宋" w:hAnsi="仿宋" w:eastAsia="仿宋"/>
          <w:color w:val="auto"/>
          <w:highlight w:val="none"/>
        </w:rPr>
      </w:pPr>
      <w:bookmarkStart w:id="64" w:name="_Toc15396625"/>
      <w:r>
        <w:rPr>
          <w:rStyle w:val="18"/>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18"/>
          <w:rFonts w:hint="eastAsia" w:ascii="仿宋" w:hAnsi="仿宋" w:eastAsia="仿宋"/>
          <w:b w:val="0"/>
          <w:bCs w:val="0"/>
          <w:color w:val="auto"/>
          <w:highlight w:val="none"/>
        </w:rPr>
        <w:t>般公共预算财政拨款支出决算明细表</w:t>
      </w:r>
      <w:bookmarkEnd w:id="64"/>
    </w:p>
    <w:p w14:paraId="36BC7B83">
      <w:pPr>
        <w:pStyle w:val="3"/>
        <w:rPr>
          <w:rFonts w:ascii="仿宋" w:hAnsi="仿宋" w:eastAsia="仿宋"/>
          <w:color w:val="auto"/>
          <w:highlight w:val="none"/>
        </w:rPr>
      </w:pPr>
      <w:bookmarkStart w:id="65" w:name="_Toc15396626"/>
      <w:r>
        <w:rPr>
          <w:rStyle w:val="18"/>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18"/>
          <w:rFonts w:hint="eastAsia" w:ascii="仿宋" w:hAnsi="仿宋" w:eastAsia="仿宋"/>
          <w:b w:val="0"/>
          <w:bCs w:val="0"/>
          <w:color w:val="auto"/>
          <w:highlight w:val="none"/>
        </w:rPr>
        <w:t>般公共预算财政拨款基本支出决算表</w:t>
      </w:r>
      <w:bookmarkEnd w:id="65"/>
    </w:p>
    <w:p w14:paraId="3758F884">
      <w:pPr>
        <w:pStyle w:val="3"/>
        <w:rPr>
          <w:rFonts w:ascii="仿宋" w:hAnsi="仿宋" w:eastAsia="仿宋"/>
          <w:color w:val="auto"/>
          <w:highlight w:val="none"/>
        </w:rPr>
      </w:pPr>
      <w:bookmarkStart w:id="66" w:name="_Toc15396627"/>
      <w:r>
        <w:rPr>
          <w:rStyle w:val="18"/>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18"/>
          <w:rFonts w:hint="eastAsia" w:ascii="仿宋" w:hAnsi="仿宋" w:eastAsia="仿宋"/>
          <w:b w:val="0"/>
          <w:bCs w:val="0"/>
          <w:color w:val="auto"/>
          <w:highlight w:val="none"/>
        </w:rPr>
        <w:t>般公共预算财政拨款项目支出决算表</w:t>
      </w:r>
      <w:bookmarkEnd w:id="66"/>
    </w:p>
    <w:p w14:paraId="2F5CBFDE">
      <w:pPr>
        <w:pStyle w:val="3"/>
        <w:rPr>
          <w:rFonts w:ascii="仿宋" w:hAnsi="仿宋" w:eastAsia="仿宋"/>
          <w:color w:val="auto"/>
          <w:highlight w:val="none"/>
        </w:rPr>
      </w:pPr>
      <w:bookmarkStart w:id="67" w:name="_Toc15396628"/>
      <w:r>
        <w:rPr>
          <w:rStyle w:val="18"/>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18"/>
          <w:rFonts w:hint="eastAsia" w:ascii="仿宋" w:hAnsi="仿宋" w:eastAsia="仿宋"/>
          <w:b w:val="0"/>
          <w:bCs w:val="0"/>
          <w:color w:val="auto"/>
          <w:highlight w:val="none"/>
        </w:rPr>
        <w:t>般公共预算财政拨款“三公”经费支出决算表</w:t>
      </w:r>
      <w:bookmarkEnd w:id="67"/>
    </w:p>
    <w:p w14:paraId="79F694B0">
      <w:pPr>
        <w:pStyle w:val="3"/>
        <w:rPr>
          <w:rFonts w:ascii="仿宋" w:hAnsi="仿宋" w:eastAsia="仿宋"/>
          <w:color w:val="auto"/>
          <w:highlight w:val="none"/>
        </w:rPr>
      </w:pPr>
      <w:bookmarkStart w:id="68" w:name="_Toc15396629"/>
      <w:r>
        <w:rPr>
          <w:rStyle w:val="18"/>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18"/>
          <w:rFonts w:hint="eastAsia" w:ascii="仿宋" w:hAnsi="仿宋" w:eastAsia="仿宋"/>
          <w:b w:val="0"/>
          <w:bCs w:val="0"/>
          <w:color w:val="auto"/>
          <w:highlight w:val="none"/>
        </w:rPr>
        <w:t>府性基金预算财政拨款收入支出决算表</w:t>
      </w:r>
      <w:bookmarkEnd w:id="68"/>
    </w:p>
    <w:p w14:paraId="66C19EBE">
      <w:pPr>
        <w:pStyle w:val="3"/>
        <w:rPr>
          <w:rFonts w:ascii="仿宋" w:hAnsi="仿宋" w:eastAsia="仿宋"/>
          <w:color w:val="auto"/>
          <w:highlight w:val="none"/>
        </w:rPr>
      </w:pPr>
      <w:bookmarkStart w:id="69" w:name="_Toc15396630"/>
      <w:r>
        <w:rPr>
          <w:rStyle w:val="18"/>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18"/>
          <w:rFonts w:hint="eastAsia" w:ascii="仿宋" w:hAnsi="仿宋" w:eastAsia="仿宋"/>
          <w:b w:val="0"/>
          <w:bCs w:val="0"/>
          <w:color w:val="auto"/>
          <w:highlight w:val="none"/>
        </w:rPr>
        <w:t>府性基金预算财政拨款“三公”经费支出决算表</w:t>
      </w:r>
      <w:bookmarkEnd w:id="69"/>
    </w:p>
    <w:p w14:paraId="3F2303FA">
      <w:pPr>
        <w:pStyle w:val="3"/>
        <w:rPr>
          <w:rStyle w:val="18"/>
          <w:rFonts w:ascii="仿宋" w:hAnsi="仿宋" w:eastAsia="仿宋"/>
          <w:b w:val="0"/>
          <w:bCs w:val="0"/>
          <w:color w:val="auto"/>
          <w:highlight w:val="none"/>
        </w:rPr>
      </w:pPr>
      <w:bookmarkStart w:id="70" w:name="_Toc15396631"/>
      <w:r>
        <w:rPr>
          <w:rStyle w:val="18"/>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18"/>
          <w:rFonts w:hint="eastAsia" w:ascii="仿宋" w:hAnsi="仿宋" w:eastAsia="仿宋"/>
          <w:b w:val="0"/>
          <w:bCs w:val="0"/>
          <w:color w:val="auto"/>
          <w:highlight w:val="none"/>
        </w:rPr>
        <w:t>有资本经营预算支出决算表</w:t>
      </w:r>
      <w:bookmarkEnd w:id="70"/>
    </w:p>
    <w:p w14:paraId="7261C5F2">
      <w:pPr>
        <w:pStyle w:val="3"/>
        <w:rPr>
          <w:rStyle w:val="18"/>
          <w:rFonts w:ascii="仿宋" w:hAnsi="仿宋" w:eastAsia="仿宋"/>
          <w:b w:val="0"/>
          <w:bCs w:val="0"/>
          <w:color w:val="auto"/>
          <w:highlight w:val="none"/>
        </w:rPr>
      </w:pPr>
      <w:r>
        <w:rPr>
          <w:rStyle w:val="18"/>
          <w:rFonts w:hint="eastAsia" w:ascii="仿宋" w:hAnsi="仿宋" w:eastAsia="仿宋"/>
          <w:b w:val="0"/>
          <w:bCs w:val="0"/>
          <w:color w:val="auto"/>
          <w:highlight w:val="none"/>
        </w:rPr>
        <w:t>十四、机关运行经费、资产占用及政府采购支出信息表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仿宋简体">
    <w:altName w:val="仿宋"/>
    <w:panose1 w:val="03000509000000000000"/>
    <w:charset w:val="86"/>
    <w:family w:val="script"/>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9C7DC">
    <w:pPr>
      <w:pStyle w:val="8"/>
      <w:jc w:val="center"/>
    </w:pPr>
    <w:r>
      <w:fldChar w:fldCharType="begin"/>
    </w:r>
    <w:r>
      <w:instrText xml:space="preserve">PAGE   \* MERGEFORMAT</w:instrText>
    </w:r>
    <w:r>
      <w:fldChar w:fldCharType="separate"/>
    </w:r>
    <w:r>
      <w:rPr>
        <w:lang w:val="zh-CN"/>
      </w:rPr>
      <w:t>2</w:t>
    </w:r>
    <w:r>
      <w:rPr>
        <w:lang w:val="zh-CN"/>
      </w:rPr>
      <w:fldChar w:fldCharType="end"/>
    </w:r>
  </w:p>
  <w:p w14:paraId="6702C72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9F606">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1F8ACC74"/>
    <w:multiLevelType w:val="singleLevel"/>
    <w:tmpl w:val="1F8ACC74"/>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051E"/>
    <w:rsid w:val="000468DB"/>
    <w:rsid w:val="00061BC8"/>
    <w:rsid w:val="0006487A"/>
    <w:rsid w:val="00065F8F"/>
    <w:rsid w:val="00070A43"/>
    <w:rsid w:val="00074689"/>
    <w:rsid w:val="000768F2"/>
    <w:rsid w:val="0009184B"/>
    <w:rsid w:val="00094236"/>
    <w:rsid w:val="0009593C"/>
    <w:rsid w:val="00097322"/>
    <w:rsid w:val="000A6A92"/>
    <w:rsid w:val="000B047F"/>
    <w:rsid w:val="000B5923"/>
    <w:rsid w:val="000B5A48"/>
    <w:rsid w:val="000B6FF3"/>
    <w:rsid w:val="000C3467"/>
    <w:rsid w:val="000C3CA6"/>
    <w:rsid w:val="000C3CAA"/>
    <w:rsid w:val="000D1267"/>
    <w:rsid w:val="000D1D50"/>
    <w:rsid w:val="000D5782"/>
    <w:rsid w:val="000E6613"/>
    <w:rsid w:val="000E7119"/>
    <w:rsid w:val="000F7F16"/>
    <w:rsid w:val="00112958"/>
    <w:rsid w:val="00114E9B"/>
    <w:rsid w:val="00116D76"/>
    <w:rsid w:val="0012162E"/>
    <w:rsid w:val="001376D2"/>
    <w:rsid w:val="00142216"/>
    <w:rsid w:val="00144D6A"/>
    <w:rsid w:val="0014729F"/>
    <w:rsid w:val="0015399D"/>
    <w:rsid w:val="00157BAB"/>
    <w:rsid w:val="001654D1"/>
    <w:rsid w:val="00174518"/>
    <w:rsid w:val="0018106D"/>
    <w:rsid w:val="001877A7"/>
    <w:rsid w:val="00191536"/>
    <w:rsid w:val="00196687"/>
    <w:rsid w:val="001A3C39"/>
    <w:rsid w:val="001A77E2"/>
    <w:rsid w:val="001C0962"/>
    <w:rsid w:val="001C638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2AD"/>
    <w:rsid w:val="00295495"/>
    <w:rsid w:val="002A31DE"/>
    <w:rsid w:val="002B2613"/>
    <w:rsid w:val="002D19B0"/>
    <w:rsid w:val="002D6D05"/>
    <w:rsid w:val="002E0650"/>
    <w:rsid w:val="002F1818"/>
    <w:rsid w:val="002F567B"/>
    <w:rsid w:val="003216A9"/>
    <w:rsid w:val="00335A74"/>
    <w:rsid w:val="00347B65"/>
    <w:rsid w:val="0036561B"/>
    <w:rsid w:val="00366985"/>
    <w:rsid w:val="0037013F"/>
    <w:rsid w:val="00380C92"/>
    <w:rsid w:val="003A484F"/>
    <w:rsid w:val="003A4883"/>
    <w:rsid w:val="003B0BE0"/>
    <w:rsid w:val="003B0C1B"/>
    <w:rsid w:val="003B688C"/>
    <w:rsid w:val="003C0291"/>
    <w:rsid w:val="003C39AE"/>
    <w:rsid w:val="003C6621"/>
    <w:rsid w:val="003C7B60"/>
    <w:rsid w:val="003D0C0F"/>
    <w:rsid w:val="003D1FB2"/>
    <w:rsid w:val="003D66DA"/>
    <w:rsid w:val="003E1310"/>
    <w:rsid w:val="003E6F55"/>
    <w:rsid w:val="00406254"/>
    <w:rsid w:val="00416CD4"/>
    <w:rsid w:val="004223DE"/>
    <w:rsid w:val="00434489"/>
    <w:rsid w:val="0043573C"/>
    <w:rsid w:val="00437085"/>
    <w:rsid w:val="00443880"/>
    <w:rsid w:val="004464F4"/>
    <w:rsid w:val="00471401"/>
    <w:rsid w:val="00473F31"/>
    <w:rsid w:val="0048263A"/>
    <w:rsid w:val="00487E5D"/>
    <w:rsid w:val="004973CA"/>
    <w:rsid w:val="004A711F"/>
    <w:rsid w:val="004B199D"/>
    <w:rsid w:val="004B2FDC"/>
    <w:rsid w:val="004B4690"/>
    <w:rsid w:val="004D3207"/>
    <w:rsid w:val="004E0A2D"/>
    <w:rsid w:val="004E206B"/>
    <w:rsid w:val="004E6DF7"/>
    <w:rsid w:val="004F0FBD"/>
    <w:rsid w:val="004F403E"/>
    <w:rsid w:val="00502C58"/>
    <w:rsid w:val="00505A47"/>
    <w:rsid w:val="005118A9"/>
    <w:rsid w:val="00512FDA"/>
    <w:rsid w:val="00520DA0"/>
    <w:rsid w:val="005315A9"/>
    <w:rsid w:val="00534E58"/>
    <w:rsid w:val="005664BB"/>
    <w:rsid w:val="00566FFA"/>
    <w:rsid w:val="0057481D"/>
    <w:rsid w:val="00575F0B"/>
    <w:rsid w:val="005822CB"/>
    <w:rsid w:val="0058486E"/>
    <w:rsid w:val="00585B33"/>
    <w:rsid w:val="0059014D"/>
    <w:rsid w:val="005B5C64"/>
    <w:rsid w:val="005C6BD0"/>
    <w:rsid w:val="005C6C4C"/>
    <w:rsid w:val="005C7975"/>
    <w:rsid w:val="005D1C8B"/>
    <w:rsid w:val="005D468D"/>
    <w:rsid w:val="005D5CED"/>
    <w:rsid w:val="005F1A4C"/>
    <w:rsid w:val="00605688"/>
    <w:rsid w:val="006070AF"/>
    <w:rsid w:val="00607E6C"/>
    <w:rsid w:val="006101B1"/>
    <w:rsid w:val="00614E44"/>
    <w:rsid w:val="00620DD8"/>
    <w:rsid w:val="0062270A"/>
    <w:rsid w:val="00622830"/>
    <w:rsid w:val="00623DA0"/>
    <w:rsid w:val="00630AEF"/>
    <w:rsid w:val="006325F8"/>
    <w:rsid w:val="00632AEE"/>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31CD2"/>
    <w:rsid w:val="007416B6"/>
    <w:rsid w:val="00746F48"/>
    <w:rsid w:val="00752A6F"/>
    <w:rsid w:val="0075404D"/>
    <w:rsid w:val="0076182A"/>
    <w:rsid w:val="00767B7E"/>
    <w:rsid w:val="007770C3"/>
    <w:rsid w:val="00784D24"/>
    <w:rsid w:val="00785FBA"/>
    <w:rsid w:val="00786E4A"/>
    <w:rsid w:val="007875EB"/>
    <w:rsid w:val="0079394C"/>
    <w:rsid w:val="0079426B"/>
    <w:rsid w:val="007D0C90"/>
    <w:rsid w:val="007D1682"/>
    <w:rsid w:val="007D312A"/>
    <w:rsid w:val="007D3F19"/>
    <w:rsid w:val="007E23B0"/>
    <w:rsid w:val="007E74EE"/>
    <w:rsid w:val="007F1991"/>
    <w:rsid w:val="007F2C2F"/>
    <w:rsid w:val="007F55FC"/>
    <w:rsid w:val="007F5665"/>
    <w:rsid w:val="00800112"/>
    <w:rsid w:val="00804BAF"/>
    <w:rsid w:val="00807F99"/>
    <w:rsid w:val="00813348"/>
    <w:rsid w:val="008253BB"/>
    <w:rsid w:val="00833962"/>
    <w:rsid w:val="0083706E"/>
    <w:rsid w:val="008408F6"/>
    <w:rsid w:val="00841CAE"/>
    <w:rsid w:val="008423A5"/>
    <w:rsid w:val="00850625"/>
    <w:rsid w:val="00853718"/>
    <w:rsid w:val="00855221"/>
    <w:rsid w:val="00860645"/>
    <w:rsid w:val="00862C5C"/>
    <w:rsid w:val="00871F71"/>
    <w:rsid w:val="00872FD8"/>
    <w:rsid w:val="00885AF4"/>
    <w:rsid w:val="00892C61"/>
    <w:rsid w:val="008939CD"/>
    <w:rsid w:val="008B54B2"/>
    <w:rsid w:val="008B768C"/>
    <w:rsid w:val="008C4DB1"/>
    <w:rsid w:val="008C4EAF"/>
    <w:rsid w:val="008C5176"/>
    <w:rsid w:val="008C7FD0"/>
    <w:rsid w:val="008E1DE7"/>
    <w:rsid w:val="008E707C"/>
    <w:rsid w:val="00900B08"/>
    <w:rsid w:val="00902155"/>
    <w:rsid w:val="00902FA3"/>
    <w:rsid w:val="009032C3"/>
    <w:rsid w:val="009205CF"/>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9339D"/>
    <w:rsid w:val="009955F7"/>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4E49"/>
    <w:rsid w:val="00A35117"/>
    <w:rsid w:val="00A40A00"/>
    <w:rsid w:val="00A4142F"/>
    <w:rsid w:val="00A422EB"/>
    <w:rsid w:val="00A45BB7"/>
    <w:rsid w:val="00A56DF2"/>
    <w:rsid w:val="00A56E6E"/>
    <w:rsid w:val="00A651BC"/>
    <w:rsid w:val="00A67AB5"/>
    <w:rsid w:val="00A733B2"/>
    <w:rsid w:val="00A741C2"/>
    <w:rsid w:val="00A87F45"/>
    <w:rsid w:val="00A91760"/>
    <w:rsid w:val="00A93B00"/>
    <w:rsid w:val="00A93C21"/>
    <w:rsid w:val="00AA44CD"/>
    <w:rsid w:val="00AB64C9"/>
    <w:rsid w:val="00AC3C6A"/>
    <w:rsid w:val="00AC5480"/>
    <w:rsid w:val="00AD0F83"/>
    <w:rsid w:val="00AD26AC"/>
    <w:rsid w:val="00AD5620"/>
    <w:rsid w:val="00AD656B"/>
    <w:rsid w:val="00AD7C1B"/>
    <w:rsid w:val="00AE16BA"/>
    <w:rsid w:val="00AE1EBE"/>
    <w:rsid w:val="00AE6AD8"/>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1BB"/>
    <w:rsid w:val="00BC6B50"/>
    <w:rsid w:val="00BD0E25"/>
    <w:rsid w:val="00BF2792"/>
    <w:rsid w:val="00BF5BD6"/>
    <w:rsid w:val="00C03C2F"/>
    <w:rsid w:val="00C03E31"/>
    <w:rsid w:val="00C30E69"/>
    <w:rsid w:val="00C31767"/>
    <w:rsid w:val="00C33E72"/>
    <w:rsid w:val="00C354B2"/>
    <w:rsid w:val="00C35554"/>
    <w:rsid w:val="00C42709"/>
    <w:rsid w:val="00C43381"/>
    <w:rsid w:val="00C46FE3"/>
    <w:rsid w:val="00C511E6"/>
    <w:rsid w:val="00C533CC"/>
    <w:rsid w:val="00C5751C"/>
    <w:rsid w:val="00C61BFC"/>
    <w:rsid w:val="00C62B85"/>
    <w:rsid w:val="00C65438"/>
    <w:rsid w:val="00C826B2"/>
    <w:rsid w:val="00C91CBB"/>
    <w:rsid w:val="00CB4E70"/>
    <w:rsid w:val="00CC09B6"/>
    <w:rsid w:val="00CC666F"/>
    <w:rsid w:val="00CD1E3F"/>
    <w:rsid w:val="00CE44F6"/>
    <w:rsid w:val="00CE49DA"/>
    <w:rsid w:val="00CE7B61"/>
    <w:rsid w:val="00CF386B"/>
    <w:rsid w:val="00D00095"/>
    <w:rsid w:val="00D00293"/>
    <w:rsid w:val="00D03309"/>
    <w:rsid w:val="00D114F0"/>
    <w:rsid w:val="00D20620"/>
    <w:rsid w:val="00D254F7"/>
    <w:rsid w:val="00D26091"/>
    <w:rsid w:val="00D2685C"/>
    <w:rsid w:val="00D34E7C"/>
    <w:rsid w:val="00D35489"/>
    <w:rsid w:val="00D36AFE"/>
    <w:rsid w:val="00D51276"/>
    <w:rsid w:val="00D7035F"/>
    <w:rsid w:val="00DA634F"/>
    <w:rsid w:val="00DA65AC"/>
    <w:rsid w:val="00DA711C"/>
    <w:rsid w:val="00DB1913"/>
    <w:rsid w:val="00DC410D"/>
    <w:rsid w:val="00DC5A81"/>
    <w:rsid w:val="00DC68CA"/>
    <w:rsid w:val="00DC7CBA"/>
    <w:rsid w:val="00DD73B7"/>
    <w:rsid w:val="00DF28BC"/>
    <w:rsid w:val="00DF34B9"/>
    <w:rsid w:val="00E01053"/>
    <w:rsid w:val="00E07ACF"/>
    <w:rsid w:val="00E12D1D"/>
    <w:rsid w:val="00E20D83"/>
    <w:rsid w:val="00E331A1"/>
    <w:rsid w:val="00E33202"/>
    <w:rsid w:val="00E336A9"/>
    <w:rsid w:val="00E45212"/>
    <w:rsid w:val="00E472B1"/>
    <w:rsid w:val="00E50624"/>
    <w:rsid w:val="00E568DF"/>
    <w:rsid w:val="00E57844"/>
    <w:rsid w:val="00E62159"/>
    <w:rsid w:val="00E64269"/>
    <w:rsid w:val="00E66797"/>
    <w:rsid w:val="00E73497"/>
    <w:rsid w:val="00E76543"/>
    <w:rsid w:val="00E77842"/>
    <w:rsid w:val="00E82267"/>
    <w:rsid w:val="00E853CE"/>
    <w:rsid w:val="00E867B6"/>
    <w:rsid w:val="00E87F08"/>
    <w:rsid w:val="00EA010F"/>
    <w:rsid w:val="00EA2429"/>
    <w:rsid w:val="00ED1B63"/>
    <w:rsid w:val="00ED3C1F"/>
    <w:rsid w:val="00ED4085"/>
    <w:rsid w:val="00ED420E"/>
    <w:rsid w:val="00ED6FBE"/>
    <w:rsid w:val="00EE2F57"/>
    <w:rsid w:val="00EF4C34"/>
    <w:rsid w:val="00EF77C6"/>
    <w:rsid w:val="00F05438"/>
    <w:rsid w:val="00F07F8F"/>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7B39"/>
    <w:rsid w:val="00FB0E6D"/>
    <w:rsid w:val="00FD3CC1"/>
    <w:rsid w:val="00FD691D"/>
    <w:rsid w:val="00FE444F"/>
    <w:rsid w:val="00FF1E02"/>
    <w:rsid w:val="00FF30B4"/>
    <w:rsid w:val="10C055FF"/>
    <w:rsid w:val="129136EE"/>
    <w:rsid w:val="14C46D32"/>
    <w:rsid w:val="152C17D5"/>
    <w:rsid w:val="16BB723D"/>
    <w:rsid w:val="1AB61394"/>
    <w:rsid w:val="240371BF"/>
    <w:rsid w:val="251909C0"/>
    <w:rsid w:val="29FD04D3"/>
    <w:rsid w:val="2EFC6807"/>
    <w:rsid w:val="319F7F4E"/>
    <w:rsid w:val="4ECE2238"/>
    <w:rsid w:val="586716AB"/>
    <w:rsid w:val="5B9037DE"/>
    <w:rsid w:val="682C0972"/>
    <w:rsid w:val="72734D90"/>
    <w:rsid w:val="76EA7D1D"/>
    <w:rsid w:val="DED690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1"/>
    <w:semiHidden/>
    <w:qFormat/>
    <w:uiPriority w:val="99"/>
    <w:rPr>
      <w:sz w:val="18"/>
      <w:szCs w:val="18"/>
    </w:rPr>
  </w:style>
  <w:style w:type="paragraph" w:styleId="8">
    <w:name w:val="footer"/>
    <w:basedOn w:val="1"/>
    <w:link w:val="25"/>
    <w:qFormat/>
    <w:uiPriority w:val="99"/>
    <w:pPr>
      <w:tabs>
        <w:tab w:val="center" w:pos="4153"/>
        <w:tab w:val="right" w:pos="8306"/>
      </w:tabs>
      <w:snapToGrid w:val="0"/>
      <w:jc w:val="left"/>
    </w:pPr>
    <w:rPr>
      <w:rFonts w:ascii="Calibri" w:hAnsi="Calibri"/>
      <w:kern w:val="0"/>
      <w:sz w:val="18"/>
      <w:szCs w:val="20"/>
    </w:rPr>
  </w:style>
  <w:style w:type="paragraph" w:styleId="9">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paragraph" w:styleId="12">
    <w:name w:val="Normal (Web)"/>
    <w:basedOn w:val="1"/>
    <w:semiHidden/>
    <w:unhideWhenUsed/>
    <w:qFormat/>
    <w:locked/>
    <w:uiPriority w:val="99"/>
    <w:pPr>
      <w:widowControl/>
      <w:spacing w:before="100" w:beforeAutospacing="1" w:after="100" w:afterAutospacing="1"/>
      <w:jc w:val="left"/>
    </w:pPr>
    <w:rPr>
      <w:rFonts w:ascii="宋体" w:hAnsi="宋体" w:cs="宋体"/>
      <w:kern w:val="0"/>
      <w:sz w:val="24"/>
    </w:rPr>
  </w:style>
  <w:style w:type="character" w:styleId="15">
    <w:name w:val="Strong"/>
    <w:qFormat/>
    <w:uiPriority w:val="99"/>
    <w:rPr>
      <w:rFonts w:cs="Times New Roman"/>
      <w:b/>
    </w:rPr>
  </w:style>
  <w:style w:type="character" w:styleId="16">
    <w:name w:val="Hyperlink"/>
    <w:qFormat/>
    <w:uiPriority w:val="99"/>
    <w:rPr>
      <w:rFonts w:cs="Times New Roman"/>
      <w:color w:val="0000FF"/>
      <w:u w:val="single"/>
    </w:rPr>
  </w:style>
  <w:style w:type="character" w:customStyle="1" w:styleId="17">
    <w:name w:val="标题 1 Char"/>
    <w:link w:val="2"/>
    <w:qFormat/>
    <w:locked/>
    <w:uiPriority w:val="99"/>
    <w:rPr>
      <w:rFonts w:ascii="Times New Roman" w:hAnsi="Times New Roman" w:cs="Times New Roman"/>
      <w:b/>
      <w:bCs/>
      <w:kern w:val="44"/>
      <w:sz w:val="44"/>
      <w:szCs w:val="44"/>
    </w:rPr>
  </w:style>
  <w:style w:type="character" w:customStyle="1" w:styleId="18">
    <w:name w:val="标题 2 Char"/>
    <w:link w:val="3"/>
    <w:qFormat/>
    <w:locked/>
    <w:uiPriority w:val="99"/>
    <w:rPr>
      <w:rFonts w:ascii="Cambria" w:hAnsi="Cambria" w:eastAsia="宋体" w:cs="Times New Roman"/>
      <w:b/>
      <w:bCs/>
      <w:kern w:val="2"/>
      <w:sz w:val="32"/>
      <w:szCs w:val="32"/>
    </w:rPr>
  </w:style>
  <w:style w:type="character" w:customStyle="1" w:styleId="19">
    <w:name w:val="标题 3 Char"/>
    <w:link w:val="4"/>
    <w:qFormat/>
    <w:locked/>
    <w:uiPriority w:val="99"/>
    <w:rPr>
      <w:rFonts w:ascii="Times New Roman" w:hAnsi="Times New Roman" w:cs="Times New Roman"/>
      <w:b/>
      <w:bCs/>
      <w:kern w:val="2"/>
      <w:sz w:val="32"/>
      <w:szCs w:val="32"/>
    </w:rPr>
  </w:style>
  <w:style w:type="character" w:customStyle="1" w:styleId="20">
    <w:name w:val="Body Text Char"/>
    <w:semiHidden/>
    <w:qFormat/>
    <w:locked/>
    <w:uiPriority w:val="99"/>
    <w:rPr>
      <w:rFonts w:ascii="Times New Roman" w:hAnsi="Times New Roman" w:cs="Times New Roman"/>
      <w:sz w:val="24"/>
      <w:szCs w:val="24"/>
    </w:rPr>
  </w:style>
  <w:style w:type="character" w:customStyle="1" w:styleId="21">
    <w:name w:val="批注框文本 Char"/>
    <w:link w:val="7"/>
    <w:semiHidden/>
    <w:qFormat/>
    <w:locked/>
    <w:uiPriority w:val="99"/>
    <w:rPr>
      <w:rFonts w:ascii="Times New Roman" w:hAnsi="Times New Roman" w:cs="Times New Roman"/>
      <w:kern w:val="2"/>
      <w:sz w:val="18"/>
      <w:szCs w:val="18"/>
    </w:rPr>
  </w:style>
  <w:style w:type="character" w:customStyle="1" w:styleId="22">
    <w:name w:val="Footer Char"/>
    <w:semiHidden/>
    <w:qFormat/>
    <w:locked/>
    <w:uiPriority w:val="99"/>
    <w:rPr>
      <w:rFonts w:ascii="Times New Roman" w:hAnsi="Times New Roman" w:cs="Times New Roman"/>
      <w:sz w:val="18"/>
      <w:szCs w:val="18"/>
    </w:rPr>
  </w:style>
  <w:style w:type="character" w:customStyle="1" w:styleId="23">
    <w:name w:val="Header Char"/>
    <w:semiHidden/>
    <w:qFormat/>
    <w:locked/>
    <w:uiPriority w:val="99"/>
    <w:rPr>
      <w:rFonts w:ascii="Times New Roman" w:hAnsi="Times New Roman" w:cs="Times New Roman"/>
      <w:sz w:val="18"/>
      <w:szCs w:val="18"/>
    </w:rPr>
  </w:style>
  <w:style w:type="character" w:customStyle="1" w:styleId="24">
    <w:name w:val="页眉 Char"/>
    <w:link w:val="9"/>
    <w:semiHidden/>
    <w:qFormat/>
    <w:locked/>
    <w:uiPriority w:val="99"/>
    <w:rPr>
      <w:sz w:val="18"/>
    </w:rPr>
  </w:style>
  <w:style w:type="character" w:customStyle="1" w:styleId="25">
    <w:name w:val="页脚 Char"/>
    <w:link w:val="8"/>
    <w:qFormat/>
    <w:locked/>
    <w:uiPriority w:val="99"/>
    <w:rPr>
      <w:sz w:val="18"/>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0">
    <w:name w:val="TOC Heading"/>
    <w:basedOn w:val="2"/>
    <w:next w:val="1"/>
    <w:qFormat/>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2EEE8E-E962-4D7B-9C2E-93F718254AA7}">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51</Pages>
  <Words>3220</Words>
  <Characters>18360</Characters>
  <Lines>153</Lines>
  <Paragraphs>43</Paragraphs>
  <TotalTime>1</TotalTime>
  <ScaleCrop>false</ScaleCrop>
  <LinksUpToDate>false</LinksUpToDate>
  <CharactersWithSpaces>21537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2020-09-09T17:58:00Z</cp:lastPrinted>
  <dcterms:modified xsi:type="dcterms:W3CDTF">2026-08-24T09:01:03Z</dcterms:modified>
  <dc:title>四川省***</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SaveFontToCloudKey">
    <vt:lpwstr>348854740_cloud</vt:lpwstr>
  </property>
  <property fmtid="{D5CDD505-2E9C-101B-9397-08002B2CF9AE}" pid="4" name="ICV">
    <vt:lpwstr>0F4767F875F04571B35B340DE26F8F73</vt:lpwstr>
  </property>
</Properties>
</file>