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方正小标宋简体" w:hAnsi="宋体" w:eastAsia="方正小标宋简体"/>
          <w:color w:val="000000"/>
          <w:sz w:val="72"/>
          <w:szCs w:val="72"/>
        </w:rPr>
      </w:pPr>
      <w:bookmarkStart w:id="0" w:name="_Toc15306267"/>
    </w:p>
    <w:p>
      <w:pPr>
        <w:spacing w:line="360" w:lineRule="auto"/>
        <w:jc w:val="center"/>
        <w:outlineLvl w:val="0"/>
        <w:rPr>
          <w:rFonts w:ascii="方正小标宋简体" w:hAnsi="宋体" w:eastAsia="方正小标宋简体"/>
          <w:color w:val="000000"/>
          <w:sz w:val="72"/>
          <w:szCs w:val="72"/>
        </w:rPr>
      </w:pPr>
    </w:p>
    <w:p>
      <w:pPr>
        <w:spacing w:line="360" w:lineRule="auto"/>
        <w:jc w:val="center"/>
        <w:outlineLvl w:val="0"/>
        <w:rPr>
          <w:rFonts w:ascii="方正小标宋简体" w:hAnsi="宋体" w:eastAsia="方正小标宋简体"/>
          <w:color w:val="000000"/>
          <w:sz w:val="72"/>
          <w:szCs w:val="72"/>
        </w:rPr>
      </w:pPr>
    </w:p>
    <w:p>
      <w:pPr>
        <w:spacing w:line="360" w:lineRule="auto"/>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193"/>
      <w:bookmarkStart w:id="3" w:name="_Toc15377425"/>
      <w:bookmarkStart w:id="4" w:name="_Toc15378441"/>
      <w:bookmarkStart w:id="5" w:name="_Toc15396597"/>
      <w:r>
        <w:rPr>
          <w:rFonts w:hint="eastAsia" w:ascii="黑体" w:hAnsi="黑体" w:eastAsia="黑体"/>
          <w:color w:val="000000"/>
          <w:sz w:val="72"/>
          <w:szCs w:val="72"/>
          <w:lang w:eastAsia="zh-CN"/>
        </w:rPr>
        <w:t>2023</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6" w:name="_Toc15377194"/>
      <w:bookmarkStart w:id="7" w:name="_Toc15377426"/>
      <w:bookmarkStart w:id="8" w:name="_Toc15306268"/>
      <w:bookmarkStart w:id="9" w:name="_Toc15396598"/>
      <w:bookmarkStart w:id="10" w:name="_Toc15378442"/>
      <w:bookmarkStart w:id="11" w:name="_Toc15396476"/>
      <w:r>
        <w:rPr>
          <w:rFonts w:hint="eastAsia" w:ascii="方正小标宋简体" w:hAnsi="宋体" w:eastAsia="方正小标宋简体"/>
          <w:color w:val="000000"/>
          <w:sz w:val="72"/>
          <w:szCs w:val="72"/>
        </w:rPr>
        <w:t>米易县公安局部门决算</w:t>
      </w:r>
      <w:bookmarkEnd w:id="6"/>
      <w:bookmarkEnd w:id="7"/>
      <w:bookmarkEnd w:id="8"/>
      <w:bookmarkEnd w:id="9"/>
      <w:bookmarkEnd w:id="10"/>
      <w:bookmarkEnd w:id="11"/>
    </w:p>
    <w:p>
      <w:pPr>
        <w:adjustRightInd w:val="0"/>
        <w:snapToGrid w:val="0"/>
        <w:spacing w:line="360" w:lineRule="auto"/>
        <w:jc w:val="center"/>
        <w:outlineLvl w:val="0"/>
        <w:rPr>
          <w:rFonts w:hint="default" w:ascii="方正小标宋简体" w:hAnsi="宋体" w:eastAsia="方正小标宋简体"/>
          <w:color w:val="000000"/>
          <w:sz w:val="72"/>
          <w:szCs w:val="72"/>
          <w:lang w:val="en-US" w:eastAsia="zh-CN"/>
        </w:rPr>
      </w:pPr>
      <w:r>
        <w:rPr>
          <w:rFonts w:hint="eastAsia" w:ascii="方正小标宋简体" w:hAnsi="宋体" w:eastAsia="方正小标宋简体"/>
          <w:color w:val="000000"/>
          <w:sz w:val="72"/>
          <w:szCs w:val="72"/>
          <w:lang w:val="en-US" w:eastAsia="zh-CN"/>
        </w:rPr>
        <w:t>公开编制说明</w:t>
      </w:r>
    </w:p>
    <w:p>
      <w:pPr>
        <w:adjustRightInd w:val="0"/>
        <w:snapToGrid w:val="0"/>
        <w:spacing w:line="360" w:lineRule="auto"/>
        <w:jc w:val="center"/>
        <w:outlineLvl w:val="0"/>
        <w:rPr>
          <w:rFonts w:hint="eastAsia" w:ascii="方正小标宋简体" w:hAnsi="宋体" w:eastAsia="方正小标宋简体"/>
          <w:color w:val="000000"/>
          <w:sz w:val="72"/>
          <w:szCs w:val="72"/>
        </w:rPr>
      </w:pPr>
    </w:p>
    <w:p>
      <w:pPr>
        <w:widowControl/>
        <w:spacing w:line="360" w:lineRule="auto"/>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spacing w:line="360" w:lineRule="auto"/>
        <w:jc w:val="center"/>
        <w:rPr>
          <w:rFonts w:ascii="黑体" w:hAnsi="黑体" w:eastAsia="黑体" w:cstheme="minorBidi"/>
          <w:sz w:val="28"/>
          <w:szCs w:val="28"/>
        </w:rPr>
      </w:pPr>
    </w:p>
    <w:p>
      <w:pPr>
        <w:pStyle w:val="10"/>
        <w:spacing w:before="0" w:line="360" w:lineRule="auto"/>
      </w:pPr>
      <w:r>
        <w:rPr>
          <w:rFonts w:hint="eastAsia"/>
        </w:rPr>
        <w:t>公开时间：202</w:t>
      </w:r>
      <w:r>
        <w:rPr>
          <w:rFonts w:hint="eastAsia"/>
          <w:lang w:val="en-US" w:eastAsia="zh-CN"/>
        </w:rPr>
        <w:t>4</w:t>
      </w:r>
      <w:r>
        <w:rPr>
          <w:rFonts w:hint="eastAsia"/>
        </w:rPr>
        <w:t>年</w:t>
      </w:r>
      <w:r>
        <w:rPr>
          <w:rFonts w:hint="eastAsia"/>
          <w:lang w:val="en-US" w:eastAsia="zh-CN"/>
        </w:rPr>
        <w:t>9</w:t>
      </w:r>
      <w:r>
        <w:rPr>
          <w:rFonts w:hint="eastAsia"/>
        </w:rPr>
        <w:t>月</w:t>
      </w:r>
      <w:r>
        <w:rPr>
          <w:rFonts w:hint="eastAsia"/>
          <w:lang w:val="en-US" w:eastAsia="zh-CN"/>
        </w:rPr>
        <w:t>23</w:t>
      </w:r>
      <w:r>
        <w:rPr>
          <w:rFonts w:hint="eastAsia"/>
        </w:rPr>
        <w:t>日</w:t>
      </w:r>
    </w:p>
    <w:p>
      <w:pPr>
        <w:spacing w:line="360" w:lineRule="auto"/>
      </w:pPr>
    </w:p>
    <w:p>
      <w:pPr>
        <w:pStyle w:val="10"/>
        <w:adjustRightInd w:val="0"/>
        <w:snapToGrid w:val="0"/>
        <w:spacing w:before="0" w:line="360" w:lineRule="auto"/>
        <w:jc w:val="left"/>
        <w:rPr>
          <w:rFonts w:cstheme="minorBidi"/>
          <w:sz w:val="24"/>
          <w:szCs w:val="24"/>
        </w:rPr>
      </w:pPr>
      <w:r>
        <w:rPr>
          <w:rFonts w:hint="eastAsia"/>
          <w:sz w:val="24"/>
        </w:rPr>
        <w:t>第一部分</w:t>
      </w:r>
      <w:r>
        <w:rPr>
          <w:rFonts w:hint="eastAsia"/>
          <w:sz w:val="24"/>
          <w:lang w:val="en-US" w:eastAsia="zh-CN"/>
        </w:rPr>
        <w:t xml:space="preserve"> </w:t>
      </w:r>
      <w:r>
        <w:rPr>
          <w:rFonts w:hint="eastAsia"/>
          <w:sz w:val="24"/>
        </w:rPr>
        <w:t>部门概况</w:t>
      </w:r>
      <w:r>
        <w:rPr>
          <w:rFonts w:hint="eastAsia" w:ascii="Times New Roman" w:hAnsi="Times New Roman" w:eastAsia="宋体"/>
          <w:sz w:val="24"/>
          <w:szCs w:val="24"/>
        </w:rPr>
        <w:t>..............................................................................................4</w:t>
      </w:r>
    </w:p>
    <w:p>
      <w:pPr>
        <w:pStyle w:val="11"/>
        <w:adjustRightInd w:val="0"/>
        <w:snapToGrid w:val="0"/>
        <w:spacing w:line="360" w:lineRule="auto"/>
        <w:jc w:val="left"/>
        <w:rPr>
          <w:rFonts w:ascii="仿宋" w:hAnsi="仿宋" w:eastAsia="仿宋"/>
          <w:sz w:val="24"/>
        </w:rPr>
      </w:pPr>
      <w:r>
        <w:rPr>
          <w:rFonts w:hint="eastAsia"/>
          <w:sz w:val="24"/>
        </w:rPr>
        <w:t>一、</w:t>
      </w:r>
      <w:r>
        <w:rPr>
          <w:rFonts w:hint="eastAsia"/>
          <w:sz w:val="24"/>
          <w:lang w:val="en-US" w:eastAsia="zh-CN"/>
        </w:rPr>
        <w:t>部门职责</w:t>
      </w:r>
      <w:r>
        <w:rPr>
          <w:rFonts w:hint="eastAsia"/>
          <w:sz w:val="24"/>
        </w:rPr>
        <w:t>................................................................................................4</w:t>
      </w:r>
    </w:p>
    <w:p>
      <w:pPr>
        <w:pStyle w:val="11"/>
        <w:adjustRightInd w:val="0"/>
        <w:snapToGrid w:val="0"/>
        <w:spacing w:line="360" w:lineRule="auto"/>
        <w:jc w:val="left"/>
        <w:rPr>
          <w:rFonts w:hint="eastAsia" w:ascii="仿宋" w:hAnsi="仿宋" w:eastAsia="宋体" w:cstheme="minorBidi"/>
          <w:sz w:val="24"/>
          <w:lang w:eastAsia="zh-CN"/>
        </w:rPr>
      </w:pPr>
      <w:r>
        <w:rPr>
          <w:rFonts w:hint="eastAsia"/>
          <w:sz w:val="24"/>
        </w:rPr>
        <w:t>二、机构设置................................................................................................</w:t>
      </w:r>
      <w:r>
        <w:rPr>
          <w:rFonts w:hint="eastAsia"/>
          <w:sz w:val="24"/>
          <w:lang w:val="en-US" w:eastAsia="zh-CN"/>
        </w:rPr>
        <w:t>4</w:t>
      </w:r>
    </w:p>
    <w:p>
      <w:pPr>
        <w:pStyle w:val="10"/>
        <w:adjustRightInd w:val="0"/>
        <w:snapToGrid w:val="0"/>
        <w:spacing w:before="0" w:line="360" w:lineRule="auto"/>
        <w:jc w:val="left"/>
        <w:rPr>
          <w:rFonts w:hint="eastAsia"/>
          <w:sz w:val="24"/>
          <w:lang w:val="en-US" w:eastAsia="zh-CN"/>
        </w:rPr>
      </w:pPr>
      <w:r>
        <w:rPr>
          <w:rFonts w:hint="eastAsia"/>
          <w:sz w:val="24"/>
          <w:lang w:val="en-US" w:eastAsia="zh-CN"/>
        </w:rPr>
        <w:t xml:space="preserve">   三、</w:t>
      </w:r>
      <w:r>
        <w:rPr>
          <w:rFonts w:hint="eastAsia" w:ascii="Times New Roman" w:hAnsi="Times New Roman" w:eastAsia="宋体" w:cs="Times New Roman"/>
          <w:kern w:val="2"/>
          <w:sz w:val="24"/>
          <w:szCs w:val="24"/>
          <w:lang w:val="en-US" w:eastAsia="zh-CN" w:bidi="ar-SA"/>
        </w:rPr>
        <w:t>2023年重点工作完成情况</w:t>
      </w:r>
      <w:r>
        <w:rPr>
          <w:rFonts w:hint="eastAsia"/>
          <w:sz w:val="24"/>
          <w:lang w:val="en-US" w:eastAsia="zh-CN"/>
        </w:rPr>
        <w:t>..................................5</w:t>
      </w:r>
    </w:p>
    <w:p>
      <w:pPr>
        <w:pStyle w:val="10"/>
        <w:adjustRightInd w:val="0"/>
        <w:snapToGrid w:val="0"/>
        <w:spacing w:before="0" w:line="360" w:lineRule="auto"/>
        <w:jc w:val="left"/>
        <w:rPr>
          <w:rFonts w:hint="eastAsia" w:eastAsia="宋体"/>
          <w:sz w:val="24"/>
          <w:szCs w:val="24"/>
          <w:lang w:eastAsia="zh-CN"/>
        </w:rPr>
      </w:pPr>
      <w:r>
        <w:rPr>
          <w:rFonts w:hint="eastAsia"/>
          <w:sz w:val="24"/>
        </w:rPr>
        <w:t>第二部分</w:t>
      </w:r>
      <w:r>
        <w:rPr>
          <w:rFonts w:hint="eastAsia" w:ascii="Times New Roman" w:hAnsi="Times New Roman" w:eastAsia="宋体" w:cs="Times New Roman"/>
          <w:kern w:val="2"/>
          <w:sz w:val="24"/>
          <w:szCs w:val="24"/>
          <w:lang w:val="en-US" w:eastAsia="zh-CN" w:bidi="ar-SA"/>
        </w:rPr>
        <w:t xml:space="preserve"> 2023度部门决算情况说明</w:t>
      </w:r>
      <w:r>
        <w:rPr>
          <w:rFonts w:hint="eastAsia" w:ascii="Times New Roman" w:hAnsi="Times New Roman" w:eastAsia="宋体"/>
          <w:sz w:val="24"/>
          <w:szCs w:val="24"/>
        </w:rPr>
        <w:t>...............................................................</w:t>
      </w:r>
      <w:r>
        <w:rPr>
          <w:rFonts w:hint="eastAsia" w:ascii="Times New Roman" w:hAnsi="Times New Roman" w:eastAsia="宋体"/>
          <w:sz w:val="24"/>
          <w:szCs w:val="24"/>
          <w:lang w:val="en-US" w:eastAsia="zh-CN"/>
        </w:rPr>
        <w:t>6</w:t>
      </w:r>
    </w:p>
    <w:p>
      <w:pPr>
        <w:pStyle w:val="11"/>
        <w:adjustRightInd w:val="0"/>
        <w:snapToGrid w:val="0"/>
        <w:spacing w:line="360" w:lineRule="auto"/>
        <w:jc w:val="left"/>
        <w:rPr>
          <w:rFonts w:hint="eastAsia" w:eastAsia="宋体"/>
          <w:sz w:val="24"/>
          <w:lang w:eastAsia="zh-CN"/>
        </w:rPr>
      </w:pPr>
      <w:r>
        <w:rPr>
          <w:rFonts w:hint="eastAsia"/>
          <w:sz w:val="24"/>
        </w:rPr>
        <w:t>一、收入支出决算总体情况说明...............................................................</w:t>
      </w:r>
      <w:r>
        <w:rPr>
          <w:rFonts w:hint="eastAsia"/>
          <w:sz w:val="24"/>
          <w:lang w:val="en-US" w:eastAsia="zh-CN"/>
        </w:rPr>
        <w:t>6</w:t>
      </w:r>
    </w:p>
    <w:p>
      <w:pPr>
        <w:pStyle w:val="11"/>
        <w:adjustRightInd w:val="0"/>
        <w:snapToGrid w:val="0"/>
        <w:spacing w:line="360" w:lineRule="auto"/>
        <w:jc w:val="left"/>
        <w:rPr>
          <w:rFonts w:hint="eastAsia" w:eastAsia="宋体"/>
          <w:sz w:val="24"/>
          <w:lang w:eastAsia="zh-CN"/>
        </w:rPr>
      </w:pPr>
      <w:r>
        <w:rPr>
          <w:rFonts w:hint="eastAsia"/>
          <w:sz w:val="24"/>
        </w:rPr>
        <w:t>二、收入决算情况说明...............................................................................</w:t>
      </w:r>
      <w:r>
        <w:rPr>
          <w:rFonts w:hint="eastAsia"/>
          <w:sz w:val="24"/>
          <w:lang w:val="en-US" w:eastAsia="zh-CN"/>
        </w:rPr>
        <w:t>6</w:t>
      </w:r>
    </w:p>
    <w:p>
      <w:pPr>
        <w:pStyle w:val="11"/>
        <w:adjustRightInd w:val="0"/>
        <w:snapToGrid w:val="0"/>
        <w:spacing w:line="360" w:lineRule="auto"/>
        <w:jc w:val="left"/>
        <w:rPr>
          <w:rFonts w:hint="eastAsia" w:eastAsia="宋体"/>
          <w:sz w:val="24"/>
          <w:lang w:eastAsia="zh-CN"/>
        </w:rPr>
      </w:pPr>
      <w:r>
        <w:rPr>
          <w:rFonts w:hint="eastAsia"/>
          <w:sz w:val="24"/>
        </w:rPr>
        <w:t>三、支出决算情况说明...............................................................................</w:t>
      </w:r>
      <w:r>
        <w:rPr>
          <w:rFonts w:hint="eastAsia"/>
          <w:sz w:val="24"/>
          <w:lang w:val="en-US" w:eastAsia="zh-CN"/>
        </w:rPr>
        <w:t>7</w:t>
      </w:r>
    </w:p>
    <w:p>
      <w:pPr>
        <w:pStyle w:val="11"/>
        <w:adjustRightInd w:val="0"/>
        <w:snapToGrid w:val="0"/>
        <w:spacing w:line="360" w:lineRule="auto"/>
        <w:jc w:val="left"/>
        <w:rPr>
          <w:rFonts w:hint="eastAsia" w:eastAsia="宋体"/>
          <w:sz w:val="24"/>
          <w:lang w:eastAsia="zh-CN"/>
        </w:rPr>
      </w:pPr>
      <w:r>
        <w:rPr>
          <w:rFonts w:hint="eastAsia"/>
          <w:sz w:val="24"/>
        </w:rPr>
        <w:t>四、财政拨款收入支出决算总体情况说明...............................................</w:t>
      </w:r>
      <w:r>
        <w:rPr>
          <w:rFonts w:hint="eastAsia"/>
          <w:sz w:val="24"/>
          <w:lang w:val="en-US" w:eastAsia="zh-CN"/>
        </w:rPr>
        <w:t>7</w:t>
      </w:r>
    </w:p>
    <w:p>
      <w:pPr>
        <w:pStyle w:val="11"/>
        <w:adjustRightInd w:val="0"/>
        <w:snapToGrid w:val="0"/>
        <w:spacing w:line="360" w:lineRule="auto"/>
        <w:jc w:val="left"/>
        <w:rPr>
          <w:rFonts w:hint="eastAsia" w:eastAsia="宋体"/>
          <w:sz w:val="24"/>
          <w:lang w:eastAsia="zh-CN"/>
        </w:rPr>
      </w:pPr>
      <w:r>
        <w:rPr>
          <w:rFonts w:hint="eastAsia"/>
          <w:sz w:val="24"/>
        </w:rPr>
        <w:t>五、一般公共预算财政拨款支出决算情况说明.......................................</w:t>
      </w:r>
      <w:r>
        <w:rPr>
          <w:rFonts w:hint="eastAsia"/>
          <w:sz w:val="24"/>
          <w:lang w:val="en-US" w:eastAsia="zh-CN"/>
        </w:rPr>
        <w:t>8</w:t>
      </w:r>
    </w:p>
    <w:p>
      <w:pPr>
        <w:pStyle w:val="11"/>
        <w:adjustRightInd w:val="0"/>
        <w:snapToGrid w:val="0"/>
        <w:spacing w:line="360" w:lineRule="auto"/>
        <w:jc w:val="left"/>
        <w:rPr>
          <w:rFonts w:hint="eastAsia" w:eastAsia="宋体"/>
          <w:sz w:val="24"/>
          <w:lang w:eastAsia="zh-CN"/>
        </w:rPr>
      </w:pPr>
      <w:r>
        <w:rPr>
          <w:rFonts w:hint="eastAsia"/>
          <w:sz w:val="24"/>
        </w:rPr>
        <w:t>六、一般公共预算财政拨款基本支出决算情况说明.............................1</w:t>
      </w:r>
      <w:r>
        <w:rPr>
          <w:rFonts w:hint="eastAsia"/>
          <w:sz w:val="24"/>
          <w:lang w:val="en-US" w:eastAsia="zh-CN"/>
        </w:rPr>
        <w:t>1</w:t>
      </w:r>
    </w:p>
    <w:p>
      <w:pPr>
        <w:pStyle w:val="11"/>
        <w:adjustRightInd w:val="0"/>
        <w:snapToGrid w:val="0"/>
        <w:spacing w:line="360" w:lineRule="auto"/>
        <w:jc w:val="left"/>
        <w:rPr>
          <w:rFonts w:hint="eastAsia" w:eastAsia="宋体"/>
          <w:sz w:val="24"/>
          <w:lang w:eastAsia="zh-CN"/>
        </w:rPr>
      </w:pPr>
      <w:r>
        <w:rPr>
          <w:rFonts w:hint="eastAsia"/>
          <w:sz w:val="24"/>
        </w:rPr>
        <w:t>七、“三公”经费财政拨款支出决算情况说明.....................................1</w:t>
      </w:r>
      <w:r>
        <w:rPr>
          <w:rFonts w:hint="eastAsia"/>
          <w:sz w:val="24"/>
          <w:lang w:val="en-US" w:eastAsia="zh-CN"/>
        </w:rPr>
        <w:t>1</w:t>
      </w:r>
    </w:p>
    <w:p>
      <w:pPr>
        <w:pStyle w:val="11"/>
        <w:adjustRightInd w:val="0"/>
        <w:snapToGrid w:val="0"/>
        <w:spacing w:line="360" w:lineRule="auto"/>
        <w:jc w:val="left"/>
        <w:rPr>
          <w:rFonts w:hint="eastAsia" w:eastAsia="宋体"/>
          <w:sz w:val="24"/>
          <w:lang w:eastAsia="zh-CN"/>
        </w:rPr>
      </w:pPr>
      <w:r>
        <w:rPr>
          <w:rFonts w:hint="eastAsia"/>
          <w:sz w:val="24"/>
        </w:rPr>
        <w:t>八、政府性基金预算支出决算情况说明.................................................1</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九、 国有资本经营预算支出决算情况说明...........................................1</w:t>
      </w:r>
      <w:r>
        <w:rPr>
          <w:rFonts w:hint="eastAsia"/>
          <w:sz w:val="24"/>
          <w:lang w:val="en-US" w:eastAsia="zh-CN"/>
        </w:rPr>
        <w:t>3</w:t>
      </w:r>
    </w:p>
    <w:p>
      <w:pPr>
        <w:pStyle w:val="11"/>
        <w:adjustRightInd w:val="0"/>
        <w:snapToGrid w:val="0"/>
        <w:spacing w:line="360" w:lineRule="auto"/>
        <w:jc w:val="left"/>
        <w:rPr>
          <w:rFonts w:hint="eastAsia" w:ascii="仿宋" w:hAnsi="仿宋" w:eastAsia="宋体" w:cstheme="minorBidi"/>
          <w:sz w:val="24"/>
          <w:lang w:eastAsia="zh-CN"/>
        </w:rPr>
      </w:pPr>
      <w:r>
        <w:rPr>
          <w:rFonts w:hint="eastAsia"/>
          <w:sz w:val="24"/>
        </w:rPr>
        <w:t>十、其他重要事项的情况说明.................................................................1</w:t>
      </w:r>
      <w:r>
        <w:rPr>
          <w:rFonts w:hint="eastAsia"/>
          <w:sz w:val="24"/>
          <w:lang w:val="en-US" w:eastAsia="zh-CN"/>
        </w:rPr>
        <w:t>4</w:t>
      </w:r>
    </w:p>
    <w:p>
      <w:pPr>
        <w:pStyle w:val="10"/>
        <w:adjustRightInd w:val="0"/>
        <w:snapToGrid w:val="0"/>
        <w:spacing w:before="0" w:line="360" w:lineRule="auto"/>
        <w:jc w:val="left"/>
        <w:rPr>
          <w:rFonts w:hint="eastAsia" w:eastAsia="宋体" w:cstheme="minorBidi"/>
          <w:sz w:val="24"/>
          <w:szCs w:val="24"/>
          <w:lang w:val="en-US" w:eastAsia="zh-CN"/>
        </w:rPr>
      </w:pPr>
      <w:r>
        <w:rPr>
          <w:rFonts w:hint="eastAsia"/>
          <w:sz w:val="24"/>
        </w:rPr>
        <w:t>第三部分名词解释</w:t>
      </w:r>
      <w:r>
        <w:rPr>
          <w:rFonts w:hint="eastAsia" w:ascii="Times New Roman" w:hAnsi="Times New Roman" w:eastAsia="宋体"/>
          <w:sz w:val="24"/>
          <w:szCs w:val="24"/>
        </w:rPr>
        <w:t>............................................................................................2</w:t>
      </w:r>
      <w:r>
        <w:rPr>
          <w:rFonts w:hint="eastAsia" w:ascii="Times New Roman" w:hAnsi="Times New Roman" w:eastAsia="宋体"/>
          <w:sz w:val="24"/>
          <w:szCs w:val="24"/>
          <w:lang w:val="en-US" w:eastAsia="zh-CN"/>
        </w:rPr>
        <w:t>0</w:t>
      </w:r>
    </w:p>
    <w:p>
      <w:pPr>
        <w:pStyle w:val="10"/>
        <w:adjustRightInd w:val="0"/>
        <w:snapToGrid w:val="0"/>
        <w:spacing w:before="0" w:line="360" w:lineRule="auto"/>
        <w:jc w:val="left"/>
        <w:rPr>
          <w:rFonts w:hint="eastAsia" w:eastAsia="宋体" w:cstheme="minorBidi"/>
          <w:sz w:val="24"/>
          <w:szCs w:val="24"/>
          <w:lang w:eastAsia="zh-CN"/>
        </w:rPr>
      </w:pPr>
      <w:r>
        <w:rPr>
          <w:rFonts w:hint="eastAsia"/>
          <w:sz w:val="24"/>
        </w:rPr>
        <w:t>第四部分附件</w:t>
      </w:r>
      <w:r>
        <w:rPr>
          <w:rFonts w:hint="eastAsia" w:ascii="Times New Roman" w:hAnsi="Times New Roman" w:eastAsia="宋体"/>
          <w:sz w:val="24"/>
          <w:szCs w:val="24"/>
        </w:rPr>
        <w:t>....................................................................................................2</w:t>
      </w:r>
      <w:r>
        <w:rPr>
          <w:rFonts w:hint="eastAsia" w:ascii="Times New Roman" w:hAnsi="Times New Roman" w:eastAsia="宋体"/>
          <w:sz w:val="24"/>
          <w:szCs w:val="24"/>
          <w:lang w:val="en-US" w:eastAsia="zh-CN"/>
        </w:rPr>
        <w:t>2</w:t>
      </w:r>
    </w:p>
    <w:p>
      <w:pPr>
        <w:pStyle w:val="11"/>
        <w:adjustRightInd w:val="0"/>
        <w:snapToGrid w:val="0"/>
        <w:spacing w:line="360" w:lineRule="auto"/>
        <w:jc w:val="left"/>
        <w:rPr>
          <w:rFonts w:hint="eastAsia" w:eastAsia="宋体"/>
          <w:sz w:val="24"/>
          <w:lang w:eastAsia="zh-CN"/>
        </w:rPr>
      </w:pPr>
      <w:r>
        <w:rPr>
          <w:rFonts w:hint="eastAsia"/>
          <w:sz w:val="24"/>
        </w:rPr>
        <w:t>附件</w:t>
      </w:r>
      <w:r>
        <w:rPr>
          <w:sz w:val="24"/>
        </w:rPr>
        <w:t>1</w:t>
      </w:r>
      <w:r>
        <w:rPr>
          <w:rFonts w:hint="eastAsia" w:ascii="仿宋" w:hAnsi="仿宋" w:eastAsia="仿宋" w:cs="仿宋"/>
          <w:color w:val="000000"/>
          <w:kern w:val="0"/>
          <w:sz w:val="24"/>
        </w:rPr>
        <w:t>部门</w:t>
      </w:r>
      <w:r>
        <w:rPr>
          <w:rFonts w:hint="eastAsia" w:ascii="仿宋" w:hAnsi="仿宋" w:eastAsia="仿宋" w:cs="仿宋"/>
          <w:color w:val="000000"/>
          <w:kern w:val="0"/>
          <w:sz w:val="24"/>
          <w:lang w:val="zh-CN"/>
        </w:rPr>
        <w:t>整体支出绩效评价报告</w:t>
      </w:r>
      <w:r>
        <w:rPr>
          <w:rFonts w:hint="eastAsia"/>
          <w:sz w:val="24"/>
        </w:rPr>
        <w:t>.........................................................2</w:t>
      </w:r>
      <w:r>
        <w:rPr>
          <w:rFonts w:hint="eastAsia"/>
          <w:sz w:val="24"/>
          <w:lang w:val="en-US" w:eastAsia="zh-CN"/>
        </w:rPr>
        <w:t>2</w:t>
      </w:r>
    </w:p>
    <w:p>
      <w:pPr>
        <w:ind w:firstLine="480" w:firstLineChars="200"/>
        <w:rPr>
          <w:rFonts w:hint="default" w:eastAsia="宋体"/>
          <w:lang w:val="en-US" w:eastAsia="zh-CN"/>
        </w:rPr>
      </w:pPr>
      <w:r>
        <w:rPr>
          <w:rFonts w:hint="eastAsia" w:ascii="Times New Roman" w:hAnsi="Times New Roman" w:eastAsia="宋体" w:cs="Times New Roman"/>
          <w:kern w:val="2"/>
          <w:sz w:val="24"/>
          <w:szCs w:val="24"/>
          <w:lang w:val="en-US" w:eastAsia="zh-CN" w:bidi="ar-SA"/>
        </w:rPr>
        <w:t>附件2.</w:t>
      </w:r>
      <w:r>
        <w:rPr>
          <w:rFonts w:hint="eastAsia" w:cs="Times New Roman"/>
          <w:kern w:val="2"/>
          <w:sz w:val="24"/>
          <w:szCs w:val="24"/>
          <w:lang w:val="en-US" w:eastAsia="zh-CN" w:bidi="ar-SA"/>
        </w:rPr>
        <w:t>看守所</w:t>
      </w:r>
      <w:r>
        <w:rPr>
          <w:rFonts w:hint="eastAsia" w:ascii="Times New Roman" w:hAnsi="Times New Roman" w:eastAsia="宋体" w:cs="Times New Roman"/>
          <w:kern w:val="2"/>
          <w:sz w:val="24"/>
          <w:szCs w:val="24"/>
          <w:lang w:val="en-US" w:eastAsia="zh-CN" w:bidi="ar-SA"/>
        </w:rPr>
        <w:t>经费项目绩效评价报告....................................................</w:t>
      </w:r>
      <w:r>
        <w:rPr>
          <w:rFonts w:hint="eastAsia"/>
          <w:lang w:val="en-US" w:eastAsia="zh-CN"/>
        </w:rPr>
        <w:t>29</w:t>
      </w:r>
    </w:p>
    <w:p>
      <w:pPr>
        <w:pStyle w:val="10"/>
        <w:adjustRightInd w:val="0"/>
        <w:snapToGrid w:val="0"/>
        <w:spacing w:before="0" w:line="360" w:lineRule="auto"/>
        <w:jc w:val="left"/>
        <w:rPr>
          <w:rFonts w:hint="eastAsia" w:eastAsia="宋体" w:cstheme="minorBidi"/>
          <w:sz w:val="24"/>
          <w:szCs w:val="24"/>
          <w:lang w:eastAsia="zh-CN"/>
        </w:rPr>
      </w:pPr>
      <w:r>
        <w:rPr>
          <w:rFonts w:hint="eastAsia"/>
          <w:sz w:val="24"/>
        </w:rPr>
        <w:t>第五部分附表</w:t>
      </w:r>
      <w:r>
        <w:rPr>
          <w:rFonts w:hint="eastAsia" w:ascii="Times New Roman" w:hAnsi="Times New Roman" w:eastAsia="宋体"/>
          <w:sz w:val="24"/>
          <w:szCs w:val="24"/>
        </w:rPr>
        <w:t>....................................................................................................3</w:t>
      </w:r>
      <w:r>
        <w:rPr>
          <w:rFonts w:hint="eastAsia" w:ascii="Times New Roman" w:hAnsi="Times New Roman" w:eastAsia="宋体"/>
          <w:sz w:val="24"/>
          <w:szCs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一、收入支出决算总表.............................................................................3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二、收入决算表.........................................................................................3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三、支出决算表.........................................................................................3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四、财政拨款收入支出决算总表.............................................................3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五、财政拨款支出决算明细表.................................................................3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六、一般公共预算财政拨款支出决算表.................................................3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七、一般公共预算财政拨款支出决算明细表.........................................3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八、一般公共预算财政拨款基本支出决算表.........................................3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九、一般公共预算财政拨款项目支出决算表.........................................3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十、政府性基金预算财政拨款收入支出决算表.....................................3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十一、国有资本经营预算财政拨款收入支出决算表.............................3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十二、国有资本经营预算财政拨款支出决算表.....................................3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r>
        <w:rPr>
          <w:rFonts w:hint="eastAsia"/>
          <w:sz w:val="24"/>
        </w:rPr>
        <w:t>十三、财政拨款“三公”经费支出决算表.............................................3</w:t>
      </w:r>
      <w:r>
        <w:rPr>
          <w:rFonts w:hint="eastAsia"/>
          <w:sz w:val="24"/>
          <w:lang w:val="en-US" w:eastAsia="zh-CN"/>
        </w:rPr>
        <w:t>3</w:t>
      </w:r>
    </w:p>
    <w:p>
      <w:pPr>
        <w:pStyle w:val="11"/>
        <w:adjustRightInd w:val="0"/>
        <w:snapToGrid w:val="0"/>
        <w:spacing w:line="360" w:lineRule="auto"/>
        <w:jc w:val="left"/>
        <w:rPr>
          <w:rFonts w:hint="eastAsia" w:eastAsia="宋体"/>
          <w:sz w:val="24"/>
          <w:lang w:eastAsia="zh-CN"/>
        </w:rPr>
      </w:pPr>
    </w:p>
    <w:p>
      <w:pPr>
        <w:widowControl/>
        <w:spacing w:line="360" w:lineRule="auto"/>
        <w:jc w:val="left"/>
        <w:rPr>
          <w:rFonts w:ascii="黑体" w:hAnsi="黑体" w:eastAsia="黑体"/>
        </w:rPr>
      </w:pPr>
      <w:bookmarkStart w:id="12" w:name="_Toc15377196"/>
      <w:bookmarkStart w:id="13" w:name="_Toc15396599"/>
      <w:r>
        <w:rPr>
          <w:rFonts w:ascii="仿宋" w:hAnsi="仿宋" w:eastAsia="仿宋"/>
          <w:b/>
          <w:sz w:val="24"/>
        </w:rPr>
        <w:br w:type="page"/>
      </w:r>
    </w:p>
    <w:p>
      <w:pPr>
        <w:pStyle w:val="2"/>
        <w:spacing w:before="0" w:after="0" w:line="360" w:lineRule="auto"/>
        <w:jc w:val="center"/>
        <w:rPr>
          <w:rFonts w:ascii="黑体" w:hAnsi="黑体" w:eastAsia="黑体"/>
          <w:b w:val="0"/>
          <w:color w:val="00000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bookmarkStart w:id="14" w:name="_Toc15377197"/>
      <w:bookmarkStart w:id="15" w:name="_Toc15396600"/>
    </w:p>
    <w:p/>
    <w:p>
      <w:pPr>
        <w:pStyle w:val="3"/>
        <w:spacing w:before="0" w:after="0" w:line="560" w:lineRule="exact"/>
        <w:rPr>
          <w:rStyle w:val="25"/>
          <w:rFonts w:hint="default" w:ascii="仿宋" w:hAnsi="仿宋" w:eastAsia="黑体"/>
          <w:b w:val="0"/>
          <w:bCs w:val="0"/>
          <w:lang w:val="en-US" w:eastAsia="zh-CN"/>
        </w:rPr>
      </w:pPr>
      <w:r>
        <w:rPr>
          <w:rFonts w:hint="eastAsia" w:ascii="黑体" w:hAnsi="黑体" w:eastAsia="黑体"/>
          <w:b w:val="0"/>
          <w:color w:val="000000"/>
        </w:rPr>
        <w:t>一、</w:t>
      </w:r>
      <w:bookmarkEnd w:id="14"/>
      <w:bookmarkEnd w:id="15"/>
      <w:r>
        <w:rPr>
          <w:rFonts w:hint="eastAsia" w:ascii="黑体" w:hAnsi="黑体" w:eastAsia="黑体"/>
          <w:b w:val="0"/>
          <w:color w:val="000000"/>
          <w:lang w:val="en-US" w:eastAsia="zh-CN"/>
        </w:rPr>
        <w:t>部门职责</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rPr>
        <w:t>米易县公安局本级是一级预算单位。其主要职责：</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bookmarkStart w:id="16" w:name="_Toc15377199"/>
      <w:bookmarkStart w:id="17" w:name="_Toc15378446"/>
      <w:r>
        <w:rPr>
          <w:rFonts w:hint="eastAsia" w:ascii="仿宋_GB2312" w:hAnsi="楷体" w:eastAsia="仿宋_GB2312"/>
          <w:color w:val="000000"/>
          <w:kern w:val="0"/>
          <w:sz w:val="32"/>
          <w:szCs w:val="32"/>
        </w:rPr>
        <w:t>1.预防、制止和侦查违法犯罪活动；</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rPr>
        <w:t>2.维护社会治安秩序，制止危害社会治安秩序的行为；</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rPr>
        <w:t>3.维护交通安全和交通秩序，处理交通事故；</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4</w:t>
      </w:r>
      <w:r>
        <w:rPr>
          <w:rFonts w:hint="eastAsia" w:ascii="仿宋_GB2312" w:hAnsi="楷体" w:eastAsia="仿宋_GB2312"/>
          <w:color w:val="000000"/>
          <w:kern w:val="0"/>
          <w:sz w:val="32"/>
          <w:szCs w:val="32"/>
        </w:rPr>
        <w:t>.管理枪支弹药、管制刀具和易燃易爆、剧毒、放射性等危险物品；</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5</w:t>
      </w:r>
      <w:r>
        <w:rPr>
          <w:rFonts w:hint="eastAsia" w:ascii="仿宋_GB2312" w:hAnsi="楷体" w:eastAsia="仿宋_GB2312"/>
          <w:color w:val="000000"/>
          <w:kern w:val="0"/>
          <w:sz w:val="32"/>
          <w:szCs w:val="32"/>
        </w:rPr>
        <w:t>.对法律、法规规定的特种行业进行管理；</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6</w:t>
      </w:r>
      <w:r>
        <w:rPr>
          <w:rFonts w:hint="eastAsia" w:ascii="仿宋_GB2312" w:hAnsi="楷体" w:eastAsia="仿宋_GB2312"/>
          <w:color w:val="000000"/>
          <w:kern w:val="0"/>
          <w:sz w:val="32"/>
          <w:szCs w:val="32"/>
        </w:rPr>
        <w:t>.警卫国家规定的特定人员，守卫重要的场所和设施；</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7</w:t>
      </w:r>
      <w:r>
        <w:rPr>
          <w:rFonts w:hint="eastAsia" w:ascii="仿宋_GB2312" w:hAnsi="楷体" w:eastAsia="仿宋_GB2312"/>
          <w:color w:val="000000"/>
          <w:kern w:val="0"/>
          <w:sz w:val="32"/>
          <w:szCs w:val="32"/>
        </w:rPr>
        <w:t>.管理集会、游行、示威活动；</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8</w:t>
      </w:r>
      <w:r>
        <w:rPr>
          <w:rFonts w:hint="eastAsia" w:ascii="仿宋_GB2312" w:hAnsi="楷体" w:eastAsia="仿宋_GB2312"/>
          <w:color w:val="000000"/>
          <w:kern w:val="0"/>
          <w:sz w:val="32"/>
          <w:szCs w:val="32"/>
        </w:rPr>
        <w:t>.管理户政、国籍、入境出境事务和外国人在中国境内居留、旅行的有关事务；</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9</w:t>
      </w:r>
      <w:r>
        <w:rPr>
          <w:rFonts w:hint="eastAsia" w:ascii="仿宋_GB2312" w:hAnsi="楷体" w:eastAsia="仿宋_GB2312"/>
          <w:color w:val="000000"/>
          <w:kern w:val="0"/>
          <w:sz w:val="32"/>
          <w:szCs w:val="32"/>
        </w:rPr>
        <w:t>.对被判处管制、拘役、剥夺政治权利的罪犯和监外执行的罪犯执行刑罚，对被宣告缓刑、假释的罪犯实行监督、考察；</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rPr>
        <w:t>1</w:t>
      </w:r>
      <w:r>
        <w:rPr>
          <w:rFonts w:hint="eastAsia" w:ascii="仿宋_GB2312" w:hAnsi="楷体" w:eastAsia="仿宋_GB2312"/>
          <w:color w:val="000000"/>
          <w:kern w:val="0"/>
          <w:sz w:val="32"/>
          <w:szCs w:val="32"/>
          <w:lang w:val="en-US" w:eastAsia="zh-CN"/>
        </w:rPr>
        <w:t>0</w:t>
      </w:r>
      <w:r>
        <w:rPr>
          <w:rFonts w:hint="eastAsia" w:ascii="仿宋_GB2312" w:hAnsi="楷体" w:eastAsia="仿宋_GB2312"/>
          <w:color w:val="000000"/>
          <w:kern w:val="0"/>
          <w:sz w:val="32"/>
          <w:szCs w:val="32"/>
        </w:rPr>
        <w:t>.监督管理计算机信息系统的安全保护工作；</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rPr>
        <w:t>1</w:t>
      </w:r>
      <w:r>
        <w:rPr>
          <w:rFonts w:hint="eastAsia" w:ascii="仿宋_GB2312" w:hAnsi="楷体" w:eastAsia="仿宋_GB2312"/>
          <w:color w:val="000000"/>
          <w:kern w:val="0"/>
          <w:sz w:val="32"/>
          <w:szCs w:val="32"/>
          <w:lang w:val="en-US" w:eastAsia="zh-CN"/>
        </w:rPr>
        <w:t>1</w:t>
      </w:r>
      <w:r>
        <w:rPr>
          <w:rFonts w:hint="eastAsia" w:ascii="仿宋_GB2312" w:hAnsi="楷体" w:eastAsia="仿宋_GB2312"/>
          <w:color w:val="000000"/>
          <w:kern w:val="0"/>
          <w:sz w:val="32"/>
          <w:szCs w:val="32"/>
        </w:rPr>
        <w:t>.指导和监督国家机关、社会团体、企业事业组织和重点建设工程的治安保卫工作，指导治安保卫委员会等群众性组织的治安防范工作；</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rPr>
        <w:t>1</w:t>
      </w:r>
      <w:r>
        <w:rPr>
          <w:rFonts w:hint="eastAsia" w:ascii="仿宋_GB2312" w:hAnsi="楷体" w:eastAsia="仿宋_GB2312"/>
          <w:color w:val="000000"/>
          <w:kern w:val="0"/>
          <w:sz w:val="32"/>
          <w:szCs w:val="32"/>
          <w:lang w:val="en-US" w:eastAsia="zh-CN"/>
        </w:rPr>
        <w:t>2</w:t>
      </w:r>
      <w:r>
        <w:rPr>
          <w:rFonts w:hint="eastAsia" w:ascii="仿宋_GB2312" w:hAnsi="楷体" w:eastAsia="仿宋_GB2312"/>
          <w:color w:val="000000"/>
          <w:kern w:val="0"/>
          <w:sz w:val="32"/>
          <w:szCs w:val="32"/>
        </w:rPr>
        <w:t>.法律、法规规定的其他职责。</w:t>
      </w:r>
    </w:p>
    <w:p>
      <w:pPr>
        <w:autoSpaceDE w:val="0"/>
        <w:snapToGrid w:val="0"/>
        <w:spacing w:line="560" w:lineRule="exact"/>
        <w:ind w:firstLine="623"/>
        <w:jc w:val="left"/>
        <w:textAlignment w:val="baseline"/>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rPr>
        <w:t>1</w:t>
      </w:r>
      <w:r>
        <w:rPr>
          <w:rFonts w:hint="eastAsia" w:ascii="仿宋_GB2312" w:hAnsi="楷体" w:eastAsia="仿宋_GB2312"/>
          <w:color w:val="000000"/>
          <w:kern w:val="0"/>
          <w:sz w:val="32"/>
          <w:szCs w:val="32"/>
          <w:lang w:val="en-US" w:eastAsia="zh-CN"/>
        </w:rPr>
        <w:t>3</w:t>
      </w:r>
      <w:r>
        <w:rPr>
          <w:rFonts w:hint="eastAsia" w:ascii="仿宋_GB2312" w:hAnsi="楷体" w:eastAsia="仿宋_GB2312"/>
          <w:color w:val="000000"/>
          <w:kern w:val="0"/>
          <w:sz w:val="32"/>
          <w:szCs w:val="32"/>
        </w:rPr>
        <w:t>.承办上级公安机关和县委、县政府交办的其它工作。</w:t>
      </w:r>
    </w:p>
    <w:p>
      <w:pPr>
        <w:rPr>
          <w:rFonts w:hint="eastAsia" w:ascii="黑体" w:hAnsi="黑体" w:eastAsia="黑体" w:cstheme="majorBidi"/>
          <w:b w:val="0"/>
          <w:bCs/>
          <w:color w:val="000000"/>
          <w:kern w:val="2"/>
          <w:sz w:val="32"/>
          <w:szCs w:val="32"/>
          <w:lang w:val="en-US" w:eastAsia="zh-CN" w:bidi="ar-SA"/>
        </w:rPr>
      </w:pPr>
      <w:r>
        <w:rPr>
          <w:rFonts w:hint="eastAsia" w:ascii="黑体" w:hAnsi="黑体" w:eastAsia="黑体" w:cstheme="majorBidi"/>
          <w:b w:val="0"/>
          <w:bCs/>
          <w:color w:val="000000"/>
          <w:kern w:val="2"/>
          <w:sz w:val="32"/>
          <w:szCs w:val="32"/>
          <w:lang w:val="en-US" w:eastAsia="zh-CN" w:bidi="ar-SA"/>
        </w:rPr>
        <w:t>二、机构设置</w:t>
      </w:r>
    </w:p>
    <w:p>
      <w:pPr>
        <w:autoSpaceDE w:val="0"/>
        <w:snapToGrid w:val="0"/>
        <w:spacing w:line="560" w:lineRule="exact"/>
        <w:ind w:firstLine="623"/>
        <w:jc w:val="left"/>
        <w:textAlignment w:val="baseline"/>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rPr>
        <w:t>米易县公安局</w:t>
      </w:r>
      <w:r>
        <w:rPr>
          <w:rFonts w:hint="eastAsia" w:ascii="仿宋_GB2312" w:hAnsi="楷体" w:eastAsia="仿宋_GB2312"/>
          <w:color w:val="000000"/>
          <w:kern w:val="0"/>
          <w:sz w:val="32"/>
          <w:szCs w:val="32"/>
          <w:lang w:val="en-US" w:eastAsia="zh-CN"/>
        </w:rPr>
        <w:t>部门</w:t>
      </w:r>
      <w:r>
        <w:rPr>
          <w:rFonts w:hint="eastAsia" w:ascii="仿宋_GB2312" w:hAnsi="楷体" w:eastAsia="仿宋_GB2312"/>
          <w:color w:val="000000"/>
          <w:kern w:val="0"/>
          <w:sz w:val="32"/>
          <w:szCs w:val="32"/>
        </w:rPr>
        <w:t>下属二级预算单位</w:t>
      </w:r>
      <w:r>
        <w:rPr>
          <w:rFonts w:hint="eastAsia" w:ascii="仿宋_GB2312" w:hAnsi="楷体" w:eastAsia="仿宋_GB2312"/>
          <w:color w:val="000000"/>
          <w:kern w:val="0"/>
          <w:sz w:val="32"/>
          <w:szCs w:val="32"/>
          <w:lang w:val="en-US" w:eastAsia="zh-CN"/>
        </w:rPr>
        <w:t>1</w:t>
      </w:r>
      <w:r>
        <w:rPr>
          <w:rFonts w:hint="eastAsia" w:ascii="仿宋_GB2312" w:hAnsi="楷体" w:eastAsia="仿宋_GB2312"/>
          <w:color w:val="000000"/>
          <w:kern w:val="0"/>
          <w:sz w:val="32"/>
          <w:szCs w:val="32"/>
        </w:rPr>
        <w:t>个，其中行政单位</w:t>
      </w:r>
      <w:r>
        <w:rPr>
          <w:rFonts w:hint="eastAsia" w:ascii="仿宋_GB2312" w:hAnsi="楷体" w:eastAsia="仿宋_GB2312"/>
          <w:color w:val="000000"/>
          <w:kern w:val="0"/>
          <w:sz w:val="32"/>
          <w:szCs w:val="32"/>
          <w:lang w:val="en-US" w:eastAsia="zh-CN"/>
        </w:rPr>
        <w:t>1</w:t>
      </w:r>
      <w:r>
        <w:rPr>
          <w:rFonts w:hint="eastAsia" w:ascii="仿宋_GB2312" w:hAnsi="楷体" w:eastAsia="仿宋_GB2312"/>
          <w:color w:val="000000"/>
          <w:kern w:val="0"/>
          <w:sz w:val="32"/>
          <w:szCs w:val="32"/>
        </w:rPr>
        <w:t>个，参照公务员法管理的事业单位0个，其他事业单位0个。</w:t>
      </w:r>
    </w:p>
    <w:p>
      <w:pPr>
        <w:autoSpaceDE w:val="0"/>
        <w:snapToGrid w:val="0"/>
        <w:spacing w:line="560" w:lineRule="exact"/>
        <w:ind w:firstLine="623"/>
        <w:jc w:val="left"/>
        <w:textAlignment w:val="baseline"/>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rPr>
        <w:t>纳入米易县公安局</w:t>
      </w:r>
      <w:r>
        <w:rPr>
          <w:rFonts w:hint="eastAsia" w:ascii="仿宋_GB2312" w:hAnsi="楷体" w:eastAsia="仿宋_GB2312"/>
          <w:color w:val="000000"/>
          <w:kern w:val="0"/>
          <w:sz w:val="32"/>
          <w:szCs w:val="32"/>
          <w:lang w:val="en-US" w:eastAsia="zh-CN"/>
        </w:rPr>
        <w:t>部门</w:t>
      </w:r>
      <w:r>
        <w:rPr>
          <w:rFonts w:hint="eastAsia" w:ascii="仿宋_GB2312" w:hAnsi="楷体" w:eastAsia="仿宋_GB2312"/>
          <w:color w:val="000000"/>
          <w:kern w:val="0"/>
          <w:sz w:val="32"/>
          <w:szCs w:val="32"/>
          <w:lang w:eastAsia="zh-CN"/>
        </w:rPr>
        <w:t>2023</w:t>
      </w:r>
      <w:r>
        <w:rPr>
          <w:rFonts w:hint="eastAsia" w:ascii="仿宋_GB2312" w:hAnsi="楷体" w:eastAsia="仿宋_GB2312"/>
          <w:color w:val="000000"/>
          <w:kern w:val="0"/>
          <w:sz w:val="32"/>
          <w:szCs w:val="32"/>
        </w:rPr>
        <w:t>年度部门决算编制范围的二级预算单位包括：</w:t>
      </w:r>
      <w:r>
        <w:rPr>
          <w:rFonts w:hint="eastAsia" w:ascii="仿宋_GB2312" w:hAnsi="楷体" w:eastAsia="仿宋_GB2312"/>
          <w:color w:val="000000"/>
          <w:kern w:val="0"/>
          <w:sz w:val="32"/>
          <w:szCs w:val="32"/>
          <w:lang w:val="en-US" w:eastAsia="zh-CN"/>
        </w:rPr>
        <w:t>米易县公安局</w:t>
      </w:r>
      <w:r>
        <w:rPr>
          <w:rFonts w:hint="eastAsia" w:ascii="仿宋_GB2312" w:hAnsi="楷体" w:eastAsia="仿宋_GB2312"/>
          <w:color w:val="000000"/>
          <w:kern w:val="0"/>
          <w:sz w:val="32"/>
          <w:szCs w:val="32"/>
        </w:rPr>
        <w:t>。</w:t>
      </w:r>
    </w:p>
    <w:p>
      <w:pPr>
        <w:autoSpaceDE w:val="0"/>
        <w:snapToGrid w:val="0"/>
        <w:spacing w:line="560" w:lineRule="exact"/>
        <w:ind w:firstLine="623"/>
        <w:jc w:val="left"/>
        <w:textAlignment w:val="baseline"/>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rPr>
        <w:t>米易县公安局有14个内设机构：情报指挥中心（办公室）、政工科、警务督察大队、警务保障室、禁毒缉毒大队、政治安全保卫大队、法制大队、治安管理大队、刑事侦查大队、经济犯罪侦查大队、网络安全保卫大队、交通警察大队、特巡警大队、森林警察大队。12个派出机构：米易县看守所、米易县强制隔离戒毒所、米易县拘留所、草场派出所、丙谷派出所、撒莲派出所、攀莲派出所、新山派出所、得石派出所、白马派出所、湾丘派出所、普威派出所。</w:t>
      </w:r>
    </w:p>
    <w:p>
      <w:pPr>
        <w:autoSpaceDE w:val="0"/>
        <w:snapToGrid w:val="0"/>
        <w:spacing w:line="560" w:lineRule="exact"/>
        <w:ind w:firstLine="623"/>
        <w:jc w:val="left"/>
        <w:textAlignment w:val="baseline"/>
        <w:rPr>
          <w:rFonts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截止2023年12月31日，</w:t>
      </w:r>
      <w:r>
        <w:rPr>
          <w:rFonts w:hint="eastAsia" w:ascii="仿宋_GB2312" w:hAnsi="楷体" w:eastAsia="仿宋_GB2312"/>
          <w:color w:val="000000"/>
          <w:kern w:val="0"/>
          <w:sz w:val="32"/>
          <w:szCs w:val="32"/>
        </w:rPr>
        <w:t>共有政法编制235个，共有在职民警</w:t>
      </w:r>
      <w:r>
        <w:rPr>
          <w:rFonts w:hint="eastAsia" w:ascii="仿宋_GB2312" w:hAnsi="楷体" w:eastAsia="仿宋_GB2312"/>
          <w:color w:val="000000"/>
          <w:kern w:val="0"/>
          <w:sz w:val="32"/>
          <w:szCs w:val="32"/>
          <w:lang w:val="en-US" w:eastAsia="zh-CN"/>
        </w:rPr>
        <w:t>225</w:t>
      </w:r>
      <w:r>
        <w:rPr>
          <w:rFonts w:hint="eastAsia" w:ascii="仿宋_GB2312" w:hAnsi="楷体" w:eastAsia="仿宋_GB2312"/>
          <w:color w:val="000000"/>
          <w:kern w:val="0"/>
          <w:sz w:val="32"/>
          <w:szCs w:val="32"/>
        </w:rPr>
        <w:t>人，警务辅助人员</w:t>
      </w:r>
      <w:r>
        <w:rPr>
          <w:rFonts w:hint="eastAsia" w:ascii="仿宋_GB2312" w:hAnsi="楷体" w:eastAsia="仿宋_GB2312"/>
          <w:color w:val="000000"/>
          <w:kern w:val="0"/>
          <w:sz w:val="32"/>
          <w:szCs w:val="32"/>
          <w:lang w:val="en-US" w:eastAsia="zh-CN"/>
        </w:rPr>
        <w:t>296</w:t>
      </w:r>
      <w:r>
        <w:rPr>
          <w:rFonts w:hint="eastAsia" w:ascii="仿宋_GB2312" w:hAnsi="楷体" w:eastAsia="仿宋_GB2312"/>
          <w:color w:val="000000"/>
          <w:kern w:val="0"/>
          <w:sz w:val="32"/>
          <w:szCs w:val="32"/>
        </w:rPr>
        <w:t>人（含交通秩序维护员），机关工勤人员7人，事业人员25人。实有车辆55台。</w:t>
      </w:r>
    </w:p>
    <w:p>
      <w:pPr>
        <w:rPr>
          <w:rFonts w:hint="eastAsia" w:ascii="黑体" w:hAnsi="黑体" w:eastAsia="黑体" w:cstheme="majorBidi"/>
          <w:b w:val="0"/>
          <w:bCs/>
          <w:color w:val="000000"/>
          <w:kern w:val="2"/>
          <w:sz w:val="32"/>
          <w:szCs w:val="32"/>
          <w:lang w:val="zh-CN" w:eastAsia="zh-CN" w:bidi="ar-SA"/>
        </w:rPr>
      </w:pPr>
      <w:r>
        <w:rPr>
          <w:rFonts w:hint="eastAsia" w:ascii="黑体" w:hAnsi="黑体" w:eastAsia="黑体" w:cstheme="majorBidi"/>
          <w:b w:val="0"/>
          <w:bCs/>
          <w:color w:val="000000"/>
          <w:kern w:val="2"/>
          <w:sz w:val="32"/>
          <w:szCs w:val="32"/>
          <w:lang w:val="en-US" w:eastAsia="zh-CN" w:bidi="ar-SA"/>
        </w:rPr>
        <w:t>三、</w:t>
      </w:r>
      <w:r>
        <w:rPr>
          <w:rFonts w:hint="eastAsia" w:ascii="黑体" w:hAnsi="黑体" w:eastAsia="黑体" w:cstheme="majorBidi"/>
          <w:b w:val="0"/>
          <w:bCs/>
          <w:color w:val="000000"/>
          <w:kern w:val="2"/>
          <w:sz w:val="32"/>
          <w:szCs w:val="32"/>
          <w:lang w:val="zh-CN" w:eastAsia="zh-CN" w:bidi="ar-SA"/>
        </w:rPr>
        <w:t>2023年重点工作完成情况</w:t>
      </w:r>
      <w:bookmarkEnd w:id="16"/>
      <w:bookmarkEnd w:id="17"/>
      <w:bookmarkStart w:id="18" w:name="_Toc15396601"/>
      <w:bookmarkStart w:id="19" w:name="_Toc15377200"/>
      <w:bookmarkStart w:id="20" w:name="_Toc15396602"/>
      <w:bookmarkStart w:id="21" w:name="_Toc15377204"/>
    </w:p>
    <w:p>
      <w:pPr>
        <w:autoSpaceDE w:val="0"/>
        <w:snapToGrid w:val="0"/>
        <w:spacing w:line="560" w:lineRule="exact"/>
        <w:ind w:firstLine="623"/>
        <w:jc w:val="left"/>
        <w:textAlignment w:val="baseline"/>
        <w:rPr>
          <w:rFonts w:hint="eastAsia" w:ascii="仿宋_GB2312" w:hAnsi="楷体" w:eastAsia="仿宋_GB2312"/>
          <w:color w:val="000000"/>
          <w:kern w:val="0"/>
          <w:sz w:val="32"/>
          <w:szCs w:val="32"/>
          <w:lang w:val="en-US" w:eastAsia="zh-CN"/>
        </w:rPr>
      </w:pPr>
      <w:r>
        <w:rPr>
          <w:rFonts w:hint="eastAsia" w:ascii="仿宋_GB2312" w:hAnsi="楷体" w:eastAsia="仿宋_GB2312"/>
          <w:color w:val="000000"/>
          <w:kern w:val="0"/>
          <w:sz w:val="32"/>
          <w:szCs w:val="32"/>
          <w:lang w:val="en-US" w:eastAsia="zh-CN"/>
        </w:rPr>
        <w:t>2023年，我局紧扣省厅“一三五七”发展战略、聚焦市局“一一三五”工作思路，围绕“跻一流、争第一，创特色、塑品牌”目标，以推进公安工作现代化为主线，以加强政治建设为统领，以“深耕善治”为主攻，以防范重大风险为基点，以锻造过硬公安队伍为保证，高水准做好保安全、促发展、推改革、抓队伍各项工作，加快形成和提升新质公安战斗力，忠实履行维护国家安全和社会稳定、守护人民幸福和安宁的神圣职责，奋力开创米易公安工作现代化新局面，努力为推进中国式现代化米易新实践保驾护航。</w:t>
      </w:r>
    </w:p>
    <w:bookmarkEnd w:id="18"/>
    <w:bookmarkEnd w:id="19"/>
    <w:p>
      <w:pPr>
        <w:rPr>
          <w:rFonts w:ascii="黑体" w:hAnsi="黑体" w:eastAsia="黑体"/>
          <w:color w:val="000000"/>
        </w:rPr>
      </w:pPr>
    </w:p>
    <w:p>
      <w:pPr>
        <w:rPr>
          <w:rFonts w:ascii="黑体" w:hAnsi="黑体" w:eastAsia="黑体"/>
          <w:color w:val="000000"/>
        </w:rPr>
      </w:pPr>
    </w:p>
    <w:p>
      <w:pPr>
        <w:pStyle w:val="2"/>
        <w:numPr>
          <w:ilvl w:val="0"/>
          <w:numId w:val="1"/>
        </w:numPr>
        <w:spacing w:before="0" w:after="0" w:line="560" w:lineRule="exact"/>
        <w:ind w:right="440"/>
        <w:jc w:val="center"/>
        <w:rPr>
          <w:rStyle w:val="24"/>
          <w:rFonts w:ascii="黑体" w:hAnsi="黑体" w:eastAsia="黑体"/>
          <w:b w:val="0"/>
          <w:bCs w:val="0"/>
        </w:rPr>
      </w:pPr>
      <w:r>
        <w:rPr>
          <w:rStyle w:val="24"/>
          <w:rFonts w:hint="eastAsia" w:ascii="黑体" w:hAnsi="黑体" w:eastAsia="黑体"/>
          <w:b w:val="0"/>
          <w:bCs w:val="0"/>
          <w:lang w:eastAsia="zh-CN"/>
        </w:rPr>
        <w:t>2023</w:t>
      </w:r>
      <w:r>
        <w:rPr>
          <w:rStyle w:val="24"/>
          <w:rFonts w:hint="eastAsia" w:ascii="黑体" w:hAnsi="黑体" w:eastAsia="黑体"/>
          <w:b w:val="0"/>
          <w:bCs w:val="0"/>
        </w:rPr>
        <w:t>年度部门决算情况说明</w:t>
      </w:r>
      <w:bookmarkEnd w:id="20"/>
      <w:bookmarkEnd w:id="21"/>
    </w:p>
    <w:p/>
    <w:p>
      <w:pPr>
        <w:pStyle w:val="23"/>
        <w:numPr>
          <w:ilvl w:val="0"/>
          <w:numId w:val="2"/>
        </w:numPr>
        <w:spacing w:line="560" w:lineRule="exact"/>
        <w:ind w:firstLineChars="0"/>
        <w:outlineLvl w:val="1"/>
        <w:rPr>
          <w:rStyle w:val="25"/>
          <w:rFonts w:ascii="黑体" w:hAnsi="黑体" w:eastAsia="黑体"/>
          <w:b w:val="0"/>
        </w:rPr>
      </w:pPr>
      <w:bookmarkStart w:id="22" w:name="_Toc15396603"/>
      <w:bookmarkStart w:id="23"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2"/>
      <w:bookmarkEnd w:id="23"/>
    </w:p>
    <w:p>
      <w:pPr>
        <w:spacing w:line="560" w:lineRule="exact"/>
        <w:ind w:firstLine="640" w:firstLineChars="200"/>
        <w:rPr>
          <w:rFonts w:ascii="仿宋_GB2312" w:eastAsia="仿宋_GB2312"/>
          <w:sz w:val="32"/>
          <w:szCs w:val="32"/>
        </w:rPr>
      </w:pPr>
      <w:r>
        <w:rPr>
          <w:rFonts w:hint="eastAsia" w:ascii="仿宋_GB2312" w:hAnsi="仿宋" w:eastAsia="仿宋_GB2312"/>
          <w:color w:val="000000"/>
          <w:sz w:val="32"/>
          <w:szCs w:val="32"/>
          <w:lang w:eastAsia="zh-CN"/>
        </w:rPr>
        <w:t>2023</w:t>
      </w:r>
      <w:r>
        <w:rPr>
          <w:rFonts w:hint="eastAsia" w:ascii="仿宋_GB2312" w:hAnsi="仿宋" w:eastAsia="仿宋_GB2312"/>
          <w:color w:val="000000"/>
          <w:sz w:val="32"/>
          <w:szCs w:val="32"/>
        </w:rPr>
        <w:t>年度收入总计11,307.61万元，完成预算100</w:t>
      </w:r>
      <w:r>
        <w:rPr>
          <w:rFonts w:ascii="仿宋_GB2312" w:hAnsi="仿宋" w:eastAsia="仿宋_GB2312"/>
          <w:color w:val="000000"/>
          <w:sz w:val="32"/>
          <w:szCs w:val="32"/>
        </w:rPr>
        <w:t>%</w:t>
      </w:r>
      <w:r>
        <w:rPr>
          <w:rFonts w:hint="eastAsia" w:ascii="仿宋_GB2312" w:hAnsi="仿宋" w:eastAsia="仿宋_GB2312"/>
          <w:color w:val="000000"/>
          <w:sz w:val="32"/>
          <w:szCs w:val="32"/>
        </w:rPr>
        <w:t>。与</w:t>
      </w: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年10,188.62</w:t>
      </w:r>
      <w:r>
        <w:rPr>
          <w:rFonts w:hint="eastAsia" w:ascii="仿宋_GB2312" w:hAnsi="仿宋" w:eastAsia="仿宋_GB2312" w:cs="宋体"/>
          <w:color w:val="000000"/>
          <w:kern w:val="0"/>
          <w:sz w:val="32"/>
          <w:szCs w:val="32"/>
        </w:rPr>
        <w:t>万元</w:t>
      </w:r>
      <w:r>
        <w:rPr>
          <w:rFonts w:hint="eastAsia" w:ascii="仿宋_GB2312" w:hAnsi="仿宋" w:eastAsia="仿宋_GB2312"/>
          <w:color w:val="000000"/>
          <w:sz w:val="32"/>
          <w:szCs w:val="32"/>
        </w:rPr>
        <w:t>相比，收入</w:t>
      </w:r>
      <w:r>
        <w:rPr>
          <w:rFonts w:hint="eastAsia" w:ascii="仿宋" w:hAnsi="仿宋" w:eastAsia="仿宋"/>
          <w:sz w:val="32"/>
          <w:szCs w:val="32"/>
          <w:lang w:val="en-US" w:eastAsia="zh-CN"/>
        </w:rPr>
        <w:t>增加</w:t>
      </w:r>
      <w:r>
        <w:rPr>
          <w:rFonts w:hint="eastAsia" w:ascii="仿宋_GB2312" w:hAnsi="仿宋" w:eastAsia="仿宋_GB2312"/>
          <w:color w:val="000000"/>
          <w:sz w:val="32"/>
          <w:szCs w:val="32"/>
          <w:lang w:val="en-US" w:eastAsia="zh-CN"/>
        </w:rPr>
        <w:t>1,118.99</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上升10.98</w:t>
      </w:r>
      <w:r>
        <w:rPr>
          <w:rFonts w:ascii="仿宋_GB2312" w:hAnsi="仿宋" w:eastAsia="仿宋_GB2312"/>
          <w:color w:val="000000"/>
          <w:sz w:val="32"/>
          <w:szCs w:val="32"/>
        </w:rPr>
        <w:t>%</w:t>
      </w:r>
      <w:r>
        <w:rPr>
          <w:rFonts w:hint="eastAsia" w:ascii="仿宋_GB2312" w:hAnsi="仿宋" w:eastAsia="仿宋_GB2312"/>
          <w:color w:val="000000"/>
          <w:sz w:val="32"/>
          <w:szCs w:val="32"/>
        </w:rPr>
        <w:t>。主要变动原因是</w:t>
      </w:r>
      <w:r>
        <w:rPr>
          <w:rFonts w:hint="eastAsia" w:ascii="仿宋_GB2312" w:eastAsia="仿宋_GB2312"/>
          <w:sz w:val="32"/>
          <w:szCs w:val="32"/>
          <w:lang w:eastAsia="zh-CN"/>
        </w:rPr>
        <w:t>2023</w:t>
      </w:r>
      <w:r>
        <w:rPr>
          <w:rFonts w:hint="eastAsia" w:ascii="仿宋_GB2312" w:eastAsia="仿宋_GB2312"/>
          <w:sz w:val="32"/>
          <w:szCs w:val="32"/>
        </w:rPr>
        <w:t>年</w:t>
      </w:r>
      <w:r>
        <w:rPr>
          <w:rFonts w:hint="eastAsia" w:ascii="仿宋_GB2312" w:eastAsia="仿宋_GB2312"/>
          <w:sz w:val="32"/>
          <w:szCs w:val="32"/>
          <w:lang w:val="en-US" w:eastAsia="zh-CN"/>
        </w:rPr>
        <w:t>人员</w:t>
      </w:r>
      <w:r>
        <w:rPr>
          <w:rFonts w:hint="eastAsia" w:ascii="仿宋_GB2312" w:eastAsia="仿宋_GB2312"/>
          <w:sz w:val="32"/>
          <w:szCs w:val="32"/>
        </w:rPr>
        <w:t>经费</w:t>
      </w:r>
      <w:r>
        <w:rPr>
          <w:rFonts w:hint="eastAsia" w:ascii="仿宋_GB2312" w:eastAsia="仿宋_GB2312"/>
          <w:sz w:val="32"/>
          <w:szCs w:val="32"/>
          <w:lang w:val="en-US" w:eastAsia="zh-CN"/>
        </w:rPr>
        <w:t>增加和项目经费增加</w:t>
      </w:r>
      <w:r>
        <w:rPr>
          <w:rFonts w:hint="eastAsia" w:ascii="仿宋_GB2312" w:eastAsia="仿宋_GB2312"/>
          <w:sz w:val="32"/>
          <w:szCs w:val="32"/>
        </w:rPr>
        <w:t>。</w:t>
      </w:r>
    </w:p>
    <w:p>
      <w:pPr>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olor w:val="000000"/>
          <w:sz w:val="32"/>
          <w:szCs w:val="32"/>
          <w:lang w:eastAsia="zh-CN"/>
        </w:rPr>
        <w:t>2023</w:t>
      </w:r>
      <w:r>
        <w:rPr>
          <w:rFonts w:hint="eastAsia" w:ascii="仿宋_GB2312" w:hAnsi="仿宋" w:eastAsia="仿宋_GB2312"/>
          <w:color w:val="000000"/>
          <w:sz w:val="32"/>
          <w:szCs w:val="32"/>
        </w:rPr>
        <w:t>年度支出总计11,307.61万元，完成预算100</w:t>
      </w:r>
      <w:r>
        <w:rPr>
          <w:rFonts w:ascii="仿宋_GB2312" w:hAnsi="仿宋" w:eastAsia="仿宋_GB2312"/>
          <w:color w:val="000000"/>
          <w:sz w:val="32"/>
          <w:szCs w:val="32"/>
        </w:rPr>
        <w:t>%</w:t>
      </w:r>
      <w:r>
        <w:rPr>
          <w:rFonts w:hint="eastAsia" w:ascii="仿宋_GB2312" w:hAnsi="仿宋" w:eastAsia="仿宋_GB2312"/>
          <w:color w:val="000000"/>
          <w:sz w:val="32"/>
          <w:szCs w:val="32"/>
        </w:rPr>
        <w:t>。与</w:t>
      </w: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年10,188.62</w:t>
      </w:r>
      <w:r>
        <w:rPr>
          <w:rFonts w:hint="eastAsia" w:ascii="仿宋_GB2312" w:hAnsi="仿宋" w:eastAsia="仿宋_GB2312" w:cs="宋体"/>
          <w:color w:val="000000"/>
          <w:kern w:val="0"/>
          <w:sz w:val="32"/>
          <w:szCs w:val="32"/>
        </w:rPr>
        <w:t>万元</w:t>
      </w:r>
      <w:r>
        <w:rPr>
          <w:rFonts w:hint="eastAsia" w:ascii="仿宋_GB2312" w:hAnsi="仿宋" w:eastAsia="仿宋_GB2312"/>
          <w:color w:val="000000"/>
          <w:sz w:val="32"/>
          <w:szCs w:val="32"/>
        </w:rPr>
        <w:t>相比，收入增加1,118.99万元，上升10.98%。主要变动原因是</w:t>
      </w:r>
      <w:r>
        <w:rPr>
          <w:rFonts w:hint="eastAsia" w:ascii="仿宋_GB2312" w:hAnsi="仿宋" w:eastAsia="仿宋_GB2312"/>
          <w:color w:val="000000"/>
          <w:sz w:val="32"/>
          <w:szCs w:val="32"/>
          <w:lang w:eastAsia="zh-CN"/>
        </w:rPr>
        <w:t>2023</w:t>
      </w:r>
      <w:r>
        <w:rPr>
          <w:rFonts w:hint="eastAsia" w:ascii="仿宋_GB2312" w:hAnsi="仿宋" w:eastAsia="仿宋_GB2312"/>
          <w:color w:val="000000"/>
          <w:sz w:val="32"/>
          <w:szCs w:val="32"/>
        </w:rPr>
        <w:t>年人员经费增加</w:t>
      </w:r>
      <w:r>
        <w:rPr>
          <w:rFonts w:hint="eastAsia" w:ascii="仿宋_GB2312" w:hAnsi="仿宋" w:eastAsia="仿宋_GB2312"/>
          <w:color w:val="000000"/>
          <w:sz w:val="32"/>
          <w:szCs w:val="32"/>
          <w:lang w:val="en-US" w:eastAsia="zh-CN"/>
        </w:rPr>
        <w:t>和项目经费增加</w:t>
      </w:r>
      <w:r>
        <w:rPr>
          <w:rFonts w:hint="eastAsia" w:ascii="仿宋_GB2312" w:hAnsi="仿宋" w:eastAsia="仿宋_GB2312"/>
          <w:color w:val="000000"/>
          <w:sz w:val="32"/>
          <w:szCs w:val="32"/>
        </w:rPr>
        <w:t>。</w:t>
      </w:r>
    </w:p>
    <w:p>
      <w:pPr>
        <w:spacing w:line="360" w:lineRule="auto"/>
        <w:rPr>
          <w:rFonts w:ascii="仿宋_GB2312" w:hAnsi="仿宋" w:eastAsia="仿宋_GB2312" w:cs="宋体"/>
          <w:color w:val="000000"/>
          <w:kern w:val="0"/>
          <w:sz w:val="32"/>
          <w:szCs w:val="32"/>
        </w:rPr>
      </w:pPr>
      <w:r>
        <w:rPr>
          <w:rFonts w:ascii="仿宋_GB2312" w:hAnsi="仿宋" w:eastAsia="仿宋_GB2312" w:cs="宋体"/>
          <w:color w:val="000000"/>
          <w:kern w:val="0"/>
          <w:sz w:val="32"/>
          <w:szCs w:val="32"/>
        </w:rPr>
        <w:drawing>
          <wp:inline distT="0" distB="0" distL="0" distR="0">
            <wp:extent cx="5461635" cy="3049905"/>
            <wp:effectExtent l="4445" t="4445" r="20320" b="1270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560" w:lineRule="exact"/>
        <w:rPr>
          <w:rFonts w:ascii="仿宋_GB2312"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1</w:t>
      </w:r>
      <w:r>
        <w:rPr>
          <w:rFonts w:hint="eastAsia" w:ascii="仿宋_GB2312" w:hAnsi="仿宋" w:eastAsia="仿宋_GB2312"/>
          <w:color w:val="000000"/>
          <w:sz w:val="32"/>
          <w:szCs w:val="32"/>
        </w:rPr>
        <w:t>：收、支决算总计变动情况图）（柱状图）</w:t>
      </w:r>
    </w:p>
    <w:p>
      <w:pPr>
        <w:pStyle w:val="23"/>
        <w:numPr>
          <w:ilvl w:val="0"/>
          <w:numId w:val="2"/>
        </w:numPr>
        <w:spacing w:line="560" w:lineRule="exact"/>
        <w:ind w:firstLineChars="0"/>
        <w:outlineLvl w:val="1"/>
        <w:rPr>
          <w:rStyle w:val="25"/>
          <w:rFonts w:ascii="黑体" w:hAnsi="黑体" w:eastAsia="黑体"/>
          <w:b w:val="0"/>
        </w:rPr>
      </w:pPr>
      <w:bookmarkStart w:id="24" w:name="_Toc15377206"/>
      <w:bookmarkStart w:id="25"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4"/>
      <w:bookmarkEnd w:id="25"/>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仿宋" w:hAnsi="仿宋" w:eastAsia="仿宋"/>
          <w:color w:val="000000"/>
          <w:sz w:val="32"/>
          <w:szCs w:val="32"/>
        </w:rPr>
      </w:pPr>
      <w:r>
        <w:rPr>
          <w:rFonts w:hint="eastAsia" w:ascii="仿宋_GB2312" w:hAnsi="仿宋" w:eastAsia="仿宋_GB2312"/>
          <w:color w:val="000000"/>
          <w:sz w:val="32"/>
          <w:szCs w:val="32"/>
          <w:lang w:eastAsia="zh-CN"/>
        </w:rPr>
        <w:t>2023年本年收入合计10,594.82万元，其中：一般公共预算财政拨款收入10,594.82万元，占100%。</w:t>
      </w:r>
      <w:r>
        <w:drawing>
          <wp:inline distT="0" distB="0" distL="0" distR="0">
            <wp:extent cx="5215890" cy="2295525"/>
            <wp:effectExtent l="4445" t="4445" r="18415" b="50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360" w:lineRule="auto"/>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（图2：收入决算结构图）（饼状图）</w:t>
      </w:r>
    </w:p>
    <w:p>
      <w:pPr>
        <w:pStyle w:val="23"/>
        <w:numPr>
          <w:ilvl w:val="0"/>
          <w:numId w:val="2"/>
        </w:numPr>
        <w:spacing w:line="360" w:lineRule="auto"/>
        <w:ind w:firstLineChars="0"/>
        <w:outlineLvl w:val="1"/>
        <w:rPr>
          <w:rStyle w:val="25"/>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6"/>
      <w:bookmarkEnd w:id="27"/>
    </w:p>
    <w:p>
      <w:pPr>
        <w:spacing w:line="360" w:lineRule="auto"/>
        <w:ind w:firstLine="640" w:firstLineChars="200"/>
        <w:jc w:val="left"/>
        <w:rPr>
          <w:rFonts w:ascii="仿宋_GB2312" w:eastAsia="仿宋_GB2312"/>
          <w:color w:val="FF0000"/>
          <w:sz w:val="32"/>
          <w:szCs w:val="32"/>
        </w:rPr>
      </w:pPr>
      <w:r>
        <w:rPr>
          <w:rFonts w:hint="eastAsia" w:ascii="仿宋_GB2312" w:hAnsi="仿宋" w:eastAsia="仿宋_GB2312"/>
          <w:color w:val="000000"/>
          <w:sz w:val="32"/>
          <w:szCs w:val="32"/>
          <w:lang w:eastAsia="zh-CN"/>
        </w:rPr>
        <w:t>2023年本年支出合计11,307.61万元，其中：基本支出8,255.11万元，占73%；项目支出3,052.5万元，占2</w:t>
      </w: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lang w:eastAsia="zh-CN"/>
        </w:rPr>
        <w:t>%。</w:t>
      </w:r>
      <w:r>
        <w:drawing>
          <wp:inline distT="0" distB="0" distL="0" distR="0">
            <wp:extent cx="5429250" cy="2226945"/>
            <wp:effectExtent l="4445" t="4445" r="14605" b="1651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hint="eastAsia" w:ascii="仿宋" w:hAnsi="仿宋" w:eastAsia="仿宋"/>
          <w:color w:val="000000" w:themeColor="text1"/>
          <w:sz w:val="32"/>
          <w:szCs w:val="32"/>
        </w:rPr>
        <w:t>（图3：支出决算结构图）（饼状图）</w:t>
      </w:r>
    </w:p>
    <w:p>
      <w:pPr>
        <w:spacing w:line="360" w:lineRule="auto"/>
        <w:ind w:firstLine="640" w:firstLineChars="200"/>
        <w:outlineLvl w:val="1"/>
        <w:rPr>
          <w:rStyle w:val="25"/>
          <w:rFonts w:ascii="黑体" w:hAnsi="黑体" w:eastAsia="黑体"/>
          <w:b w:val="0"/>
        </w:rPr>
      </w:pPr>
      <w:bookmarkStart w:id="28" w:name="_Toc15377208"/>
      <w:bookmarkStart w:id="29"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8"/>
      <w:bookmarkEnd w:id="29"/>
    </w:p>
    <w:p>
      <w:pPr>
        <w:spacing w:line="360" w:lineRule="auto"/>
        <w:ind w:firstLine="640"/>
        <w:rPr>
          <w:rFonts w:ascii="仿宋_GB2312" w:hAnsi="仿宋" w:eastAsia="仿宋_GB2312"/>
          <w:color w:val="000000"/>
          <w:sz w:val="32"/>
          <w:szCs w:val="32"/>
        </w:rPr>
      </w:pPr>
      <w:r>
        <w:rPr>
          <w:rFonts w:hint="eastAsia" w:ascii="仿宋_GB2312" w:hAnsi="仿宋" w:eastAsia="仿宋_GB2312"/>
          <w:color w:val="000000"/>
          <w:sz w:val="32"/>
          <w:szCs w:val="32"/>
          <w:lang w:eastAsia="zh-CN"/>
        </w:rPr>
        <w:t>2023</w:t>
      </w:r>
      <w:r>
        <w:rPr>
          <w:rFonts w:hint="eastAsia" w:ascii="仿宋_GB2312" w:hAnsi="仿宋" w:eastAsia="仿宋_GB2312"/>
          <w:color w:val="000000"/>
          <w:sz w:val="32"/>
          <w:szCs w:val="32"/>
        </w:rPr>
        <w:t>年度财政拨款收入总计11,307.61万元,完成预算100</w:t>
      </w:r>
      <w:r>
        <w:rPr>
          <w:rFonts w:ascii="仿宋_GB2312" w:hAnsi="仿宋" w:eastAsia="仿宋_GB2312"/>
          <w:color w:val="000000"/>
          <w:sz w:val="32"/>
          <w:szCs w:val="32"/>
        </w:rPr>
        <w:t>%</w:t>
      </w:r>
      <w:r>
        <w:rPr>
          <w:rFonts w:hint="eastAsia" w:ascii="仿宋_GB2312" w:hAnsi="仿宋" w:eastAsia="仿宋_GB2312"/>
          <w:color w:val="000000"/>
          <w:sz w:val="32"/>
          <w:szCs w:val="32"/>
        </w:rPr>
        <w:t>。与</w:t>
      </w: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年10,188.62</w:t>
      </w:r>
      <w:r>
        <w:rPr>
          <w:rFonts w:hint="eastAsia" w:ascii="仿宋_GB2312" w:hAnsi="仿宋" w:eastAsia="仿宋_GB2312" w:cs="宋体"/>
          <w:color w:val="000000"/>
          <w:kern w:val="0"/>
          <w:sz w:val="32"/>
          <w:szCs w:val="32"/>
        </w:rPr>
        <w:t>万元</w:t>
      </w:r>
      <w:r>
        <w:rPr>
          <w:rFonts w:hint="eastAsia" w:ascii="仿宋_GB2312" w:hAnsi="仿宋" w:eastAsia="仿宋_GB2312"/>
          <w:color w:val="000000"/>
          <w:sz w:val="32"/>
          <w:szCs w:val="32"/>
        </w:rPr>
        <w:t>相比，财政拨款收入</w:t>
      </w:r>
      <w:r>
        <w:rPr>
          <w:rFonts w:hint="eastAsia" w:ascii="仿宋_GB2312" w:hAnsi="仿宋" w:eastAsia="仿宋_GB2312"/>
          <w:color w:val="000000"/>
          <w:sz w:val="32"/>
          <w:szCs w:val="32"/>
          <w:lang w:val="en-US" w:eastAsia="zh-CN"/>
        </w:rPr>
        <w:t>增加1,118.99万元，上升10.98%。主要变动原因是2023年人员经费增加和项目经费增加。</w:t>
      </w:r>
    </w:p>
    <w:p>
      <w:pPr>
        <w:spacing w:line="56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t>2023</w:t>
      </w:r>
      <w:r>
        <w:rPr>
          <w:rFonts w:hint="eastAsia" w:ascii="仿宋_GB2312" w:hAnsi="仿宋" w:eastAsia="仿宋_GB2312"/>
          <w:color w:val="000000"/>
          <w:sz w:val="32"/>
          <w:szCs w:val="32"/>
        </w:rPr>
        <w:t>年度财政拨款支出总计11,307.61万元，完成预算100%。与</w:t>
      </w: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年10,188.62万元相比，财政拨款支出增加1,118.99万元，上升10.98%。主要变动原因是2023年人员经费增加和项目经费增加。</w:t>
      </w:r>
    </w:p>
    <w:p>
      <w:pPr>
        <w:widowControl/>
        <w:shd w:val="clear" w:color="auto" w:fill="FFFFFF"/>
        <w:spacing w:line="360" w:lineRule="auto"/>
        <w:jc w:val="left"/>
        <w:rPr>
          <w:rFonts w:ascii="仿宋" w:hAnsi="仿宋" w:eastAsia="仿宋"/>
          <w:color w:val="000000"/>
          <w:sz w:val="32"/>
          <w:szCs w:val="32"/>
        </w:rPr>
      </w:pPr>
      <w:r>
        <w:rPr>
          <w:rFonts w:hint="eastAsia" w:ascii="仿宋" w:hAnsi="仿宋" w:eastAsia="仿宋" w:cs="宋体"/>
          <w:color w:val="000000"/>
          <w:kern w:val="0"/>
          <w:sz w:val="32"/>
          <w:szCs w:val="32"/>
        </w:rPr>
        <w:drawing>
          <wp:inline distT="0" distB="0" distL="0" distR="0">
            <wp:extent cx="5146040" cy="2258695"/>
            <wp:effectExtent l="4445" t="4445" r="12065" b="2286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360" w:lineRule="auto"/>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560" w:lineRule="exact"/>
        <w:ind w:firstLine="640" w:firstLineChars="200"/>
        <w:outlineLvl w:val="1"/>
        <w:rPr>
          <w:rStyle w:val="25"/>
          <w:rFonts w:ascii="黑体" w:hAnsi="黑体" w:eastAsia="黑体"/>
          <w:b w:val="0"/>
        </w:rPr>
      </w:pPr>
      <w:bookmarkStart w:id="30" w:name="_Toc15396607"/>
      <w:bookmarkStart w:id="3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0"/>
      <w:bookmarkEnd w:id="31"/>
    </w:p>
    <w:p>
      <w:pPr>
        <w:keepNext/>
        <w:keepLines/>
        <w:autoSpaceDE w:val="0"/>
        <w:autoSpaceDN w:val="0"/>
        <w:adjustRightInd w:val="0"/>
        <w:spacing w:line="560" w:lineRule="exact"/>
        <w:ind w:firstLine="643"/>
        <w:jc w:val="left"/>
        <w:rPr>
          <w:rFonts w:hint="eastAsia" w:ascii="楷体_GB2312" w:hAnsi="楷体_GB2312" w:eastAsia="楷体_GB2312" w:cs="Times New Roman"/>
          <w:b/>
          <w:color w:val="auto"/>
          <w:kern w:val="0"/>
          <w:sz w:val="32"/>
          <w:szCs w:val="24"/>
          <w:lang w:val="zh-CN"/>
        </w:rPr>
      </w:pPr>
      <w:bookmarkStart w:id="32" w:name="_Toc15377210"/>
      <w:r>
        <w:rPr>
          <w:rFonts w:hint="eastAsia" w:ascii="楷体_GB2312" w:hAnsi="楷体_GB2312" w:eastAsia="楷体_GB2312" w:cs="Times New Roman"/>
          <w:b/>
          <w:color w:val="auto"/>
          <w:kern w:val="0"/>
          <w:sz w:val="32"/>
          <w:szCs w:val="24"/>
          <w:lang w:val="zh-CN"/>
        </w:rPr>
        <w:t>（一）一般公共预算财政拨款支出决算总体情况</w:t>
      </w:r>
      <w:bookmarkEnd w:id="32"/>
      <w:r>
        <w:rPr>
          <w:rFonts w:hint="eastAsia" w:ascii="楷体_GB2312" w:hAnsi="楷体_GB2312" w:eastAsia="楷体_GB2312" w:cs="Times New Roman"/>
          <w:b/>
          <w:color w:val="auto"/>
          <w:kern w:val="0"/>
          <w:sz w:val="32"/>
          <w:szCs w:val="24"/>
          <w:lang w:val="zh-CN"/>
        </w:rPr>
        <w:t>。</w:t>
      </w:r>
    </w:p>
    <w:p>
      <w:pPr>
        <w:spacing w:line="560" w:lineRule="exact"/>
        <w:ind w:firstLine="641"/>
        <w:rPr>
          <w:rFonts w:ascii="仿宋_GB2312" w:hAnsi="仿宋" w:eastAsia="仿宋_GB2312"/>
          <w:color w:val="000000"/>
          <w:sz w:val="32"/>
          <w:szCs w:val="32"/>
        </w:rPr>
      </w:pPr>
      <w:r>
        <w:rPr>
          <w:rFonts w:hint="eastAsia" w:ascii="仿宋_GB2312" w:hAnsi="仿宋" w:eastAsia="仿宋_GB2312"/>
          <w:color w:val="000000"/>
          <w:sz w:val="32"/>
          <w:szCs w:val="32"/>
          <w:lang w:eastAsia="zh-CN"/>
        </w:rPr>
        <w:t>2023年一般公共预算财政拨款支出11,307.61万元，占本年支出合计的100%。与2022年</w:t>
      </w:r>
      <w:r>
        <w:rPr>
          <w:rFonts w:hint="eastAsia" w:ascii="仿宋_GB2312" w:hAnsi="仿宋" w:eastAsia="仿宋_GB2312"/>
          <w:color w:val="000000"/>
          <w:sz w:val="32"/>
          <w:szCs w:val="32"/>
          <w:lang w:val="en-US" w:eastAsia="zh-CN"/>
        </w:rPr>
        <w:t>10,188.62万元</w:t>
      </w:r>
      <w:r>
        <w:rPr>
          <w:rFonts w:hint="eastAsia" w:ascii="仿宋_GB2312" w:hAnsi="仿宋" w:eastAsia="仿宋_GB2312"/>
          <w:color w:val="000000"/>
          <w:sz w:val="32"/>
          <w:szCs w:val="32"/>
          <w:lang w:eastAsia="zh-CN"/>
        </w:rPr>
        <w:t>相比，一般公共预算财政拨款支出增加1,118.99万元，上升10.98%。</w:t>
      </w:r>
      <w:r>
        <w:rPr>
          <w:rFonts w:hint="eastAsia" w:ascii="仿宋_GB2312" w:hAnsi="仿宋" w:eastAsia="仿宋_GB2312"/>
          <w:color w:val="000000"/>
          <w:sz w:val="32"/>
          <w:szCs w:val="32"/>
        </w:rPr>
        <w:t>主要变动原因是2023年人员经费增加和项目经费增加。</w:t>
      </w:r>
    </w:p>
    <w:p>
      <w:pPr>
        <w:spacing w:line="360" w:lineRule="auto"/>
        <w:rPr>
          <w:rFonts w:ascii="仿宋" w:hAnsi="仿宋" w:eastAsia="仿宋"/>
          <w:color w:val="000000" w:themeColor="text1"/>
          <w:sz w:val="32"/>
          <w:szCs w:val="32"/>
        </w:rPr>
      </w:pPr>
      <w:r>
        <w:rPr>
          <w:rFonts w:hint="eastAsia"/>
        </w:rPr>
        <w:drawing>
          <wp:inline distT="0" distB="0" distL="0" distR="0">
            <wp:extent cx="5305425" cy="2371090"/>
            <wp:effectExtent l="4445" t="4445" r="5080" b="571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60" w:lineRule="exact"/>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keepNext/>
        <w:keepLines/>
        <w:autoSpaceDE w:val="0"/>
        <w:autoSpaceDN w:val="0"/>
        <w:adjustRightInd w:val="0"/>
        <w:spacing w:line="560" w:lineRule="exact"/>
        <w:ind w:firstLine="643"/>
        <w:jc w:val="left"/>
        <w:rPr>
          <w:rFonts w:hint="eastAsia" w:ascii="楷体_GB2312" w:hAnsi="楷体_GB2312" w:eastAsia="楷体_GB2312" w:cs="Times New Roman"/>
          <w:b/>
          <w:color w:val="auto"/>
          <w:kern w:val="0"/>
          <w:sz w:val="32"/>
          <w:szCs w:val="24"/>
          <w:lang w:val="zh-CN"/>
        </w:rPr>
      </w:pPr>
      <w:bookmarkStart w:id="33" w:name="_Toc15377211"/>
      <w:r>
        <w:rPr>
          <w:rFonts w:hint="eastAsia" w:ascii="楷体_GB2312" w:hAnsi="楷体_GB2312" w:eastAsia="楷体_GB2312" w:cs="Times New Roman"/>
          <w:b/>
          <w:color w:val="auto"/>
          <w:kern w:val="0"/>
          <w:sz w:val="32"/>
          <w:szCs w:val="24"/>
          <w:lang w:val="zh-CN"/>
        </w:rPr>
        <w:t>（二）一般公共预算财政拨款支出决算结构情况</w:t>
      </w:r>
      <w:bookmarkEnd w:id="33"/>
      <w:r>
        <w:rPr>
          <w:rFonts w:hint="eastAsia" w:ascii="楷体_GB2312" w:hAnsi="楷体_GB2312" w:eastAsia="楷体_GB2312" w:cs="Times New Roman"/>
          <w:b/>
          <w:color w:val="auto"/>
          <w:kern w:val="0"/>
          <w:sz w:val="32"/>
          <w:szCs w:val="24"/>
          <w:lang w:val="zh-CN"/>
        </w:rPr>
        <w:t>。</w:t>
      </w:r>
    </w:p>
    <w:p>
      <w:pPr>
        <w:spacing w:line="360" w:lineRule="auto"/>
        <w:ind w:firstLine="640" w:firstLineChars="200"/>
        <w:jc w:val="left"/>
        <w:rPr>
          <w:rFonts w:ascii="仿宋_GB2312" w:hAnsi="仿宋" w:eastAsia="仿宋_GB2312"/>
          <w:color w:val="000000"/>
          <w:sz w:val="32"/>
          <w:szCs w:val="32"/>
        </w:rPr>
      </w:pPr>
      <w:r>
        <w:rPr>
          <w:rFonts w:hint="eastAsia" w:ascii="仿宋_GB2312" w:hAnsi="仿宋" w:eastAsia="仿宋_GB2312"/>
          <w:color w:val="auto"/>
          <w:sz w:val="32"/>
          <w:szCs w:val="32"/>
          <w:lang w:eastAsia="zh-CN"/>
        </w:rPr>
        <w:t>2023年一般公共预算财政拨款支出11,307.61万元，主要用于以下方面: 公共安全支出9,720.33万元，占8</w:t>
      </w:r>
      <w:r>
        <w:rPr>
          <w:rFonts w:hint="eastAsia" w:ascii="仿宋_GB2312" w:hAnsi="仿宋" w:eastAsia="仿宋_GB2312"/>
          <w:color w:val="auto"/>
          <w:sz w:val="32"/>
          <w:szCs w:val="32"/>
          <w:lang w:val="en-US" w:eastAsia="zh-CN"/>
        </w:rPr>
        <w:t>5.96</w:t>
      </w:r>
      <w:r>
        <w:rPr>
          <w:rFonts w:hint="eastAsia" w:ascii="仿宋_GB2312" w:hAnsi="仿宋" w:eastAsia="仿宋_GB2312"/>
          <w:color w:val="auto"/>
          <w:sz w:val="32"/>
          <w:szCs w:val="32"/>
          <w:lang w:eastAsia="zh-CN"/>
        </w:rPr>
        <w:t>%；文化体育与传媒支出1.37万元，占0.</w:t>
      </w:r>
      <w:r>
        <w:rPr>
          <w:rFonts w:hint="eastAsia" w:ascii="仿宋_GB2312" w:hAnsi="仿宋" w:eastAsia="仿宋_GB2312"/>
          <w:color w:val="auto"/>
          <w:sz w:val="32"/>
          <w:szCs w:val="32"/>
          <w:lang w:val="en-US" w:eastAsia="zh-CN"/>
        </w:rPr>
        <w:t>01</w:t>
      </w:r>
      <w:r>
        <w:rPr>
          <w:rFonts w:hint="eastAsia" w:ascii="仿宋_GB2312" w:hAnsi="仿宋" w:eastAsia="仿宋_GB2312"/>
          <w:color w:val="auto"/>
          <w:sz w:val="32"/>
          <w:szCs w:val="32"/>
          <w:lang w:eastAsia="zh-CN"/>
        </w:rPr>
        <w:t>%；社会保障和就业支出785.21万元，占</w:t>
      </w:r>
      <w:r>
        <w:rPr>
          <w:rFonts w:hint="eastAsia" w:ascii="仿宋_GB2312" w:hAnsi="仿宋" w:eastAsia="仿宋_GB2312"/>
          <w:color w:val="auto"/>
          <w:sz w:val="32"/>
          <w:szCs w:val="32"/>
          <w:lang w:val="en-US" w:eastAsia="zh-CN"/>
        </w:rPr>
        <w:t>6.95</w:t>
      </w:r>
      <w:r>
        <w:rPr>
          <w:rFonts w:hint="eastAsia" w:ascii="仿宋_GB2312" w:hAnsi="仿宋" w:eastAsia="仿宋_GB2312"/>
          <w:color w:val="auto"/>
          <w:sz w:val="32"/>
          <w:szCs w:val="32"/>
          <w:lang w:eastAsia="zh-CN"/>
        </w:rPr>
        <w:t>%；卫生健康支出405.91万元，占3.</w:t>
      </w:r>
      <w:r>
        <w:rPr>
          <w:rFonts w:hint="eastAsia" w:ascii="仿宋_GB2312" w:hAnsi="仿宋" w:eastAsia="仿宋_GB2312"/>
          <w:color w:val="auto"/>
          <w:sz w:val="32"/>
          <w:szCs w:val="32"/>
          <w:lang w:val="en-US" w:eastAsia="zh-CN"/>
        </w:rPr>
        <w:t>59</w:t>
      </w:r>
      <w:r>
        <w:rPr>
          <w:rFonts w:hint="eastAsia" w:ascii="仿宋_GB2312" w:hAnsi="仿宋" w:eastAsia="仿宋_GB2312"/>
          <w:color w:val="auto"/>
          <w:sz w:val="32"/>
          <w:szCs w:val="32"/>
          <w:lang w:eastAsia="zh-CN"/>
        </w:rPr>
        <w:t>%；住房保障支出394.79万元，占3.</w:t>
      </w:r>
      <w:r>
        <w:rPr>
          <w:rFonts w:hint="eastAsia" w:ascii="仿宋_GB2312" w:hAnsi="仿宋" w:eastAsia="仿宋_GB2312"/>
          <w:color w:val="auto"/>
          <w:sz w:val="32"/>
          <w:szCs w:val="32"/>
          <w:lang w:val="en-US" w:eastAsia="zh-CN"/>
        </w:rPr>
        <w:t>49</w:t>
      </w:r>
      <w:r>
        <w:rPr>
          <w:rFonts w:hint="eastAsia" w:ascii="仿宋_GB2312" w:hAnsi="仿宋" w:eastAsia="仿宋_GB2312"/>
          <w:color w:val="auto"/>
          <w:sz w:val="32"/>
          <w:szCs w:val="32"/>
          <w:lang w:eastAsia="zh-CN"/>
        </w:rPr>
        <w:t>%。</w:t>
      </w:r>
      <w:r>
        <w:drawing>
          <wp:inline distT="0" distB="0" distL="0" distR="0">
            <wp:extent cx="5224145" cy="2700020"/>
            <wp:effectExtent l="4445" t="4445" r="10160" b="1968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360" w:lineRule="auto"/>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keepNext/>
        <w:keepLines/>
        <w:autoSpaceDE w:val="0"/>
        <w:autoSpaceDN w:val="0"/>
        <w:adjustRightInd w:val="0"/>
        <w:spacing w:line="560" w:lineRule="exact"/>
        <w:ind w:firstLine="643"/>
        <w:jc w:val="left"/>
        <w:rPr>
          <w:rFonts w:hint="eastAsia" w:ascii="楷体_GB2312" w:hAnsi="楷体_GB2312" w:eastAsia="楷体_GB2312" w:cs="Times New Roman"/>
          <w:b/>
          <w:color w:val="auto"/>
          <w:kern w:val="0"/>
          <w:sz w:val="32"/>
          <w:szCs w:val="24"/>
          <w:lang w:val="zh-CN"/>
        </w:rPr>
      </w:pPr>
      <w:bookmarkStart w:id="34" w:name="_Toc15377212"/>
      <w:r>
        <w:rPr>
          <w:rFonts w:hint="eastAsia" w:ascii="楷体_GB2312" w:hAnsi="楷体_GB2312" w:eastAsia="楷体_GB2312" w:cs="Times New Roman"/>
          <w:b/>
          <w:color w:val="auto"/>
          <w:kern w:val="0"/>
          <w:sz w:val="32"/>
          <w:szCs w:val="24"/>
          <w:lang w:val="zh-CN"/>
        </w:rPr>
        <w:t>（三）一般公共预算财政拨款支出决算具体情况</w:t>
      </w:r>
      <w:bookmarkEnd w:id="34"/>
      <w:r>
        <w:rPr>
          <w:rFonts w:hint="eastAsia" w:ascii="楷体_GB2312" w:hAnsi="楷体_GB2312" w:eastAsia="楷体_GB2312" w:cs="Times New Roman"/>
          <w:b/>
          <w:color w:val="auto"/>
          <w:kern w:val="0"/>
          <w:sz w:val="32"/>
          <w:szCs w:val="24"/>
          <w:lang w:val="zh-CN"/>
        </w:rPr>
        <w:t>。</w:t>
      </w:r>
    </w:p>
    <w:p>
      <w:pPr>
        <w:spacing w:line="560" w:lineRule="exact"/>
        <w:ind w:firstLine="641"/>
        <w:rPr>
          <w:rFonts w:ascii="仿宋_GB2312" w:hAnsi="仿宋" w:eastAsia="仿宋_GB2312"/>
          <w:color w:val="000000"/>
          <w:sz w:val="32"/>
          <w:szCs w:val="32"/>
        </w:rPr>
      </w:pPr>
      <w:bookmarkStart w:id="35" w:name="_Toc15377213"/>
      <w:bookmarkStart w:id="36" w:name="_Toc15378460"/>
      <w:bookmarkStart w:id="37" w:name="_Toc15377444"/>
      <w:bookmarkStart w:id="38" w:name="_Toc15396608"/>
      <w:bookmarkStart w:id="39" w:name="_Toc15377214"/>
      <w:r>
        <w:rPr>
          <w:rFonts w:hint="eastAsia" w:ascii="仿宋_GB2312" w:hAnsi="仿宋" w:eastAsia="仿宋_GB2312"/>
          <w:color w:val="000000"/>
          <w:sz w:val="32"/>
          <w:szCs w:val="32"/>
          <w:lang w:eastAsia="zh-CN"/>
        </w:rPr>
        <w:t>2023</w:t>
      </w:r>
      <w:r>
        <w:rPr>
          <w:rFonts w:hint="eastAsia" w:ascii="仿宋_GB2312" w:hAnsi="仿宋" w:eastAsia="仿宋_GB2312"/>
          <w:color w:val="000000"/>
          <w:sz w:val="32"/>
          <w:szCs w:val="32"/>
        </w:rPr>
        <w:t>年一般公共预算支出决算数为</w:t>
      </w:r>
      <w:r>
        <w:rPr>
          <w:rFonts w:hint="eastAsia" w:ascii="仿宋_GB2312" w:hAnsi="仿宋" w:eastAsia="仿宋_GB2312"/>
          <w:color w:val="000000"/>
          <w:sz w:val="32"/>
          <w:szCs w:val="32"/>
          <w:lang w:val="en-US" w:eastAsia="zh-CN"/>
        </w:rPr>
        <w:t>11,307.61</w:t>
      </w:r>
      <w:r>
        <w:rPr>
          <w:rFonts w:hint="eastAsia" w:ascii="仿宋_GB2312" w:hAnsi="仿宋" w:eastAsia="仿宋_GB2312"/>
          <w:color w:val="000000"/>
          <w:sz w:val="32"/>
          <w:szCs w:val="32"/>
        </w:rPr>
        <w:t>万元，完成预算100%。其中：</w:t>
      </w:r>
      <w:bookmarkEnd w:id="35"/>
      <w:bookmarkEnd w:id="36"/>
      <w:bookmarkEnd w:id="37"/>
    </w:p>
    <w:p>
      <w:pPr>
        <w:spacing w:line="560" w:lineRule="exact"/>
        <w:ind w:firstLine="641"/>
        <w:rPr>
          <w:rFonts w:ascii="仿宋_GB2312" w:hAnsi="仿宋" w:eastAsia="仿宋_GB2312"/>
          <w:color w:val="000000"/>
          <w:sz w:val="32"/>
          <w:szCs w:val="32"/>
        </w:rPr>
      </w:pPr>
      <w:r>
        <w:rPr>
          <w:rFonts w:hint="eastAsia" w:ascii="仿宋_GB2312" w:hAnsi="仿宋" w:eastAsia="仿宋_GB2312"/>
          <w:color w:val="000000"/>
          <w:sz w:val="32"/>
          <w:szCs w:val="32"/>
        </w:rPr>
        <w:t>1.公共安全支出（类）公安（款）行政运行（项）: 支出决算为6,421.69万元，完成预算100%。</w:t>
      </w:r>
    </w:p>
    <w:p>
      <w:pPr>
        <w:spacing w:line="360" w:lineRule="auto"/>
        <w:ind w:firstLine="641"/>
        <w:rPr>
          <w:rFonts w:ascii="仿宋_GB2312" w:hAnsi="仿宋" w:eastAsia="仿宋_GB2312"/>
          <w:color w:val="000000"/>
          <w:sz w:val="32"/>
          <w:szCs w:val="32"/>
        </w:rPr>
      </w:pPr>
      <w:r>
        <w:rPr>
          <w:rFonts w:hint="eastAsia" w:ascii="仿宋_GB2312" w:hAnsi="仿宋" w:eastAsia="仿宋_GB2312"/>
          <w:color w:val="000000"/>
          <w:sz w:val="32"/>
          <w:szCs w:val="32"/>
        </w:rPr>
        <w:t>2.公共安全支出（类）公安（款）一般行政管理事务（项）: 支出决算为1,503.76万元，完成预算100%。</w:t>
      </w:r>
    </w:p>
    <w:p>
      <w:pPr>
        <w:spacing w:line="360" w:lineRule="auto"/>
        <w:ind w:firstLine="641"/>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.公共安全支出（类）公安（款）事业运行（项）: 支出决算为252.66万元，完成预算100%。</w:t>
      </w:r>
    </w:p>
    <w:p>
      <w:pPr>
        <w:spacing w:line="360" w:lineRule="auto"/>
        <w:ind w:firstLine="641"/>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.公共安全支出（类）其他公共安全支出（款）其他公共安全支出（项）: 支出决算为1,488.37万元，完成预算100%。</w:t>
      </w:r>
    </w:p>
    <w:p>
      <w:pPr>
        <w:spacing w:line="360" w:lineRule="auto"/>
        <w:ind w:firstLine="641"/>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.文化旅游体育与传媒支出（类）文化和旅游（款）文化活动（项）: 支出决算为</w:t>
      </w:r>
      <w:r>
        <w:rPr>
          <w:rFonts w:hint="eastAsia" w:ascii="仿宋_GB2312" w:hAnsi="仿宋" w:eastAsia="仿宋_GB2312"/>
          <w:color w:val="000000"/>
          <w:sz w:val="32"/>
          <w:szCs w:val="32"/>
          <w:lang w:val="en-US" w:eastAsia="zh-CN"/>
        </w:rPr>
        <w:t>1.37</w:t>
      </w:r>
      <w:r>
        <w:rPr>
          <w:rFonts w:hint="eastAsia" w:ascii="仿宋_GB2312" w:hAnsi="仿宋" w:eastAsia="仿宋_GB2312"/>
          <w:color w:val="000000"/>
          <w:sz w:val="32"/>
          <w:szCs w:val="32"/>
        </w:rPr>
        <w:t>万元，完成预算100%。</w:t>
      </w:r>
    </w:p>
    <w:p>
      <w:pPr>
        <w:spacing w:line="360" w:lineRule="auto"/>
        <w:ind w:firstLine="641"/>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.社会保障和就业（类）行政事业单位养老支出（款）行政单位离退休（项）: 支出决算为90.90万元，完成预算100%。</w:t>
      </w:r>
    </w:p>
    <w:p>
      <w:pPr>
        <w:spacing w:line="360" w:lineRule="auto"/>
        <w:ind w:firstLine="641"/>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rPr>
        <w:t>.社会保障和就业（类）行政事业单位养老支出（款）机关事业单位基本养老保险缴费支出（项）: 支出决算为546.11万元，完成预算100%。</w:t>
      </w:r>
    </w:p>
    <w:p>
      <w:pPr>
        <w:spacing w:line="360" w:lineRule="auto"/>
        <w:ind w:firstLine="641"/>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8</w:t>
      </w:r>
      <w:r>
        <w:rPr>
          <w:rFonts w:hint="eastAsia" w:ascii="仿宋_GB2312" w:hAnsi="仿宋" w:eastAsia="仿宋_GB2312"/>
          <w:color w:val="000000"/>
          <w:sz w:val="32"/>
          <w:szCs w:val="32"/>
        </w:rPr>
        <w:t>.社会保障和就业（类）行政事业单位养老支（款）机关事业单位职业年金缴费支出（项）: 支出决算为34.93万元，完成预算100%。</w:t>
      </w:r>
    </w:p>
    <w:p>
      <w:pPr>
        <w:spacing w:line="360" w:lineRule="auto"/>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9.社会保障和就业（类）</w:t>
      </w:r>
      <w:r>
        <w:rPr>
          <w:rFonts w:hint="eastAsia" w:ascii="仿宋_GB2312" w:hAnsi="仿宋" w:eastAsia="仿宋_GB2312"/>
          <w:color w:val="000000"/>
          <w:sz w:val="32"/>
          <w:szCs w:val="32"/>
          <w:lang w:val="en-US" w:eastAsia="zh-CN"/>
        </w:rPr>
        <w:tab/>
      </w:r>
      <w:r>
        <w:rPr>
          <w:rFonts w:hint="eastAsia" w:ascii="仿宋_GB2312" w:hAnsi="仿宋" w:eastAsia="仿宋_GB2312"/>
          <w:color w:val="000000"/>
          <w:sz w:val="32"/>
          <w:szCs w:val="32"/>
          <w:lang w:val="en-US" w:eastAsia="zh-CN"/>
        </w:rPr>
        <w:t>抚恤（款）</w:t>
      </w:r>
      <w:r>
        <w:rPr>
          <w:rFonts w:hint="eastAsia" w:ascii="仿宋_GB2312" w:hAnsi="仿宋" w:eastAsia="仿宋_GB2312"/>
          <w:color w:val="000000"/>
          <w:sz w:val="32"/>
          <w:szCs w:val="32"/>
          <w:lang w:val="en-US" w:eastAsia="zh-CN"/>
        </w:rPr>
        <w:tab/>
      </w:r>
      <w:r>
        <w:rPr>
          <w:rFonts w:hint="eastAsia" w:ascii="仿宋_GB2312" w:hAnsi="仿宋" w:eastAsia="仿宋_GB2312"/>
          <w:color w:val="000000"/>
          <w:sz w:val="32"/>
          <w:szCs w:val="32"/>
          <w:lang w:val="en-US" w:eastAsia="zh-CN"/>
        </w:rPr>
        <w:t>死亡抚恤（项）: 支出决算为34.93万元，完成预算100%。</w:t>
      </w:r>
    </w:p>
    <w:p>
      <w:pPr>
        <w:spacing w:line="360" w:lineRule="auto"/>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10</w:t>
      </w:r>
      <w:r>
        <w:rPr>
          <w:rFonts w:hint="eastAsia" w:ascii="仿宋_GB2312" w:hAnsi="仿宋" w:eastAsia="仿宋_GB2312"/>
          <w:color w:val="000000"/>
          <w:sz w:val="32"/>
          <w:szCs w:val="32"/>
        </w:rPr>
        <w:t>.卫生健康支出（类）行政事业单位医疗（款）行政单位医疗（项）:支出决算为235.59万元，完成预算100%。</w:t>
      </w:r>
    </w:p>
    <w:p>
      <w:pPr>
        <w:spacing w:line="360" w:lineRule="auto"/>
        <w:ind w:firstLine="641"/>
        <w:rPr>
          <w:rFonts w:ascii="仿宋_GB2312" w:hAnsi="仿宋" w:eastAsia="仿宋_GB2312"/>
          <w:color w:val="000000"/>
          <w:sz w:val="32"/>
          <w:szCs w:val="32"/>
        </w:rPr>
      </w:pPr>
      <w:r>
        <w:rPr>
          <w:rFonts w:hint="eastAsia" w:ascii="仿宋_GB2312" w:hAnsi="仿宋" w:eastAsia="仿宋_GB2312"/>
          <w:color w:val="000000"/>
          <w:sz w:val="32"/>
          <w:szCs w:val="32"/>
        </w:rPr>
        <w:t>1</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.卫生健康支出（类）行政事业单位医疗（款）事业单位医疗（项）:支出决算为18.19万元，完成预算100%。</w:t>
      </w:r>
    </w:p>
    <w:p>
      <w:pPr>
        <w:spacing w:line="360" w:lineRule="auto"/>
        <w:ind w:firstLine="641"/>
        <w:rPr>
          <w:rFonts w:ascii="仿宋_GB2312" w:hAnsi="仿宋" w:eastAsia="仿宋_GB2312"/>
          <w:color w:val="000000"/>
          <w:sz w:val="32"/>
          <w:szCs w:val="32"/>
        </w:rPr>
      </w:pPr>
      <w:r>
        <w:rPr>
          <w:rFonts w:hint="eastAsia" w:ascii="仿宋_GB2312" w:hAnsi="仿宋" w:eastAsia="仿宋_GB2312"/>
          <w:color w:val="000000"/>
          <w:sz w:val="32"/>
          <w:szCs w:val="32"/>
        </w:rPr>
        <w:t>1</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.卫生健康支出（类）行政事业单位医疗（款）公务员医疗补助（项）:支出决算为152.13万元，完成预算100%。</w:t>
      </w:r>
    </w:p>
    <w:p>
      <w:pPr>
        <w:spacing w:line="360" w:lineRule="auto"/>
        <w:ind w:firstLine="641"/>
        <w:rPr>
          <w:rFonts w:ascii="仿宋_GB2312" w:hAnsi="仿宋" w:eastAsia="仿宋_GB2312"/>
          <w:color w:val="000000"/>
          <w:sz w:val="32"/>
          <w:szCs w:val="32"/>
        </w:rPr>
      </w:pPr>
      <w:r>
        <w:rPr>
          <w:rFonts w:hint="eastAsia" w:ascii="仿宋_GB2312" w:hAnsi="仿宋" w:eastAsia="仿宋_GB2312"/>
          <w:color w:val="000000"/>
          <w:sz w:val="32"/>
          <w:szCs w:val="32"/>
        </w:rPr>
        <w:t>1</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.住房保障支出（类）住房改革支出（款）住房公积金（项）:支出决算为394.79万元，完成预算100%。</w:t>
      </w:r>
    </w:p>
    <w:p>
      <w:pPr>
        <w:tabs>
          <w:tab w:val="right" w:pos="8306"/>
        </w:tabs>
        <w:spacing w:line="360" w:lineRule="auto"/>
        <w:ind w:firstLine="640"/>
        <w:outlineLvl w:val="1"/>
        <w:rPr>
          <w:rStyle w:val="25"/>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8"/>
      <w:bookmarkEnd w:id="39"/>
      <w:r>
        <w:rPr>
          <w:rStyle w:val="25"/>
          <w:rFonts w:ascii="黑体" w:hAnsi="黑体" w:eastAsia="黑体"/>
          <w:b w:val="0"/>
        </w:rPr>
        <w:tab/>
      </w:r>
    </w:p>
    <w:p>
      <w:pPr>
        <w:spacing w:line="360" w:lineRule="auto"/>
        <w:ind w:firstLine="640"/>
        <w:outlineLvl w:val="1"/>
        <w:rPr>
          <w:rFonts w:hint="eastAsia" w:ascii="仿宋_GB2312" w:hAnsi="仿宋" w:eastAsia="仿宋_GB2312"/>
          <w:color w:val="000000"/>
          <w:sz w:val="32"/>
          <w:szCs w:val="32"/>
          <w:lang w:eastAsia="zh-CN"/>
        </w:rPr>
      </w:pPr>
      <w:bookmarkStart w:id="40" w:name="_Toc15377215"/>
      <w:bookmarkStart w:id="41" w:name="_Toc15396609"/>
      <w:r>
        <w:rPr>
          <w:rFonts w:hint="eastAsia" w:ascii="仿宋_GB2312" w:hAnsi="仿宋" w:eastAsia="仿宋_GB2312"/>
          <w:color w:val="000000"/>
          <w:sz w:val="32"/>
          <w:szCs w:val="32"/>
          <w:lang w:eastAsia="zh-CN"/>
        </w:rPr>
        <w:t>2023年一般公共预算财政拨款基本支出8,255.11万元，其中：</w:t>
      </w:r>
    </w:p>
    <w:p>
      <w:pPr>
        <w:spacing w:line="360" w:lineRule="auto"/>
        <w:ind w:firstLine="640"/>
        <w:outlineLvl w:val="1"/>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lang w:eastAsia="zh-CN"/>
        </w:rPr>
        <w:t>人员经费7,468.32万元，主要包括：基本工资、津贴补贴、奖金、绩效工资、机关事业单位基本养老保险缴费、职业年金缴费、其他社会保障缴费、其他工资福利支出、抚恤金、生活补助、医疗费补助、奖励金、住房公积金、其他对个人和家庭的补助支出等。</w:t>
      </w:r>
    </w:p>
    <w:p>
      <w:pPr>
        <w:spacing w:line="360" w:lineRule="auto"/>
        <w:ind w:firstLine="640"/>
        <w:outlineLvl w:val="1"/>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lang w:eastAsia="zh-CN"/>
        </w:rPr>
        <w:t>公用经费786.79万元，主要包括：办公费、印刷费、水费、电费、物业管理费、差旅费、维修（护）费、培训费、公务接待费、被装购置费、委托业务费、福利费、公务用车运行维护费、其他商品和服务支出等。</w:t>
      </w:r>
    </w:p>
    <w:p>
      <w:pPr>
        <w:spacing w:line="360" w:lineRule="auto"/>
        <w:ind w:firstLine="640"/>
        <w:outlineLvl w:val="1"/>
        <w:rPr>
          <w:rStyle w:val="25"/>
          <w:rFonts w:ascii="黑体" w:hAnsi="黑体" w:eastAsia="黑体"/>
          <w:b w:val="0"/>
        </w:rPr>
      </w:pPr>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0"/>
      <w:bookmarkEnd w:id="41"/>
    </w:p>
    <w:p>
      <w:pPr>
        <w:keepNext/>
        <w:keepLines/>
        <w:autoSpaceDE w:val="0"/>
        <w:autoSpaceDN w:val="0"/>
        <w:adjustRightInd w:val="0"/>
        <w:spacing w:line="560" w:lineRule="exact"/>
        <w:ind w:firstLine="643"/>
        <w:jc w:val="left"/>
        <w:rPr>
          <w:rFonts w:hint="eastAsia" w:ascii="楷体_GB2312" w:hAnsi="楷体_GB2312" w:eastAsia="楷体_GB2312" w:cs="Times New Roman"/>
          <w:b/>
          <w:color w:val="auto"/>
          <w:kern w:val="0"/>
          <w:sz w:val="32"/>
          <w:szCs w:val="24"/>
          <w:lang w:val="zh-CN"/>
        </w:rPr>
      </w:pPr>
      <w:bookmarkStart w:id="42" w:name="_Toc15377216"/>
      <w:r>
        <w:rPr>
          <w:rFonts w:hint="eastAsia" w:ascii="楷体_GB2312" w:hAnsi="楷体_GB2312" w:eastAsia="楷体_GB2312" w:cs="Times New Roman"/>
          <w:b/>
          <w:color w:val="auto"/>
          <w:kern w:val="0"/>
          <w:sz w:val="32"/>
          <w:szCs w:val="24"/>
          <w:lang w:val="zh-CN"/>
        </w:rPr>
        <w:t>（一）“三公”经费财政拨款支出决算总体情况说明</w:t>
      </w:r>
      <w:bookmarkEnd w:id="42"/>
      <w:r>
        <w:rPr>
          <w:rFonts w:hint="eastAsia" w:ascii="楷体_GB2312" w:hAnsi="楷体_GB2312" w:eastAsia="楷体_GB2312" w:cs="Times New Roman"/>
          <w:b/>
          <w:color w:val="auto"/>
          <w:kern w:val="0"/>
          <w:sz w:val="32"/>
          <w:szCs w:val="24"/>
          <w:lang w:val="zh-CN"/>
        </w:rPr>
        <w:t>。</w:t>
      </w:r>
    </w:p>
    <w:p>
      <w:pPr>
        <w:spacing w:line="360" w:lineRule="auto"/>
        <w:ind w:firstLine="640"/>
        <w:outlineLvl w:val="1"/>
        <w:rPr>
          <w:rFonts w:hint="default" w:ascii="仿宋_GB2312" w:hAnsi="仿宋" w:eastAsia="仿宋_GB2312"/>
          <w:color w:val="000000"/>
          <w:sz w:val="32"/>
          <w:szCs w:val="32"/>
          <w:lang w:val="en-US"/>
        </w:rPr>
      </w:pPr>
      <w:bookmarkStart w:id="43" w:name="_Toc15377217"/>
      <w:r>
        <w:rPr>
          <w:rFonts w:hint="eastAsia" w:ascii="仿宋_GB2312" w:hAnsi="仿宋" w:eastAsia="仿宋_GB2312"/>
          <w:color w:val="000000"/>
          <w:sz w:val="32"/>
          <w:szCs w:val="32"/>
          <w:lang w:eastAsia="zh-CN"/>
        </w:rPr>
        <w:t>2023年“三公”经费财政拨款支出决算为253.37万元，完成预算100%；较上年增加</w:t>
      </w:r>
      <w:r>
        <w:rPr>
          <w:rFonts w:hint="eastAsia" w:ascii="仿宋_GB2312" w:hAnsi="仿宋" w:eastAsia="仿宋_GB2312"/>
          <w:color w:val="000000"/>
          <w:sz w:val="32"/>
          <w:szCs w:val="32"/>
          <w:lang w:val="en-US" w:eastAsia="zh-CN"/>
        </w:rPr>
        <w:t>17.17</w:t>
      </w:r>
      <w:r>
        <w:rPr>
          <w:rFonts w:hint="eastAsia" w:ascii="仿宋_GB2312" w:hAnsi="仿宋" w:eastAsia="仿宋_GB2312"/>
          <w:color w:val="000000"/>
          <w:sz w:val="32"/>
          <w:szCs w:val="32"/>
          <w:lang w:eastAsia="zh-CN"/>
        </w:rPr>
        <w:t>万元，增长</w:t>
      </w:r>
      <w:r>
        <w:rPr>
          <w:rFonts w:hint="eastAsia" w:ascii="仿宋_GB2312" w:hAnsi="仿宋" w:eastAsia="仿宋_GB2312"/>
          <w:color w:val="000000"/>
          <w:sz w:val="32"/>
          <w:szCs w:val="32"/>
          <w:lang w:val="en-US" w:eastAsia="zh-CN"/>
        </w:rPr>
        <w:t>7.27</w:t>
      </w:r>
      <w:r>
        <w:rPr>
          <w:rFonts w:hint="eastAsia" w:ascii="仿宋_GB2312" w:hAnsi="仿宋" w:eastAsia="仿宋_GB2312"/>
          <w:color w:val="000000"/>
          <w:sz w:val="32"/>
          <w:szCs w:val="32"/>
          <w:lang w:eastAsia="zh-CN"/>
        </w:rPr>
        <w:t>%。决算数与预算数持平。</w:t>
      </w:r>
    </w:p>
    <w:p>
      <w:pPr>
        <w:keepNext/>
        <w:keepLines/>
        <w:autoSpaceDE w:val="0"/>
        <w:autoSpaceDN w:val="0"/>
        <w:adjustRightInd w:val="0"/>
        <w:spacing w:line="560" w:lineRule="exact"/>
        <w:ind w:firstLine="643"/>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（二）“三公”经费财政拨款支出决算具体情况说明</w:t>
      </w:r>
      <w:bookmarkEnd w:id="43"/>
      <w:r>
        <w:rPr>
          <w:rFonts w:hint="eastAsia" w:ascii="楷体_GB2312" w:hAnsi="楷体_GB2312" w:eastAsia="楷体_GB2312" w:cs="Times New Roman"/>
          <w:b/>
          <w:color w:val="auto"/>
          <w:kern w:val="0"/>
          <w:sz w:val="32"/>
          <w:szCs w:val="24"/>
          <w:lang w:val="zh-CN"/>
        </w:rPr>
        <w:t>。</w:t>
      </w:r>
    </w:p>
    <w:p>
      <w:pPr>
        <w:spacing w:line="360" w:lineRule="auto"/>
        <w:ind w:firstLine="640" w:firstLineChars="200"/>
        <w:jc w:val="left"/>
        <w:rPr>
          <w:rFonts w:ascii="仿宋_GB2312" w:eastAsia="仿宋_GB2312"/>
          <w:color w:val="000000"/>
          <w:sz w:val="32"/>
          <w:szCs w:val="32"/>
        </w:rPr>
      </w:pPr>
      <w:r>
        <w:rPr>
          <w:rFonts w:hint="eastAsia" w:ascii="仿宋_GB2312" w:hAnsi="仿宋" w:eastAsia="仿宋_GB2312"/>
          <w:color w:val="000000"/>
          <w:sz w:val="32"/>
          <w:szCs w:val="32"/>
          <w:lang w:eastAsia="zh-CN"/>
        </w:rPr>
        <w:t>2023年“三公”经费财政拨款支出决算中，因公出国（境）费支出决算0万元，占0%；公务用车购置及运行维护费支出决算252.27万元，占99.56%；公务接待费支出决算1.11万元，占0.43%。具体情况如下：</w:t>
      </w:r>
      <w:r>
        <w:rPr>
          <w:rFonts w:ascii="微软雅黑" w:cs="宋体"/>
          <w:color w:val="333333"/>
          <w:sz w:val="27"/>
          <w:szCs w:val="27"/>
        </w:rPr>
        <w:drawing>
          <wp:inline distT="0" distB="0" distL="0" distR="0">
            <wp:extent cx="5358130" cy="2405380"/>
            <wp:effectExtent l="4445" t="4445" r="9525" b="952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hint="eastAsia" w:ascii="仿宋" w:hAnsi="仿宋" w:eastAsia="仿宋"/>
          <w:color w:val="000000"/>
          <w:sz w:val="32"/>
          <w:szCs w:val="32"/>
        </w:rPr>
        <w:t>（图7：“三公”经费财政拨款支出结构）（饼状图）</w:t>
      </w:r>
    </w:p>
    <w:p>
      <w:pPr>
        <w:widowControl/>
        <w:shd w:val="clear" w:color="auto" w:fill="FFFFFF"/>
        <w:spacing w:line="560" w:lineRule="exact"/>
        <w:ind w:firstLine="643" w:firstLineChars="200"/>
        <w:jc w:val="left"/>
        <w:rPr>
          <w:rFonts w:ascii="仿宋_GB2312" w:eastAsia="仿宋_GB2312"/>
          <w:b/>
          <w:bCs/>
          <w:color w:val="000000"/>
          <w:sz w:val="32"/>
          <w:szCs w:val="32"/>
        </w:rPr>
      </w:pPr>
      <w:r>
        <w:rPr>
          <w:rFonts w:hint="eastAsia" w:ascii="仿宋_GB2312" w:eastAsia="仿宋_GB2312"/>
          <w:b/>
          <w:bCs/>
          <w:color w:val="000000"/>
          <w:sz w:val="32"/>
          <w:szCs w:val="32"/>
        </w:rPr>
        <w:t>1.因公出国（境）费</w:t>
      </w:r>
      <w:r>
        <w:rPr>
          <w:rFonts w:hint="eastAsia" w:ascii="仿宋_GB2312" w:hAnsi="微软雅黑" w:eastAsia="仿宋_GB2312" w:cs="宋体"/>
          <w:color w:val="000000"/>
          <w:sz w:val="32"/>
        </w:rPr>
        <w:t>0万元。全年安排因公出国（境）团组0个，出国（境）0人。因公出国（境）支出决算</w:t>
      </w:r>
      <w:r>
        <w:rPr>
          <w:rFonts w:hint="eastAsia" w:ascii="仿宋_GB2312" w:hAnsi="微软雅黑" w:eastAsia="仿宋_GB2312" w:cs="宋体"/>
          <w:color w:val="000000"/>
          <w:sz w:val="32"/>
          <w:lang w:val="en-US" w:eastAsia="zh-CN"/>
        </w:rPr>
        <w:t>与</w:t>
      </w:r>
      <w:r>
        <w:rPr>
          <w:rFonts w:hint="eastAsia" w:ascii="仿宋_GB2312" w:hAnsi="微软雅黑" w:eastAsia="仿宋_GB2312" w:cs="宋体"/>
          <w:color w:val="000000"/>
          <w:sz w:val="32"/>
          <w:lang w:eastAsia="zh-CN"/>
        </w:rPr>
        <w:t>2022</w:t>
      </w:r>
      <w:r>
        <w:rPr>
          <w:rFonts w:hint="eastAsia" w:ascii="仿宋_GB2312" w:hAnsi="微软雅黑" w:eastAsia="仿宋_GB2312" w:cs="宋体"/>
          <w:color w:val="000000"/>
          <w:sz w:val="32"/>
        </w:rPr>
        <w:t>年0万元</w:t>
      </w:r>
      <w:r>
        <w:rPr>
          <w:rFonts w:hint="eastAsia" w:ascii="仿宋_GB2312" w:hAnsi="微软雅黑" w:eastAsia="仿宋_GB2312" w:cs="宋体"/>
          <w:color w:val="000000"/>
          <w:sz w:val="32"/>
          <w:lang w:val="en-US" w:eastAsia="zh-CN"/>
        </w:rPr>
        <w:t>持平</w:t>
      </w:r>
      <w:r>
        <w:rPr>
          <w:rFonts w:hint="eastAsia" w:ascii="仿宋_GB2312" w:hAnsi="微软雅黑" w:eastAsia="仿宋_GB2312" w:cs="宋体"/>
          <w:color w:val="000000"/>
          <w:sz w:val="32"/>
        </w:rPr>
        <w:t>。</w:t>
      </w:r>
    </w:p>
    <w:p>
      <w:pPr>
        <w:widowControl/>
        <w:shd w:val="clear" w:color="auto" w:fill="FFFFFF"/>
        <w:spacing w:line="560" w:lineRule="exact"/>
        <w:ind w:firstLine="643" w:firstLineChars="200"/>
        <w:jc w:val="left"/>
        <w:rPr>
          <w:rFonts w:ascii="仿宋_GB2312" w:eastAsia="仿宋_GB2312"/>
          <w:color w:val="000000"/>
          <w:sz w:val="32"/>
          <w:szCs w:val="32"/>
        </w:rPr>
      </w:pPr>
      <w:r>
        <w:rPr>
          <w:rFonts w:hint="eastAsia" w:ascii="仿宋_GB2312" w:eastAsia="仿宋_GB2312"/>
          <w:b/>
          <w:bCs/>
          <w:color w:val="000000"/>
          <w:sz w:val="32"/>
          <w:szCs w:val="32"/>
        </w:rPr>
        <w:t>2.公务用车购置及运行维护费支出</w:t>
      </w:r>
      <w:r>
        <w:rPr>
          <w:rFonts w:hint="eastAsia" w:ascii="仿宋_GB2312" w:hAnsi="仿宋" w:eastAsia="仿宋_GB2312"/>
          <w:b/>
          <w:bCs/>
          <w:color w:val="000000"/>
          <w:sz w:val="32"/>
          <w:szCs w:val="32"/>
        </w:rPr>
        <w:t>252.27</w:t>
      </w:r>
      <w:r>
        <w:rPr>
          <w:rFonts w:hint="eastAsia" w:ascii="仿宋_GB2312" w:eastAsia="仿宋_GB2312"/>
          <w:b/>
          <w:bCs/>
          <w:color w:val="000000"/>
          <w:sz w:val="32"/>
          <w:szCs w:val="32"/>
        </w:rPr>
        <w:t>万元</w:t>
      </w:r>
      <w:r>
        <w:rPr>
          <w:rFonts w:hint="eastAsia" w:ascii="仿宋_GB2312" w:hAnsi="仿宋" w:eastAsia="仿宋_GB2312"/>
          <w:b/>
          <w:bCs/>
          <w:color w:val="000000"/>
          <w:sz w:val="32"/>
          <w:szCs w:val="32"/>
        </w:rPr>
        <w:t>，完成预算100%。</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hint="eastAsia" w:ascii="仿宋_GB2312" w:hAnsi="仿宋" w:eastAsia="仿宋_GB2312"/>
          <w:color w:val="000000"/>
          <w:sz w:val="32"/>
          <w:szCs w:val="32"/>
        </w:rPr>
        <w:t>226.23</w:t>
      </w:r>
      <w:r>
        <w:rPr>
          <w:rFonts w:hint="eastAsia" w:ascii="仿宋_GB2312" w:hAnsi="微软雅黑" w:eastAsia="仿宋_GB2312" w:cs="宋体"/>
          <w:color w:val="000000"/>
          <w:sz w:val="32"/>
          <w:szCs w:val="32"/>
        </w:rPr>
        <w:t>万元</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26.04</w:t>
      </w:r>
      <w:r>
        <w:rPr>
          <w:rFonts w:hint="eastAsia" w:ascii="仿宋_GB2312" w:eastAsia="仿宋_GB2312"/>
          <w:color w:val="000000"/>
          <w:sz w:val="32"/>
          <w:szCs w:val="32"/>
        </w:rPr>
        <w:t>万元，上升</w:t>
      </w:r>
      <w:r>
        <w:rPr>
          <w:rFonts w:hint="eastAsia" w:ascii="仿宋_GB2312" w:eastAsia="仿宋_GB2312"/>
          <w:color w:val="000000"/>
          <w:sz w:val="32"/>
          <w:szCs w:val="32"/>
          <w:lang w:val="en-US" w:eastAsia="zh-CN"/>
        </w:rPr>
        <w:t>11.5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购买车辆</w:t>
      </w:r>
      <w:r>
        <w:rPr>
          <w:rFonts w:hint="eastAsia" w:ascii="仿宋_GB2312" w:hAnsi="仿宋" w:eastAsia="仿宋_GB2312"/>
          <w:color w:val="000000"/>
          <w:sz w:val="32"/>
          <w:szCs w:val="32"/>
        </w:rPr>
        <w:t>。</w:t>
      </w:r>
    </w:p>
    <w:p>
      <w:pPr>
        <w:spacing w:line="560" w:lineRule="exact"/>
        <w:ind w:firstLine="640" w:firstLineChars="200"/>
        <w:rPr>
          <w:rFonts w:ascii="仿宋_GB2312" w:hAnsi="微软雅黑" w:eastAsia="仿宋_GB2312" w:cs="宋体"/>
          <w:color w:val="FF0000"/>
          <w:sz w:val="32"/>
          <w:szCs w:val="32"/>
        </w:rPr>
      </w:pPr>
      <w:r>
        <w:rPr>
          <w:rFonts w:hint="eastAsia" w:ascii="仿宋_GB2312" w:eastAsia="仿宋_GB2312"/>
          <w:color w:val="auto"/>
          <w:sz w:val="32"/>
          <w:szCs w:val="32"/>
        </w:rPr>
        <w:t>其中：</w:t>
      </w:r>
      <w:r>
        <w:rPr>
          <w:rFonts w:hint="eastAsia" w:ascii="仿宋_GB2312" w:hAnsi="微软雅黑" w:eastAsia="仿宋_GB2312" w:cs="宋体"/>
          <w:color w:val="auto"/>
          <w:sz w:val="32"/>
        </w:rPr>
        <w:t>公务用车购置支出</w:t>
      </w:r>
      <w:r>
        <w:rPr>
          <w:rFonts w:hint="eastAsia" w:ascii="仿宋_GB2312" w:hAnsi="微软雅黑" w:eastAsia="仿宋_GB2312" w:cs="宋体"/>
          <w:color w:val="auto"/>
          <w:sz w:val="32"/>
          <w:szCs w:val="32"/>
        </w:rPr>
        <w:t>152.23万元。全年按规定更新购置公务用车</w:t>
      </w:r>
      <w:r>
        <w:rPr>
          <w:rFonts w:hint="eastAsia" w:ascii="仿宋_GB2312" w:hAnsi="微软雅黑" w:eastAsia="仿宋_GB2312" w:cs="宋体"/>
          <w:color w:val="auto"/>
          <w:sz w:val="32"/>
          <w:szCs w:val="32"/>
          <w:lang w:val="en-US" w:eastAsia="zh-CN"/>
        </w:rPr>
        <w:t>8</w:t>
      </w:r>
      <w:r>
        <w:rPr>
          <w:rFonts w:hint="eastAsia" w:ascii="仿宋_GB2312" w:hAnsi="微软雅黑" w:eastAsia="仿宋_GB2312" w:cs="宋体"/>
          <w:color w:val="auto"/>
          <w:sz w:val="32"/>
          <w:szCs w:val="32"/>
        </w:rPr>
        <w:t>辆。其中：其中：轿车</w:t>
      </w:r>
      <w:r>
        <w:rPr>
          <w:rFonts w:hint="default" w:ascii="仿宋_GB2312" w:hAnsi="微软雅黑" w:eastAsia="仿宋_GB2312" w:cs="宋体"/>
          <w:color w:val="auto"/>
          <w:sz w:val="32"/>
          <w:szCs w:val="32"/>
        </w:rPr>
        <w:t>0</w:t>
      </w:r>
      <w:r>
        <w:rPr>
          <w:rFonts w:hint="eastAsia" w:ascii="仿宋_GB2312" w:hAnsi="微软雅黑" w:eastAsia="仿宋_GB2312" w:cs="宋体"/>
          <w:color w:val="auto"/>
          <w:sz w:val="32"/>
          <w:szCs w:val="32"/>
        </w:rPr>
        <w:t>辆、金额</w:t>
      </w:r>
      <w:r>
        <w:rPr>
          <w:rFonts w:hint="default" w:ascii="仿宋_GB2312" w:hAnsi="微软雅黑" w:eastAsia="仿宋_GB2312" w:cs="宋体"/>
          <w:color w:val="auto"/>
          <w:sz w:val="32"/>
          <w:szCs w:val="32"/>
        </w:rPr>
        <w:t>0</w:t>
      </w:r>
      <w:r>
        <w:rPr>
          <w:rFonts w:hint="eastAsia" w:ascii="仿宋_GB2312" w:hAnsi="微软雅黑" w:eastAsia="仿宋_GB2312" w:cs="宋体"/>
          <w:color w:val="auto"/>
          <w:sz w:val="32"/>
          <w:szCs w:val="32"/>
        </w:rPr>
        <w:t>万元，越野车</w:t>
      </w:r>
      <w:r>
        <w:rPr>
          <w:rFonts w:hint="default" w:ascii="仿宋_GB2312" w:hAnsi="微软雅黑" w:eastAsia="仿宋_GB2312" w:cs="宋体"/>
          <w:color w:val="auto"/>
          <w:sz w:val="32"/>
          <w:szCs w:val="32"/>
        </w:rPr>
        <w:t>0</w:t>
      </w:r>
      <w:r>
        <w:rPr>
          <w:rFonts w:hint="eastAsia" w:ascii="仿宋_GB2312" w:hAnsi="微软雅黑" w:eastAsia="仿宋_GB2312" w:cs="宋体"/>
          <w:color w:val="auto"/>
          <w:sz w:val="32"/>
          <w:szCs w:val="32"/>
        </w:rPr>
        <w:t>辆、金额</w:t>
      </w:r>
      <w:r>
        <w:rPr>
          <w:rFonts w:hint="default" w:ascii="仿宋_GB2312" w:hAnsi="微软雅黑" w:eastAsia="仿宋_GB2312" w:cs="宋体"/>
          <w:color w:val="auto"/>
          <w:sz w:val="32"/>
          <w:szCs w:val="32"/>
        </w:rPr>
        <w:t>0</w:t>
      </w:r>
      <w:r>
        <w:rPr>
          <w:rFonts w:hint="eastAsia" w:ascii="仿宋_GB2312" w:hAnsi="微软雅黑" w:eastAsia="仿宋_GB2312" w:cs="宋体"/>
          <w:color w:val="auto"/>
          <w:sz w:val="32"/>
          <w:szCs w:val="32"/>
        </w:rPr>
        <w:t>万元，小型载客汽车</w:t>
      </w:r>
      <w:r>
        <w:rPr>
          <w:rFonts w:hint="eastAsia" w:ascii="仿宋_GB2312" w:hAnsi="微软雅黑" w:eastAsia="仿宋_GB2312" w:cs="宋体"/>
          <w:color w:val="auto"/>
          <w:sz w:val="32"/>
          <w:szCs w:val="32"/>
          <w:lang w:val="en-US" w:eastAsia="zh-CN"/>
        </w:rPr>
        <w:t>1</w:t>
      </w:r>
      <w:r>
        <w:rPr>
          <w:rFonts w:hint="eastAsia" w:ascii="仿宋_GB2312" w:hAnsi="微软雅黑" w:eastAsia="仿宋_GB2312" w:cs="宋体"/>
          <w:color w:val="auto"/>
          <w:sz w:val="32"/>
          <w:szCs w:val="32"/>
        </w:rPr>
        <w:t>辆、金额</w:t>
      </w:r>
      <w:r>
        <w:rPr>
          <w:rFonts w:hint="eastAsia" w:ascii="仿宋_GB2312" w:hAnsi="微软雅黑" w:eastAsia="仿宋_GB2312" w:cs="宋体"/>
          <w:color w:val="auto"/>
          <w:sz w:val="32"/>
          <w:szCs w:val="32"/>
          <w:lang w:val="en-US" w:eastAsia="zh-CN"/>
        </w:rPr>
        <w:t>31.72</w:t>
      </w:r>
      <w:r>
        <w:rPr>
          <w:rFonts w:hint="eastAsia" w:ascii="仿宋_GB2312" w:hAnsi="微软雅黑" w:eastAsia="仿宋_GB2312" w:cs="宋体"/>
          <w:color w:val="auto"/>
          <w:sz w:val="32"/>
          <w:szCs w:val="32"/>
        </w:rPr>
        <w:t>万元，大中型载客汽车</w:t>
      </w:r>
      <w:r>
        <w:rPr>
          <w:rFonts w:hint="default" w:ascii="仿宋_GB2312" w:hAnsi="微软雅黑" w:eastAsia="仿宋_GB2312" w:cs="宋体"/>
          <w:color w:val="auto"/>
          <w:sz w:val="32"/>
          <w:szCs w:val="32"/>
        </w:rPr>
        <w:t>0</w:t>
      </w:r>
      <w:r>
        <w:rPr>
          <w:rFonts w:hint="eastAsia" w:ascii="仿宋_GB2312" w:hAnsi="微软雅黑" w:eastAsia="仿宋_GB2312" w:cs="宋体"/>
          <w:color w:val="auto"/>
          <w:sz w:val="32"/>
          <w:szCs w:val="32"/>
        </w:rPr>
        <w:t>辆、金额</w:t>
      </w:r>
      <w:r>
        <w:rPr>
          <w:rFonts w:hint="default" w:ascii="仿宋_GB2312" w:hAnsi="微软雅黑" w:eastAsia="仿宋_GB2312" w:cs="宋体"/>
          <w:color w:val="auto"/>
          <w:sz w:val="32"/>
          <w:szCs w:val="32"/>
        </w:rPr>
        <w:t>0</w:t>
      </w:r>
      <w:r>
        <w:rPr>
          <w:rFonts w:hint="eastAsia" w:ascii="仿宋_GB2312" w:hAnsi="微软雅黑" w:eastAsia="仿宋_GB2312" w:cs="宋体"/>
          <w:color w:val="auto"/>
          <w:sz w:val="32"/>
          <w:szCs w:val="32"/>
        </w:rPr>
        <w:t>万元，其他车型</w:t>
      </w:r>
      <w:r>
        <w:rPr>
          <w:rFonts w:hint="eastAsia" w:ascii="仿宋_GB2312" w:hAnsi="微软雅黑" w:eastAsia="仿宋_GB2312" w:cs="宋体"/>
          <w:color w:val="auto"/>
          <w:sz w:val="32"/>
          <w:szCs w:val="32"/>
          <w:lang w:val="en-US" w:eastAsia="zh-CN"/>
        </w:rPr>
        <w:t>7</w:t>
      </w:r>
      <w:r>
        <w:rPr>
          <w:rFonts w:hint="eastAsia" w:ascii="仿宋_GB2312" w:hAnsi="微软雅黑" w:eastAsia="仿宋_GB2312" w:cs="宋体"/>
          <w:color w:val="auto"/>
          <w:sz w:val="32"/>
          <w:szCs w:val="32"/>
        </w:rPr>
        <w:t>辆、金额</w:t>
      </w:r>
      <w:r>
        <w:rPr>
          <w:rFonts w:hint="eastAsia" w:ascii="仿宋_GB2312" w:hAnsi="微软雅黑" w:eastAsia="仿宋_GB2312" w:cs="宋体"/>
          <w:color w:val="auto"/>
          <w:sz w:val="32"/>
          <w:szCs w:val="32"/>
          <w:lang w:val="en-US" w:eastAsia="zh-CN"/>
        </w:rPr>
        <w:t>120.51</w:t>
      </w:r>
      <w:r>
        <w:rPr>
          <w:rFonts w:hint="eastAsia" w:ascii="仿宋_GB2312" w:hAnsi="微软雅黑" w:eastAsia="仿宋_GB2312" w:cs="宋体"/>
          <w:color w:val="auto"/>
          <w:sz w:val="32"/>
          <w:szCs w:val="32"/>
        </w:rPr>
        <w:t>万元</w:t>
      </w:r>
      <w:r>
        <w:rPr>
          <w:rFonts w:hint="eastAsia" w:ascii="仿宋_GB2312" w:hAnsi="微软雅黑" w:eastAsia="仿宋_GB2312" w:cs="宋体"/>
          <w:color w:val="auto"/>
          <w:sz w:val="32"/>
          <w:szCs w:val="32"/>
          <w:lang w:eastAsia="zh-CN"/>
        </w:rPr>
        <w:t>。其他用车主要是用于执法执勤、保安巡逻。</w:t>
      </w:r>
      <w:r>
        <w:rPr>
          <w:rFonts w:hint="eastAsia" w:ascii="仿宋_GB2312" w:hAnsi="微软雅黑" w:eastAsia="仿宋_GB2312" w:cs="宋体"/>
          <w:color w:val="auto"/>
          <w:sz w:val="32"/>
          <w:szCs w:val="32"/>
          <w:lang w:val="en-US" w:eastAsia="zh-CN"/>
        </w:rPr>
        <w:t>主要出入境</w:t>
      </w:r>
      <w:r>
        <w:rPr>
          <w:rFonts w:hint="eastAsia" w:ascii="仿宋_GB2312" w:hAnsi="微软雅黑" w:eastAsia="仿宋_GB2312" w:cs="宋体"/>
          <w:color w:val="auto"/>
          <w:sz w:val="32"/>
          <w:szCs w:val="32"/>
        </w:rPr>
        <w:t>截至</w:t>
      </w:r>
      <w:r>
        <w:rPr>
          <w:rFonts w:hint="eastAsia" w:ascii="仿宋_GB2312" w:hAnsi="微软雅黑" w:eastAsia="仿宋_GB2312" w:cs="宋体"/>
          <w:color w:val="auto"/>
          <w:sz w:val="32"/>
          <w:szCs w:val="32"/>
          <w:lang w:eastAsia="zh-CN"/>
        </w:rPr>
        <w:t>2023</w:t>
      </w:r>
      <w:r>
        <w:rPr>
          <w:rFonts w:hint="eastAsia" w:ascii="仿宋_GB2312" w:hAnsi="微软雅黑" w:eastAsia="仿宋_GB2312" w:cs="宋体"/>
          <w:color w:val="auto"/>
          <w:sz w:val="32"/>
          <w:szCs w:val="32"/>
        </w:rPr>
        <w:t>年</w:t>
      </w:r>
      <w:r>
        <w:rPr>
          <w:rFonts w:ascii="仿宋_GB2312" w:hAnsi="微软雅黑" w:eastAsia="仿宋_GB2312" w:cs="宋体"/>
          <w:color w:val="auto"/>
          <w:sz w:val="32"/>
          <w:szCs w:val="32"/>
        </w:rPr>
        <w:t>12</w:t>
      </w:r>
      <w:r>
        <w:rPr>
          <w:rFonts w:hint="eastAsia" w:ascii="仿宋_GB2312" w:hAnsi="微软雅黑" w:eastAsia="仿宋_GB2312" w:cs="宋体"/>
          <w:color w:val="auto"/>
          <w:sz w:val="32"/>
          <w:szCs w:val="32"/>
        </w:rPr>
        <w:t>月底，单位共有执法公务用车55辆，其中：轿车5辆、越野车13辆、小型载客汽车2辆，大中型载客汽车6辆、其他车型29辆。</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仿宋_GB2312" w:hAnsi="仿宋" w:eastAsia="仿宋_GB2312"/>
          <w:color w:val="000000"/>
          <w:sz w:val="32"/>
          <w:szCs w:val="32"/>
        </w:rPr>
        <w:t>100.04</w:t>
      </w:r>
      <w:r>
        <w:rPr>
          <w:rFonts w:hint="eastAsia" w:ascii="仿宋_GB2312" w:eastAsia="仿宋_GB2312"/>
          <w:color w:val="000000"/>
          <w:sz w:val="32"/>
          <w:szCs w:val="32"/>
        </w:rPr>
        <w:t>万元。主要用于</w:t>
      </w:r>
      <w:r>
        <w:rPr>
          <w:rFonts w:hint="eastAsia" w:ascii="仿宋_GB2312" w:eastAsia="仿宋_GB2312"/>
          <w:sz w:val="32"/>
          <w:szCs w:val="32"/>
        </w:rPr>
        <w:t>安保维稳、执法办案</w:t>
      </w:r>
      <w:r>
        <w:rPr>
          <w:rFonts w:hint="eastAsia" w:ascii="仿宋_GB2312" w:eastAsia="仿宋_GB2312"/>
          <w:color w:val="000000"/>
          <w:sz w:val="32"/>
          <w:szCs w:val="32"/>
        </w:rPr>
        <w:t>、巡逻防范等所需的公务用车燃料费、维修费、过路过桥费、保险费等支出。</w:t>
      </w:r>
    </w:p>
    <w:p>
      <w:pPr>
        <w:spacing w:line="560" w:lineRule="exact"/>
        <w:ind w:firstLine="640"/>
        <w:rPr>
          <w:rFonts w:ascii="仿宋_GB2312" w:eastAsia="仿宋_GB2312"/>
          <w:color w:val="000000"/>
          <w:sz w:val="32"/>
          <w:szCs w:val="32"/>
        </w:rPr>
      </w:pPr>
      <w:r>
        <w:rPr>
          <w:rFonts w:hint="eastAsia" w:ascii="仿宋_GB2312" w:eastAsia="仿宋_GB2312"/>
          <w:b/>
          <w:bCs/>
          <w:color w:val="000000"/>
          <w:sz w:val="32"/>
          <w:szCs w:val="32"/>
        </w:rPr>
        <w:t>3.公务接待费支出1.</w:t>
      </w:r>
      <w:r>
        <w:rPr>
          <w:rFonts w:hint="eastAsia" w:ascii="仿宋_GB2312" w:eastAsia="仿宋_GB2312"/>
          <w:b/>
          <w:bCs/>
          <w:color w:val="000000"/>
          <w:sz w:val="32"/>
          <w:szCs w:val="32"/>
          <w:lang w:val="en-US" w:eastAsia="zh-CN"/>
        </w:rPr>
        <w:t>11</w:t>
      </w:r>
      <w:r>
        <w:rPr>
          <w:rFonts w:hint="eastAsia" w:ascii="仿宋_GB2312" w:eastAsia="仿宋_GB2312"/>
          <w:b/>
          <w:bCs/>
          <w:color w:val="000000"/>
          <w:sz w:val="32"/>
          <w:szCs w:val="32"/>
        </w:rPr>
        <w:t>万元</w:t>
      </w:r>
      <w:r>
        <w:rPr>
          <w:rFonts w:hint="eastAsia" w:ascii="仿宋_GB2312" w:hAnsi="仿宋" w:eastAsia="仿宋_GB2312"/>
          <w:b/>
          <w:bCs/>
          <w:color w:val="000000"/>
          <w:sz w:val="32"/>
          <w:szCs w:val="32"/>
        </w:rPr>
        <w:t>，完成预算100%。</w:t>
      </w:r>
      <w:r>
        <w:rPr>
          <w:rFonts w:hint="eastAsia" w:ascii="仿宋_GB2312" w:eastAsia="仿宋_GB2312"/>
          <w:color w:val="000000"/>
          <w:sz w:val="32"/>
          <w:szCs w:val="32"/>
          <w:lang w:eastAsia="zh-CN"/>
        </w:rPr>
        <w:t>公务接待费支出决算比2022年</w:t>
      </w:r>
      <w:r>
        <w:rPr>
          <w:rFonts w:hint="eastAsia" w:ascii="仿宋_GB2312" w:eastAsia="仿宋_GB2312"/>
          <w:color w:val="000000"/>
          <w:sz w:val="32"/>
          <w:szCs w:val="32"/>
          <w:lang w:val="en-US" w:eastAsia="zh-CN"/>
        </w:rPr>
        <w:t>1.15</w:t>
      </w:r>
      <w:r>
        <w:rPr>
          <w:rFonts w:hint="eastAsia" w:ascii="仿宋_GB2312" w:eastAsia="仿宋_GB2312"/>
          <w:color w:val="000000"/>
          <w:sz w:val="32"/>
          <w:szCs w:val="32"/>
          <w:lang w:eastAsia="zh-CN"/>
        </w:rPr>
        <w:t>万元，减少0.</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lang w:eastAsia="zh-CN"/>
        </w:rPr>
        <w:t>万元，下降</w:t>
      </w:r>
      <w:r>
        <w:rPr>
          <w:rFonts w:hint="eastAsia" w:ascii="仿宋_GB2312" w:eastAsia="仿宋_GB2312"/>
          <w:color w:val="000000"/>
          <w:sz w:val="32"/>
          <w:szCs w:val="32"/>
          <w:lang w:val="en-US" w:eastAsia="zh-CN"/>
        </w:rPr>
        <w:t>3.48</w:t>
      </w:r>
      <w:r>
        <w:rPr>
          <w:rFonts w:hint="eastAsia" w:ascii="仿宋_GB2312" w:eastAsia="仿宋_GB2312"/>
          <w:color w:val="000000"/>
          <w:sz w:val="32"/>
          <w:szCs w:val="32"/>
          <w:lang w:eastAsia="zh-CN"/>
        </w:rPr>
        <w:t>%，主要原因是</w:t>
      </w:r>
      <w:r>
        <w:rPr>
          <w:rFonts w:hint="eastAsia" w:ascii="仿宋_GB2312" w:eastAsia="仿宋_GB2312"/>
          <w:color w:val="000000"/>
          <w:sz w:val="32"/>
          <w:szCs w:val="32"/>
          <w:lang w:val="en-US" w:eastAsia="zh-CN"/>
        </w:rPr>
        <w:t>节约</w:t>
      </w:r>
      <w:r>
        <w:rPr>
          <w:rFonts w:hint="eastAsia" w:ascii="仿宋_GB2312" w:eastAsia="仿宋_GB2312"/>
          <w:color w:val="000000"/>
          <w:sz w:val="32"/>
          <w:szCs w:val="32"/>
          <w:lang w:eastAsia="zh-CN"/>
        </w:rPr>
        <w:t>。</w:t>
      </w:r>
    </w:p>
    <w:p>
      <w:pPr>
        <w:spacing w:line="56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国内公务接待支出1.1</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万元。主要用于执行公务、开展业务活动开支的用餐费。国内公务接待</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批次，7</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人次，共计支出1.1</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。具体内容包括</w:t>
      </w:r>
      <w:r>
        <w:rPr>
          <w:rFonts w:hint="default" w:ascii="仿宋_GB2312" w:eastAsia="仿宋_GB2312"/>
          <w:color w:val="000000"/>
          <w:sz w:val="32"/>
          <w:szCs w:val="32"/>
          <w:lang w:eastAsia="zh-CN"/>
        </w:rPr>
        <w:t>：</w:t>
      </w:r>
      <w:r>
        <w:rPr>
          <w:rFonts w:hint="eastAsia" w:ascii="仿宋_GB2312" w:eastAsia="仿宋_GB2312"/>
          <w:color w:val="000000"/>
          <w:sz w:val="32"/>
          <w:szCs w:val="32"/>
          <w:lang w:val="en-US" w:eastAsia="zh-CN"/>
        </w:rPr>
        <w:t>一是县局接待战训基地送教小分队支出0.42万元、二是县局接待大英县公安局考察组支出0.19万元、三是县局接待省厅信访调研接待费 支出0.16万元、四是交警大队接待营山县交警大队学习考察组支出0.08万元、五是森警大队接待森警总队督导办案组0.09万元、六是县局接待自贡市公安局交流学习组支出0.17万元。</w:t>
      </w:r>
    </w:p>
    <w:p>
      <w:pPr>
        <w:spacing w:line="560" w:lineRule="exact"/>
        <w:ind w:firstLine="640" w:firstLineChars="200"/>
        <w:rPr>
          <w:rFonts w:ascii="仿宋_GB2312" w:eastAsia="仿宋_GB2312"/>
          <w:color w:val="000000"/>
          <w:sz w:val="32"/>
          <w:szCs w:val="32"/>
        </w:rPr>
      </w:pPr>
      <w:r>
        <w:rPr>
          <w:rFonts w:hint="eastAsia" w:ascii="仿宋_GB2312" w:hAnsi="仿宋" w:eastAsia="仿宋_GB2312"/>
          <w:color w:val="000000"/>
          <w:sz w:val="32"/>
          <w:szCs w:val="32"/>
        </w:rPr>
        <w:t>外事接待支出0</w:t>
      </w:r>
      <w:r>
        <w:rPr>
          <w:rFonts w:hint="eastAsia" w:ascii="仿宋_GB2312" w:eastAsia="仿宋_GB2312"/>
          <w:color w:val="000000"/>
          <w:sz w:val="32"/>
          <w:szCs w:val="32"/>
        </w:rPr>
        <w:t>万元，外事接待0批次，0人</w:t>
      </w:r>
      <w:r>
        <w:rPr>
          <w:rFonts w:hint="default" w:ascii="仿宋_GB2312" w:eastAsia="仿宋_GB2312"/>
          <w:color w:val="000000"/>
          <w:sz w:val="32"/>
          <w:szCs w:val="32"/>
        </w:rPr>
        <w:t>次</w:t>
      </w:r>
      <w:r>
        <w:rPr>
          <w:rFonts w:hint="eastAsia" w:ascii="仿宋_GB2312" w:eastAsia="仿宋_GB2312"/>
          <w:color w:val="000000"/>
          <w:sz w:val="32"/>
          <w:szCs w:val="32"/>
        </w:rPr>
        <w:t>，共计支出0万元。</w:t>
      </w:r>
    </w:p>
    <w:p>
      <w:pPr>
        <w:spacing w:line="560" w:lineRule="exact"/>
        <w:ind w:firstLine="640"/>
        <w:outlineLvl w:val="1"/>
        <w:rPr>
          <w:rStyle w:val="25"/>
          <w:rFonts w:ascii="黑体" w:hAnsi="黑体" w:eastAsia="黑体"/>
        </w:rPr>
      </w:pPr>
      <w:bookmarkStart w:id="44" w:name="_Toc15396610"/>
      <w:bookmarkStart w:id="45" w:name="_Toc1537721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4"/>
      <w:bookmarkEnd w:id="45"/>
    </w:p>
    <w:p>
      <w:pPr>
        <w:spacing w:line="560" w:lineRule="exact"/>
        <w:ind w:firstLine="641"/>
        <w:rPr>
          <w:rFonts w:hint="eastAsia" w:ascii="仿宋_GB2312" w:eastAsia="仿宋_GB2312"/>
          <w:color w:val="000000"/>
          <w:sz w:val="32"/>
          <w:szCs w:val="32"/>
          <w:lang w:eastAsia="zh-CN"/>
        </w:rPr>
      </w:pPr>
      <w:r>
        <w:rPr>
          <w:rFonts w:hint="eastAsia" w:ascii="仿宋_GB2312" w:hAnsi="仿宋" w:eastAsia="仿宋_GB2312"/>
          <w:color w:val="000000"/>
          <w:sz w:val="32"/>
          <w:szCs w:val="32"/>
          <w:lang w:eastAsia="zh-CN"/>
        </w:rPr>
        <w:t>2023</w:t>
      </w:r>
      <w:r>
        <w:rPr>
          <w:rFonts w:hint="eastAsia" w:ascii="仿宋_GB2312" w:hAnsi="仿宋" w:eastAsia="仿宋_GB2312"/>
          <w:color w:val="000000"/>
          <w:sz w:val="32"/>
          <w:szCs w:val="32"/>
        </w:rPr>
        <w:t>年政府性基金预算财政拨款收入总计</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万元。与</w:t>
      </w: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w:t>
      </w:r>
      <w:r>
        <w:rPr>
          <w:rFonts w:hint="eastAsia" w:ascii="仿宋_GB2312" w:hAnsi="仿宋" w:eastAsia="仿宋_GB2312"/>
          <w:color w:val="000000"/>
          <w:sz w:val="32"/>
          <w:szCs w:val="32"/>
          <w:lang w:val="en-US" w:eastAsia="zh-CN"/>
        </w:rPr>
        <w:t>0</w:t>
      </w:r>
      <w:r>
        <w:rPr>
          <w:rFonts w:hint="eastAsia" w:ascii="仿宋_GB2312" w:hAnsi="微软雅黑" w:eastAsia="仿宋_GB2312" w:cs="宋体"/>
          <w:color w:val="000000"/>
          <w:kern w:val="0"/>
          <w:sz w:val="32"/>
          <w:szCs w:val="32"/>
        </w:rPr>
        <w:t>万元</w:t>
      </w:r>
      <w:r>
        <w:rPr>
          <w:rFonts w:hint="eastAsia" w:ascii="仿宋_GB2312" w:hAnsi="仿宋" w:eastAsia="仿宋_GB2312"/>
          <w:color w:val="000000"/>
          <w:sz w:val="32"/>
          <w:szCs w:val="32"/>
        </w:rPr>
        <w:t>相比</w:t>
      </w:r>
      <w:r>
        <w:rPr>
          <w:rFonts w:hint="eastAsia" w:ascii="仿宋_GB2312" w:hAnsi="仿宋" w:eastAsia="仿宋_GB2312"/>
          <w:color w:val="000000"/>
          <w:sz w:val="32"/>
          <w:szCs w:val="32"/>
          <w:lang w:val="en-US" w:eastAsia="zh-CN"/>
        </w:rPr>
        <w:t>持平。</w:t>
      </w:r>
    </w:p>
    <w:p>
      <w:pPr>
        <w:numPr>
          <w:ilvl w:val="0"/>
          <w:numId w:val="3"/>
        </w:numPr>
        <w:spacing w:line="560" w:lineRule="exact"/>
        <w:ind w:firstLine="640"/>
        <w:outlineLvl w:val="1"/>
        <w:rPr>
          <w:rStyle w:val="25"/>
          <w:rFonts w:ascii="黑体" w:hAnsi="黑体" w:eastAsia="黑体"/>
          <w:b w:val="0"/>
        </w:rPr>
      </w:pPr>
      <w:bookmarkStart w:id="46" w:name="_Toc15396611"/>
      <w:bookmarkStart w:id="47" w:name="_Toc15377219"/>
      <w:r>
        <w:rPr>
          <w:rStyle w:val="25"/>
          <w:rFonts w:hint="eastAsia" w:ascii="黑体" w:hAnsi="黑体" w:eastAsia="黑体"/>
          <w:b w:val="0"/>
        </w:rPr>
        <w:t>国有资本经营预算支出决算情况说明</w:t>
      </w:r>
      <w:bookmarkEnd w:id="46"/>
      <w:bookmarkEnd w:id="47"/>
    </w:p>
    <w:p>
      <w:pPr>
        <w:spacing w:line="56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年国有资本经营预算拨款支出0万元。</w:t>
      </w:r>
    </w:p>
    <w:p>
      <w:pPr>
        <w:spacing w:line="560" w:lineRule="exact"/>
        <w:ind w:firstLine="800" w:firstLineChars="250"/>
        <w:outlineLvl w:val="1"/>
        <w:rPr>
          <w:rStyle w:val="25"/>
          <w:rFonts w:ascii="黑体" w:hAnsi="黑体" w:eastAsia="黑体"/>
        </w:rPr>
      </w:pPr>
      <w:bookmarkStart w:id="48" w:name="_Toc15396612"/>
      <w:bookmarkStart w:id="49"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48"/>
      <w:bookmarkEnd w:id="49"/>
    </w:p>
    <w:p>
      <w:pPr>
        <w:keepNext/>
        <w:keepLines/>
        <w:autoSpaceDE w:val="0"/>
        <w:autoSpaceDN w:val="0"/>
        <w:adjustRightInd w:val="0"/>
        <w:spacing w:line="560" w:lineRule="exact"/>
        <w:ind w:firstLine="643"/>
        <w:jc w:val="left"/>
        <w:rPr>
          <w:rFonts w:hint="eastAsia" w:ascii="楷体_GB2312" w:hAnsi="楷体_GB2312" w:eastAsia="楷体_GB2312" w:cs="Times New Roman"/>
          <w:b/>
          <w:color w:val="auto"/>
          <w:kern w:val="0"/>
          <w:sz w:val="32"/>
          <w:szCs w:val="24"/>
          <w:lang w:val="zh-CN"/>
        </w:rPr>
      </w:pPr>
      <w:bookmarkStart w:id="50" w:name="_Toc15377222"/>
      <w:r>
        <w:rPr>
          <w:rFonts w:hint="eastAsia" w:ascii="楷体_GB2312" w:hAnsi="楷体_GB2312" w:eastAsia="楷体_GB2312" w:cs="Times New Roman"/>
          <w:b/>
          <w:color w:val="auto"/>
          <w:kern w:val="0"/>
          <w:sz w:val="32"/>
          <w:szCs w:val="24"/>
          <w:lang w:val="zh-CN"/>
        </w:rPr>
        <w:t>（一）机关运行经费支出情况</w:t>
      </w:r>
      <w:bookmarkEnd w:id="50"/>
      <w:r>
        <w:rPr>
          <w:rFonts w:hint="eastAsia" w:ascii="楷体_GB2312" w:hAnsi="楷体_GB2312" w:eastAsia="楷体_GB2312" w:cs="Times New Roman"/>
          <w:b/>
          <w:color w:val="auto"/>
          <w:kern w:val="0"/>
          <w:sz w:val="32"/>
          <w:szCs w:val="24"/>
          <w:lang w:val="zh-CN"/>
        </w:rPr>
        <w:t>。</w:t>
      </w:r>
    </w:p>
    <w:p>
      <w:pPr>
        <w:autoSpaceDE w:val="0"/>
        <w:autoSpaceDN w:val="0"/>
        <w:adjustRightInd w:val="0"/>
        <w:spacing w:line="560" w:lineRule="exact"/>
        <w:ind w:firstLine="640" w:firstLineChars="200"/>
        <w:jc w:val="left"/>
        <w:outlineLvl w:val="2"/>
        <w:rPr>
          <w:rFonts w:hint="eastAsia" w:ascii="仿宋_GB2312" w:eastAsia="仿宋_GB2312"/>
          <w:sz w:val="32"/>
          <w:lang w:eastAsia="zh-CN"/>
        </w:rPr>
      </w:pPr>
      <w:bookmarkStart w:id="51" w:name="_Toc15377223"/>
      <w:r>
        <w:rPr>
          <w:rFonts w:hint="eastAsia" w:ascii="仿宋_GB2312" w:eastAsia="仿宋_GB2312"/>
          <w:sz w:val="32"/>
          <w:lang w:eastAsia="zh-CN"/>
        </w:rPr>
        <w:t>2023</w:t>
      </w:r>
      <w:r>
        <w:rPr>
          <w:rFonts w:hint="eastAsia" w:ascii="仿宋_GB2312" w:eastAsia="仿宋_GB2312"/>
          <w:sz w:val="32"/>
        </w:rPr>
        <w:t>年，米易县公安局机关运行经费支出786.79万元，比</w:t>
      </w:r>
      <w:r>
        <w:rPr>
          <w:rFonts w:hint="eastAsia" w:ascii="仿宋_GB2312" w:eastAsia="仿宋_GB2312"/>
          <w:sz w:val="32"/>
          <w:lang w:eastAsia="zh-CN"/>
        </w:rPr>
        <w:t>2022</w:t>
      </w:r>
      <w:r>
        <w:rPr>
          <w:rFonts w:hint="eastAsia" w:ascii="仿宋_GB2312" w:eastAsia="仿宋_GB2312"/>
          <w:sz w:val="32"/>
        </w:rPr>
        <w:t>年增加</w:t>
      </w:r>
      <w:r>
        <w:rPr>
          <w:rFonts w:hint="eastAsia" w:ascii="仿宋_GB2312" w:eastAsia="仿宋_GB2312"/>
          <w:sz w:val="32"/>
          <w:lang w:val="en-US" w:eastAsia="zh-CN"/>
        </w:rPr>
        <w:t>237.27</w:t>
      </w:r>
      <w:r>
        <w:rPr>
          <w:rFonts w:hint="eastAsia" w:ascii="仿宋_GB2312" w:eastAsia="仿宋_GB2312"/>
          <w:sz w:val="32"/>
        </w:rPr>
        <w:t>万元，增长</w:t>
      </w:r>
      <w:r>
        <w:rPr>
          <w:rFonts w:hint="eastAsia" w:ascii="仿宋_GB2312" w:eastAsia="仿宋_GB2312"/>
          <w:sz w:val="32"/>
          <w:lang w:val="en-US" w:eastAsia="zh-CN"/>
        </w:rPr>
        <w:t>43.18</w:t>
      </w:r>
      <w:r>
        <w:rPr>
          <w:rFonts w:hint="eastAsia" w:ascii="仿宋_GB2312" w:eastAsia="仿宋_GB2312"/>
          <w:sz w:val="32"/>
        </w:rPr>
        <w:t>%。主要原因是</w:t>
      </w:r>
      <w:r>
        <w:rPr>
          <w:rFonts w:hint="eastAsia" w:ascii="仿宋_GB2312" w:eastAsia="仿宋_GB2312"/>
          <w:sz w:val="32"/>
          <w:lang w:val="en-US" w:eastAsia="zh-CN"/>
        </w:rPr>
        <w:t>2022年交通补贴未统计入机关运行经费支出以及</w:t>
      </w:r>
      <w:r>
        <w:rPr>
          <w:rFonts w:hint="eastAsia" w:ascii="仿宋_GB2312" w:eastAsia="仿宋_GB2312"/>
          <w:sz w:val="32"/>
          <w:lang w:eastAsia="zh-CN"/>
        </w:rPr>
        <w:t>2023</w:t>
      </w:r>
      <w:r>
        <w:rPr>
          <w:rFonts w:hint="eastAsia" w:ascii="仿宋_GB2312" w:eastAsia="仿宋_GB2312"/>
          <w:sz w:val="32"/>
        </w:rPr>
        <w:t>年新增</w:t>
      </w:r>
      <w:r>
        <w:rPr>
          <w:rFonts w:hint="eastAsia" w:ascii="仿宋_GB2312" w:eastAsia="仿宋_GB2312"/>
          <w:sz w:val="32"/>
          <w:lang w:val="en-US" w:eastAsia="zh-CN"/>
        </w:rPr>
        <w:t>16</w:t>
      </w:r>
      <w:r>
        <w:rPr>
          <w:rFonts w:hint="eastAsia" w:ascii="仿宋_GB2312" w:eastAsia="仿宋_GB2312"/>
          <w:sz w:val="32"/>
        </w:rPr>
        <w:t>名</w:t>
      </w:r>
      <w:r>
        <w:rPr>
          <w:rFonts w:hint="eastAsia" w:ascii="仿宋_GB2312" w:eastAsia="仿宋_GB2312"/>
          <w:sz w:val="32"/>
          <w:lang w:val="en-US" w:eastAsia="zh-CN"/>
        </w:rPr>
        <w:t>公务员</w:t>
      </w:r>
      <w:r>
        <w:rPr>
          <w:rFonts w:hint="eastAsia" w:ascii="仿宋_GB2312" w:eastAsia="仿宋_GB2312"/>
          <w:sz w:val="32"/>
        </w:rPr>
        <w:t>，增加机关运行经费</w:t>
      </w:r>
      <w:r>
        <w:rPr>
          <w:rFonts w:hint="eastAsia" w:ascii="仿宋_GB2312" w:eastAsia="仿宋_GB2312"/>
          <w:sz w:val="32"/>
          <w:lang w:eastAsia="zh-CN"/>
        </w:rPr>
        <w:t>。</w:t>
      </w:r>
    </w:p>
    <w:p>
      <w:pPr>
        <w:keepNext/>
        <w:keepLines/>
        <w:autoSpaceDE w:val="0"/>
        <w:autoSpaceDN w:val="0"/>
        <w:adjustRightInd w:val="0"/>
        <w:spacing w:line="560" w:lineRule="exact"/>
        <w:ind w:firstLine="643"/>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（二）政府采购支出情况</w:t>
      </w:r>
      <w:bookmarkEnd w:id="51"/>
      <w:r>
        <w:rPr>
          <w:rFonts w:hint="eastAsia" w:ascii="楷体_GB2312" w:hAnsi="楷体_GB2312" w:eastAsia="楷体_GB2312" w:cs="Times New Roman"/>
          <w:b/>
          <w:color w:val="auto"/>
          <w:kern w:val="0"/>
          <w:sz w:val="32"/>
          <w:szCs w:val="24"/>
          <w:lang w:val="zh-CN"/>
        </w:rPr>
        <w:t>。</w:t>
      </w:r>
    </w:p>
    <w:p>
      <w:pPr>
        <w:keepNext/>
        <w:keepLines/>
        <w:autoSpaceDE w:val="0"/>
        <w:autoSpaceDN w:val="0"/>
        <w:adjustRightInd w:val="0"/>
        <w:spacing w:line="560" w:lineRule="exact"/>
        <w:ind w:firstLine="643"/>
        <w:jc w:val="left"/>
        <w:rPr>
          <w:rFonts w:hint="eastAsia" w:ascii="仿宋_GB2312" w:eastAsia="仿宋_GB2312"/>
          <w:sz w:val="32"/>
          <w:lang w:eastAsia="zh-CN"/>
        </w:rPr>
      </w:pPr>
      <w:bookmarkStart w:id="52" w:name="_Toc15377224"/>
      <w:r>
        <w:rPr>
          <w:rFonts w:hint="eastAsia" w:ascii="仿宋_GB2312" w:eastAsia="仿宋_GB2312"/>
          <w:sz w:val="32"/>
          <w:lang w:eastAsia="zh-CN"/>
        </w:rPr>
        <w:t>2023年度，米易县公安局政府采购支出总额1534.11万元，其中：政府采购货物支出1327.94万元、政府采购工程支出0万元、政府采购服务支出206.17万元</w:t>
      </w:r>
      <w:r>
        <w:rPr>
          <w:rFonts w:hint="eastAsia" w:ascii="仿宋_GB2312" w:eastAsia="仿宋_GB2312"/>
          <w:color w:val="auto"/>
          <w:sz w:val="32"/>
          <w:lang w:eastAsia="zh-CN"/>
        </w:rPr>
        <w:t>。主要用于米易县公安局食堂食材采购和公安专用设备采购。</w:t>
      </w:r>
      <w:r>
        <w:rPr>
          <w:rFonts w:hint="eastAsia" w:ascii="仿宋_GB2312" w:eastAsia="仿宋_GB2312"/>
          <w:sz w:val="32"/>
          <w:lang w:eastAsia="zh-CN"/>
        </w:rPr>
        <w:t>授予中小企业合同金额471.24万元，占政府采购支出总额的30.71%，其中：授予小微企业合同金额404.24万元，占政府采购支出总额的26.35%。</w:t>
      </w:r>
    </w:p>
    <w:p>
      <w:pPr>
        <w:keepNext/>
        <w:keepLines/>
        <w:autoSpaceDE w:val="0"/>
        <w:autoSpaceDN w:val="0"/>
        <w:adjustRightInd w:val="0"/>
        <w:spacing w:line="560" w:lineRule="exact"/>
        <w:ind w:firstLine="643"/>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（三）国有资产占有使用情况</w:t>
      </w:r>
      <w:bookmarkEnd w:id="52"/>
      <w:r>
        <w:rPr>
          <w:rFonts w:hint="eastAsia" w:ascii="楷体_GB2312" w:hAnsi="楷体_GB2312" w:eastAsia="楷体_GB2312" w:cs="Times New Roman"/>
          <w:b/>
          <w:color w:val="auto"/>
          <w:kern w:val="0"/>
          <w:sz w:val="32"/>
          <w:szCs w:val="24"/>
          <w:lang w:val="zh-CN"/>
        </w:rPr>
        <w:t>。</w:t>
      </w:r>
    </w:p>
    <w:p>
      <w:pPr>
        <w:autoSpaceDE w:val="0"/>
        <w:autoSpaceDN w:val="0"/>
        <w:adjustRightInd w:val="0"/>
        <w:spacing w:line="360" w:lineRule="auto"/>
        <w:ind w:firstLine="640" w:firstLineChars="200"/>
        <w:jc w:val="left"/>
        <w:outlineLvl w:val="2"/>
        <w:rPr>
          <w:rFonts w:hint="eastAsia" w:ascii="仿宋_GB2312" w:eastAsia="仿宋_GB2312"/>
          <w:sz w:val="32"/>
        </w:rPr>
      </w:pPr>
      <w:r>
        <w:rPr>
          <w:rFonts w:hint="eastAsia" w:ascii="仿宋_GB2312" w:eastAsia="仿宋_GB2312"/>
          <w:sz w:val="32"/>
        </w:rPr>
        <w:t>截至</w:t>
      </w:r>
      <w:r>
        <w:rPr>
          <w:rFonts w:hint="eastAsia" w:ascii="仿宋_GB2312" w:eastAsia="仿宋_GB2312"/>
          <w:sz w:val="32"/>
          <w:lang w:eastAsia="zh-CN"/>
        </w:rPr>
        <w:t>2023</w:t>
      </w:r>
      <w:r>
        <w:rPr>
          <w:rFonts w:hint="eastAsia" w:ascii="仿宋_GB2312" w:eastAsia="仿宋_GB2312"/>
          <w:sz w:val="32"/>
        </w:rPr>
        <w:t>年12月31日，米易县公安局共有车辆55辆，其中：</w:t>
      </w:r>
      <w:r>
        <w:rPr>
          <w:rFonts w:hint="eastAsia" w:ascii="仿宋_GB2312" w:eastAsia="仿宋_GB2312"/>
          <w:sz w:val="32"/>
          <w:lang w:val="en-US" w:eastAsia="zh-CN"/>
        </w:rPr>
        <w:t>主要干部用车0辆、机要通信用车0辆、</w:t>
      </w:r>
      <w:r>
        <w:rPr>
          <w:rFonts w:hint="eastAsia" w:ascii="仿宋_GB2312" w:eastAsia="仿宋_GB2312"/>
          <w:sz w:val="32"/>
        </w:rPr>
        <w:t>应急保障用车1辆、</w:t>
      </w:r>
      <w:r>
        <w:rPr>
          <w:rFonts w:hint="eastAsia" w:ascii="仿宋_GB2312" w:eastAsia="仿宋_GB2312"/>
          <w:sz w:val="32"/>
          <w:lang w:val="en-US" w:eastAsia="zh-CN"/>
        </w:rPr>
        <w:t>其他</w:t>
      </w:r>
      <w:r>
        <w:rPr>
          <w:rFonts w:hint="eastAsia" w:ascii="仿宋_GB2312" w:eastAsia="仿宋_GB2312"/>
          <w:sz w:val="32"/>
        </w:rPr>
        <w:t>用车</w:t>
      </w:r>
      <w:r>
        <w:rPr>
          <w:rFonts w:hint="eastAsia" w:ascii="仿宋_GB2312" w:eastAsia="仿宋_GB2312"/>
          <w:sz w:val="32"/>
          <w:lang w:val="en-US" w:eastAsia="zh-CN"/>
        </w:rPr>
        <w:t>54</w:t>
      </w:r>
      <w:r>
        <w:rPr>
          <w:rFonts w:hint="eastAsia" w:ascii="仿宋_GB2312" w:eastAsia="仿宋_GB2312"/>
          <w:sz w:val="32"/>
        </w:rPr>
        <w:t>辆</w:t>
      </w:r>
      <w:r>
        <w:rPr>
          <w:rFonts w:hint="eastAsia" w:ascii="仿宋_GB2312" w:eastAsia="仿宋_GB2312"/>
          <w:sz w:val="32"/>
          <w:lang w:eastAsia="zh-CN"/>
        </w:rPr>
        <w:t>。</w:t>
      </w:r>
      <w:r>
        <w:rPr>
          <w:rFonts w:hint="eastAsia" w:ascii="仿宋_GB2312" w:eastAsia="仿宋_GB2312"/>
          <w:sz w:val="32"/>
          <w:lang w:val="en-US" w:eastAsia="zh-CN"/>
        </w:rPr>
        <w:t>其他用车主要是用于执法执勤、保安巡逻。</w:t>
      </w:r>
      <w:r>
        <w:rPr>
          <w:rFonts w:hint="eastAsia" w:ascii="仿宋_GB2312" w:eastAsia="仿宋_GB2312"/>
          <w:sz w:val="32"/>
        </w:rPr>
        <w:t>单价100万元（含）以上设备</w:t>
      </w:r>
      <w:r>
        <w:rPr>
          <w:rFonts w:hint="eastAsia" w:ascii="仿宋_GB2312" w:eastAsia="仿宋_GB2312"/>
          <w:sz w:val="32"/>
          <w:lang w:val="en-US" w:eastAsia="zh-CN"/>
        </w:rPr>
        <w:t>11</w:t>
      </w:r>
      <w:r>
        <w:rPr>
          <w:rFonts w:hint="eastAsia" w:ascii="仿宋_GB2312" w:eastAsia="仿宋_GB2312"/>
          <w:sz w:val="32"/>
        </w:rPr>
        <w:t>台（套)。</w:t>
      </w:r>
    </w:p>
    <w:p>
      <w:pPr>
        <w:keepNext/>
        <w:keepLines/>
        <w:autoSpaceDE w:val="0"/>
        <w:autoSpaceDN w:val="0"/>
        <w:adjustRightInd w:val="0"/>
        <w:spacing w:line="560" w:lineRule="exact"/>
        <w:ind w:firstLine="643"/>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（四）预算绩效管理情况。</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个项目开展了绩效目标完成情况梳理填报。</w:t>
      </w:r>
    </w:p>
    <w:p>
      <w:pPr>
        <w:widowControl/>
        <w:shd w:val="clear" w:color="auto" w:fill="FFFFFF"/>
        <w:spacing w:line="360" w:lineRule="auto"/>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年部门整体支出开展绩效自评，</w:t>
      </w:r>
      <w:r>
        <w:rPr>
          <w:rFonts w:hint="eastAsia" w:ascii="仿宋_GB2312" w:hAnsi="微软雅黑" w:eastAsia="仿宋_GB2312" w:cs="宋体"/>
          <w:color w:val="333333"/>
          <w:kern w:val="0"/>
          <w:sz w:val="32"/>
          <w:szCs w:val="32"/>
        </w:rPr>
        <w:t>从评价情况来看米易县公安局将部门整体支出绩效评价作为了财政预算资金使用管理的一项重要工作，切实加强预算收入管理，全面梳理内部管理流程，建立健全了内部管理制度，有效提升了部门整体支出的管理水平，根据部门整体支出绩效评价指标体系，自评综合得分为98分，评价等为“优”。整体上完成了年初设定的绩效目标，保障了部门各单位的正常运转，促进了公安事业的发展，充分发挥了财政资金的经济效益和社会效益。</w:t>
      </w:r>
    </w:p>
    <w:p>
      <w:pPr>
        <w:numPr>
          <w:ilvl w:val="0"/>
          <w:numId w:val="4"/>
        </w:numPr>
        <w:shd w:val="clear" w:color="auto" w:fill="FFFFFF"/>
        <w:spacing w:line="360" w:lineRule="auto"/>
        <w:ind w:firstLine="643" w:firstLineChars="200"/>
        <w:rPr>
          <w:rFonts w:ascii="仿宋_GB2312" w:eastAsia="仿宋_GB2312"/>
          <w:b/>
          <w:bCs/>
          <w:sz w:val="32"/>
        </w:rPr>
      </w:pPr>
      <w:r>
        <w:rPr>
          <w:rFonts w:hint="eastAsia" w:ascii="仿宋_GB2312" w:eastAsia="仿宋_GB2312"/>
          <w:b/>
          <w:bCs/>
          <w:sz w:val="32"/>
        </w:rPr>
        <w:t>项目绩效目标完成情况。</w:t>
      </w:r>
    </w:p>
    <w:p>
      <w:pPr>
        <w:shd w:val="clear" w:color="auto" w:fill="FFFFFF"/>
        <w:spacing w:line="360" w:lineRule="auto"/>
        <w:ind w:firstLine="640" w:firstLineChars="200"/>
        <w:rPr>
          <w:rFonts w:ascii="微软雅黑" w:cs="宋体"/>
          <w:color w:val="333333"/>
          <w:sz w:val="27"/>
          <w:szCs w:val="27"/>
        </w:rPr>
      </w:pPr>
      <w:r>
        <w:rPr>
          <w:rFonts w:hint="eastAsia" w:ascii="仿宋_GB2312" w:hAnsi="微软雅黑" w:eastAsia="仿宋_GB2312" w:cs="宋体"/>
          <w:color w:val="333333"/>
          <w:sz w:val="32"/>
          <w:szCs w:val="32"/>
        </w:rPr>
        <w:t>本部门在</w:t>
      </w:r>
      <w:r>
        <w:rPr>
          <w:rFonts w:hint="eastAsia" w:ascii="仿宋_GB2312" w:hAnsi="微软雅黑" w:eastAsia="仿宋_GB2312" w:cs="宋体"/>
          <w:color w:val="333333"/>
          <w:sz w:val="32"/>
          <w:szCs w:val="32"/>
          <w:lang w:eastAsia="zh-CN"/>
        </w:rPr>
        <w:t>2023</w:t>
      </w:r>
      <w:r>
        <w:rPr>
          <w:rFonts w:hint="eastAsia" w:ascii="仿宋_GB2312" w:hAnsi="微软雅黑" w:eastAsia="仿宋_GB2312" w:cs="宋体"/>
          <w:color w:val="333333"/>
          <w:sz w:val="32"/>
          <w:szCs w:val="32"/>
        </w:rPr>
        <w:t>年度部门决算中反映“</w:t>
      </w:r>
      <w:r>
        <w:rPr>
          <w:rFonts w:hint="eastAsia" w:ascii="仿宋_GB2312" w:hAnsi="微软雅黑" w:eastAsia="仿宋_GB2312" w:cs="宋体"/>
          <w:color w:val="333333"/>
          <w:sz w:val="32"/>
          <w:szCs w:val="32"/>
          <w:lang w:val="en-US" w:eastAsia="zh-CN"/>
        </w:rPr>
        <w:t>辅警</w:t>
      </w:r>
      <w:r>
        <w:rPr>
          <w:rFonts w:hint="eastAsia" w:ascii="仿宋_GB2312" w:hAnsi="微软雅黑" w:eastAsia="仿宋_GB2312" w:cs="宋体"/>
          <w:color w:val="333333"/>
          <w:sz w:val="32"/>
          <w:szCs w:val="32"/>
        </w:rPr>
        <w:t>公用经费”</w:t>
      </w:r>
      <w:r>
        <w:rPr>
          <w:rFonts w:hint="eastAsia" w:ascii="仿宋_GB2312" w:hAnsi="微软雅黑" w:eastAsia="仿宋_GB2312" w:cs="宋体"/>
          <w:color w:val="333333"/>
          <w:sz w:val="32"/>
          <w:szCs w:val="32"/>
          <w:lang w:eastAsia="zh-CN"/>
        </w:rPr>
        <w:t>、</w:t>
      </w:r>
      <w:r>
        <w:rPr>
          <w:rFonts w:hint="eastAsia" w:ascii="仿宋_GB2312" w:hAnsi="微软雅黑" w:eastAsia="仿宋_GB2312" w:cs="宋体"/>
          <w:color w:val="333333"/>
          <w:sz w:val="32"/>
          <w:szCs w:val="32"/>
        </w:rPr>
        <w:t>“</w:t>
      </w:r>
      <w:r>
        <w:rPr>
          <w:rFonts w:hint="eastAsia" w:ascii="仿宋_GB2312" w:hAnsi="微软雅黑" w:eastAsia="仿宋_GB2312" w:cs="宋体"/>
          <w:color w:val="333333"/>
          <w:sz w:val="32"/>
          <w:szCs w:val="32"/>
          <w:lang w:val="en-US" w:eastAsia="zh-CN"/>
        </w:rPr>
        <w:t>看守所</w:t>
      </w:r>
      <w:r>
        <w:rPr>
          <w:rFonts w:hint="eastAsia" w:ascii="仿宋_GB2312" w:hAnsi="微软雅黑" w:eastAsia="仿宋_GB2312" w:cs="宋体"/>
          <w:color w:val="333333"/>
          <w:sz w:val="32"/>
          <w:szCs w:val="32"/>
        </w:rPr>
        <w:t>经费”和“保安</w:t>
      </w:r>
      <w:r>
        <w:rPr>
          <w:rFonts w:hint="eastAsia" w:ascii="仿宋_GB2312" w:hAnsi="微软雅黑" w:eastAsia="仿宋_GB2312" w:cs="宋体"/>
          <w:color w:val="333333"/>
          <w:sz w:val="32"/>
          <w:szCs w:val="32"/>
          <w:lang w:val="en-US" w:eastAsia="zh-CN"/>
        </w:rPr>
        <w:t>保洁</w:t>
      </w:r>
      <w:r>
        <w:rPr>
          <w:rFonts w:hint="eastAsia" w:ascii="仿宋_GB2312" w:hAnsi="微软雅黑" w:eastAsia="仿宋_GB2312" w:cs="宋体"/>
          <w:color w:val="333333"/>
          <w:sz w:val="32"/>
          <w:szCs w:val="32"/>
        </w:rPr>
        <w:t>费”</w:t>
      </w:r>
      <w:r>
        <w:rPr>
          <w:rFonts w:hint="eastAsia" w:ascii="仿宋_GB2312" w:hAnsi="微软雅黑" w:eastAsia="仿宋_GB2312" w:cs="宋体"/>
          <w:color w:val="333333"/>
          <w:sz w:val="32"/>
          <w:szCs w:val="32"/>
          <w:lang w:val="en-US" w:eastAsia="zh-CN"/>
        </w:rPr>
        <w:t>29</w:t>
      </w:r>
      <w:r>
        <w:rPr>
          <w:rFonts w:hint="eastAsia" w:ascii="仿宋_GB2312" w:hAnsi="微软雅黑" w:eastAsia="仿宋_GB2312" w:cs="宋体"/>
          <w:color w:val="333333"/>
          <w:sz w:val="32"/>
          <w:szCs w:val="32"/>
        </w:rPr>
        <w:t>个项目绩效目标实际完成情况。</w:t>
      </w:r>
    </w:p>
    <w:p>
      <w:pPr>
        <w:numPr>
          <w:ilvl w:val="0"/>
          <w:numId w:val="0"/>
        </w:numPr>
        <w:shd w:val="clear" w:color="auto" w:fill="FFFFFF"/>
        <w:spacing w:line="360" w:lineRule="auto"/>
        <w:ind w:firstLine="643" w:firstLineChars="200"/>
        <w:rPr>
          <w:rFonts w:hint="eastAsia" w:ascii="仿宋_GB2312" w:hAnsi="微软雅黑" w:eastAsia="仿宋_GB2312" w:cs="宋体"/>
          <w:b/>
          <w:bCs/>
          <w:color w:val="333333"/>
          <w:sz w:val="32"/>
          <w:szCs w:val="32"/>
        </w:rPr>
      </w:pPr>
      <w:r>
        <w:rPr>
          <w:rFonts w:hint="eastAsia" w:ascii="仿宋_GB2312" w:hAnsi="微软雅黑" w:eastAsia="仿宋_GB2312" w:cs="宋体"/>
          <w:b/>
          <w:bCs/>
          <w:color w:val="333333"/>
          <w:sz w:val="32"/>
          <w:szCs w:val="32"/>
          <w:lang w:val="en-US" w:eastAsia="zh-CN"/>
        </w:rPr>
        <w:t>（1）看守所经费</w:t>
      </w:r>
      <w:r>
        <w:rPr>
          <w:rFonts w:hint="eastAsia" w:ascii="仿宋_GB2312" w:hAnsi="微软雅黑" w:eastAsia="仿宋_GB2312" w:cs="宋体"/>
          <w:b/>
          <w:bCs/>
          <w:color w:val="333333"/>
          <w:sz w:val="32"/>
          <w:szCs w:val="32"/>
        </w:rPr>
        <w:t>项目绩效目标完成情况综述。</w:t>
      </w:r>
      <w:r>
        <w:rPr>
          <w:rFonts w:hint="eastAsia" w:ascii="仿宋_GB2312" w:hAnsi="微软雅黑" w:eastAsia="仿宋_GB2312" w:cs="宋体"/>
          <w:color w:val="333333"/>
          <w:sz w:val="32"/>
          <w:szCs w:val="32"/>
        </w:rPr>
        <w:t>项目全年预算数</w:t>
      </w:r>
      <w:r>
        <w:rPr>
          <w:rFonts w:hint="eastAsia" w:ascii="仿宋_GB2312" w:hAnsi="微软雅黑" w:eastAsia="仿宋_GB2312" w:cs="宋体"/>
          <w:color w:val="333333"/>
          <w:sz w:val="32"/>
          <w:szCs w:val="32"/>
          <w:lang w:val="en-US" w:eastAsia="zh-CN"/>
        </w:rPr>
        <w:t>300</w:t>
      </w:r>
      <w:r>
        <w:rPr>
          <w:rFonts w:hint="eastAsia" w:ascii="仿宋_GB2312" w:hAnsi="微软雅黑" w:eastAsia="仿宋_GB2312" w:cs="宋体"/>
          <w:color w:val="333333"/>
          <w:sz w:val="32"/>
          <w:szCs w:val="32"/>
        </w:rPr>
        <w:t>万元，执行数为118.03万元，完成预算的100%。通过项目实施，强化对办案活动的监督管理和服务保障，打造“规范、高效、安全”的执法办案模式，不断提高执法质量、效率和公信力，提升执法效能，促进执法规范，保障执法安全和执行安全</w:t>
      </w:r>
      <w:r>
        <w:rPr>
          <w:rFonts w:hint="eastAsia" w:ascii="仿宋_GB2312" w:hAnsi="微软雅黑" w:eastAsia="仿宋_GB2312" w:cs="宋体"/>
          <w:color w:val="333333"/>
          <w:sz w:val="32"/>
          <w:szCs w:val="32"/>
          <w:lang w:eastAsia="zh-CN"/>
        </w:rPr>
        <w:t>。</w:t>
      </w:r>
    </w:p>
    <w:p>
      <w:pPr>
        <w:numPr>
          <w:ilvl w:val="0"/>
          <w:numId w:val="0"/>
        </w:numPr>
        <w:shd w:val="clear" w:color="auto" w:fill="FFFFFF"/>
        <w:spacing w:line="360" w:lineRule="auto"/>
        <w:ind w:firstLine="643" w:firstLineChars="200"/>
        <w:rPr>
          <w:rFonts w:ascii="仿宋_GB2312" w:hAnsi="微软雅黑" w:eastAsia="仿宋_GB2312" w:cs="宋体"/>
          <w:color w:val="333333"/>
          <w:sz w:val="32"/>
          <w:szCs w:val="32"/>
        </w:rPr>
      </w:pPr>
      <w:r>
        <w:rPr>
          <w:rFonts w:hint="eastAsia" w:ascii="仿宋_GB2312" w:hAnsi="微软雅黑" w:eastAsia="仿宋_GB2312" w:cs="宋体"/>
          <w:b/>
          <w:bCs/>
          <w:color w:val="333333"/>
          <w:sz w:val="32"/>
          <w:szCs w:val="32"/>
        </w:rPr>
        <w:t>（</w:t>
      </w:r>
      <w:r>
        <w:rPr>
          <w:rFonts w:hint="eastAsia" w:ascii="仿宋_GB2312" w:hAnsi="微软雅黑" w:eastAsia="仿宋_GB2312" w:cs="宋体"/>
          <w:b/>
          <w:bCs/>
          <w:color w:val="333333"/>
          <w:sz w:val="32"/>
          <w:szCs w:val="32"/>
          <w:lang w:val="en-US" w:eastAsia="zh-CN"/>
        </w:rPr>
        <w:t>2</w:t>
      </w:r>
      <w:r>
        <w:rPr>
          <w:rFonts w:hint="eastAsia" w:ascii="仿宋_GB2312" w:hAnsi="微软雅黑" w:eastAsia="仿宋_GB2312" w:cs="宋体"/>
          <w:b/>
          <w:bCs/>
          <w:color w:val="333333"/>
          <w:sz w:val="32"/>
          <w:szCs w:val="32"/>
        </w:rPr>
        <w:t>）</w:t>
      </w:r>
      <w:r>
        <w:rPr>
          <w:rFonts w:hint="eastAsia" w:ascii="仿宋_GB2312" w:hAnsi="微软雅黑" w:eastAsia="仿宋_GB2312" w:cs="宋体"/>
          <w:b/>
          <w:bCs/>
          <w:color w:val="333333"/>
          <w:sz w:val="32"/>
          <w:szCs w:val="32"/>
          <w:lang w:val="en-US" w:eastAsia="zh-CN"/>
        </w:rPr>
        <w:t>保安保洁</w:t>
      </w:r>
      <w:r>
        <w:rPr>
          <w:rFonts w:hint="eastAsia" w:ascii="仿宋_GB2312" w:hAnsi="微软雅黑" w:eastAsia="仿宋_GB2312" w:cs="宋体"/>
          <w:b/>
          <w:bCs/>
          <w:color w:val="333333"/>
          <w:sz w:val="32"/>
          <w:szCs w:val="32"/>
        </w:rPr>
        <w:t>费项目绩效目标完成情况综述。</w:t>
      </w:r>
      <w:r>
        <w:rPr>
          <w:rFonts w:hint="eastAsia" w:ascii="仿宋_GB2312" w:hAnsi="微软雅黑" w:eastAsia="仿宋_GB2312" w:cs="宋体"/>
          <w:color w:val="333333"/>
          <w:sz w:val="32"/>
          <w:szCs w:val="32"/>
        </w:rPr>
        <w:t>项目全年预算数</w:t>
      </w:r>
      <w:r>
        <w:rPr>
          <w:rFonts w:hint="eastAsia" w:ascii="仿宋_GB2312" w:hAnsi="微软雅黑" w:eastAsia="仿宋_GB2312" w:cs="宋体"/>
          <w:color w:val="333333"/>
          <w:sz w:val="32"/>
          <w:szCs w:val="32"/>
          <w:lang w:val="en-US" w:eastAsia="zh-CN"/>
        </w:rPr>
        <w:t>84.48</w:t>
      </w:r>
      <w:r>
        <w:rPr>
          <w:rFonts w:hint="eastAsia" w:ascii="仿宋_GB2312" w:hAnsi="微软雅黑" w:eastAsia="仿宋_GB2312" w:cs="宋体"/>
          <w:color w:val="333333"/>
          <w:sz w:val="32"/>
          <w:szCs w:val="32"/>
        </w:rPr>
        <w:t>万元，执行数为84.48万元，完成预算的</w:t>
      </w:r>
      <w:r>
        <w:rPr>
          <w:rFonts w:ascii="仿宋_GB2312" w:hAnsi="微软雅黑" w:eastAsia="仿宋_GB2312" w:cs="宋体"/>
          <w:color w:val="333333"/>
          <w:sz w:val="32"/>
          <w:szCs w:val="32"/>
        </w:rPr>
        <w:t>100%</w:t>
      </w:r>
      <w:r>
        <w:rPr>
          <w:rFonts w:hint="eastAsia" w:ascii="仿宋_GB2312" w:hAnsi="微软雅黑" w:eastAsia="仿宋_GB2312" w:cs="宋体"/>
          <w:color w:val="333333"/>
          <w:sz w:val="32"/>
          <w:szCs w:val="32"/>
        </w:rPr>
        <w:t>。通过项目实施，保障单位人员24小时安全，全天候监督办公区域出现的问题，及时处理上报。发现的问题：存在未按规定及时拨付资金的情况。下一步改进措施：积极协调，确保资金按时拨付。</w:t>
      </w:r>
    </w:p>
    <w:p>
      <w:pPr>
        <w:shd w:val="clear" w:color="auto" w:fill="FFFFFF"/>
        <w:spacing w:line="360" w:lineRule="auto"/>
        <w:ind w:firstLine="720"/>
        <w:rPr>
          <w:rFonts w:ascii="仿宋_GB2312" w:hAnsi="微软雅黑" w:eastAsia="仿宋_GB2312" w:cs="宋体"/>
          <w:color w:val="333333"/>
          <w:sz w:val="32"/>
          <w:szCs w:val="32"/>
        </w:rPr>
      </w:pPr>
      <w:r>
        <w:rPr>
          <w:rFonts w:hint="eastAsia" w:ascii="仿宋_GB2312" w:hAnsi="微软雅黑" w:eastAsia="仿宋_GB2312" w:cs="宋体"/>
          <w:b/>
          <w:bCs/>
          <w:color w:val="333333"/>
          <w:sz w:val="32"/>
          <w:szCs w:val="32"/>
        </w:rPr>
        <w:t>（3）警务辅助人员公用经费项目绩效目标完成情况综述。</w:t>
      </w:r>
      <w:r>
        <w:rPr>
          <w:rFonts w:hint="eastAsia" w:ascii="仿宋_GB2312" w:hAnsi="微软雅黑" w:eastAsia="仿宋_GB2312" w:cs="宋体"/>
          <w:color w:val="333333"/>
          <w:sz w:val="32"/>
          <w:szCs w:val="32"/>
        </w:rPr>
        <w:t>项目全年预算数</w:t>
      </w:r>
      <w:r>
        <w:rPr>
          <w:rFonts w:hint="eastAsia" w:ascii="仿宋_GB2312" w:hAnsi="微软雅黑" w:eastAsia="仿宋_GB2312" w:cs="宋体"/>
          <w:color w:val="333333"/>
          <w:sz w:val="32"/>
          <w:szCs w:val="32"/>
          <w:lang w:val="en-US" w:eastAsia="zh-CN"/>
        </w:rPr>
        <w:t>31.5</w:t>
      </w:r>
      <w:r>
        <w:rPr>
          <w:rFonts w:hint="eastAsia" w:ascii="仿宋_GB2312" w:hAnsi="微软雅黑" w:eastAsia="仿宋_GB2312" w:cs="宋体"/>
          <w:color w:val="333333"/>
          <w:sz w:val="32"/>
          <w:szCs w:val="32"/>
        </w:rPr>
        <w:t>万元，执行数为</w:t>
      </w:r>
      <w:r>
        <w:rPr>
          <w:rFonts w:hint="eastAsia" w:ascii="仿宋_GB2312" w:hAnsi="微软雅黑" w:eastAsia="仿宋_GB2312" w:cs="宋体"/>
          <w:color w:val="333333"/>
          <w:sz w:val="32"/>
          <w:szCs w:val="32"/>
          <w:lang w:val="en-US" w:eastAsia="zh-CN"/>
        </w:rPr>
        <w:t>31.5</w:t>
      </w:r>
      <w:r>
        <w:rPr>
          <w:rFonts w:hint="eastAsia" w:ascii="仿宋_GB2312" w:hAnsi="微软雅黑" w:eastAsia="仿宋_GB2312" w:cs="宋体"/>
          <w:color w:val="333333"/>
          <w:sz w:val="32"/>
          <w:szCs w:val="32"/>
        </w:rPr>
        <w:t>万元，完成预算的</w:t>
      </w:r>
      <w:r>
        <w:rPr>
          <w:rFonts w:ascii="仿宋_GB2312" w:hAnsi="微软雅黑" w:eastAsia="仿宋_GB2312" w:cs="宋体"/>
          <w:color w:val="333333"/>
          <w:sz w:val="32"/>
          <w:szCs w:val="32"/>
        </w:rPr>
        <w:t>100%</w:t>
      </w:r>
      <w:r>
        <w:rPr>
          <w:rFonts w:hint="eastAsia" w:ascii="仿宋_GB2312" w:hAnsi="微软雅黑" w:eastAsia="仿宋_GB2312" w:cs="宋体"/>
          <w:color w:val="333333"/>
          <w:sz w:val="32"/>
          <w:szCs w:val="32"/>
        </w:rPr>
        <w:t>。通过项目实施，保障了</w:t>
      </w:r>
      <w:r>
        <w:rPr>
          <w:rFonts w:hint="eastAsia" w:ascii="仿宋_GB2312" w:hAnsi="微软雅黑" w:eastAsia="仿宋_GB2312" w:cs="宋体"/>
          <w:color w:val="333333"/>
          <w:sz w:val="32"/>
          <w:szCs w:val="32"/>
          <w:lang w:eastAsia="zh-CN"/>
        </w:rPr>
        <w:t>2023</w:t>
      </w:r>
      <w:r>
        <w:rPr>
          <w:rFonts w:hint="eastAsia" w:ascii="仿宋_GB2312" w:hAnsi="微软雅黑" w:eastAsia="仿宋_GB2312" w:cs="宋体"/>
          <w:color w:val="333333"/>
          <w:sz w:val="32"/>
          <w:szCs w:val="32"/>
        </w:rPr>
        <w:t>年度</w:t>
      </w:r>
      <w:r>
        <w:rPr>
          <w:rFonts w:hint="eastAsia" w:ascii="仿宋_GB2312" w:hAnsi="微软雅黑" w:eastAsia="仿宋_GB2312" w:cs="宋体"/>
          <w:color w:val="333333"/>
          <w:sz w:val="32"/>
          <w:szCs w:val="32"/>
          <w:lang w:val="en-US" w:eastAsia="zh-CN"/>
        </w:rPr>
        <w:t>315</w:t>
      </w:r>
      <w:r>
        <w:rPr>
          <w:rFonts w:hint="eastAsia" w:ascii="仿宋_GB2312" w:hAnsi="微软雅黑" w:eastAsia="仿宋_GB2312" w:cs="宋体"/>
          <w:color w:val="333333"/>
          <w:sz w:val="32"/>
          <w:szCs w:val="32"/>
        </w:rPr>
        <w:t>名警务辅助人员的日常办公经费，主要用于警务辅助人员购买服装，确保了公安工作的正常运转。发现的主要问题：未及时制定中长期实施规划。下一步改进措施：完善长期实施规划。</w:t>
      </w:r>
    </w:p>
    <w:p>
      <w:pPr>
        <w:shd w:val="clear" w:color="auto" w:fill="FFFFFF"/>
        <w:spacing w:line="360" w:lineRule="auto"/>
        <w:ind w:firstLine="643" w:firstLineChars="200"/>
        <w:rPr>
          <w:rFonts w:ascii="仿宋_GB2312" w:eastAsia="仿宋_GB2312"/>
          <w:b/>
          <w:bCs/>
          <w:sz w:val="32"/>
        </w:rPr>
      </w:pPr>
      <w:r>
        <w:rPr>
          <w:rFonts w:hint="eastAsia" w:ascii="仿宋_GB2312" w:eastAsia="仿宋_GB2312"/>
          <w:b/>
          <w:bCs/>
          <w:sz w:val="32"/>
        </w:rPr>
        <w:t>2.部门绩效评价结果。</w:t>
      </w:r>
    </w:p>
    <w:p>
      <w:pPr>
        <w:spacing w:line="360" w:lineRule="auto"/>
        <w:ind w:firstLine="640" w:firstLineChars="200"/>
        <w:rPr>
          <w:rFonts w:ascii="仿宋_GB2312" w:hAnsi="微软雅黑" w:eastAsia="仿宋_GB2312" w:cs="宋体"/>
          <w:color w:val="333333"/>
          <w:kern w:val="0"/>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年部门整体支出绩效评价情况开展自评，</w:t>
      </w:r>
      <w:r>
        <w:rPr>
          <w:rFonts w:hint="eastAsia" w:ascii="仿宋_GB2312" w:hAnsi="微软雅黑" w:eastAsia="仿宋_GB2312" w:cs="宋体"/>
          <w:color w:val="333333"/>
          <w:kern w:val="0"/>
          <w:sz w:val="32"/>
          <w:szCs w:val="32"/>
        </w:rPr>
        <w:t>根据部门整体支出绩效评价指标体系，自评综合得分为98分，评价等为“优”。</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《米易县公安局</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年部门整体支出绩效评价报告》见附件（附件1）。</w:t>
      </w:r>
    </w:p>
    <w:p>
      <w:pPr>
        <w:widowControl/>
        <w:shd w:val="clear" w:color="auto" w:fill="FFFFFF"/>
        <w:spacing w:line="360" w:lineRule="auto"/>
        <w:jc w:val="left"/>
        <w:rPr>
          <w:rFonts w:hint="eastAsia" w:ascii="仿宋_GB2312" w:hAnsi="微软雅黑" w:eastAsia="仿宋_GB2312" w:cs="宋体"/>
          <w:color w:val="333333"/>
          <w:kern w:val="0"/>
          <w:sz w:val="32"/>
          <w:szCs w:val="32"/>
          <w:lang w:val="en-US" w:eastAsia="zh-CN"/>
        </w:rPr>
      </w:pPr>
    </w:p>
    <w:p>
      <w:pPr>
        <w:widowControl/>
        <w:shd w:val="clear" w:color="auto" w:fill="FFFFFF"/>
        <w:spacing w:line="360" w:lineRule="auto"/>
        <w:jc w:val="left"/>
        <w:rPr>
          <w:rFonts w:hint="eastAsia" w:ascii="仿宋_GB2312" w:hAnsi="微软雅黑" w:eastAsia="仿宋_GB2312" w:cs="宋体"/>
          <w:color w:val="333333"/>
          <w:kern w:val="0"/>
          <w:sz w:val="32"/>
          <w:szCs w:val="32"/>
          <w:lang w:val="en-US" w:eastAsia="zh-CN"/>
        </w:rPr>
      </w:pPr>
    </w:p>
    <w:p>
      <w:pPr>
        <w:widowControl/>
        <w:shd w:val="clear" w:color="auto" w:fill="FFFFFF"/>
        <w:spacing w:line="360" w:lineRule="auto"/>
        <w:jc w:val="left"/>
        <w:rPr>
          <w:rFonts w:hint="eastAsia" w:ascii="仿宋_GB2312" w:hAnsi="微软雅黑" w:eastAsia="仿宋_GB2312" w:cs="宋体"/>
          <w:color w:val="333333"/>
          <w:kern w:val="0"/>
          <w:sz w:val="32"/>
          <w:szCs w:val="32"/>
          <w:lang w:val="en-US" w:eastAsia="zh-CN"/>
        </w:rPr>
      </w:pPr>
    </w:p>
    <w:p>
      <w:pPr>
        <w:widowControl/>
        <w:shd w:val="clear" w:color="auto" w:fill="FFFFFF"/>
        <w:spacing w:line="360" w:lineRule="auto"/>
        <w:jc w:val="left"/>
        <w:rPr>
          <w:rFonts w:hint="eastAsia" w:ascii="仿宋_GB2312" w:hAnsi="微软雅黑" w:eastAsia="仿宋_GB2312" w:cs="宋体"/>
          <w:color w:val="333333"/>
          <w:kern w:val="0"/>
          <w:sz w:val="32"/>
          <w:szCs w:val="32"/>
          <w:lang w:val="en-US" w:eastAsia="zh-CN"/>
        </w:rPr>
      </w:pPr>
    </w:p>
    <w:p>
      <w:pPr>
        <w:widowControl/>
        <w:shd w:val="clear" w:color="auto" w:fill="FFFFFF"/>
        <w:spacing w:line="360" w:lineRule="auto"/>
        <w:jc w:val="left"/>
        <w:rPr>
          <w:rFonts w:hint="eastAsia" w:ascii="仿宋_GB2312" w:hAnsi="微软雅黑" w:eastAsia="仿宋_GB2312" w:cs="宋体"/>
          <w:color w:val="333333"/>
          <w:kern w:val="0"/>
          <w:sz w:val="32"/>
          <w:szCs w:val="32"/>
          <w:lang w:val="en-US" w:eastAsia="zh-CN"/>
        </w:rPr>
      </w:pPr>
    </w:p>
    <w:p>
      <w:pPr>
        <w:widowControl/>
        <w:shd w:val="clear" w:color="auto" w:fill="FFFFFF"/>
        <w:spacing w:line="360" w:lineRule="auto"/>
        <w:jc w:val="left"/>
        <w:rPr>
          <w:rFonts w:hint="eastAsia" w:ascii="仿宋_GB2312" w:hAnsi="微软雅黑" w:eastAsia="仿宋_GB2312" w:cs="宋体"/>
          <w:color w:val="333333"/>
          <w:kern w:val="0"/>
          <w:sz w:val="32"/>
          <w:szCs w:val="32"/>
          <w:lang w:val="en-US" w:eastAsia="zh-CN"/>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645"/>
        <w:gridCol w:w="1112"/>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w:t>
            </w:r>
            <w:r>
              <w:rPr>
                <w:rFonts w:hint="eastAsia" w:ascii="宋体" w:hAnsi="宋体" w:cs="宋体"/>
                <w:color w:val="000000"/>
                <w:kern w:val="0"/>
                <w:sz w:val="36"/>
                <w:szCs w:val="36"/>
                <w:lang w:eastAsia="zh-CN"/>
              </w:rPr>
              <w:t>2023</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hAnsi="宋体" w:cs="宋体"/>
                <w:color w:val="000000"/>
                <w:sz w:val="24"/>
                <w:lang w:val="en-US" w:eastAsia="zh-CN"/>
              </w:rPr>
              <w:t>看守所经费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米易县公安局</w:t>
            </w:r>
          </w:p>
        </w:tc>
      </w:tr>
      <w:tr>
        <w:tblPrEx>
          <w:tblCellMar>
            <w:top w:w="0" w:type="dxa"/>
            <w:left w:w="0" w:type="dxa"/>
            <w:bottom w:w="0" w:type="dxa"/>
            <w:right w:w="0" w:type="dxa"/>
          </w:tblCellMar>
        </w:tblPrEx>
        <w:trPr>
          <w:trHeight w:val="27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hAnsi="宋体" w:cs="宋体"/>
                <w:color w:val="000000"/>
                <w:sz w:val="24"/>
                <w:lang w:val="en-US" w:eastAsia="zh-CN"/>
              </w:rPr>
              <w:t>118.03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hAnsi="宋体" w:cs="宋体"/>
                <w:color w:val="000000"/>
                <w:sz w:val="24"/>
                <w:lang w:val="en-US" w:eastAsia="zh-CN"/>
              </w:rPr>
              <w:t>118.03</w:t>
            </w:r>
          </w:p>
        </w:tc>
      </w:tr>
      <w:tr>
        <w:tblPrEx>
          <w:tblCellMar>
            <w:top w:w="0" w:type="dxa"/>
            <w:left w:w="0" w:type="dxa"/>
            <w:bottom w:w="0" w:type="dxa"/>
            <w:right w:w="0" w:type="dxa"/>
          </w:tblCellMar>
        </w:tblPrEx>
        <w:trPr>
          <w:trHeight w:val="276"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hAnsi="宋体" w:cs="宋体"/>
                <w:color w:val="000000"/>
                <w:sz w:val="24"/>
                <w:lang w:val="en-US" w:eastAsia="zh-CN"/>
              </w:rPr>
              <w:t>118.03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rPr>
              <w:t>118.03</w:t>
            </w:r>
          </w:p>
        </w:tc>
      </w:tr>
      <w:tr>
        <w:tblPrEx>
          <w:tblCellMar>
            <w:top w:w="0" w:type="dxa"/>
            <w:left w:w="0" w:type="dxa"/>
            <w:bottom w:w="0" w:type="dxa"/>
            <w:right w:w="0" w:type="dxa"/>
          </w:tblCellMar>
        </w:tblPrEx>
        <w:trPr>
          <w:trHeight w:val="991"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5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914"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45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Cs w:val="21"/>
              </w:rPr>
            </w:pPr>
            <w:r>
              <w:rPr>
                <w:rFonts w:hint="eastAsia" w:ascii="宋体" w:hAnsi="宋体" w:cs="仿宋_GB2312"/>
                <w:szCs w:val="21"/>
              </w:rPr>
              <w:t xml:space="preserve"> 看守所经费是看守所用于监管看守、教育人犯、做好人犯生活卫生和保障刑事诉讼活动顺利进行的专项经费全力打造“忠诚、平安、法治、文明、智慧、有为”监管，实现“压事故、降死亡、保安全”工作目标。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Cs w:val="21"/>
              </w:rPr>
            </w:pPr>
            <w:r>
              <w:rPr>
                <w:rFonts w:hint="eastAsia" w:ascii="宋体" w:hAnsi="宋体" w:cs="仿宋_GB2312"/>
                <w:szCs w:val="21"/>
              </w:rPr>
              <w:t xml:space="preserve"> 看守所经费是看守所用于监管看守、教育人犯、做好人犯生活卫生和保障刑事诉讼活动顺利进行的专项经费全力打造“忠诚、平安、法治、文明、智慧、有为”监管，实现“压事故、降死亡、保安全”工作目标。</w:t>
            </w:r>
          </w:p>
        </w:tc>
      </w:tr>
      <w:tr>
        <w:tblPrEx>
          <w:tblCellMar>
            <w:top w:w="0" w:type="dxa"/>
            <w:left w:w="0" w:type="dxa"/>
            <w:bottom w:w="0" w:type="dxa"/>
            <w:right w:w="0" w:type="dxa"/>
          </w:tblCellMar>
        </w:tblPrEx>
        <w:trPr>
          <w:trHeight w:val="1042"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cs="宋体"/>
                <w:sz w:val="24"/>
              </w:rPr>
            </w:pPr>
            <w:r>
              <w:rPr>
                <w:rFonts w:hint="eastAsia"/>
              </w:rPr>
              <w:t>在押人员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ascii="宋体" w:hAnsi="宋体" w:cs="仿宋_GB2312"/>
                <w:szCs w:val="21"/>
              </w:rPr>
              <w:t>日均125人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ascii="宋体" w:hAnsi="宋体" w:cs="仿宋_GB2312"/>
                <w:szCs w:val="21"/>
              </w:rPr>
              <w:t>日均125人</w:t>
            </w:r>
          </w:p>
        </w:tc>
      </w:tr>
      <w:tr>
        <w:tblPrEx>
          <w:tblCellMar>
            <w:top w:w="0" w:type="dxa"/>
            <w:left w:w="0" w:type="dxa"/>
            <w:bottom w:w="0" w:type="dxa"/>
            <w:right w:w="0" w:type="dxa"/>
          </w:tblCellMar>
        </w:tblPrEx>
        <w:trPr>
          <w:trHeight w:val="1039"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hint="default" w:ascii="宋体" w:eastAsia="宋体" w:cs="宋体"/>
                <w:sz w:val="24"/>
                <w:lang w:val="en-US" w:eastAsia="zh-CN"/>
              </w:rPr>
            </w:pPr>
            <w:r>
              <w:rPr>
                <w:rFonts w:hint="eastAsia"/>
                <w:lang w:val="en-US" w:eastAsia="zh-CN"/>
              </w:rPr>
              <w:t>保障在押人员合法权益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rPr>
              <w:t>　</w:t>
            </w:r>
            <w:r>
              <w:t>=100%</w:t>
            </w:r>
          </w:p>
        </w:tc>
      </w:tr>
      <w:tr>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rPr>
              <w:t>按年度进度安排</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lang w:eastAsia="zh-CN"/>
              </w:rPr>
              <w:t>2023</w:t>
            </w:r>
            <w:r>
              <w:rPr>
                <w:rFonts w:hint="eastAsia"/>
              </w:rPr>
              <w:t>年</w:t>
            </w:r>
            <w:r>
              <w:t>12</w:t>
            </w:r>
            <w:r>
              <w:rPr>
                <w:rFonts w:hint="eastAsia"/>
              </w:rPr>
              <w:t>月</w:t>
            </w:r>
            <w:r>
              <w:t>31</w:t>
            </w:r>
            <w:r>
              <w:rPr>
                <w:rFonts w:hint="eastAsia"/>
              </w:rPr>
              <w:t>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lang w:eastAsia="zh-CN"/>
              </w:rPr>
              <w:t>2023</w:t>
            </w:r>
            <w:r>
              <w:rPr>
                <w:rFonts w:hint="eastAsia"/>
              </w:rPr>
              <w:t>年</w:t>
            </w:r>
            <w:r>
              <w:t>12</w:t>
            </w:r>
            <w:r>
              <w:rPr>
                <w:rFonts w:hint="eastAsia"/>
              </w:rPr>
              <w:t>月</w:t>
            </w:r>
            <w:r>
              <w:t>31</w:t>
            </w:r>
            <w:r>
              <w:rPr>
                <w:rFonts w:hint="eastAsia"/>
              </w:rPr>
              <w:t>日前</w:t>
            </w:r>
          </w:p>
        </w:tc>
      </w:tr>
      <w:tr>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kern w:val="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hint="default" w:ascii="宋体" w:cs="宋体"/>
                <w:szCs w:val="21"/>
                <w:lang w:val="en-US"/>
              </w:rPr>
            </w:pPr>
            <w:r>
              <w:rPr>
                <w:rFonts w:hint="eastAsia"/>
                <w:szCs w:val="21"/>
                <w:lang w:val="en-US" w:eastAsia="zh-CN"/>
              </w:rPr>
              <w:t>看守所经费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szCs w:val="21"/>
              </w:rPr>
            </w:pPr>
            <w:r>
              <w:rPr>
                <w:rFonts w:hint="eastAsia" w:ascii="宋体" w:hAnsi="宋体"/>
                <w:szCs w:val="21"/>
                <w:lang w:val="en-US" w:eastAsia="zh-CN"/>
              </w:rPr>
              <w:t>118.03</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Cs w:val="21"/>
              </w:rPr>
            </w:pPr>
            <w:r>
              <w:rPr>
                <w:rFonts w:hint="eastAsia" w:ascii="宋体" w:hAnsi="宋体" w:cs="宋体"/>
                <w:color w:val="000000"/>
                <w:sz w:val="24"/>
                <w:lang w:val="en-US" w:eastAsia="zh-CN"/>
              </w:rPr>
              <w:t>118.03</w:t>
            </w:r>
            <w:r>
              <w:rPr>
                <w:rFonts w:hint="eastAsia" w:ascii="宋体" w:hAnsi="宋体" w:cs="宋体"/>
                <w:color w:val="000000"/>
                <w:sz w:val="24"/>
              </w:rPr>
              <w:t>万元</w:t>
            </w:r>
          </w:p>
        </w:tc>
      </w:tr>
      <w:tr>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Cs w:val="21"/>
              </w:rPr>
            </w:pPr>
            <w:r>
              <w:rPr>
                <w:rFonts w:hint="eastAsia"/>
                <w:szCs w:val="21"/>
              </w:rPr>
              <w:t>保障刑事诉讼活动顺利进行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Cs w:val="21"/>
              </w:rPr>
            </w:pPr>
            <w:r>
              <w:rPr>
                <w:rFonts w:hint="eastAsia"/>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Cs w:val="21"/>
              </w:rPr>
            </w:pPr>
            <w:r>
              <w:rPr>
                <w:rFonts w:hint="eastAsia"/>
              </w:rPr>
              <w:t>=100%</w:t>
            </w:r>
          </w:p>
        </w:tc>
      </w:tr>
      <w:tr>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Cs w:val="21"/>
              </w:rPr>
            </w:pPr>
            <w:r>
              <w:rPr>
                <w:rFonts w:hint="eastAsia"/>
                <w:szCs w:val="21"/>
              </w:rPr>
              <w:t>对看守</w:t>
            </w:r>
            <w:r>
              <w:rPr>
                <w:rFonts w:hint="eastAsia"/>
                <w:szCs w:val="21"/>
                <w:lang w:val="en-US" w:eastAsia="zh-CN"/>
              </w:rPr>
              <w:t>所</w:t>
            </w:r>
            <w:r>
              <w:rPr>
                <w:rFonts w:hint="eastAsia"/>
                <w:szCs w:val="21"/>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ascii="宋体" w:hAnsi="宋体" w:cs="宋体"/>
                <w:szCs w:val="21"/>
              </w:rPr>
            </w:pPr>
            <w:r>
              <w:rPr>
                <w:rFonts w:hint="eastAsia"/>
                <w:szCs w:val="21"/>
              </w:rPr>
              <w:t>政府满意度&gt;96%，群众满意度&gt;97%</w:t>
            </w:r>
          </w:p>
          <w:p>
            <w:pPr>
              <w:jc w:val="center"/>
              <w:rPr>
                <w:rFonts w:ascii="宋体" w:cs="宋体"/>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ascii="宋体" w:hAnsi="宋体" w:cs="宋体"/>
                <w:szCs w:val="21"/>
              </w:rPr>
            </w:pPr>
            <w:r>
              <w:rPr>
                <w:rFonts w:hint="eastAsia"/>
                <w:szCs w:val="21"/>
              </w:rPr>
              <w:t>政府满意度&gt;96%，群众满意度&gt;97%</w:t>
            </w:r>
          </w:p>
          <w:p>
            <w:pPr>
              <w:jc w:val="center"/>
              <w:rPr>
                <w:rFonts w:ascii="宋体" w:cs="宋体"/>
                <w:szCs w:val="21"/>
              </w:rPr>
            </w:pP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cs="宋体"/>
                <w:sz w:val="36"/>
                <w:szCs w:val="36"/>
              </w:rPr>
            </w:pPr>
            <w:r>
              <w:rPr>
                <w:rFonts w:hint="eastAsia" w:ascii="黑体" w:hAnsi="黑体" w:eastAsia="黑体" w:cs="宋体"/>
                <w:bCs/>
                <w:kern w:val="0"/>
                <w:sz w:val="36"/>
                <w:szCs w:val="36"/>
              </w:rPr>
              <w:t>项目支出绩效目标完成情况表</w:t>
            </w:r>
            <w:r>
              <w:rPr>
                <w:rFonts w:ascii="宋体" w:cs="宋体"/>
                <w:b/>
                <w:bCs/>
                <w:kern w:val="0"/>
                <w:sz w:val="36"/>
                <w:szCs w:val="36"/>
              </w:rPr>
              <w:br w:type="textWrapping"/>
            </w:r>
            <w:r>
              <w:rPr>
                <w:rFonts w:ascii="宋体" w:hAnsi="宋体" w:cs="宋体"/>
                <w:kern w:val="0"/>
                <w:sz w:val="36"/>
                <w:szCs w:val="36"/>
              </w:rPr>
              <w:t>(</w:t>
            </w:r>
            <w:r>
              <w:rPr>
                <w:rFonts w:hint="eastAsia" w:ascii="宋体" w:hAnsi="宋体" w:cs="宋体"/>
                <w:kern w:val="0"/>
                <w:sz w:val="36"/>
                <w:szCs w:val="36"/>
                <w:lang w:eastAsia="zh-CN"/>
              </w:rPr>
              <w:t>2023</w:t>
            </w:r>
            <w:r>
              <w:rPr>
                <w:rFonts w:hint="eastAsia" w:ascii="宋体" w:hAnsi="宋体" w:cs="宋体"/>
                <w:kern w:val="0"/>
                <w:sz w:val="36"/>
                <w:szCs w:val="36"/>
              </w:rPr>
              <w:t>年度</w:t>
            </w:r>
            <w:r>
              <w:rPr>
                <w:rFonts w:ascii="宋体" w:hAnsi="宋体" w:cs="宋体"/>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cs="宋体"/>
                <w:sz w:val="24"/>
              </w:rPr>
              <w:t>保安</w:t>
            </w:r>
            <w:r>
              <w:rPr>
                <w:rFonts w:hint="eastAsia" w:ascii="宋体" w:cs="宋体"/>
                <w:sz w:val="24"/>
                <w:lang w:val="en-US" w:eastAsia="zh-CN"/>
              </w:rPr>
              <w:t>保洁</w:t>
            </w:r>
            <w:r>
              <w:rPr>
                <w:rFonts w:hint="eastAsia" w:ascii="宋体" w:cs="宋体"/>
                <w:sz w:val="24"/>
              </w:rPr>
              <w:t>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cs="宋体"/>
                <w:sz w:val="24"/>
              </w:rPr>
              <w:t>米易县公安局</w:t>
            </w:r>
          </w:p>
        </w:tc>
      </w:tr>
      <w:tr>
        <w:tblPrEx>
          <w:tblCellMar>
            <w:top w:w="0" w:type="dxa"/>
            <w:left w:w="0" w:type="dxa"/>
            <w:bottom w:w="0" w:type="dxa"/>
            <w:right w:w="0" w:type="dxa"/>
          </w:tblCellMar>
        </w:tblPrEx>
        <w:trPr>
          <w:trHeight w:val="290"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预算执行情况</w:t>
            </w:r>
            <w:r>
              <w:rPr>
                <w:rFonts w:ascii="宋体" w:hAnsi="宋体" w:cs="宋体"/>
                <w:kern w:val="0"/>
                <w:sz w:val="24"/>
              </w:rPr>
              <w:t>(</w:t>
            </w:r>
            <w:r>
              <w:rPr>
                <w:rFonts w:hint="eastAsia" w:ascii="宋体" w:hAnsi="宋体" w:cs="宋体"/>
                <w:kern w:val="0"/>
                <w:sz w:val="24"/>
              </w:rPr>
              <w:t>万元</w:t>
            </w:r>
            <w:r>
              <w:rPr>
                <w:rFonts w:ascii="宋体" w:hAnsi="宋体" w:cs="宋体"/>
                <w:kern w:val="0"/>
                <w:sz w:val="24"/>
              </w:rPr>
              <w:t>)</w:t>
            </w: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预算数</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eastAsia="宋体" w:cs="宋体"/>
                <w:sz w:val="24"/>
                <w:lang w:val="en-US" w:eastAsia="zh-CN"/>
              </w:rPr>
            </w:pPr>
            <w:r>
              <w:rPr>
                <w:rFonts w:hint="eastAsia" w:ascii="宋体" w:hAnsi="宋体" w:cs="宋体"/>
                <w:sz w:val="24"/>
                <w:lang w:val="en-US" w:eastAsia="zh-CN"/>
              </w:rPr>
              <w:t>84.48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执行数</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sz w:val="24"/>
              </w:rPr>
              <w:t>84.48</w:t>
            </w:r>
          </w:p>
        </w:tc>
      </w:tr>
      <w:tr>
        <w:tblPrEx>
          <w:tblCellMar>
            <w:top w:w="0" w:type="dxa"/>
            <w:left w:w="0" w:type="dxa"/>
            <w:bottom w:w="0" w:type="dxa"/>
            <w:right w:w="0" w:type="dxa"/>
          </w:tblCellMar>
        </w:tblPrEx>
        <w:trPr>
          <w:trHeight w:val="276"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sz w:val="24"/>
              </w:rPr>
            </w:pP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其中</w:t>
            </w:r>
            <w:r>
              <w:rPr>
                <w:rFonts w:ascii="宋体" w:cs="宋体"/>
                <w:kern w:val="0"/>
                <w:sz w:val="24"/>
              </w:rPr>
              <w:t>-</w:t>
            </w:r>
            <w:r>
              <w:rPr>
                <w:rFonts w:hint="eastAsia" w:ascii="宋体" w:hAnsi="宋体" w:cs="宋体"/>
                <w:kern w:val="0"/>
                <w:sz w:val="24"/>
              </w:rPr>
              <w:t>财政拨款</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sz w:val="24"/>
              </w:rPr>
              <w:t>84.48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其中</w:t>
            </w:r>
            <w:r>
              <w:rPr>
                <w:rFonts w:ascii="宋体" w:cs="宋体"/>
                <w:kern w:val="0"/>
                <w:sz w:val="24"/>
              </w:rPr>
              <w:t>-</w:t>
            </w:r>
            <w:r>
              <w:rPr>
                <w:rFonts w:hint="eastAsia" w:ascii="宋体" w:hAnsi="宋体" w:cs="宋体"/>
                <w:kern w:val="0"/>
                <w:sz w:val="24"/>
              </w:rPr>
              <w:t>财政拨款</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sz w:val="24"/>
              </w:rPr>
              <w:t>84.48</w:t>
            </w:r>
          </w:p>
        </w:tc>
      </w:tr>
      <w:tr>
        <w:tblPrEx>
          <w:tblCellMar>
            <w:top w:w="0" w:type="dxa"/>
            <w:left w:w="0" w:type="dxa"/>
            <w:bottom w:w="0" w:type="dxa"/>
            <w:right w:w="0" w:type="dxa"/>
          </w:tblCellMar>
        </w:tblPrEx>
        <w:trPr>
          <w:trHeight w:val="1511"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sz w:val="24"/>
              </w:rPr>
            </w:pP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其它资金</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ascii="宋体" w:cs="宋体"/>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其它资金</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ascii="宋体" w:cs="宋体"/>
                <w:sz w:val="24"/>
              </w:rPr>
              <w:t>0</w:t>
            </w:r>
          </w:p>
        </w:tc>
      </w:tr>
      <w:tr>
        <w:tblPrEx>
          <w:tblCellMar>
            <w:top w:w="0" w:type="dxa"/>
            <w:left w:w="0" w:type="dxa"/>
            <w:bottom w:w="0" w:type="dxa"/>
            <w:right w:w="0" w:type="dxa"/>
          </w:tblCellMar>
        </w:tblPrEx>
        <w:trPr>
          <w:trHeight w:val="27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年度目标完成情况</w:t>
            </w:r>
          </w:p>
        </w:tc>
        <w:tc>
          <w:tcPr>
            <w:tcW w:w="45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实际完成目标</w:t>
            </w:r>
          </w:p>
        </w:tc>
      </w:tr>
      <w:tr>
        <w:tblPrEx>
          <w:tblCellMar>
            <w:top w:w="0" w:type="dxa"/>
            <w:left w:w="0" w:type="dxa"/>
            <w:bottom w:w="0" w:type="dxa"/>
            <w:right w:w="0" w:type="dxa"/>
          </w:tblCellMar>
        </w:tblPrEx>
        <w:trPr>
          <w:trHeight w:val="1159"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sz w:val="24"/>
              </w:rPr>
            </w:pPr>
          </w:p>
        </w:tc>
        <w:tc>
          <w:tcPr>
            <w:tcW w:w="45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仿宋_GB2312"/>
                <w:szCs w:val="21"/>
              </w:rPr>
            </w:pPr>
            <w:r>
              <w:rPr>
                <w:rFonts w:hint="eastAsia" w:ascii="宋体" w:hAnsi="宋体" w:cs="仿宋_GB2312"/>
                <w:szCs w:val="21"/>
              </w:rPr>
              <w:t>完成支付</w:t>
            </w:r>
            <w:r>
              <w:rPr>
                <w:rFonts w:hint="eastAsia" w:ascii="宋体" w:hAnsi="宋体" w:cs="仿宋_GB2312"/>
                <w:szCs w:val="21"/>
                <w:lang w:eastAsia="zh-CN"/>
              </w:rPr>
              <w:t>2023</w:t>
            </w:r>
            <w:r>
              <w:rPr>
                <w:rFonts w:hint="eastAsia" w:ascii="宋体" w:hAnsi="宋体" w:cs="仿宋_GB2312"/>
                <w:szCs w:val="21"/>
              </w:rPr>
              <w:t>年22名保安人员的劳务费，</w:t>
            </w:r>
          </w:p>
          <w:p>
            <w:pPr>
              <w:widowControl/>
              <w:jc w:val="center"/>
              <w:textAlignment w:val="center"/>
              <w:rPr>
                <w:rFonts w:ascii="宋体" w:hAnsi="宋体" w:cs="宋体"/>
                <w:szCs w:val="21"/>
              </w:rPr>
            </w:pPr>
            <w:r>
              <w:rPr>
                <w:rFonts w:hint="eastAsia" w:ascii="宋体" w:hAnsi="宋体" w:cs="仿宋_GB2312"/>
                <w:szCs w:val="21"/>
              </w:rPr>
              <w:t>确保办公场所的稳定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Cs w:val="21"/>
              </w:rPr>
            </w:pPr>
            <w:r>
              <w:rPr>
                <w:rFonts w:hint="eastAsia" w:ascii="宋体" w:hAnsi="宋体" w:cs="仿宋_GB2312"/>
                <w:szCs w:val="21"/>
              </w:rPr>
              <w:t>基本完成预期目标</w:t>
            </w:r>
          </w:p>
        </w:tc>
      </w:tr>
      <w:tr>
        <w:tblPrEx>
          <w:tblCellMar>
            <w:top w:w="0" w:type="dxa"/>
            <w:left w:w="0" w:type="dxa"/>
            <w:bottom w:w="0" w:type="dxa"/>
            <w:right w:w="0" w:type="dxa"/>
          </w:tblCellMar>
        </w:tblPrEx>
        <w:trPr>
          <w:trHeight w:val="82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sz w:val="24"/>
              </w:rPr>
              <w:t>绩效指标完成情况</w:t>
            </w: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预期指标值</w:t>
            </w:r>
            <w:r>
              <w:rPr>
                <w:rFonts w:ascii="宋体" w:hAnsi="宋体" w:cs="宋体"/>
                <w:kern w:val="0"/>
                <w:sz w:val="24"/>
              </w:rPr>
              <w:t>(</w:t>
            </w:r>
            <w:r>
              <w:rPr>
                <w:rFonts w:hint="eastAsia" w:ascii="宋体" w:hAnsi="宋体" w:cs="宋体"/>
                <w:kern w:val="0"/>
                <w:sz w:val="24"/>
              </w:rPr>
              <w:t>包含数字及文字描述</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实际完成指标值</w:t>
            </w:r>
            <w:r>
              <w:rPr>
                <w:rFonts w:ascii="宋体" w:hAnsi="宋体" w:cs="宋体"/>
                <w:kern w:val="0"/>
                <w:sz w:val="24"/>
              </w:rPr>
              <w:t>(</w:t>
            </w:r>
            <w:r>
              <w:rPr>
                <w:rFonts w:hint="eastAsia" w:ascii="宋体" w:hAnsi="宋体" w:cs="宋体"/>
                <w:kern w:val="0"/>
                <w:sz w:val="24"/>
              </w:rPr>
              <w:t>包含数字及文字描述</w:t>
            </w:r>
            <w:r>
              <w:rPr>
                <w:rFonts w:ascii="宋体" w:hAnsi="宋体" w:cs="宋体"/>
                <w:kern w:val="0"/>
                <w:sz w:val="24"/>
              </w:rPr>
              <w:t>)</w:t>
            </w:r>
          </w:p>
        </w:tc>
      </w:tr>
      <w:tr>
        <w:tblPrEx>
          <w:tblCellMar>
            <w:top w:w="0" w:type="dxa"/>
            <w:left w:w="0" w:type="dxa"/>
            <w:bottom w:w="0" w:type="dxa"/>
            <w:right w:w="0" w:type="dxa"/>
          </w:tblCellMar>
        </w:tblPrEx>
        <w:trPr>
          <w:trHeight w:val="953"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sz w:val="24"/>
              </w:rPr>
            </w:pPr>
            <w:r>
              <w:rPr>
                <w:rFonts w:hint="eastAsia" w:ascii="宋体" w:hAnsi="宋体"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sz w:val="24"/>
              </w:rPr>
            </w:pPr>
            <w:r>
              <w:rPr>
                <w:rFonts w:hint="eastAsia"/>
              </w:rPr>
              <w:t>按标准足额支付</w:t>
            </w:r>
            <w:r>
              <w:rPr>
                <w:rFonts w:hint="eastAsia"/>
                <w:lang w:eastAsia="zh-CN"/>
              </w:rPr>
              <w:t>2023</w:t>
            </w:r>
            <w:r>
              <w:rPr>
                <w:rFonts w:hint="eastAsia"/>
              </w:rPr>
              <w:t>年22名保安的劳务费用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cs="宋体"/>
                <w:sz w:val="24"/>
              </w:rPr>
            </w:pPr>
            <w:r>
              <w:rPr>
                <w:rFonts w:hint="eastAsia"/>
              </w:rPr>
              <w:t>按标准足额支付</w:t>
            </w:r>
            <w:r>
              <w:rPr>
                <w:rFonts w:hint="eastAsia"/>
                <w:lang w:eastAsia="zh-CN"/>
              </w:rPr>
              <w:t>2023</w:t>
            </w:r>
            <w:r>
              <w:rPr>
                <w:rFonts w:hint="eastAsia"/>
              </w:rPr>
              <w:t>年22名保安的劳务费用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cs="宋体"/>
                <w:sz w:val="24"/>
              </w:rPr>
            </w:pPr>
            <w:r>
              <w:rPr>
                <w:rFonts w:hint="eastAsia"/>
              </w:rPr>
              <w:t>按标准足额支付</w:t>
            </w:r>
            <w:r>
              <w:rPr>
                <w:rFonts w:hint="eastAsia"/>
                <w:lang w:eastAsia="zh-CN"/>
              </w:rPr>
              <w:t>2023</w:t>
            </w:r>
            <w:r>
              <w:rPr>
                <w:rFonts w:hint="eastAsia"/>
              </w:rPr>
              <w:t>年22名保安的劳务费用</w:t>
            </w:r>
          </w:p>
        </w:tc>
      </w:tr>
      <w:tr>
        <w:tblPrEx>
          <w:tblCellMar>
            <w:top w:w="0" w:type="dxa"/>
            <w:left w:w="0" w:type="dxa"/>
            <w:bottom w:w="0" w:type="dxa"/>
            <w:right w:w="0" w:type="dxa"/>
          </w:tblCellMar>
        </w:tblPrEx>
        <w:trPr>
          <w:trHeight w:val="1297"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hAnsi="宋体" w:cs="宋体"/>
                <w:szCs w:val="21"/>
              </w:rPr>
            </w:pPr>
            <w:r>
              <w:rPr>
                <w:rFonts w:hint="eastAsia" w:ascii="宋体" w:hAnsi="宋体"/>
                <w:szCs w:val="21"/>
              </w:rPr>
              <w:t>劳务费支付率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szCs w:val="21"/>
              </w:rPr>
            </w:pPr>
            <w:r>
              <w:rPr>
                <w:rFonts w:ascii="宋体" w:hAnsi="宋体"/>
                <w:szCs w:val="21"/>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szCs w:val="21"/>
              </w:rPr>
            </w:pPr>
            <w:r>
              <w:rPr>
                <w:rFonts w:hint="eastAsia" w:ascii="宋体" w:hAnsi="宋体"/>
                <w:szCs w:val="21"/>
              </w:rPr>
              <w:t>　</w:t>
            </w:r>
            <w:r>
              <w:rPr>
                <w:rFonts w:ascii="宋体" w:hAnsi="宋体"/>
                <w:szCs w:val="21"/>
              </w:rPr>
              <w:t>=100%</w:t>
            </w:r>
          </w:p>
        </w:tc>
      </w:tr>
      <w:tr>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hAnsi="宋体" w:cs="宋体"/>
                <w:szCs w:val="21"/>
              </w:rPr>
            </w:pPr>
            <w:r>
              <w:rPr>
                <w:rFonts w:hint="eastAsia" w:ascii="宋体" w:hAnsi="宋体"/>
                <w:szCs w:val="21"/>
              </w:rPr>
              <w:t>按年度进度安排</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szCs w:val="21"/>
              </w:rPr>
            </w:pPr>
            <w:r>
              <w:rPr>
                <w:rFonts w:hint="eastAsia" w:ascii="宋体" w:hAnsi="宋体"/>
                <w:szCs w:val="21"/>
                <w:lang w:eastAsia="zh-CN"/>
              </w:rPr>
              <w:t>2023</w:t>
            </w:r>
            <w:r>
              <w:rPr>
                <w:rFonts w:hint="eastAsia" w:ascii="宋体" w:hAnsi="宋体"/>
                <w:szCs w:val="21"/>
              </w:rPr>
              <w:t>年</w:t>
            </w:r>
            <w:r>
              <w:rPr>
                <w:rFonts w:ascii="宋体" w:hAnsi="宋体"/>
                <w:szCs w:val="21"/>
              </w:rPr>
              <w:t>12</w:t>
            </w:r>
            <w:r>
              <w:rPr>
                <w:rFonts w:hint="eastAsia" w:ascii="宋体" w:hAnsi="宋体"/>
                <w:szCs w:val="21"/>
              </w:rPr>
              <w:t>月</w:t>
            </w:r>
            <w:r>
              <w:rPr>
                <w:rFonts w:ascii="宋体" w:hAnsi="宋体"/>
                <w:szCs w:val="21"/>
              </w:rPr>
              <w:t>31</w:t>
            </w:r>
            <w:r>
              <w:rPr>
                <w:rFonts w:hint="eastAsia" w:ascii="宋体" w:hAnsi="宋体"/>
                <w:szCs w:val="21"/>
              </w:rPr>
              <w:t>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szCs w:val="21"/>
              </w:rPr>
            </w:pPr>
            <w:r>
              <w:rPr>
                <w:rFonts w:hint="eastAsia" w:ascii="宋体" w:hAnsi="宋体"/>
                <w:szCs w:val="21"/>
                <w:lang w:eastAsia="zh-CN"/>
              </w:rPr>
              <w:t>2023</w:t>
            </w:r>
            <w:r>
              <w:rPr>
                <w:rFonts w:hint="eastAsia" w:ascii="宋体" w:hAnsi="宋体"/>
                <w:szCs w:val="21"/>
              </w:rPr>
              <w:t>年</w:t>
            </w:r>
            <w:r>
              <w:rPr>
                <w:rFonts w:ascii="宋体" w:hAnsi="宋体"/>
                <w:szCs w:val="21"/>
              </w:rPr>
              <w:t>12</w:t>
            </w:r>
            <w:r>
              <w:rPr>
                <w:rFonts w:hint="eastAsia" w:ascii="宋体" w:hAnsi="宋体"/>
                <w:szCs w:val="21"/>
              </w:rPr>
              <w:t>月</w:t>
            </w:r>
            <w:r>
              <w:rPr>
                <w:rFonts w:ascii="宋体" w:hAnsi="宋体"/>
                <w:szCs w:val="21"/>
              </w:rPr>
              <w:t>31</w:t>
            </w:r>
            <w:r>
              <w:rPr>
                <w:rFonts w:hint="eastAsia" w:ascii="宋体" w:hAnsi="宋体"/>
                <w:szCs w:val="21"/>
              </w:rPr>
              <w:t>日前</w:t>
            </w:r>
          </w:p>
        </w:tc>
      </w:tr>
      <w:tr>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hAnsi="宋体" w:cs="宋体"/>
                <w:szCs w:val="21"/>
              </w:rPr>
            </w:pPr>
            <w:r>
              <w:rPr>
                <w:rFonts w:hint="eastAsia" w:ascii="宋体" w:hAnsi="宋体"/>
                <w:szCs w:val="21"/>
                <w:lang w:eastAsia="zh-CN"/>
              </w:rPr>
              <w:t>2023</w:t>
            </w:r>
            <w:r>
              <w:rPr>
                <w:rFonts w:hint="eastAsia" w:ascii="宋体" w:hAnsi="宋体"/>
                <w:szCs w:val="21"/>
              </w:rPr>
              <w:t>年度22名保安人员劳务费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hAnsi="宋体" w:cs="宋体"/>
                <w:szCs w:val="21"/>
              </w:rPr>
            </w:pPr>
            <w:r>
              <w:rPr>
                <w:rFonts w:hint="eastAsia" w:ascii="宋体" w:hAnsi="宋体"/>
                <w:szCs w:val="21"/>
                <w:lang w:eastAsia="zh-CN"/>
              </w:rPr>
              <w:t>2023</w:t>
            </w:r>
            <w:r>
              <w:rPr>
                <w:rFonts w:hint="eastAsia" w:ascii="宋体" w:hAnsi="宋体"/>
                <w:szCs w:val="21"/>
              </w:rPr>
              <w:t>年度22名保安人员劳务费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hAnsi="宋体" w:cs="宋体"/>
                <w:szCs w:val="21"/>
              </w:rPr>
            </w:pPr>
            <w:r>
              <w:rPr>
                <w:rFonts w:hint="eastAsia" w:ascii="宋体" w:hAnsi="宋体"/>
                <w:szCs w:val="21"/>
                <w:lang w:eastAsia="zh-CN"/>
              </w:rPr>
              <w:t>2023</w:t>
            </w:r>
            <w:r>
              <w:rPr>
                <w:rFonts w:hint="eastAsia" w:ascii="宋体" w:hAnsi="宋体"/>
                <w:szCs w:val="21"/>
              </w:rPr>
              <w:t>年度22名保安人员劳务费</w:t>
            </w:r>
          </w:p>
        </w:tc>
      </w:tr>
      <w:tr>
        <w:tblPrEx>
          <w:tblCellMar>
            <w:top w:w="0" w:type="dxa"/>
            <w:left w:w="0" w:type="dxa"/>
            <w:bottom w:w="0" w:type="dxa"/>
            <w:right w:w="0" w:type="dxa"/>
          </w:tblCellMar>
        </w:tblPrEx>
        <w:trPr>
          <w:trHeight w:val="1078"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szCs w:val="21"/>
              </w:rPr>
            </w:pPr>
            <w:r>
              <w:rPr>
                <w:rFonts w:hint="eastAsia" w:ascii="宋体" w:hAnsi="宋体"/>
                <w:szCs w:val="21"/>
              </w:rPr>
              <w:t>对工作的促进作用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hAnsi="宋体" w:cs="宋体"/>
                <w:szCs w:val="21"/>
              </w:rPr>
            </w:pPr>
            <w:r>
              <w:rPr>
                <w:rFonts w:hint="eastAsia" w:ascii="宋体" w:hAnsi="宋体"/>
                <w:szCs w:val="21"/>
              </w:rPr>
              <w:t>做好巡逻，保障安全，维护稳定，把米易打造成全国最平安的县城。</w:t>
            </w:r>
          </w:p>
          <w:p>
            <w:pPr>
              <w:rPr>
                <w:rFonts w:ascii="宋体" w:hAnsi="宋体" w:cs="宋体"/>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hAnsi="宋体" w:cs="宋体"/>
                <w:szCs w:val="21"/>
              </w:rPr>
            </w:pPr>
            <w:r>
              <w:rPr>
                <w:rFonts w:hint="eastAsia" w:ascii="宋体" w:hAnsi="宋体"/>
                <w:szCs w:val="21"/>
              </w:rPr>
              <w:t>做好巡逻，保障安全，维护稳定，把米易打造成全国最平安的县城。</w:t>
            </w:r>
          </w:p>
          <w:p>
            <w:pPr>
              <w:rPr>
                <w:rFonts w:ascii="宋体" w:hAnsi="宋体" w:cs="宋体"/>
                <w:szCs w:val="21"/>
              </w:rPr>
            </w:pPr>
          </w:p>
        </w:tc>
      </w:tr>
      <w:tr>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szCs w:val="21"/>
              </w:rPr>
            </w:pPr>
            <w:r>
              <w:rPr>
                <w:rFonts w:hint="eastAsia" w:ascii="宋体" w:hAnsi="宋体"/>
                <w:szCs w:val="21"/>
              </w:rPr>
              <w:t>全县群众满意度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ascii="宋体" w:hAnsi="宋体" w:cs="宋体"/>
                <w:szCs w:val="21"/>
              </w:rPr>
            </w:pPr>
            <w:r>
              <w:rPr>
                <w:rFonts w:hint="eastAsia" w:ascii="宋体" w:hAnsi="宋体"/>
                <w:szCs w:val="21"/>
              </w:rPr>
              <w:t>政府满意度&gt;96%，群众满意度&gt;97%</w:t>
            </w:r>
          </w:p>
          <w:p>
            <w:pPr>
              <w:jc w:val="center"/>
              <w:rPr>
                <w:rFonts w:ascii="宋体" w:hAnsi="宋体" w:cs="宋体"/>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ascii="宋体" w:hAnsi="宋体" w:cs="宋体"/>
                <w:szCs w:val="21"/>
              </w:rPr>
            </w:pPr>
            <w:r>
              <w:rPr>
                <w:rFonts w:hint="eastAsia" w:ascii="宋体" w:hAnsi="宋体"/>
                <w:szCs w:val="21"/>
              </w:rPr>
              <w:t>政府满意度&gt;96%，群众满意度&gt;97%</w:t>
            </w:r>
          </w:p>
          <w:p>
            <w:pPr>
              <w:jc w:val="center"/>
              <w:rPr>
                <w:rFonts w:ascii="宋体" w:hAnsi="宋体" w:cs="宋体"/>
                <w:szCs w:val="21"/>
              </w:rPr>
            </w:pP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w:t>
            </w:r>
            <w:r>
              <w:rPr>
                <w:rFonts w:hint="eastAsia" w:ascii="宋体" w:hAnsi="宋体" w:cs="宋体"/>
                <w:color w:val="000000"/>
                <w:kern w:val="0"/>
                <w:sz w:val="36"/>
                <w:szCs w:val="36"/>
                <w:lang w:eastAsia="zh-CN"/>
              </w:rPr>
              <w:t>2023</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辅警公用经费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米易县公安局</w:t>
            </w:r>
          </w:p>
        </w:tc>
      </w:tr>
      <w:tr>
        <w:tblPrEx>
          <w:tblCellMar>
            <w:top w:w="0" w:type="dxa"/>
            <w:left w:w="0" w:type="dxa"/>
            <w:bottom w:w="0" w:type="dxa"/>
            <w:right w:w="0" w:type="dxa"/>
          </w:tblCellMar>
        </w:tblPrEx>
        <w:trPr>
          <w:trHeight w:val="27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hAnsi="宋体" w:cs="宋体"/>
                <w:color w:val="000000"/>
                <w:sz w:val="24"/>
                <w:lang w:val="en-US" w:eastAsia="zh-CN"/>
              </w:rPr>
              <w:t>31.5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31.5</w:t>
            </w:r>
          </w:p>
        </w:tc>
      </w:tr>
      <w:tr>
        <w:tblPrEx>
          <w:tblCellMar>
            <w:top w:w="0" w:type="dxa"/>
            <w:left w:w="0" w:type="dxa"/>
            <w:bottom w:w="0" w:type="dxa"/>
            <w:right w:w="0" w:type="dxa"/>
          </w:tblCellMar>
        </w:tblPrEx>
        <w:trPr>
          <w:trHeight w:val="276"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rPr>
              <w:t>31.5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31.5</w:t>
            </w:r>
          </w:p>
        </w:tc>
      </w:tr>
      <w:tr>
        <w:tblPrEx>
          <w:tblCellMar>
            <w:top w:w="0" w:type="dxa"/>
            <w:left w:w="0" w:type="dxa"/>
            <w:bottom w:w="0" w:type="dxa"/>
            <w:right w:w="0" w:type="dxa"/>
          </w:tblCellMar>
        </w:tblPrEx>
        <w:trPr>
          <w:trHeight w:val="1511"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1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5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452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Cs w:val="21"/>
              </w:rPr>
            </w:pPr>
            <w:r>
              <w:rPr>
                <w:rFonts w:hint="eastAsia" w:ascii="宋体" w:hAnsi="宋体" w:cs="仿宋_GB2312"/>
                <w:szCs w:val="21"/>
              </w:rPr>
              <w:t>完成支付</w:t>
            </w:r>
            <w:r>
              <w:rPr>
                <w:rFonts w:hint="eastAsia" w:ascii="宋体" w:hAnsi="宋体" w:cs="仿宋_GB2312"/>
                <w:szCs w:val="21"/>
                <w:lang w:eastAsia="zh-CN"/>
              </w:rPr>
              <w:t>2023</w:t>
            </w:r>
            <w:r>
              <w:rPr>
                <w:rFonts w:hint="eastAsia" w:ascii="宋体" w:hAnsi="宋体" w:cs="仿宋_GB2312"/>
                <w:szCs w:val="21"/>
              </w:rPr>
              <w:t>年度</w:t>
            </w:r>
            <w:r>
              <w:rPr>
                <w:rFonts w:hint="eastAsia" w:ascii="宋体" w:hAnsi="宋体" w:cs="仿宋_GB2312"/>
                <w:szCs w:val="21"/>
                <w:lang w:val="en-US" w:eastAsia="zh-CN"/>
              </w:rPr>
              <w:t>315</w:t>
            </w:r>
            <w:r>
              <w:rPr>
                <w:rFonts w:hint="eastAsia" w:ascii="宋体" w:hAnsi="宋体" w:cs="仿宋_GB2312"/>
                <w:szCs w:val="21"/>
              </w:rPr>
              <w:t>名警务辅助人员日常办公经费，确保公安工作正常运转。</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Cs w:val="21"/>
              </w:rPr>
            </w:pPr>
            <w:r>
              <w:rPr>
                <w:rFonts w:hint="eastAsia" w:ascii="宋体" w:hAnsi="宋体" w:cs="仿宋_GB2312"/>
                <w:szCs w:val="21"/>
              </w:rPr>
              <w:t>完成支付</w:t>
            </w:r>
            <w:r>
              <w:rPr>
                <w:rFonts w:hint="eastAsia" w:ascii="宋体" w:hAnsi="宋体" w:cs="仿宋_GB2312"/>
                <w:szCs w:val="21"/>
                <w:lang w:eastAsia="zh-CN"/>
              </w:rPr>
              <w:t>2023</w:t>
            </w:r>
            <w:r>
              <w:rPr>
                <w:rFonts w:hint="eastAsia" w:ascii="宋体" w:hAnsi="宋体" w:cs="仿宋_GB2312"/>
                <w:szCs w:val="21"/>
              </w:rPr>
              <w:t>年度</w:t>
            </w:r>
            <w:r>
              <w:rPr>
                <w:rFonts w:hint="eastAsia" w:ascii="宋体" w:hAnsi="宋体" w:cs="仿宋_GB2312"/>
                <w:szCs w:val="21"/>
                <w:lang w:val="en-US" w:eastAsia="zh-CN"/>
              </w:rPr>
              <w:t>315</w:t>
            </w:r>
            <w:r>
              <w:rPr>
                <w:rFonts w:hint="eastAsia" w:ascii="宋体" w:hAnsi="宋体" w:cs="仿宋_GB2312"/>
                <w:szCs w:val="21"/>
              </w:rPr>
              <w:t>名警务辅助人员日常办公经费，确保公安工作正常运转。</w:t>
            </w:r>
          </w:p>
        </w:tc>
      </w:tr>
      <w:tr>
        <w:tblPrEx>
          <w:tblCellMar>
            <w:top w:w="0" w:type="dxa"/>
            <w:left w:w="0" w:type="dxa"/>
            <w:bottom w:w="0" w:type="dxa"/>
            <w:right w:w="0" w:type="dxa"/>
          </w:tblCellMar>
        </w:tblPrEx>
        <w:trPr>
          <w:trHeight w:val="1042"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cs="宋体"/>
                <w:sz w:val="24"/>
              </w:rPr>
            </w:pPr>
            <w:r>
              <w:rPr>
                <w:rFonts w:hint="eastAsia" w:ascii="宋体" w:hAnsi="宋体" w:cs="仿宋_GB2312"/>
                <w:szCs w:val="21"/>
              </w:rPr>
              <w:t>完成支付</w:t>
            </w:r>
            <w:r>
              <w:rPr>
                <w:rFonts w:hint="eastAsia" w:ascii="宋体" w:hAnsi="宋体" w:cs="仿宋_GB2312"/>
                <w:szCs w:val="21"/>
                <w:lang w:eastAsia="zh-CN"/>
              </w:rPr>
              <w:t>2023</w:t>
            </w:r>
            <w:r>
              <w:rPr>
                <w:rFonts w:hint="eastAsia" w:ascii="宋体" w:hAnsi="宋体" w:cs="仿宋_GB2312"/>
                <w:szCs w:val="21"/>
              </w:rPr>
              <w:t>年度</w:t>
            </w:r>
            <w:r>
              <w:rPr>
                <w:rFonts w:hint="eastAsia" w:ascii="宋体" w:hAnsi="宋体" w:cs="仿宋_GB2312"/>
                <w:szCs w:val="21"/>
                <w:lang w:val="en-US" w:eastAsia="zh-CN"/>
              </w:rPr>
              <w:t>315</w:t>
            </w:r>
            <w:r>
              <w:rPr>
                <w:rFonts w:hint="eastAsia" w:ascii="宋体" w:hAnsi="宋体" w:cs="仿宋_GB2312"/>
                <w:szCs w:val="21"/>
              </w:rPr>
              <w:t>名警务辅助人员日常办公经费，确保公安工作正常运转。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ascii="宋体" w:hAnsi="宋体" w:cs="仿宋_GB2312"/>
                <w:szCs w:val="21"/>
              </w:rPr>
              <w:t>基本完成预期目标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ascii="宋体" w:hAnsi="宋体" w:cs="仿宋_GB2312"/>
                <w:szCs w:val="21"/>
              </w:rPr>
              <w:t>基本完成预期目标</w:t>
            </w:r>
          </w:p>
        </w:tc>
      </w:tr>
      <w:tr>
        <w:tblPrEx>
          <w:tblCellMar>
            <w:top w:w="0" w:type="dxa"/>
            <w:left w:w="0" w:type="dxa"/>
            <w:bottom w:w="0" w:type="dxa"/>
            <w:right w:w="0" w:type="dxa"/>
          </w:tblCellMar>
        </w:tblPrEx>
        <w:trPr>
          <w:trHeight w:val="1297"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cs="宋体"/>
                <w:sz w:val="24"/>
              </w:rPr>
            </w:pPr>
            <w:r>
              <w:rPr>
                <w:rFonts w:hint="eastAsia" w:ascii="宋体" w:hAnsi="宋体" w:cs="仿宋_GB2312"/>
                <w:szCs w:val="21"/>
              </w:rPr>
              <w:t>日常办公经费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rPr>
              <w:t>　</w:t>
            </w:r>
            <w:r>
              <w:t>=100%</w:t>
            </w:r>
          </w:p>
        </w:tc>
      </w:tr>
      <w:tr>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rPr>
              <w:t>按年度进度安排</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lang w:eastAsia="zh-CN"/>
              </w:rPr>
              <w:t>2023</w:t>
            </w:r>
            <w:r>
              <w:rPr>
                <w:rFonts w:hint="eastAsia"/>
              </w:rPr>
              <w:t>年</w:t>
            </w:r>
            <w:r>
              <w:t>12</w:t>
            </w:r>
            <w:r>
              <w:rPr>
                <w:rFonts w:hint="eastAsia"/>
              </w:rPr>
              <w:t>月</w:t>
            </w:r>
            <w:r>
              <w:t>31</w:t>
            </w:r>
            <w:r>
              <w:rPr>
                <w:rFonts w:hint="eastAsia"/>
              </w:rPr>
              <w:t>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rPr>
            </w:pPr>
            <w:r>
              <w:rPr>
                <w:rFonts w:hint="eastAsia"/>
                <w:lang w:eastAsia="zh-CN"/>
              </w:rPr>
              <w:t>2023</w:t>
            </w:r>
            <w:r>
              <w:rPr>
                <w:rFonts w:hint="eastAsia"/>
              </w:rPr>
              <w:t>年</w:t>
            </w:r>
            <w:r>
              <w:t>12</w:t>
            </w:r>
            <w:r>
              <w:rPr>
                <w:rFonts w:hint="eastAsia"/>
              </w:rPr>
              <w:t>月</w:t>
            </w:r>
            <w:r>
              <w:t>31</w:t>
            </w:r>
            <w:r>
              <w:rPr>
                <w:rFonts w:hint="eastAsia"/>
              </w:rPr>
              <w:t>日前</w:t>
            </w:r>
          </w:p>
        </w:tc>
      </w:tr>
      <w:tr>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kern w:val="0"/>
                <w:szCs w:val="21"/>
              </w:rPr>
            </w:pPr>
            <w:r>
              <w:rPr>
                <w:rFonts w:hint="eastAsia" w:ascii="宋体" w:hAnsi="宋体" w:cs="宋体"/>
                <w:color w:val="000000"/>
                <w:kern w:val="0"/>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cs="宋体"/>
                <w:szCs w:val="21"/>
              </w:rPr>
            </w:pPr>
            <w:r>
              <w:rPr>
                <w:rFonts w:hint="eastAsia" w:ascii="宋体" w:hAnsi="宋体" w:cs="仿宋_GB2312"/>
                <w:szCs w:val="21"/>
              </w:rPr>
              <w:t>完成支付</w:t>
            </w:r>
            <w:r>
              <w:rPr>
                <w:rFonts w:hint="eastAsia" w:ascii="宋体" w:hAnsi="宋体" w:cs="仿宋_GB2312"/>
                <w:szCs w:val="21"/>
                <w:lang w:eastAsia="zh-CN"/>
              </w:rPr>
              <w:t>2023</w:t>
            </w:r>
            <w:r>
              <w:rPr>
                <w:rFonts w:hint="eastAsia" w:ascii="宋体" w:hAnsi="宋体" w:cs="仿宋_GB2312"/>
                <w:szCs w:val="21"/>
              </w:rPr>
              <w:t>年度</w:t>
            </w:r>
            <w:r>
              <w:rPr>
                <w:rFonts w:hint="eastAsia" w:ascii="宋体" w:hAnsi="宋体" w:cs="仿宋_GB2312"/>
                <w:szCs w:val="21"/>
                <w:lang w:val="en-US" w:eastAsia="zh-CN"/>
              </w:rPr>
              <w:t>315</w:t>
            </w:r>
            <w:r>
              <w:rPr>
                <w:rFonts w:hint="eastAsia" w:ascii="宋体" w:hAnsi="宋体" w:cs="仿宋_GB2312"/>
                <w:szCs w:val="21"/>
              </w:rPr>
              <w:t>名警务辅助人员日常办公经费，确保公安工作正常运转。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hAnsi="宋体" w:cs="宋体"/>
                <w:szCs w:val="21"/>
              </w:rPr>
            </w:pPr>
            <w:r>
              <w:rPr>
                <w:rFonts w:hint="eastAsia" w:ascii="宋体" w:hAnsi="宋体" w:cs="宋体"/>
                <w:color w:val="000000"/>
                <w:sz w:val="24"/>
                <w:lang w:val="en-US" w:eastAsia="zh-CN"/>
              </w:rPr>
              <w:t>31.5</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cs="宋体"/>
                <w:szCs w:val="21"/>
              </w:rPr>
            </w:pPr>
            <w:r>
              <w:rPr>
                <w:rFonts w:hint="eastAsia" w:ascii="宋体" w:hAnsi="宋体" w:cs="宋体"/>
                <w:color w:val="000000"/>
                <w:sz w:val="24"/>
                <w:lang w:val="en-US" w:eastAsia="zh-CN"/>
              </w:rPr>
              <w:t>31.5</w:t>
            </w:r>
            <w:r>
              <w:rPr>
                <w:rFonts w:hint="eastAsia" w:ascii="宋体" w:hAnsi="宋体" w:cs="宋体"/>
                <w:color w:val="000000"/>
                <w:sz w:val="24"/>
              </w:rPr>
              <w:t>万元</w:t>
            </w:r>
          </w:p>
        </w:tc>
      </w:tr>
      <w:tr>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Cs w:val="21"/>
              </w:rPr>
            </w:pPr>
            <w:r>
              <w:rPr>
                <w:rFonts w:hint="eastAsia"/>
                <w:szCs w:val="21"/>
              </w:rPr>
              <w:t>对工作的促进作用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cs="宋体"/>
                <w:szCs w:val="21"/>
              </w:rPr>
            </w:pPr>
            <w:r>
              <w:rPr>
                <w:rFonts w:hint="eastAsia"/>
                <w:szCs w:val="21"/>
              </w:rPr>
              <w:t>协助民警一道维护社会稳定，把米易打造成全国最平安的县城。</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cs="宋体"/>
                <w:szCs w:val="21"/>
              </w:rPr>
            </w:pPr>
            <w:r>
              <w:rPr>
                <w:rFonts w:hint="eastAsia"/>
                <w:szCs w:val="21"/>
              </w:rPr>
              <w:t>协助民警一道维护社会稳定，把米易打造成全国最平安的县城。</w:t>
            </w:r>
          </w:p>
        </w:tc>
      </w:tr>
      <w:tr>
        <w:tblPrEx>
          <w:tblCellMar>
            <w:top w:w="0" w:type="dxa"/>
            <w:left w:w="0" w:type="dxa"/>
            <w:bottom w:w="0" w:type="dxa"/>
            <w:right w:w="0" w:type="dxa"/>
          </w:tblCellMar>
        </w:tblPrEx>
        <w:trPr>
          <w:trHeight w:val="1042" w:hRule="atLeast"/>
        </w:trPr>
        <w:tc>
          <w:tcPr>
            <w:tcW w:w="64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11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Cs w:val="21"/>
              </w:rPr>
            </w:pPr>
            <w:r>
              <w:rPr>
                <w:rFonts w:hint="eastAsia" w:ascii="宋体" w:hAnsi="宋体" w:cs="宋体"/>
                <w:color w:val="000000"/>
                <w:kern w:val="0"/>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Cs w:val="21"/>
              </w:rPr>
            </w:pPr>
            <w:r>
              <w:rPr>
                <w:rFonts w:hint="eastAsia"/>
                <w:szCs w:val="21"/>
              </w:rPr>
              <w:t>全县群众满意度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ascii="宋体" w:hAnsi="宋体" w:cs="宋体"/>
                <w:szCs w:val="21"/>
              </w:rPr>
            </w:pPr>
            <w:r>
              <w:rPr>
                <w:rFonts w:hint="eastAsia"/>
                <w:szCs w:val="21"/>
              </w:rPr>
              <w:t>政府满意度&gt;96%，群众满意度&gt;97%</w:t>
            </w:r>
          </w:p>
          <w:p>
            <w:pPr>
              <w:jc w:val="center"/>
              <w:rPr>
                <w:rFonts w:ascii="宋体" w:cs="宋体"/>
                <w:szCs w:val="21"/>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ascii="宋体" w:hAnsi="宋体" w:cs="宋体"/>
                <w:szCs w:val="21"/>
              </w:rPr>
            </w:pPr>
            <w:r>
              <w:rPr>
                <w:rFonts w:hint="eastAsia"/>
                <w:szCs w:val="21"/>
              </w:rPr>
              <w:t>政府满意度&gt;96%，群众满意度&gt;97%</w:t>
            </w:r>
          </w:p>
          <w:p>
            <w:pPr>
              <w:jc w:val="center"/>
              <w:rPr>
                <w:rFonts w:ascii="宋体" w:cs="宋体"/>
                <w:szCs w:val="21"/>
              </w:rPr>
            </w:pPr>
          </w:p>
        </w:tc>
      </w:tr>
    </w:tbl>
    <w:p>
      <w:pPr>
        <w:widowControl/>
        <w:spacing w:line="360" w:lineRule="auto"/>
        <w:jc w:val="left"/>
        <w:rPr>
          <w:rFonts w:ascii="仿宋_GB2312" w:eastAsia="仿宋_GB2312"/>
          <w:b/>
          <w:color w:val="000000"/>
          <w:sz w:val="32"/>
          <w:szCs w:val="32"/>
        </w:rPr>
      </w:pPr>
    </w:p>
    <w:p>
      <w:pPr>
        <w:numPr>
          <w:ilvl w:val="0"/>
          <w:numId w:val="5"/>
        </w:numPr>
        <w:spacing w:line="360" w:lineRule="auto"/>
        <w:ind w:firstLine="660" w:firstLineChars="150"/>
        <w:jc w:val="center"/>
        <w:outlineLvl w:val="0"/>
        <w:rPr>
          <w:rStyle w:val="24"/>
          <w:rFonts w:ascii="黑体" w:hAnsi="黑体" w:eastAsia="黑体"/>
          <w:b w:val="0"/>
        </w:rPr>
      </w:pPr>
      <w:bookmarkStart w:id="53" w:name="_Toc15396613"/>
      <w:bookmarkStart w:id="54"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53"/>
      <w:bookmarkEnd w:id="54"/>
    </w:p>
    <w:p>
      <w:pPr>
        <w:pStyle w:val="22"/>
        <w:spacing w:line="360" w:lineRule="auto"/>
        <w:ind w:firstLine="640" w:firstLineChars="200"/>
        <w:rPr>
          <w:rFonts w:ascii="仿宋_GB2312" w:eastAsia="仿宋_GB2312"/>
          <w:sz w:val="32"/>
          <w:szCs w:val="32"/>
        </w:rPr>
      </w:pPr>
      <w:bookmarkStart w:id="55"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360" w:lineRule="auto"/>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360" w:lineRule="auto"/>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其他收入：指单位取得的除上述收入以外的各项收入。</w:t>
      </w:r>
    </w:p>
    <w:p>
      <w:pPr>
        <w:pStyle w:val="22"/>
        <w:spacing w:line="360" w:lineRule="auto"/>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pacing w:line="360" w:lineRule="auto"/>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年初结转和结余：指以前年度尚未完成、结转到本年按有关规定继续使用的资金。</w:t>
      </w:r>
    </w:p>
    <w:p>
      <w:pPr>
        <w:pStyle w:val="22"/>
        <w:spacing w:line="360" w:lineRule="auto"/>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360" w:lineRule="auto"/>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、年末结转和结余：指单位按有关规定结转到下年或以后年度继续使用的资金。</w:t>
      </w:r>
    </w:p>
    <w:p>
      <w:pPr>
        <w:pStyle w:val="22"/>
        <w:spacing w:line="360" w:lineRule="auto"/>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color w:val="auto"/>
          <w:sz w:val="32"/>
          <w:szCs w:val="32"/>
        </w:rPr>
        <w:t>“三公”经费</w:t>
      </w:r>
      <w:r>
        <w:rPr>
          <w:rFonts w:hint="eastAsia" w:ascii="仿宋_GB2312" w:eastAsia="仿宋_GB2312"/>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360" w:lineRule="auto"/>
        <w:ind w:firstLine="640" w:firstLineChars="200"/>
        <w:rPr>
          <w:rFonts w:ascii="仿宋_GB2312" w:eastAsia="仿宋_GB2312"/>
          <w:color w:val="000000"/>
          <w:sz w:val="32"/>
          <w:szCs w:val="32"/>
        </w:rPr>
      </w:pPr>
      <w:r>
        <w:rPr>
          <w:rFonts w:ascii="仿宋_GB2312" w:eastAsia="仿宋_GB2312"/>
          <w:sz w:val="32"/>
          <w:szCs w:val="32"/>
        </w:rPr>
        <w:t>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default"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default"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spacing w:line="560" w:lineRule="exact"/>
        <w:jc w:val="center"/>
        <w:outlineLvl w:val="0"/>
        <w:rPr>
          <w:rFonts w:ascii="宋体"/>
          <w:b/>
          <w:color w:val="000000"/>
          <w:sz w:val="44"/>
          <w:szCs w:val="44"/>
        </w:rPr>
      </w:pPr>
      <w:r>
        <w:rPr>
          <w:rFonts w:ascii="宋体"/>
          <w:b/>
          <w:color w:val="000000"/>
          <w:sz w:val="44"/>
          <w:szCs w:val="44"/>
        </w:rPr>
        <w:br w:type="page"/>
      </w:r>
      <w:bookmarkStart w:id="56" w:name="_Toc15396614"/>
    </w:p>
    <w:p>
      <w:pPr>
        <w:spacing w:line="560" w:lineRule="exact"/>
        <w:jc w:val="both"/>
        <w:outlineLvl w:val="0"/>
        <w:rPr>
          <w:rFonts w:ascii="宋体"/>
          <w:b/>
          <w:color w:val="000000"/>
          <w:sz w:val="32"/>
          <w:szCs w:val="32"/>
        </w:rPr>
      </w:pPr>
      <w:r>
        <w:rPr>
          <w:rFonts w:hint="eastAsia" w:ascii="宋体"/>
          <w:b/>
          <w:color w:val="000000"/>
          <w:sz w:val="32"/>
          <w:szCs w:val="32"/>
        </w:rPr>
        <w:t>附件1</w:t>
      </w:r>
    </w:p>
    <w:bookmarkEnd w:id="56"/>
    <w:p>
      <w:pPr>
        <w:numPr>
          <w:ilvl w:val="0"/>
          <w:numId w:val="5"/>
        </w:numPr>
        <w:spacing w:line="560" w:lineRule="exact"/>
        <w:ind w:left="0" w:leftChars="0" w:firstLine="660" w:firstLineChars="150"/>
        <w:jc w:val="center"/>
        <w:outlineLvl w:val="0"/>
        <w:rPr>
          <w:rStyle w:val="24"/>
          <w:rFonts w:hint="eastAsia" w:ascii="黑体" w:hAnsi="黑体" w:eastAsia="黑体"/>
          <w:b w:val="0"/>
        </w:rPr>
      </w:pPr>
    </w:p>
    <w:p>
      <w:pPr>
        <w:numPr>
          <w:ilvl w:val="0"/>
          <w:numId w:val="0"/>
        </w:numPr>
        <w:spacing w:line="560" w:lineRule="exact"/>
        <w:ind w:leftChars="150"/>
        <w:jc w:val="both"/>
        <w:outlineLvl w:val="0"/>
        <w:rPr>
          <w:rStyle w:val="24"/>
          <w:rFonts w:hint="eastAsia" w:ascii="黑体" w:hAnsi="黑体" w:eastAsia="黑体"/>
          <w:b w:val="0"/>
        </w:rPr>
      </w:pPr>
    </w:p>
    <w:p>
      <w:pPr>
        <w:spacing w:line="560" w:lineRule="exact"/>
        <w:ind w:firstLine="2000" w:firstLineChars="500"/>
        <w:rPr>
          <w:rFonts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rPr>
        <w:t>米易县公安局</w:t>
      </w:r>
      <w:r>
        <w:rPr>
          <w:rFonts w:hint="eastAsia" w:ascii="方正小标宋简体" w:hAnsi="宋体" w:eastAsia="方正小标宋简体"/>
          <w:color w:val="000000"/>
          <w:kern w:val="0"/>
          <w:sz w:val="40"/>
          <w:szCs w:val="44"/>
          <w:lang w:eastAsia="zh-CN"/>
        </w:rPr>
        <w:t>2023</w:t>
      </w:r>
      <w:r>
        <w:rPr>
          <w:rFonts w:ascii="方正小标宋简体" w:hAnsi="宋体" w:eastAsia="方正小标宋简体"/>
          <w:color w:val="000000"/>
          <w:kern w:val="0"/>
          <w:sz w:val="40"/>
          <w:szCs w:val="44"/>
        </w:rPr>
        <w:t>年</w:t>
      </w:r>
    </w:p>
    <w:p>
      <w:pPr>
        <w:spacing w:line="56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6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部门概况</w:t>
      </w:r>
    </w:p>
    <w:p>
      <w:pPr>
        <w:keepNext/>
        <w:keepLines/>
        <w:autoSpaceDE w:val="0"/>
        <w:autoSpaceDN w:val="0"/>
        <w:adjustRightInd w:val="0"/>
        <w:spacing w:line="560" w:lineRule="exact"/>
        <w:ind w:firstLine="643"/>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（一）机构组成。</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米易县公安局有14个内设机构：情报指挥中心（办公室）、政工科、警务督察大队、警务保障室、禁毒缉毒大队、政治安全保卫大队、法制大队、治安管理大队、刑事侦查大队、经济犯罪侦查大队、网络安全保卫大队、交通警察大队、特巡警大队、森林警察大队。12个派出机构：米易县看守所、米易县强制隔离戒毒所、米易县拘留所、草场派出所、丙谷派出所、撒莲派出所、攀莲派出所、新山派出所、得石派出所、白马派出所、湾丘派出所、普威派出所。</w:t>
      </w:r>
    </w:p>
    <w:p>
      <w:pPr>
        <w:keepNext/>
        <w:keepLines/>
        <w:autoSpaceDE w:val="0"/>
        <w:autoSpaceDN w:val="0"/>
        <w:adjustRightInd w:val="0"/>
        <w:spacing w:line="560" w:lineRule="exact"/>
        <w:ind w:firstLine="643"/>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（二）机构职能</w:t>
      </w:r>
      <w:r>
        <w:rPr>
          <w:rFonts w:hint="eastAsia" w:ascii="楷体_GB2312" w:hAnsi="楷体_GB2312" w:eastAsia="楷体_GB2312" w:cs="Times New Roman"/>
          <w:b/>
          <w:color w:val="auto"/>
          <w:kern w:val="0"/>
          <w:sz w:val="32"/>
          <w:szCs w:val="24"/>
          <w:lang w:val="en-US" w:eastAsia="zh-CN"/>
        </w:rPr>
        <w:t>和人员概况</w:t>
      </w:r>
      <w:r>
        <w:rPr>
          <w:rFonts w:hint="eastAsia" w:ascii="楷体_GB2312" w:hAnsi="楷体_GB2312" w:eastAsia="楷体_GB2312" w:cs="Times New Roman"/>
          <w:b/>
          <w:color w:val="auto"/>
          <w:kern w:val="0"/>
          <w:sz w:val="32"/>
          <w:szCs w:val="24"/>
          <w:lang w:val="zh-CN"/>
        </w:rPr>
        <w:t>。</w:t>
      </w:r>
    </w:p>
    <w:p>
      <w:pPr>
        <w:widowControl/>
        <w:adjustRightInd w:val="0"/>
        <w:snapToGrid w:val="0"/>
        <w:spacing w:line="560" w:lineRule="exact"/>
        <w:ind w:firstLine="640" w:firstLineChars="200"/>
        <w:contextualSpacing/>
        <w:jc w:val="left"/>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rPr>
        <w:t>1.预防、制止和侦查违法犯罪活动；</w:t>
      </w:r>
    </w:p>
    <w:p>
      <w:pPr>
        <w:widowControl/>
        <w:adjustRightInd w:val="0"/>
        <w:snapToGrid w:val="0"/>
        <w:spacing w:line="560" w:lineRule="exact"/>
        <w:ind w:firstLine="640" w:firstLineChars="200"/>
        <w:contextualSpacing/>
        <w:jc w:val="left"/>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rPr>
        <w:t>2.维护社会治安秩序，制止危害社会治安秩序的行为；</w:t>
      </w:r>
    </w:p>
    <w:p>
      <w:pPr>
        <w:widowControl/>
        <w:adjustRightInd w:val="0"/>
        <w:snapToGrid w:val="0"/>
        <w:spacing w:line="560" w:lineRule="exact"/>
        <w:ind w:firstLine="640" w:firstLineChars="200"/>
        <w:contextualSpacing/>
        <w:jc w:val="left"/>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rPr>
        <w:t>3.维护交通安全和交通秩序，处理交通事故；</w:t>
      </w:r>
    </w:p>
    <w:p>
      <w:pPr>
        <w:widowControl/>
        <w:adjustRightInd w:val="0"/>
        <w:snapToGrid w:val="0"/>
        <w:spacing w:line="560" w:lineRule="exact"/>
        <w:ind w:firstLine="640" w:firstLineChars="200"/>
        <w:contextualSpacing/>
        <w:jc w:val="left"/>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4</w:t>
      </w:r>
      <w:r>
        <w:rPr>
          <w:rFonts w:hint="eastAsia" w:ascii="仿宋_GB2312" w:hAnsi="楷体" w:eastAsia="仿宋_GB2312"/>
          <w:color w:val="000000"/>
          <w:kern w:val="0"/>
          <w:sz w:val="32"/>
          <w:szCs w:val="32"/>
        </w:rPr>
        <w:t>.管理枪支弹药、管制刀具和易燃易爆、剧毒、放射性等危险物品；</w:t>
      </w:r>
    </w:p>
    <w:p>
      <w:pPr>
        <w:widowControl/>
        <w:adjustRightInd w:val="0"/>
        <w:snapToGrid w:val="0"/>
        <w:spacing w:line="560" w:lineRule="exact"/>
        <w:ind w:firstLine="640" w:firstLineChars="200"/>
        <w:contextualSpacing/>
        <w:jc w:val="left"/>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5</w:t>
      </w:r>
      <w:r>
        <w:rPr>
          <w:rFonts w:hint="eastAsia" w:ascii="仿宋_GB2312" w:hAnsi="楷体" w:eastAsia="仿宋_GB2312"/>
          <w:color w:val="000000"/>
          <w:kern w:val="0"/>
          <w:sz w:val="32"/>
          <w:szCs w:val="32"/>
        </w:rPr>
        <w:t>.对法律、法规规定的特种行业进行管理；</w:t>
      </w:r>
    </w:p>
    <w:p>
      <w:pPr>
        <w:widowControl/>
        <w:adjustRightInd w:val="0"/>
        <w:snapToGrid w:val="0"/>
        <w:spacing w:line="560" w:lineRule="exact"/>
        <w:ind w:firstLine="640" w:firstLineChars="200"/>
        <w:contextualSpacing/>
        <w:jc w:val="left"/>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6</w:t>
      </w:r>
      <w:r>
        <w:rPr>
          <w:rFonts w:hint="eastAsia" w:ascii="仿宋_GB2312" w:hAnsi="楷体" w:eastAsia="仿宋_GB2312"/>
          <w:color w:val="000000"/>
          <w:kern w:val="0"/>
          <w:sz w:val="32"/>
          <w:szCs w:val="32"/>
        </w:rPr>
        <w:t>.警卫国家规定的特定人员，守卫重要的场所和设施；</w:t>
      </w:r>
    </w:p>
    <w:p>
      <w:pPr>
        <w:widowControl/>
        <w:adjustRightInd w:val="0"/>
        <w:snapToGrid w:val="0"/>
        <w:spacing w:line="560" w:lineRule="exact"/>
        <w:ind w:firstLine="640" w:firstLineChars="200"/>
        <w:contextualSpacing/>
        <w:jc w:val="left"/>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7</w:t>
      </w:r>
      <w:r>
        <w:rPr>
          <w:rFonts w:hint="eastAsia" w:ascii="仿宋_GB2312" w:hAnsi="楷体" w:eastAsia="仿宋_GB2312"/>
          <w:color w:val="000000"/>
          <w:kern w:val="0"/>
          <w:sz w:val="32"/>
          <w:szCs w:val="32"/>
        </w:rPr>
        <w:t>.管理集会、游行、示威活动；</w:t>
      </w:r>
    </w:p>
    <w:p>
      <w:pPr>
        <w:widowControl/>
        <w:adjustRightInd w:val="0"/>
        <w:snapToGrid w:val="0"/>
        <w:spacing w:line="560" w:lineRule="exact"/>
        <w:ind w:firstLine="640" w:firstLineChars="200"/>
        <w:contextualSpacing/>
        <w:jc w:val="left"/>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8</w:t>
      </w:r>
      <w:r>
        <w:rPr>
          <w:rFonts w:hint="eastAsia" w:ascii="仿宋_GB2312" w:hAnsi="楷体" w:eastAsia="仿宋_GB2312"/>
          <w:color w:val="000000"/>
          <w:kern w:val="0"/>
          <w:sz w:val="32"/>
          <w:szCs w:val="32"/>
        </w:rPr>
        <w:t>.管理户政、国籍、入境出境事务和外国人在中国境内居留、旅行的有关事务；</w:t>
      </w:r>
    </w:p>
    <w:p>
      <w:pPr>
        <w:widowControl/>
        <w:adjustRightInd w:val="0"/>
        <w:snapToGrid w:val="0"/>
        <w:spacing w:line="560" w:lineRule="exact"/>
        <w:ind w:firstLine="640" w:firstLineChars="200"/>
        <w:contextualSpacing/>
        <w:jc w:val="left"/>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lang w:val="en-US" w:eastAsia="zh-CN"/>
        </w:rPr>
        <w:t>9</w:t>
      </w:r>
      <w:r>
        <w:rPr>
          <w:rFonts w:hint="eastAsia" w:ascii="仿宋_GB2312" w:hAnsi="楷体" w:eastAsia="仿宋_GB2312"/>
          <w:color w:val="000000"/>
          <w:kern w:val="0"/>
          <w:sz w:val="32"/>
          <w:szCs w:val="32"/>
        </w:rPr>
        <w:t>.对被判处管制、拘役、剥夺政治权利的罪犯和监外执行的罪犯执行刑罚，对被宣告缓刑、假释的罪犯实行监督、考察；</w:t>
      </w:r>
    </w:p>
    <w:p>
      <w:pPr>
        <w:widowControl/>
        <w:adjustRightInd w:val="0"/>
        <w:snapToGrid w:val="0"/>
        <w:spacing w:line="560" w:lineRule="exact"/>
        <w:ind w:firstLine="640" w:firstLineChars="200"/>
        <w:contextualSpacing/>
        <w:jc w:val="left"/>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rPr>
        <w:t>1</w:t>
      </w:r>
      <w:r>
        <w:rPr>
          <w:rFonts w:hint="eastAsia" w:ascii="仿宋_GB2312" w:hAnsi="楷体" w:eastAsia="仿宋_GB2312"/>
          <w:color w:val="000000"/>
          <w:kern w:val="0"/>
          <w:sz w:val="32"/>
          <w:szCs w:val="32"/>
          <w:lang w:val="en-US" w:eastAsia="zh-CN"/>
        </w:rPr>
        <w:t>0</w:t>
      </w:r>
      <w:r>
        <w:rPr>
          <w:rFonts w:hint="eastAsia" w:ascii="仿宋_GB2312" w:hAnsi="楷体" w:eastAsia="仿宋_GB2312"/>
          <w:color w:val="000000"/>
          <w:kern w:val="0"/>
          <w:sz w:val="32"/>
          <w:szCs w:val="32"/>
        </w:rPr>
        <w:t>.监督管理计算机信息系统的安全保护工作；</w:t>
      </w:r>
    </w:p>
    <w:p>
      <w:pPr>
        <w:widowControl/>
        <w:adjustRightInd w:val="0"/>
        <w:snapToGrid w:val="0"/>
        <w:spacing w:line="560" w:lineRule="exact"/>
        <w:ind w:firstLine="640" w:firstLineChars="200"/>
        <w:contextualSpacing/>
        <w:jc w:val="left"/>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rPr>
        <w:t>1</w:t>
      </w:r>
      <w:r>
        <w:rPr>
          <w:rFonts w:hint="eastAsia" w:ascii="仿宋_GB2312" w:hAnsi="楷体" w:eastAsia="仿宋_GB2312"/>
          <w:color w:val="000000"/>
          <w:kern w:val="0"/>
          <w:sz w:val="32"/>
          <w:szCs w:val="32"/>
          <w:lang w:val="en-US" w:eastAsia="zh-CN"/>
        </w:rPr>
        <w:t>1</w:t>
      </w:r>
      <w:r>
        <w:rPr>
          <w:rFonts w:hint="eastAsia" w:ascii="仿宋_GB2312" w:hAnsi="楷体" w:eastAsia="仿宋_GB2312"/>
          <w:color w:val="000000"/>
          <w:kern w:val="0"/>
          <w:sz w:val="32"/>
          <w:szCs w:val="32"/>
        </w:rPr>
        <w:t>.指导和监督国家机关、社会团体、企业事业组织和重点建设工程的治安保卫工作，指导治安保卫委员会等群众性组织的治安防范工作；</w:t>
      </w:r>
    </w:p>
    <w:p>
      <w:pPr>
        <w:widowControl/>
        <w:adjustRightInd w:val="0"/>
        <w:snapToGrid w:val="0"/>
        <w:spacing w:line="560" w:lineRule="exact"/>
        <w:ind w:firstLine="640" w:firstLineChars="200"/>
        <w:contextualSpacing/>
        <w:jc w:val="left"/>
        <w:rPr>
          <w:rFonts w:hint="eastAsia" w:ascii="仿宋_GB2312" w:hAnsi="楷体" w:eastAsia="仿宋_GB2312"/>
          <w:color w:val="000000"/>
          <w:kern w:val="0"/>
          <w:sz w:val="32"/>
          <w:szCs w:val="32"/>
        </w:rPr>
      </w:pPr>
      <w:r>
        <w:rPr>
          <w:rFonts w:hint="eastAsia" w:ascii="仿宋_GB2312" w:hAnsi="楷体" w:eastAsia="仿宋_GB2312"/>
          <w:color w:val="000000"/>
          <w:kern w:val="0"/>
          <w:sz w:val="32"/>
          <w:szCs w:val="32"/>
        </w:rPr>
        <w:t>1</w:t>
      </w:r>
      <w:r>
        <w:rPr>
          <w:rFonts w:hint="eastAsia" w:ascii="仿宋_GB2312" w:hAnsi="楷体" w:eastAsia="仿宋_GB2312"/>
          <w:color w:val="000000"/>
          <w:kern w:val="0"/>
          <w:sz w:val="32"/>
          <w:szCs w:val="32"/>
          <w:lang w:val="en-US" w:eastAsia="zh-CN"/>
        </w:rPr>
        <w:t>2</w:t>
      </w:r>
      <w:r>
        <w:rPr>
          <w:rFonts w:hint="eastAsia" w:ascii="仿宋_GB2312" w:hAnsi="楷体" w:eastAsia="仿宋_GB2312"/>
          <w:color w:val="000000"/>
          <w:kern w:val="0"/>
          <w:sz w:val="32"/>
          <w:szCs w:val="32"/>
        </w:rPr>
        <w:t>.法律、法规规定的其他职责。</w:t>
      </w:r>
    </w:p>
    <w:p>
      <w:pPr>
        <w:widowControl/>
        <w:adjustRightInd w:val="0"/>
        <w:snapToGrid w:val="0"/>
        <w:spacing w:line="560" w:lineRule="exact"/>
        <w:ind w:left="319" w:leftChars="152" w:firstLine="320" w:firstLineChars="100"/>
        <w:contextualSpacing/>
        <w:jc w:val="left"/>
        <w:rPr>
          <w:rFonts w:ascii="楷体" w:hAnsi="楷体" w:eastAsia="楷体" w:cs="楷体"/>
          <w:color w:val="000000"/>
          <w:kern w:val="0"/>
          <w:sz w:val="32"/>
          <w:szCs w:val="32"/>
          <w:shd w:val="clear" w:color="auto" w:fill="FFFFFF"/>
          <w:lang w:val="zh-CN"/>
        </w:rPr>
      </w:pPr>
      <w:r>
        <w:rPr>
          <w:rFonts w:hint="eastAsia" w:ascii="仿宋_GB2312" w:hAnsi="楷体" w:eastAsia="仿宋_GB2312"/>
          <w:color w:val="000000"/>
          <w:kern w:val="0"/>
          <w:sz w:val="32"/>
          <w:szCs w:val="32"/>
        </w:rPr>
        <w:t>1</w:t>
      </w:r>
      <w:r>
        <w:rPr>
          <w:rFonts w:hint="eastAsia" w:ascii="仿宋_GB2312" w:hAnsi="楷体" w:eastAsia="仿宋_GB2312"/>
          <w:color w:val="000000"/>
          <w:kern w:val="0"/>
          <w:sz w:val="32"/>
          <w:szCs w:val="32"/>
          <w:lang w:val="en-US" w:eastAsia="zh-CN"/>
        </w:rPr>
        <w:t>3</w:t>
      </w:r>
      <w:r>
        <w:rPr>
          <w:rFonts w:hint="eastAsia" w:ascii="仿宋_GB2312" w:hAnsi="楷体" w:eastAsia="仿宋_GB2312"/>
          <w:color w:val="000000"/>
          <w:kern w:val="0"/>
          <w:sz w:val="32"/>
          <w:szCs w:val="32"/>
        </w:rPr>
        <w:t>.承办上级公安机关和县委、县政府交办的其它工作。</w:t>
      </w:r>
    </w:p>
    <w:p>
      <w:pPr>
        <w:spacing w:line="360" w:lineRule="auto"/>
        <w:ind w:firstLine="640" w:firstLineChars="200"/>
        <w:rPr>
          <w:rFonts w:hint="eastAsia" w:ascii="仿宋_GB2312" w:hAnsi="宋体" w:eastAsia="仿宋_GB2312"/>
          <w:sz w:val="32"/>
          <w:szCs w:val="32"/>
        </w:rPr>
      </w:pPr>
      <w:r>
        <w:rPr>
          <w:rFonts w:hint="eastAsia" w:ascii="仿宋_GB2312" w:hAnsi="宋体" w:eastAsia="仿宋_GB2312" w:cs="宋体"/>
          <w:kern w:val="0"/>
          <w:sz w:val="32"/>
          <w:szCs w:val="32"/>
          <w:shd w:val="clear" w:color="auto" w:fill="FFFFFF"/>
          <w:lang w:val="zh-CN"/>
        </w:rPr>
        <w:t>截止2023年12月31日，</w:t>
      </w:r>
      <w:r>
        <w:rPr>
          <w:rFonts w:hint="eastAsia" w:ascii="仿宋_GB2312" w:hAnsi="宋体" w:eastAsia="仿宋_GB2312"/>
          <w:sz w:val="32"/>
          <w:szCs w:val="32"/>
        </w:rPr>
        <w:t>共有政法编制235个，共有在职民警225人，警务辅助人员</w:t>
      </w:r>
      <w:r>
        <w:rPr>
          <w:rFonts w:hint="eastAsia" w:ascii="仿宋_GB2312" w:hAnsi="宋体" w:eastAsia="仿宋_GB2312"/>
          <w:sz w:val="32"/>
          <w:szCs w:val="32"/>
          <w:lang w:val="en-US" w:eastAsia="zh-CN"/>
        </w:rPr>
        <w:t>296</w:t>
      </w:r>
      <w:r>
        <w:rPr>
          <w:rFonts w:hint="eastAsia" w:ascii="仿宋_GB2312" w:hAnsi="宋体" w:eastAsia="仿宋_GB2312"/>
          <w:sz w:val="32"/>
          <w:szCs w:val="32"/>
        </w:rPr>
        <w:t>人（含交通秩序维护员），机关工勤人员7人，事业人员25人。</w:t>
      </w:r>
    </w:p>
    <w:p>
      <w:pPr>
        <w:keepNext/>
        <w:keepLines/>
        <w:autoSpaceDE w:val="0"/>
        <w:autoSpaceDN w:val="0"/>
        <w:adjustRightInd w:val="0"/>
        <w:spacing w:line="560" w:lineRule="exact"/>
        <w:ind w:firstLine="643"/>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w:t>
      </w:r>
      <w:r>
        <w:rPr>
          <w:rFonts w:hint="eastAsia" w:ascii="楷体_GB2312" w:hAnsi="楷体_GB2312" w:eastAsia="楷体_GB2312" w:cs="Times New Roman"/>
          <w:b/>
          <w:color w:val="auto"/>
          <w:kern w:val="0"/>
          <w:sz w:val="32"/>
          <w:szCs w:val="24"/>
          <w:lang w:val="en-US" w:eastAsia="zh-CN"/>
        </w:rPr>
        <w:t>三</w:t>
      </w:r>
      <w:r>
        <w:rPr>
          <w:rFonts w:hint="eastAsia" w:ascii="楷体_GB2312" w:hAnsi="楷体_GB2312" w:eastAsia="楷体_GB2312" w:cs="Times New Roman"/>
          <w:b/>
          <w:color w:val="auto"/>
          <w:kern w:val="0"/>
          <w:sz w:val="32"/>
          <w:szCs w:val="24"/>
          <w:lang w:val="zh-CN"/>
        </w:rPr>
        <w:t>）2023年</w:t>
      </w:r>
      <w:r>
        <w:rPr>
          <w:rFonts w:hint="eastAsia" w:ascii="楷体_GB2312" w:hAnsi="楷体_GB2312" w:eastAsia="楷体_GB2312" w:cs="Times New Roman"/>
          <w:b/>
          <w:color w:val="auto"/>
          <w:kern w:val="0"/>
          <w:sz w:val="32"/>
          <w:szCs w:val="24"/>
          <w:lang w:val="en-US" w:eastAsia="zh-CN"/>
        </w:rPr>
        <w:t>度主要工作任务</w:t>
      </w:r>
      <w:r>
        <w:rPr>
          <w:rFonts w:hint="eastAsia" w:ascii="楷体_GB2312" w:hAnsi="楷体_GB2312" w:eastAsia="楷体_GB2312" w:cs="Times New Roman"/>
          <w:b/>
          <w:color w:val="auto"/>
          <w:kern w:val="0"/>
          <w:sz w:val="32"/>
          <w:szCs w:val="24"/>
          <w:lang w:val="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仿宋_GB2312" w:hAnsi="宋体" w:eastAsia="仿宋_GB2312"/>
          <w:sz w:val="32"/>
          <w:szCs w:val="32"/>
          <w:lang w:eastAsia="zh-CN"/>
        </w:rPr>
      </w:pPr>
      <w:r>
        <w:rPr>
          <w:rFonts w:hint="eastAsia" w:ascii="仿宋_GB2312" w:hAnsi="宋体" w:eastAsia="仿宋_GB2312"/>
          <w:sz w:val="32"/>
          <w:szCs w:val="32"/>
          <w:lang w:eastAsia="zh-CN"/>
        </w:rPr>
        <w:t>2023年，我局紧扣省厅“一三五七”发展战略、聚焦市局“一一三五”工作思路，围绕“跻一流、争第一，创特色、塑品牌”目标，以推进公安工作现代化为主线，以加强政治建设为统领，以“深耕善治”为主攻，以防范重大风险为基点，以锻造过硬公安队伍为保证，高水准做好保安全、促发展、推改革、抓队伍各项工作，加快形成和提升新质公安战斗力，忠实履行维护国家安全和社会稳定、守护人民幸福和安宁的神圣职责，奋力开创米易公安工作现代化新局面，努力为推进中国式现代化米易新实践保驾护航。</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二、部门财政资金收支情况</w:t>
      </w:r>
    </w:p>
    <w:p>
      <w:pPr>
        <w:widowControl/>
        <w:adjustRightInd w:val="0"/>
        <w:snapToGrid w:val="0"/>
        <w:spacing w:line="560" w:lineRule="exact"/>
        <w:ind w:firstLine="643" w:firstLineChars="200"/>
        <w:contextualSpacing/>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（一）部门总体收支情况。</w:t>
      </w:r>
    </w:p>
    <w:p>
      <w:pPr>
        <w:bidi w:val="0"/>
        <w:ind w:firstLine="643" w:firstLineChars="200"/>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1.部门总体收入情况。</w:t>
      </w:r>
      <w:r>
        <w:rPr>
          <w:rFonts w:hint="eastAsia" w:ascii="仿宋_GB2312" w:hAnsi="宋体" w:eastAsia="仿宋_GB2312" w:cs="宋体"/>
          <w:color w:val="000000"/>
          <w:kern w:val="0"/>
          <w:sz w:val="32"/>
          <w:szCs w:val="32"/>
          <w:shd w:val="clear" w:color="auto" w:fill="FFFFFF"/>
          <w:lang w:val="zh-CN"/>
        </w:rPr>
        <w:t>2023年米易县公安局收入决算总额为</w:t>
      </w:r>
      <w:r>
        <w:rPr>
          <w:rFonts w:hint="eastAsia" w:ascii="仿宋_GB2312" w:hAnsi="仿宋" w:eastAsia="仿宋_GB2312"/>
          <w:color w:val="000000"/>
          <w:sz w:val="32"/>
          <w:szCs w:val="32"/>
        </w:rPr>
        <w:t>11,307.61</w:t>
      </w:r>
      <w:r>
        <w:rPr>
          <w:rFonts w:hint="eastAsia" w:ascii="仿宋_GB2312" w:hAnsi="宋体" w:eastAsia="仿宋_GB2312" w:cs="宋体"/>
          <w:color w:val="000000"/>
          <w:kern w:val="0"/>
          <w:sz w:val="32"/>
          <w:szCs w:val="32"/>
          <w:shd w:val="clear" w:color="auto" w:fill="FFFFFF"/>
          <w:lang w:val="zh-CN"/>
        </w:rPr>
        <w:t>万元。</w:t>
      </w:r>
    </w:p>
    <w:p>
      <w:pPr>
        <w:bidi w:val="0"/>
        <w:ind w:firstLine="643"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2.部门总体支出情况。</w:t>
      </w:r>
      <w:r>
        <w:rPr>
          <w:rFonts w:hint="eastAsia" w:ascii="仿宋_GB2312" w:hAnsi="宋体" w:eastAsia="仿宋_GB2312" w:cs="宋体"/>
          <w:color w:val="000000"/>
          <w:kern w:val="0"/>
          <w:sz w:val="32"/>
          <w:szCs w:val="32"/>
          <w:shd w:val="clear" w:color="auto" w:fill="FFFFFF"/>
          <w:lang w:val="zh-CN"/>
        </w:rPr>
        <w:t>2023年米易县公安局</w:t>
      </w:r>
      <w:r>
        <w:rPr>
          <w:rFonts w:hint="eastAsia" w:ascii="仿宋_GB2312" w:hAnsi="宋体" w:eastAsia="仿宋_GB2312" w:cs="宋体"/>
          <w:color w:val="000000"/>
          <w:kern w:val="0"/>
          <w:sz w:val="32"/>
          <w:szCs w:val="32"/>
          <w:shd w:val="clear" w:color="auto" w:fill="FFFFFF"/>
          <w:lang w:val="en-US" w:eastAsia="zh-CN"/>
        </w:rPr>
        <w:t>支付</w:t>
      </w:r>
      <w:r>
        <w:rPr>
          <w:rFonts w:hint="eastAsia" w:ascii="仿宋_GB2312" w:hAnsi="宋体" w:eastAsia="仿宋_GB2312" w:cs="宋体"/>
          <w:color w:val="000000"/>
          <w:kern w:val="0"/>
          <w:sz w:val="32"/>
          <w:szCs w:val="32"/>
          <w:shd w:val="clear" w:color="auto" w:fill="FFFFFF"/>
          <w:lang w:val="zh-CN"/>
        </w:rPr>
        <w:t>决算总额为11,307.61万元。</w:t>
      </w:r>
    </w:p>
    <w:p>
      <w:pPr>
        <w:bidi w:val="0"/>
        <w:ind w:firstLine="643" w:firstLineChars="200"/>
        <w:jc w:val="left"/>
        <w:rPr>
          <w:rFonts w:hint="default" w:ascii="仿宋_GB2312" w:hAnsi="宋体" w:eastAsia="仿宋_GB2312" w:cs="宋体"/>
          <w:color w:val="auto"/>
          <w:kern w:val="0"/>
          <w:sz w:val="32"/>
          <w:szCs w:val="32"/>
          <w:shd w:val="clear" w:color="auto" w:fill="FFFFFF"/>
          <w:lang w:val="en-US" w:eastAsia="zh-CN"/>
        </w:rPr>
      </w:pPr>
      <w:r>
        <w:rPr>
          <w:rFonts w:hint="eastAsia" w:ascii="仿宋_GB2312" w:hAnsi="宋体" w:eastAsia="仿宋_GB2312" w:cs="宋体"/>
          <w:b/>
          <w:bCs/>
          <w:color w:val="auto"/>
          <w:kern w:val="0"/>
          <w:sz w:val="32"/>
          <w:szCs w:val="32"/>
          <w:shd w:val="clear" w:color="auto" w:fill="FFFFFF"/>
          <w:lang w:val="zh-CN"/>
        </w:rPr>
        <w:t>3.部门总体结转结余情况。</w:t>
      </w:r>
      <w:r>
        <w:rPr>
          <w:rFonts w:hint="eastAsia" w:ascii="仿宋_GB2312" w:hAnsi="宋体" w:eastAsia="仿宋_GB2312" w:cs="宋体"/>
          <w:color w:val="auto"/>
          <w:kern w:val="0"/>
          <w:sz w:val="32"/>
          <w:szCs w:val="32"/>
          <w:shd w:val="clear" w:color="auto" w:fill="FFFFFF"/>
          <w:lang w:val="en-US" w:eastAsia="zh-CN"/>
        </w:rPr>
        <w:t>2023年年初</w:t>
      </w:r>
      <w:r>
        <w:rPr>
          <w:rFonts w:hint="eastAsia" w:ascii="仿宋_GB2312" w:hAnsi="宋体" w:eastAsia="仿宋_GB2312" w:cs="宋体"/>
          <w:color w:val="auto"/>
          <w:kern w:val="0"/>
          <w:sz w:val="32"/>
          <w:szCs w:val="32"/>
          <w:shd w:val="clear" w:color="auto" w:fill="FFFFFF"/>
          <w:lang w:val="zh-CN"/>
        </w:rPr>
        <w:t>结转</w:t>
      </w:r>
      <w:r>
        <w:rPr>
          <w:rFonts w:hint="eastAsia" w:ascii="仿宋_GB2312" w:hAnsi="宋体" w:eastAsia="仿宋_GB2312" w:cs="宋体"/>
          <w:color w:val="auto"/>
          <w:kern w:val="0"/>
          <w:sz w:val="32"/>
          <w:szCs w:val="32"/>
          <w:shd w:val="clear" w:color="auto" w:fill="FFFFFF"/>
          <w:lang w:val="en-US" w:eastAsia="zh-CN"/>
        </w:rPr>
        <w:t>和结余</w:t>
      </w:r>
      <w:r>
        <w:rPr>
          <w:rFonts w:hint="eastAsia" w:ascii="仿宋_GB2312" w:hAnsi="宋体" w:eastAsia="仿宋_GB2312" w:cs="宋体"/>
          <w:color w:val="auto"/>
          <w:kern w:val="0"/>
          <w:sz w:val="32"/>
          <w:szCs w:val="32"/>
          <w:shd w:val="clear" w:color="auto" w:fill="FFFFFF"/>
          <w:lang w:val="zh-CN"/>
        </w:rPr>
        <w:t>收入</w:t>
      </w:r>
      <w:r>
        <w:rPr>
          <w:rFonts w:hint="eastAsia" w:ascii="仿宋_GB2312" w:hAnsi="宋体" w:eastAsia="仿宋_GB2312" w:cs="宋体"/>
          <w:color w:val="auto"/>
          <w:kern w:val="0"/>
          <w:sz w:val="32"/>
          <w:szCs w:val="32"/>
          <w:shd w:val="clear" w:color="auto" w:fill="FFFFFF"/>
        </w:rPr>
        <w:t>712.79</w:t>
      </w:r>
      <w:r>
        <w:rPr>
          <w:rFonts w:hint="eastAsia" w:ascii="仿宋_GB2312" w:hAnsi="宋体" w:eastAsia="仿宋_GB2312" w:cs="宋体"/>
          <w:color w:val="auto"/>
          <w:kern w:val="0"/>
          <w:sz w:val="32"/>
          <w:szCs w:val="32"/>
          <w:shd w:val="clear" w:color="auto" w:fill="FFFFFF"/>
          <w:lang w:val="zh-CN"/>
        </w:rPr>
        <w:t>万元，</w:t>
      </w:r>
      <w:r>
        <w:rPr>
          <w:rFonts w:hint="eastAsia" w:ascii="仿宋_GB2312" w:hAnsi="宋体" w:eastAsia="仿宋_GB2312" w:cs="宋体"/>
          <w:color w:val="auto"/>
          <w:kern w:val="0"/>
          <w:sz w:val="32"/>
          <w:szCs w:val="32"/>
          <w:shd w:val="clear" w:color="auto" w:fill="FFFFFF"/>
          <w:lang w:val="en-US" w:eastAsia="zh-CN"/>
        </w:rPr>
        <w:t>年末结转和结余0万元。</w:t>
      </w:r>
    </w:p>
    <w:p>
      <w:pPr>
        <w:widowControl/>
        <w:adjustRightInd w:val="0"/>
        <w:snapToGrid w:val="0"/>
        <w:spacing w:line="560" w:lineRule="exact"/>
        <w:ind w:firstLine="643" w:firstLineChars="200"/>
        <w:contextualSpacing/>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（二）部门财政拨款收支情况。</w:t>
      </w:r>
    </w:p>
    <w:p>
      <w:pPr>
        <w:widowControl/>
        <w:adjustRightInd w:val="0"/>
        <w:snapToGrid w:val="0"/>
        <w:spacing w:line="560" w:lineRule="exact"/>
        <w:ind w:firstLine="643"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1.部门财政拨款收入情况。</w:t>
      </w:r>
    </w:p>
    <w:p>
      <w:pPr>
        <w:widowControl/>
        <w:adjustRightInd w:val="0"/>
        <w:snapToGrid w:val="0"/>
        <w:spacing w:line="560" w:lineRule="exact"/>
        <w:ind w:firstLine="640"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val="0"/>
          <w:bCs w:val="0"/>
          <w:color w:val="000000"/>
          <w:kern w:val="0"/>
          <w:sz w:val="32"/>
          <w:szCs w:val="32"/>
          <w:shd w:val="clear" w:color="auto" w:fill="FFFFFF"/>
          <w:lang w:val="zh-CN"/>
        </w:rPr>
        <w:t>2023年度财政拨款收入总计11,307.61万元,完成预算100%。与2022年10,188.62万元相比，财政拨款收入增加1,118.99万元，上升10.98%。</w:t>
      </w:r>
    </w:p>
    <w:p>
      <w:pPr>
        <w:widowControl/>
        <w:numPr>
          <w:ilvl w:val="0"/>
          <w:numId w:val="0"/>
        </w:numPr>
        <w:adjustRightInd w:val="0"/>
        <w:snapToGrid w:val="0"/>
        <w:spacing w:line="560" w:lineRule="exact"/>
        <w:ind w:left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en-US" w:eastAsia="zh-CN"/>
        </w:rPr>
        <w:t>2.</w:t>
      </w:r>
      <w:r>
        <w:rPr>
          <w:rFonts w:hint="eastAsia" w:ascii="仿宋_GB2312" w:hAnsi="宋体" w:eastAsia="仿宋_GB2312" w:cs="宋体"/>
          <w:b/>
          <w:bCs/>
          <w:color w:val="000000"/>
          <w:kern w:val="0"/>
          <w:sz w:val="32"/>
          <w:szCs w:val="32"/>
          <w:shd w:val="clear" w:color="auto" w:fill="FFFFFF"/>
          <w:lang w:val="zh-CN"/>
        </w:rPr>
        <w:t>部门财政拨款支出情况。</w:t>
      </w:r>
    </w:p>
    <w:p>
      <w:pPr>
        <w:widowControl/>
        <w:adjustRightInd w:val="0"/>
        <w:snapToGrid w:val="0"/>
        <w:spacing w:line="560" w:lineRule="exact"/>
        <w:ind w:firstLine="640" w:firstLineChars="200"/>
        <w:contextualSpacing/>
        <w:jc w:val="left"/>
        <w:rPr>
          <w:rFonts w:hint="eastAsia" w:ascii="仿宋_GB2312" w:hAnsi="宋体" w:eastAsia="仿宋_GB2312" w:cs="宋体"/>
          <w:b w:val="0"/>
          <w:bCs w:val="0"/>
          <w:color w:val="000000"/>
          <w:kern w:val="0"/>
          <w:sz w:val="32"/>
          <w:szCs w:val="32"/>
          <w:shd w:val="clear" w:color="auto" w:fill="FFFFFF"/>
          <w:lang w:val="zh-CN"/>
        </w:rPr>
      </w:pPr>
      <w:r>
        <w:rPr>
          <w:rFonts w:hint="eastAsia" w:ascii="仿宋_GB2312" w:hAnsi="宋体" w:eastAsia="仿宋_GB2312" w:cs="宋体"/>
          <w:b w:val="0"/>
          <w:bCs w:val="0"/>
          <w:color w:val="000000"/>
          <w:kern w:val="0"/>
          <w:sz w:val="32"/>
          <w:szCs w:val="32"/>
          <w:shd w:val="clear" w:color="auto" w:fill="FFFFFF"/>
          <w:lang w:val="zh-CN"/>
        </w:rPr>
        <w:t>2023年财政拨款支出决算总额为11,307.61万元，其中：公共安全支出9,720.33万元，占85.96%；文化体育与传媒支出1.37万元，占0.01%；社会保障和就业支出785.21万元，占6.95%；卫生健康支出405.91万元，占3.59%；住房保障支出394.79万元，占3.49%。</w:t>
      </w:r>
    </w:p>
    <w:p>
      <w:pPr>
        <w:widowControl/>
        <w:numPr>
          <w:ilvl w:val="0"/>
          <w:numId w:val="4"/>
        </w:numPr>
        <w:adjustRightInd w:val="0"/>
        <w:snapToGrid w:val="0"/>
        <w:spacing w:line="560" w:lineRule="exact"/>
        <w:ind w:left="0" w:leftChars="0" w:firstLine="643" w:firstLineChars="200"/>
        <w:contextualSpacing/>
        <w:jc w:val="left"/>
        <w:rPr>
          <w:rFonts w:hint="eastAsia" w:ascii="仿宋_GB2312" w:hAnsi="宋体" w:eastAsia="仿宋_GB2312" w:cs="宋体"/>
          <w:b w:val="0"/>
          <w:bCs w:val="0"/>
          <w:color w:val="000000"/>
          <w:kern w:val="0"/>
          <w:sz w:val="32"/>
          <w:szCs w:val="32"/>
          <w:shd w:val="clear" w:color="auto" w:fill="FFFFFF"/>
          <w:lang w:val="en-US" w:eastAsia="zh-CN"/>
        </w:rPr>
      </w:pPr>
      <w:r>
        <w:rPr>
          <w:rFonts w:hint="eastAsia" w:ascii="仿宋_GB2312" w:hAnsi="宋体" w:eastAsia="仿宋_GB2312" w:cs="宋体"/>
          <w:b/>
          <w:bCs/>
          <w:color w:val="000000"/>
          <w:kern w:val="0"/>
          <w:sz w:val="32"/>
          <w:szCs w:val="32"/>
          <w:shd w:val="clear" w:color="auto" w:fill="FFFFFF"/>
          <w:lang w:val="zh-CN"/>
        </w:rPr>
        <w:t>部门财政拨款结转结余情况。</w:t>
      </w:r>
    </w:p>
    <w:p>
      <w:pPr>
        <w:widowControl/>
        <w:numPr>
          <w:ilvl w:val="0"/>
          <w:numId w:val="0"/>
        </w:numPr>
        <w:adjustRightInd w:val="0"/>
        <w:snapToGrid w:val="0"/>
        <w:spacing w:line="560" w:lineRule="exact"/>
        <w:ind w:leftChars="200"/>
        <w:contextualSpacing/>
        <w:jc w:val="left"/>
        <w:rPr>
          <w:rFonts w:hint="default" w:ascii="仿宋_GB2312" w:hAnsi="宋体" w:eastAsia="仿宋_GB2312" w:cs="宋体"/>
          <w:b w:val="0"/>
          <w:bCs w:val="0"/>
          <w:color w:val="000000"/>
          <w:kern w:val="0"/>
          <w:sz w:val="32"/>
          <w:szCs w:val="32"/>
          <w:shd w:val="clear" w:color="auto" w:fill="FFFFFF"/>
          <w:lang w:val="en-US" w:eastAsia="zh-CN"/>
        </w:rPr>
      </w:pPr>
      <w:r>
        <w:rPr>
          <w:rFonts w:hint="eastAsia" w:ascii="仿宋_GB2312" w:hAnsi="宋体" w:eastAsia="仿宋_GB2312" w:cs="宋体"/>
          <w:b/>
          <w:bCs/>
          <w:color w:val="000000"/>
          <w:kern w:val="0"/>
          <w:sz w:val="32"/>
          <w:szCs w:val="32"/>
          <w:shd w:val="clear" w:color="auto" w:fill="FFFFFF"/>
          <w:lang w:val="en-US" w:eastAsia="zh-CN"/>
        </w:rPr>
        <w:t xml:space="preserve"> </w:t>
      </w:r>
      <w:r>
        <w:rPr>
          <w:rFonts w:hint="eastAsia" w:ascii="仿宋_GB2312" w:hAnsi="宋体" w:eastAsia="仿宋_GB2312" w:cs="宋体"/>
          <w:b w:val="0"/>
          <w:bCs w:val="0"/>
          <w:color w:val="000000"/>
          <w:kern w:val="0"/>
          <w:sz w:val="32"/>
          <w:szCs w:val="32"/>
          <w:shd w:val="clear" w:color="auto" w:fill="FFFFFF"/>
          <w:lang w:val="en-US" w:eastAsia="zh-CN"/>
        </w:rPr>
        <w:t>2023年财政拨款年初结转和结余收入712.79万元，年</w:t>
      </w:r>
    </w:p>
    <w:p>
      <w:pPr>
        <w:widowControl/>
        <w:numPr>
          <w:ilvl w:val="0"/>
          <w:numId w:val="0"/>
        </w:numPr>
        <w:adjustRightInd w:val="0"/>
        <w:snapToGrid w:val="0"/>
        <w:spacing w:line="560" w:lineRule="exact"/>
        <w:contextualSpacing/>
        <w:jc w:val="both"/>
        <w:rPr>
          <w:rFonts w:hint="eastAsia" w:ascii="仿宋_GB2312" w:hAnsi="宋体" w:eastAsia="仿宋_GB2312" w:cs="宋体"/>
          <w:b w:val="0"/>
          <w:bCs w:val="0"/>
          <w:color w:val="000000"/>
          <w:kern w:val="0"/>
          <w:sz w:val="32"/>
          <w:szCs w:val="32"/>
          <w:shd w:val="clear" w:color="auto" w:fill="FFFFFF"/>
          <w:lang w:val="en-US" w:eastAsia="zh-CN"/>
        </w:rPr>
      </w:pPr>
      <w:r>
        <w:rPr>
          <w:rFonts w:hint="eastAsia" w:ascii="仿宋_GB2312" w:hAnsi="宋体" w:eastAsia="仿宋_GB2312" w:cs="宋体"/>
          <w:b w:val="0"/>
          <w:bCs w:val="0"/>
          <w:color w:val="000000"/>
          <w:kern w:val="0"/>
          <w:sz w:val="32"/>
          <w:szCs w:val="32"/>
          <w:shd w:val="clear" w:color="auto" w:fill="FFFFFF"/>
          <w:lang w:val="en-US" w:eastAsia="zh-CN"/>
        </w:rPr>
        <w:t>末结转和结余0万元。</w:t>
      </w:r>
    </w:p>
    <w:p>
      <w:pPr>
        <w:widowControl/>
        <w:numPr>
          <w:ilvl w:val="0"/>
          <w:numId w:val="0"/>
        </w:numPr>
        <w:adjustRightInd w:val="0"/>
        <w:snapToGrid w:val="0"/>
        <w:spacing w:line="560" w:lineRule="exact"/>
        <w:ind w:left="640" w:leftChars="0"/>
        <w:contextualSpacing/>
        <w:jc w:val="left"/>
        <w:rPr>
          <w:rFonts w:hint="eastAsia" w:ascii="黑体" w:hAnsi="宋体" w:eastAsia="黑体" w:cs="宋体"/>
          <w:color w:val="000000" w:themeColor="text1"/>
          <w:kern w:val="0"/>
          <w:sz w:val="32"/>
          <w:szCs w:val="32"/>
          <w:shd w:val="clear" w:color="auto" w:fill="FFFFFF"/>
          <w:lang w:val="en-US" w:eastAsia="zh-CN"/>
        </w:rPr>
      </w:pPr>
      <w:r>
        <w:rPr>
          <w:rFonts w:hint="eastAsia" w:ascii="黑体" w:hAnsi="宋体" w:eastAsia="黑体" w:cs="宋体"/>
          <w:color w:val="000000" w:themeColor="text1"/>
          <w:kern w:val="0"/>
          <w:sz w:val="32"/>
          <w:szCs w:val="32"/>
          <w:shd w:val="clear" w:color="auto" w:fill="FFFFFF"/>
          <w:lang w:val="en-US" w:eastAsia="zh-CN"/>
        </w:rPr>
        <w:t>三、</w:t>
      </w:r>
      <w:r>
        <w:rPr>
          <w:rFonts w:hint="eastAsia" w:ascii="黑体" w:hAnsi="宋体" w:eastAsia="黑体" w:cs="宋体"/>
          <w:color w:val="000000" w:themeColor="text1"/>
          <w:kern w:val="0"/>
          <w:sz w:val="32"/>
          <w:szCs w:val="32"/>
          <w:shd w:val="clear" w:color="auto" w:fill="FFFFFF"/>
        </w:rPr>
        <w:t>部门整体绩效</w:t>
      </w:r>
      <w:r>
        <w:rPr>
          <w:rFonts w:hint="eastAsia" w:ascii="黑体" w:hAnsi="宋体" w:eastAsia="黑体" w:cs="宋体"/>
          <w:color w:val="000000" w:themeColor="text1"/>
          <w:kern w:val="0"/>
          <w:sz w:val="32"/>
          <w:szCs w:val="32"/>
          <w:shd w:val="clear" w:color="auto" w:fill="FFFFFF"/>
          <w:lang w:val="en-US" w:eastAsia="zh-CN"/>
        </w:rPr>
        <w:t>分析</w:t>
      </w:r>
    </w:p>
    <w:p>
      <w:pPr>
        <w:widowControl/>
        <w:adjustRightInd w:val="0"/>
        <w:snapToGrid w:val="0"/>
        <w:spacing w:line="560" w:lineRule="exact"/>
        <w:ind w:firstLine="643"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楷体_GB2312" w:hAnsi="楷体_GB2312" w:eastAsia="楷体_GB2312" w:cs="Times New Roman"/>
          <w:b/>
          <w:color w:val="000000" w:themeColor="text1"/>
          <w:kern w:val="0"/>
          <w:sz w:val="32"/>
          <w:szCs w:val="24"/>
          <w:lang w:val="zh-CN"/>
        </w:rPr>
        <w:t>（一）部门预算项目绩效分析。</w:t>
      </w:r>
      <w:r>
        <w:rPr>
          <w:rFonts w:hint="eastAsia" w:ascii="仿宋_GB2312" w:hAnsi="宋体" w:eastAsia="仿宋_GB2312" w:cs="宋体"/>
          <w:color w:val="000000" w:themeColor="text1"/>
          <w:kern w:val="0"/>
          <w:sz w:val="32"/>
          <w:szCs w:val="32"/>
          <w:shd w:val="clear" w:color="auto" w:fill="FFFFFF"/>
          <w:lang w:val="zh-CN"/>
        </w:rPr>
        <w:t>米易县公安局预算编制严格按照《预算法》相关规定，结合全县预算编制口径，结合我单位实际情况，主要用于保障该机构正常运转、完成日常工作任务以及米易县公安局事业发展相关工作而编制 。</w:t>
      </w:r>
    </w:p>
    <w:p>
      <w:pPr>
        <w:widowControl/>
        <w:adjustRightInd w:val="0"/>
        <w:snapToGrid w:val="0"/>
        <w:spacing w:line="56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基本支出，是用于保障公安机关正常运转的日常支出，包括基本工资、津贴补贴等人员经费以及办公费、印刷费、水电费、办公设备购置等日常公用经费。</w:t>
      </w:r>
    </w:p>
    <w:p>
      <w:pPr>
        <w:widowControl/>
        <w:adjustRightInd w:val="0"/>
        <w:snapToGrid w:val="0"/>
        <w:spacing w:line="56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项目支出，是用于保障公安机关为完成特定的行政工作任务或事业发展目标，用于专项业务工作的经费支出。</w:t>
      </w:r>
    </w:p>
    <w:p>
      <w:pPr>
        <w:widowControl/>
        <w:numPr>
          <w:ilvl w:val="0"/>
          <w:numId w:val="6"/>
        </w:numPr>
        <w:adjustRightInd w:val="0"/>
        <w:snapToGrid w:val="0"/>
        <w:spacing w:line="560" w:lineRule="exact"/>
        <w:ind w:firstLine="643" w:firstLineChars="200"/>
        <w:contextualSpacing/>
        <w:jc w:val="left"/>
        <w:rPr>
          <w:rFonts w:hint="eastAsia" w:ascii="楷体_GB2312" w:hAnsi="楷体_GB2312" w:eastAsia="楷体_GB2312" w:cs="Times New Roman"/>
          <w:b/>
          <w:color w:val="000000" w:themeColor="text1"/>
          <w:kern w:val="0"/>
          <w:sz w:val="32"/>
          <w:szCs w:val="24"/>
          <w:lang w:val="zh-CN"/>
        </w:rPr>
      </w:pPr>
      <w:r>
        <w:rPr>
          <w:rFonts w:hint="eastAsia" w:ascii="楷体_GB2312" w:hAnsi="楷体_GB2312" w:eastAsia="楷体_GB2312" w:cs="Times New Roman"/>
          <w:b/>
          <w:color w:val="000000" w:themeColor="text1"/>
          <w:kern w:val="0"/>
          <w:sz w:val="32"/>
          <w:szCs w:val="24"/>
          <w:lang w:val="zh-CN"/>
        </w:rPr>
        <w:t>部门整体履职绩效分析。</w:t>
      </w:r>
    </w:p>
    <w:p>
      <w:pPr>
        <w:widowControl/>
        <w:numPr>
          <w:ilvl w:val="0"/>
          <w:numId w:val="0"/>
        </w:numPr>
        <w:adjustRightInd w:val="0"/>
        <w:snapToGrid w:val="0"/>
        <w:spacing w:line="56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zh-CN"/>
        </w:rPr>
        <w:t>6月执行进度</w:t>
      </w:r>
      <w:r>
        <w:rPr>
          <w:rFonts w:hint="eastAsia" w:ascii="仿宋_GB2312" w:hAnsi="宋体" w:eastAsia="仿宋_GB2312" w:cs="宋体"/>
          <w:color w:val="000000" w:themeColor="text1"/>
          <w:kern w:val="0"/>
          <w:sz w:val="32"/>
          <w:szCs w:val="32"/>
          <w:shd w:val="clear" w:color="auto" w:fill="FFFFFF"/>
        </w:rPr>
        <w:t>,</w:t>
      </w:r>
      <w:r>
        <w:rPr>
          <w:rFonts w:hint="eastAsia" w:ascii="仿宋_GB2312" w:hAnsi="宋体" w:eastAsia="仿宋_GB2312" w:cs="宋体"/>
          <w:color w:val="000000" w:themeColor="text1"/>
          <w:kern w:val="0"/>
          <w:sz w:val="32"/>
          <w:szCs w:val="32"/>
          <w:shd w:val="clear" w:color="auto" w:fill="FFFFFF"/>
          <w:lang w:val="zh-CN"/>
        </w:rPr>
        <w:t>单位基本支出达到“时间过半、支出过半”，项目支出按进度拨付。9月执行进度</w:t>
      </w:r>
      <w:r>
        <w:rPr>
          <w:rFonts w:hint="eastAsia" w:ascii="仿宋_GB2312" w:hAnsi="宋体" w:eastAsia="仿宋_GB2312" w:cs="宋体"/>
          <w:color w:val="000000" w:themeColor="text1"/>
          <w:kern w:val="0"/>
          <w:sz w:val="32"/>
          <w:szCs w:val="32"/>
          <w:shd w:val="clear" w:color="auto" w:fill="FFFFFF"/>
        </w:rPr>
        <w:t>,</w:t>
      </w:r>
      <w:r>
        <w:rPr>
          <w:rFonts w:hint="eastAsia" w:ascii="仿宋_GB2312" w:hAnsi="宋体" w:eastAsia="仿宋_GB2312" w:cs="宋体"/>
          <w:color w:val="000000" w:themeColor="text1"/>
          <w:kern w:val="0"/>
          <w:sz w:val="32"/>
          <w:szCs w:val="32"/>
          <w:shd w:val="clear" w:color="auto" w:fill="FFFFFF"/>
          <w:lang w:val="zh-CN"/>
        </w:rPr>
        <w:tab/>
      </w:r>
      <w:r>
        <w:rPr>
          <w:rFonts w:hint="eastAsia" w:ascii="仿宋_GB2312" w:hAnsi="宋体" w:eastAsia="仿宋_GB2312" w:cs="宋体"/>
          <w:color w:val="000000" w:themeColor="text1"/>
          <w:kern w:val="0"/>
          <w:sz w:val="32"/>
          <w:szCs w:val="32"/>
          <w:shd w:val="clear" w:color="auto" w:fill="FFFFFF"/>
          <w:lang w:val="zh-CN"/>
        </w:rPr>
        <w:t>单位基本支出及项目支出达到本部门应达到执行进度。11月执行进度，单位基本支出及项目支出达到90%。12月执行进度，</w:t>
      </w:r>
      <w:r>
        <w:rPr>
          <w:rFonts w:hint="eastAsia" w:ascii="仿宋_GB2312" w:hAnsi="宋体" w:eastAsia="仿宋_GB2312" w:cs="宋体"/>
          <w:color w:val="000000" w:themeColor="text1"/>
          <w:kern w:val="0"/>
          <w:sz w:val="32"/>
          <w:szCs w:val="32"/>
          <w:shd w:val="clear" w:color="auto" w:fill="FFFFFF"/>
          <w:lang w:val="zh-CN"/>
        </w:rPr>
        <w:tab/>
      </w:r>
      <w:r>
        <w:rPr>
          <w:rFonts w:hint="eastAsia" w:ascii="仿宋_GB2312" w:hAnsi="宋体" w:eastAsia="仿宋_GB2312" w:cs="宋体"/>
          <w:color w:val="000000" w:themeColor="text1"/>
          <w:kern w:val="0"/>
          <w:sz w:val="32"/>
          <w:szCs w:val="32"/>
          <w:shd w:val="clear" w:color="auto" w:fill="FFFFFF"/>
          <w:lang w:val="zh-CN"/>
        </w:rPr>
        <w:t>单位当年财政结转资金占财政当年拨款资金比重</w:t>
      </w:r>
      <w:r>
        <w:rPr>
          <w:rFonts w:hint="eastAsia" w:ascii="仿宋_GB2312" w:hAnsi="宋体" w:eastAsia="仿宋_GB2312" w:cs="宋体"/>
          <w:color w:val="000000" w:themeColor="text1"/>
          <w:kern w:val="0"/>
          <w:sz w:val="32"/>
          <w:szCs w:val="32"/>
          <w:shd w:val="clear" w:color="auto" w:fill="FFFFFF"/>
          <w:lang w:val="en-US" w:eastAsia="zh-CN"/>
        </w:rPr>
        <w:t>100</w:t>
      </w:r>
      <w:r>
        <w:rPr>
          <w:rFonts w:hint="eastAsia" w:ascii="仿宋_GB2312" w:hAnsi="宋体" w:eastAsia="仿宋_GB2312" w:cs="宋体"/>
          <w:color w:val="000000" w:themeColor="text1"/>
          <w:kern w:val="0"/>
          <w:sz w:val="32"/>
          <w:szCs w:val="32"/>
          <w:shd w:val="clear" w:color="auto" w:fill="FFFFFF"/>
          <w:lang w:val="zh-CN"/>
        </w:rPr>
        <w:t>%。</w:t>
      </w:r>
    </w:p>
    <w:p>
      <w:pPr>
        <w:widowControl/>
        <w:numPr>
          <w:ilvl w:val="0"/>
          <w:numId w:val="0"/>
        </w:numPr>
        <w:adjustRightInd w:val="0"/>
        <w:snapToGrid w:val="0"/>
        <w:spacing w:line="560" w:lineRule="exact"/>
        <w:ind w:firstLine="643" w:firstLineChars="200"/>
        <w:contextualSpacing/>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w:t>
      </w:r>
      <w:r>
        <w:rPr>
          <w:rFonts w:hint="eastAsia" w:ascii="楷体_GB2312" w:hAnsi="楷体_GB2312" w:eastAsia="楷体_GB2312" w:cs="Times New Roman"/>
          <w:b/>
          <w:color w:val="auto"/>
          <w:kern w:val="0"/>
          <w:sz w:val="32"/>
          <w:szCs w:val="24"/>
          <w:lang w:val="en-US" w:eastAsia="zh-CN"/>
        </w:rPr>
        <w:t>三</w:t>
      </w:r>
      <w:r>
        <w:rPr>
          <w:rFonts w:hint="eastAsia" w:ascii="楷体_GB2312" w:hAnsi="楷体_GB2312" w:eastAsia="楷体_GB2312" w:cs="Times New Roman"/>
          <w:b/>
          <w:color w:val="auto"/>
          <w:kern w:val="0"/>
          <w:sz w:val="32"/>
          <w:szCs w:val="24"/>
          <w:lang w:val="zh-CN"/>
        </w:rPr>
        <w:t>）结果应用情况。</w:t>
      </w:r>
    </w:p>
    <w:p>
      <w:pPr>
        <w:widowControl/>
        <w:adjustRightInd w:val="0"/>
        <w:snapToGrid w:val="0"/>
        <w:spacing w:line="560" w:lineRule="exact"/>
        <w:ind w:firstLine="643" w:firstLineChars="200"/>
        <w:contextualSpacing/>
        <w:jc w:val="left"/>
        <w:rPr>
          <w:rFonts w:ascii="仿宋_GB2312" w:hAnsi="宋体" w:eastAsia="仿宋_GB2312" w:cs="宋体"/>
          <w:b/>
          <w:bCs/>
          <w:kern w:val="0"/>
          <w:sz w:val="32"/>
          <w:szCs w:val="32"/>
          <w:shd w:val="clear" w:color="auto" w:fill="FFFFFF"/>
          <w:lang w:val="zh-CN"/>
        </w:rPr>
      </w:pPr>
      <w:r>
        <w:rPr>
          <w:rFonts w:hint="eastAsia" w:ascii="仿宋_GB2312" w:hAnsi="宋体" w:eastAsia="仿宋_GB2312" w:cs="宋体"/>
          <w:b/>
          <w:bCs/>
          <w:kern w:val="0"/>
          <w:sz w:val="32"/>
          <w:szCs w:val="32"/>
          <w:shd w:val="clear" w:color="auto" w:fill="FFFFFF"/>
        </w:rPr>
        <w:t>1.</w:t>
      </w:r>
      <w:r>
        <w:rPr>
          <w:rFonts w:hint="eastAsia" w:ascii="仿宋_GB2312" w:hAnsi="宋体" w:eastAsia="仿宋_GB2312" w:cs="宋体"/>
          <w:b/>
          <w:bCs/>
          <w:kern w:val="0"/>
          <w:sz w:val="32"/>
          <w:szCs w:val="32"/>
          <w:shd w:val="clear" w:color="auto" w:fill="FFFFFF"/>
          <w:lang w:val="zh-CN"/>
        </w:rPr>
        <w:t>产出指标完成情况分析。</w:t>
      </w:r>
    </w:p>
    <w:p>
      <w:pPr>
        <w:widowControl/>
        <w:adjustRightInd w:val="0"/>
        <w:snapToGrid w:val="0"/>
        <w:spacing w:line="560" w:lineRule="exact"/>
        <w:ind w:firstLine="643" w:firstLineChars="200"/>
        <w:contextualSpacing/>
        <w:jc w:val="left"/>
        <w:rPr>
          <w:rFonts w:ascii="仿宋_GB2312" w:hAnsi="宋体" w:eastAsia="仿宋_GB2312" w:cs="宋体"/>
          <w:b/>
          <w:bCs/>
          <w:kern w:val="0"/>
          <w:sz w:val="32"/>
          <w:szCs w:val="32"/>
          <w:shd w:val="clear" w:color="auto" w:fill="FFFFFF"/>
          <w:lang w:val="zh-CN"/>
        </w:rPr>
      </w:pPr>
      <w:r>
        <w:rPr>
          <w:rFonts w:hint="eastAsia" w:ascii="仿宋_GB2312" w:hAnsi="宋体" w:eastAsia="仿宋_GB2312" w:cs="宋体"/>
          <w:b/>
          <w:bCs/>
          <w:kern w:val="0"/>
          <w:sz w:val="32"/>
          <w:szCs w:val="32"/>
          <w:shd w:val="clear" w:color="auto" w:fill="FFFFFF"/>
          <w:lang w:val="zh-CN"/>
        </w:rPr>
        <w:t>（</w:t>
      </w:r>
      <w:r>
        <w:rPr>
          <w:rFonts w:hint="eastAsia" w:ascii="仿宋_GB2312" w:hAnsi="宋体" w:eastAsia="仿宋_GB2312" w:cs="宋体"/>
          <w:b/>
          <w:bCs/>
          <w:kern w:val="0"/>
          <w:sz w:val="32"/>
          <w:szCs w:val="32"/>
          <w:shd w:val="clear" w:color="auto" w:fill="FFFFFF"/>
        </w:rPr>
        <w:t>1</w:t>
      </w:r>
      <w:r>
        <w:rPr>
          <w:rFonts w:hint="eastAsia" w:ascii="仿宋_GB2312" w:hAnsi="宋体" w:eastAsia="仿宋_GB2312" w:cs="宋体"/>
          <w:b/>
          <w:bCs/>
          <w:kern w:val="0"/>
          <w:sz w:val="32"/>
          <w:szCs w:val="32"/>
          <w:shd w:val="clear" w:color="auto" w:fill="FFFFFF"/>
          <w:lang w:val="zh-CN"/>
        </w:rPr>
        <w:t>）数量指标。</w:t>
      </w:r>
    </w:p>
    <w:p>
      <w:pPr>
        <w:widowControl/>
        <w:adjustRightInd w:val="0"/>
        <w:snapToGrid w:val="0"/>
        <w:spacing w:line="560" w:lineRule="exact"/>
        <w:ind w:firstLine="640" w:firstLineChars="200"/>
        <w:contextualSpacing/>
        <w:jc w:val="left"/>
        <w:rPr>
          <w:rFonts w:hint="eastAsia" w:ascii="仿宋_GB2312" w:hAnsi="宋体" w:eastAsia="仿宋_GB2312"/>
          <w:sz w:val="32"/>
          <w:szCs w:val="32"/>
        </w:rPr>
      </w:pPr>
      <w:r>
        <w:rPr>
          <w:rFonts w:hint="eastAsia" w:ascii="仿宋" w:hAnsi="仿宋" w:eastAsia="仿宋" w:cs="仿宋"/>
          <w:sz w:val="32"/>
          <w:szCs w:val="32"/>
        </w:rPr>
        <w:t>保障人员基本工资（目标值：100%相符）</w:t>
      </w:r>
      <w:r>
        <w:rPr>
          <w:rFonts w:hint="eastAsia" w:ascii="仿宋_GB2312" w:hAnsi="宋体" w:eastAsia="仿宋_GB2312" w:cs="宋体"/>
          <w:kern w:val="0"/>
          <w:sz w:val="32"/>
          <w:szCs w:val="32"/>
          <w:shd w:val="clear" w:color="auto" w:fill="FFFFFF"/>
        </w:rPr>
        <w:t>保障</w:t>
      </w:r>
      <w:r>
        <w:rPr>
          <w:rFonts w:hint="eastAsia" w:ascii="仿宋_GB2312" w:hAnsi="宋体" w:eastAsia="仿宋_GB2312"/>
          <w:sz w:val="32"/>
          <w:szCs w:val="32"/>
        </w:rPr>
        <w:t>在职民警</w:t>
      </w:r>
      <w:r>
        <w:rPr>
          <w:rFonts w:hint="eastAsia" w:ascii="仿宋_GB2312" w:hAnsi="宋体" w:eastAsia="仿宋_GB2312"/>
          <w:sz w:val="32"/>
          <w:szCs w:val="32"/>
          <w:lang w:val="en-US" w:eastAsia="zh-CN"/>
        </w:rPr>
        <w:t>225</w:t>
      </w:r>
      <w:r>
        <w:rPr>
          <w:rFonts w:hint="eastAsia" w:ascii="仿宋_GB2312" w:hAnsi="宋体" w:eastAsia="仿宋_GB2312"/>
          <w:sz w:val="32"/>
          <w:szCs w:val="32"/>
        </w:rPr>
        <w:t>人、警务辅助人员</w:t>
      </w:r>
      <w:r>
        <w:rPr>
          <w:rFonts w:hint="eastAsia" w:ascii="仿宋_GB2312" w:hAnsi="宋体" w:eastAsia="仿宋_GB2312"/>
          <w:sz w:val="32"/>
          <w:szCs w:val="32"/>
          <w:lang w:val="en-US" w:eastAsia="zh-CN"/>
        </w:rPr>
        <w:t>315</w:t>
      </w:r>
      <w:r>
        <w:rPr>
          <w:rFonts w:hint="eastAsia" w:ascii="仿宋_GB2312" w:hAnsi="宋体" w:eastAsia="仿宋_GB2312"/>
          <w:sz w:val="32"/>
          <w:szCs w:val="32"/>
        </w:rPr>
        <w:t>人（含交通秩序维护员）、机关工勤人员7人、事业人员2</w:t>
      </w:r>
      <w:r>
        <w:rPr>
          <w:rFonts w:hint="eastAsia" w:ascii="仿宋_GB2312" w:hAnsi="宋体" w:eastAsia="仿宋_GB2312"/>
          <w:sz w:val="32"/>
          <w:szCs w:val="32"/>
          <w:lang w:val="en-US" w:eastAsia="zh-CN"/>
        </w:rPr>
        <w:t>5</w:t>
      </w:r>
      <w:r>
        <w:rPr>
          <w:rFonts w:hint="eastAsia" w:ascii="仿宋_GB2312" w:hAnsi="宋体" w:eastAsia="仿宋_GB2312"/>
          <w:sz w:val="32"/>
          <w:szCs w:val="32"/>
        </w:rPr>
        <w:t>人工资和五险一金的按时发放。</w:t>
      </w:r>
    </w:p>
    <w:p>
      <w:pPr>
        <w:widowControl/>
        <w:adjustRightInd w:val="0"/>
        <w:snapToGrid w:val="0"/>
        <w:spacing w:line="560" w:lineRule="exact"/>
        <w:contextualSpacing/>
        <w:jc w:val="left"/>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 xml:space="preserve">    装备采购数量（目标值：278件），全年完成装备采购</w:t>
      </w:r>
    </w:p>
    <w:p>
      <w:pPr>
        <w:widowControl/>
        <w:adjustRightInd w:val="0"/>
        <w:snapToGrid w:val="0"/>
        <w:spacing w:line="560" w:lineRule="exact"/>
        <w:contextualSpacing/>
        <w:jc w:val="left"/>
        <w:rPr>
          <w:rFonts w:ascii="仿宋_GB2312" w:hAnsi="宋体" w:eastAsia="仿宋_GB2312" w:cs="宋体"/>
          <w:kern w:val="0"/>
          <w:sz w:val="32"/>
          <w:szCs w:val="32"/>
          <w:shd w:val="clear" w:color="auto" w:fill="FFFFFF"/>
        </w:rPr>
      </w:pPr>
      <w:r>
        <w:rPr>
          <w:rFonts w:hint="eastAsia" w:ascii="仿宋_GB2312" w:hAnsi="宋体" w:eastAsia="仿宋_GB2312" w:cs="宋体"/>
          <w:kern w:val="0"/>
          <w:sz w:val="32"/>
          <w:szCs w:val="32"/>
          <w:shd w:val="clear" w:color="auto" w:fill="FFFFFF"/>
        </w:rPr>
        <w:t>数量2</w:t>
      </w:r>
      <w:r>
        <w:rPr>
          <w:rFonts w:hint="eastAsia" w:ascii="仿宋_GB2312" w:hAnsi="宋体" w:eastAsia="仿宋_GB2312" w:cs="宋体"/>
          <w:kern w:val="0"/>
          <w:sz w:val="32"/>
          <w:szCs w:val="32"/>
          <w:shd w:val="clear" w:color="auto" w:fill="FFFFFF"/>
          <w:lang w:val="en-US" w:eastAsia="zh-CN"/>
        </w:rPr>
        <w:t>78</w:t>
      </w:r>
      <w:r>
        <w:rPr>
          <w:rFonts w:hint="eastAsia" w:ascii="仿宋_GB2312" w:hAnsi="宋体" w:eastAsia="仿宋_GB2312" w:cs="宋体"/>
          <w:kern w:val="0"/>
          <w:sz w:val="32"/>
          <w:szCs w:val="32"/>
          <w:shd w:val="clear" w:color="auto" w:fill="FFFFFF"/>
        </w:rPr>
        <w:t>件。</w:t>
      </w:r>
    </w:p>
    <w:p>
      <w:pPr>
        <w:widowControl/>
        <w:adjustRightInd w:val="0"/>
        <w:snapToGrid w:val="0"/>
        <w:spacing w:line="560" w:lineRule="exact"/>
        <w:ind w:firstLine="640" w:firstLineChars="200"/>
        <w:contextualSpacing/>
        <w:jc w:val="left"/>
        <w:rPr>
          <w:rFonts w:ascii="仿宋_GB2312" w:hAnsi="宋体" w:eastAsia="仿宋_GB2312" w:cs="宋体"/>
          <w:kern w:val="0"/>
          <w:sz w:val="32"/>
          <w:szCs w:val="32"/>
          <w:shd w:val="clear" w:color="auto" w:fill="FFFFFF"/>
        </w:rPr>
      </w:pPr>
      <w:r>
        <w:rPr>
          <w:rFonts w:hint="eastAsia" w:ascii="仿宋_GB2312" w:hAnsi="宋体" w:eastAsia="仿宋_GB2312" w:cs="宋体"/>
          <w:kern w:val="0"/>
          <w:sz w:val="32"/>
          <w:szCs w:val="32"/>
          <w:shd w:val="clear" w:color="auto" w:fill="FFFFFF"/>
        </w:rPr>
        <w:t>政府审批工程（目标值：</w:t>
      </w:r>
      <w:r>
        <w:rPr>
          <w:rFonts w:hint="eastAsia" w:ascii="仿宋_GB2312" w:hAnsi="宋体" w:eastAsia="仿宋_GB2312" w:cs="宋体"/>
          <w:kern w:val="0"/>
          <w:sz w:val="32"/>
          <w:szCs w:val="32"/>
          <w:shd w:val="clear" w:color="auto" w:fill="FFFFFF"/>
          <w:lang w:val="en-US" w:eastAsia="zh-CN"/>
        </w:rPr>
        <w:t>1</w:t>
      </w:r>
      <w:r>
        <w:rPr>
          <w:rFonts w:hint="eastAsia" w:ascii="仿宋_GB2312" w:hAnsi="宋体" w:eastAsia="仿宋_GB2312" w:cs="宋体"/>
          <w:kern w:val="0"/>
          <w:sz w:val="32"/>
          <w:szCs w:val="32"/>
          <w:shd w:val="clear" w:color="auto" w:fill="FFFFFF"/>
        </w:rPr>
        <w:t>件），全年完成政府审批工程</w:t>
      </w:r>
      <w:r>
        <w:rPr>
          <w:rFonts w:hint="eastAsia" w:ascii="仿宋_GB2312" w:hAnsi="宋体" w:eastAsia="仿宋_GB2312" w:cs="宋体"/>
          <w:kern w:val="0"/>
          <w:sz w:val="32"/>
          <w:szCs w:val="32"/>
          <w:shd w:val="clear" w:color="auto" w:fill="FFFFFF"/>
          <w:lang w:val="en-US" w:eastAsia="zh-CN"/>
        </w:rPr>
        <w:t>1</w:t>
      </w:r>
      <w:r>
        <w:rPr>
          <w:rFonts w:hint="eastAsia" w:ascii="仿宋_GB2312" w:hAnsi="宋体" w:eastAsia="仿宋_GB2312" w:cs="宋体"/>
          <w:kern w:val="0"/>
          <w:sz w:val="32"/>
          <w:szCs w:val="32"/>
          <w:shd w:val="clear" w:color="auto" w:fill="FFFFFF"/>
        </w:rPr>
        <w:t>个。</w:t>
      </w:r>
    </w:p>
    <w:p>
      <w:pPr>
        <w:widowControl/>
        <w:adjustRightInd w:val="0"/>
        <w:snapToGrid w:val="0"/>
        <w:spacing w:line="560" w:lineRule="exact"/>
        <w:ind w:firstLine="640"/>
        <w:contextualSpacing/>
        <w:jc w:val="left"/>
        <w:rPr>
          <w:rFonts w:ascii="仿宋_GB2312" w:hAnsi="宋体" w:eastAsia="仿宋_GB2312" w:cs="宋体"/>
          <w:kern w:val="0"/>
          <w:sz w:val="32"/>
          <w:szCs w:val="32"/>
          <w:shd w:val="clear" w:color="auto" w:fill="FFFFFF"/>
        </w:rPr>
      </w:pPr>
      <w:r>
        <w:rPr>
          <w:rFonts w:hint="eastAsia" w:ascii="仿宋_GB2312" w:hAnsi="宋体" w:eastAsia="仿宋_GB2312" w:cs="宋体"/>
          <w:kern w:val="0"/>
          <w:sz w:val="32"/>
          <w:szCs w:val="32"/>
          <w:shd w:val="clear" w:color="auto" w:fill="FFFFFF"/>
        </w:rPr>
        <w:t>办理违法犯罪案件（目标值：</w:t>
      </w:r>
      <w:r>
        <w:rPr>
          <w:rFonts w:hint="eastAsia" w:ascii="仿宋" w:hAnsi="仿宋" w:eastAsia="仿宋" w:cs="仿宋"/>
          <w:sz w:val="32"/>
          <w:szCs w:val="32"/>
        </w:rPr>
        <w:t>100%相符</w:t>
      </w:r>
      <w:r>
        <w:rPr>
          <w:rFonts w:hint="eastAsia" w:ascii="仿宋_GB2312" w:hAnsi="宋体" w:eastAsia="仿宋_GB2312" w:cs="宋体"/>
          <w:kern w:val="0"/>
          <w:sz w:val="32"/>
          <w:szCs w:val="32"/>
          <w:shd w:val="clear" w:color="auto" w:fill="FFFFFF"/>
        </w:rPr>
        <w:t>），全年办理各类违法犯罪案件1200余起。</w:t>
      </w:r>
    </w:p>
    <w:p>
      <w:pPr>
        <w:widowControl/>
        <w:adjustRightInd w:val="0"/>
        <w:snapToGrid w:val="0"/>
        <w:spacing w:line="560" w:lineRule="exact"/>
        <w:ind w:firstLine="640"/>
        <w:contextualSpacing/>
        <w:jc w:val="left"/>
        <w:rPr>
          <w:rFonts w:ascii="仿宋_GB2312" w:hAnsi="宋体" w:eastAsia="仿宋_GB2312" w:cs="宋体"/>
          <w:kern w:val="0"/>
          <w:sz w:val="32"/>
          <w:szCs w:val="32"/>
          <w:shd w:val="clear" w:color="auto" w:fill="FFFFFF"/>
        </w:rPr>
      </w:pPr>
      <w:r>
        <w:rPr>
          <w:rFonts w:hint="eastAsia" w:ascii="仿宋_GB2312" w:hAnsi="宋体" w:eastAsia="仿宋_GB2312" w:cs="宋体"/>
          <w:kern w:val="0"/>
          <w:sz w:val="32"/>
          <w:szCs w:val="32"/>
          <w:shd w:val="clear" w:color="auto" w:fill="FFFFFF"/>
        </w:rPr>
        <w:t>打击处理违法犯罪嫌疑人（目标值：</w:t>
      </w:r>
      <w:r>
        <w:rPr>
          <w:rFonts w:hint="eastAsia" w:ascii="仿宋" w:hAnsi="仿宋" w:eastAsia="仿宋" w:cs="仿宋"/>
          <w:sz w:val="32"/>
          <w:szCs w:val="32"/>
        </w:rPr>
        <w:t>100%相符</w:t>
      </w:r>
      <w:r>
        <w:rPr>
          <w:rFonts w:hint="eastAsia" w:ascii="仿宋_GB2312" w:hAnsi="宋体" w:eastAsia="仿宋_GB2312" w:cs="宋体"/>
          <w:kern w:val="0"/>
          <w:sz w:val="32"/>
          <w:szCs w:val="32"/>
          <w:shd w:val="clear" w:color="auto" w:fill="FFFFFF"/>
        </w:rPr>
        <w:t>），全年打击处理违法犯罪嫌疑人1300余人次。</w:t>
      </w:r>
    </w:p>
    <w:p>
      <w:pPr>
        <w:spacing w:line="560" w:lineRule="exact"/>
        <w:ind w:firstLine="643" w:firstLineChars="200"/>
        <w:rPr>
          <w:rFonts w:ascii="仿宋" w:hAnsi="仿宋" w:eastAsia="仿宋" w:cs="仿宋"/>
          <w:sz w:val="32"/>
          <w:szCs w:val="32"/>
        </w:rPr>
      </w:pPr>
      <w:r>
        <w:rPr>
          <w:rFonts w:hint="eastAsia" w:ascii="仿宋_GB2312" w:hAnsi="宋体" w:eastAsia="仿宋_GB2312" w:cs="宋体"/>
          <w:b/>
          <w:bCs/>
          <w:kern w:val="0"/>
          <w:sz w:val="32"/>
          <w:szCs w:val="32"/>
          <w:shd w:val="clear" w:color="auto" w:fill="FFFFFF"/>
          <w:lang w:val="zh-CN"/>
        </w:rPr>
        <w:t>（</w:t>
      </w:r>
      <w:r>
        <w:rPr>
          <w:rFonts w:hint="eastAsia" w:ascii="仿宋_GB2312" w:hAnsi="宋体" w:eastAsia="仿宋_GB2312" w:cs="宋体"/>
          <w:b/>
          <w:bCs/>
          <w:kern w:val="0"/>
          <w:sz w:val="32"/>
          <w:szCs w:val="32"/>
          <w:shd w:val="clear" w:color="auto" w:fill="FFFFFF"/>
        </w:rPr>
        <w:t>2</w:t>
      </w:r>
      <w:r>
        <w:rPr>
          <w:rFonts w:hint="eastAsia" w:ascii="仿宋_GB2312" w:hAnsi="宋体" w:eastAsia="仿宋_GB2312" w:cs="宋体"/>
          <w:b/>
          <w:bCs/>
          <w:kern w:val="0"/>
          <w:sz w:val="32"/>
          <w:szCs w:val="32"/>
          <w:shd w:val="clear" w:color="auto" w:fill="FFFFFF"/>
          <w:lang w:val="zh-CN"/>
        </w:rPr>
        <w:t>）质量指标。</w:t>
      </w:r>
      <w:r>
        <w:rPr>
          <w:rFonts w:hint="eastAsia" w:ascii="仿宋" w:hAnsi="仿宋" w:eastAsia="仿宋" w:cs="仿宋"/>
          <w:sz w:val="32"/>
          <w:szCs w:val="32"/>
        </w:rPr>
        <w:t>支出相符性（目标值：100%相符），全年使用资金的项目均能按照预算、设计和合同及有关程序实施，支出相符性100%；支出合规性（目标值：100%合规），按照预算批复的用途使用资金，未发现存在截留、挤占、挪用资金等情况；项目安装完成后，至目前为止未发现故障存在的情况。</w:t>
      </w:r>
    </w:p>
    <w:p>
      <w:pPr>
        <w:spacing w:line="560" w:lineRule="exact"/>
        <w:ind w:firstLine="643" w:firstLineChars="200"/>
        <w:rPr>
          <w:rFonts w:ascii="仿宋" w:hAnsi="仿宋" w:eastAsia="仿宋" w:cs="仿宋"/>
          <w:sz w:val="32"/>
          <w:szCs w:val="32"/>
        </w:rPr>
      </w:pPr>
      <w:r>
        <w:rPr>
          <w:rFonts w:hint="eastAsia" w:ascii="仿宋_GB2312" w:hAnsi="宋体" w:eastAsia="仿宋_GB2312" w:cs="宋体"/>
          <w:b/>
          <w:bCs/>
          <w:kern w:val="0"/>
          <w:sz w:val="32"/>
          <w:szCs w:val="32"/>
          <w:shd w:val="clear" w:color="auto" w:fill="FFFFFF"/>
          <w:lang w:val="zh-CN"/>
        </w:rPr>
        <w:t>（</w:t>
      </w:r>
      <w:r>
        <w:rPr>
          <w:rFonts w:hint="eastAsia" w:ascii="仿宋_GB2312" w:hAnsi="宋体" w:eastAsia="仿宋_GB2312" w:cs="宋体"/>
          <w:b/>
          <w:bCs/>
          <w:kern w:val="0"/>
          <w:sz w:val="32"/>
          <w:szCs w:val="32"/>
          <w:shd w:val="clear" w:color="auto" w:fill="FFFFFF"/>
        </w:rPr>
        <w:t>3</w:t>
      </w:r>
      <w:r>
        <w:rPr>
          <w:rFonts w:hint="eastAsia" w:ascii="仿宋_GB2312" w:hAnsi="宋体" w:eastAsia="仿宋_GB2312" w:cs="宋体"/>
          <w:b/>
          <w:bCs/>
          <w:kern w:val="0"/>
          <w:sz w:val="32"/>
          <w:szCs w:val="32"/>
          <w:shd w:val="clear" w:color="auto" w:fill="FFFFFF"/>
          <w:lang w:val="zh-CN"/>
        </w:rPr>
        <w:t>）</w:t>
      </w:r>
      <w:r>
        <w:rPr>
          <w:rFonts w:hint="eastAsia" w:ascii="仿宋" w:hAnsi="仿宋" w:eastAsia="仿宋" w:cs="仿宋"/>
          <w:b/>
          <w:bCs/>
          <w:sz w:val="32"/>
          <w:szCs w:val="32"/>
        </w:rPr>
        <w:t>时效指标。</w:t>
      </w:r>
      <w:r>
        <w:rPr>
          <w:rFonts w:hint="eastAsia" w:ascii="仿宋" w:hAnsi="仿宋" w:eastAsia="仿宋" w:cs="仿宋"/>
          <w:sz w:val="32"/>
          <w:szCs w:val="32"/>
        </w:rPr>
        <w:t>目标完成的及时性（目标值：目标按时完成），项目均能按合同约定期限完成；资金到位及时性（目标值：资金按项目进度及时到位），年内及时下达到位各项资金；支出的及时性（目标值：按合同及时付款），项目支出均能按合同约定支付相关款项；验收的有效性（目标值：项目验收及时，程序有效），项目均在合同约定时限内，按相关规定的验收流程和所需人数，及时组织验收；会计信息及时性（目标值：会计资料提供及时，资产及时入账），会计资料传递及时，涉及固定资产的，都能按照要求，先编制固定资产卡片，后给付入账。</w:t>
      </w:r>
    </w:p>
    <w:p>
      <w:pPr>
        <w:spacing w:line="560" w:lineRule="exact"/>
        <w:ind w:firstLine="643" w:firstLineChars="200"/>
        <w:rPr>
          <w:rFonts w:ascii="仿宋" w:hAnsi="仿宋" w:eastAsia="仿宋" w:cs="仿宋"/>
          <w:sz w:val="32"/>
          <w:szCs w:val="32"/>
        </w:rPr>
      </w:pPr>
      <w:r>
        <w:rPr>
          <w:rFonts w:hint="eastAsia" w:ascii="仿宋" w:hAnsi="仿宋" w:eastAsia="仿宋" w:cs="仿宋"/>
          <w:b/>
          <w:bCs/>
          <w:kern w:val="0"/>
          <w:sz w:val="32"/>
          <w:szCs w:val="32"/>
          <w:shd w:val="clear" w:color="auto" w:fill="FFFFFF"/>
          <w:lang w:val="zh-CN"/>
        </w:rPr>
        <w:t>（</w:t>
      </w:r>
      <w:r>
        <w:rPr>
          <w:rFonts w:hint="eastAsia" w:ascii="仿宋" w:hAnsi="仿宋" w:eastAsia="仿宋" w:cs="仿宋"/>
          <w:b/>
          <w:bCs/>
          <w:kern w:val="0"/>
          <w:sz w:val="32"/>
          <w:szCs w:val="32"/>
          <w:shd w:val="clear" w:color="auto" w:fill="FFFFFF"/>
        </w:rPr>
        <w:t>4</w:t>
      </w:r>
      <w:r>
        <w:rPr>
          <w:rFonts w:hint="eastAsia" w:ascii="仿宋" w:hAnsi="仿宋" w:eastAsia="仿宋" w:cs="仿宋"/>
          <w:b/>
          <w:bCs/>
          <w:kern w:val="0"/>
          <w:sz w:val="32"/>
          <w:szCs w:val="32"/>
          <w:shd w:val="clear" w:color="auto" w:fill="FFFFFF"/>
          <w:lang w:val="zh-CN"/>
        </w:rPr>
        <w:t>）</w:t>
      </w:r>
      <w:r>
        <w:rPr>
          <w:rFonts w:hint="eastAsia" w:ascii="仿宋" w:hAnsi="仿宋" w:eastAsia="仿宋" w:cs="仿宋"/>
          <w:b/>
          <w:bCs/>
          <w:sz w:val="32"/>
          <w:szCs w:val="32"/>
        </w:rPr>
        <w:t>成本指标。</w:t>
      </w:r>
      <w:r>
        <w:rPr>
          <w:rFonts w:hint="eastAsia" w:ascii="仿宋" w:hAnsi="仿宋" w:eastAsia="仿宋" w:cs="仿宋"/>
          <w:sz w:val="32"/>
          <w:szCs w:val="32"/>
        </w:rPr>
        <w:t>落实办案业务经费和业务装备经费保障。</w:t>
      </w:r>
    </w:p>
    <w:p>
      <w:pPr>
        <w:spacing w:line="560" w:lineRule="exact"/>
        <w:ind w:firstLine="643" w:firstLineChars="200"/>
        <w:rPr>
          <w:rFonts w:ascii="仿宋" w:hAnsi="仿宋" w:eastAsia="仿宋" w:cs="仿宋"/>
          <w:b/>
          <w:bCs/>
          <w:sz w:val="32"/>
          <w:szCs w:val="32"/>
        </w:rPr>
      </w:pPr>
      <w:r>
        <w:rPr>
          <w:rFonts w:hint="eastAsia" w:ascii="Calibri" w:hAnsi="Calibri" w:eastAsia="仿宋" w:cs="Calibri"/>
          <w:b/>
          <w:bCs/>
          <w:sz w:val="32"/>
          <w:szCs w:val="32"/>
        </w:rPr>
        <w:t>2</w:t>
      </w:r>
      <w:r>
        <w:rPr>
          <w:rFonts w:hint="eastAsia" w:ascii="仿宋" w:hAnsi="仿宋" w:eastAsia="仿宋" w:cs="仿宋"/>
          <w:b/>
          <w:bCs/>
          <w:sz w:val="32"/>
          <w:szCs w:val="32"/>
        </w:rPr>
        <w:t>.效益指标完成情况分析。</w:t>
      </w:r>
    </w:p>
    <w:p>
      <w:pPr>
        <w:spacing w:line="560" w:lineRule="exact"/>
        <w:ind w:firstLine="643" w:firstLineChars="200"/>
        <w:rPr>
          <w:rFonts w:ascii="仿宋" w:hAnsi="仿宋" w:eastAsia="仿宋" w:cs="仿宋"/>
          <w:sz w:val="32"/>
          <w:szCs w:val="32"/>
        </w:rPr>
      </w:pPr>
      <w:r>
        <w:rPr>
          <w:rFonts w:hint="eastAsia" w:ascii="仿宋_GB2312" w:hAnsi="宋体" w:eastAsia="仿宋_GB2312" w:cs="宋体"/>
          <w:b/>
          <w:bCs/>
          <w:kern w:val="0"/>
          <w:sz w:val="32"/>
          <w:szCs w:val="32"/>
          <w:shd w:val="clear" w:color="auto" w:fill="FFFFFF"/>
          <w:lang w:val="zh-CN"/>
        </w:rPr>
        <w:t>（</w:t>
      </w:r>
      <w:r>
        <w:rPr>
          <w:rFonts w:hint="eastAsia" w:ascii="仿宋_GB2312" w:hAnsi="宋体" w:eastAsia="仿宋_GB2312" w:cs="宋体"/>
          <w:b/>
          <w:bCs/>
          <w:kern w:val="0"/>
          <w:sz w:val="32"/>
          <w:szCs w:val="32"/>
          <w:shd w:val="clear" w:color="auto" w:fill="FFFFFF"/>
        </w:rPr>
        <w:t>1</w:t>
      </w:r>
      <w:r>
        <w:rPr>
          <w:rFonts w:hint="eastAsia" w:ascii="仿宋_GB2312" w:hAnsi="宋体" w:eastAsia="仿宋_GB2312" w:cs="宋体"/>
          <w:b/>
          <w:bCs/>
          <w:kern w:val="0"/>
          <w:sz w:val="32"/>
          <w:szCs w:val="32"/>
          <w:shd w:val="clear" w:color="auto" w:fill="FFFFFF"/>
          <w:lang w:val="zh-CN"/>
        </w:rPr>
        <w:t>）</w:t>
      </w:r>
      <w:r>
        <w:rPr>
          <w:rFonts w:hint="eastAsia" w:ascii="仿宋" w:hAnsi="仿宋" w:eastAsia="仿宋" w:cs="仿宋"/>
          <w:b/>
          <w:bCs/>
          <w:sz w:val="32"/>
          <w:szCs w:val="32"/>
        </w:rPr>
        <w:t>经济效益</w:t>
      </w:r>
      <w:r>
        <w:rPr>
          <w:rFonts w:hint="eastAsia" w:ascii="仿宋" w:hAnsi="仿宋" w:eastAsia="仿宋" w:cs="仿宋"/>
          <w:sz w:val="32"/>
          <w:szCs w:val="32"/>
        </w:rPr>
        <w:t>。提升我局打击破案能力，减少被害人经济财产损失。</w:t>
      </w:r>
    </w:p>
    <w:p>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lang w:val="zh-CN"/>
        </w:rPr>
        <w:t>（</w:t>
      </w:r>
      <w:r>
        <w:rPr>
          <w:rFonts w:hint="eastAsia" w:ascii="仿宋" w:hAnsi="仿宋" w:eastAsia="仿宋" w:cs="仿宋"/>
          <w:b/>
          <w:bCs/>
          <w:sz w:val="32"/>
          <w:szCs w:val="32"/>
        </w:rPr>
        <w:t>2</w:t>
      </w:r>
      <w:r>
        <w:rPr>
          <w:rFonts w:hint="eastAsia" w:ascii="仿宋" w:hAnsi="仿宋" w:eastAsia="仿宋" w:cs="仿宋"/>
          <w:b/>
          <w:bCs/>
          <w:sz w:val="32"/>
          <w:szCs w:val="32"/>
          <w:lang w:val="zh-CN"/>
        </w:rPr>
        <w:t>）</w:t>
      </w:r>
      <w:r>
        <w:rPr>
          <w:rFonts w:hint="eastAsia" w:ascii="仿宋" w:hAnsi="仿宋" w:eastAsia="仿宋" w:cs="仿宋"/>
          <w:b/>
          <w:bCs/>
          <w:sz w:val="32"/>
          <w:szCs w:val="32"/>
        </w:rPr>
        <w:t>社会效益。</w:t>
      </w:r>
      <w:r>
        <w:rPr>
          <w:rFonts w:hint="eastAsia" w:ascii="仿宋" w:hAnsi="仿宋" w:eastAsia="仿宋" w:cs="仿宋"/>
          <w:sz w:val="32"/>
          <w:szCs w:val="32"/>
        </w:rPr>
        <w:t>提高我局经费保障水平（目标值：稳步提升），</w:t>
      </w:r>
      <w:r>
        <w:rPr>
          <w:rFonts w:hint="eastAsia" w:ascii="仿宋" w:hAnsi="仿宋" w:eastAsia="仿宋" w:cs="仿宋"/>
          <w:sz w:val="32"/>
          <w:szCs w:val="32"/>
          <w:lang w:eastAsia="zh-CN"/>
        </w:rPr>
        <w:t>2023</w:t>
      </w:r>
      <w:r>
        <w:rPr>
          <w:rFonts w:hint="eastAsia" w:ascii="仿宋" w:hAnsi="仿宋" w:eastAsia="仿宋" w:cs="仿宋"/>
          <w:sz w:val="32"/>
          <w:szCs w:val="32"/>
        </w:rPr>
        <w:t>年中央转移支付资金分配</w:t>
      </w:r>
      <w:r>
        <w:rPr>
          <w:rFonts w:hint="eastAsia" w:ascii="仿宋_GB2312" w:hAnsi="宋体" w:eastAsia="仿宋_GB2312" w:cs="宋体"/>
          <w:kern w:val="0"/>
          <w:sz w:val="32"/>
          <w:szCs w:val="32"/>
          <w:shd w:val="clear" w:color="auto" w:fill="FFFFFF"/>
          <w:lang w:val="en-US" w:eastAsia="zh-CN"/>
        </w:rPr>
        <w:t>1390.72</w:t>
      </w:r>
      <w:r>
        <w:rPr>
          <w:rFonts w:hint="eastAsia" w:ascii="仿宋" w:hAnsi="仿宋" w:eastAsia="仿宋" w:cs="仿宋"/>
          <w:kern w:val="0"/>
          <w:sz w:val="32"/>
          <w:szCs w:val="32"/>
          <w:shd w:val="clear" w:color="auto" w:fill="FFFFFF"/>
        </w:rPr>
        <w:t>万元</w:t>
      </w:r>
      <w:r>
        <w:rPr>
          <w:rFonts w:hint="eastAsia" w:ascii="仿宋" w:hAnsi="仿宋" w:eastAsia="仿宋" w:cs="仿宋"/>
          <w:sz w:val="32"/>
          <w:szCs w:val="32"/>
        </w:rPr>
        <w:t>，经费保障水平得到稳步提升；提高当地居民安全感满意度。</w:t>
      </w:r>
    </w:p>
    <w:p>
      <w:pPr>
        <w:spacing w:line="560" w:lineRule="exact"/>
        <w:ind w:firstLine="643" w:firstLineChars="200"/>
        <w:rPr>
          <w:rFonts w:ascii="仿宋" w:hAnsi="仿宋" w:eastAsia="仿宋" w:cs="仿宋"/>
          <w:sz w:val="32"/>
          <w:szCs w:val="32"/>
        </w:rPr>
      </w:pPr>
      <w:r>
        <w:rPr>
          <w:rFonts w:hint="eastAsia" w:ascii="仿宋_GB2312" w:hAnsi="宋体" w:eastAsia="仿宋_GB2312" w:cs="宋体"/>
          <w:b/>
          <w:bCs/>
          <w:kern w:val="0"/>
          <w:sz w:val="32"/>
          <w:szCs w:val="32"/>
          <w:shd w:val="clear" w:color="auto" w:fill="FFFFFF"/>
          <w:lang w:val="zh-CN"/>
        </w:rPr>
        <w:t>（</w:t>
      </w:r>
      <w:r>
        <w:rPr>
          <w:rFonts w:hint="eastAsia" w:ascii="仿宋" w:hAnsi="仿宋" w:eastAsia="仿宋" w:cs="仿宋"/>
          <w:b/>
          <w:bCs/>
          <w:sz w:val="32"/>
          <w:szCs w:val="32"/>
        </w:rPr>
        <w:t>3</w:t>
      </w:r>
      <w:r>
        <w:rPr>
          <w:rFonts w:hint="eastAsia" w:ascii="仿宋" w:hAnsi="仿宋" w:eastAsia="仿宋" w:cs="仿宋"/>
          <w:b/>
          <w:bCs/>
          <w:sz w:val="32"/>
          <w:szCs w:val="32"/>
          <w:lang w:val="zh-CN"/>
        </w:rPr>
        <w:t>）生态效益。</w:t>
      </w:r>
      <w:r>
        <w:rPr>
          <w:rFonts w:hint="eastAsia" w:ascii="仿宋" w:hAnsi="仿宋" w:eastAsia="仿宋" w:cs="仿宋"/>
          <w:sz w:val="32"/>
          <w:szCs w:val="32"/>
        </w:rPr>
        <w:t>项目实施对单位所在地无污染（目标值：无污染），项目均按国家环保标志实施，未发现污染，未收到投诉。</w:t>
      </w:r>
    </w:p>
    <w:p>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lang w:val="zh-CN"/>
        </w:rPr>
        <w:t>（</w:t>
      </w:r>
      <w:r>
        <w:rPr>
          <w:rFonts w:hint="eastAsia" w:ascii="仿宋" w:hAnsi="仿宋" w:eastAsia="仿宋" w:cs="仿宋"/>
          <w:b/>
          <w:bCs/>
          <w:sz w:val="32"/>
          <w:szCs w:val="32"/>
        </w:rPr>
        <w:t>4</w:t>
      </w:r>
      <w:r>
        <w:rPr>
          <w:rFonts w:hint="eastAsia" w:ascii="仿宋" w:hAnsi="仿宋" w:eastAsia="仿宋" w:cs="仿宋"/>
          <w:b/>
          <w:bCs/>
          <w:sz w:val="32"/>
          <w:szCs w:val="32"/>
          <w:lang w:val="zh-CN"/>
        </w:rPr>
        <w:t>）</w:t>
      </w:r>
      <w:r>
        <w:rPr>
          <w:rFonts w:hint="eastAsia" w:ascii="仿宋" w:hAnsi="仿宋" w:eastAsia="仿宋" w:cs="仿宋"/>
          <w:b/>
          <w:bCs/>
          <w:sz w:val="32"/>
          <w:szCs w:val="32"/>
        </w:rPr>
        <w:t>可持续影响。</w:t>
      </w:r>
      <w:r>
        <w:rPr>
          <w:rFonts w:hint="eastAsia" w:ascii="仿宋" w:hAnsi="仿宋" w:eastAsia="仿宋" w:cs="仿宋"/>
          <w:sz w:val="32"/>
          <w:szCs w:val="32"/>
          <w:shd w:val="clear" w:color="auto" w:fill="FFFFFF"/>
        </w:rPr>
        <w:t>项目技术水平（目标值：项目使用技术达标率100%），项目使用的技术和购置的产品均能达到国家有关标准，技术达标率100%；项目的可持续性（目标值：设备可使用年限达标），项目均能按通用设备和专用设备的使用年限要求实施采购，从现有情况看，均能达到使用年限要求。</w:t>
      </w:r>
    </w:p>
    <w:p>
      <w:pPr>
        <w:spacing w:line="560" w:lineRule="exact"/>
        <w:ind w:firstLine="643" w:firstLineChars="200"/>
        <w:rPr>
          <w:rFonts w:ascii="仿宋" w:hAnsi="仿宋" w:eastAsia="仿宋" w:cs="仿宋"/>
          <w:b/>
          <w:bCs/>
          <w:sz w:val="32"/>
          <w:szCs w:val="32"/>
        </w:rPr>
      </w:pPr>
      <w:r>
        <w:rPr>
          <w:rFonts w:hint="eastAsia" w:ascii="Calibri" w:hAnsi="Calibri" w:eastAsia="仿宋" w:cs="Calibri"/>
          <w:b/>
          <w:bCs/>
          <w:sz w:val="32"/>
          <w:szCs w:val="32"/>
        </w:rPr>
        <w:t>3</w:t>
      </w:r>
      <w:r>
        <w:rPr>
          <w:rFonts w:hint="eastAsia" w:ascii="仿宋" w:hAnsi="仿宋" w:eastAsia="仿宋" w:cs="仿宋"/>
          <w:b/>
          <w:bCs/>
          <w:sz w:val="32"/>
          <w:szCs w:val="32"/>
        </w:rPr>
        <w:t>.满意度指标完成情况分析。</w:t>
      </w:r>
    </w:p>
    <w:p>
      <w:pPr>
        <w:spacing w:line="560" w:lineRule="exact"/>
        <w:ind w:firstLine="643" w:firstLineChars="200"/>
        <w:rPr>
          <w:rFonts w:ascii="仿宋" w:hAnsi="仿宋" w:eastAsia="仿宋" w:cs="仿宋"/>
          <w:sz w:val="32"/>
          <w:szCs w:val="32"/>
          <w:shd w:val="clear" w:color="auto" w:fill="FFFFFF"/>
        </w:rPr>
      </w:pPr>
      <w:r>
        <w:rPr>
          <w:rFonts w:hint="eastAsia" w:ascii="仿宋" w:hAnsi="仿宋" w:eastAsia="仿宋" w:cs="仿宋"/>
          <w:b/>
          <w:bCs/>
          <w:kern w:val="0"/>
          <w:sz w:val="32"/>
          <w:szCs w:val="32"/>
          <w:shd w:val="clear" w:color="auto" w:fill="FFFFFF"/>
          <w:lang w:val="zh-CN"/>
        </w:rPr>
        <w:t>（</w:t>
      </w:r>
      <w:r>
        <w:rPr>
          <w:rFonts w:hint="eastAsia" w:ascii="仿宋" w:hAnsi="仿宋" w:eastAsia="仿宋" w:cs="仿宋"/>
          <w:b/>
          <w:bCs/>
          <w:kern w:val="0"/>
          <w:sz w:val="32"/>
          <w:szCs w:val="32"/>
          <w:shd w:val="clear" w:color="auto" w:fill="FFFFFF"/>
        </w:rPr>
        <w:t>1</w:t>
      </w:r>
      <w:r>
        <w:rPr>
          <w:rFonts w:hint="eastAsia" w:ascii="仿宋" w:hAnsi="仿宋" w:eastAsia="仿宋" w:cs="仿宋"/>
          <w:b/>
          <w:bCs/>
          <w:kern w:val="0"/>
          <w:sz w:val="32"/>
          <w:szCs w:val="32"/>
          <w:shd w:val="clear" w:color="auto" w:fill="FFFFFF"/>
          <w:lang w:val="zh-CN"/>
        </w:rPr>
        <w:t>）</w:t>
      </w:r>
      <w:r>
        <w:rPr>
          <w:rFonts w:hint="eastAsia" w:ascii="仿宋" w:hAnsi="仿宋" w:eastAsia="仿宋" w:cs="仿宋"/>
          <w:b/>
          <w:bCs/>
          <w:sz w:val="32"/>
          <w:szCs w:val="32"/>
          <w:shd w:val="clear" w:color="auto" w:fill="FFFFFF"/>
        </w:rPr>
        <w:t>项目服务目标（干警）满意率</w:t>
      </w:r>
      <w:r>
        <w:rPr>
          <w:rFonts w:hint="eastAsia" w:ascii="仿宋" w:hAnsi="仿宋" w:eastAsia="仿宋" w:cs="仿宋"/>
          <w:sz w:val="32"/>
          <w:szCs w:val="32"/>
          <w:shd w:val="clear" w:color="auto" w:fill="FFFFFF"/>
        </w:rPr>
        <w:t>（目标值：满意率90%以上）。项目实施过程中和完成后，在我局召开的多次工作座谈会中，均未收到干警对项目施工、质量、流程等方面的投诉，满意率达90%以上。</w:t>
      </w:r>
    </w:p>
    <w:p>
      <w:pPr>
        <w:spacing w:line="560" w:lineRule="exact"/>
        <w:ind w:firstLine="643" w:firstLineChars="200"/>
        <w:rPr>
          <w:rFonts w:hint="eastAsia" w:ascii="仿宋" w:hAnsi="仿宋" w:eastAsia="仿宋" w:cs="仿宋"/>
          <w:sz w:val="32"/>
          <w:szCs w:val="32"/>
          <w:shd w:val="clear" w:color="auto" w:fill="FFFFFF"/>
        </w:rPr>
      </w:pPr>
      <w:r>
        <w:rPr>
          <w:rFonts w:hint="eastAsia" w:ascii="仿宋" w:hAnsi="仿宋" w:eastAsia="仿宋" w:cs="仿宋"/>
          <w:b/>
          <w:bCs/>
          <w:kern w:val="0"/>
          <w:sz w:val="32"/>
          <w:szCs w:val="32"/>
          <w:shd w:val="clear" w:color="auto" w:fill="FFFFFF"/>
          <w:lang w:val="zh-CN"/>
        </w:rPr>
        <w:t>（</w:t>
      </w:r>
      <w:r>
        <w:rPr>
          <w:rFonts w:hint="eastAsia" w:ascii="仿宋" w:hAnsi="仿宋" w:eastAsia="仿宋" w:cs="仿宋"/>
          <w:b/>
          <w:bCs/>
          <w:kern w:val="0"/>
          <w:sz w:val="32"/>
          <w:szCs w:val="32"/>
          <w:shd w:val="clear" w:color="auto" w:fill="FFFFFF"/>
        </w:rPr>
        <w:t>2</w:t>
      </w:r>
      <w:r>
        <w:rPr>
          <w:rFonts w:hint="eastAsia" w:ascii="仿宋" w:hAnsi="仿宋" w:eastAsia="仿宋" w:cs="仿宋"/>
          <w:b/>
          <w:bCs/>
          <w:kern w:val="0"/>
          <w:sz w:val="32"/>
          <w:szCs w:val="32"/>
          <w:shd w:val="clear" w:color="auto" w:fill="FFFFFF"/>
          <w:lang w:val="zh-CN"/>
        </w:rPr>
        <w:t>）</w:t>
      </w:r>
      <w:r>
        <w:rPr>
          <w:rFonts w:hint="eastAsia" w:ascii="仿宋" w:hAnsi="仿宋" w:eastAsia="仿宋" w:cs="仿宋"/>
          <w:b/>
          <w:bCs/>
          <w:kern w:val="0"/>
          <w:sz w:val="32"/>
          <w:szCs w:val="32"/>
          <w:shd w:val="clear" w:color="auto" w:fill="FFFFFF"/>
        </w:rPr>
        <w:t>项目服务目标（人民群众）满意率</w:t>
      </w:r>
      <w:r>
        <w:rPr>
          <w:rFonts w:hint="eastAsia" w:ascii="仿宋" w:hAnsi="仿宋" w:eastAsia="仿宋" w:cs="仿宋"/>
          <w:sz w:val="32"/>
          <w:szCs w:val="32"/>
          <w:shd w:val="clear" w:color="auto" w:fill="FFFFFF"/>
        </w:rPr>
        <w:t>（目标值：满意率90%以上）。国家调查队开展的人民群众满意度调查，满意率达95%以上。</w:t>
      </w:r>
    </w:p>
    <w:p>
      <w:pPr>
        <w:widowControl/>
        <w:numPr>
          <w:ilvl w:val="0"/>
          <w:numId w:val="0"/>
        </w:numPr>
        <w:adjustRightInd w:val="0"/>
        <w:snapToGrid w:val="0"/>
        <w:spacing w:line="560" w:lineRule="exact"/>
        <w:ind w:firstLine="643" w:firstLineChars="200"/>
        <w:contextualSpacing/>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w:t>
      </w:r>
      <w:r>
        <w:rPr>
          <w:rFonts w:hint="eastAsia" w:ascii="楷体_GB2312" w:hAnsi="楷体_GB2312" w:eastAsia="楷体_GB2312" w:cs="Times New Roman"/>
          <w:b/>
          <w:color w:val="auto"/>
          <w:kern w:val="0"/>
          <w:sz w:val="32"/>
          <w:szCs w:val="24"/>
          <w:lang w:val="en-US" w:eastAsia="zh-CN"/>
        </w:rPr>
        <w:t>四</w:t>
      </w:r>
      <w:r>
        <w:rPr>
          <w:rFonts w:hint="eastAsia" w:ascii="楷体_GB2312" w:hAnsi="楷体_GB2312" w:eastAsia="楷体_GB2312" w:cs="Times New Roman"/>
          <w:b/>
          <w:color w:val="auto"/>
          <w:kern w:val="0"/>
          <w:sz w:val="32"/>
          <w:szCs w:val="24"/>
          <w:lang w:val="zh-CN"/>
        </w:rPr>
        <w:t>）自评质量</w:t>
      </w:r>
    </w:p>
    <w:p>
      <w:pPr>
        <w:spacing w:line="560" w:lineRule="exact"/>
        <w:ind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w:t>
      </w:r>
      <w:r>
        <w:rPr>
          <w:rFonts w:hint="eastAsia" w:ascii="仿宋" w:hAnsi="仿宋" w:eastAsia="仿宋" w:cs="仿宋"/>
          <w:sz w:val="32"/>
          <w:szCs w:val="32"/>
          <w:shd w:val="clear" w:color="auto" w:fill="FFFFFF"/>
          <w:lang w:val="en-US" w:eastAsia="zh-CN"/>
        </w:rPr>
        <w:t>米易县</w:t>
      </w:r>
      <w:r>
        <w:rPr>
          <w:rFonts w:hint="eastAsia" w:ascii="仿宋" w:hAnsi="仿宋" w:eastAsia="仿宋" w:cs="仿宋"/>
          <w:sz w:val="32"/>
          <w:szCs w:val="32"/>
          <w:shd w:val="clear" w:color="auto" w:fill="FFFFFF"/>
        </w:rPr>
        <w:t>公安局严格按照绩效评价指标体系进行自评打分，自评结果等次为“优”。</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numPr>
          <w:ilvl w:val="0"/>
          <w:numId w:val="0"/>
        </w:numPr>
        <w:adjustRightInd w:val="0"/>
        <w:snapToGrid w:val="0"/>
        <w:spacing w:line="560" w:lineRule="exact"/>
        <w:ind w:firstLine="643" w:firstLineChars="200"/>
        <w:contextualSpacing/>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（一）评价结论。</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2023年我局及时、准确、优质地完成预算编制；预算执行情况良好，支出管理规范，未出现因违规支出受到相关监督部门批评或处理的情况；资金管理制度较为完善，会计核算和账务处理规范，会计资料完整。</w:t>
      </w:r>
    </w:p>
    <w:p>
      <w:pPr>
        <w:widowControl/>
        <w:numPr>
          <w:ilvl w:val="0"/>
          <w:numId w:val="0"/>
        </w:numPr>
        <w:adjustRightInd w:val="0"/>
        <w:snapToGrid w:val="0"/>
        <w:spacing w:line="560" w:lineRule="exact"/>
        <w:ind w:firstLine="643" w:firstLineChars="200"/>
        <w:contextualSpacing/>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（二）存在问题。</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在资金使用计划和进度上有待进一步加强。</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国有资产的管理不够规范，主要原因是部门太多，资产管理难度大。</w:t>
      </w:r>
    </w:p>
    <w:p>
      <w:pPr>
        <w:widowControl/>
        <w:numPr>
          <w:ilvl w:val="0"/>
          <w:numId w:val="0"/>
        </w:numPr>
        <w:adjustRightInd w:val="0"/>
        <w:snapToGrid w:val="0"/>
        <w:spacing w:line="560" w:lineRule="exact"/>
        <w:ind w:firstLine="643" w:firstLineChars="200"/>
        <w:contextualSpacing/>
        <w:jc w:val="left"/>
        <w:rPr>
          <w:rFonts w:hint="eastAsia" w:ascii="楷体_GB2312" w:hAnsi="楷体_GB2312" w:eastAsia="楷体_GB2312" w:cs="Times New Roman"/>
          <w:b/>
          <w:color w:val="auto"/>
          <w:kern w:val="0"/>
          <w:sz w:val="32"/>
          <w:szCs w:val="24"/>
          <w:lang w:val="zh-CN"/>
        </w:rPr>
      </w:pPr>
      <w:r>
        <w:rPr>
          <w:rFonts w:hint="eastAsia" w:ascii="楷体_GB2312" w:hAnsi="楷体_GB2312" w:eastAsia="楷体_GB2312" w:cs="Times New Roman"/>
          <w:b/>
          <w:color w:val="auto"/>
          <w:kern w:val="0"/>
          <w:sz w:val="32"/>
          <w:szCs w:val="24"/>
          <w:lang w:val="zh-CN"/>
        </w:rPr>
        <w:t>（三）改进建议。</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1、适当提高日常公用经费预算标准，并形成有效的增长机制。</w:t>
      </w:r>
    </w:p>
    <w:p>
      <w:pPr>
        <w:widowControl/>
        <w:adjustRightInd w:val="0"/>
        <w:snapToGrid w:val="0"/>
        <w:spacing w:line="560" w:lineRule="exact"/>
        <w:ind w:firstLine="640" w:firstLineChars="200"/>
        <w:contextualSpacing/>
        <w:jc w:val="left"/>
        <w:rPr>
          <w:rFonts w:ascii="黑体" w:hAnsi="黑体" w:eastAsia="黑体" w:cs="黑体"/>
          <w:sz w:val="32"/>
          <w:szCs w:val="32"/>
        </w:rPr>
      </w:pPr>
      <w:r>
        <w:rPr>
          <w:rFonts w:hint="eastAsia" w:ascii="仿宋_GB2312" w:hAnsi="宋体" w:eastAsia="仿宋_GB2312" w:cs="宋体"/>
          <w:color w:val="000000"/>
          <w:kern w:val="0"/>
          <w:sz w:val="32"/>
          <w:szCs w:val="32"/>
          <w:shd w:val="clear" w:color="auto" w:fill="FFFFFF"/>
          <w:lang w:val="zh-CN"/>
        </w:rPr>
        <w:t>2、严格按照《固定资产管理办法》的规定加强管理，及时登记，加强实物和卡片管理，确保账账、账实相符。</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bookmarkStart w:id="57" w:name="_Toc15396618"/>
      <w:r>
        <w:rPr>
          <w:rFonts w:hint="eastAsia" w:ascii="仿宋_GB2312" w:hAnsi="宋体" w:eastAsia="仿宋_GB2312" w:cs="宋体"/>
          <w:color w:val="000000"/>
          <w:kern w:val="0"/>
          <w:sz w:val="32"/>
          <w:szCs w:val="32"/>
          <w:shd w:val="clear" w:color="auto" w:fill="FFFFFF"/>
          <w:lang w:val="en-US" w:eastAsia="zh-CN"/>
        </w:rPr>
        <w:t>3、针对公安转移支付资金在使用中存在执行率较低的问题，希望财政能够加大对政法转移支付资金的支付保障力度，切实把有限的资金用在刀刃上、紧要处，为攀枝花建设共同富裕实验区创造更加优质的社会治安环境。</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附表：《米易县公安局2023年度</w:t>
      </w:r>
      <w:r>
        <w:rPr>
          <w:rFonts w:hint="default" w:ascii="仿宋_GB2312" w:hAnsi="宋体" w:eastAsia="仿宋_GB2312" w:cs="宋体"/>
          <w:color w:val="000000"/>
          <w:kern w:val="0"/>
          <w:sz w:val="32"/>
          <w:szCs w:val="32"/>
          <w:shd w:val="clear" w:color="auto" w:fill="FFFFFF"/>
          <w:lang w:eastAsia="zh-CN"/>
        </w:rPr>
        <w:t>部门</w:t>
      </w:r>
      <w:r>
        <w:rPr>
          <w:rFonts w:hint="eastAsia" w:ascii="仿宋_GB2312" w:hAnsi="宋体" w:eastAsia="仿宋_GB2312" w:cs="宋体"/>
          <w:color w:val="000000"/>
          <w:kern w:val="0"/>
          <w:sz w:val="32"/>
          <w:szCs w:val="32"/>
          <w:shd w:val="clear" w:color="auto" w:fill="FFFFFF"/>
          <w:lang w:val="en-US" w:eastAsia="zh-CN"/>
        </w:rPr>
        <w:t>预算项目支出绩效自评表》</w:t>
      </w:r>
    </w:p>
    <w:p>
      <w:pPr>
        <w:widowControl/>
        <w:adjustRightInd w:val="0"/>
        <w:snapToGrid w:val="0"/>
        <w:spacing w:line="560" w:lineRule="exact"/>
        <w:contextualSpacing/>
        <w:jc w:val="left"/>
        <w:rPr>
          <w:rFonts w:hint="eastAsia" w:ascii="黑体" w:hAnsi="黑体" w:eastAsia="黑体" w:cs="黑体"/>
          <w:color w:val="000000"/>
          <w:kern w:val="0"/>
          <w:sz w:val="32"/>
          <w:szCs w:val="32"/>
          <w:shd w:val="clear" w:color="auto" w:fill="FFFFFF"/>
          <w:lang w:val="en-US" w:eastAsia="zh-CN"/>
        </w:rPr>
      </w:pPr>
      <w:r>
        <w:rPr>
          <w:rFonts w:hint="eastAsia" w:ascii="黑体" w:hAnsi="黑体" w:eastAsia="黑体" w:cs="黑体"/>
          <w:color w:val="000000"/>
          <w:kern w:val="0"/>
          <w:sz w:val="32"/>
          <w:szCs w:val="32"/>
          <w:shd w:val="clear" w:color="auto" w:fill="FFFFFF"/>
          <w:lang w:val="en-US" w:eastAsia="zh-CN"/>
        </w:rPr>
        <w:t>附件2</w:t>
      </w:r>
    </w:p>
    <w:p>
      <w:pPr>
        <w:widowControl/>
        <w:adjustRightInd w:val="0"/>
        <w:snapToGrid w:val="0"/>
        <w:spacing w:line="560" w:lineRule="exact"/>
        <w:contextualSpacing/>
        <w:jc w:val="center"/>
        <w:rPr>
          <w:rFonts w:hint="eastAsia" w:ascii="黑体" w:hAnsi="黑体" w:eastAsia="黑体" w:cs="黑体"/>
          <w:color w:val="000000"/>
          <w:kern w:val="0"/>
          <w:sz w:val="44"/>
          <w:szCs w:val="44"/>
          <w:shd w:val="clear" w:color="auto" w:fill="FFFFFF"/>
          <w:lang w:val="en-US" w:eastAsia="zh-CN"/>
        </w:rPr>
      </w:pPr>
      <w:r>
        <w:rPr>
          <w:rFonts w:hint="eastAsia" w:ascii="黑体" w:hAnsi="黑体" w:eastAsia="黑体" w:cs="黑体"/>
          <w:color w:val="000000"/>
          <w:kern w:val="0"/>
          <w:sz w:val="44"/>
          <w:szCs w:val="44"/>
          <w:shd w:val="clear" w:color="auto" w:fill="FFFFFF"/>
          <w:lang w:val="en-US" w:eastAsia="zh-CN"/>
        </w:rPr>
        <w:t>看守所经费项目</w:t>
      </w:r>
    </w:p>
    <w:p>
      <w:pPr>
        <w:widowControl/>
        <w:adjustRightInd w:val="0"/>
        <w:snapToGrid w:val="0"/>
        <w:spacing w:line="560" w:lineRule="exact"/>
        <w:contextualSpacing/>
        <w:jc w:val="center"/>
        <w:rPr>
          <w:rFonts w:hint="eastAsia" w:ascii="黑体" w:hAnsi="黑体" w:eastAsia="黑体" w:cs="黑体"/>
          <w:color w:val="000000"/>
          <w:kern w:val="0"/>
          <w:sz w:val="44"/>
          <w:szCs w:val="44"/>
          <w:shd w:val="clear" w:color="auto" w:fill="FFFFFF"/>
          <w:lang w:val="en-US" w:eastAsia="zh-CN"/>
        </w:rPr>
      </w:pPr>
      <w:r>
        <w:rPr>
          <w:rFonts w:hint="eastAsia" w:ascii="黑体" w:hAnsi="黑体" w:eastAsia="黑体" w:cs="黑体"/>
          <w:color w:val="000000"/>
          <w:kern w:val="0"/>
          <w:sz w:val="44"/>
          <w:szCs w:val="44"/>
          <w:shd w:val="clear" w:color="auto" w:fill="FFFFFF"/>
          <w:lang w:val="en-US" w:eastAsia="zh-CN"/>
        </w:rPr>
        <w:t>2023年绩效评价报告</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lang w:val="en-US" w:eastAsia="zh-CN"/>
        </w:rPr>
      </w:pPr>
      <w:r>
        <w:rPr>
          <w:rFonts w:hint="eastAsia" w:ascii="黑体" w:hAnsi="黑体" w:eastAsia="黑体" w:cs="黑体"/>
          <w:color w:val="000000"/>
          <w:kern w:val="0"/>
          <w:sz w:val="32"/>
          <w:szCs w:val="32"/>
          <w:shd w:val="clear" w:color="auto" w:fill="FFFFFF"/>
          <w:lang w:val="en-US" w:eastAsia="zh-CN"/>
        </w:rPr>
        <w:t>一、项目概况</w:t>
      </w:r>
    </w:p>
    <w:p>
      <w:pPr>
        <w:adjustRightInd w:val="0"/>
        <w:snapToGrid w:val="0"/>
        <w:spacing w:line="560" w:lineRule="exact"/>
        <w:ind w:firstLine="320" w:firstLineChars="100"/>
        <w:rPr>
          <w:rFonts w:hint="eastAsia" w:ascii="楷体_GB2312" w:hAnsi="宋体" w:eastAsia="楷体_GB2312" w:cs="Times New Roman"/>
          <w:bCs/>
          <w:sz w:val="32"/>
          <w:szCs w:val="32"/>
          <w:lang w:val="en-US" w:eastAsia="zh-CN"/>
        </w:rPr>
      </w:pPr>
      <w:r>
        <w:rPr>
          <w:rFonts w:hint="eastAsia" w:ascii="楷体_GB2312" w:hAnsi="宋体" w:eastAsia="楷体_GB2312" w:cs="Times New Roman"/>
          <w:bCs/>
          <w:sz w:val="32"/>
          <w:szCs w:val="32"/>
          <w:lang w:val="en-US" w:eastAsia="zh-CN"/>
        </w:rPr>
        <w:t>（一）项目基本情况。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1.项目单位基本情况。米易县公安局属财政独立核算的行政事业单位。共设有14个内设机构和有12个派出机构。</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项目基本情况。米易县公安监管场所包括县看守所、县强制隔离戒毒所（简称：县戒毒所）、县拘留所，为保障监管场所的正常运行，需保障的经费包含：监管人员每人每月最低生活保障，衣服被装费用、医疗费、其他费用（水电、投劳、公杂、劳务外包等）。</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按照公安部监管局进一步规范和加强公安监管场监控联网工作以及《四川省财政厅 四川省公安厅关于加强看守所在押人员生活保障的通知》（川财行【2016】270号）精神，充分发挥监控联网效能，对监管场所进行24小时监控巡察，需租用拘押场所安防系统，确保监控系统的正常运转，适时监控被监管人员的动态，确保监所安全运行。2023年财政下达看守所经费118.03万元，实际开支118.03万元。</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3.单位制定了内控制度。严格按照制度支付各项支出。</w:t>
      </w:r>
    </w:p>
    <w:p>
      <w:pPr>
        <w:adjustRightInd w:val="0"/>
        <w:snapToGrid w:val="0"/>
        <w:spacing w:line="560" w:lineRule="exact"/>
        <w:ind w:firstLine="320" w:firstLineChars="100"/>
        <w:rPr>
          <w:rFonts w:hint="eastAsia" w:ascii="楷体_GB2312" w:hAnsi="宋体" w:eastAsia="楷体_GB2312" w:cs="Times New Roman"/>
          <w:bCs/>
          <w:sz w:val="32"/>
          <w:szCs w:val="32"/>
          <w:lang w:val="en-US" w:eastAsia="zh-CN"/>
        </w:rPr>
      </w:pPr>
      <w:r>
        <w:rPr>
          <w:rFonts w:hint="eastAsia" w:ascii="楷体_GB2312" w:hAnsi="宋体" w:eastAsia="楷体_GB2312" w:cs="Times New Roman"/>
          <w:bCs/>
          <w:sz w:val="32"/>
          <w:szCs w:val="32"/>
          <w:lang w:val="en-US" w:eastAsia="zh-CN"/>
        </w:rPr>
        <w:t>（二）项目绩效目标。</w:t>
      </w:r>
    </w:p>
    <w:p>
      <w:pPr>
        <w:adjustRightInd w:val="0"/>
        <w:snapToGrid w:val="0"/>
        <w:spacing w:line="560" w:lineRule="exact"/>
        <w:ind w:firstLine="320" w:firstLineChars="100"/>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为保障对米易县监管场所在押在拘人员的有效管控，保障在押人员的人身安全和生活卫生等合法权益，需加强对在押人员生活、生产等相关配套设施的保障，确保在押人员羁押期间身体健康，人权得到保障。在押期间伙食按规定标准供应，衣服、被褥等不能自备的由监管场所提供，配备必备的医疗器械和常用药品，确保在押人员在患病期间得到及时治疗，需要到医院治疗的监管场所负责治疗，以及保证监管场所正常运行的相关公务杂费支出。</w:t>
      </w:r>
    </w:p>
    <w:p>
      <w:pPr>
        <w:adjustRightInd w:val="0"/>
        <w:snapToGrid w:val="0"/>
        <w:spacing w:line="560" w:lineRule="exact"/>
        <w:ind w:firstLine="320" w:firstLineChars="100"/>
        <w:rPr>
          <w:rFonts w:hint="eastAsia" w:ascii="楷体_GB2312" w:hAnsi="宋体" w:eastAsia="楷体_GB2312" w:cs="Times New Roman"/>
          <w:bCs/>
          <w:sz w:val="32"/>
          <w:szCs w:val="32"/>
          <w:lang w:val="en-US" w:eastAsia="zh-CN"/>
        </w:rPr>
      </w:pPr>
      <w:r>
        <w:rPr>
          <w:rFonts w:hint="eastAsia" w:ascii="楷体_GB2312" w:hAnsi="宋体" w:eastAsia="楷体_GB2312" w:cs="Times New Roman"/>
          <w:bCs/>
          <w:sz w:val="32"/>
          <w:szCs w:val="32"/>
          <w:lang w:val="en-US" w:eastAsia="zh-CN"/>
        </w:rPr>
        <w:t>（三）项目自评步骤及方法。</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1、绩效评价目的、对象和范围。</w:t>
      </w:r>
    </w:p>
    <w:p>
      <w:pPr>
        <w:widowControl/>
        <w:adjustRightInd w:val="0"/>
        <w:snapToGrid w:val="0"/>
        <w:spacing w:line="56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en-US" w:eastAsia="zh-CN"/>
        </w:rPr>
      </w:pPr>
      <w:r>
        <w:rPr>
          <w:rFonts w:hint="eastAsia" w:ascii="仿宋_GB2312" w:hAnsi="宋体" w:eastAsia="仿宋_GB2312" w:cs="宋体"/>
          <w:color w:val="auto"/>
          <w:kern w:val="0"/>
          <w:sz w:val="32"/>
          <w:szCs w:val="32"/>
          <w:shd w:val="clear" w:color="auto" w:fill="FFFFFF"/>
          <w:lang w:val="en-US" w:eastAsia="zh-CN"/>
        </w:rPr>
        <w:t>绩效评价目的：为了进一步合理规范使用看守所经费。</w:t>
      </w:r>
    </w:p>
    <w:p>
      <w:pPr>
        <w:widowControl/>
        <w:adjustRightInd w:val="0"/>
        <w:snapToGrid w:val="0"/>
        <w:spacing w:line="56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en-US" w:eastAsia="zh-CN"/>
        </w:rPr>
      </w:pPr>
      <w:r>
        <w:rPr>
          <w:rFonts w:hint="eastAsia" w:ascii="仿宋_GB2312" w:hAnsi="宋体" w:eastAsia="仿宋_GB2312" w:cs="宋体"/>
          <w:color w:val="auto"/>
          <w:kern w:val="0"/>
          <w:sz w:val="32"/>
          <w:szCs w:val="32"/>
          <w:shd w:val="clear" w:color="auto" w:fill="FFFFFF"/>
          <w:lang w:val="en-US" w:eastAsia="zh-CN"/>
        </w:rPr>
        <w:t>绩效评价对象：看守所经费</w:t>
      </w:r>
    </w:p>
    <w:p>
      <w:pPr>
        <w:widowControl/>
        <w:adjustRightInd w:val="0"/>
        <w:snapToGrid w:val="0"/>
        <w:spacing w:line="56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en-US" w:eastAsia="zh-CN"/>
        </w:rPr>
      </w:pPr>
      <w:r>
        <w:rPr>
          <w:rFonts w:hint="eastAsia" w:ascii="仿宋_GB2312" w:hAnsi="宋体" w:eastAsia="仿宋_GB2312" w:cs="宋体"/>
          <w:color w:val="auto"/>
          <w:kern w:val="0"/>
          <w:sz w:val="32"/>
          <w:szCs w:val="32"/>
          <w:shd w:val="clear" w:color="auto" w:fill="FFFFFF"/>
          <w:lang w:val="en-US" w:eastAsia="zh-CN"/>
        </w:rPr>
        <w:t>绩效评价范围：米易县公安局监管成效</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2、绩效评价工作过程。米易县公安局领导重视绩效评价工作，成立了绩效评价工作小组。按照绩效评价相关工作要求开展我局绩效评价工作。</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lang w:val="en-US" w:eastAsia="zh-CN"/>
        </w:rPr>
      </w:pPr>
      <w:r>
        <w:rPr>
          <w:rFonts w:hint="eastAsia" w:ascii="黑体" w:hAnsi="黑体" w:eastAsia="黑体" w:cs="黑体"/>
          <w:color w:val="000000"/>
          <w:kern w:val="0"/>
          <w:sz w:val="32"/>
          <w:szCs w:val="32"/>
          <w:shd w:val="clear" w:color="auto" w:fill="FFFFFF"/>
          <w:lang w:val="en-US" w:eastAsia="zh-CN"/>
        </w:rPr>
        <w:t>二、项目资金申报及使用情况</w:t>
      </w:r>
    </w:p>
    <w:p>
      <w:pPr>
        <w:adjustRightInd w:val="0"/>
        <w:snapToGrid w:val="0"/>
        <w:spacing w:line="560" w:lineRule="exact"/>
        <w:ind w:firstLine="320" w:firstLineChars="100"/>
        <w:rPr>
          <w:rFonts w:hint="eastAsia" w:ascii="楷体_GB2312" w:hAnsi="宋体" w:eastAsia="楷体_GB2312" w:cs="Times New Roman"/>
          <w:bCs/>
          <w:sz w:val="32"/>
          <w:szCs w:val="32"/>
          <w:lang w:val="en-US" w:eastAsia="zh-CN"/>
        </w:rPr>
      </w:pPr>
      <w:r>
        <w:rPr>
          <w:rFonts w:hint="eastAsia" w:ascii="楷体_GB2312" w:hAnsi="宋体" w:eastAsia="楷体_GB2312" w:cs="Times New Roman"/>
          <w:bCs/>
          <w:sz w:val="32"/>
          <w:szCs w:val="32"/>
          <w:lang w:val="en-US" w:eastAsia="zh-CN"/>
        </w:rPr>
        <w:t>（一）项目资金申报及批复情况。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2023年度看守所经费，纳入2023年度预算。</w:t>
      </w:r>
    </w:p>
    <w:p>
      <w:pPr>
        <w:adjustRightInd w:val="0"/>
        <w:snapToGrid w:val="0"/>
        <w:spacing w:line="560" w:lineRule="exact"/>
        <w:ind w:firstLine="320" w:firstLineChars="100"/>
        <w:rPr>
          <w:rFonts w:hint="eastAsia" w:ascii="楷体_GB2312" w:hAnsi="宋体" w:eastAsia="楷体_GB2312" w:cs="Times New Roman"/>
          <w:bCs/>
          <w:sz w:val="32"/>
          <w:szCs w:val="32"/>
          <w:lang w:val="en-US" w:eastAsia="zh-CN"/>
        </w:rPr>
      </w:pPr>
      <w:r>
        <w:rPr>
          <w:rFonts w:hint="eastAsia" w:ascii="楷体_GB2312" w:hAnsi="宋体" w:eastAsia="楷体_GB2312" w:cs="Times New Roman"/>
          <w:bCs/>
          <w:sz w:val="32"/>
          <w:szCs w:val="32"/>
          <w:lang w:val="en-US" w:eastAsia="zh-CN"/>
        </w:rPr>
        <w:t>（二）资金计划、到位及使用情况。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1.资金计划。2023年度看守所经费，纳入2023年度预算。</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2.资金到位。2023年度看守所经费，纳入2023年度预算，由县财政全额拨款。资金到位情况与资金计划一致，资金到位率100%且及时下达。</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3.资金使用。看守所经费按时到位，到位率100%。支出依据合规，无虚列项目支出情况；无截留挤占挪用情况；无超标准开支情况；资金是否按申报条件及时使用。</w:t>
      </w:r>
    </w:p>
    <w:p>
      <w:pPr>
        <w:adjustRightInd w:val="0"/>
        <w:snapToGrid w:val="0"/>
        <w:spacing w:line="560" w:lineRule="exact"/>
        <w:ind w:firstLine="320" w:firstLineChars="100"/>
        <w:rPr>
          <w:rFonts w:hint="eastAsia" w:ascii="楷体_GB2312" w:hAnsi="宋体" w:eastAsia="楷体_GB2312" w:cs="Times New Roman"/>
          <w:bCs/>
          <w:sz w:val="32"/>
          <w:szCs w:val="32"/>
          <w:lang w:val="en-US" w:eastAsia="zh-CN"/>
        </w:rPr>
      </w:pPr>
      <w:r>
        <w:rPr>
          <w:rFonts w:hint="eastAsia" w:ascii="楷体_GB2312" w:hAnsi="宋体" w:eastAsia="楷体_GB2312" w:cs="Times New Roman"/>
          <w:bCs/>
          <w:sz w:val="32"/>
          <w:szCs w:val="32"/>
          <w:lang w:val="en-US" w:eastAsia="zh-CN"/>
        </w:rPr>
        <w:t>（三）项目财务管理情况。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米易县公安局财务管理制度健全，严格执行财务管理制度，账务处理及时，会计核算规范。</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lang w:val="en-US" w:eastAsia="zh-CN"/>
        </w:rPr>
      </w:pPr>
      <w:r>
        <w:rPr>
          <w:rFonts w:hint="eastAsia" w:ascii="黑体" w:hAnsi="黑体" w:eastAsia="黑体" w:cs="黑体"/>
          <w:color w:val="000000"/>
          <w:kern w:val="0"/>
          <w:sz w:val="32"/>
          <w:szCs w:val="32"/>
          <w:shd w:val="clear" w:color="auto" w:fill="FFFFFF"/>
          <w:lang w:val="en-US" w:eastAsia="zh-CN"/>
        </w:rPr>
        <w:t>三、项目实施及管理情况</w:t>
      </w:r>
    </w:p>
    <w:p>
      <w:pPr>
        <w:adjustRightInd w:val="0"/>
        <w:snapToGrid w:val="0"/>
        <w:spacing w:line="560" w:lineRule="exact"/>
        <w:ind w:firstLine="320" w:firstLineChars="100"/>
        <w:rPr>
          <w:rFonts w:hint="eastAsia" w:ascii="楷体_GB2312" w:hAnsi="宋体" w:eastAsia="楷体_GB2312" w:cs="Times New Roman"/>
          <w:bCs/>
          <w:sz w:val="32"/>
          <w:szCs w:val="32"/>
          <w:lang w:val="en-US" w:eastAsia="zh-CN"/>
        </w:rPr>
      </w:pPr>
      <w:r>
        <w:rPr>
          <w:rFonts w:hint="eastAsia" w:ascii="楷体_GB2312" w:hAnsi="宋体" w:eastAsia="楷体_GB2312" w:cs="Times New Roman"/>
          <w:bCs/>
          <w:sz w:val="32"/>
          <w:szCs w:val="32"/>
          <w:lang w:val="en-US" w:eastAsia="zh-CN"/>
        </w:rPr>
        <w:t>（一）项目组织架构及实施流程。</w:t>
      </w:r>
    </w:p>
    <w:p>
      <w:pPr>
        <w:widowControl/>
        <w:adjustRightInd w:val="0"/>
        <w:snapToGrid w:val="0"/>
        <w:spacing w:line="56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en-US" w:eastAsia="zh-CN"/>
        </w:rPr>
      </w:pPr>
      <w:r>
        <w:rPr>
          <w:rFonts w:hint="eastAsia" w:ascii="仿宋_GB2312" w:hAnsi="宋体" w:eastAsia="仿宋_GB2312" w:cs="宋体"/>
          <w:color w:val="auto"/>
          <w:kern w:val="0"/>
          <w:sz w:val="32"/>
          <w:szCs w:val="32"/>
          <w:shd w:val="clear" w:color="auto" w:fill="FFFFFF"/>
          <w:lang w:val="en-US" w:eastAsia="zh-CN"/>
        </w:rPr>
        <w:t>设立预期目标以及年度实施计划，项目符合国家、省、市关于看守所管理相关文件。米易县公安局制定了监管管理办法。看守所经费按时到位，到位率100%。支出依据合规，无虚列项目支出情况；无截留挤占挪用情况；无超标准开支情况；资金是否按申报条件及时使用。看守所经费符合预期绩效目标，完成年度计划数量，产出质量达到绩效目标。按年度计划成在规定的时间内完成相关工作。</w:t>
      </w:r>
    </w:p>
    <w:p>
      <w:pPr>
        <w:adjustRightInd w:val="0"/>
        <w:snapToGrid w:val="0"/>
        <w:spacing w:line="560" w:lineRule="exact"/>
        <w:ind w:firstLine="320" w:firstLineChars="100"/>
        <w:rPr>
          <w:rFonts w:hint="eastAsia" w:ascii="楷体_GB2312" w:hAnsi="宋体" w:eastAsia="楷体_GB2312" w:cs="Times New Roman"/>
          <w:bCs/>
          <w:sz w:val="32"/>
          <w:szCs w:val="32"/>
          <w:lang w:val="en-US" w:eastAsia="zh-CN"/>
        </w:rPr>
      </w:pPr>
      <w:r>
        <w:rPr>
          <w:rFonts w:hint="eastAsia" w:ascii="楷体_GB2312" w:hAnsi="宋体" w:eastAsia="楷体_GB2312" w:cs="Times New Roman"/>
          <w:bCs/>
          <w:sz w:val="32"/>
          <w:szCs w:val="32"/>
          <w:lang w:val="en-US" w:eastAsia="zh-CN"/>
        </w:rPr>
        <w:t>（二）项目管理情况。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米易县公安局财务管理制度健全，严格执行财务管理制度，账务处理及时，会计核算规范。</w:t>
      </w:r>
    </w:p>
    <w:p>
      <w:pPr>
        <w:adjustRightInd w:val="0"/>
        <w:snapToGrid w:val="0"/>
        <w:spacing w:line="560" w:lineRule="exact"/>
        <w:ind w:firstLine="320" w:firstLineChars="100"/>
        <w:rPr>
          <w:rFonts w:hint="eastAsia" w:ascii="楷体_GB2312" w:hAnsi="宋体" w:eastAsia="楷体_GB2312" w:cs="Times New Roman"/>
          <w:bCs/>
          <w:sz w:val="32"/>
          <w:szCs w:val="32"/>
          <w:lang w:val="en-US" w:eastAsia="zh-CN"/>
        </w:rPr>
      </w:pPr>
      <w:r>
        <w:rPr>
          <w:rFonts w:hint="eastAsia" w:ascii="楷体_GB2312" w:hAnsi="宋体" w:eastAsia="楷体_GB2312" w:cs="Times New Roman"/>
          <w:bCs/>
          <w:sz w:val="32"/>
          <w:szCs w:val="32"/>
          <w:lang w:val="en-US" w:eastAsia="zh-CN"/>
        </w:rPr>
        <w:t>（三）项目监管情况。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米易县公安局驻局纪检监察组对看守所经费支出进行监管工作。</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lang w:val="en-US" w:eastAsia="zh-CN"/>
        </w:rPr>
      </w:pPr>
      <w:r>
        <w:rPr>
          <w:rFonts w:hint="eastAsia" w:ascii="黑体" w:hAnsi="黑体" w:eastAsia="黑体" w:cs="黑体"/>
          <w:color w:val="000000"/>
          <w:kern w:val="0"/>
          <w:sz w:val="32"/>
          <w:szCs w:val="32"/>
          <w:shd w:val="clear" w:color="auto" w:fill="FFFFFF"/>
          <w:lang w:val="en-US" w:eastAsia="zh-CN"/>
        </w:rPr>
        <w:t>四、项目绩效情况</w:t>
      </w:r>
      <w:r>
        <w:rPr>
          <w:rFonts w:hint="eastAsia" w:ascii="黑体" w:hAnsi="黑体" w:eastAsia="黑体" w:cs="黑体"/>
          <w:color w:val="000000"/>
          <w:kern w:val="0"/>
          <w:sz w:val="32"/>
          <w:szCs w:val="32"/>
          <w:shd w:val="clear" w:color="auto" w:fill="FFFFFF"/>
          <w:lang w:val="en-US" w:eastAsia="zh-CN"/>
        </w:rPr>
        <w:tab/>
      </w:r>
    </w:p>
    <w:p>
      <w:pPr>
        <w:adjustRightInd w:val="0"/>
        <w:snapToGrid w:val="0"/>
        <w:spacing w:line="560" w:lineRule="exact"/>
        <w:ind w:firstLine="320" w:firstLineChars="100"/>
        <w:rPr>
          <w:rFonts w:hint="eastAsia" w:ascii="楷体_GB2312" w:hAnsi="宋体" w:eastAsia="楷体_GB2312" w:cs="Times New Roman"/>
          <w:bCs/>
          <w:color w:val="auto"/>
          <w:sz w:val="32"/>
          <w:szCs w:val="32"/>
          <w:lang w:val="en-US" w:eastAsia="zh-CN"/>
        </w:rPr>
      </w:pPr>
      <w:r>
        <w:rPr>
          <w:rFonts w:hint="eastAsia" w:ascii="楷体_GB2312" w:hAnsi="宋体" w:eastAsia="楷体_GB2312" w:cs="Times New Roman"/>
          <w:bCs/>
          <w:color w:val="auto"/>
          <w:sz w:val="32"/>
          <w:szCs w:val="32"/>
          <w:lang w:val="en-US" w:eastAsia="zh-CN"/>
        </w:rPr>
        <w:t>（一）项目完成情况。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en-US" w:eastAsia="zh-CN"/>
        </w:rPr>
      </w:pPr>
      <w:r>
        <w:rPr>
          <w:rFonts w:hint="eastAsia" w:ascii="仿宋_GB2312" w:hAnsi="宋体" w:eastAsia="仿宋_GB2312" w:cs="宋体"/>
          <w:color w:val="auto"/>
          <w:kern w:val="0"/>
          <w:sz w:val="32"/>
          <w:szCs w:val="32"/>
          <w:shd w:val="clear" w:color="auto" w:fill="FFFFFF"/>
          <w:lang w:val="en-US" w:eastAsia="zh-CN"/>
        </w:rPr>
        <w:t>看守所经费符合预期绩效目标，完成年度计划数量，产出质量达到绩效目标。按年度计划成在规定的时间内完成相关工作。</w:t>
      </w:r>
    </w:p>
    <w:p>
      <w:pPr>
        <w:adjustRightInd w:val="0"/>
        <w:snapToGrid w:val="0"/>
        <w:spacing w:line="560" w:lineRule="exact"/>
        <w:ind w:firstLine="320" w:firstLineChars="100"/>
        <w:rPr>
          <w:rFonts w:hint="eastAsia" w:ascii="楷体_GB2312" w:hAnsi="宋体" w:eastAsia="楷体_GB2312" w:cs="Times New Roman"/>
          <w:bCs/>
          <w:color w:val="auto"/>
          <w:sz w:val="32"/>
          <w:szCs w:val="32"/>
          <w:lang w:val="en-US" w:eastAsia="zh-CN"/>
        </w:rPr>
      </w:pPr>
      <w:r>
        <w:rPr>
          <w:rFonts w:hint="eastAsia" w:ascii="楷体_GB2312" w:hAnsi="宋体" w:eastAsia="楷体_GB2312" w:cs="Times New Roman"/>
          <w:bCs/>
          <w:color w:val="auto"/>
          <w:sz w:val="32"/>
          <w:szCs w:val="32"/>
          <w:lang w:val="en-US" w:eastAsia="zh-CN"/>
        </w:rPr>
        <w:t>（二）项目效益情况。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en-US" w:eastAsia="zh-CN"/>
        </w:rPr>
      </w:pPr>
      <w:r>
        <w:rPr>
          <w:rFonts w:hint="eastAsia" w:ascii="仿宋_GB2312" w:hAnsi="宋体" w:eastAsia="仿宋_GB2312" w:cs="宋体"/>
          <w:color w:val="auto"/>
          <w:kern w:val="0"/>
          <w:sz w:val="32"/>
          <w:szCs w:val="32"/>
          <w:shd w:val="clear" w:color="auto" w:fill="FFFFFF"/>
          <w:lang w:val="en-US" w:eastAsia="zh-CN"/>
        </w:rPr>
        <w:t>监管场所通过保障在押在拘人员的伙食、医疗卫生和对</w:t>
      </w:r>
      <w:bookmarkStart w:id="70" w:name="_GoBack"/>
      <w:bookmarkEnd w:id="70"/>
      <w:r>
        <w:rPr>
          <w:rFonts w:hint="eastAsia" w:ascii="仿宋_GB2312" w:hAnsi="宋体" w:eastAsia="仿宋_GB2312" w:cs="宋体"/>
          <w:color w:val="auto"/>
          <w:kern w:val="0"/>
          <w:sz w:val="32"/>
          <w:szCs w:val="32"/>
          <w:shd w:val="clear" w:color="auto" w:fill="FFFFFF"/>
          <w:lang w:val="en-US" w:eastAsia="zh-CN"/>
        </w:rPr>
        <w:t>强制隔离戒毒人员、艾滋病人员的治疗和教育感化，稳定被监管人员群体，积极为办案部门提供破案线索，2020年以来，全县监管场所发挥侦察第二战场作用，为各办案单位提供线索800余条，协助破案45余件，抓获逃犯4余人，有效保障了监管场所服务刑事诉讼等公安主业的作用。</w:t>
      </w:r>
    </w:p>
    <w:p>
      <w:pPr>
        <w:widowControl/>
        <w:adjustRightInd w:val="0"/>
        <w:snapToGrid w:val="0"/>
        <w:spacing w:line="560" w:lineRule="exact"/>
        <w:ind w:firstLine="640" w:firstLineChars="200"/>
        <w:contextualSpacing/>
        <w:jc w:val="left"/>
        <w:rPr>
          <w:rFonts w:hint="eastAsia" w:ascii="黑体" w:hAnsi="黑体" w:eastAsia="黑体" w:cs="黑体"/>
          <w:color w:val="auto"/>
          <w:kern w:val="0"/>
          <w:sz w:val="32"/>
          <w:szCs w:val="32"/>
          <w:shd w:val="clear" w:color="auto" w:fill="FFFFFF"/>
          <w:lang w:val="en-US" w:eastAsia="zh-CN"/>
        </w:rPr>
      </w:pPr>
      <w:r>
        <w:rPr>
          <w:rFonts w:hint="eastAsia" w:ascii="黑体" w:hAnsi="黑体" w:eastAsia="黑体" w:cs="黑体"/>
          <w:color w:val="auto"/>
          <w:kern w:val="0"/>
          <w:sz w:val="32"/>
          <w:szCs w:val="32"/>
          <w:shd w:val="clear" w:color="auto" w:fill="FFFFFF"/>
          <w:lang w:val="en-US" w:eastAsia="zh-CN"/>
        </w:rPr>
        <w:t>五、评价结论及建议</w:t>
      </w:r>
    </w:p>
    <w:p>
      <w:pPr>
        <w:adjustRightInd w:val="0"/>
        <w:snapToGrid w:val="0"/>
        <w:spacing w:line="560" w:lineRule="exact"/>
        <w:ind w:firstLine="320" w:firstLineChars="100"/>
        <w:rPr>
          <w:rFonts w:hint="eastAsia" w:ascii="楷体_GB2312" w:hAnsi="宋体" w:eastAsia="楷体_GB2312" w:cs="Times New Roman"/>
          <w:bCs/>
          <w:color w:val="auto"/>
          <w:sz w:val="32"/>
          <w:szCs w:val="32"/>
          <w:lang w:val="en-US" w:eastAsia="zh-CN"/>
        </w:rPr>
      </w:pPr>
      <w:r>
        <w:rPr>
          <w:rFonts w:hint="eastAsia" w:ascii="楷体_GB2312" w:hAnsi="宋体" w:eastAsia="楷体_GB2312" w:cs="Times New Roman"/>
          <w:bCs/>
          <w:color w:val="auto"/>
          <w:sz w:val="32"/>
          <w:szCs w:val="32"/>
          <w:lang w:val="en-US" w:eastAsia="zh-CN"/>
        </w:rPr>
        <w:t>（一）评价结论。</w:t>
      </w:r>
    </w:p>
    <w:p>
      <w:pPr>
        <w:widowControl/>
        <w:adjustRightInd w:val="0"/>
        <w:snapToGrid w:val="0"/>
        <w:spacing w:line="56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en-US" w:eastAsia="zh-CN"/>
        </w:rPr>
      </w:pPr>
      <w:r>
        <w:rPr>
          <w:rFonts w:hint="eastAsia" w:ascii="仿宋_GB2312" w:hAnsi="宋体" w:eastAsia="仿宋_GB2312" w:cs="宋体"/>
          <w:color w:val="auto"/>
          <w:kern w:val="0"/>
          <w:sz w:val="32"/>
          <w:szCs w:val="32"/>
          <w:shd w:val="clear" w:color="auto" w:fill="FFFFFF"/>
          <w:lang w:val="en-US" w:eastAsia="zh-CN"/>
        </w:rPr>
        <w:t>我局按照米易县重点项目（政策）支出绩效评价指标体系逐项评分，看守所经费自评得分98分。</w:t>
      </w:r>
    </w:p>
    <w:p>
      <w:pPr>
        <w:adjustRightInd w:val="0"/>
        <w:snapToGrid w:val="0"/>
        <w:spacing w:line="560" w:lineRule="exact"/>
        <w:ind w:firstLine="320" w:firstLineChars="100"/>
        <w:rPr>
          <w:rFonts w:hint="eastAsia" w:ascii="楷体_GB2312" w:hAnsi="宋体" w:eastAsia="楷体_GB2312" w:cs="Times New Roman"/>
          <w:bCs/>
          <w:color w:val="auto"/>
          <w:sz w:val="32"/>
          <w:szCs w:val="32"/>
          <w:lang w:val="en-US" w:eastAsia="zh-CN"/>
        </w:rPr>
      </w:pPr>
      <w:r>
        <w:rPr>
          <w:rFonts w:hint="eastAsia" w:ascii="楷体_GB2312" w:hAnsi="宋体" w:eastAsia="楷体_GB2312" w:cs="Times New Roman"/>
          <w:bCs/>
          <w:color w:val="auto"/>
          <w:sz w:val="32"/>
          <w:szCs w:val="32"/>
          <w:lang w:val="en-US" w:eastAsia="zh-CN"/>
        </w:rPr>
        <w:t>（二）存在的问题。</w:t>
      </w:r>
    </w:p>
    <w:p>
      <w:pPr>
        <w:widowControl/>
        <w:adjustRightInd w:val="0"/>
        <w:snapToGrid w:val="0"/>
        <w:spacing w:line="56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en-US" w:eastAsia="zh-CN"/>
        </w:rPr>
      </w:pPr>
      <w:r>
        <w:rPr>
          <w:rFonts w:hint="eastAsia" w:ascii="仿宋_GB2312" w:hAnsi="宋体" w:eastAsia="仿宋_GB2312" w:cs="宋体"/>
          <w:color w:val="auto"/>
          <w:kern w:val="0"/>
          <w:sz w:val="32"/>
          <w:szCs w:val="32"/>
          <w:shd w:val="clear" w:color="auto" w:fill="FFFFFF"/>
          <w:lang w:val="en-US" w:eastAsia="zh-CN"/>
        </w:rPr>
        <w:t>结合自评情况，分析存在的问题及原因。</w:t>
      </w:r>
      <w:r>
        <w:rPr>
          <w:rFonts w:hint="eastAsia" w:ascii="仿宋_GB2312" w:hAnsi="宋体" w:eastAsia="仿宋_GB2312" w:cs="宋体"/>
          <w:color w:val="auto"/>
          <w:kern w:val="0"/>
          <w:sz w:val="32"/>
          <w:szCs w:val="32"/>
          <w:shd w:val="clear" w:color="auto" w:fill="FFFFFF"/>
          <w:lang w:val="en-US" w:eastAsia="zh-CN"/>
        </w:rPr>
        <w:tab/>
      </w:r>
    </w:p>
    <w:p>
      <w:pPr>
        <w:adjustRightInd w:val="0"/>
        <w:snapToGrid w:val="0"/>
        <w:spacing w:line="560" w:lineRule="exact"/>
        <w:ind w:firstLine="320" w:firstLineChars="100"/>
        <w:rPr>
          <w:rFonts w:hint="eastAsia" w:ascii="楷体_GB2312" w:hAnsi="宋体" w:eastAsia="楷体_GB2312" w:cs="Times New Roman"/>
          <w:bCs/>
          <w:color w:val="auto"/>
          <w:sz w:val="32"/>
          <w:szCs w:val="32"/>
          <w:lang w:val="en-US" w:eastAsia="zh-CN"/>
        </w:rPr>
      </w:pPr>
      <w:r>
        <w:rPr>
          <w:rFonts w:hint="eastAsia" w:ascii="楷体_GB2312" w:hAnsi="宋体" w:eastAsia="楷体_GB2312" w:cs="Times New Roman"/>
          <w:bCs/>
          <w:color w:val="auto"/>
          <w:sz w:val="32"/>
          <w:szCs w:val="32"/>
          <w:lang w:val="en-US" w:eastAsia="zh-CN"/>
        </w:rPr>
        <w:t>（三）相关建议。</w:t>
      </w:r>
    </w:p>
    <w:p>
      <w:pPr>
        <w:widowControl/>
        <w:adjustRightInd w:val="0"/>
        <w:snapToGrid w:val="0"/>
        <w:spacing w:line="56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en-US" w:eastAsia="zh-CN"/>
        </w:rPr>
      </w:pPr>
      <w:r>
        <w:rPr>
          <w:rFonts w:hint="eastAsia" w:ascii="仿宋_GB2312" w:hAnsi="宋体" w:eastAsia="仿宋_GB2312" w:cs="宋体"/>
          <w:color w:val="auto"/>
          <w:kern w:val="0"/>
          <w:sz w:val="32"/>
          <w:szCs w:val="32"/>
          <w:shd w:val="clear" w:color="auto" w:fill="FFFFFF"/>
          <w:lang w:val="en-US" w:eastAsia="zh-CN"/>
        </w:rPr>
        <w:t>看守所经费主要用于监管人员每人每月最低生活保障、水电费等，应按时支付。</w:t>
      </w:r>
    </w:p>
    <w:p>
      <w:pPr>
        <w:spacing w:line="560" w:lineRule="exact"/>
        <w:ind w:firstLine="2640" w:firstLineChars="600"/>
        <w:outlineLvl w:val="0"/>
        <w:rPr>
          <w:rFonts w:ascii="黑体" w:hAnsi="黑体" w:eastAsia="黑体"/>
          <w:color w:val="0000FF"/>
          <w:sz w:val="44"/>
          <w:szCs w:val="44"/>
        </w:rPr>
      </w:pPr>
    </w:p>
    <w:p>
      <w:pPr>
        <w:spacing w:line="560" w:lineRule="exact"/>
        <w:ind w:firstLine="2640" w:firstLineChars="600"/>
        <w:outlineLvl w:val="0"/>
        <w:rPr>
          <w:rFonts w:ascii="黑体" w:hAnsi="黑体" w:eastAsia="黑体"/>
          <w:color w:val="0000FF"/>
          <w:sz w:val="44"/>
          <w:szCs w:val="44"/>
        </w:rPr>
      </w:pPr>
    </w:p>
    <w:p>
      <w:pPr>
        <w:spacing w:line="560" w:lineRule="exact"/>
        <w:ind w:firstLine="2640" w:firstLineChars="600"/>
        <w:outlineLvl w:val="0"/>
        <w:rPr>
          <w:rFonts w:ascii="黑体" w:hAnsi="黑体" w:eastAsia="黑体"/>
          <w:color w:val="000000"/>
          <w:sz w:val="44"/>
          <w:szCs w:val="44"/>
        </w:rPr>
      </w:pPr>
    </w:p>
    <w:p>
      <w:pPr>
        <w:spacing w:line="560" w:lineRule="exact"/>
        <w:outlineLvl w:val="0"/>
        <w:rPr>
          <w:rFonts w:ascii="黑体" w:hAnsi="黑体" w:eastAsia="黑体"/>
          <w:color w:val="000000"/>
          <w:sz w:val="44"/>
          <w:szCs w:val="44"/>
        </w:rPr>
      </w:pPr>
    </w:p>
    <w:p>
      <w:pPr>
        <w:spacing w:line="560" w:lineRule="exact"/>
        <w:outlineLvl w:val="0"/>
        <w:rPr>
          <w:rFonts w:ascii="黑体" w:hAnsi="黑体" w:eastAsia="黑体"/>
          <w:color w:val="000000"/>
          <w:sz w:val="44"/>
          <w:szCs w:val="44"/>
        </w:rPr>
      </w:pPr>
    </w:p>
    <w:p>
      <w:pPr>
        <w:spacing w:line="560" w:lineRule="exact"/>
        <w:outlineLvl w:val="0"/>
        <w:rPr>
          <w:rFonts w:hint="eastAsia" w:ascii="黑体" w:hAnsi="黑体" w:eastAsia="黑体"/>
          <w:color w:val="000000"/>
          <w:sz w:val="44"/>
          <w:szCs w:val="44"/>
        </w:rPr>
      </w:pPr>
    </w:p>
    <w:p>
      <w:pPr>
        <w:spacing w:line="560" w:lineRule="exact"/>
        <w:ind w:firstLine="3080" w:firstLineChars="700"/>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55"/>
      <w:bookmarkEnd w:id="57"/>
    </w:p>
    <w:p>
      <w:pPr>
        <w:spacing w:line="560" w:lineRule="exact"/>
        <w:jc w:val="center"/>
        <w:outlineLvl w:val="0"/>
        <w:rPr>
          <w:rFonts w:ascii="仿宋" w:hAnsi="仿宋" w:eastAsia="仿宋"/>
          <w:b/>
          <w:color w:val="000000"/>
          <w:sz w:val="44"/>
          <w:szCs w:val="44"/>
        </w:rPr>
      </w:pPr>
    </w:p>
    <w:p>
      <w:pPr>
        <w:pStyle w:val="3"/>
        <w:numPr>
          <w:ilvl w:val="0"/>
          <w:numId w:val="7"/>
        </w:numPr>
        <w:spacing w:before="0" w:after="0" w:line="560" w:lineRule="exact"/>
        <w:rPr>
          <w:rStyle w:val="25"/>
          <w:rFonts w:hint="eastAsia" w:ascii="仿宋" w:hAnsi="仿宋" w:eastAsia="仿宋"/>
          <w:b w:val="0"/>
          <w:bCs w:val="0"/>
        </w:rPr>
      </w:pPr>
      <w:bookmarkStart w:id="58" w:name="_Toc15396619"/>
      <w:r>
        <w:rPr>
          <w:rFonts w:hint="eastAsia" w:ascii="仿宋" w:hAnsi="仿宋" w:eastAsia="仿宋"/>
          <w:b w:val="0"/>
          <w:color w:val="000000"/>
        </w:rPr>
        <w:t>收</w:t>
      </w:r>
      <w:r>
        <w:rPr>
          <w:rStyle w:val="25"/>
          <w:rFonts w:hint="eastAsia" w:ascii="仿宋" w:hAnsi="仿宋" w:eastAsia="仿宋"/>
          <w:b w:val="0"/>
          <w:bCs w:val="0"/>
        </w:rPr>
        <w:t>入支出决算总表</w:t>
      </w:r>
      <w:bookmarkEnd w:id="58"/>
      <w:bookmarkStart w:id="59" w:name="_Toc15396620"/>
    </w:p>
    <w:p>
      <w:pPr>
        <w:pStyle w:val="3"/>
        <w:numPr>
          <w:ilvl w:val="0"/>
          <w:numId w:val="0"/>
        </w:numPr>
        <w:spacing w:before="0" w:after="0" w:line="560" w:lineRule="exact"/>
        <w:rPr>
          <w:rFonts w:ascii="仿宋" w:hAnsi="仿宋" w:eastAsia="仿宋"/>
          <w:color w:val="000000"/>
        </w:rPr>
      </w:pPr>
      <w:r>
        <w:rPr>
          <w:rFonts w:hint="eastAsia" w:ascii="仿宋" w:hAnsi="仿宋" w:eastAsia="仿宋"/>
          <w:b w:val="0"/>
          <w:color w:val="000000"/>
        </w:rPr>
        <w:t>二、收</w:t>
      </w:r>
      <w:r>
        <w:rPr>
          <w:rStyle w:val="25"/>
          <w:rFonts w:hint="eastAsia" w:ascii="仿宋" w:hAnsi="仿宋" w:eastAsia="仿宋"/>
          <w:b w:val="0"/>
          <w:bCs w:val="0"/>
        </w:rPr>
        <w:t>入决算表</w:t>
      </w:r>
      <w:bookmarkEnd w:id="59"/>
    </w:p>
    <w:p>
      <w:pPr>
        <w:pStyle w:val="3"/>
        <w:spacing w:before="0" w:after="0" w:line="560" w:lineRule="exact"/>
        <w:rPr>
          <w:rFonts w:ascii="仿宋" w:hAnsi="仿宋" w:eastAsia="仿宋"/>
          <w:color w:val="000000"/>
        </w:rPr>
      </w:pPr>
      <w:bookmarkStart w:id="60"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0"/>
    </w:p>
    <w:p>
      <w:pPr>
        <w:pStyle w:val="3"/>
        <w:spacing w:before="0" w:after="0" w:line="560" w:lineRule="exact"/>
        <w:rPr>
          <w:rFonts w:ascii="仿宋" w:hAnsi="仿宋" w:eastAsia="仿宋"/>
          <w:b w:val="0"/>
          <w:color w:val="000000"/>
        </w:rPr>
      </w:pPr>
      <w:bookmarkStart w:id="61"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1"/>
    </w:p>
    <w:p>
      <w:pPr>
        <w:pStyle w:val="3"/>
        <w:spacing w:before="0" w:after="0" w:line="560" w:lineRule="exact"/>
        <w:rPr>
          <w:rStyle w:val="25"/>
          <w:rFonts w:ascii="仿宋" w:hAnsi="仿宋" w:eastAsia="仿宋"/>
          <w:b w:val="0"/>
          <w:bCs w:val="0"/>
        </w:rPr>
      </w:pPr>
      <w:bookmarkStart w:id="62"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2"/>
      <w:bookmarkStart w:id="63" w:name="_Toc15396624"/>
    </w:p>
    <w:p>
      <w:pPr>
        <w:pStyle w:val="3"/>
        <w:spacing w:before="0" w:after="0" w:line="560" w:lineRule="exact"/>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3"/>
    </w:p>
    <w:p>
      <w:pPr>
        <w:pStyle w:val="3"/>
        <w:spacing w:before="0" w:after="0" w:line="560" w:lineRule="exact"/>
        <w:rPr>
          <w:rFonts w:ascii="仿宋" w:hAnsi="仿宋" w:eastAsia="仿宋"/>
          <w:color w:val="000000"/>
        </w:rPr>
      </w:pPr>
      <w:bookmarkStart w:id="64"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4"/>
    </w:p>
    <w:p>
      <w:pPr>
        <w:pStyle w:val="3"/>
        <w:spacing w:before="0" w:after="0" w:line="560" w:lineRule="exact"/>
        <w:rPr>
          <w:rFonts w:ascii="仿宋" w:hAnsi="仿宋" w:eastAsia="仿宋"/>
          <w:color w:val="000000"/>
        </w:rPr>
      </w:pPr>
      <w:bookmarkStart w:id="65"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5"/>
    </w:p>
    <w:p>
      <w:pPr>
        <w:pStyle w:val="3"/>
        <w:spacing w:before="0" w:after="0" w:line="560" w:lineRule="exact"/>
        <w:rPr>
          <w:rFonts w:ascii="仿宋" w:hAnsi="仿宋" w:eastAsia="仿宋"/>
          <w:color w:val="000000"/>
        </w:rPr>
      </w:pPr>
      <w:bookmarkStart w:id="66"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6"/>
    </w:p>
    <w:p>
      <w:pPr>
        <w:pStyle w:val="3"/>
        <w:spacing w:before="0" w:after="0" w:line="560" w:lineRule="exact"/>
        <w:rPr>
          <w:rFonts w:hint="eastAsia" w:ascii="仿宋" w:hAnsi="仿宋" w:eastAsia="仿宋"/>
          <w:color w:val="000000"/>
          <w:lang w:eastAsia="zh-CN"/>
        </w:rPr>
      </w:pPr>
      <w:bookmarkStart w:id="67" w:name="_Toc15396629"/>
      <w:r>
        <w:rPr>
          <w:rStyle w:val="25"/>
          <w:rFonts w:hint="eastAsia" w:ascii="仿宋" w:hAnsi="仿宋" w:eastAsia="仿宋"/>
          <w:b w:val="0"/>
          <w:bCs w:val="0"/>
        </w:rPr>
        <w:t>十、</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7"/>
    </w:p>
    <w:p>
      <w:pPr>
        <w:pStyle w:val="3"/>
        <w:spacing w:before="0" w:after="0" w:line="560" w:lineRule="exact"/>
        <w:rPr>
          <w:rStyle w:val="30"/>
          <w:rFonts w:hint="eastAsia" w:ascii="仿宋" w:hAnsi="仿宋" w:eastAsia="仿宋"/>
          <w:b w:val="0"/>
          <w:bCs w:val="0"/>
        </w:rPr>
      </w:pPr>
      <w:bookmarkStart w:id="68" w:name="_Toc15396631"/>
      <w:r>
        <w:rPr>
          <w:rStyle w:val="25"/>
          <w:rFonts w:hint="eastAsia" w:ascii="仿宋" w:hAnsi="仿宋" w:eastAsia="仿宋"/>
          <w:b w:val="0"/>
          <w:bCs w:val="0"/>
        </w:rPr>
        <w:t>十</w:t>
      </w:r>
      <w:r>
        <w:rPr>
          <w:rStyle w:val="25"/>
          <w:rFonts w:hint="eastAsia" w:ascii="仿宋" w:hAnsi="仿宋" w:eastAsia="仿宋"/>
          <w:b w:val="0"/>
          <w:bCs w:val="0"/>
          <w:lang w:val="en-US" w:eastAsia="zh-CN"/>
        </w:rPr>
        <w:t>一</w:t>
      </w:r>
      <w:r>
        <w:rPr>
          <w:rStyle w:val="25"/>
          <w:rFonts w:hint="eastAsia" w:ascii="仿宋" w:hAnsi="仿宋" w:eastAsia="仿宋"/>
          <w:b w:val="0"/>
          <w:bCs w:val="0"/>
        </w:rPr>
        <w:t>、</w:t>
      </w:r>
      <w:bookmarkEnd w:id="68"/>
      <w:r>
        <w:rPr>
          <w:rFonts w:hint="eastAsia" w:ascii="仿宋" w:hAnsi="仿宋" w:eastAsia="仿宋"/>
          <w:b w:val="0"/>
          <w:color w:val="000000"/>
        </w:rPr>
        <w:t>国</w:t>
      </w:r>
      <w:r>
        <w:rPr>
          <w:rStyle w:val="30"/>
          <w:rFonts w:hint="eastAsia" w:ascii="仿宋" w:hAnsi="仿宋" w:eastAsia="仿宋"/>
          <w:b w:val="0"/>
          <w:bCs w:val="0"/>
        </w:rPr>
        <w:t>有资本经营预算财政拨款收入支出决算表</w:t>
      </w:r>
    </w:p>
    <w:p>
      <w:pPr>
        <w:pStyle w:val="3"/>
        <w:spacing w:before="0" w:after="0" w:line="560" w:lineRule="exact"/>
        <w:rPr>
          <w:rStyle w:val="30"/>
          <w:rFonts w:hint="eastAsia" w:ascii="仿宋" w:hAnsi="仿宋" w:eastAsia="仿宋"/>
          <w:b w:val="0"/>
          <w:bCs w:val="0"/>
        </w:rPr>
      </w:pPr>
      <w:r>
        <w:rPr>
          <w:rStyle w:val="25"/>
          <w:rFonts w:hint="eastAsia" w:ascii="仿宋" w:hAnsi="仿宋" w:eastAsia="仿宋"/>
          <w:b w:val="0"/>
          <w:bCs w:val="0"/>
        </w:rPr>
        <w:t>十</w:t>
      </w:r>
      <w:r>
        <w:rPr>
          <w:rStyle w:val="25"/>
          <w:rFonts w:hint="eastAsia" w:ascii="仿宋" w:hAnsi="仿宋" w:eastAsia="仿宋"/>
          <w:b w:val="0"/>
          <w:bCs w:val="0"/>
          <w:lang w:val="en-US" w:eastAsia="zh-CN"/>
        </w:rPr>
        <w:t>二</w:t>
      </w:r>
      <w:r>
        <w:rPr>
          <w:rStyle w:val="25"/>
          <w:rFonts w:hint="eastAsia" w:ascii="仿宋" w:hAnsi="仿宋" w:eastAsia="仿宋"/>
          <w:b w:val="0"/>
          <w:bCs w:val="0"/>
        </w:rPr>
        <w:t>、</w:t>
      </w:r>
      <w:r>
        <w:rPr>
          <w:rFonts w:hint="eastAsia" w:ascii="仿宋" w:hAnsi="仿宋" w:eastAsia="仿宋"/>
          <w:b w:val="0"/>
          <w:color w:val="000000"/>
        </w:rPr>
        <w:t>国</w:t>
      </w:r>
      <w:r>
        <w:rPr>
          <w:rStyle w:val="30"/>
          <w:rFonts w:hint="eastAsia" w:ascii="仿宋" w:hAnsi="仿宋" w:eastAsia="仿宋"/>
          <w:b w:val="0"/>
          <w:bCs w:val="0"/>
        </w:rPr>
        <w:t>有资本经营预算财政拨款支出决算表</w:t>
      </w:r>
      <w:bookmarkStart w:id="69" w:name="_Toc15396628"/>
    </w:p>
    <w:p>
      <w:pPr>
        <w:pStyle w:val="3"/>
        <w:spacing w:before="0" w:after="0" w:line="560" w:lineRule="exact"/>
        <w:rPr>
          <w:rFonts w:ascii="仿宋" w:hAnsi="仿宋" w:eastAsia="仿宋"/>
          <w:color w:val="000000"/>
        </w:rPr>
      </w:pPr>
      <w:r>
        <w:rPr>
          <w:rStyle w:val="25"/>
          <w:rFonts w:hint="eastAsia" w:ascii="仿宋" w:hAnsi="仿宋" w:eastAsia="仿宋"/>
          <w:b w:val="0"/>
          <w:bCs w:val="0"/>
        </w:rPr>
        <w:t>十</w:t>
      </w:r>
      <w:r>
        <w:rPr>
          <w:rStyle w:val="25"/>
          <w:rFonts w:hint="eastAsia" w:ascii="仿宋" w:hAnsi="仿宋" w:eastAsia="仿宋"/>
          <w:b w:val="0"/>
          <w:bCs w:val="0"/>
          <w:lang w:val="en-US" w:eastAsia="zh-CN"/>
        </w:rPr>
        <w:t>三</w:t>
      </w:r>
      <w:r>
        <w:rPr>
          <w:rStyle w:val="25"/>
          <w:rFonts w:hint="eastAsia" w:ascii="仿宋" w:hAnsi="仿宋" w:eastAsia="仿宋"/>
          <w:b w:val="0"/>
          <w:bCs w:val="0"/>
        </w:rPr>
        <w:t>、</w:t>
      </w:r>
      <w:bookmarkEnd w:id="69"/>
      <w:r>
        <w:rPr>
          <w:rFonts w:hint="eastAsia" w:ascii="仿宋" w:hAnsi="仿宋" w:eastAsia="仿宋"/>
          <w:b w:val="0"/>
          <w:color w:val="000000"/>
        </w:rPr>
        <w:t>财政拨款“三公”经费支出决算表</w:t>
      </w:r>
    </w:p>
    <w:p>
      <w:pPr>
        <w:spacing w:line="560" w:lineRule="exact"/>
        <w:rPr>
          <w:rStyle w:val="25"/>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2010601030101010101"/>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7CA169"/>
    <w:multiLevelType w:val="singleLevel"/>
    <w:tmpl w:val="AE7CA169"/>
    <w:lvl w:ilvl="0" w:tentative="0">
      <w:start w:val="2"/>
      <w:numFmt w:val="chineseCounting"/>
      <w:suff w:val="space"/>
      <w:lvlText w:val="第%1部分"/>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992372F"/>
    <w:multiLevelType w:val="singleLevel"/>
    <w:tmpl w:val="E992372F"/>
    <w:lvl w:ilvl="0" w:tentative="0">
      <w:start w:val="2"/>
      <w:numFmt w:val="chineseCounting"/>
      <w:suff w:val="nothing"/>
      <w:lvlText w:val="（%1）"/>
      <w:lvlJc w:val="left"/>
      <w:rPr>
        <w:rFonts w:hint="eastAsia"/>
      </w:rPr>
    </w:lvl>
  </w:abstractNum>
  <w:abstractNum w:abstractNumId="4">
    <w:nsid w:val="EC3C8FC5"/>
    <w:multiLevelType w:val="singleLevel"/>
    <w:tmpl w:val="EC3C8FC5"/>
    <w:lvl w:ilvl="0" w:tentative="0">
      <w:start w:val="1"/>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4103A18B"/>
    <w:multiLevelType w:val="singleLevel"/>
    <w:tmpl w:val="4103A18B"/>
    <w:lvl w:ilvl="0" w:tentative="0">
      <w:start w:val="1"/>
      <w:numFmt w:val="chineseCounting"/>
      <w:suff w:val="nothing"/>
      <w:lvlText w:val="%1、"/>
      <w:lvlJc w:val="left"/>
      <w:rPr>
        <w:rFonts w:hint="eastAsia"/>
      </w:rPr>
    </w:lvl>
  </w:abstractNum>
  <w:num w:numId="1">
    <w:abstractNumId w:val="0"/>
  </w:num>
  <w:num w:numId="2">
    <w:abstractNumId w:val="5"/>
  </w:num>
  <w:num w:numId="3">
    <w:abstractNumId w:val="1"/>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Q1NWQ1NjcxYjVhYWRjZGY5ODc4MmIxOTBiMzE2MzA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D282E"/>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32F"/>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E4CA7"/>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596E"/>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CF271C"/>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FE7A82"/>
    <w:rsid w:val="033D09EE"/>
    <w:rsid w:val="05511E66"/>
    <w:rsid w:val="07043E35"/>
    <w:rsid w:val="09240F7A"/>
    <w:rsid w:val="092B7DF5"/>
    <w:rsid w:val="09F36EE0"/>
    <w:rsid w:val="0C107553"/>
    <w:rsid w:val="0D4C67A1"/>
    <w:rsid w:val="0F335979"/>
    <w:rsid w:val="10C055FF"/>
    <w:rsid w:val="11ED771B"/>
    <w:rsid w:val="13B9062C"/>
    <w:rsid w:val="141D2EFC"/>
    <w:rsid w:val="14974D1C"/>
    <w:rsid w:val="155F0EA4"/>
    <w:rsid w:val="16BB723D"/>
    <w:rsid w:val="18375BB6"/>
    <w:rsid w:val="1ACD32C2"/>
    <w:rsid w:val="1B845363"/>
    <w:rsid w:val="1C3247A1"/>
    <w:rsid w:val="1D0A068C"/>
    <w:rsid w:val="1EDC3A83"/>
    <w:rsid w:val="1EF919D7"/>
    <w:rsid w:val="20BA18FC"/>
    <w:rsid w:val="20DC2501"/>
    <w:rsid w:val="21155598"/>
    <w:rsid w:val="22A65C60"/>
    <w:rsid w:val="22F339B7"/>
    <w:rsid w:val="2389083E"/>
    <w:rsid w:val="240371BF"/>
    <w:rsid w:val="24C3662A"/>
    <w:rsid w:val="255B2788"/>
    <w:rsid w:val="257D61FB"/>
    <w:rsid w:val="25E147DB"/>
    <w:rsid w:val="26B26B14"/>
    <w:rsid w:val="28D266D0"/>
    <w:rsid w:val="2929430E"/>
    <w:rsid w:val="296D01D2"/>
    <w:rsid w:val="29FD04D3"/>
    <w:rsid w:val="2BB03927"/>
    <w:rsid w:val="2C365FEA"/>
    <w:rsid w:val="2C523B1B"/>
    <w:rsid w:val="2EA868B8"/>
    <w:rsid w:val="2F300C7F"/>
    <w:rsid w:val="3034470A"/>
    <w:rsid w:val="319F7F4E"/>
    <w:rsid w:val="32B74657"/>
    <w:rsid w:val="354950D4"/>
    <w:rsid w:val="356A1152"/>
    <w:rsid w:val="35886A81"/>
    <w:rsid w:val="365B302B"/>
    <w:rsid w:val="37653D51"/>
    <w:rsid w:val="3A72251E"/>
    <w:rsid w:val="3B2354F6"/>
    <w:rsid w:val="3B837124"/>
    <w:rsid w:val="3C4E4E42"/>
    <w:rsid w:val="3CA309E9"/>
    <w:rsid w:val="3D870704"/>
    <w:rsid w:val="3F4B5A39"/>
    <w:rsid w:val="409C04F7"/>
    <w:rsid w:val="41D0475C"/>
    <w:rsid w:val="41E4551D"/>
    <w:rsid w:val="42946983"/>
    <w:rsid w:val="43491AB1"/>
    <w:rsid w:val="43E241D8"/>
    <w:rsid w:val="44F2335F"/>
    <w:rsid w:val="44F54182"/>
    <w:rsid w:val="45CD0843"/>
    <w:rsid w:val="45D82B90"/>
    <w:rsid w:val="46856125"/>
    <w:rsid w:val="4715207B"/>
    <w:rsid w:val="483C65E2"/>
    <w:rsid w:val="48854C46"/>
    <w:rsid w:val="488F2F70"/>
    <w:rsid w:val="4A411A5E"/>
    <w:rsid w:val="4ACB5CD7"/>
    <w:rsid w:val="4E207162"/>
    <w:rsid w:val="4E742877"/>
    <w:rsid w:val="4EAA5602"/>
    <w:rsid w:val="4ECE2238"/>
    <w:rsid w:val="5073237C"/>
    <w:rsid w:val="517576C7"/>
    <w:rsid w:val="51C43576"/>
    <w:rsid w:val="531A0324"/>
    <w:rsid w:val="5348201B"/>
    <w:rsid w:val="550833E3"/>
    <w:rsid w:val="556C3F93"/>
    <w:rsid w:val="56712E2E"/>
    <w:rsid w:val="57BA162A"/>
    <w:rsid w:val="595561FB"/>
    <w:rsid w:val="599B1F42"/>
    <w:rsid w:val="59FF7BAD"/>
    <w:rsid w:val="5A771CE1"/>
    <w:rsid w:val="5A791099"/>
    <w:rsid w:val="5AA9110B"/>
    <w:rsid w:val="5B3A0299"/>
    <w:rsid w:val="5BC840DC"/>
    <w:rsid w:val="5C2B1403"/>
    <w:rsid w:val="5D1C654D"/>
    <w:rsid w:val="5D3F6C4F"/>
    <w:rsid w:val="5D966919"/>
    <w:rsid w:val="5DC40F10"/>
    <w:rsid w:val="5F35082F"/>
    <w:rsid w:val="60D46645"/>
    <w:rsid w:val="61490CA6"/>
    <w:rsid w:val="62250672"/>
    <w:rsid w:val="62933E7D"/>
    <w:rsid w:val="641613F3"/>
    <w:rsid w:val="65056C30"/>
    <w:rsid w:val="65295722"/>
    <w:rsid w:val="65E8324C"/>
    <w:rsid w:val="66363C6C"/>
    <w:rsid w:val="669C4337"/>
    <w:rsid w:val="673B0A98"/>
    <w:rsid w:val="67935497"/>
    <w:rsid w:val="67F84FC8"/>
    <w:rsid w:val="68C82B6A"/>
    <w:rsid w:val="69EB6A0A"/>
    <w:rsid w:val="6ACD07DD"/>
    <w:rsid w:val="6ADA5C9D"/>
    <w:rsid w:val="6ADC7761"/>
    <w:rsid w:val="6B613D5C"/>
    <w:rsid w:val="6BEB675B"/>
    <w:rsid w:val="6C700803"/>
    <w:rsid w:val="6EE31EA1"/>
    <w:rsid w:val="700D4447"/>
    <w:rsid w:val="706F2B95"/>
    <w:rsid w:val="71F75B1C"/>
    <w:rsid w:val="72734D90"/>
    <w:rsid w:val="73E35639"/>
    <w:rsid w:val="757D1CAE"/>
    <w:rsid w:val="757F3C26"/>
    <w:rsid w:val="75C43A01"/>
    <w:rsid w:val="76403A40"/>
    <w:rsid w:val="77491969"/>
    <w:rsid w:val="781C3289"/>
    <w:rsid w:val="79983708"/>
    <w:rsid w:val="7AF3040E"/>
    <w:rsid w:val="7BB37091"/>
    <w:rsid w:val="7BF41802"/>
    <w:rsid w:val="7C334028"/>
    <w:rsid w:val="7C5241EA"/>
    <w:rsid w:val="7C534646"/>
    <w:rsid w:val="7DDE1AE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标题 2 Char1"/>
    <w:basedOn w:val="13"/>
    <w:link w:val="3"/>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3.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4.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51436868041425"/>
          <c:y val="0.219575241930246"/>
          <c:w val="0.940620782726046"/>
          <c:h val="0.597677902621723"/>
        </c:manualLayout>
      </c:layout>
      <c:barChart>
        <c:barDir val="col"/>
        <c:grouping val="clustered"/>
        <c:varyColors val="0"/>
        <c:ser>
          <c:idx val="0"/>
          <c:order val="0"/>
          <c:tx>
            <c:strRef>
              <c:f>Sheet1!$B$1</c:f>
              <c:strCache>
                <c:ptCount val="1"/>
                <c:pt idx="0">
                  <c:v>2023年</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0.00372049761655621"/>
                  <c:y val="0"/>
                </c:manualLayout>
              </c:layout>
              <c:tx>
                <c:rich>
                  <a:bodyPr rot="0" spcFirstLastPara="0" vertOverflow="ellipsis" vert="horz" wrap="square" lIns="38100" tIns="19050" rIns="38100" bIns="19050" anchor="ctr" anchorCtr="1"/>
                  <a:lstStyle/>
                  <a:p>
                    <a:pPr defTabSz="914400">
                      <a:defRPr lang="zh-CN" sz="900" b="1" i="0" u="none" strike="noStrike" kern="1200" baseline="0">
                        <a:solidFill>
                          <a:schemeClr val="lt1"/>
                        </a:solidFill>
                        <a:latin typeface="+mn-lt"/>
                        <a:ea typeface="+mn-ea"/>
                        <a:cs typeface="+mn-cs"/>
                      </a:defRPr>
                    </a:pPr>
                    <a:r>
                      <a:rPr lang="en-US" altLang="zh-CN"/>
                      <a:t>11307.61</a:t>
                    </a:r>
                    <a:endParaRPr lang="en-US" altLang="zh-CN"/>
                  </a:p>
                  <a:p>
                    <a:pPr defTabSz="914400">
                      <a:defRPr lang="zh-CN" sz="900" b="1" i="0" u="none" strike="noStrike" kern="1200" baseline="0">
                        <a:solidFill>
                          <a:schemeClr val="lt1"/>
                        </a:solidFill>
                        <a:latin typeface="+mn-lt"/>
                        <a:ea typeface="+mn-ea"/>
                        <a:cs typeface="+mn-cs"/>
                      </a:defRPr>
                    </a:p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1" i="0" u="none" strike="noStrike" kern="1200" baseline="0">
                        <a:solidFill>
                          <a:schemeClr val="lt1"/>
                        </a:solidFill>
                        <a:latin typeface="+mn-lt"/>
                        <a:ea typeface="+mn-ea"/>
                        <a:cs typeface="+mn-cs"/>
                      </a:defRPr>
                    </a:pPr>
                    <a:r>
                      <a:rPr lang="en-US" altLang="zh-CN"/>
                      <a:t>11307.61</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收入</c:v>
                </c:pt>
                <c:pt idx="1">
                  <c:v>支出</c:v>
                </c:pt>
              </c:strCache>
            </c:strRef>
          </c:cat>
          <c:val>
            <c:numRef>
              <c:f>Sheet1!$B$2:$B$3</c:f>
              <c:numCache>
                <c:formatCode>#,##0.00</c:formatCode>
                <c:ptCount val="2"/>
                <c:pt idx="0">
                  <c:v>11307.61</c:v>
                </c:pt>
                <c:pt idx="1">
                  <c:v>11307.61</c:v>
                </c:pt>
              </c:numCache>
            </c:numRef>
          </c:val>
        </c:ser>
        <c:ser>
          <c:idx val="1"/>
          <c:order val="1"/>
          <c:tx>
            <c:strRef>
              <c:f>Sheet1!$C$1</c:f>
              <c:strCache>
                <c:ptCount val="1"/>
                <c:pt idx="0">
                  <c:v>2022年</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tx>
                <c:rich>
                  <a:bodyPr rot="0" spcFirstLastPara="0" vertOverflow="ellipsis" vert="horz" wrap="square" lIns="38100" tIns="19050" rIns="38100" bIns="19050" anchor="ctr" anchorCtr="1"/>
                  <a:lstStyle/>
                  <a:p>
                    <a:pPr defTabSz="914400">
                      <a:defRPr lang="zh-CN" sz="900" b="1" i="0" u="none" strike="noStrike" kern="1200" baseline="0">
                        <a:solidFill>
                          <a:schemeClr val="lt1"/>
                        </a:solidFill>
                        <a:latin typeface="+mn-lt"/>
                        <a:ea typeface="+mn-ea"/>
                        <a:cs typeface="+mn-cs"/>
                      </a:defRPr>
                    </a:pPr>
                    <a:r>
                      <a:t>10</a:t>
                    </a:r>
                    <a:r>
                      <a:rPr lang="en-US" altLang="zh-CN"/>
                      <a:t>188.62</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1" i="0" u="none" strike="noStrike" kern="1200" baseline="0">
                        <a:solidFill>
                          <a:schemeClr val="lt1"/>
                        </a:solidFill>
                        <a:latin typeface="+mn-lt"/>
                        <a:ea typeface="+mn-ea"/>
                        <a:cs typeface="+mn-cs"/>
                      </a:defRPr>
                    </a:pPr>
                    <a:r>
                      <a:t>10</a:t>
                    </a:r>
                    <a:r>
                      <a:rPr lang="en-US" altLang="zh-CN"/>
                      <a:t>188.62</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收入</c:v>
                </c:pt>
                <c:pt idx="1">
                  <c:v>支出</c:v>
                </c:pt>
              </c:strCache>
            </c:strRef>
          </c:cat>
          <c:val>
            <c:numRef>
              <c:f>Sheet1!$C$2:$C$3</c:f>
              <c:numCache>
                <c:formatCode>General</c:formatCode>
                <c:ptCount val="2"/>
                <c:pt idx="0">
                  <c:v>10188.62</c:v>
                </c:pt>
                <c:pt idx="1">
                  <c:v>10188.62</c:v>
                </c:pt>
              </c:numCache>
            </c:numRef>
          </c:val>
        </c:ser>
        <c:ser>
          <c:idx val="2"/>
          <c:order val="2"/>
          <c:tx>
            <c:strRef>
              <c:f>Sheet1!$D$1</c:f>
              <c:strCache>
                <c:ptCount val="1"/>
                <c:pt idx="0">
                  <c:v>列1</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收入</c:v>
                </c:pt>
                <c:pt idx="1">
                  <c:v>支出</c:v>
                </c:pt>
              </c:strCache>
            </c:strRef>
          </c:cat>
          <c:val>
            <c:numRef>
              <c:f>Sheet1!$D$2:$D$3</c:f>
              <c:numCache>
                <c:formatCode>General</c:formatCode>
                <c:ptCount val="2"/>
              </c:numCache>
            </c:numRef>
          </c:val>
        </c:ser>
        <c:dLbls>
          <c:showLegendKey val="0"/>
          <c:showVal val="1"/>
          <c:showCatName val="0"/>
          <c:showSerName val="0"/>
          <c:showPercent val="0"/>
          <c:showBubbleSize val="0"/>
        </c:dLbls>
        <c:gapWidth val="65"/>
        <c:axId val="110485504"/>
        <c:axId val="110487040"/>
      </c:barChart>
      <c:catAx>
        <c:axId val="110485504"/>
        <c:scaling>
          <c:orientation val="minMax"/>
        </c:scaling>
        <c:delete val="0"/>
        <c:axPos val="b"/>
        <c:majorTickMark val="out"/>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10487040"/>
        <c:crosses val="autoZero"/>
        <c:auto val="1"/>
        <c:lblAlgn val="ctr"/>
        <c:lblOffset val="100"/>
        <c:noMultiLvlLbl val="0"/>
      </c:catAx>
      <c:valAx>
        <c:axId val="11048704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110485504"/>
        <c:crosses val="autoZero"/>
        <c:crossBetween val="between"/>
      </c:valAx>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资金总额（万元）</c:v>
                </c:pt>
              </c:strCache>
            </c:strRef>
          </c:tx>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c:spPr>
          </c:dPt>
          <c:dPt>
            <c:idx val="3"/>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c:spPr>
          </c:dPt>
          <c:dPt>
            <c:idx val="4"/>
            <c:bubble3D val="0"/>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一般公共预算财政拨款收入</c:v>
                </c:pt>
                <c:pt idx="1">
                  <c:v>政府性基金预算财政拨款收入</c:v>
                </c:pt>
                <c:pt idx="3">
                  <c:v>国有资本经营预算财政拨款收入</c:v>
                </c:pt>
                <c:pt idx="4">
                  <c:v>其他收入</c:v>
                </c:pt>
              </c:strCache>
            </c:strRef>
          </c:cat>
          <c:val>
            <c:numRef>
              <c:f>Sheet1!$B$2:$B$6</c:f>
              <c:numCache>
                <c:formatCode>General</c:formatCode>
                <c:ptCount val="5"/>
                <c:pt idx="0">
                  <c:v>10594.82</c:v>
                </c:pt>
                <c:pt idx="1">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资金总额（万元）</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8255.11</c:v>
                </c:pt>
                <c:pt idx="1">
                  <c:v>3052.5</c:v>
                </c:pt>
                <c:pt idx="2" c:formatCode="General">
                  <c:v>0</c:v>
                </c:pt>
                <c:pt idx="3" c:formatCode="General">
                  <c:v>0</c:v>
                </c:pt>
                <c:pt idx="4" c:formatCode="General">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810700605462"/>
          <c:y val="0.0599891422366992"/>
          <c:w val="0.720499196836773"/>
          <c:h val="0.797774158523344"/>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11307.61</a:t>
                    </a:r>
                    <a:endParaRPr lang="en-US" altLang="zh-CN"/>
                  </a:p>
                  <a:p>
                    <a:pPr defTabSz="914400">
                      <a:defRPr lang="zh-CN" sz="900" b="0" i="0" u="none" strike="noStrike" kern="1200" baseline="0">
                        <a:solidFill>
                          <a:schemeClr val="tx1">
                            <a:lumMod val="75000"/>
                            <a:lumOff val="25000"/>
                          </a:schemeClr>
                        </a:solidFill>
                        <a:latin typeface="+mn-lt"/>
                        <a:ea typeface="+mn-ea"/>
                        <a:cs typeface="+mn-cs"/>
                      </a:defRPr>
                    </a:pP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11307.61</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#,##0.00</c:formatCode>
                <c:ptCount val="2"/>
                <c:pt idx="0">
                  <c:v>11307.61</c:v>
                </c:pt>
                <c:pt idx="1">
                  <c:v>11307.61</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10188.62</c:v>
                </c:pt>
                <c:pt idx="1">
                  <c:v>10188.62</c:v>
                </c:pt>
              </c:numCache>
            </c:numRef>
          </c:val>
        </c:ser>
        <c:dLbls>
          <c:showLegendKey val="0"/>
          <c:showVal val="1"/>
          <c:showCatName val="0"/>
          <c:showSerName val="0"/>
          <c:showPercent val="0"/>
          <c:showBubbleSize val="0"/>
        </c:dLbls>
        <c:gapWidth val="219"/>
        <c:overlap val="-27"/>
        <c:axId val="111121536"/>
        <c:axId val="111123072"/>
      </c:barChart>
      <c:catAx>
        <c:axId val="111121536"/>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1123072"/>
        <c:crosses val="autoZero"/>
        <c:auto val="1"/>
        <c:lblAlgn val="ctr"/>
        <c:lblOffset val="100"/>
        <c:noMultiLvlLbl val="0"/>
      </c:catAx>
      <c:valAx>
        <c:axId val="1111230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112153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928785158587672"/>
          <c:y val="0.0776801405975395"/>
          <c:w val="0.753321364452424"/>
          <c:h val="0.738137082601054"/>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11307.61</c:v>
                </c:pt>
              </c:numCache>
            </c:numRef>
          </c:val>
        </c:ser>
        <c:ser>
          <c:idx val="1"/>
          <c:order val="1"/>
          <c:tx>
            <c:strRef>
              <c:f>Sheet1!$C$1</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10188.62</c:v>
                </c:pt>
              </c:numCache>
            </c:numRef>
          </c:val>
        </c:ser>
        <c:dLbls>
          <c:showLegendKey val="0"/>
          <c:showVal val="1"/>
          <c:showCatName val="0"/>
          <c:showSerName val="0"/>
          <c:showPercent val="0"/>
          <c:showBubbleSize val="0"/>
        </c:dLbls>
        <c:gapWidth val="150"/>
        <c:axId val="111566208"/>
        <c:axId val="111821952"/>
      </c:barChart>
      <c:catAx>
        <c:axId val="11156620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1821952"/>
        <c:crosses val="autoZero"/>
        <c:auto val="1"/>
        <c:lblAlgn val="ctr"/>
        <c:lblOffset val="100"/>
        <c:noMultiLvlLbl val="0"/>
      </c:catAx>
      <c:valAx>
        <c:axId val="11182195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156620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221707677165354"/>
          <c:y val="0.255302806499261"/>
          <c:w val="0.323070866141732"/>
          <c:h val="0.646459871984244"/>
        </c:manualLayout>
      </c:layout>
      <c:pieChart>
        <c:varyColors val="1"/>
        <c:ser>
          <c:idx val="0"/>
          <c:order val="0"/>
          <c:tx>
            <c:strRef>
              <c:f>Sheet1!$B$1</c:f>
              <c:strCache>
                <c:ptCount val="1"/>
                <c:pt idx="0">
                  <c:v>资金总额（万元）</c:v>
                </c:pt>
              </c:strCache>
            </c:strRef>
          </c:tx>
          <c:explosion val="0"/>
          <c:dPt>
            <c:idx val="0"/>
            <c:bubble3D val="0"/>
          </c:dPt>
          <c:dPt>
            <c:idx val="1"/>
            <c:bubble3D val="0"/>
          </c:dPt>
          <c:dPt>
            <c:idx val="2"/>
            <c:bubble3D val="0"/>
          </c:dPt>
          <c:dPt>
            <c:idx val="3"/>
            <c:bubble3D val="0"/>
          </c:dPt>
          <c:dPt>
            <c:idx val="4"/>
            <c:bubble3D val="0"/>
          </c:dPt>
          <c:dPt>
            <c:idx val="5"/>
            <c:bubble3D val="0"/>
          </c:dPt>
          <c:dLbls>
            <c:dLbl>
              <c:idx val="0"/>
              <c:layout>
                <c:manualLayout>
                  <c:x val="0.0726049816347814"/>
                  <c:y val="-0.021176011483664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525953289936794"/>
                  <c:y val="0.071217757001164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92120749077977"/>
                  <c:y val="0.0093841503250028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479587764078422"/>
                  <c:y val="-0.0053882115494997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2060"/>
                      </a:solidFill>
                      <a:prstDash val="solid"/>
                      <a:round/>
                    </a:ln>
                  </c:spPr>
                </c15:leaderLines>
              </c:ext>
            </c:extLst>
          </c:dLbls>
          <c:cat>
            <c:strRef>
              <c:f>Sheet1!$A$2:$A$7</c:f>
              <c:strCache>
                <c:ptCount val="6"/>
                <c:pt idx="0">
                  <c:v>文化旅游体育与传媒支出</c:v>
                </c:pt>
                <c:pt idx="1">
                  <c:v>公共安全支出</c:v>
                </c:pt>
                <c:pt idx="2">
                  <c:v>社会保障和就业</c:v>
                </c:pt>
                <c:pt idx="3">
                  <c:v>卫生健康支出</c:v>
                </c:pt>
                <c:pt idx="4">
                  <c:v>住房保障支出</c:v>
                </c:pt>
                <c:pt idx="5">
                  <c:v>一般公共服务支出</c:v>
                </c:pt>
              </c:strCache>
            </c:strRef>
          </c:cat>
          <c:val>
            <c:numRef>
              <c:f>Sheet1!$B$2:$B$7</c:f>
              <c:numCache>
                <c:formatCode>General</c:formatCode>
                <c:ptCount val="6"/>
                <c:pt idx="0">
                  <c:v>1.37</c:v>
                </c:pt>
                <c:pt idx="1" c:formatCode="#,##0.00">
                  <c:v>9720.33</c:v>
                </c:pt>
                <c:pt idx="2">
                  <c:v>785.21</c:v>
                </c:pt>
                <c:pt idx="3">
                  <c:v>405.91</c:v>
                </c:pt>
                <c:pt idx="4">
                  <c:v>394.79</c:v>
                </c:pt>
                <c:pt idx="5">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资金总额(万元)</c:v>
                </c:pt>
              </c:strCache>
            </c:strRef>
          </c:tx>
          <c:explosion val="0"/>
          <c:dPt>
            <c:idx val="0"/>
            <c:bubble3D val="0"/>
          </c:dPt>
          <c:dPt>
            <c:idx val="1"/>
            <c:bubble3D val="0"/>
          </c:dPt>
          <c:dPt>
            <c:idx val="2"/>
            <c:bubble3D val="0"/>
          </c:dPt>
          <c:dLbls>
            <c:dLbl>
              <c:idx val="0"/>
              <c:layout>
                <c:manualLayout>
                  <c:x val="0.0566607907328129"/>
                  <c:y val="-0.0059582919563058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04683953738291"/>
                  <c:y val="0.023934205934811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252.27</c:v>
                </c:pt>
                <c:pt idx="2">
                  <c:v>1.11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100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35</Pages>
  <Words>14002</Words>
  <Characters>3969</Characters>
  <Lines>33</Lines>
  <Paragraphs>35</Paragraphs>
  <TotalTime>19</TotalTime>
  <ScaleCrop>false</ScaleCrop>
  <LinksUpToDate>false</LinksUpToDate>
  <CharactersWithSpaces>17936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2024-09-09T03:15:00Z</cp:lastPrinted>
  <dcterms:modified xsi:type="dcterms:W3CDTF">2026-08-21T02:44:34Z</dcterms:modified>
  <dc:title>四川省***</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1D031D423051403F8D0501342205E862_12</vt:lpwstr>
  </property>
</Properties>
</file>