
<file path=[Content_Types].xml><?xml version="1.0" encoding="utf-8"?>
<Types xmlns="http://schemas.openxmlformats.org/package/2006/content-types">
  <Default Extension="xml" ContentType="application/xml"/>
  <Default Extension="xls" ContentType="application/vnd.ms-exce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B99AD">
      <w:pPr>
        <w:spacing w:line="600" w:lineRule="exact"/>
        <w:jc w:val="center"/>
        <w:outlineLvl w:val="0"/>
        <w:rPr>
          <w:rFonts w:hint="eastAsia" w:ascii="仿宋" w:hAnsi="仿宋" w:eastAsia="仿宋" w:cs="仿宋"/>
          <w:color w:val="000000"/>
          <w:sz w:val="72"/>
          <w:szCs w:val="72"/>
        </w:rPr>
      </w:pPr>
      <w:bookmarkStart w:id="0" w:name="_Toc15306267"/>
    </w:p>
    <w:p w14:paraId="45566E5E">
      <w:pPr>
        <w:spacing w:line="600" w:lineRule="exact"/>
        <w:jc w:val="center"/>
        <w:outlineLvl w:val="0"/>
        <w:rPr>
          <w:rFonts w:ascii="仿宋" w:hAnsi="仿宋" w:eastAsia="仿宋" w:cs="仿宋"/>
          <w:color w:val="000000"/>
          <w:sz w:val="72"/>
          <w:szCs w:val="72"/>
        </w:rPr>
      </w:pPr>
    </w:p>
    <w:p w14:paraId="38D36667">
      <w:pPr>
        <w:spacing w:line="600" w:lineRule="exact"/>
        <w:jc w:val="center"/>
        <w:outlineLvl w:val="0"/>
        <w:rPr>
          <w:rFonts w:ascii="仿宋" w:hAnsi="仿宋" w:eastAsia="仿宋" w:cs="仿宋"/>
          <w:color w:val="000000"/>
          <w:sz w:val="72"/>
          <w:szCs w:val="72"/>
        </w:rPr>
      </w:pPr>
    </w:p>
    <w:p w14:paraId="0D14268A">
      <w:pPr>
        <w:adjustRightInd w:val="0"/>
        <w:snapToGrid w:val="0"/>
        <w:spacing w:line="0" w:lineRule="atLeast"/>
        <w:jc w:val="center"/>
        <w:outlineLvl w:val="0"/>
        <w:rPr>
          <w:rFonts w:ascii="小标宋" w:eastAsia="小标宋"/>
          <w:b/>
          <w:bCs/>
          <w:color w:val="000000"/>
          <w:sz w:val="52"/>
          <w:szCs w:val="52"/>
        </w:rPr>
      </w:pPr>
      <w:bookmarkStart w:id="1" w:name="_Toc15396597"/>
      <w:bookmarkStart w:id="2" w:name="_Toc15377425"/>
      <w:bookmarkStart w:id="3" w:name="_Toc15396475"/>
      <w:bookmarkStart w:id="4" w:name="_Toc15377193"/>
      <w:bookmarkStart w:id="5" w:name="_Toc15378441"/>
      <w:r>
        <w:rPr>
          <w:rFonts w:eastAsia="小标宋"/>
          <w:b/>
          <w:bCs/>
          <w:color w:val="000000"/>
          <w:sz w:val="52"/>
          <w:szCs w:val="52"/>
        </w:rPr>
        <w:t>2020</w:t>
      </w:r>
      <w:r>
        <w:rPr>
          <w:rFonts w:hint="eastAsia" w:ascii="小标宋" w:eastAsia="小标宋"/>
          <w:b/>
          <w:bCs/>
          <w:color w:val="000000"/>
          <w:sz w:val="52"/>
          <w:szCs w:val="52"/>
        </w:rPr>
        <w:t>年度</w:t>
      </w:r>
      <w:bookmarkEnd w:id="1"/>
      <w:bookmarkEnd w:id="2"/>
      <w:bookmarkEnd w:id="3"/>
      <w:bookmarkEnd w:id="4"/>
      <w:bookmarkEnd w:id="5"/>
    </w:p>
    <w:p w14:paraId="6968D46F">
      <w:pPr>
        <w:adjustRightInd w:val="0"/>
        <w:snapToGrid w:val="0"/>
        <w:spacing w:line="0" w:lineRule="atLeast"/>
        <w:jc w:val="center"/>
        <w:outlineLvl w:val="0"/>
        <w:rPr>
          <w:rFonts w:ascii="小标宋" w:eastAsia="小标宋"/>
          <w:b/>
          <w:bCs/>
          <w:color w:val="000000"/>
          <w:sz w:val="52"/>
          <w:szCs w:val="52"/>
        </w:rPr>
      </w:pPr>
      <w:bookmarkStart w:id="6" w:name="_Toc15396476"/>
      <w:bookmarkStart w:id="7" w:name="_Toc15377426"/>
      <w:bookmarkStart w:id="8" w:name="_Toc15396598"/>
      <w:bookmarkStart w:id="9" w:name="_Toc15377194"/>
      <w:bookmarkStart w:id="10" w:name="_Toc15378442"/>
      <w:r>
        <w:rPr>
          <w:rFonts w:hint="eastAsia" w:ascii="小标宋" w:eastAsia="小标宋"/>
          <w:b/>
          <w:bCs/>
          <w:color w:val="000000"/>
          <w:sz w:val="52"/>
          <w:szCs w:val="52"/>
        </w:rPr>
        <w:t>米易县</w:t>
      </w:r>
      <w:bookmarkEnd w:id="0"/>
      <w:bookmarkStart w:id="11" w:name="_Toc15306268"/>
      <w:r>
        <w:rPr>
          <w:rFonts w:hint="eastAsia" w:ascii="小标宋" w:eastAsia="小标宋"/>
          <w:b/>
          <w:bCs/>
          <w:color w:val="000000"/>
          <w:sz w:val="52"/>
          <w:szCs w:val="52"/>
        </w:rPr>
        <w:t>供销合作社联合社</w:t>
      </w:r>
    </w:p>
    <w:p w14:paraId="0432AAF9">
      <w:pPr>
        <w:adjustRightInd w:val="0"/>
        <w:snapToGrid w:val="0"/>
        <w:spacing w:line="0" w:lineRule="atLeast"/>
        <w:jc w:val="center"/>
        <w:outlineLvl w:val="0"/>
        <w:rPr>
          <w:rFonts w:ascii="小标宋" w:eastAsia="小标宋"/>
          <w:b/>
          <w:bCs/>
          <w:color w:val="000000"/>
          <w:sz w:val="52"/>
          <w:szCs w:val="52"/>
        </w:rPr>
      </w:pPr>
      <w:r>
        <w:rPr>
          <w:rFonts w:hint="eastAsia" w:ascii="小标宋" w:eastAsia="小标宋"/>
          <w:b/>
          <w:bCs/>
          <w:color w:val="000000"/>
          <w:sz w:val="52"/>
          <w:szCs w:val="52"/>
        </w:rPr>
        <w:t>部门决算</w:t>
      </w:r>
      <w:bookmarkEnd w:id="6"/>
      <w:bookmarkEnd w:id="7"/>
      <w:bookmarkEnd w:id="8"/>
      <w:bookmarkEnd w:id="9"/>
      <w:bookmarkEnd w:id="10"/>
      <w:bookmarkEnd w:id="11"/>
    </w:p>
    <w:p w14:paraId="653B6E92">
      <w:pPr>
        <w:widowControl/>
        <w:jc w:val="center"/>
        <w:rPr>
          <w:rFonts w:hint="eastAsia" w:ascii="小标宋" w:hAnsi="仿宋" w:eastAsia="小标宋" w:cs="仿宋"/>
          <w:color w:val="000000"/>
          <w:sz w:val="44"/>
          <w:szCs w:val="44"/>
        </w:rPr>
      </w:pPr>
      <w:r>
        <w:rPr>
          <w:rFonts w:ascii="仿宋" w:hAnsi="仿宋" w:eastAsia="仿宋" w:cs="仿宋"/>
          <w:color w:val="000000"/>
          <w:sz w:val="36"/>
          <w:szCs w:val="36"/>
        </w:rPr>
        <w:br w:type="page"/>
      </w:r>
      <w:r>
        <w:rPr>
          <w:rFonts w:hint="eastAsia" w:ascii="小标宋" w:hAnsi="仿宋" w:eastAsia="小标宋" w:cs="仿宋"/>
          <w:color w:val="000000"/>
          <w:sz w:val="44"/>
          <w:szCs w:val="44"/>
        </w:rPr>
        <w:t>目录</w:t>
      </w:r>
    </w:p>
    <w:p w14:paraId="330FE927">
      <w:pPr>
        <w:widowControl/>
        <w:jc w:val="center"/>
        <w:rPr>
          <w:rFonts w:ascii="仿宋" w:hAnsi="仿宋" w:eastAsia="仿宋" w:cs="仿宋"/>
          <w:sz w:val="28"/>
          <w:szCs w:val="28"/>
        </w:rPr>
      </w:pPr>
    </w:p>
    <w:p w14:paraId="73F2F138">
      <w:pPr>
        <w:pStyle w:val="11"/>
        <w:rPr>
          <w:rFonts w:ascii="Times New Roman" w:hAnsi="Times New Roman" w:eastAsia="仿宋_GB2312"/>
          <w:sz w:val="32"/>
          <w:szCs w:val="32"/>
        </w:rPr>
      </w:pPr>
      <w:r>
        <w:rPr>
          <w:rFonts w:ascii="Times New Roman" w:hAnsi="Times New Roman" w:eastAsia="仿宋_GB2312"/>
          <w:sz w:val="32"/>
          <w:szCs w:val="32"/>
        </w:rPr>
        <w:t>公开时间：2021年 10月 2</w:t>
      </w:r>
      <w:r>
        <w:rPr>
          <w:rFonts w:hint="eastAsia" w:ascii="Times New Roman" w:hAnsi="Times New Roman" w:eastAsia="仿宋_GB2312"/>
          <w:sz w:val="32"/>
          <w:szCs w:val="32"/>
          <w:lang w:val="en-US" w:eastAsia="zh-CN"/>
        </w:rPr>
        <w:t>7</w:t>
      </w:r>
      <w:r>
        <w:rPr>
          <w:rFonts w:ascii="Times New Roman" w:hAnsi="Times New Roman" w:eastAsia="仿宋_GB2312"/>
          <w:sz w:val="32"/>
          <w:szCs w:val="32"/>
        </w:rPr>
        <w:t>日</w:t>
      </w:r>
    </w:p>
    <w:p w14:paraId="7D722A6A">
      <w:pPr>
        <w:rPr>
          <w:rFonts w:ascii="仿宋" w:hAnsi="仿宋" w:eastAsia="仿宋" w:cs="仿宋"/>
        </w:rPr>
      </w:pPr>
    </w:p>
    <w:p w14:paraId="4FF6BF5B">
      <w:pPr>
        <w:jc w:val="center"/>
      </w:pPr>
      <w:bookmarkStart w:id="12" w:name="_Toc19934_WPSOffice_Type2"/>
      <w:r>
        <w:rPr>
          <w:rFonts w:hint="eastAsia" w:ascii="宋体" w:hAnsi="宋体"/>
        </w:rPr>
        <w:t>目录</w:t>
      </w:r>
    </w:p>
    <w:p w14:paraId="4BCC2857">
      <w:pPr>
        <w:pStyle w:val="31"/>
        <w:tabs>
          <w:tab w:val="right" w:leader="dot" w:pos="8306"/>
        </w:tabs>
      </w:pPr>
      <w:r>
        <w:fldChar w:fldCharType="begin"/>
      </w:r>
      <w:r>
        <w:instrText xml:space="preserve"> HYPERLINK \l "_Toc15147_WPSOffice_Level1" </w:instrText>
      </w:r>
      <w:r>
        <w:fldChar w:fldCharType="separate"/>
      </w:r>
      <w:r>
        <w:rPr>
          <w:rFonts w:hint="eastAsia" w:ascii="Times New Roman" w:hAnsi="Times New Roman"/>
          <w:b/>
          <w:bCs/>
        </w:rPr>
        <w:t>第一部分</w:t>
      </w:r>
      <w:r>
        <w:rPr>
          <w:rFonts w:ascii="Times New Roman" w:hAnsi="Times New Roman"/>
          <w:b/>
          <w:bCs/>
        </w:rPr>
        <w:t xml:space="preserve"> </w:t>
      </w:r>
      <w:r>
        <w:rPr>
          <w:rFonts w:hint="eastAsia" w:ascii="Times New Roman" w:hAnsi="Times New Roman"/>
          <w:b/>
          <w:bCs/>
        </w:rPr>
        <w:t>部门概况</w:t>
      </w:r>
      <w:r>
        <w:rPr>
          <w:b/>
          <w:bCs/>
        </w:rPr>
        <w:tab/>
      </w:r>
      <w:r>
        <w:rPr>
          <w:rFonts w:hint="eastAsia"/>
          <w:b/>
          <w:bCs/>
          <w:lang w:val="en-US" w:eastAsia="zh-CN"/>
        </w:rPr>
        <w:t>3</w:t>
      </w:r>
      <w:r>
        <w:rPr>
          <w:b/>
          <w:bCs/>
        </w:rPr>
        <w:fldChar w:fldCharType="end"/>
      </w:r>
    </w:p>
    <w:p w14:paraId="0D814869">
      <w:pPr>
        <w:pStyle w:val="32"/>
        <w:tabs>
          <w:tab w:val="right" w:leader="dot" w:pos="8306"/>
        </w:tabs>
        <w:ind w:left="420"/>
      </w:pPr>
      <w:r>
        <w:fldChar w:fldCharType="begin"/>
      </w:r>
      <w:r>
        <w:instrText xml:space="preserve"> HYPERLINK \l "_Toc19934_WPSOffice_Level2" </w:instrText>
      </w:r>
      <w:r>
        <w:fldChar w:fldCharType="separate"/>
      </w:r>
      <w:r>
        <w:rPr>
          <w:rFonts w:hint="eastAsia" w:ascii="Cambria" w:hAnsi="Cambria"/>
        </w:rPr>
        <w:t>一、基本职能及主要工作</w:t>
      </w:r>
      <w:r>
        <w:tab/>
      </w:r>
      <w:r>
        <w:rPr>
          <w:rFonts w:hint="eastAsia"/>
          <w:lang w:val="en-US" w:eastAsia="zh-CN"/>
        </w:rPr>
        <w:t>3</w:t>
      </w:r>
      <w:r>
        <w:fldChar w:fldCharType="end"/>
      </w:r>
    </w:p>
    <w:p w14:paraId="180DA391">
      <w:pPr>
        <w:pStyle w:val="32"/>
        <w:tabs>
          <w:tab w:val="right" w:leader="dot" w:pos="8306"/>
        </w:tabs>
        <w:ind w:left="420"/>
      </w:pPr>
      <w:r>
        <w:fldChar w:fldCharType="begin"/>
      </w:r>
      <w:r>
        <w:instrText xml:space="preserve"> HYPERLINK \l "_Toc12754_WPSOffice_Level2" </w:instrText>
      </w:r>
      <w:r>
        <w:fldChar w:fldCharType="separate"/>
      </w:r>
      <w:r>
        <w:rPr>
          <w:rFonts w:hint="eastAsia" w:ascii="Cambria" w:hAnsi="Cambria"/>
        </w:rPr>
        <w:t>二、机构设置</w:t>
      </w:r>
      <w:r>
        <w:tab/>
      </w:r>
      <w:r>
        <w:rPr>
          <w:rFonts w:hint="eastAsia"/>
        </w:rPr>
        <w:t>7</w:t>
      </w:r>
      <w:r>
        <w:rPr>
          <w:rFonts w:hint="eastAsia"/>
        </w:rPr>
        <w:fldChar w:fldCharType="end"/>
      </w:r>
    </w:p>
    <w:p w14:paraId="0F900C6D">
      <w:pPr>
        <w:pStyle w:val="31"/>
        <w:tabs>
          <w:tab w:val="right" w:leader="dot" w:pos="8306"/>
        </w:tabs>
      </w:pPr>
      <w:r>
        <w:fldChar w:fldCharType="begin"/>
      </w:r>
      <w:r>
        <w:instrText xml:space="preserve"> HYPERLINK \l "_Toc19934_WPSOffice_Level1" </w:instrText>
      </w:r>
      <w:r>
        <w:fldChar w:fldCharType="separate"/>
      </w:r>
      <w:r>
        <w:rPr>
          <w:rFonts w:hint="eastAsia" w:ascii="Times New Roman" w:hAnsi="Times New Roman"/>
          <w:b/>
          <w:bCs/>
        </w:rPr>
        <w:t>第二部分</w:t>
      </w:r>
      <w:r>
        <w:rPr>
          <w:rFonts w:ascii="Times New Roman" w:hAnsi="Times New Roman"/>
          <w:b/>
          <w:bCs/>
        </w:rPr>
        <w:t xml:space="preserve"> 2020</w:t>
      </w:r>
      <w:r>
        <w:rPr>
          <w:rFonts w:hint="eastAsia" w:ascii="Times New Roman" w:hAnsi="Times New Roman"/>
          <w:b/>
          <w:bCs/>
        </w:rPr>
        <w:t>年度部门决算情况说明</w:t>
      </w:r>
      <w:r>
        <w:rPr>
          <w:b/>
          <w:bCs/>
        </w:rPr>
        <w:tab/>
      </w:r>
      <w:r>
        <w:rPr>
          <w:rFonts w:hint="eastAsia"/>
          <w:b/>
          <w:bCs/>
        </w:rPr>
        <w:t>8</w:t>
      </w:r>
      <w:r>
        <w:rPr>
          <w:rFonts w:hint="eastAsia"/>
          <w:b/>
          <w:bCs/>
        </w:rPr>
        <w:fldChar w:fldCharType="end"/>
      </w:r>
    </w:p>
    <w:p w14:paraId="45C1AD58">
      <w:pPr>
        <w:pStyle w:val="32"/>
        <w:tabs>
          <w:tab w:val="right" w:leader="dot" w:pos="8306"/>
        </w:tabs>
        <w:ind w:left="420"/>
      </w:pPr>
      <w:r>
        <w:fldChar w:fldCharType="begin"/>
      </w:r>
      <w:r>
        <w:instrText xml:space="preserve"> HYPERLINK \l "_Toc32365_WPSOffice_Level2" </w:instrText>
      </w:r>
      <w:r>
        <w:fldChar w:fldCharType="separate"/>
      </w:r>
      <w:r>
        <w:rPr>
          <w:rFonts w:hint="eastAsia" w:ascii="Cambria" w:hAnsi="Cambria"/>
        </w:rPr>
        <w:t>一、</w:t>
      </w:r>
      <w:r>
        <w:rPr>
          <w:rFonts w:ascii="Cambria" w:hAnsi="Cambria"/>
        </w:rPr>
        <w:t xml:space="preserve"> </w:t>
      </w:r>
      <w:r>
        <w:rPr>
          <w:rFonts w:hint="eastAsia" w:ascii="Cambria" w:hAnsi="Cambria"/>
        </w:rPr>
        <w:t>收入支出决算总体情况说明</w:t>
      </w:r>
      <w:r>
        <w:tab/>
      </w:r>
      <w:r>
        <w:rPr>
          <w:rFonts w:hint="eastAsia"/>
        </w:rPr>
        <w:t>8</w:t>
      </w:r>
      <w:r>
        <w:rPr>
          <w:rFonts w:hint="eastAsia"/>
        </w:rPr>
        <w:fldChar w:fldCharType="end"/>
      </w:r>
    </w:p>
    <w:p w14:paraId="0B6E469D">
      <w:pPr>
        <w:pStyle w:val="32"/>
        <w:tabs>
          <w:tab w:val="right" w:leader="dot" w:pos="8306"/>
        </w:tabs>
        <w:ind w:left="420"/>
      </w:pPr>
      <w:r>
        <w:fldChar w:fldCharType="begin"/>
      </w:r>
      <w:r>
        <w:instrText xml:space="preserve"> HYPERLINK \l "_Toc31975_WPSOffice_Level2" </w:instrText>
      </w:r>
      <w:r>
        <w:fldChar w:fldCharType="separate"/>
      </w:r>
      <w:r>
        <w:rPr>
          <w:rFonts w:hint="eastAsia" w:ascii="Cambria" w:hAnsi="Cambria"/>
        </w:rPr>
        <w:t>二、</w:t>
      </w:r>
      <w:r>
        <w:rPr>
          <w:rFonts w:ascii="Cambria" w:hAnsi="Cambria"/>
        </w:rPr>
        <w:t xml:space="preserve"> </w:t>
      </w:r>
      <w:r>
        <w:rPr>
          <w:rFonts w:hint="eastAsia" w:ascii="Cambria" w:hAnsi="Cambria"/>
        </w:rPr>
        <w:t>收入决算情况说明</w:t>
      </w:r>
      <w:r>
        <w:tab/>
      </w:r>
      <w:r>
        <w:rPr>
          <w:rFonts w:hint="eastAsia"/>
        </w:rPr>
        <w:t>8</w:t>
      </w:r>
      <w:r>
        <w:rPr>
          <w:rFonts w:hint="eastAsia"/>
        </w:rPr>
        <w:fldChar w:fldCharType="end"/>
      </w:r>
    </w:p>
    <w:p w14:paraId="2B975FC6">
      <w:pPr>
        <w:pStyle w:val="32"/>
        <w:tabs>
          <w:tab w:val="right" w:leader="dot" w:pos="8306"/>
        </w:tabs>
        <w:ind w:left="420"/>
      </w:pPr>
      <w:r>
        <w:fldChar w:fldCharType="begin"/>
      </w:r>
      <w:r>
        <w:instrText xml:space="preserve"> HYPERLINK \l "_Toc11148_WPSOffice_Level2" </w:instrText>
      </w:r>
      <w:r>
        <w:fldChar w:fldCharType="separate"/>
      </w:r>
      <w:r>
        <w:rPr>
          <w:rFonts w:hint="eastAsia" w:ascii="Cambria" w:hAnsi="Cambria"/>
        </w:rPr>
        <w:t>三、</w:t>
      </w:r>
      <w:r>
        <w:rPr>
          <w:rFonts w:ascii="Cambria" w:hAnsi="Cambria"/>
        </w:rPr>
        <w:t xml:space="preserve"> </w:t>
      </w:r>
      <w:r>
        <w:rPr>
          <w:rFonts w:hint="eastAsia" w:ascii="Cambria" w:hAnsi="Cambria"/>
        </w:rPr>
        <w:t>支出决算情况说明</w:t>
      </w:r>
      <w:r>
        <w:tab/>
      </w:r>
      <w:r>
        <w:rPr>
          <w:rFonts w:hint="eastAsia"/>
        </w:rPr>
        <w:t>9</w:t>
      </w:r>
      <w:r>
        <w:rPr>
          <w:rFonts w:hint="eastAsia"/>
        </w:rPr>
        <w:fldChar w:fldCharType="end"/>
      </w:r>
    </w:p>
    <w:p w14:paraId="2AB2C815">
      <w:pPr>
        <w:pStyle w:val="32"/>
        <w:tabs>
          <w:tab w:val="right" w:leader="dot" w:pos="8306"/>
        </w:tabs>
        <w:ind w:left="420"/>
      </w:pPr>
      <w:r>
        <w:fldChar w:fldCharType="begin"/>
      </w:r>
      <w:r>
        <w:instrText xml:space="preserve"> HYPERLINK \l "_Toc23693_WPSOffice_Level2" </w:instrText>
      </w:r>
      <w:r>
        <w:fldChar w:fldCharType="separate"/>
      </w:r>
      <w:r>
        <w:rPr>
          <w:rFonts w:hint="eastAsia" w:ascii="Cambria" w:hAnsi="Cambria"/>
        </w:rPr>
        <w:t>四、财政拨款收入支出决算总体情况说明</w:t>
      </w:r>
      <w:r>
        <w:tab/>
      </w:r>
      <w:r>
        <w:rPr>
          <w:rFonts w:hint="eastAsia"/>
        </w:rPr>
        <w:t>10</w:t>
      </w:r>
      <w:r>
        <w:rPr>
          <w:rFonts w:hint="eastAsia"/>
        </w:rPr>
        <w:fldChar w:fldCharType="end"/>
      </w:r>
    </w:p>
    <w:p w14:paraId="361FA73D">
      <w:pPr>
        <w:pStyle w:val="32"/>
        <w:tabs>
          <w:tab w:val="right" w:leader="dot" w:pos="8306"/>
        </w:tabs>
        <w:ind w:left="420"/>
      </w:pPr>
      <w:r>
        <w:fldChar w:fldCharType="begin"/>
      </w:r>
      <w:r>
        <w:instrText xml:space="preserve"> HYPERLINK \l "_Toc8489_WPSOffice_Level2" </w:instrText>
      </w:r>
      <w:r>
        <w:fldChar w:fldCharType="separate"/>
      </w:r>
      <w:r>
        <w:rPr>
          <w:rFonts w:hint="eastAsia" w:ascii="Cambria" w:hAnsi="Cambria"/>
        </w:rPr>
        <w:t>五、一般公共预算财政拨款支出决算情况说明</w:t>
      </w:r>
      <w:r>
        <w:tab/>
      </w:r>
      <w:bookmarkStart w:id="13" w:name="_Toc8489_WPSOffice_Level2Page"/>
      <w:r>
        <w:t>1</w:t>
      </w:r>
      <w:bookmarkEnd w:id="13"/>
      <w:r>
        <w:rPr>
          <w:rFonts w:hint="eastAsia"/>
        </w:rPr>
        <w:t>1</w:t>
      </w:r>
      <w:r>
        <w:rPr>
          <w:rFonts w:hint="eastAsia"/>
        </w:rPr>
        <w:fldChar w:fldCharType="end"/>
      </w:r>
    </w:p>
    <w:p w14:paraId="7AD00E6A">
      <w:pPr>
        <w:pStyle w:val="32"/>
        <w:tabs>
          <w:tab w:val="right" w:leader="dot" w:pos="8306"/>
        </w:tabs>
        <w:ind w:left="420"/>
      </w:pPr>
      <w:r>
        <w:fldChar w:fldCharType="begin"/>
      </w:r>
      <w:r>
        <w:instrText xml:space="preserve"> HYPERLINK \l "_Toc24877_WPSOffice_Level2" </w:instrText>
      </w:r>
      <w:r>
        <w:fldChar w:fldCharType="separate"/>
      </w:r>
      <w:r>
        <w:rPr>
          <w:rFonts w:hint="eastAsia" w:ascii="Cambria" w:hAnsi="Cambria"/>
        </w:rPr>
        <w:t>六、一般公共预算财政拨款基本支出决算情况说明</w:t>
      </w:r>
      <w:r>
        <w:tab/>
      </w:r>
      <w:bookmarkStart w:id="14" w:name="_Toc24877_WPSOffice_Level2Page"/>
      <w:r>
        <w:t>1</w:t>
      </w:r>
      <w:bookmarkEnd w:id="14"/>
      <w:r>
        <w:rPr>
          <w:rFonts w:hint="eastAsia"/>
        </w:rPr>
        <w:t>5</w:t>
      </w:r>
      <w:r>
        <w:rPr>
          <w:rFonts w:hint="eastAsia"/>
        </w:rPr>
        <w:fldChar w:fldCharType="end"/>
      </w:r>
    </w:p>
    <w:p w14:paraId="6A18E24D">
      <w:pPr>
        <w:pStyle w:val="32"/>
        <w:tabs>
          <w:tab w:val="right" w:leader="dot" w:pos="8306"/>
        </w:tabs>
        <w:ind w:left="420"/>
      </w:pPr>
      <w:r>
        <w:fldChar w:fldCharType="begin"/>
      </w:r>
      <w:r>
        <w:instrText xml:space="preserve"> HYPERLINK \l "_Toc31112_WPSOffice_Level2" </w:instrText>
      </w:r>
      <w:r>
        <w:fldChar w:fldCharType="separate"/>
      </w:r>
      <w:r>
        <w:rPr>
          <w:rFonts w:hint="eastAsia" w:ascii="Cambria" w:hAnsi="Cambria"/>
        </w:rPr>
        <w:t>七、“三公”经费财政拨款支出决算情况说明</w:t>
      </w:r>
      <w:r>
        <w:tab/>
      </w:r>
      <w:bookmarkStart w:id="15" w:name="_Toc31112_WPSOffice_Level2Page"/>
      <w:r>
        <w:t>1</w:t>
      </w:r>
      <w:bookmarkEnd w:id="15"/>
      <w:r>
        <w:rPr>
          <w:rFonts w:hint="eastAsia"/>
        </w:rPr>
        <w:t>5</w:t>
      </w:r>
      <w:r>
        <w:rPr>
          <w:rFonts w:hint="eastAsia"/>
        </w:rPr>
        <w:fldChar w:fldCharType="end"/>
      </w:r>
    </w:p>
    <w:p w14:paraId="461C7B0B">
      <w:pPr>
        <w:pStyle w:val="32"/>
        <w:tabs>
          <w:tab w:val="right" w:leader="dot" w:pos="8306"/>
        </w:tabs>
        <w:ind w:left="420"/>
      </w:pPr>
      <w:r>
        <w:fldChar w:fldCharType="begin"/>
      </w:r>
      <w:r>
        <w:instrText xml:space="preserve"> HYPERLINK \l "_Toc24941_WPSOffice_Level2" </w:instrText>
      </w:r>
      <w:r>
        <w:fldChar w:fldCharType="separate"/>
      </w:r>
      <w:r>
        <w:rPr>
          <w:rFonts w:hint="eastAsia" w:ascii="Cambria" w:hAnsi="Cambria"/>
        </w:rPr>
        <w:t>八、政府性基金预算支出决算情况说明</w:t>
      </w:r>
      <w:r>
        <w:tab/>
      </w:r>
      <w:bookmarkStart w:id="16" w:name="_Toc24941_WPSOffice_Level2Page"/>
      <w:r>
        <w:t>1</w:t>
      </w:r>
      <w:bookmarkEnd w:id="16"/>
      <w:r>
        <w:rPr>
          <w:rFonts w:hint="eastAsia"/>
        </w:rPr>
        <w:t>7</w:t>
      </w:r>
      <w:r>
        <w:rPr>
          <w:rFonts w:hint="eastAsia"/>
        </w:rPr>
        <w:fldChar w:fldCharType="end"/>
      </w:r>
    </w:p>
    <w:p w14:paraId="6CF10126">
      <w:pPr>
        <w:pStyle w:val="32"/>
        <w:tabs>
          <w:tab w:val="right" w:leader="dot" w:pos="8306"/>
        </w:tabs>
        <w:ind w:left="420"/>
      </w:pPr>
      <w:r>
        <w:fldChar w:fldCharType="begin"/>
      </w:r>
      <w:r>
        <w:instrText xml:space="preserve"> HYPERLINK \l "_Toc10319_WPSOffice_Level2" </w:instrText>
      </w:r>
      <w:r>
        <w:fldChar w:fldCharType="separate"/>
      </w:r>
      <w:r>
        <w:rPr>
          <w:rFonts w:hint="eastAsia" w:ascii="Cambria" w:hAnsi="Cambria"/>
        </w:rPr>
        <w:t>九、</w:t>
      </w:r>
      <w:r>
        <w:rPr>
          <w:rFonts w:ascii="Cambria" w:hAnsi="Cambria"/>
        </w:rPr>
        <w:t xml:space="preserve"> </w:t>
      </w:r>
      <w:r>
        <w:rPr>
          <w:rFonts w:hint="eastAsia" w:ascii="Cambria" w:hAnsi="Cambria"/>
        </w:rPr>
        <w:t>国有资本经营预算支出决算情况说明</w:t>
      </w:r>
      <w:r>
        <w:tab/>
      </w:r>
      <w:r>
        <w:t>1</w:t>
      </w:r>
      <w:r>
        <w:fldChar w:fldCharType="end"/>
      </w:r>
      <w:r>
        <w:rPr>
          <w:rFonts w:hint="eastAsia"/>
        </w:rPr>
        <w:t>7</w:t>
      </w:r>
    </w:p>
    <w:p w14:paraId="5CF7C59D">
      <w:pPr>
        <w:pStyle w:val="32"/>
        <w:tabs>
          <w:tab w:val="right" w:leader="dot" w:pos="8306"/>
        </w:tabs>
        <w:ind w:left="420"/>
      </w:pPr>
      <w:r>
        <w:fldChar w:fldCharType="begin"/>
      </w:r>
      <w:r>
        <w:instrText xml:space="preserve"> HYPERLINK \l "_Toc25514_WPSOffice_Level2" </w:instrText>
      </w:r>
      <w:r>
        <w:fldChar w:fldCharType="separate"/>
      </w:r>
      <w:r>
        <w:rPr>
          <w:rFonts w:hint="eastAsia" w:ascii="Cambria" w:hAnsi="Cambria"/>
        </w:rPr>
        <w:t>十、其他重要事项的情况说明</w:t>
      </w:r>
      <w:r>
        <w:tab/>
      </w:r>
      <w:bookmarkStart w:id="17" w:name="_Toc25514_WPSOffice_Level2Page"/>
      <w:r>
        <w:t>1</w:t>
      </w:r>
      <w:bookmarkEnd w:id="17"/>
      <w:r>
        <w:rPr>
          <w:rFonts w:hint="eastAsia"/>
        </w:rPr>
        <w:t>7</w:t>
      </w:r>
      <w:r>
        <w:rPr>
          <w:rFonts w:hint="eastAsia"/>
        </w:rPr>
        <w:fldChar w:fldCharType="end"/>
      </w:r>
    </w:p>
    <w:p w14:paraId="759D5286">
      <w:pPr>
        <w:pStyle w:val="31"/>
        <w:tabs>
          <w:tab w:val="right" w:leader="dot" w:pos="8306"/>
        </w:tabs>
      </w:pPr>
      <w:r>
        <w:fldChar w:fldCharType="begin"/>
      </w:r>
      <w:r>
        <w:instrText xml:space="preserve"> HYPERLINK \l "_Toc12754_WPSOffice_Level1" </w:instrText>
      </w:r>
      <w:r>
        <w:fldChar w:fldCharType="separate"/>
      </w:r>
      <w:r>
        <w:rPr>
          <w:rFonts w:hint="eastAsia" w:ascii="Times New Roman" w:hAnsi="Times New Roman"/>
          <w:b/>
          <w:bCs/>
        </w:rPr>
        <w:t>第三部分</w:t>
      </w:r>
      <w:r>
        <w:rPr>
          <w:rFonts w:ascii="Times New Roman" w:hAnsi="Times New Roman"/>
          <w:b/>
          <w:bCs/>
        </w:rPr>
        <w:t xml:space="preserve"> </w:t>
      </w:r>
      <w:r>
        <w:rPr>
          <w:rFonts w:hint="eastAsia" w:ascii="Times New Roman" w:hAnsi="Times New Roman"/>
          <w:b/>
          <w:bCs/>
        </w:rPr>
        <w:t>名词解释</w:t>
      </w:r>
      <w:r>
        <w:rPr>
          <w:b/>
          <w:bCs/>
        </w:rPr>
        <w:tab/>
      </w:r>
      <w:bookmarkStart w:id="18" w:name="_Toc12754_WPSOffice_Level1Page"/>
      <w:r>
        <w:rPr>
          <w:b/>
          <w:bCs/>
        </w:rPr>
        <w:t>2</w:t>
      </w:r>
      <w:bookmarkEnd w:id="18"/>
      <w:r>
        <w:rPr>
          <w:rFonts w:hint="eastAsia"/>
          <w:b/>
          <w:bCs/>
        </w:rPr>
        <w:t>6</w:t>
      </w:r>
      <w:r>
        <w:rPr>
          <w:rFonts w:hint="eastAsia"/>
          <w:b/>
          <w:bCs/>
        </w:rPr>
        <w:fldChar w:fldCharType="end"/>
      </w:r>
    </w:p>
    <w:p w14:paraId="46B469CF">
      <w:pPr>
        <w:pStyle w:val="31"/>
        <w:tabs>
          <w:tab w:val="right" w:leader="dot" w:pos="8306"/>
        </w:tabs>
      </w:pPr>
      <w:r>
        <w:fldChar w:fldCharType="begin"/>
      </w:r>
      <w:r>
        <w:instrText xml:space="preserve"> HYPERLINK \l "_Toc32365_WPSOffice_Level1" </w:instrText>
      </w:r>
      <w:r>
        <w:fldChar w:fldCharType="separate"/>
      </w:r>
      <w:r>
        <w:rPr>
          <w:rFonts w:hint="eastAsia" w:ascii="Times New Roman" w:hAnsi="Times New Roman"/>
          <w:b/>
          <w:bCs/>
        </w:rPr>
        <w:t>第四部分</w:t>
      </w:r>
      <w:r>
        <w:rPr>
          <w:rFonts w:ascii="Times New Roman" w:hAnsi="Times New Roman"/>
          <w:b/>
          <w:bCs/>
        </w:rPr>
        <w:t xml:space="preserve"> </w:t>
      </w:r>
      <w:r>
        <w:rPr>
          <w:rFonts w:hint="eastAsia" w:ascii="Times New Roman" w:hAnsi="Times New Roman"/>
          <w:b/>
          <w:bCs/>
        </w:rPr>
        <w:t>附件</w:t>
      </w:r>
      <w:r>
        <w:rPr>
          <w:b/>
          <w:bCs/>
        </w:rPr>
        <w:tab/>
      </w:r>
      <w:bookmarkStart w:id="19" w:name="_Toc32365_WPSOffice_Level1Page"/>
      <w:r>
        <w:rPr>
          <w:b/>
          <w:bCs/>
        </w:rPr>
        <w:t>2</w:t>
      </w:r>
      <w:bookmarkEnd w:id="19"/>
      <w:r>
        <w:rPr>
          <w:rFonts w:hint="eastAsia"/>
          <w:b/>
          <w:bCs/>
        </w:rPr>
        <w:t>9</w:t>
      </w:r>
      <w:r>
        <w:rPr>
          <w:rFonts w:hint="eastAsia"/>
          <w:b/>
          <w:bCs/>
        </w:rPr>
        <w:fldChar w:fldCharType="end"/>
      </w:r>
    </w:p>
    <w:p w14:paraId="78008D5B">
      <w:pPr>
        <w:pStyle w:val="31"/>
        <w:tabs>
          <w:tab w:val="right" w:leader="dot" w:pos="8306"/>
        </w:tabs>
      </w:pPr>
      <w:r>
        <w:fldChar w:fldCharType="begin"/>
      </w:r>
      <w:r>
        <w:instrText xml:space="preserve"> HYPERLINK \l "_Toc31975_WPSOffice_Level1" </w:instrText>
      </w:r>
      <w:r>
        <w:fldChar w:fldCharType="separate"/>
      </w:r>
      <w:r>
        <w:rPr>
          <w:rFonts w:hint="eastAsia" w:ascii="Times New Roman" w:hAnsi="Times New Roman"/>
          <w:b/>
          <w:bCs/>
        </w:rPr>
        <w:t>第五部分</w:t>
      </w:r>
      <w:r>
        <w:rPr>
          <w:rFonts w:ascii="Times New Roman" w:hAnsi="Times New Roman"/>
          <w:b/>
          <w:bCs/>
        </w:rPr>
        <w:t xml:space="preserve"> </w:t>
      </w:r>
      <w:r>
        <w:rPr>
          <w:rFonts w:hint="eastAsia" w:ascii="Times New Roman" w:hAnsi="Times New Roman"/>
          <w:b/>
          <w:bCs/>
        </w:rPr>
        <w:t>附表</w:t>
      </w:r>
      <w:r>
        <w:rPr>
          <w:b/>
          <w:bCs/>
        </w:rPr>
        <w:tab/>
      </w:r>
      <w:r>
        <w:rPr>
          <w:rFonts w:hint="eastAsia"/>
          <w:b/>
          <w:bCs/>
        </w:rPr>
        <w:t>32</w:t>
      </w:r>
      <w:r>
        <w:rPr>
          <w:rFonts w:hint="eastAsia"/>
          <w:b/>
          <w:bCs/>
        </w:rPr>
        <w:fldChar w:fldCharType="end"/>
      </w:r>
    </w:p>
    <w:p w14:paraId="4BE5D21B">
      <w:pPr>
        <w:pStyle w:val="32"/>
        <w:tabs>
          <w:tab w:val="right" w:leader="dot" w:pos="8306"/>
        </w:tabs>
        <w:ind w:left="420"/>
      </w:pPr>
      <w:r>
        <w:fldChar w:fldCharType="begin"/>
      </w:r>
      <w:r>
        <w:instrText xml:space="preserve"> HYPERLINK \l "_Toc20668_WPSOffice_Level2" </w:instrText>
      </w:r>
      <w:r>
        <w:fldChar w:fldCharType="separate"/>
      </w:r>
      <w:r>
        <w:rPr>
          <w:rFonts w:hint="eastAsia" w:ascii="Cambria" w:hAnsi="Cambria"/>
        </w:rPr>
        <w:t>一、收入支出决算总表</w:t>
      </w:r>
      <w:r>
        <w:tab/>
      </w:r>
      <w:r>
        <w:fldChar w:fldCharType="end"/>
      </w:r>
      <w:r>
        <w:rPr>
          <w:rFonts w:hint="eastAsia"/>
        </w:rPr>
        <w:t>32</w:t>
      </w:r>
    </w:p>
    <w:p w14:paraId="093899F0">
      <w:pPr>
        <w:pStyle w:val="32"/>
        <w:tabs>
          <w:tab w:val="right" w:leader="dot" w:pos="8306"/>
        </w:tabs>
        <w:ind w:left="420"/>
      </w:pPr>
      <w:r>
        <w:fldChar w:fldCharType="begin"/>
      </w:r>
      <w:r>
        <w:instrText xml:space="preserve"> HYPERLINK \l "_Toc10880_WPSOffice_Level2" </w:instrText>
      </w:r>
      <w:r>
        <w:fldChar w:fldCharType="separate"/>
      </w:r>
      <w:r>
        <w:rPr>
          <w:rFonts w:hint="eastAsia" w:ascii="Cambria" w:hAnsi="Cambria"/>
        </w:rPr>
        <w:t>二、收入决算表</w:t>
      </w:r>
      <w:r>
        <w:tab/>
      </w:r>
      <w:r>
        <w:fldChar w:fldCharType="end"/>
      </w:r>
      <w:r>
        <w:rPr>
          <w:rFonts w:hint="eastAsia"/>
        </w:rPr>
        <w:t>32</w:t>
      </w:r>
    </w:p>
    <w:p w14:paraId="10066010">
      <w:pPr>
        <w:pStyle w:val="32"/>
        <w:tabs>
          <w:tab w:val="right" w:leader="dot" w:pos="8306"/>
        </w:tabs>
        <w:ind w:left="420"/>
      </w:pPr>
      <w:r>
        <w:fldChar w:fldCharType="begin"/>
      </w:r>
      <w:r>
        <w:instrText xml:space="preserve"> HYPERLINK \l "_Toc29846_WPSOffice_Level2" </w:instrText>
      </w:r>
      <w:r>
        <w:fldChar w:fldCharType="separate"/>
      </w:r>
      <w:r>
        <w:rPr>
          <w:rFonts w:hint="eastAsia" w:ascii="Cambria" w:hAnsi="Cambria"/>
        </w:rPr>
        <w:t>三、支出决算表</w:t>
      </w:r>
      <w:r>
        <w:tab/>
      </w:r>
      <w:r>
        <w:fldChar w:fldCharType="end"/>
      </w:r>
      <w:r>
        <w:rPr>
          <w:rFonts w:hint="eastAsia"/>
        </w:rPr>
        <w:t>32</w:t>
      </w:r>
    </w:p>
    <w:p w14:paraId="55AB5FAD">
      <w:pPr>
        <w:pStyle w:val="32"/>
        <w:tabs>
          <w:tab w:val="right" w:leader="dot" w:pos="8306"/>
        </w:tabs>
        <w:ind w:left="420"/>
      </w:pPr>
      <w:r>
        <w:fldChar w:fldCharType="begin"/>
      </w:r>
      <w:r>
        <w:instrText xml:space="preserve"> HYPERLINK \l "_Toc3492_WPSOffice_Level2" </w:instrText>
      </w:r>
      <w:r>
        <w:fldChar w:fldCharType="separate"/>
      </w:r>
      <w:r>
        <w:rPr>
          <w:rFonts w:hint="eastAsia" w:ascii="Cambria" w:hAnsi="Cambria"/>
        </w:rPr>
        <w:t>四、财政拨款收入支出决算总表</w:t>
      </w:r>
      <w:r>
        <w:tab/>
      </w:r>
      <w:r>
        <w:fldChar w:fldCharType="end"/>
      </w:r>
      <w:r>
        <w:rPr>
          <w:rFonts w:hint="eastAsia"/>
        </w:rPr>
        <w:t>32</w:t>
      </w:r>
    </w:p>
    <w:p w14:paraId="0B783057">
      <w:pPr>
        <w:pStyle w:val="32"/>
        <w:tabs>
          <w:tab w:val="right" w:leader="dot" w:pos="8306"/>
        </w:tabs>
        <w:ind w:left="420"/>
      </w:pPr>
      <w:r>
        <w:fldChar w:fldCharType="begin"/>
      </w:r>
      <w:r>
        <w:instrText xml:space="preserve"> HYPERLINK \l "_Toc9278_WPSOffice_Level2" </w:instrText>
      </w:r>
      <w:r>
        <w:fldChar w:fldCharType="separate"/>
      </w:r>
      <w:r>
        <w:rPr>
          <w:rFonts w:hint="eastAsia" w:ascii="Cambria" w:hAnsi="Cambria"/>
        </w:rPr>
        <w:t>五、财政拨款支出决算明细表</w:t>
      </w:r>
      <w:r>
        <w:tab/>
      </w:r>
      <w:r>
        <w:fldChar w:fldCharType="end"/>
      </w:r>
      <w:r>
        <w:rPr>
          <w:rFonts w:hint="eastAsia"/>
        </w:rPr>
        <w:t>32</w:t>
      </w:r>
    </w:p>
    <w:p w14:paraId="67E668CC">
      <w:pPr>
        <w:pStyle w:val="32"/>
        <w:tabs>
          <w:tab w:val="right" w:leader="dot" w:pos="8306"/>
        </w:tabs>
        <w:ind w:left="420"/>
      </w:pPr>
      <w:r>
        <w:fldChar w:fldCharType="begin"/>
      </w:r>
      <w:r>
        <w:instrText xml:space="preserve"> HYPERLINK \l "_Toc9231_WPSOffice_Level2" </w:instrText>
      </w:r>
      <w:r>
        <w:fldChar w:fldCharType="separate"/>
      </w:r>
      <w:r>
        <w:rPr>
          <w:rFonts w:hint="eastAsia" w:ascii="Cambria" w:hAnsi="Cambria"/>
        </w:rPr>
        <w:t>六、一般公共预算财政拨款支出决算表</w:t>
      </w:r>
      <w:r>
        <w:tab/>
      </w:r>
      <w:r>
        <w:fldChar w:fldCharType="end"/>
      </w:r>
      <w:r>
        <w:rPr>
          <w:rFonts w:hint="eastAsia"/>
        </w:rPr>
        <w:t>32</w:t>
      </w:r>
    </w:p>
    <w:p w14:paraId="3E552A40">
      <w:pPr>
        <w:pStyle w:val="32"/>
        <w:tabs>
          <w:tab w:val="right" w:leader="dot" w:pos="8306"/>
        </w:tabs>
        <w:ind w:left="420"/>
      </w:pPr>
      <w:r>
        <w:fldChar w:fldCharType="begin"/>
      </w:r>
      <w:r>
        <w:instrText xml:space="preserve"> HYPERLINK \l "_Toc24303_WPSOffice_Level2" </w:instrText>
      </w:r>
      <w:r>
        <w:fldChar w:fldCharType="separate"/>
      </w:r>
      <w:r>
        <w:rPr>
          <w:rFonts w:hint="eastAsia" w:ascii="Cambria" w:hAnsi="Cambria"/>
        </w:rPr>
        <w:t>七、一般公共预算财政拨款支出决算明细表</w:t>
      </w:r>
      <w:r>
        <w:tab/>
      </w:r>
      <w:r>
        <w:fldChar w:fldCharType="end"/>
      </w:r>
      <w:r>
        <w:rPr>
          <w:rFonts w:hint="eastAsia"/>
        </w:rPr>
        <w:t>32</w:t>
      </w:r>
    </w:p>
    <w:p w14:paraId="2FC5725D">
      <w:pPr>
        <w:pStyle w:val="32"/>
        <w:tabs>
          <w:tab w:val="right" w:leader="dot" w:pos="8306"/>
        </w:tabs>
        <w:ind w:left="420"/>
      </w:pPr>
      <w:r>
        <w:fldChar w:fldCharType="begin"/>
      </w:r>
      <w:r>
        <w:instrText xml:space="preserve"> HYPERLINK \l "_Toc12234_WPSOffice_Level2" </w:instrText>
      </w:r>
      <w:r>
        <w:fldChar w:fldCharType="separate"/>
      </w:r>
      <w:r>
        <w:rPr>
          <w:rFonts w:hint="eastAsia" w:ascii="Cambria" w:hAnsi="Cambria"/>
        </w:rPr>
        <w:t>八、一般公共预算财政拨款基本支出决算表</w:t>
      </w:r>
      <w:r>
        <w:tab/>
      </w:r>
      <w:r>
        <w:fldChar w:fldCharType="end"/>
      </w:r>
      <w:r>
        <w:rPr>
          <w:rFonts w:hint="eastAsia"/>
        </w:rPr>
        <w:t>32</w:t>
      </w:r>
    </w:p>
    <w:p w14:paraId="44E79742">
      <w:pPr>
        <w:pStyle w:val="32"/>
        <w:tabs>
          <w:tab w:val="right" w:leader="dot" w:pos="8306"/>
        </w:tabs>
        <w:ind w:left="420"/>
      </w:pPr>
      <w:r>
        <w:fldChar w:fldCharType="begin"/>
      </w:r>
      <w:r>
        <w:instrText xml:space="preserve"> HYPERLINK \l "_Toc26486_WPSOffice_Level2" </w:instrText>
      </w:r>
      <w:r>
        <w:fldChar w:fldCharType="separate"/>
      </w:r>
      <w:r>
        <w:rPr>
          <w:rFonts w:hint="eastAsia" w:ascii="Cambria" w:hAnsi="Cambria"/>
        </w:rPr>
        <w:t>九、一般公共预算财政拨款项目支出决算表</w:t>
      </w:r>
      <w:r>
        <w:tab/>
      </w:r>
      <w:r>
        <w:fldChar w:fldCharType="end"/>
      </w:r>
      <w:r>
        <w:rPr>
          <w:rFonts w:hint="eastAsia"/>
        </w:rPr>
        <w:t>32</w:t>
      </w:r>
    </w:p>
    <w:p w14:paraId="5D673248">
      <w:pPr>
        <w:pStyle w:val="32"/>
        <w:tabs>
          <w:tab w:val="right" w:leader="dot" w:pos="8306"/>
        </w:tabs>
        <w:ind w:left="420"/>
      </w:pPr>
      <w:r>
        <w:fldChar w:fldCharType="begin"/>
      </w:r>
      <w:r>
        <w:instrText xml:space="preserve"> HYPERLINK \l "_Toc30124_WPSOffice_Level2" </w:instrText>
      </w:r>
      <w:r>
        <w:fldChar w:fldCharType="separate"/>
      </w:r>
      <w:r>
        <w:rPr>
          <w:rFonts w:hint="eastAsia" w:ascii="Cambria" w:hAnsi="Cambria"/>
        </w:rPr>
        <w:t>十、一般公共预算财政拨款“三公”经费支出决算表</w:t>
      </w:r>
      <w:r>
        <w:tab/>
      </w:r>
      <w:r>
        <w:fldChar w:fldCharType="end"/>
      </w:r>
      <w:r>
        <w:rPr>
          <w:rFonts w:hint="eastAsia"/>
        </w:rPr>
        <w:t>32</w:t>
      </w:r>
    </w:p>
    <w:p w14:paraId="15238BC5">
      <w:pPr>
        <w:pStyle w:val="32"/>
        <w:tabs>
          <w:tab w:val="right" w:leader="dot" w:pos="8306"/>
        </w:tabs>
        <w:ind w:left="420"/>
      </w:pPr>
      <w:r>
        <w:fldChar w:fldCharType="begin"/>
      </w:r>
      <w:r>
        <w:instrText xml:space="preserve"> HYPERLINK \l "_Toc20361_WPSOffice_Level2" </w:instrText>
      </w:r>
      <w:r>
        <w:fldChar w:fldCharType="separate"/>
      </w:r>
      <w:r>
        <w:rPr>
          <w:rFonts w:hint="eastAsia" w:ascii="Cambria" w:hAnsi="Cambria"/>
        </w:rPr>
        <w:t>十一、政府性基金预算财政拨款收入支出决算表</w:t>
      </w:r>
      <w:r>
        <w:tab/>
      </w:r>
      <w:r>
        <w:fldChar w:fldCharType="end"/>
      </w:r>
      <w:r>
        <w:rPr>
          <w:rFonts w:hint="eastAsia"/>
        </w:rPr>
        <w:t>32</w:t>
      </w:r>
    </w:p>
    <w:p w14:paraId="3D013117">
      <w:pPr>
        <w:pStyle w:val="32"/>
        <w:tabs>
          <w:tab w:val="right" w:leader="dot" w:pos="8306"/>
        </w:tabs>
        <w:ind w:left="420"/>
      </w:pPr>
      <w:r>
        <w:fldChar w:fldCharType="begin"/>
      </w:r>
      <w:r>
        <w:instrText xml:space="preserve"> HYPERLINK \l "_Toc2022_WPSOffice_Level2" </w:instrText>
      </w:r>
      <w:r>
        <w:fldChar w:fldCharType="separate"/>
      </w:r>
      <w:r>
        <w:rPr>
          <w:rFonts w:hint="eastAsia" w:ascii="Cambria" w:hAnsi="Cambria"/>
        </w:rPr>
        <w:t>十二、政府性基金预算财政拨款“三公”经费支出决算表</w:t>
      </w:r>
      <w:r>
        <w:tab/>
      </w:r>
      <w:r>
        <w:fldChar w:fldCharType="end"/>
      </w:r>
      <w:r>
        <w:rPr>
          <w:rFonts w:hint="eastAsia"/>
        </w:rPr>
        <w:t>32</w:t>
      </w:r>
    </w:p>
    <w:p w14:paraId="39429E99">
      <w:pPr>
        <w:pStyle w:val="32"/>
        <w:tabs>
          <w:tab w:val="right" w:leader="dot" w:pos="8306"/>
        </w:tabs>
        <w:ind w:left="420"/>
      </w:pPr>
      <w:r>
        <w:fldChar w:fldCharType="begin"/>
      </w:r>
      <w:r>
        <w:instrText xml:space="preserve"> HYPERLINK \l "_Toc21152_WPSOffice_Level2" </w:instrText>
      </w:r>
      <w:r>
        <w:fldChar w:fldCharType="separate"/>
      </w:r>
      <w:r>
        <w:rPr>
          <w:rFonts w:hint="eastAsia" w:ascii="Cambria" w:hAnsi="Cambria"/>
        </w:rPr>
        <w:t>十三、国有资本经营预算财政拨款收入支出决算表</w:t>
      </w:r>
      <w:r>
        <w:tab/>
      </w:r>
      <w:r>
        <w:fldChar w:fldCharType="end"/>
      </w:r>
      <w:r>
        <w:rPr>
          <w:rFonts w:hint="eastAsia"/>
        </w:rPr>
        <w:t>32</w:t>
      </w:r>
    </w:p>
    <w:p w14:paraId="0AA56AFD">
      <w:pPr>
        <w:pStyle w:val="32"/>
        <w:tabs>
          <w:tab w:val="right" w:leader="dot" w:pos="8306"/>
        </w:tabs>
        <w:ind w:left="420"/>
      </w:pPr>
      <w:r>
        <w:fldChar w:fldCharType="begin"/>
      </w:r>
      <w:r>
        <w:instrText xml:space="preserve"> HYPERLINK \l "_Toc1525_WPSOffice_Level2" </w:instrText>
      </w:r>
      <w:r>
        <w:fldChar w:fldCharType="separate"/>
      </w:r>
      <w:r>
        <w:rPr>
          <w:rFonts w:hint="eastAsia" w:ascii="Cambria" w:hAnsi="Cambria"/>
        </w:rPr>
        <w:t>十四、国有资本经营预算财政拨款支出决算表</w:t>
      </w:r>
      <w:r>
        <w:tab/>
      </w:r>
      <w:r>
        <w:fldChar w:fldCharType="end"/>
      </w:r>
      <w:r>
        <w:rPr>
          <w:rFonts w:hint="eastAsia"/>
        </w:rPr>
        <w:t>32</w:t>
      </w:r>
    </w:p>
    <w:p w14:paraId="50765978">
      <w:pPr>
        <w:pStyle w:val="32"/>
        <w:tabs>
          <w:tab w:val="right" w:leader="dot" w:pos="8306"/>
        </w:tabs>
        <w:ind w:left="420"/>
      </w:pPr>
      <w:r>
        <w:fldChar w:fldCharType="begin"/>
      </w:r>
      <w:r>
        <w:instrText xml:space="preserve"> HYPERLINK \l "_Toc9373_WPSOffice_Level2" </w:instrText>
      </w:r>
      <w:r>
        <w:fldChar w:fldCharType="separate"/>
      </w:r>
      <w:r>
        <w:rPr>
          <w:rFonts w:hint="eastAsia" w:ascii="Cambria" w:hAnsi="Cambria"/>
        </w:rPr>
        <w:t>十五、机关运行经费、资产占用情况及政府采购支出信息表</w:t>
      </w:r>
      <w:r>
        <w:tab/>
      </w:r>
      <w:r>
        <w:fldChar w:fldCharType="end"/>
      </w:r>
      <w:r>
        <w:rPr>
          <w:rFonts w:hint="eastAsia"/>
        </w:rPr>
        <w:t>32</w:t>
      </w:r>
    </w:p>
    <w:bookmarkEnd w:id="12"/>
    <w:p w14:paraId="4D091EAC"/>
    <w:p w14:paraId="230CADB2">
      <w:pPr>
        <w:pStyle w:val="2"/>
        <w:jc w:val="center"/>
        <w:rPr>
          <w:rFonts w:eastAsia="仿宋"/>
          <w:color w:val="000000"/>
          <w:sz w:val="32"/>
          <w:szCs w:val="32"/>
        </w:rPr>
      </w:pPr>
      <w:bookmarkStart w:id="20" w:name="_Toc15147_WPSOffice_Level1"/>
      <w:r>
        <w:t>第一部分 部门概况</w:t>
      </w:r>
      <w:bookmarkEnd w:id="20"/>
    </w:p>
    <w:p w14:paraId="140C4568">
      <w:pPr>
        <w:pStyle w:val="3"/>
        <w:rPr>
          <w:rFonts w:ascii="Times New Roman" w:hAnsi="Times New Roman"/>
        </w:rPr>
      </w:pPr>
      <w:bookmarkStart w:id="21" w:name="_Toc15377197"/>
      <w:bookmarkStart w:id="22" w:name="_Toc15396600"/>
      <w:bookmarkStart w:id="23" w:name="_Toc19934_WPSOffice_Level2"/>
      <w:r>
        <w:rPr>
          <w:rFonts w:ascii="Times New Roman" w:hAnsi="Times New Roman"/>
        </w:rPr>
        <w:t>一、基本职能及主要工作</w:t>
      </w:r>
      <w:bookmarkEnd w:id="21"/>
      <w:bookmarkEnd w:id="22"/>
      <w:bookmarkEnd w:id="23"/>
    </w:p>
    <w:p w14:paraId="714D83B9">
      <w:pPr>
        <w:pStyle w:val="6"/>
        <w:adjustRightInd w:val="0"/>
        <w:snapToGrid w:val="0"/>
        <w:spacing w:before="93" w:line="560" w:lineRule="exact"/>
        <w:ind w:firstLine="672" w:firstLineChars="210"/>
        <w:outlineLvl w:val="2"/>
        <w:rPr>
          <w:rFonts w:ascii="Times New Roman" w:eastAsia="仿宋"/>
          <w:bCs/>
          <w:color w:val="000000"/>
          <w:sz w:val="32"/>
          <w:szCs w:val="32"/>
        </w:rPr>
      </w:pPr>
      <w:bookmarkStart w:id="24" w:name="_Toc15378445"/>
      <w:bookmarkStart w:id="25" w:name="_Toc15377198"/>
      <w:r>
        <w:rPr>
          <w:rFonts w:ascii="Times New Roman" w:eastAsia="仿宋"/>
          <w:bCs/>
          <w:color w:val="000000"/>
          <w:sz w:val="32"/>
          <w:szCs w:val="32"/>
        </w:rPr>
        <w:t>（一）主要职能</w:t>
      </w:r>
      <w:bookmarkEnd w:id="24"/>
      <w:bookmarkEnd w:id="25"/>
      <w:bookmarkStart w:id="26" w:name="_Toc15377199"/>
      <w:bookmarkStart w:id="27" w:name="_Toc15378446"/>
    </w:p>
    <w:p w14:paraId="5A8EC91B">
      <w:pPr>
        <w:pStyle w:val="6"/>
        <w:adjustRightInd w:val="0"/>
        <w:snapToGrid w:val="0"/>
        <w:spacing w:before="93" w:line="560" w:lineRule="exact"/>
        <w:ind w:firstLine="672" w:firstLineChars="210"/>
        <w:outlineLvl w:val="2"/>
        <w:rPr>
          <w:rFonts w:ascii="Times New Roman" w:eastAsia="仿宋"/>
          <w:bCs/>
          <w:color w:val="000000"/>
          <w:sz w:val="32"/>
          <w:szCs w:val="32"/>
        </w:rPr>
      </w:pPr>
      <w:r>
        <w:rPr>
          <w:rFonts w:ascii="Times New Roman" w:eastAsia="仿宋"/>
          <w:sz w:val="32"/>
          <w:szCs w:val="32"/>
        </w:rPr>
        <w:t>县供销社是全县供销社系统的管理机关，按照社会主义市场经济的要求，对全县供销社系统进行行业管理，坚持为农服务方向，面向农业现代化、面向农民生产生活，推动供销合作社由流通服务向全程农业社会化服务延伸、向全方位城乡社区服务拓展，形成综合性、规模化、可持续的为农服务体系，在农资供应、农产品流通、农村服务等重点领域和环节为农民提供便利实惠、安全优质的服务。</w:t>
      </w:r>
    </w:p>
    <w:p w14:paraId="1EBBBB09">
      <w:pPr>
        <w:pStyle w:val="6"/>
        <w:adjustRightInd w:val="0"/>
        <w:snapToGrid w:val="0"/>
        <w:spacing w:before="93" w:line="560" w:lineRule="exact"/>
        <w:ind w:firstLine="672" w:firstLineChars="210"/>
        <w:outlineLvl w:val="2"/>
        <w:rPr>
          <w:rFonts w:ascii="Times New Roman" w:eastAsia="仿宋"/>
          <w:bCs/>
          <w:color w:val="000000"/>
          <w:sz w:val="32"/>
          <w:szCs w:val="32"/>
        </w:rPr>
      </w:pPr>
      <w:r>
        <w:rPr>
          <w:rFonts w:ascii="Times New Roman" w:eastAsia="仿宋"/>
          <w:bCs/>
          <w:color w:val="000000"/>
          <w:sz w:val="32"/>
          <w:szCs w:val="32"/>
        </w:rPr>
        <w:t>（二）2020年重点工作完成情况</w:t>
      </w:r>
      <w:bookmarkEnd w:id="26"/>
      <w:bookmarkEnd w:id="27"/>
    </w:p>
    <w:p w14:paraId="436A196E">
      <w:pPr>
        <w:spacing w:line="560" w:lineRule="exact"/>
        <w:outlineLvl w:val="0"/>
        <w:rPr>
          <w:rFonts w:eastAsia="仿宋"/>
          <w:sz w:val="33"/>
          <w:szCs w:val="33"/>
        </w:rPr>
      </w:pPr>
      <w:r>
        <w:rPr>
          <w:rFonts w:eastAsia="仿宋"/>
          <w:sz w:val="32"/>
          <w:szCs w:val="32"/>
        </w:rPr>
        <w:tab/>
      </w:r>
      <w:r>
        <w:rPr>
          <w:rFonts w:eastAsia="仿宋"/>
          <w:sz w:val="32"/>
          <w:szCs w:val="32"/>
        </w:rPr>
        <w:tab/>
      </w:r>
      <w:r>
        <w:rPr>
          <w:rFonts w:eastAsia="仿宋"/>
          <w:b/>
          <w:bCs/>
          <w:sz w:val="33"/>
          <w:szCs w:val="33"/>
        </w:rPr>
        <w:t>1.主要目标任务完成情况</w:t>
      </w:r>
    </w:p>
    <w:p w14:paraId="27A06903">
      <w:pPr>
        <w:spacing w:line="560" w:lineRule="exact"/>
        <w:ind w:firstLine="640" w:firstLineChars="200"/>
        <w:rPr>
          <w:rFonts w:eastAsia="仿宋"/>
          <w:sz w:val="32"/>
          <w:szCs w:val="32"/>
        </w:rPr>
      </w:pPr>
      <w:r>
        <w:rPr>
          <w:rFonts w:eastAsia="仿宋"/>
          <w:sz w:val="32"/>
          <w:szCs w:val="32"/>
        </w:rPr>
        <w:t>全系统完成经营服务销售总额15840万元，农产品购进9515吨。新发展农民专业合作社1个，米易县青松林供销社荣获“标杆基层社”，米易县润泽种植专业合作社荣获“农民专业合作示范社”。全面完成上级社下达的各项年度目标任务。</w:t>
      </w:r>
    </w:p>
    <w:p w14:paraId="53B7BC73">
      <w:pPr>
        <w:spacing w:line="560" w:lineRule="exact"/>
        <w:ind w:firstLine="653" w:firstLineChars="197"/>
        <w:outlineLvl w:val="0"/>
        <w:rPr>
          <w:rFonts w:eastAsia="仿宋"/>
          <w:b/>
          <w:bCs/>
          <w:sz w:val="33"/>
          <w:szCs w:val="33"/>
        </w:rPr>
      </w:pPr>
      <w:r>
        <w:rPr>
          <w:rFonts w:eastAsia="仿宋"/>
          <w:b/>
          <w:bCs/>
          <w:sz w:val="33"/>
          <w:szCs w:val="33"/>
        </w:rPr>
        <w:t>(二)工作开展情况</w:t>
      </w:r>
    </w:p>
    <w:p w14:paraId="7A53A4AD">
      <w:pPr>
        <w:spacing w:line="560" w:lineRule="exact"/>
        <w:ind w:firstLine="663" w:firstLineChars="200"/>
        <w:outlineLvl w:val="0"/>
        <w:rPr>
          <w:rFonts w:eastAsia="仿宋"/>
          <w:b/>
          <w:sz w:val="33"/>
          <w:szCs w:val="33"/>
        </w:rPr>
      </w:pPr>
      <w:r>
        <w:rPr>
          <w:rFonts w:eastAsia="仿宋"/>
          <w:b/>
          <w:sz w:val="33"/>
          <w:szCs w:val="33"/>
        </w:rPr>
        <w:t>项目全面完成并投入使用</w:t>
      </w:r>
    </w:p>
    <w:p w14:paraId="167BCA31">
      <w:pPr>
        <w:spacing w:line="560" w:lineRule="exact"/>
        <w:ind w:firstLine="640" w:firstLineChars="200"/>
        <w:rPr>
          <w:rFonts w:eastAsia="仿宋"/>
          <w:sz w:val="32"/>
          <w:szCs w:val="32"/>
        </w:rPr>
      </w:pPr>
      <w:r>
        <w:rPr>
          <w:rFonts w:eastAsia="仿宋"/>
          <w:sz w:val="32"/>
          <w:szCs w:val="32"/>
        </w:rPr>
        <w:t>一是由攀农公司实施的总投资86万元的农产品产地预冷设施建设项目于8月25日已通过我社项目验收组验收，并投入正常使用。</w:t>
      </w:r>
    </w:p>
    <w:p w14:paraId="5EB924F6">
      <w:pPr>
        <w:spacing w:line="560" w:lineRule="exact"/>
        <w:ind w:firstLine="640" w:firstLineChars="200"/>
        <w:rPr>
          <w:rFonts w:eastAsia="仿宋"/>
          <w:sz w:val="32"/>
          <w:szCs w:val="32"/>
        </w:rPr>
      </w:pPr>
      <w:r>
        <w:rPr>
          <w:rFonts w:eastAsia="仿宋"/>
          <w:sz w:val="32"/>
          <w:szCs w:val="32"/>
        </w:rPr>
        <w:t>二是供销合作总社和省社下达土地托管项目，由米易县鑫农果蔬种植专合社负责实施，10月20日，我社与县财政局、县农业农村局一同对其进行验收，经过多方面测量，确认与实施方案相符，验收成功，已投入正常使用。</w:t>
      </w:r>
    </w:p>
    <w:p w14:paraId="2BFF3F26">
      <w:pPr>
        <w:spacing w:line="560" w:lineRule="exact"/>
        <w:ind w:firstLine="640" w:firstLineChars="200"/>
        <w:rPr>
          <w:rFonts w:eastAsia="仿宋"/>
          <w:sz w:val="32"/>
          <w:szCs w:val="32"/>
        </w:rPr>
      </w:pPr>
      <w:r>
        <w:rPr>
          <w:rFonts w:eastAsia="仿宋"/>
          <w:sz w:val="32"/>
          <w:szCs w:val="32"/>
        </w:rPr>
        <w:t>三是由我社精农商贸有限责任公司负责实施的30万供销云服务体系建设项目，已通过我社项目验收组验收，投入试运行，服务中心下设三个网点，撒莲、草场、麻陇乡镇服务网点已完成建设任务。</w:t>
      </w:r>
    </w:p>
    <w:p w14:paraId="5735CE7F">
      <w:pPr>
        <w:spacing w:line="560" w:lineRule="exact"/>
        <w:ind w:firstLine="663" w:firstLineChars="200"/>
        <w:outlineLvl w:val="0"/>
        <w:rPr>
          <w:rFonts w:eastAsia="仿宋"/>
          <w:b/>
          <w:sz w:val="33"/>
          <w:szCs w:val="33"/>
        </w:rPr>
      </w:pPr>
      <w:r>
        <w:rPr>
          <w:rFonts w:eastAsia="仿宋"/>
          <w:b/>
          <w:sz w:val="33"/>
          <w:szCs w:val="33"/>
        </w:rPr>
        <w:t>（三）再生资源回收利用体系建设得到恢复</w:t>
      </w:r>
    </w:p>
    <w:p w14:paraId="1AEC9D34">
      <w:pPr>
        <w:spacing w:line="560" w:lineRule="exact"/>
        <w:ind w:firstLine="640" w:firstLineChars="200"/>
        <w:rPr>
          <w:rFonts w:eastAsia="仿宋"/>
          <w:sz w:val="32"/>
          <w:szCs w:val="32"/>
        </w:rPr>
      </w:pPr>
      <w:r>
        <w:rPr>
          <w:rFonts w:eastAsia="仿宋"/>
          <w:sz w:val="32"/>
          <w:szCs w:val="32"/>
        </w:rPr>
        <w:t>按照“统一规划、合理布局、方便群众、便于运转、绿色环保”的原则，现与米易县坤宏再生资源有限公司达成合作，该公司可年回收废钢材6万吨，废塑料2万吨，废纸1万吨，将合力积极推进我县再生资源回收行业健康发展。</w:t>
      </w:r>
    </w:p>
    <w:p w14:paraId="3D0ED8DC">
      <w:pPr>
        <w:spacing w:line="560" w:lineRule="exact"/>
        <w:ind w:firstLine="663" w:firstLineChars="200"/>
        <w:outlineLvl w:val="0"/>
        <w:rPr>
          <w:rFonts w:eastAsia="仿宋"/>
          <w:b/>
          <w:sz w:val="33"/>
          <w:szCs w:val="33"/>
        </w:rPr>
      </w:pPr>
      <w:r>
        <w:rPr>
          <w:rFonts w:eastAsia="仿宋"/>
          <w:b/>
          <w:sz w:val="33"/>
          <w:szCs w:val="33"/>
        </w:rPr>
        <w:t>（四）对贫困村专业合作社继续实施免费会计服务</w:t>
      </w:r>
    </w:p>
    <w:p w14:paraId="6E8267E1">
      <w:pPr>
        <w:spacing w:line="560" w:lineRule="exact"/>
        <w:ind w:firstLine="640" w:firstLineChars="200"/>
        <w:rPr>
          <w:rFonts w:eastAsia="仿宋"/>
          <w:sz w:val="32"/>
          <w:szCs w:val="32"/>
        </w:rPr>
      </w:pPr>
      <w:r>
        <w:rPr>
          <w:rFonts w:eastAsia="仿宋"/>
          <w:sz w:val="32"/>
          <w:szCs w:val="32"/>
        </w:rPr>
        <w:t>为支持贫困村专合社健康发展，县供销社自加压力，继续实行会计服务中心免费为贫困村专合社提供理财、记账、代购代销服务，以实际行动支持脱贫攻坚，目前入住会计服务中心的贫困村专业合作社共 30户。</w:t>
      </w:r>
    </w:p>
    <w:p w14:paraId="7C0CE6A9">
      <w:pPr>
        <w:spacing w:line="560" w:lineRule="exact"/>
        <w:ind w:firstLine="663" w:firstLineChars="200"/>
        <w:outlineLvl w:val="0"/>
        <w:rPr>
          <w:rFonts w:eastAsia="仿宋"/>
          <w:b/>
          <w:sz w:val="33"/>
          <w:szCs w:val="33"/>
        </w:rPr>
      </w:pPr>
      <w:r>
        <w:rPr>
          <w:rFonts w:eastAsia="仿宋"/>
          <w:b/>
          <w:sz w:val="33"/>
          <w:szCs w:val="33"/>
        </w:rPr>
        <w:t>（五）着力打造扶贫网络销售平台及线下直营门店</w:t>
      </w:r>
    </w:p>
    <w:p w14:paraId="33F2C069">
      <w:pPr>
        <w:spacing w:line="560" w:lineRule="exact"/>
        <w:ind w:firstLine="660" w:firstLineChars="200"/>
        <w:rPr>
          <w:rFonts w:eastAsia="仿宋"/>
          <w:sz w:val="33"/>
          <w:szCs w:val="33"/>
        </w:rPr>
      </w:pPr>
      <w:r>
        <w:rPr>
          <w:rFonts w:eastAsia="仿宋"/>
          <w:sz w:val="33"/>
          <w:szCs w:val="33"/>
        </w:rPr>
        <w:t>全力支持、指导攀枝花农产品经营有限公司发展农村电子商务，电商培训等线上农产品销售业务，积极与县扶贫移民局合作推动我县专合社、家庭农场、涉农企业进入中国社会扶贫网销售农产品，同时支持草场镇沙坝供销社开设爱心平价超市，已于4月正式营业。支持撒莲镇平阳村在海棠南湾开设特色农产品直营店，已于7月正式营业；支持开宇专合社在城南市场开设粮食猪肉直销店，已于10月正式营业。</w:t>
      </w:r>
    </w:p>
    <w:p w14:paraId="6A5B67EA">
      <w:pPr>
        <w:spacing w:line="560" w:lineRule="exact"/>
        <w:ind w:firstLine="630" w:firstLineChars="196"/>
        <w:outlineLvl w:val="0"/>
        <w:rPr>
          <w:rFonts w:eastAsia="仿宋"/>
          <w:b/>
          <w:sz w:val="32"/>
          <w:szCs w:val="32"/>
        </w:rPr>
      </w:pPr>
      <w:r>
        <w:rPr>
          <w:rFonts w:eastAsia="仿宋"/>
          <w:b/>
          <w:sz w:val="32"/>
          <w:szCs w:val="32"/>
        </w:rPr>
        <w:t>（六）“四川扶贫”公益品牌商标申报工作</w:t>
      </w:r>
    </w:p>
    <w:p w14:paraId="6028C3A6">
      <w:pPr>
        <w:spacing w:line="560" w:lineRule="exact"/>
        <w:ind w:firstLine="640" w:firstLineChars="200"/>
        <w:rPr>
          <w:rFonts w:eastAsia="仿宋"/>
          <w:sz w:val="32"/>
          <w:szCs w:val="32"/>
        </w:rPr>
      </w:pPr>
      <w:r>
        <w:rPr>
          <w:rFonts w:eastAsia="仿宋"/>
          <w:sz w:val="32"/>
          <w:szCs w:val="32"/>
        </w:rPr>
        <w:t>全力支持、指导“四川扶贫”集体商标的使用，指导专合社、家庭作坊积极申报四川扶贫集体商标，我县盛丰枇杷种植专合社、春华特色水果种植专合社、米果鲜家庭农场，米易县果乡枇杷膏作坊已经取得该商标的使用权。</w:t>
      </w:r>
    </w:p>
    <w:p w14:paraId="7C73E93B">
      <w:pPr>
        <w:spacing w:line="560" w:lineRule="exact"/>
        <w:ind w:firstLine="630" w:firstLineChars="196"/>
        <w:outlineLvl w:val="0"/>
        <w:rPr>
          <w:rFonts w:eastAsia="仿宋"/>
          <w:b/>
          <w:sz w:val="32"/>
          <w:szCs w:val="32"/>
        </w:rPr>
      </w:pPr>
      <w:r>
        <w:rPr>
          <w:rFonts w:eastAsia="仿宋"/>
          <w:b/>
          <w:sz w:val="32"/>
          <w:szCs w:val="32"/>
        </w:rPr>
        <w:t>（七）与扶贫开发局携手开展消费扶贫展销活动</w:t>
      </w:r>
    </w:p>
    <w:p w14:paraId="309B7766">
      <w:pPr>
        <w:spacing w:line="560" w:lineRule="exact"/>
        <w:ind w:firstLine="640" w:firstLineChars="200"/>
        <w:rPr>
          <w:rFonts w:eastAsia="仿宋"/>
          <w:sz w:val="32"/>
          <w:szCs w:val="32"/>
        </w:rPr>
      </w:pPr>
      <w:r>
        <w:rPr>
          <w:rFonts w:eastAsia="仿宋"/>
          <w:sz w:val="32"/>
          <w:szCs w:val="32"/>
        </w:rPr>
        <w:t>10月16日，配合相关部门组织了一次“万企联动促消费活动月”暨扶贫产品展销活动，此次活动主要销售贫困村、贫困户的农产品，以展销的方式，广泛调动全社会参与消费扶贫的积极性，不断提升扶贫产品供应质量，拓宽扶贫产品销售渠道，激发贫困群众脱贫致富内生动力，助力贫困人口增收脱贫。县供销社主要负责此次展销活动展区搭建和组织申请使用“四川扶贫”公益商标的单位参与此次活动。</w:t>
      </w:r>
    </w:p>
    <w:p w14:paraId="00B6351C">
      <w:pPr>
        <w:spacing w:line="560" w:lineRule="exact"/>
        <w:ind w:firstLine="663" w:firstLineChars="200"/>
        <w:outlineLvl w:val="0"/>
        <w:rPr>
          <w:rFonts w:eastAsia="仿宋"/>
          <w:b/>
          <w:sz w:val="33"/>
          <w:szCs w:val="33"/>
        </w:rPr>
      </w:pPr>
      <w:r>
        <w:rPr>
          <w:rFonts w:eastAsia="仿宋"/>
          <w:b/>
          <w:sz w:val="33"/>
          <w:szCs w:val="33"/>
        </w:rPr>
        <w:t>（八） 社企合力助推米易芒果外销</w:t>
      </w:r>
    </w:p>
    <w:p w14:paraId="79922DCB">
      <w:pPr>
        <w:spacing w:line="560" w:lineRule="exact"/>
        <w:ind w:firstLine="640" w:firstLineChars="200"/>
        <w:rPr>
          <w:rFonts w:eastAsia="仿宋"/>
          <w:sz w:val="32"/>
          <w:szCs w:val="32"/>
        </w:rPr>
      </w:pPr>
      <w:r>
        <w:rPr>
          <w:rFonts w:eastAsia="仿宋"/>
          <w:sz w:val="32"/>
          <w:szCs w:val="32"/>
        </w:rPr>
        <w:t>为扩大我县芒果销路，助农增收，我社积极与省农产品经营集团电商公司、攀农公司、省邮政集团米易分公司等企业加强合作联系，发挥各自物流、采购、销售渠道优势，助推米易芒果外销，今年整体外销势头良好。</w:t>
      </w:r>
    </w:p>
    <w:p w14:paraId="4A64B2A9">
      <w:pPr>
        <w:spacing w:line="560" w:lineRule="exact"/>
        <w:ind w:firstLine="663" w:firstLineChars="200"/>
        <w:outlineLvl w:val="0"/>
        <w:rPr>
          <w:rFonts w:eastAsia="仿宋"/>
          <w:b/>
          <w:sz w:val="33"/>
          <w:szCs w:val="33"/>
        </w:rPr>
      </w:pPr>
      <w:r>
        <w:rPr>
          <w:rFonts w:eastAsia="仿宋"/>
          <w:b/>
          <w:sz w:val="33"/>
          <w:szCs w:val="33"/>
        </w:rPr>
        <w:t>（九）稳步探索开展农村金融合作服务</w:t>
      </w:r>
    </w:p>
    <w:p w14:paraId="6505CA02">
      <w:pPr>
        <w:spacing w:line="560" w:lineRule="exact"/>
        <w:ind w:firstLine="640" w:firstLineChars="200"/>
        <w:rPr>
          <w:rFonts w:eastAsia="仿宋"/>
          <w:sz w:val="32"/>
          <w:szCs w:val="32"/>
        </w:rPr>
      </w:pPr>
      <w:r>
        <w:rPr>
          <w:rFonts w:eastAsia="仿宋"/>
          <w:sz w:val="32"/>
          <w:szCs w:val="32"/>
        </w:rPr>
        <w:t>由市供销社与中国建设银行攀枝花分行共同协商,决定开启 “供销社网点+建行裕农通”普惠金融合作模式。重点在供销社为农服务中心、专业合作社、农村综合服务社、农资连锁店等经营服务网点开通“裕农通”服务，我县初期设置农民专业合作社，综合服务社，基层供销社共40个网点。</w:t>
      </w:r>
    </w:p>
    <w:p w14:paraId="52623616">
      <w:pPr>
        <w:spacing w:line="560" w:lineRule="exact"/>
        <w:ind w:firstLine="663" w:firstLineChars="200"/>
        <w:outlineLvl w:val="0"/>
        <w:rPr>
          <w:rFonts w:eastAsia="仿宋"/>
          <w:b/>
          <w:sz w:val="33"/>
          <w:szCs w:val="33"/>
        </w:rPr>
      </w:pPr>
      <w:r>
        <w:rPr>
          <w:rFonts w:eastAsia="仿宋"/>
          <w:b/>
          <w:sz w:val="33"/>
          <w:szCs w:val="33"/>
        </w:rPr>
        <w:t>（十）认真做好精准扶贫工作，助推脱贫攻坚</w:t>
      </w:r>
    </w:p>
    <w:p w14:paraId="21CAB35E">
      <w:pPr>
        <w:spacing w:line="560" w:lineRule="exact"/>
        <w:ind w:firstLine="640" w:firstLineChars="200"/>
        <w:rPr>
          <w:rFonts w:eastAsia="仿宋"/>
          <w:sz w:val="32"/>
          <w:szCs w:val="32"/>
        </w:rPr>
      </w:pPr>
      <w:r>
        <w:rPr>
          <w:rFonts w:eastAsia="仿宋"/>
          <w:sz w:val="32"/>
          <w:szCs w:val="32"/>
        </w:rPr>
        <w:t>积极帮助帮扶村制定帮扶规划和年度计划，按期入户开展帮扶工作，为白马镇龙塘村、挂榜村建档立卡贫困户给与危房改造补贴资金1万元，分别为贫困户送上凉被、沙发、床、电视机、冰箱等生活用品，同时为龙塘村贫困户唐太文的女儿考上大学送上书包及慰问资金等，共计金额1.26万元；为撒莲镇平阳村建档立卡贫困户给予1.6万补贴资金，帮助贫困户解决住房、出行道路等实际困难；切实做好今年10月17日扶贫日捐款活动，合计捐款2700元。</w:t>
      </w:r>
    </w:p>
    <w:p w14:paraId="58DD3943">
      <w:pPr>
        <w:spacing w:line="560" w:lineRule="exact"/>
        <w:ind w:firstLine="663" w:firstLineChars="200"/>
        <w:outlineLvl w:val="0"/>
        <w:rPr>
          <w:rFonts w:eastAsia="仿宋"/>
          <w:b/>
          <w:sz w:val="33"/>
          <w:szCs w:val="33"/>
        </w:rPr>
      </w:pPr>
      <w:r>
        <w:rPr>
          <w:rFonts w:eastAsia="仿宋"/>
          <w:b/>
          <w:sz w:val="33"/>
          <w:szCs w:val="33"/>
        </w:rPr>
        <w:t>（十一）认真做好安全生产和信访维稳等工作</w:t>
      </w:r>
    </w:p>
    <w:p w14:paraId="5E075B3E">
      <w:pPr>
        <w:spacing w:line="560" w:lineRule="exact"/>
        <w:ind w:firstLine="640" w:firstLineChars="200"/>
        <w:rPr>
          <w:rFonts w:eastAsia="仿宋"/>
          <w:sz w:val="32"/>
          <w:szCs w:val="32"/>
        </w:rPr>
      </w:pPr>
      <w:r>
        <w:rPr>
          <w:rFonts w:eastAsia="仿宋"/>
          <w:sz w:val="32"/>
          <w:szCs w:val="32"/>
        </w:rPr>
        <w:t>县社高度重视，把安全生产和维稳工作作为头等大事，多次对我县供销社社属企业资产进行巡查，发放安全宣传资料，排除安全隐患，确保系统内无安全责任事故。积极稳妥处理改制遗留和职工群众现实利益问题，努力化解干群利益冲突矛盾，确保了重大节日期间无上访。</w:t>
      </w:r>
    </w:p>
    <w:p w14:paraId="7A63BDE6">
      <w:pPr>
        <w:spacing w:line="560" w:lineRule="exact"/>
        <w:ind w:firstLine="663" w:firstLineChars="200"/>
        <w:outlineLvl w:val="0"/>
        <w:rPr>
          <w:rFonts w:eastAsia="仿宋"/>
          <w:b/>
          <w:sz w:val="33"/>
          <w:szCs w:val="33"/>
        </w:rPr>
      </w:pPr>
      <w:r>
        <w:rPr>
          <w:rFonts w:eastAsia="仿宋"/>
          <w:b/>
          <w:sz w:val="33"/>
          <w:szCs w:val="33"/>
        </w:rPr>
        <w:t>（十二）加强党建、党风廉政建设</w:t>
      </w:r>
    </w:p>
    <w:p w14:paraId="596F5CDD">
      <w:pPr>
        <w:pStyle w:val="6"/>
        <w:adjustRightInd w:val="0"/>
        <w:snapToGrid w:val="0"/>
        <w:spacing w:before="93" w:line="560" w:lineRule="exact"/>
        <w:ind w:firstLine="640" w:firstLineChars="200"/>
        <w:outlineLvl w:val="2"/>
        <w:rPr>
          <w:rFonts w:ascii="Times New Roman" w:eastAsia="仿宋"/>
          <w:sz w:val="32"/>
          <w:szCs w:val="32"/>
        </w:rPr>
      </w:pPr>
      <w:r>
        <w:rPr>
          <w:rFonts w:ascii="Times New Roman" w:eastAsia="仿宋"/>
          <w:sz w:val="32"/>
          <w:szCs w:val="32"/>
        </w:rPr>
        <w:t>扎实推进“守纪律、提效能、强执行、做表率”活动各项任务。着力巩固“不忘初心、牢记使命”</w:t>
      </w:r>
      <w:r>
        <w:rPr>
          <w:rFonts w:hint="eastAsia" w:ascii="Times New Roman" w:eastAsia="仿宋"/>
          <w:sz w:val="32"/>
          <w:szCs w:val="32"/>
          <w:lang w:val="en-US" w:eastAsia="zh-CN"/>
        </w:rPr>
        <w:t>主题</w:t>
      </w:r>
      <w:r>
        <w:rPr>
          <w:rFonts w:ascii="Times New Roman" w:eastAsia="仿宋"/>
          <w:sz w:val="32"/>
          <w:szCs w:val="32"/>
        </w:rPr>
        <w:t>教育</w:t>
      </w:r>
      <w:bookmarkStart w:id="111" w:name="_GoBack"/>
      <w:bookmarkEnd w:id="111"/>
      <w:r>
        <w:rPr>
          <w:rFonts w:ascii="Times New Roman" w:eastAsia="仿宋"/>
          <w:sz w:val="32"/>
          <w:szCs w:val="32"/>
        </w:rPr>
        <w:t>成果，抓好党风廉政建设和反腐败工作，认真履行“第一责任人”、“一岗双责”责任制，以县委第七轮巡察第三巡察组反馈整改意见为抓手，党组专题研究问题整改，认真落实管党治党责任，扎实开展交心谈心活动，专题召开班子民主生活会，认真落实党内政治生活主题党日活动、“三会一课”制度，强化监督检查。党组成员带头讲党课2次，召开领导班子巡察整改专题民主生活会，切实抓好问题整改落实。10月13日专题学习贯彻了习近平总书记对供销合作社工作重要指示精神，同时还传达学习了全国供销总社第七次代表大会会议精神。</w:t>
      </w:r>
    </w:p>
    <w:p w14:paraId="2C011C32">
      <w:pPr>
        <w:spacing w:line="560" w:lineRule="exact"/>
        <w:ind w:firstLine="663" w:firstLineChars="200"/>
        <w:outlineLvl w:val="0"/>
        <w:rPr>
          <w:rFonts w:eastAsia="仿宋"/>
          <w:b/>
          <w:sz w:val="33"/>
          <w:szCs w:val="33"/>
        </w:rPr>
      </w:pPr>
      <w:r>
        <w:rPr>
          <w:rFonts w:eastAsia="仿宋"/>
          <w:b/>
          <w:sz w:val="33"/>
          <w:szCs w:val="33"/>
        </w:rPr>
        <w:t>（十三）严格落实疫情期间的各项工作</w:t>
      </w:r>
    </w:p>
    <w:p w14:paraId="047558C5">
      <w:pPr>
        <w:pStyle w:val="6"/>
        <w:adjustRightInd w:val="0"/>
        <w:snapToGrid w:val="0"/>
        <w:spacing w:before="93" w:line="560" w:lineRule="exact"/>
        <w:ind w:firstLine="640" w:firstLineChars="200"/>
        <w:outlineLvl w:val="2"/>
        <w:rPr>
          <w:rFonts w:ascii="Times New Roman" w:eastAsia="仿宋"/>
          <w:sz w:val="32"/>
          <w:szCs w:val="32"/>
        </w:rPr>
      </w:pPr>
      <w:r>
        <w:rPr>
          <w:rFonts w:ascii="Times New Roman" w:eastAsia="仿宋"/>
          <w:sz w:val="32"/>
          <w:szCs w:val="32"/>
        </w:rPr>
        <w:t>严格落实县委、县政府关于新冠疫情防控各项规定，切实抓好疫情防控宣传，教育干部职工配合县上防控工作人员体温检测，防疫检测登记，每天安排专人对单位办公场所进行消毒，为职工购买一次性口罩，确保办公区域及本单位工作人员安全。抽调2名机关党员参加党员志愿服务队，协助攀莲镇河西社区做好河熙住宅小区封闭式管理，增强住宅小区居民疫情防控意识，检查指导社属企业做好疫情防控和复工复产工作。</w:t>
      </w:r>
    </w:p>
    <w:p w14:paraId="5513421B">
      <w:pPr>
        <w:pStyle w:val="3"/>
        <w:spacing w:line="560" w:lineRule="exact"/>
        <w:rPr>
          <w:rFonts w:ascii="Times New Roman" w:hAnsi="Times New Roman"/>
        </w:rPr>
      </w:pPr>
      <w:bookmarkStart w:id="28" w:name="_Toc15377200"/>
      <w:bookmarkStart w:id="29" w:name="_Toc12754_WPSOffice_Level2"/>
      <w:bookmarkStart w:id="30" w:name="_Toc15396601"/>
      <w:r>
        <w:rPr>
          <w:rFonts w:ascii="Times New Roman" w:hAnsi="Times New Roman"/>
        </w:rPr>
        <w:t>二、机构设置</w:t>
      </w:r>
      <w:bookmarkEnd w:id="28"/>
      <w:bookmarkEnd w:id="29"/>
      <w:bookmarkEnd w:id="30"/>
    </w:p>
    <w:p w14:paraId="5D216A76">
      <w:pPr>
        <w:pStyle w:val="6"/>
        <w:adjustRightInd w:val="0"/>
        <w:snapToGrid w:val="0"/>
        <w:spacing w:before="93" w:line="560" w:lineRule="exact"/>
        <w:ind w:firstLine="640" w:firstLineChars="200"/>
        <w:rPr>
          <w:rFonts w:ascii="Times New Roman" w:eastAsia="仿宋"/>
          <w:color w:val="000000"/>
          <w:sz w:val="32"/>
          <w:szCs w:val="32"/>
        </w:rPr>
      </w:pPr>
      <w:r>
        <w:rPr>
          <w:rFonts w:ascii="Times New Roman"/>
          <w:sz w:val="32"/>
          <w:szCs w:val="32"/>
        </w:rPr>
        <w:t>2020年米易县供销合作社内设机构2个、即：办公室、综合股。编制人数9人，实有在职人数11人。</w:t>
      </w:r>
    </w:p>
    <w:p w14:paraId="0B235B05">
      <w:pPr>
        <w:widowControl/>
        <w:jc w:val="left"/>
        <w:rPr>
          <w:rFonts w:eastAsia="仿宋"/>
          <w:color w:val="000000"/>
          <w:kern w:val="0"/>
          <w:sz w:val="32"/>
          <w:szCs w:val="32"/>
        </w:rPr>
      </w:pPr>
      <w:r>
        <w:rPr>
          <w:rFonts w:eastAsia="仿宋"/>
          <w:color w:val="000000"/>
          <w:sz w:val="32"/>
          <w:szCs w:val="32"/>
        </w:rPr>
        <w:br w:type="page"/>
      </w:r>
    </w:p>
    <w:p w14:paraId="51EF979F">
      <w:pPr>
        <w:pStyle w:val="2"/>
        <w:jc w:val="center"/>
      </w:pPr>
      <w:bookmarkStart w:id="31" w:name="_Toc15377204"/>
      <w:bookmarkStart w:id="32" w:name="_Toc19934_WPSOffice_Level1"/>
      <w:bookmarkStart w:id="33" w:name="_Toc15396602"/>
      <w:r>
        <w:t>第二部分 2020年度部门决算情况说明</w:t>
      </w:r>
      <w:bookmarkEnd w:id="31"/>
      <w:bookmarkEnd w:id="32"/>
      <w:bookmarkEnd w:id="33"/>
    </w:p>
    <w:p w14:paraId="1A89998A">
      <w:pPr>
        <w:pStyle w:val="3"/>
        <w:numPr>
          <w:ilvl w:val="0"/>
          <w:numId w:val="1"/>
        </w:numPr>
        <w:spacing w:line="560" w:lineRule="exact"/>
        <w:rPr>
          <w:rFonts w:ascii="Times New Roman" w:hAnsi="Times New Roman"/>
        </w:rPr>
      </w:pPr>
      <w:bookmarkStart w:id="34" w:name="_Toc15377205"/>
      <w:bookmarkStart w:id="35" w:name="_Toc15396603"/>
      <w:bookmarkStart w:id="36" w:name="_Toc32365_WPSOffice_Level2"/>
      <w:r>
        <w:rPr>
          <w:rFonts w:ascii="Times New Roman" w:hAnsi="Times New Roman"/>
        </w:rPr>
        <w:t>收入支出决算总体情况说明</w:t>
      </w:r>
      <w:bookmarkEnd w:id="34"/>
      <w:bookmarkEnd w:id="35"/>
      <w:bookmarkEnd w:id="36"/>
    </w:p>
    <w:p w14:paraId="504FB982">
      <w:pPr>
        <w:spacing w:line="560" w:lineRule="exact"/>
        <w:ind w:firstLine="640" w:firstLineChars="200"/>
        <w:rPr>
          <w:rFonts w:eastAsia="仿宋"/>
          <w:color w:val="000000"/>
          <w:sz w:val="32"/>
          <w:szCs w:val="32"/>
        </w:rPr>
      </w:pPr>
      <w:r>
        <w:rPr>
          <w:rFonts w:eastAsia="仿宋"/>
          <w:color w:val="000000"/>
          <w:sz w:val="32"/>
          <w:szCs w:val="32"/>
        </w:rPr>
        <w:t>2020年度收、支总计均是341.09万元。与2019年相比，收、支总计各增加26.45万元，增长8.4%。主要变动原因是2020年项目支出较2019年项目支出增加。</w:t>
      </w:r>
    </w:p>
    <w:p w14:paraId="713C8BD4">
      <w:pPr>
        <w:spacing w:line="600" w:lineRule="exact"/>
        <w:ind w:firstLine="420" w:firstLineChars="200"/>
        <w:rPr>
          <w:rFonts w:eastAsia="仿宋"/>
          <w:color w:val="000000"/>
          <w:sz w:val="32"/>
          <w:szCs w:val="32"/>
        </w:rPr>
      </w:pPr>
      <w:r>
        <w:pict>
          <v:shape id="_x0000_s1026" o:spid="_x0000_s1026" o:spt="75" type="#_x0000_t75" style="position:absolute;left:0pt;margin-left:49pt;margin-top:15.7pt;height:229.45pt;width:353.75pt;mso-wrap-distance-bottom:0pt;mso-wrap-distance-top:0pt;z-index:251659264;mso-width-relative:page;mso-height-relative:page;" o:ole="t" filled="f" o:preferrelative="t" stroked="f" coordsize="21600,21600">
            <v:path/>
            <v:fill on="f" focussize="0,0"/>
            <v:stroke on="f"/>
            <v:imagedata r:id="rId7" o:title=""/>
            <o:lock v:ext="edit" aspectratio="t"/>
            <w10:wrap type="topAndBottom"/>
          </v:shape>
          <o:OLEObject Type="Embed" ProgID="Excel.Sheet.8" ShapeID="_x0000_s1026" DrawAspect="Content" ObjectID="_1468075725" r:id="rId6">
            <o:LockedField>false</o:LockedField>
          </o:OLEObject>
        </w:pict>
      </w:r>
    </w:p>
    <w:p w14:paraId="4CF89520">
      <w:pPr>
        <w:spacing w:line="600" w:lineRule="exact"/>
        <w:ind w:firstLine="640" w:firstLineChars="200"/>
        <w:jc w:val="center"/>
        <w:rPr>
          <w:rFonts w:eastAsia="仿宋"/>
          <w:color w:val="000000"/>
          <w:sz w:val="32"/>
          <w:szCs w:val="32"/>
        </w:rPr>
      </w:pPr>
      <w:r>
        <w:rPr>
          <w:rFonts w:eastAsia="仿宋"/>
          <w:color w:val="000000"/>
          <w:sz w:val="32"/>
          <w:szCs w:val="32"/>
        </w:rPr>
        <w:t>（图1：收、支决算总计变动情况图）</w:t>
      </w:r>
    </w:p>
    <w:p w14:paraId="039654F0">
      <w:pPr>
        <w:pStyle w:val="3"/>
        <w:numPr>
          <w:ilvl w:val="0"/>
          <w:numId w:val="1"/>
        </w:numPr>
        <w:spacing w:line="560" w:lineRule="exact"/>
        <w:rPr>
          <w:rFonts w:ascii="Times New Roman" w:hAnsi="Times New Roman"/>
        </w:rPr>
      </w:pPr>
      <w:bookmarkStart w:id="37" w:name="_Toc15396604"/>
      <w:bookmarkStart w:id="38" w:name="_Toc15377206"/>
      <w:bookmarkStart w:id="39" w:name="_Toc31975_WPSOffice_Level2"/>
      <w:r>
        <w:rPr>
          <w:rFonts w:ascii="Times New Roman" w:hAnsi="Times New Roman"/>
        </w:rPr>
        <w:t>收入决算情况说明</w:t>
      </w:r>
      <w:bookmarkEnd w:id="37"/>
      <w:bookmarkEnd w:id="38"/>
      <w:bookmarkEnd w:id="39"/>
    </w:p>
    <w:p w14:paraId="6C0C08DC">
      <w:pPr>
        <w:spacing w:line="560" w:lineRule="exact"/>
        <w:ind w:firstLine="640" w:firstLineChars="200"/>
        <w:outlineLvl w:val="1"/>
        <w:rPr>
          <w:rFonts w:eastAsia="仿宋"/>
          <w:color w:val="000000"/>
          <w:sz w:val="32"/>
          <w:szCs w:val="32"/>
        </w:rPr>
      </w:pPr>
      <w:r>
        <w:rPr>
          <w:rFonts w:eastAsia="仿宋"/>
          <w:color w:val="000000"/>
          <w:sz w:val="32"/>
          <w:szCs w:val="32"/>
        </w:rPr>
        <w:t>2020年本年收入合计</w:t>
      </w:r>
      <w:r>
        <w:rPr>
          <w:rFonts w:hint="eastAsia" w:eastAsia="仿宋"/>
          <w:color w:val="000000"/>
          <w:sz w:val="32"/>
          <w:szCs w:val="32"/>
          <w:lang w:val="en-US" w:eastAsia="zh-CN"/>
        </w:rPr>
        <w:t>268</w:t>
      </w:r>
      <w:r>
        <w:rPr>
          <w:rFonts w:eastAsia="仿宋"/>
          <w:color w:val="000000"/>
          <w:sz w:val="32"/>
          <w:szCs w:val="32"/>
        </w:rPr>
        <w:t>.09万元，其中：一般公共预算财政拨款收入268.09万元，占79%；政府性基金预算财政拨款收入0万元，占0%；国有资本经营预算财政拨款收入0万元，占0%；上级补助收入0万元，占0%；事业收入0万元，占0%；经营收入0万元，占0%；附属单位上缴收入0万元，占0%；其他收入0万元，占0%；年初结转和结余73.00万元，占21%。</w:t>
      </w:r>
    </w:p>
    <w:p w14:paraId="7A05883A">
      <w:pPr>
        <w:spacing w:line="600" w:lineRule="exact"/>
        <w:ind w:firstLine="420" w:firstLineChars="200"/>
        <w:outlineLvl w:val="1"/>
        <w:rPr>
          <w:rFonts w:eastAsia="仿宋"/>
          <w:color w:val="000000"/>
          <w:sz w:val="32"/>
          <w:szCs w:val="32"/>
        </w:rPr>
      </w:pPr>
      <w:r>
        <w:pict>
          <v:shape id="_x0000_s1027" o:spid="_x0000_s1027" o:spt="75" type="#_x0000_t75" style="position:absolute;left:0pt;margin-left:40.75pt;margin-top:21.55pt;height:264.95pt;width:351.85pt;mso-wrap-distance-bottom:0pt;mso-wrap-distance-top:0pt;z-index:251660288;mso-width-relative:page;mso-height-relative:page;" o:ole="t" filled="f" o:preferrelative="t" stroked="f" coordsize="21600,21600">
            <v:path/>
            <v:fill on="f" focussize="0,0"/>
            <v:stroke on="f"/>
            <v:imagedata r:id="rId9" o:title=""/>
            <o:lock v:ext="edit" aspectratio="t"/>
            <w10:wrap type="topAndBottom"/>
          </v:shape>
          <o:OLEObject Type="Embed" ProgID="Excel.Sheet.8" ShapeID="_x0000_s1027" DrawAspect="Content" ObjectID="_1468075726" r:id="rId8">
            <o:LockedField>false</o:LockedField>
          </o:OLEObject>
        </w:pict>
      </w:r>
    </w:p>
    <w:p w14:paraId="49C3FEC3">
      <w:pPr>
        <w:spacing w:line="600" w:lineRule="exact"/>
        <w:ind w:firstLine="640" w:firstLineChars="200"/>
        <w:jc w:val="center"/>
        <w:rPr>
          <w:rFonts w:eastAsia="仿宋"/>
          <w:color w:val="000000"/>
          <w:sz w:val="32"/>
          <w:szCs w:val="32"/>
        </w:rPr>
      </w:pPr>
      <w:r>
        <w:rPr>
          <w:rFonts w:eastAsia="仿宋"/>
          <w:color w:val="000000"/>
          <w:sz w:val="32"/>
          <w:szCs w:val="32"/>
        </w:rPr>
        <w:t>（图2：收入决算结构图）</w:t>
      </w:r>
    </w:p>
    <w:p w14:paraId="137066AB">
      <w:pPr>
        <w:spacing w:line="600" w:lineRule="exact"/>
        <w:ind w:firstLine="640" w:firstLineChars="200"/>
        <w:rPr>
          <w:rFonts w:eastAsia="仿宋"/>
          <w:color w:val="FF0000"/>
          <w:sz w:val="32"/>
          <w:szCs w:val="32"/>
        </w:rPr>
      </w:pPr>
    </w:p>
    <w:p w14:paraId="1E797405">
      <w:pPr>
        <w:pStyle w:val="3"/>
        <w:numPr>
          <w:ilvl w:val="0"/>
          <w:numId w:val="1"/>
        </w:numPr>
        <w:spacing w:line="560" w:lineRule="exact"/>
        <w:rPr>
          <w:rFonts w:ascii="Times New Roman" w:hAnsi="Times New Roman"/>
        </w:rPr>
      </w:pPr>
      <w:bookmarkStart w:id="40" w:name="_Toc15396605"/>
      <w:bookmarkStart w:id="41" w:name="_Toc15377207"/>
      <w:bookmarkStart w:id="42" w:name="_Toc11148_WPSOffice_Level2"/>
      <w:r>
        <w:rPr>
          <w:rFonts w:ascii="Times New Roman" w:hAnsi="Times New Roman"/>
        </w:rPr>
        <w:t>支出决算情况说明</w:t>
      </w:r>
      <w:bookmarkEnd w:id="40"/>
      <w:bookmarkEnd w:id="41"/>
      <w:bookmarkEnd w:id="42"/>
    </w:p>
    <w:p w14:paraId="73D410F5">
      <w:pPr>
        <w:spacing w:line="560" w:lineRule="exact"/>
        <w:ind w:firstLine="640" w:firstLineChars="200"/>
        <w:outlineLvl w:val="1"/>
        <w:rPr>
          <w:rFonts w:eastAsia="仿宋"/>
          <w:color w:val="000000"/>
          <w:sz w:val="32"/>
          <w:szCs w:val="32"/>
        </w:rPr>
      </w:pPr>
      <w:r>
        <w:rPr>
          <w:rFonts w:eastAsia="仿宋"/>
          <w:color w:val="000000"/>
          <w:sz w:val="32"/>
          <w:szCs w:val="32"/>
        </w:rPr>
        <w:t>2020年本年支出合计341.09万元，其中：基本支出190.32万元，占56%；项目支出150.77万元，占44%；上缴上级支出0万元，占0%；经营支出0万元，占0%；对附属单位补助支出0万元，占0%。</w:t>
      </w:r>
    </w:p>
    <w:p w14:paraId="46F3720E">
      <w:pPr>
        <w:spacing w:line="600" w:lineRule="exact"/>
        <w:ind w:firstLine="640"/>
        <w:rPr>
          <w:rFonts w:eastAsia="仿宋"/>
          <w:color w:val="000000"/>
          <w:sz w:val="32"/>
          <w:szCs w:val="32"/>
          <w:shd w:val="pct10" w:color="auto" w:fill="FFFFFF"/>
        </w:rPr>
      </w:pPr>
    </w:p>
    <w:p w14:paraId="6D0662E5">
      <w:pPr>
        <w:spacing w:line="600" w:lineRule="exact"/>
        <w:ind w:firstLine="640"/>
        <w:rPr>
          <w:rFonts w:eastAsia="仿宋"/>
          <w:color w:val="000000"/>
          <w:sz w:val="32"/>
          <w:szCs w:val="32"/>
          <w:shd w:val="pct10" w:color="auto" w:fill="FFFFFF"/>
        </w:rPr>
      </w:pPr>
    </w:p>
    <w:p w14:paraId="652A4F53">
      <w:pPr>
        <w:spacing w:line="600" w:lineRule="exact"/>
        <w:ind w:firstLine="420" w:firstLineChars="200"/>
        <w:jc w:val="center"/>
        <w:rPr>
          <w:rFonts w:eastAsia="仿宋"/>
          <w:color w:val="000000"/>
          <w:sz w:val="32"/>
          <w:szCs w:val="32"/>
        </w:rPr>
      </w:pPr>
      <w:r>
        <w:pict>
          <v:shape id="_x0000_s1028" o:spid="_x0000_s1028" o:spt="75" type="#_x0000_t75" style="position:absolute;left:0pt;margin-left:85.6pt;margin-top:-14.05pt;height:230.4pt;width:309.6pt;mso-wrap-distance-bottom:0pt;mso-wrap-distance-top:0pt;z-index:251661312;mso-width-relative:page;mso-height-relative:page;" o:ole="t" filled="f" o:preferrelative="t" stroked="f" coordsize="21600,21600">
            <v:path/>
            <v:fill on="f" focussize="0,0"/>
            <v:stroke on="f" joinstyle="miter"/>
            <v:imagedata r:id="rId11" o:title=""/>
            <o:lock v:ext="edit" aspectratio="t"/>
            <w10:wrap type="topAndBottom"/>
          </v:shape>
          <o:OLEObject Type="Embed" ProgID="Excel.Sheet.8" ShapeID="_x0000_s1028" DrawAspect="Content" ObjectID="_1468075727" r:id="rId10">
            <o:LockedField>false</o:LockedField>
          </o:OLEObject>
        </w:pict>
      </w:r>
      <w:r>
        <w:rPr>
          <w:rFonts w:eastAsia="仿宋"/>
          <w:color w:val="000000"/>
          <w:sz w:val="32"/>
          <w:szCs w:val="32"/>
        </w:rPr>
        <w:t>（图3：支出决算结构图）</w:t>
      </w:r>
    </w:p>
    <w:p w14:paraId="08012A4A">
      <w:pPr>
        <w:spacing w:line="600" w:lineRule="exact"/>
        <w:ind w:firstLine="640" w:firstLineChars="200"/>
        <w:rPr>
          <w:rFonts w:eastAsia="仿宋"/>
          <w:color w:val="FF0000"/>
          <w:sz w:val="32"/>
          <w:szCs w:val="32"/>
        </w:rPr>
      </w:pPr>
    </w:p>
    <w:p w14:paraId="651546C6">
      <w:pPr>
        <w:pStyle w:val="3"/>
        <w:spacing w:line="560" w:lineRule="exact"/>
        <w:rPr>
          <w:rFonts w:ascii="Times New Roman" w:hAnsi="Times New Roman"/>
        </w:rPr>
      </w:pPr>
      <w:bookmarkStart w:id="43" w:name="_Toc15377208"/>
      <w:bookmarkStart w:id="44" w:name="_Toc23693_WPSOffice_Level2"/>
      <w:bookmarkStart w:id="45" w:name="_Toc15396606"/>
      <w:r>
        <w:rPr>
          <w:rFonts w:ascii="Times New Roman" w:hAnsi="Times New Roman"/>
        </w:rPr>
        <w:t>四、财政拨款收入支出决算总体情况说明</w:t>
      </w:r>
      <w:bookmarkEnd w:id="43"/>
      <w:bookmarkEnd w:id="44"/>
      <w:bookmarkEnd w:id="45"/>
    </w:p>
    <w:p w14:paraId="5EB489A6">
      <w:pPr>
        <w:spacing w:line="560" w:lineRule="exact"/>
        <w:ind w:firstLine="640"/>
        <w:rPr>
          <w:rFonts w:eastAsia="仿宋"/>
          <w:color w:val="000000"/>
          <w:sz w:val="32"/>
          <w:szCs w:val="32"/>
        </w:rPr>
      </w:pPr>
      <w:r>
        <w:rPr>
          <w:rFonts w:eastAsia="仿宋"/>
          <w:color w:val="000000"/>
          <w:sz w:val="32"/>
          <w:szCs w:val="32"/>
        </w:rPr>
        <w:t>2020年财政拨款收、支总计均是341.09万元。与2019年相比，财政拨款收、支总计各增加26.45万元，增长8.4%。主要变动原因是2020年项目支出较2019年项目支出增加。</w:t>
      </w:r>
    </w:p>
    <w:p w14:paraId="1759A477">
      <w:pPr>
        <w:spacing w:line="600" w:lineRule="exact"/>
        <w:ind w:firstLine="420" w:firstLineChars="200"/>
        <w:jc w:val="center"/>
        <w:rPr>
          <w:rFonts w:eastAsia="仿宋"/>
          <w:b/>
          <w:color w:val="00B050"/>
          <w:sz w:val="32"/>
          <w:szCs w:val="32"/>
        </w:rPr>
      </w:pPr>
      <w:r>
        <w:pict>
          <v:shape id="_x0000_s1029" o:spid="_x0000_s1029" o:spt="75" type="#_x0000_t75" style="position:absolute;left:0pt;margin-left:60.35pt;margin-top:12.75pt;height:248.65pt;width:336pt;mso-wrap-distance-bottom:0.2pt;mso-wrap-distance-top:0pt;z-index:251662336;mso-width-relative:page;mso-height-relative:page;" o:ole="t" filled="f" o:preferrelative="t" stroked="f" coordsize="21600,21600">
            <v:path/>
            <v:fill on="f" focussize="0,0"/>
            <v:stroke on="f" joinstyle="miter"/>
            <v:imagedata r:id="rId13" o:title=""/>
            <o:lock v:ext="edit" aspectratio="t"/>
            <w10:wrap type="topAndBottom"/>
          </v:shape>
          <o:OLEObject Type="Embed" ProgID="Excel.Sheet.8" ShapeID="_x0000_s1029" DrawAspect="Content" ObjectID="_1468075728" r:id="rId12">
            <o:LockedField>false</o:LockedField>
          </o:OLEObject>
        </w:pict>
      </w:r>
      <w:r>
        <w:rPr>
          <w:rFonts w:eastAsia="仿宋"/>
          <w:color w:val="000000"/>
          <w:sz w:val="32"/>
          <w:szCs w:val="32"/>
        </w:rPr>
        <w:t>（图4：财政拨款收、支决算总计变动情况）</w:t>
      </w:r>
    </w:p>
    <w:p w14:paraId="4A3442FB">
      <w:pPr>
        <w:pStyle w:val="3"/>
        <w:spacing w:line="560" w:lineRule="exact"/>
        <w:rPr>
          <w:rFonts w:ascii="Times New Roman" w:hAnsi="Times New Roman"/>
        </w:rPr>
      </w:pPr>
      <w:bookmarkStart w:id="46" w:name="_Toc15396607"/>
      <w:bookmarkStart w:id="47" w:name="_Toc15377209"/>
      <w:bookmarkStart w:id="48" w:name="_Toc8489_WPSOffice_Level2"/>
      <w:r>
        <w:rPr>
          <w:rFonts w:ascii="Times New Roman" w:hAnsi="Times New Roman"/>
        </w:rPr>
        <w:t>五、一般公共预算财政拨款支出决算情况说明</w:t>
      </w:r>
      <w:bookmarkEnd w:id="46"/>
      <w:bookmarkEnd w:id="47"/>
      <w:bookmarkEnd w:id="48"/>
    </w:p>
    <w:p w14:paraId="3B704643">
      <w:pPr>
        <w:spacing w:line="560" w:lineRule="exact"/>
        <w:ind w:firstLine="643" w:firstLineChars="200"/>
        <w:outlineLvl w:val="2"/>
        <w:rPr>
          <w:rFonts w:eastAsia="仿宋"/>
          <w:b/>
          <w:color w:val="000000"/>
          <w:sz w:val="32"/>
          <w:szCs w:val="32"/>
        </w:rPr>
      </w:pPr>
      <w:bookmarkStart w:id="49" w:name="_Toc15377210"/>
      <w:r>
        <w:rPr>
          <w:rFonts w:eastAsia="仿宋"/>
          <w:b/>
          <w:color w:val="000000"/>
          <w:sz w:val="32"/>
          <w:szCs w:val="32"/>
        </w:rPr>
        <w:t>（一）一般公共预算财政拨款支出决算总体情况</w:t>
      </w:r>
      <w:bookmarkEnd w:id="49"/>
    </w:p>
    <w:p w14:paraId="7C6CECA7">
      <w:pPr>
        <w:spacing w:line="560" w:lineRule="exact"/>
        <w:ind w:firstLine="640" w:firstLineChars="200"/>
        <w:rPr>
          <w:rFonts w:eastAsia="仿宋"/>
          <w:color w:val="000000"/>
          <w:sz w:val="32"/>
          <w:szCs w:val="32"/>
        </w:rPr>
      </w:pPr>
      <w:r>
        <w:rPr>
          <w:rFonts w:eastAsia="仿宋"/>
          <w:color w:val="000000"/>
          <w:sz w:val="32"/>
          <w:szCs w:val="32"/>
        </w:rPr>
        <w:t>2020年一般公共预算财政拨款支出341.09万元，占本年支出合计的100%。与2019年相比241.64，一般公共预算财政拨款增加99.45万元，增长41.16%。主要变动原因是2020年项目支出较2019年增加。</w:t>
      </w:r>
    </w:p>
    <w:p w14:paraId="5ECDCCA9">
      <w:pPr>
        <w:spacing w:line="600" w:lineRule="exact"/>
        <w:ind w:firstLine="420" w:firstLineChars="200"/>
        <w:rPr>
          <w:rFonts w:eastAsia="仿宋"/>
          <w:color w:val="000000"/>
          <w:sz w:val="32"/>
          <w:szCs w:val="32"/>
        </w:rPr>
      </w:pPr>
      <w:r>
        <w:pict>
          <v:shape id="_x0000_s1030" o:spid="_x0000_s1030" o:spt="75" type="#_x0000_t75" style="position:absolute;left:0pt;margin-left:45.45pt;margin-top:15pt;height:238.55pt;width:351.85pt;mso-wrap-distance-bottom:0.05pt;mso-wrap-distance-top:0pt;z-index:251663360;mso-width-relative:page;mso-height-relative:page;" o:ole="t" filled="f" o:preferrelative="t" stroked="f" coordsize="21600,21600">
            <v:path/>
            <v:fill on="f" focussize="0,0"/>
            <v:stroke on="f" joinstyle="miter"/>
            <v:imagedata r:id="rId15" o:title=""/>
            <o:lock v:ext="edit" aspectratio="t"/>
            <w10:wrap type="topAndBottom"/>
          </v:shape>
          <o:OLEObject Type="Embed" ProgID="Excel.Sheet.8" ShapeID="_x0000_s1030" DrawAspect="Content" ObjectID="_1468075729" r:id="rId14">
            <o:LockedField>false</o:LockedField>
          </o:OLEObject>
        </w:pict>
      </w:r>
    </w:p>
    <w:p w14:paraId="7859F7FB">
      <w:pPr>
        <w:spacing w:line="600" w:lineRule="exact"/>
        <w:ind w:firstLine="640" w:firstLineChars="200"/>
        <w:jc w:val="center"/>
        <w:rPr>
          <w:rFonts w:eastAsia="仿宋"/>
          <w:color w:val="000000"/>
          <w:sz w:val="32"/>
          <w:szCs w:val="32"/>
        </w:rPr>
      </w:pPr>
      <w:r>
        <w:rPr>
          <w:rFonts w:eastAsia="仿宋"/>
          <w:color w:val="000000"/>
          <w:sz w:val="32"/>
          <w:szCs w:val="32"/>
        </w:rPr>
        <w:t>（图5：一般公共预算财政拨款支出决算变动情况）</w:t>
      </w:r>
    </w:p>
    <w:p w14:paraId="0A2F2084">
      <w:pPr>
        <w:spacing w:line="560" w:lineRule="exact"/>
        <w:ind w:firstLine="643" w:firstLineChars="200"/>
        <w:outlineLvl w:val="2"/>
        <w:rPr>
          <w:rFonts w:eastAsia="仿宋"/>
          <w:b/>
          <w:color w:val="000000"/>
          <w:sz w:val="32"/>
          <w:szCs w:val="32"/>
        </w:rPr>
      </w:pPr>
      <w:bookmarkStart w:id="50" w:name="_Toc15377211"/>
      <w:r>
        <w:rPr>
          <w:rFonts w:eastAsia="仿宋"/>
          <w:b/>
          <w:color w:val="000000"/>
          <w:sz w:val="32"/>
          <w:szCs w:val="32"/>
        </w:rPr>
        <w:t>（二）一般公共预算财政拨款支出决算结构情况</w:t>
      </w:r>
      <w:bookmarkEnd w:id="50"/>
    </w:p>
    <w:p w14:paraId="6F844F4A">
      <w:pPr>
        <w:spacing w:line="560" w:lineRule="exact"/>
        <w:ind w:firstLine="640"/>
        <w:rPr>
          <w:rFonts w:eastAsia="仿宋"/>
          <w:color w:val="000000"/>
          <w:sz w:val="32"/>
          <w:szCs w:val="32"/>
        </w:rPr>
      </w:pPr>
      <w:r>
        <w:rPr>
          <w:rFonts w:eastAsia="仿宋"/>
          <w:color w:val="000000"/>
          <w:sz w:val="32"/>
          <w:szCs w:val="32"/>
        </w:rPr>
        <w:t>2020年一般公共预算财政拨款支出341.09万元，主要用于以下方面:</w:t>
      </w:r>
      <w:r>
        <w:rPr>
          <w:rFonts w:eastAsia="仿宋"/>
          <w:b/>
          <w:color w:val="000000"/>
          <w:sz w:val="32"/>
          <w:szCs w:val="32"/>
        </w:rPr>
        <w:t>一般公共服务（类）</w:t>
      </w:r>
      <w:r>
        <w:rPr>
          <w:rFonts w:eastAsia="仿宋"/>
          <w:color w:val="000000"/>
          <w:sz w:val="32"/>
          <w:szCs w:val="32"/>
        </w:rPr>
        <w:t>支出22.32万元，占7%；</w:t>
      </w:r>
      <w:r>
        <w:rPr>
          <w:rFonts w:eastAsia="仿宋"/>
          <w:b/>
          <w:color w:val="000000"/>
          <w:sz w:val="32"/>
          <w:szCs w:val="32"/>
        </w:rPr>
        <w:t>社会保障和就业（类）</w:t>
      </w:r>
      <w:r>
        <w:rPr>
          <w:rFonts w:eastAsia="仿宋"/>
          <w:color w:val="000000"/>
          <w:sz w:val="32"/>
          <w:szCs w:val="32"/>
        </w:rPr>
        <w:t>支出44.55万元，占13%；</w:t>
      </w:r>
      <w:r>
        <w:rPr>
          <w:rFonts w:eastAsia="仿宋"/>
          <w:b/>
          <w:color w:val="000000"/>
          <w:sz w:val="32"/>
          <w:szCs w:val="32"/>
        </w:rPr>
        <w:t>商业服务业等（类）</w:t>
      </w:r>
      <w:r>
        <w:rPr>
          <w:rFonts w:eastAsia="仿宋"/>
          <w:bCs/>
          <w:color w:val="000000"/>
          <w:sz w:val="32"/>
          <w:szCs w:val="32"/>
        </w:rPr>
        <w:t>支出250.56万元，占</w:t>
      </w:r>
      <w:r>
        <w:rPr>
          <w:rFonts w:eastAsia="仿宋"/>
          <w:color w:val="000000"/>
          <w:sz w:val="32"/>
          <w:szCs w:val="32"/>
        </w:rPr>
        <w:t>，占73%；</w:t>
      </w:r>
      <w:r>
        <w:rPr>
          <w:rFonts w:eastAsia="仿宋"/>
          <w:b/>
          <w:bCs/>
          <w:color w:val="000000"/>
          <w:sz w:val="32"/>
          <w:szCs w:val="32"/>
        </w:rPr>
        <w:t>住房保障支出（类）</w:t>
      </w:r>
      <w:r>
        <w:rPr>
          <w:rFonts w:eastAsia="仿宋"/>
          <w:color w:val="000000"/>
          <w:sz w:val="32"/>
          <w:szCs w:val="32"/>
        </w:rPr>
        <w:t>支出14.72万元，占4%；</w:t>
      </w:r>
      <w:r>
        <w:rPr>
          <w:rFonts w:eastAsia="仿宋"/>
          <w:b/>
          <w:bCs/>
          <w:color w:val="000000"/>
          <w:sz w:val="32"/>
          <w:szCs w:val="32"/>
        </w:rPr>
        <w:t>卫生健康支出（类）</w:t>
      </w:r>
      <w:r>
        <w:rPr>
          <w:rFonts w:eastAsia="仿宋"/>
          <w:color w:val="000000"/>
          <w:sz w:val="32"/>
          <w:szCs w:val="32"/>
        </w:rPr>
        <w:t>支出8.95万元，占3%。</w:t>
      </w:r>
    </w:p>
    <w:p w14:paraId="1D1F51EF">
      <w:pPr>
        <w:spacing w:line="600" w:lineRule="exact"/>
        <w:ind w:firstLine="640"/>
        <w:rPr>
          <w:rFonts w:eastAsia="仿宋"/>
          <w:color w:val="000000"/>
          <w:sz w:val="32"/>
          <w:szCs w:val="32"/>
        </w:rPr>
      </w:pPr>
    </w:p>
    <w:p w14:paraId="48BE0DC1">
      <w:pPr>
        <w:spacing w:line="600" w:lineRule="exact"/>
        <w:ind w:firstLine="640"/>
        <w:rPr>
          <w:rFonts w:eastAsia="仿宋"/>
          <w:b/>
          <w:color w:val="000000"/>
          <w:sz w:val="32"/>
          <w:szCs w:val="32"/>
        </w:rPr>
      </w:pPr>
      <w:r>
        <w:pict>
          <v:shape id="_x0000_s1031" o:spid="_x0000_s1031" o:spt="75" type="#_x0000_t75" style="position:absolute;left:0pt;margin-left:15.4pt;margin-top:35.65pt;height:300.5pt;width:401.3pt;mso-wrap-distance-bottom:0pt;mso-wrap-distance-top:0pt;z-index:251664384;mso-width-relative:page;mso-height-relative:page;" o:ole="t" filled="f" o:preferrelative="t" stroked="f" coordsize="21600,21600">
            <v:path/>
            <v:fill on="f" focussize="0,0"/>
            <v:stroke on="f" joinstyle="miter"/>
            <v:imagedata r:id="rId17" o:title=""/>
            <o:lock v:ext="edit" aspectratio="t"/>
            <w10:wrap type="topAndBottom"/>
          </v:shape>
          <o:OLEObject Type="Embed" ProgID="Excel.Sheet.8" ShapeID="_x0000_s1031" DrawAspect="Content" ObjectID="_1468075730" r:id="rId16">
            <o:LockedField>false</o:LockedField>
          </o:OLEObject>
        </w:pict>
      </w:r>
    </w:p>
    <w:p w14:paraId="1206DF2C">
      <w:pPr>
        <w:spacing w:line="600" w:lineRule="exact"/>
        <w:ind w:firstLine="640" w:firstLineChars="200"/>
        <w:jc w:val="center"/>
        <w:rPr>
          <w:rFonts w:eastAsia="仿宋"/>
          <w:color w:val="000000"/>
          <w:sz w:val="32"/>
          <w:szCs w:val="32"/>
        </w:rPr>
      </w:pPr>
      <w:r>
        <w:rPr>
          <w:rFonts w:eastAsia="仿宋"/>
          <w:color w:val="000000"/>
          <w:sz w:val="32"/>
          <w:szCs w:val="32"/>
        </w:rPr>
        <w:t>（图6：一般公共预算财政拨款支出决算结构）</w:t>
      </w:r>
    </w:p>
    <w:p w14:paraId="158852BD">
      <w:pPr>
        <w:spacing w:line="600" w:lineRule="exact"/>
        <w:ind w:firstLine="640" w:firstLineChars="200"/>
        <w:rPr>
          <w:rFonts w:eastAsia="仿宋"/>
          <w:color w:val="000000"/>
          <w:sz w:val="32"/>
          <w:szCs w:val="32"/>
        </w:rPr>
      </w:pPr>
    </w:p>
    <w:p w14:paraId="2B1B7977">
      <w:pPr>
        <w:spacing w:line="560" w:lineRule="exact"/>
        <w:ind w:firstLine="643" w:firstLineChars="200"/>
        <w:outlineLvl w:val="2"/>
        <w:rPr>
          <w:rFonts w:eastAsia="仿宋"/>
          <w:b/>
          <w:color w:val="000000"/>
          <w:sz w:val="32"/>
          <w:szCs w:val="32"/>
        </w:rPr>
      </w:pPr>
      <w:bookmarkStart w:id="51" w:name="_Toc15377212"/>
      <w:r>
        <w:rPr>
          <w:rFonts w:eastAsia="仿宋"/>
          <w:b/>
          <w:color w:val="000000"/>
          <w:sz w:val="32"/>
          <w:szCs w:val="32"/>
        </w:rPr>
        <w:t>（三）一般公共预算财政拨款支出决算具体情况</w:t>
      </w:r>
      <w:bookmarkEnd w:id="51"/>
    </w:p>
    <w:p w14:paraId="2C002AFE">
      <w:pPr>
        <w:spacing w:line="560" w:lineRule="exact"/>
        <w:ind w:firstLine="643" w:firstLineChars="200"/>
        <w:outlineLvl w:val="2"/>
        <w:rPr>
          <w:rFonts w:eastAsia="仿宋"/>
          <w:color w:val="FF0000"/>
          <w:sz w:val="32"/>
          <w:szCs w:val="32"/>
        </w:rPr>
      </w:pPr>
      <w:bookmarkStart w:id="52" w:name="_Toc15377213"/>
      <w:bookmarkStart w:id="53" w:name="_Toc15377444"/>
      <w:bookmarkStart w:id="54" w:name="_Toc15378460"/>
      <w:r>
        <w:rPr>
          <w:rFonts w:eastAsia="仿宋"/>
          <w:b/>
          <w:color w:val="000000"/>
          <w:sz w:val="32"/>
          <w:szCs w:val="32"/>
        </w:rPr>
        <w:t>2020年一般公共预算支出决算数为341.09</w:t>
      </w:r>
      <w:r>
        <w:rPr>
          <w:rFonts w:eastAsia="仿宋"/>
          <w:color w:val="000000"/>
          <w:sz w:val="32"/>
          <w:szCs w:val="32"/>
        </w:rPr>
        <w:t>，</w:t>
      </w:r>
      <w:r>
        <w:rPr>
          <w:rStyle w:val="15"/>
          <w:rFonts w:eastAsia="仿宋"/>
          <w:bCs/>
          <w:color w:val="000000"/>
          <w:sz w:val="32"/>
          <w:szCs w:val="32"/>
        </w:rPr>
        <w:t>完成预算100%。其中：</w:t>
      </w:r>
      <w:bookmarkEnd w:id="52"/>
      <w:bookmarkEnd w:id="53"/>
      <w:bookmarkEnd w:id="54"/>
    </w:p>
    <w:p w14:paraId="7A8A4CE1">
      <w:pPr>
        <w:spacing w:line="560" w:lineRule="exact"/>
        <w:ind w:firstLine="643" w:firstLineChars="200"/>
        <w:rPr>
          <w:rStyle w:val="15"/>
          <w:rFonts w:eastAsia="仿宋"/>
          <w:b w:val="0"/>
          <w:bCs/>
          <w:color w:val="000000"/>
          <w:sz w:val="32"/>
          <w:szCs w:val="32"/>
        </w:rPr>
      </w:pPr>
      <w:r>
        <w:rPr>
          <w:rStyle w:val="15"/>
          <w:rFonts w:eastAsia="仿宋"/>
          <w:bCs/>
          <w:color w:val="000000"/>
          <w:sz w:val="32"/>
          <w:szCs w:val="32"/>
        </w:rPr>
        <w:t>1.一般公共服务（类）商贸事务（款）其他商贸事务支出（项）:</w:t>
      </w:r>
      <w:r>
        <w:rPr>
          <w:rStyle w:val="15"/>
          <w:rFonts w:eastAsia="仿宋"/>
          <w:b w:val="0"/>
          <w:bCs/>
          <w:color w:val="000000"/>
          <w:sz w:val="32"/>
          <w:szCs w:val="32"/>
        </w:rPr>
        <w:t xml:space="preserve"> 支出决算为22.32万元，完成预算100%。</w:t>
      </w:r>
    </w:p>
    <w:p w14:paraId="38536638">
      <w:pPr>
        <w:spacing w:line="560" w:lineRule="exact"/>
        <w:ind w:firstLine="643" w:firstLineChars="200"/>
        <w:rPr>
          <w:rStyle w:val="15"/>
          <w:rFonts w:eastAsia="仿宋"/>
          <w:b w:val="0"/>
          <w:bCs/>
          <w:color w:val="000000"/>
          <w:sz w:val="32"/>
          <w:szCs w:val="32"/>
        </w:rPr>
      </w:pPr>
      <w:r>
        <w:rPr>
          <w:rStyle w:val="15"/>
          <w:rFonts w:eastAsia="仿宋"/>
          <w:bCs/>
          <w:color w:val="000000"/>
          <w:sz w:val="32"/>
          <w:szCs w:val="32"/>
        </w:rPr>
        <w:t>2.社会保障和就业支出（类）行政事业单位养老支出（款）行政单位离退休（项）:</w:t>
      </w:r>
      <w:r>
        <w:rPr>
          <w:rStyle w:val="15"/>
          <w:rFonts w:eastAsia="仿宋"/>
          <w:b w:val="0"/>
          <w:bCs/>
          <w:color w:val="000000"/>
          <w:sz w:val="32"/>
          <w:szCs w:val="32"/>
        </w:rPr>
        <w:t xml:space="preserve"> 支出决算为28.02万元，完成预算100%。</w:t>
      </w:r>
    </w:p>
    <w:p w14:paraId="37AE6812">
      <w:pPr>
        <w:spacing w:line="560" w:lineRule="exact"/>
        <w:ind w:firstLine="643" w:firstLineChars="200"/>
        <w:rPr>
          <w:rFonts w:eastAsia="仿宋"/>
          <w:b/>
          <w:color w:val="000000"/>
          <w:sz w:val="32"/>
          <w:szCs w:val="32"/>
        </w:rPr>
      </w:pPr>
      <w:r>
        <w:rPr>
          <w:rStyle w:val="15"/>
          <w:rFonts w:eastAsia="仿宋"/>
          <w:bCs/>
          <w:color w:val="000000"/>
          <w:sz w:val="32"/>
          <w:szCs w:val="32"/>
        </w:rPr>
        <w:t>3.社会保障和就业支出（类）行政事业单位养老支出（款） 机关事业单位基本养老保险缴费支出（项）:</w:t>
      </w:r>
      <w:r>
        <w:rPr>
          <w:rStyle w:val="15"/>
          <w:rFonts w:eastAsia="仿宋"/>
          <w:b w:val="0"/>
          <w:bCs/>
          <w:color w:val="000000"/>
          <w:sz w:val="32"/>
          <w:szCs w:val="32"/>
        </w:rPr>
        <w:t xml:space="preserve"> 支出决算为11.15万元，完成预算100%。</w:t>
      </w:r>
    </w:p>
    <w:p w14:paraId="56FBE688">
      <w:pPr>
        <w:spacing w:line="560" w:lineRule="exact"/>
        <w:ind w:firstLine="643" w:firstLineChars="200"/>
        <w:rPr>
          <w:rFonts w:eastAsia="仿宋"/>
          <w:b/>
          <w:color w:val="000000"/>
          <w:sz w:val="32"/>
          <w:szCs w:val="32"/>
        </w:rPr>
      </w:pPr>
      <w:r>
        <w:rPr>
          <w:rStyle w:val="15"/>
          <w:rFonts w:eastAsia="仿宋"/>
          <w:bCs/>
          <w:color w:val="000000"/>
          <w:sz w:val="32"/>
          <w:szCs w:val="32"/>
        </w:rPr>
        <w:t>4.社会保障和就业支出（类）抚恤（款）伤残抚恤（项）:</w:t>
      </w:r>
      <w:r>
        <w:rPr>
          <w:rStyle w:val="15"/>
          <w:rFonts w:eastAsia="仿宋"/>
          <w:b w:val="0"/>
          <w:bCs/>
          <w:color w:val="000000"/>
          <w:sz w:val="32"/>
          <w:szCs w:val="32"/>
        </w:rPr>
        <w:t xml:space="preserve"> 支出决算为5.38万元，完成预算100%。</w:t>
      </w:r>
    </w:p>
    <w:p w14:paraId="51EE8C6C">
      <w:pPr>
        <w:spacing w:line="560" w:lineRule="exact"/>
        <w:ind w:firstLine="643" w:firstLineChars="200"/>
        <w:rPr>
          <w:rFonts w:eastAsia="仿宋"/>
          <w:b/>
          <w:color w:val="000000"/>
          <w:sz w:val="32"/>
          <w:szCs w:val="32"/>
        </w:rPr>
      </w:pPr>
      <w:r>
        <w:rPr>
          <w:rStyle w:val="15"/>
          <w:rFonts w:eastAsia="仿宋"/>
          <w:bCs/>
          <w:color w:val="000000"/>
          <w:sz w:val="32"/>
          <w:szCs w:val="32"/>
        </w:rPr>
        <w:t>5.卫生健康支出（类）行政事业单位医疗（款）行政单位医疗（项）:</w:t>
      </w:r>
      <w:r>
        <w:rPr>
          <w:rStyle w:val="15"/>
          <w:rFonts w:eastAsia="仿宋"/>
          <w:b w:val="0"/>
          <w:bCs/>
          <w:color w:val="000000"/>
          <w:sz w:val="32"/>
          <w:szCs w:val="32"/>
        </w:rPr>
        <w:t xml:space="preserve"> 支出决算为8.32万元，完成预算100%。</w:t>
      </w:r>
    </w:p>
    <w:p w14:paraId="30632537">
      <w:pPr>
        <w:spacing w:line="560" w:lineRule="exact"/>
        <w:ind w:firstLine="643" w:firstLineChars="200"/>
        <w:rPr>
          <w:rFonts w:eastAsia="仿宋"/>
          <w:b/>
          <w:color w:val="000000"/>
          <w:sz w:val="32"/>
          <w:szCs w:val="32"/>
        </w:rPr>
      </w:pPr>
      <w:r>
        <w:rPr>
          <w:rStyle w:val="15"/>
          <w:rFonts w:eastAsia="仿宋"/>
          <w:bCs/>
          <w:color w:val="000000"/>
          <w:sz w:val="32"/>
          <w:szCs w:val="32"/>
        </w:rPr>
        <w:t>6.卫生健康支出（类）行政事业单位医疗（款）公务员医疗补助（项）:</w:t>
      </w:r>
      <w:r>
        <w:rPr>
          <w:rStyle w:val="15"/>
          <w:rFonts w:eastAsia="仿宋"/>
          <w:b w:val="0"/>
          <w:bCs/>
          <w:color w:val="000000"/>
          <w:sz w:val="32"/>
          <w:szCs w:val="32"/>
        </w:rPr>
        <w:t xml:space="preserve"> 支出决算为0.63万元，完成预算100%。</w:t>
      </w:r>
    </w:p>
    <w:p w14:paraId="57450504">
      <w:pPr>
        <w:spacing w:line="560" w:lineRule="exact"/>
        <w:ind w:firstLine="643" w:firstLineChars="200"/>
        <w:rPr>
          <w:rStyle w:val="15"/>
          <w:rFonts w:eastAsia="仿宋"/>
          <w:b w:val="0"/>
          <w:bCs/>
          <w:color w:val="000000"/>
          <w:sz w:val="32"/>
          <w:szCs w:val="32"/>
        </w:rPr>
      </w:pPr>
      <w:r>
        <w:rPr>
          <w:rStyle w:val="15"/>
          <w:rFonts w:eastAsia="仿宋"/>
          <w:bCs/>
          <w:color w:val="000000"/>
          <w:sz w:val="32"/>
          <w:szCs w:val="32"/>
        </w:rPr>
        <w:t>7.商业服务业等支出（类）商业流通事务（款）行政运行（项）:</w:t>
      </w:r>
      <w:r>
        <w:rPr>
          <w:rStyle w:val="15"/>
          <w:rFonts w:eastAsia="仿宋"/>
          <w:b w:val="0"/>
          <w:bCs/>
          <w:color w:val="000000"/>
          <w:sz w:val="32"/>
          <w:szCs w:val="32"/>
        </w:rPr>
        <w:t xml:space="preserve"> 支出决算为122.1万元，完成预算100%。</w:t>
      </w:r>
    </w:p>
    <w:p w14:paraId="281F36DC">
      <w:pPr>
        <w:spacing w:line="560" w:lineRule="exact"/>
        <w:ind w:firstLine="643" w:firstLineChars="200"/>
        <w:rPr>
          <w:rFonts w:eastAsia="仿宋"/>
          <w:b/>
          <w:color w:val="000000"/>
          <w:sz w:val="32"/>
          <w:szCs w:val="32"/>
        </w:rPr>
      </w:pPr>
      <w:r>
        <w:rPr>
          <w:rStyle w:val="15"/>
          <w:rFonts w:eastAsia="仿宋"/>
          <w:bCs/>
          <w:color w:val="000000"/>
          <w:sz w:val="32"/>
          <w:szCs w:val="32"/>
        </w:rPr>
        <w:t>8.商业服务业等支出（类）商业流通事务（款）一般行政管理事务（项）:</w:t>
      </w:r>
      <w:r>
        <w:rPr>
          <w:rStyle w:val="15"/>
          <w:rFonts w:eastAsia="仿宋"/>
          <w:b w:val="0"/>
          <w:bCs/>
          <w:color w:val="000000"/>
          <w:sz w:val="32"/>
          <w:szCs w:val="32"/>
        </w:rPr>
        <w:t xml:space="preserve"> 支出决算为8.03万元，完成预算100%。</w:t>
      </w:r>
    </w:p>
    <w:p w14:paraId="0FCADFF7">
      <w:pPr>
        <w:spacing w:line="560" w:lineRule="exact"/>
        <w:ind w:firstLine="643" w:firstLineChars="200"/>
        <w:rPr>
          <w:rFonts w:eastAsia="仿宋"/>
          <w:b/>
          <w:color w:val="000000"/>
          <w:sz w:val="32"/>
          <w:szCs w:val="32"/>
        </w:rPr>
      </w:pPr>
      <w:r>
        <w:rPr>
          <w:rStyle w:val="15"/>
          <w:rFonts w:eastAsia="仿宋"/>
          <w:bCs/>
          <w:color w:val="000000"/>
          <w:sz w:val="32"/>
          <w:szCs w:val="32"/>
        </w:rPr>
        <w:t>9.商业服务业等支出（类）商业流通事务（款）其他商业流通事务支出（项）:</w:t>
      </w:r>
      <w:r>
        <w:rPr>
          <w:rStyle w:val="15"/>
          <w:rFonts w:eastAsia="仿宋"/>
          <w:b w:val="0"/>
          <w:bCs/>
          <w:color w:val="000000"/>
          <w:sz w:val="32"/>
          <w:szCs w:val="32"/>
        </w:rPr>
        <w:t xml:space="preserve"> 支出决算为73万元，完成预算100%。</w:t>
      </w:r>
    </w:p>
    <w:p w14:paraId="2F6F8D05">
      <w:pPr>
        <w:spacing w:line="560" w:lineRule="exact"/>
        <w:ind w:firstLine="643" w:firstLineChars="200"/>
        <w:rPr>
          <w:rFonts w:eastAsia="仿宋"/>
          <w:b/>
          <w:color w:val="000000"/>
          <w:sz w:val="32"/>
          <w:szCs w:val="32"/>
        </w:rPr>
      </w:pPr>
      <w:r>
        <w:rPr>
          <w:rStyle w:val="15"/>
          <w:rFonts w:eastAsia="仿宋"/>
          <w:bCs/>
          <w:color w:val="000000"/>
          <w:sz w:val="32"/>
          <w:szCs w:val="32"/>
        </w:rPr>
        <w:t>10.商业服务业等支出（类）涉外发展服务支出（款）一般行政管理事务（项）:</w:t>
      </w:r>
      <w:r>
        <w:rPr>
          <w:rStyle w:val="15"/>
          <w:rFonts w:eastAsia="仿宋"/>
          <w:b w:val="0"/>
          <w:bCs/>
          <w:color w:val="000000"/>
          <w:sz w:val="32"/>
          <w:szCs w:val="32"/>
        </w:rPr>
        <w:t xml:space="preserve"> 支出决算为47.43万元，完成预算100%。</w:t>
      </w:r>
    </w:p>
    <w:p w14:paraId="6DA10293">
      <w:pPr>
        <w:spacing w:line="560" w:lineRule="exact"/>
        <w:ind w:firstLine="643" w:firstLineChars="200"/>
        <w:rPr>
          <w:rFonts w:eastAsia="仿宋"/>
          <w:b/>
          <w:color w:val="000000"/>
          <w:sz w:val="32"/>
          <w:szCs w:val="32"/>
        </w:rPr>
      </w:pPr>
      <w:r>
        <w:rPr>
          <w:rStyle w:val="15"/>
          <w:rFonts w:eastAsia="仿宋"/>
          <w:bCs/>
          <w:color w:val="000000"/>
          <w:sz w:val="32"/>
          <w:szCs w:val="32"/>
        </w:rPr>
        <w:t>11.住房保障支出（类）住房改革支出（款）住房公积金（项）:</w:t>
      </w:r>
      <w:r>
        <w:rPr>
          <w:rStyle w:val="15"/>
          <w:rFonts w:eastAsia="仿宋"/>
          <w:b w:val="0"/>
          <w:bCs/>
          <w:color w:val="000000"/>
          <w:sz w:val="32"/>
          <w:szCs w:val="32"/>
        </w:rPr>
        <w:t xml:space="preserve"> 支出决算为14.72万元，完成预算100%。</w:t>
      </w:r>
    </w:p>
    <w:p w14:paraId="6A7DB05F">
      <w:pPr>
        <w:spacing w:line="560" w:lineRule="exact"/>
        <w:ind w:firstLine="643" w:firstLineChars="200"/>
        <w:rPr>
          <w:rFonts w:eastAsia="仿宋"/>
          <w:b/>
          <w:color w:val="000000"/>
          <w:sz w:val="32"/>
          <w:szCs w:val="32"/>
        </w:rPr>
      </w:pPr>
    </w:p>
    <w:p w14:paraId="03EFD8F1">
      <w:pPr>
        <w:spacing w:line="560" w:lineRule="exact"/>
        <w:ind w:firstLine="643" w:firstLineChars="200"/>
        <w:rPr>
          <w:rFonts w:eastAsia="仿宋"/>
          <w:b/>
          <w:color w:val="000000"/>
          <w:sz w:val="32"/>
          <w:szCs w:val="32"/>
        </w:rPr>
      </w:pPr>
    </w:p>
    <w:p w14:paraId="08367D83">
      <w:pPr>
        <w:spacing w:line="560" w:lineRule="exact"/>
        <w:ind w:firstLine="640"/>
        <w:rPr>
          <w:rFonts w:eastAsia="仿宋"/>
          <w:b/>
          <w:color w:val="000000"/>
          <w:sz w:val="32"/>
          <w:szCs w:val="32"/>
        </w:rPr>
      </w:pPr>
    </w:p>
    <w:p w14:paraId="34AEFCED">
      <w:pPr>
        <w:spacing w:line="560" w:lineRule="exact"/>
        <w:ind w:firstLine="640"/>
        <w:rPr>
          <w:rFonts w:eastAsia="仿宋"/>
          <w:b/>
          <w:color w:val="000000"/>
          <w:sz w:val="32"/>
          <w:szCs w:val="32"/>
        </w:rPr>
      </w:pPr>
    </w:p>
    <w:p w14:paraId="537F4B11">
      <w:pPr>
        <w:spacing w:line="560" w:lineRule="exact"/>
        <w:ind w:firstLine="640"/>
        <w:rPr>
          <w:rFonts w:eastAsia="仿宋"/>
          <w:b/>
          <w:color w:val="000000"/>
          <w:sz w:val="32"/>
          <w:szCs w:val="32"/>
        </w:rPr>
      </w:pPr>
    </w:p>
    <w:p w14:paraId="62649C83">
      <w:pPr>
        <w:spacing w:line="560" w:lineRule="exact"/>
        <w:ind w:firstLine="640"/>
        <w:rPr>
          <w:rFonts w:eastAsia="仿宋"/>
          <w:b/>
          <w:color w:val="000000"/>
          <w:sz w:val="32"/>
          <w:szCs w:val="32"/>
        </w:rPr>
      </w:pPr>
    </w:p>
    <w:p w14:paraId="7F4B3BD7">
      <w:pPr>
        <w:tabs>
          <w:tab w:val="right" w:pos="8306"/>
        </w:tabs>
        <w:spacing w:line="560" w:lineRule="exact"/>
        <w:ind w:firstLine="640"/>
        <w:outlineLvl w:val="1"/>
        <w:rPr>
          <w:rStyle w:val="18"/>
          <w:rFonts w:ascii="Times New Roman" w:hAnsi="Times New Roman" w:eastAsia="仿宋"/>
        </w:rPr>
      </w:pPr>
      <w:bookmarkStart w:id="55" w:name="_Toc15396608"/>
      <w:bookmarkStart w:id="56" w:name="_Toc24877_WPSOffice_Level2"/>
      <w:bookmarkStart w:id="57" w:name="_Toc15377214"/>
      <w:r>
        <w:rPr>
          <w:rStyle w:val="18"/>
          <w:rFonts w:ascii="Times New Roman" w:hAnsi="Times New Roman"/>
        </w:rPr>
        <w:t>六、一般公共预算财政拨款基本支出决算情况说明</w:t>
      </w:r>
      <w:bookmarkEnd w:id="55"/>
      <w:bookmarkEnd w:id="56"/>
      <w:bookmarkEnd w:id="57"/>
      <w:r>
        <w:rPr>
          <w:rStyle w:val="18"/>
          <w:rFonts w:ascii="Times New Roman" w:hAnsi="Times New Roman" w:eastAsia="仿宋"/>
          <w:b w:val="0"/>
        </w:rPr>
        <w:tab/>
      </w:r>
    </w:p>
    <w:p w14:paraId="0D7CA7A9">
      <w:pPr>
        <w:spacing w:line="560" w:lineRule="exact"/>
        <w:ind w:firstLine="645"/>
        <w:rPr>
          <w:rFonts w:eastAsia="仿宋"/>
          <w:color w:val="000000"/>
          <w:sz w:val="32"/>
          <w:szCs w:val="32"/>
        </w:rPr>
      </w:pPr>
      <w:r>
        <w:rPr>
          <w:rFonts w:eastAsia="仿宋"/>
          <w:color w:val="000000"/>
          <w:sz w:val="32"/>
          <w:szCs w:val="32"/>
        </w:rPr>
        <w:t>2020年一般公共预算财政拨款基本支出190.32万元，其中：</w:t>
      </w:r>
    </w:p>
    <w:p w14:paraId="7809F8EC">
      <w:pPr>
        <w:spacing w:line="560" w:lineRule="exact"/>
        <w:ind w:firstLine="645"/>
        <w:rPr>
          <w:rFonts w:eastAsia="仿宋"/>
          <w:color w:val="000000"/>
          <w:sz w:val="32"/>
          <w:szCs w:val="32"/>
        </w:rPr>
      </w:pPr>
      <w:r>
        <w:rPr>
          <w:rFonts w:eastAsia="仿宋"/>
          <w:color w:val="000000"/>
          <w:sz w:val="32"/>
          <w:szCs w:val="32"/>
        </w:rPr>
        <w:t>人员经费172.77万元，主要包括：基本工资、津贴补贴、奖金、机关事业单位基本养老保险缴费、其他社会保障缴费、住房公积金、离休费、抚恤金、生活补助、医疗费补助、其他对个人和家庭的补助支出等。</w:t>
      </w:r>
      <w:r>
        <w:rPr>
          <w:rFonts w:eastAsia="仿宋"/>
          <w:color w:val="000000"/>
          <w:sz w:val="32"/>
          <w:szCs w:val="32"/>
        </w:rPr>
        <w:br w:type="textWrapping"/>
      </w:r>
      <w:r>
        <w:rPr>
          <w:rFonts w:eastAsia="仿宋"/>
          <w:color w:val="000000"/>
          <w:sz w:val="32"/>
          <w:szCs w:val="32"/>
        </w:rPr>
        <w:t>　　日常公用经费17.55万元，物业管理费、差旅费、培训费、专用材料费、</w:t>
      </w:r>
      <w:r>
        <w:rPr>
          <w:rFonts w:hint="eastAsia" w:eastAsia="仿宋"/>
          <w:color w:val="000000"/>
          <w:sz w:val="32"/>
          <w:szCs w:val="32"/>
          <w:lang w:val="en-US" w:eastAsia="zh-CN"/>
        </w:rPr>
        <w:t>生活补助、</w:t>
      </w:r>
      <w:r>
        <w:rPr>
          <w:rFonts w:eastAsia="仿宋"/>
          <w:color w:val="000000"/>
          <w:sz w:val="32"/>
          <w:szCs w:val="32"/>
        </w:rPr>
        <w:t>其他商品和服务支出、</w:t>
      </w:r>
      <w:r>
        <w:rPr>
          <w:rFonts w:hint="eastAsia" w:eastAsia="仿宋"/>
          <w:color w:val="000000"/>
          <w:sz w:val="32"/>
          <w:szCs w:val="32"/>
          <w:lang w:val="en-US" w:eastAsia="zh-CN"/>
        </w:rPr>
        <w:t>基础设施建设</w:t>
      </w:r>
      <w:r>
        <w:rPr>
          <w:rFonts w:eastAsia="仿宋"/>
          <w:color w:val="000000"/>
          <w:sz w:val="32"/>
          <w:szCs w:val="32"/>
        </w:rPr>
        <w:t>等。</w:t>
      </w:r>
    </w:p>
    <w:p w14:paraId="1CF220C7">
      <w:pPr>
        <w:spacing w:line="560" w:lineRule="exact"/>
        <w:ind w:firstLine="640"/>
        <w:rPr>
          <w:rFonts w:eastAsia="仿宋"/>
          <w:b/>
          <w:color w:val="FF0000"/>
          <w:sz w:val="32"/>
          <w:szCs w:val="32"/>
        </w:rPr>
      </w:pPr>
    </w:p>
    <w:p w14:paraId="4DA32E79">
      <w:pPr>
        <w:pStyle w:val="3"/>
        <w:spacing w:line="560" w:lineRule="exact"/>
        <w:rPr>
          <w:rFonts w:ascii="Times New Roman" w:hAnsi="Times New Roman"/>
        </w:rPr>
      </w:pPr>
      <w:bookmarkStart w:id="58" w:name="_Toc31112_WPSOffice_Level2"/>
      <w:bookmarkStart w:id="59" w:name="_Toc15396609"/>
      <w:bookmarkStart w:id="60" w:name="_Toc15377215"/>
      <w:r>
        <w:rPr>
          <w:rFonts w:ascii="Times New Roman" w:hAnsi="Times New Roman"/>
        </w:rPr>
        <w:t>七、“三公”经费财政拨款支出决算情况说明</w:t>
      </w:r>
      <w:bookmarkEnd w:id="58"/>
      <w:bookmarkEnd w:id="59"/>
      <w:bookmarkEnd w:id="60"/>
    </w:p>
    <w:p w14:paraId="617DD15A">
      <w:pPr>
        <w:spacing w:line="560" w:lineRule="exact"/>
        <w:ind w:firstLine="640"/>
        <w:outlineLvl w:val="2"/>
        <w:rPr>
          <w:rFonts w:eastAsia="仿宋"/>
          <w:b/>
          <w:color w:val="000000"/>
          <w:sz w:val="32"/>
          <w:szCs w:val="32"/>
        </w:rPr>
      </w:pPr>
      <w:bookmarkStart w:id="61" w:name="_Toc15377216"/>
      <w:r>
        <w:rPr>
          <w:rFonts w:eastAsia="仿宋"/>
          <w:b/>
          <w:color w:val="000000"/>
          <w:sz w:val="32"/>
          <w:szCs w:val="32"/>
        </w:rPr>
        <w:t>（一）“三公”经费财政拨款支出决算总体情况说明</w:t>
      </w:r>
      <w:bookmarkEnd w:id="61"/>
    </w:p>
    <w:p w14:paraId="14A8E4B0">
      <w:pPr>
        <w:spacing w:line="560" w:lineRule="exact"/>
        <w:ind w:firstLine="640"/>
        <w:rPr>
          <w:rFonts w:eastAsia="仿宋"/>
          <w:color w:val="000000"/>
          <w:sz w:val="32"/>
          <w:szCs w:val="32"/>
        </w:rPr>
      </w:pPr>
      <w:r>
        <w:rPr>
          <w:rFonts w:eastAsia="仿宋"/>
          <w:color w:val="000000"/>
          <w:sz w:val="32"/>
          <w:szCs w:val="32"/>
        </w:rPr>
        <w:t>2020年“三公”经费财政拨款支出决算为0.26万元，完成预算96.29%，决算数小于预算数的主要原因是2020年厉行节约减少了公务接待费。</w:t>
      </w:r>
    </w:p>
    <w:p w14:paraId="041396F6">
      <w:pPr>
        <w:spacing w:line="560" w:lineRule="exact"/>
        <w:ind w:firstLine="640"/>
        <w:outlineLvl w:val="2"/>
        <w:rPr>
          <w:rFonts w:eastAsia="仿宋"/>
          <w:b/>
          <w:color w:val="000000"/>
          <w:sz w:val="32"/>
          <w:szCs w:val="32"/>
        </w:rPr>
      </w:pPr>
      <w:bookmarkStart w:id="62" w:name="_Toc15377217"/>
      <w:r>
        <w:rPr>
          <w:rFonts w:eastAsia="仿宋"/>
          <w:b/>
          <w:color w:val="000000"/>
          <w:sz w:val="32"/>
          <w:szCs w:val="32"/>
        </w:rPr>
        <w:t>（二）“三公”经费财政拨款支出决算具体情况说明</w:t>
      </w:r>
      <w:bookmarkEnd w:id="62"/>
    </w:p>
    <w:p w14:paraId="6C96B491">
      <w:pPr>
        <w:spacing w:line="560" w:lineRule="exact"/>
        <w:ind w:firstLine="640"/>
        <w:rPr>
          <w:rFonts w:eastAsia="仿宋"/>
          <w:color w:val="000000"/>
          <w:sz w:val="32"/>
          <w:szCs w:val="32"/>
        </w:rPr>
      </w:pPr>
      <w:r>
        <w:rPr>
          <w:rFonts w:eastAsia="仿宋"/>
          <w:color w:val="000000"/>
          <w:sz w:val="32"/>
          <w:szCs w:val="32"/>
        </w:rPr>
        <w:t>2020年“三公”经费财政拨款支出决算中，因公出国（境）费支出决算0万元，占0%；公务用车购置及运行维护费支出决算0万元，占0%；公务接待费支出决算0.26万元，占100%。具体情况如下：</w:t>
      </w:r>
    </w:p>
    <w:p w14:paraId="4F60C7FD">
      <w:pPr>
        <w:spacing w:line="600" w:lineRule="exact"/>
        <w:rPr>
          <w:rFonts w:eastAsia="仿宋"/>
          <w:color w:val="000000"/>
          <w:sz w:val="32"/>
          <w:szCs w:val="32"/>
        </w:rPr>
      </w:pPr>
      <w:r>
        <w:pict>
          <v:shape id="_x0000_s1032" o:spid="_x0000_s1032" o:spt="75" type="#_x0000_t75" style="position:absolute;left:0pt;margin-left:61.35pt;margin-top:17.85pt;height:255.35pt;width:312.5pt;mso-wrap-distance-bottom:0.1pt;mso-wrap-distance-top:0pt;z-index:251665408;mso-width-relative:page;mso-height-relative:page;" o:ole="t" filled="f" o:preferrelative="t" stroked="f" coordsize="21600,21600">
            <v:path/>
            <v:fill on="f" focussize="0,0"/>
            <v:stroke on="f" joinstyle="miter"/>
            <v:imagedata r:id="rId19" o:title=""/>
            <o:lock v:ext="edit" aspectratio="t"/>
            <w10:wrap type="topAndBottom"/>
          </v:shape>
          <o:OLEObject Type="Embed" ProgID="Excel.Sheet.8" ShapeID="_x0000_s1032" DrawAspect="Content" ObjectID="_1468075731" r:id="rId18">
            <o:LockedField>false</o:LockedField>
          </o:OLEObject>
        </w:pict>
      </w:r>
    </w:p>
    <w:p w14:paraId="1967B5FE">
      <w:pPr>
        <w:spacing w:line="600" w:lineRule="exact"/>
        <w:ind w:firstLine="640"/>
        <w:jc w:val="center"/>
        <w:rPr>
          <w:rFonts w:eastAsia="仿宋"/>
          <w:color w:val="000000"/>
          <w:sz w:val="32"/>
          <w:szCs w:val="32"/>
        </w:rPr>
      </w:pPr>
      <w:r>
        <w:rPr>
          <w:rFonts w:eastAsia="仿宋"/>
          <w:color w:val="000000"/>
          <w:sz w:val="32"/>
          <w:szCs w:val="32"/>
        </w:rPr>
        <w:t>（图7：“三公”经费财政拨款支出结构）</w:t>
      </w:r>
    </w:p>
    <w:p w14:paraId="4761A80C">
      <w:pPr>
        <w:spacing w:line="560" w:lineRule="exact"/>
        <w:ind w:firstLine="640"/>
        <w:rPr>
          <w:rFonts w:eastAsia="仿宋"/>
          <w:b/>
          <w:color w:val="000000"/>
          <w:sz w:val="32"/>
          <w:szCs w:val="32"/>
        </w:rPr>
      </w:pPr>
      <w:r>
        <w:rPr>
          <w:rFonts w:eastAsia="仿宋"/>
          <w:b/>
          <w:color w:val="000000"/>
          <w:sz w:val="32"/>
          <w:szCs w:val="32"/>
        </w:rPr>
        <w:t>1.因公出国（境）经费支出</w:t>
      </w:r>
      <w:r>
        <w:rPr>
          <w:rFonts w:eastAsia="仿宋"/>
          <w:color w:val="000000"/>
          <w:sz w:val="32"/>
          <w:szCs w:val="32"/>
        </w:rPr>
        <w:t>0万元，</w:t>
      </w:r>
      <w:r>
        <w:rPr>
          <w:rStyle w:val="15"/>
          <w:rFonts w:eastAsia="仿宋"/>
          <w:b w:val="0"/>
          <w:bCs/>
          <w:color w:val="000000"/>
          <w:sz w:val="32"/>
          <w:szCs w:val="32"/>
        </w:rPr>
        <w:t>完成预算0%。</w:t>
      </w:r>
      <w:r>
        <w:rPr>
          <w:rFonts w:eastAsia="仿宋"/>
          <w:color w:val="000000"/>
          <w:sz w:val="32"/>
          <w:szCs w:val="32"/>
        </w:rPr>
        <w:t>全年安排因公出国（境）团组0次，出国（境）0人。因公出国（境）支出决算比2019年增加/减少0万元，增长/下降0%。</w:t>
      </w:r>
    </w:p>
    <w:p w14:paraId="43BFC5C6">
      <w:pPr>
        <w:spacing w:line="560" w:lineRule="exact"/>
        <w:ind w:firstLine="640"/>
        <w:rPr>
          <w:rFonts w:eastAsia="仿宋"/>
          <w:b/>
          <w:color w:val="000000"/>
          <w:sz w:val="32"/>
          <w:szCs w:val="32"/>
        </w:rPr>
      </w:pPr>
      <w:r>
        <w:rPr>
          <w:rFonts w:eastAsia="仿宋"/>
          <w:b/>
          <w:color w:val="000000"/>
          <w:sz w:val="32"/>
          <w:szCs w:val="32"/>
        </w:rPr>
        <w:t>2.公务用车购置及运行维护费支出</w:t>
      </w:r>
      <w:r>
        <w:rPr>
          <w:rFonts w:eastAsia="仿宋"/>
          <w:color w:val="000000"/>
          <w:sz w:val="32"/>
          <w:szCs w:val="32"/>
        </w:rPr>
        <w:t>0万元,</w:t>
      </w:r>
      <w:r>
        <w:rPr>
          <w:rStyle w:val="15"/>
          <w:rFonts w:eastAsia="仿宋"/>
          <w:b w:val="0"/>
          <w:bCs/>
          <w:color w:val="000000"/>
          <w:sz w:val="32"/>
          <w:szCs w:val="32"/>
        </w:rPr>
        <w:t>完成预算0%。</w:t>
      </w:r>
      <w:r>
        <w:rPr>
          <w:rFonts w:eastAsia="仿宋"/>
          <w:color w:val="000000"/>
          <w:sz w:val="32"/>
          <w:szCs w:val="32"/>
        </w:rPr>
        <w:t>公务用车购置及运行维护费支出决算比2019年增加/减少0万元，增长/下降0%。</w:t>
      </w:r>
    </w:p>
    <w:p w14:paraId="70848285">
      <w:pPr>
        <w:spacing w:line="560" w:lineRule="exact"/>
        <w:ind w:firstLine="640" w:firstLineChars="200"/>
        <w:rPr>
          <w:rFonts w:eastAsia="仿宋"/>
          <w:b/>
          <w:color w:val="000000"/>
          <w:sz w:val="32"/>
          <w:szCs w:val="32"/>
        </w:rPr>
      </w:pPr>
      <w:r>
        <w:rPr>
          <w:rFonts w:eastAsia="仿宋"/>
          <w:color w:val="000000"/>
          <w:sz w:val="32"/>
          <w:szCs w:val="32"/>
        </w:rPr>
        <w:t>其中：</w:t>
      </w:r>
      <w:r>
        <w:rPr>
          <w:rFonts w:eastAsia="仿宋"/>
          <w:b/>
          <w:color w:val="000000"/>
          <w:sz w:val="32"/>
          <w:szCs w:val="32"/>
        </w:rPr>
        <w:t>公务用车购置支出</w:t>
      </w:r>
      <w:r>
        <w:rPr>
          <w:rFonts w:eastAsia="仿宋"/>
          <w:color w:val="000000"/>
          <w:sz w:val="32"/>
          <w:szCs w:val="32"/>
        </w:rPr>
        <w:t>0万元。全年按规定更新购置公务用车0辆，其中：轿车0辆、金额0万元，越野车0辆、金额0万元，载客汽车0辆、金额0万元。截至2020年12月底，单位共有公务用车0辆，其中：轿车0辆、越野车0辆、载客汽车0辆。</w:t>
      </w:r>
    </w:p>
    <w:p w14:paraId="3D907845">
      <w:pPr>
        <w:spacing w:line="560" w:lineRule="exact"/>
        <w:ind w:firstLine="640"/>
        <w:rPr>
          <w:rFonts w:eastAsia="仿宋"/>
          <w:color w:val="000000"/>
          <w:sz w:val="32"/>
          <w:szCs w:val="32"/>
        </w:rPr>
      </w:pPr>
      <w:r>
        <w:rPr>
          <w:rFonts w:eastAsia="仿宋"/>
          <w:b/>
          <w:color w:val="000000"/>
          <w:sz w:val="32"/>
          <w:szCs w:val="32"/>
        </w:rPr>
        <w:t>公务用车运行维护费支出</w:t>
      </w:r>
      <w:r>
        <w:rPr>
          <w:rFonts w:eastAsia="仿宋"/>
          <w:color w:val="000000"/>
          <w:sz w:val="32"/>
          <w:szCs w:val="32"/>
        </w:rPr>
        <w:t>0万元。</w:t>
      </w:r>
    </w:p>
    <w:p w14:paraId="23704C94">
      <w:pPr>
        <w:spacing w:line="560" w:lineRule="exact"/>
        <w:ind w:firstLine="640"/>
        <w:rPr>
          <w:rFonts w:eastAsia="仿宋"/>
          <w:color w:val="000000"/>
          <w:sz w:val="32"/>
          <w:szCs w:val="32"/>
        </w:rPr>
      </w:pPr>
      <w:r>
        <w:rPr>
          <w:rFonts w:eastAsia="仿宋"/>
          <w:b/>
          <w:color w:val="000000"/>
          <w:sz w:val="32"/>
          <w:szCs w:val="32"/>
        </w:rPr>
        <w:t>3.公务接待费支出</w:t>
      </w:r>
      <w:r>
        <w:rPr>
          <w:rFonts w:eastAsia="仿宋"/>
          <w:color w:val="000000"/>
          <w:sz w:val="32"/>
          <w:szCs w:val="32"/>
        </w:rPr>
        <w:t>0.26万元，</w:t>
      </w:r>
      <w:r>
        <w:rPr>
          <w:rStyle w:val="15"/>
          <w:rFonts w:eastAsia="仿宋"/>
          <w:b w:val="0"/>
          <w:bCs/>
          <w:color w:val="000000"/>
          <w:sz w:val="32"/>
          <w:szCs w:val="32"/>
        </w:rPr>
        <w:t>完成预算96.29%。</w:t>
      </w:r>
      <w:r>
        <w:rPr>
          <w:rFonts w:eastAsia="仿宋"/>
          <w:color w:val="000000"/>
          <w:sz w:val="32"/>
          <w:szCs w:val="32"/>
        </w:rPr>
        <w:t>公务接待费支出决算比2019年减少0.26万元，下降50%。主要原因是2020年厉行节约，减少了接待人数。其中：</w:t>
      </w:r>
    </w:p>
    <w:p w14:paraId="3297D697">
      <w:pPr>
        <w:spacing w:line="560" w:lineRule="exact"/>
        <w:ind w:firstLine="640"/>
        <w:rPr>
          <w:rFonts w:eastAsia="仿宋"/>
          <w:color w:val="000000"/>
          <w:sz w:val="32"/>
          <w:szCs w:val="32"/>
        </w:rPr>
      </w:pPr>
      <w:r>
        <w:rPr>
          <w:rFonts w:eastAsia="仿宋"/>
          <w:b/>
          <w:color w:val="000000"/>
          <w:sz w:val="32"/>
          <w:szCs w:val="32"/>
        </w:rPr>
        <w:t>国内公务接待支出</w:t>
      </w:r>
      <w:r>
        <w:rPr>
          <w:rFonts w:eastAsia="仿宋"/>
          <w:color w:val="000000"/>
          <w:sz w:val="32"/>
          <w:szCs w:val="32"/>
        </w:rPr>
        <w:t>0.26万元，主要用于执行公务、开展业务活动开支的交通费、住宿费、用餐费等。国内公务接待5批次，28人次，共计支出0.26万元。</w:t>
      </w:r>
    </w:p>
    <w:p w14:paraId="00BC414F">
      <w:pPr>
        <w:spacing w:line="560" w:lineRule="exact"/>
        <w:ind w:firstLine="643" w:firstLineChars="200"/>
        <w:rPr>
          <w:rFonts w:eastAsia="仿宋"/>
          <w:color w:val="000000"/>
          <w:sz w:val="32"/>
          <w:szCs w:val="32"/>
        </w:rPr>
      </w:pPr>
      <w:r>
        <w:rPr>
          <w:rFonts w:eastAsia="仿宋"/>
          <w:b/>
          <w:color w:val="000000"/>
          <w:sz w:val="32"/>
          <w:szCs w:val="32"/>
        </w:rPr>
        <w:t>外事接待支出</w:t>
      </w:r>
      <w:r>
        <w:rPr>
          <w:rFonts w:eastAsia="仿宋"/>
          <w:color w:val="000000"/>
          <w:sz w:val="32"/>
          <w:szCs w:val="32"/>
        </w:rPr>
        <w:t>0万元，外事接待0批次，0人，共计支出0万元。</w:t>
      </w:r>
      <w:bookmarkStart w:id="63" w:name="_Toc15396610"/>
      <w:bookmarkStart w:id="64" w:name="_Toc15377218"/>
    </w:p>
    <w:p w14:paraId="1159ECBB">
      <w:pPr>
        <w:pStyle w:val="3"/>
        <w:spacing w:line="560" w:lineRule="exact"/>
        <w:rPr>
          <w:rFonts w:ascii="Times New Roman" w:hAnsi="Times New Roman"/>
        </w:rPr>
      </w:pPr>
      <w:bookmarkStart w:id="65" w:name="_Toc24941_WPSOffice_Level2"/>
      <w:r>
        <w:rPr>
          <w:rFonts w:ascii="Times New Roman" w:hAnsi="Times New Roman"/>
        </w:rPr>
        <w:t>八、政府性基金预算支出决算情况说明</w:t>
      </w:r>
      <w:bookmarkEnd w:id="63"/>
      <w:bookmarkEnd w:id="64"/>
      <w:bookmarkEnd w:id="65"/>
    </w:p>
    <w:p w14:paraId="3A514109">
      <w:pPr>
        <w:spacing w:line="560" w:lineRule="exact"/>
        <w:ind w:firstLine="640"/>
        <w:rPr>
          <w:rFonts w:eastAsia="仿宋"/>
          <w:color w:val="000000"/>
          <w:sz w:val="32"/>
          <w:szCs w:val="32"/>
        </w:rPr>
      </w:pPr>
      <w:r>
        <w:rPr>
          <w:rFonts w:eastAsia="仿宋"/>
          <w:color w:val="000000"/>
          <w:sz w:val="32"/>
          <w:szCs w:val="32"/>
        </w:rPr>
        <w:t>2020年政府性基金预算拨款支出0万元。</w:t>
      </w:r>
    </w:p>
    <w:p w14:paraId="4F6AD95B">
      <w:pPr>
        <w:pStyle w:val="3"/>
        <w:numPr>
          <w:ilvl w:val="0"/>
          <w:numId w:val="2"/>
        </w:numPr>
        <w:spacing w:line="560" w:lineRule="exact"/>
        <w:rPr>
          <w:rFonts w:ascii="Times New Roman" w:hAnsi="Times New Roman"/>
        </w:rPr>
      </w:pPr>
      <w:bookmarkStart w:id="66" w:name="_Toc15396611"/>
      <w:bookmarkStart w:id="67" w:name="_Toc15377219"/>
      <w:bookmarkStart w:id="68" w:name="_Toc10319_WPSOffice_Level2"/>
      <w:r>
        <w:rPr>
          <w:rFonts w:ascii="Times New Roman" w:hAnsi="Times New Roman"/>
        </w:rPr>
        <w:t>国有资本经营预算支出决算情况说明</w:t>
      </w:r>
      <w:bookmarkEnd w:id="66"/>
      <w:bookmarkEnd w:id="67"/>
      <w:bookmarkEnd w:id="68"/>
    </w:p>
    <w:p w14:paraId="7FC6D152">
      <w:pPr>
        <w:spacing w:line="560" w:lineRule="exact"/>
        <w:ind w:firstLine="640"/>
        <w:rPr>
          <w:rFonts w:eastAsia="仿宋"/>
          <w:color w:val="000000"/>
          <w:sz w:val="32"/>
          <w:szCs w:val="32"/>
        </w:rPr>
      </w:pPr>
      <w:r>
        <w:rPr>
          <w:rFonts w:eastAsia="仿宋"/>
          <w:color w:val="000000"/>
          <w:sz w:val="32"/>
          <w:szCs w:val="32"/>
        </w:rPr>
        <w:t>2020年国有资本经营预算拨款支出0万元。</w:t>
      </w:r>
    </w:p>
    <w:p w14:paraId="27DEFF38">
      <w:pPr>
        <w:spacing w:line="560" w:lineRule="exact"/>
        <w:jc w:val="center"/>
        <w:rPr>
          <w:rFonts w:eastAsia="仿宋"/>
          <w:sz w:val="44"/>
          <w:szCs w:val="44"/>
        </w:rPr>
      </w:pPr>
    </w:p>
    <w:p w14:paraId="38B5CC06">
      <w:pPr>
        <w:pStyle w:val="3"/>
        <w:spacing w:line="560" w:lineRule="exact"/>
        <w:rPr>
          <w:rFonts w:ascii="Times New Roman" w:hAnsi="Times New Roman"/>
        </w:rPr>
      </w:pPr>
      <w:bookmarkStart w:id="69" w:name="_Toc15377221"/>
      <w:bookmarkStart w:id="70" w:name="_Toc15396612"/>
      <w:bookmarkStart w:id="71" w:name="_Toc25514_WPSOffice_Level2"/>
      <w:r>
        <w:rPr>
          <w:rFonts w:ascii="Times New Roman" w:hAnsi="Times New Roman"/>
        </w:rPr>
        <w:t>十、其他重要事项的情况说明</w:t>
      </w:r>
      <w:bookmarkEnd w:id="69"/>
      <w:bookmarkEnd w:id="70"/>
      <w:bookmarkEnd w:id="71"/>
    </w:p>
    <w:p w14:paraId="1B0D773E">
      <w:pPr>
        <w:spacing w:line="560" w:lineRule="exact"/>
        <w:ind w:firstLine="643" w:firstLineChars="200"/>
        <w:outlineLvl w:val="2"/>
        <w:rPr>
          <w:rFonts w:eastAsia="仿宋"/>
          <w:color w:val="000000"/>
          <w:sz w:val="32"/>
          <w:szCs w:val="32"/>
        </w:rPr>
      </w:pPr>
      <w:bookmarkStart w:id="72" w:name="_Toc15377222"/>
      <w:r>
        <w:rPr>
          <w:rFonts w:eastAsia="仿宋"/>
          <w:b/>
          <w:color w:val="000000"/>
          <w:sz w:val="32"/>
          <w:szCs w:val="32"/>
        </w:rPr>
        <w:t>（一）机关运行经费支出情况</w:t>
      </w:r>
      <w:bookmarkEnd w:id="72"/>
    </w:p>
    <w:p w14:paraId="51D6DCA9">
      <w:pPr>
        <w:spacing w:line="560" w:lineRule="exact"/>
        <w:ind w:firstLine="640" w:firstLineChars="200"/>
        <w:rPr>
          <w:rFonts w:eastAsia="仿宋"/>
          <w:b/>
          <w:color w:val="FF0000"/>
          <w:sz w:val="32"/>
          <w:szCs w:val="32"/>
        </w:rPr>
      </w:pPr>
      <w:r>
        <w:rPr>
          <w:rFonts w:eastAsia="仿宋"/>
          <w:color w:val="000000"/>
          <w:sz w:val="32"/>
          <w:szCs w:val="32"/>
        </w:rPr>
        <w:t>2020年，米易县供销合作社机关运行经费支出17.55万元，比2019年增加3.37万元，增长23.76%。主要原因是2020年较2019年单位办公费的增加。</w:t>
      </w:r>
    </w:p>
    <w:p w14:paraId="640DB3F8">
      <w:pPr>
        <w:autoSpaceDE w:val="0"/>
        <w:autoSpaceDN w:val="0"/>
        <w:adjustRightInd w:val="0"/>
        <w:spacing w:line="560" w:lineRule="exact"/>
        <w:ind w:firstLine="643" w:firstLineChars="200"/>
        <w:jc w:val="left"/>
        <w:outlineLvl w:val="2"/>
        <w:rPr>
          <w:rFonts w:eastAsia="仿宋"/>
          <w:b/>
          <w:color w:val="000000"/>
          <w:sz w:val="32"/>
          <w:szCs w:val="32"/>
        </w:rPr>
      </w:pPr>
      <w:bookmarkStart w:id="73" w:name="_Toc15377223"/>
      <w:r>
        <w:rPr>
          <w:rFonts w:eastAsia="仿宋"/>
          <w:b/>
          <w:color w:val="000000"/>
          <w:sz w:val="32"/>
          <w:szCs w:val="32"/>
        </w:rPr>
        <w:t>（二）政府采购支出情况</w:t>
      </w:r>
      <w:bookmarkEnd w:id="73"/>
    </w:p>
    <w:p w14:paraId="2C8BB2BC">
      <w:pPr>
        <w:spacing w:line="560" w:lineRule="exact"/>
        <w:ind w:firstLine="640" w:firstLineChars="200"/>
        <w:rPr>
          <w:rFonts w:eastAsia="仿宋"/>
          <w:color w:val="000000"/>
          <w:sz w:val="32"/>
          <w:szCs w:val="32"/>
        </w:rPr>
      </w:pPr>
      <w:r>
        <w:rPr>
          <w:rFonts w:eastAsia="仿宋"/>
          <w:color w:val="000000"/>
          <w:sz w:val="32"/>
          <w:szCs w:val="32"/>
        </w:rPr>
        <w:t>2020年，米易县供销合作社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0B2894C9">
      <w:pPr>
        <w:autoSpaceDE w:val="0"/>
        <w:autoSpaceDN w:val="0"/>
        <w:adjustRightInd w:val="0"/>
        <w:spacing w:line="560" w:lineRule="exact"/>
        <w:ind w:firstLine="643" w:firstLineChars="200"/>
        <w:jc w:val="left"/>
        <w:outlineLvl w:val="2"/>
        <w:rPr>
          <w:rFonts w:eastAsia="仿宋"/>
          <w:b/>
          <w:color w:val="000000"/>
          <w:sz w:val="32"/>
          <w:szCs w:val="32"/>
        </w:rPr>
      </w:pPr>
      <w:bookmarkStart w:id="74" w:name="_Toc15377224"/>
      <w:r>
        <w:rPr>
          <w:rFonts w:eastAsia="仿宋"/>
          <w:b/>
          <w:color w:val="000000"/>
          <w:sz w:val="32"/>
          <w:szCs w:val="32"/>
        </w:rPr>
        <w:t>（三）国有资产占有使用情况</w:t>
      </w:r>
      <w:bookmarkEnd w:id="74"/>
    </w:p>
    <w:p w14:paraId="644CFC96">
      <w:pPr>
        <w:autoSpaceDE w:val="0"/>
        <w:autoSpaceDN w:val="0"/>
        <w:adjustRightInd w:val="0"/>
        <w:spacing w:line="560" w:lineRule="exact"/>
        <w:ind w:firstLine="640" w:firstLineChars="200"/>
        <w:jc w:val="left"/>
        <w:rPr>
          <w:rFonts w:eastAsia="仿宋"/>
          <w:b/>
          <w:color w:val="FF0000"/>
          <w:sz w:val="32"/>
          <w:szCs w:val="32"/>
        </w:rPr>
      </w:pPr>
      <w:r>
        <w:rPr>
          <w:rFonts w:eastAsia="仿宋"/>
          <w:color w:val="000000"/>
          <w:sz w:val="32"/>
          <w:szCs w:val="32"/>
        </w:rPr>
        <w:t>截至2020年12月31日，米易县供销合作社共有车辆0辆，其中：主要领导干部用车0辆、机要通信用车0辆、应急保障用车0辆、其他用车0辆……其他用车主要是用于……单价50万元以上通用设备0台（套），单价100万元以上专用设备0台（套）。</w:t>
      </w:r>
    </w:p>
    <w:p w14:paraId="25706759">
      <w:pPr>
        <w:autoSpaceDE w:val="0"/>
        <w:autoSpaceDN w:val="0"/>
        <w:adjustRightInd w:val="0"/>
        <w:spacing w:line="560" w:lineRule="exact"/>
        <w:ind w:firstLine="643" w:firstLineChars="200"/>
        <w:jc w:val="left"/>
        <w:outlineLvl w:val="2"/>
        <w:rPr>
          <w:rFonts w:eastAsia="仿宋"/>
          <w:b/>
          <w:color w:val="000000"/>
          <w:sz w:val="32"/>
          <w:szCs w:val="32"/>
        </w:rPr>
      </w:pPr>
      <w:r>
        <w:rPr>
          <w:rFonts w:eastAsia="仿宋"/>
          <w:b/>
          <w:color w:val="000000"/>
          <w:sz w:val="32"/>
          <w:szCs w:val="32"/>
        </w:rPr>
        <w:t>（四）预算绩效管理情况</w:t>
      </w:r>
    </w:p>
    <w:p w14:paraId="7D2BD445">
      <w:pPr>
        <w:spacing w:line="560" w:lineRule="exact"/>
        <w:ind w:firstLine="640" w:firstLineChars="200"/>
        <w:rPr>
          <w:rFonts w:eastAsia="仿宋"/>
          <w:sz w:val="32"/>
          <w:szCs w:val="32"/>
        </w:rPr>
      </w:pPr>
      <w:r>
        <w:rPr>
          <w:rFonts w:eastAsia="仿宋"/>
          <w:sz w:val="32"/>
          <w:szCs w:val="32"/>
        </w:rPr>
        <w:t>根据预算绩效管理要求，米易县供销合作社在年初预算编制阶段，组织对下达县级供销合作专项（2019年四川-澳门农产品洽谈会参展费）、下达农民专业合作社会计服务中心支持贫困村专合社发展缺口资金、物业管理费、综合改革及发展专项工作经费、尹志平等人员专项经费五个项目开展了预算事前绩效评估，对5个项目编制了绩效目标，预算执行过程中，选取5个项目开展绩效监控，年终执行完毕后，对5个项目开展了整体绩效目标完成情况自评。</w:t>
      </w:r>
    </w:p>
    <w:p w14:paraId="0F89BCE5">
      <w:pPr>
        <w:spacing w:line="560" w:lineRule="exact"/>
        <w:ind w:firstLine="640" w:firstLineChars="200"/>
        <w:rPr>
          <w:rFonts w:eastAsia="仿宋"/>
          <w:sz w:val="32"/>
          <w:szCs w:val="32"/>
        </w:rPr>
      </w:pPr>
      <w:r>
        <w:rPr>
          <w:rFonts w:eastAsia="仿宋"/>
          <w:sz w:val="32"/>
          <w:szCs w:val="32"/>
        </w:rPr>
        <w:t>本部门按要求对2020年部门整体支出开展绩效自评，从评价情况来看</w:t>
      </w:r>
      <w:r>
        <w:rPr>
          <w:rFonts w:eastAsia="仿宋_GB2312"/>
          <w:sz w:val="32"/>
          <w:szCs w:val="32"/>
          <w:lang w:val="zh-CN"/>
        </w:rPr>
        <w:t>米易县供销合作社联合社部门绩效支出自评得分96分</w:t>
      </w:r>
      <w:r>
        <w:rPr>
          <w:rFonts w:eastAsia="仿宋"/>
          <w:sz w:val="32"/>
          <w:szCs w:val="32"/>
        </w:rPr>
        <w:t>。</w:t>
      </w:r>
    </w:p>
    <w:p w14:paraId="1BBD87E9">
      <w:pPr>
        <w:numPr>
          <w:ilvl w:val="0"/>
          <w:numId w:val="3"/>
        </w:numPr>
        <w:spacing w:line="560" w:lineRule="exact"/>
        <w:ind w:firstLine="640" w:firstLineChars="200"/>
        <w:rPr>
          <w:rFonts w:eastAsia="仿宋"/>
          <w:sz w:val="32"/>
          <w:szCs w:val="32"/>
        </w:rPr>
      </w:pPr>
      <w:r>
        <w:rPr>
          <w:rFonts w:eastAsia="仿宋"/>
          <w:sz w:val="32"/>
          <w:szCs w:val="32"/>
        </w:rPr>
        <w:t>项目绩效目标完成情况</w:t>
      </w:r>
      <w:r>
        <w:rPr>
          <w:rFonts w:eastAsia="仿宋"/>
          <w:sz w:val="32"/>
          <w:szCs w:val="32"/>
        </w:rPr>
        <w:br w:type="textWrapping"/>
      </w:r>
      <w:r>
        <w:rPr>
          <w:rFonts w:eastAsia="仿宋"/>
          <w:sz w:val="32"/>
          <w:szCs w:val="32"/>
        </w:rPr>
        <w:t xml:space="preserve">    本部门在2020年度部门决算中反映下达县级供销合作专项（2019年四川-澳门农产品洽谈会参展费）、下达农民专业合作社会计服务中心支持贫困村专合社发展缺口资金、物业管理费、综合改革及发展专项工作经费、尹志平等人员专项经费五个项目绩效目标实际完成情况。</w:t>
      </w:r>
    </w:p>
    <w:p w14:paraId="1D0FFA37">
      <w:pPr>
        <w:numPr>
          <w:ilvl w:val="0"/>
          <w:numId w:val="4"/>
        </w:numPr>
        <w:spacing w:line="560" w:lineRule="exact"/>
        <w:ind w:firstLine="420"/>
        <w:rPr>
          <w:rFonts w:eastAsia="仿宋"/>
          <w:sz w:val="32"/>
          <w:szCs w:val="32"/>
        </w:rPr>
      </w:pPr>
      <w:r>
        <w:rPr>
          <w:rFonts w:eastAsia="仿宋"/>
          <w:sz w:val="32"/>
          <w:szCs w:val="32"/>
        </w:rPr>
        <w:t>下达县级供销合作专项（2019年四川-澳门农产品洽谈会参展费）项目全年预算数2.50万元，执行数为2.32万元，完成预算的92.8%。</w:t>
      </w:r>
      <w:r>
        <w:rPr>
          <w:rFonts w:hint="eastAsia" w:eastAsia="仿宋"/>
          <w:sz w:val="32"/>
          <w:szCs w:val="32"/>
        </w:rPr>
        <w:t>通过项目实施提高了内部管理规范、生产管理规范等。满意度达到了98%。</w:t>
      </w:r>
    </w:p>
    <w:p w14:paraId="3987C92A">
      <w:pPr>
        <w:numPr>
          <w:ilvl w:val="0"/>
          <w:numId w:val="4"/>
        </w:numPr>
        <w:spacing w:line="560" w:lineRule="exact"/>
        <w:ind w:firstLine="420"/>
        <w:rPr>
          <w:rFonts w:eastAsia="仿宋"/>
          <w:sz w:val="32"/>
          <w:szCs w:val="32"/>
        </w:rPr>
      </w:pPr>
      <w:r>
        <w:rPr>
          <w:rFonts w:eastAsia="仿宋"/>
          <w:sz w:val="32"/>
          <w:szCs w:val="32"/>
        </w:rPr>
        <w:t>综合改革及发展专项工作经费项目绩效目标完成情况综述。项目全年预算数4.5万元，执行数为4.48万元，完成预算的99.99%。</w:t>
      </w:r>
      <w:r>
        <w:rPr>
          <w:rFonts w:hint="eastAsia" w:eastAsia="仿宋"/>
          <w:sz w:val="32"/>
          <w:szCs w:val="32"/>
        </w:rPr>
        <w:t>通过项目实施全年组织专业合作社及机关人参展及培训约20人次，已推进积极推进供销综合改革。</w:t>
      </w:r>
    </w:p>
    <w:p w14:paraId="41C8E096">
      <w:pPr>
        <w:numPr>
          <w:ilvl w:val="0"/>
          <w:numId w:val="4"/>
        </w:numPr>
        <w:spacing w:line="560" w:lineRule="exact"/>
        <w:ind w:firstLine="420"/>
        <w:rPr>
          <w:rFonts w:eastAsia="仿宋"/>
          <w:sz w:val="32"/>
          <w:szCs w:val="32"/>
        </w:rPr>
      </w:pPr>
      <w:r>
        <w:rPr>
          <w:rFonts w:eastAsia="仿宋"/>
          <w:sz w:val="32"/>
          <w:szCs w:val="32"/>
        </w:rPr>
        <w:t>物业管理费项目全年预算数3.54万元，执行数为3.54万元，完成预算的100%。</w:t>
      </w:r>
      <w:r>
        <w:rPr>
          <w:rFonts w:hint="eastAsia" w:eastAsia="仿宋"/>
          <w:sz w:val="32"/>
          <w:szCs w:val="32"/>
        </w:rPr>
        <w:t>通过项目实施提高了单位办公环境，提升了群众办事满意度。</w:t>
      </w:r>
    </w:p>
    <w:p w14:paraId="2150BC11">
      <w:pPr>
        <w:numPr>
          <w:ilvl w:val="0"/>
          <w:numId w:val="4"/>
        </w:numPr>
        <w:spacing w:line="560" w:lineRule="exact"/>
        <w:ind w:firstLine="420"/>
        <w:rPr>
          <w:rFonts w:eastAsia="仿宋"/>
          <w:sz w:val="32"/>
          <w:szCs w:val="32"/>
        </w:rPr>
      </w:pPr>
      <w:r>
        <w:rPr>
          <w:rFonts w:eastAsia="仿宋"/>
          <w:sz w:val="32"/>
          <w:szCs w:val="32"/>
        </w:rPr>
        <w:t>尹志平等人员专项经费项目全年预算数51.18万元，执行数为47.43万元，完成预算的92.67%。</w:t>
      </w:r>
      <w:r>
        <w:rPr>
          <w:rFonts w:hint="eastAsia" w:eastAsia="仿宋"/>
          <w:sz w:val="32"/>
          <w:szCs w:val="32"/>
        </w:rPr>
        <w:t>通过项目实施保障了供销社的正常运转。</w:t>
      </w:r>
    </w:p>
    <w:p w14:paraId="32DB57A3">
      <w:pPr>
        <w:numPr>
          <w:ilvl w:val="0"/>
          <w:numId w:val="4"/>
        </w:numPr>
        <w:spacing w:line="560" w:lineRule="exact"/>
        <w:ind w:firstLine="420"/>
        <w:rPr>
          <w:rFonts w:eastAsia="仿宋"/>
          <w:sz w:val="32"/>
          <w:szCs w:val="32"/>
        </w:rPr>
      </w:pPr>
      <w:r>
        <w:rPr>
          <w:rFonts w:eastAsia="仿宋"/>
          <w:sz w:val="32"/>
          <w:szCs w:val="32"/>
        </w:rPr>
        <w:t>下达农民专业合作社会计服务中心支持贫困村专合社发展缺口资金项目全年预算数100万元，执行数为20万元，完成预算的20%。</w:t>
      </w:r>
      <w:r>
        <w:rPr>
          <w:rFonts w:hint="eastAsia" w:eastAsia="仿宋"/>
          <w:sz w:val="32"/>
          <w:szCs w:val="32"/>
        </w:rPr>
        <w:t>通过项目实施规范了农民专业合作社建设。</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7C6008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B1B1661">
            <w:pPr>
              <w:widowControl/>
              <w:jc w:val="center"/>
              <w:textAlignment w:val="center"/>
              <w:rPr>
                <w:rFonts w:eastAsia="仿宋"/>
                <w:color w:val="000000"/>
                <w:sz w:val="36"/>
                <w:szCs w:val="36"/>
              </w:rPr>
            </w:pPr>
            <w:r>
              <w:rPr>
                <w:rFonts w:eastAsia="仿宋"/>
                <w:b/>
                <w:bCs/>
                <w:color w:val="000000"/>
                <w:kern w:val="0"/>
                <w:sz w:val="36"/>
                <w:szCs w:val="36"/>
              </w:rPr>
              <w:t>项目绩效目标完成情况表</w:t>
            </w:r>
            <w:r>
              <w:rPr>
                <w:rFonts w:eastAsia="仿宋"/>
                <w:b/>
                <w:bCs/>
                <w:color w:val="000000"/>
                <w:kern w:val="0"/>
                <w:sz w:val="36"/>
                <w:szCs w:val="36"/>
              </w:rPr>
              <w:br w:type="textWrapping"/>
            </w:r>
            <w:r>
              <w:rPr>
                <w:rFonts w:eastAsia="仿宋"/>
                <w:color w:val="000000"/>
                <w:kern w:val="0"/>
                <w:sz w:val="36"/>
                <w:szCs w:val="36"/>
              </w:rPr>
              <w:t>(2020年度)</w:t>
            </w:r>
          </w:p>
        </w:tc>
      </w:tr>
      <w:tr w14:paraId="4977CB4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43F2C">
            <w:pPr>
              <w:widowControl/>
              <w:jc w:val="center"/>
              <w:textAlignment w:val="center"/>
              <w:rPr>
                <w:rFonts w:eastAsia="仿宋"/>
                <w:color w:val="000000"/>
                <w:kern w:val="0"/>
                <w:sz w:val="24"/>
              </w:rPr>
            </w:pPr>
            <w:r>
              <w:rPr>
                <w:rFonts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4FBD10">
            <w:pPr>
              <w:widowControl/>
              <w:jc w:val="center"/>
              <w:textAlignment w:val="center"/>
              <w:rPr>
                <w:rFonts w:eastAsia="仿宋"/>
                <w:color w:val="000000"/>
                <w:kern w:val="0"/>
                <w:sz w:val="24"/>
              </w:rPr>
            </w:pPr>
            <w:r>
              <w:rPr>
                <w:rFonts w:eastAsia="仿宋"/>
                <w:color w:val="000000"/>
                <w:kern w:val="0"/>
                <w:sz w:val="24"/>
              </w:rPr>
              <w:t>下达县级供销合作专项（2019年四川-澳门农产品洽谈会参展费）</w:t>
            </w:r>
          </w:p>
        </w:tc>
      </w:tr>
      <w:tr w14:paraId="7EF8EB8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CA31B3">
            <w:pPr>
              <w:widowControl/>
              <w:jc w:val="center"/>
              <w:textAlignment w:val="center"/>
              <w:rPr>
                <w:rFonts w:eastAsia="仿宋"/>
                <w:color w:val="000000"/>
                <w:sz w:val="24"/>
              </w:rPr>
            </w:pPr>
            <w:r>
              <w:rPr>
                <w:rFonts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81A8C">
            <w:pPr>
              <w:widowControl/>
              <w:jc w:val="center"/>
              <w:textAlignment w:val="center"/>
              <w:rPr>
                <w:rFonts w:eastAsia="仿宋"/>
                <w:color w:val="000000"/>
                <w:sz w:val="24"/>
              </w:rPr>
            </w:pPr>
            <w:r>
              <w:rPr>
                <w:rFonts w:eastAsia="仿宋"/>
                <w:color w:val="000000"/>
                <w:sz w:val="24"/>
              </w:rPr>
              <w:t>米易县供销合作社</w:t>
            </w:r>
          </w:p>
        </w:tc>
      </w:tr>
      <w:tr w14:paraId="188F1CA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B56F3">
            <w:pPr>
              <w:widowControl/>
              <w:jc w:val="center"/>
              <w:textAlignment w:val="center"/>
              <w:rPr>
                <w:rFonts w:eastAsia="仿宋"/>
                <w:color w:val="000000"/>
                <w:sz w:val="24"/>
              </w:rPr>
            </w:pPr>
            <w:r>
              <w:rPr>
                <w:rFonts w:eastAsia="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3EB40">
            <w:pPr>
              <w:widowControl/>
              <w:jc w:val="center"/>
              <w:textAlignment w:val="center"/>
              <w:rPr>
                <w:rFonts w:eastAsia="仿宋"/>
                <w:color w:val="000000"/>
                <w:sz w:val="24"/>
              </w:rPr>
            </w:pPr>
            <w:r>
              <w:rPr>
                <w:rFonts w:eastAsia="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9E6DD3">
            <w:pPr>
              <w:widowControl/>
              <w:jc w:val="center"/>
              <w:textAlignment w:val="center"/>
              <w:rPr>
                <w:rFonts w:eastAsia="仿宋"/>
                <w:color w:val="000000"/>
                <w:sz w:val="24"/>
              </w:rPr>
            </w:pPr>
            <w:r>
              <w:rPr>
                <w:rFonts w:hint="eastAsia" w:eastAsia="仿宋"/>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CC74E0">
            <w:pPr>
              <w:widowControl/>
              <w:jc w:val="center"/>
              <w:textAlignment w:val="center"/>
              <w:rPr>
                <w:rFonts w:eastAsia="仿宋"/>
                <w:color w:val="000000"/>
                <w:sz w:val="24"/>
              </w:rPr>
            </w:pPr>
            <w:r>
              <w:rPr>
                <w:rFonts w:eastAsia="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3420D">
            <w:pPr>
              <w:widowControl/>
              <w:jc w:val="center"/>
              <w:textAlignment w:val="center"/>
              <w:rPr>
                <w:rFonts w:eastAsia="仿宋"/>
                <w:color w:val="000000"/>
                <w:sz w:val="24"/>
              </w:rPr>
            </w:pPr>
            <w:r>
              <w:rPr>
                <w:rFonts w:hint="eastAsia" w:eastAsia="仿宋"/>
                <w:color w:val="000000"/>
                <w:sz w:val="24"/>
              </w:rPr>
              <w:t>2.32</w:t>
            </w:r>
          </w:p>
        </w:tc>
      </w:tr>
      <w:tr w14:paraId="6D20AB7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FA246">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7B2A9B">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0A6F14">
            <w:pPr>
              <w:widowControl/>
              <w:jc w:val="center"/>
              <w:textAlignment w:val="center"/>
              <w:rPr>
                <w:rFonts w:eastAsia="仿宋"/>
                <w:color w:val="000000"/>
                <w:sz w:val="24"/>
              </w:rPr>
            </w:pPr>
            <w:r>
              <w:rPr>
                <w:rFonts w:hint="eastAsia" w:eastAsia="仿宋"/>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6231D">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470A9">
            <w:pPr>
              <w:widowControl/>
              <w:jc w:val="center"/>
              <w:textAlignment w:val="center"/>
              <w:rPr>
                <w:rFonts w:eastAsia="仿宋"/>
                <w:color w:val="000000"/>
                <w:sz w:val="24"/>
              </w:rPr>
            </w:pPr>
            <w:r>
              <w:rPr>
                <w:rFonts w:hint="eastAsia" w:eastAsia="仿宋"/>
                <w:color w:val="000000"/>
                <w:sz w:val="24"/>
              </w:rPr>
              <w:t>2.32</w:t>
            </w:r>
          </w:p>
        </w:tc>
      </w:tr>
      <w:tr w14:paraId="4907B20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AA928">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08AF1">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1AF46">
            <w:pPr>
              <w:widowControl/>
              <w:jc w:val="center"/>
              <w:textAlignment w:val="center"/>
              <w:rPr>
                <w:rFonts w:eastAsia="仿宋"/>
                <w:color w:val="000000"/>
                <w:sz w:val="24"/>
              </w:rPr>
            </w:pPr>
            <w:r>
              <w:rPr>
                <w:rFonts w:hint="eastAsia"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CDCA18">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221939">
            <w:pPr>
              <w:jc w:val="center"/>
              <w:rPr>
                <w:rFonts w:eastAsia="仿宋"/>
                <w:color w:val="000000"/>
                <w:sz w:val="24"/>
              </w:rPr>
            </w:pPr>
            <w:r>
              <w:rPr>
                <w:rFonts w:hint="eastAsia" w:eastAsia="仿宋"/>
                <w:color w:val="000000"/>
                <w:sz w:val="24"/>
              </w:rPr>
              <w:t>0</w:t>
            </w:r>
          </w:p>
        </w:tc>
      </w:tr>
      <w:tr w14:paraId="57BB38C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FAC606">
            <w:pPr>
              <w:widowControl/>
              <w:jc w:val="center"/>
              <w:textAlignment w:val="center"/>
              <w:rPr>
                <w:rFonts w:eastAsia="仿宋"/>
                <w:color w:val="000000"/>
                <w:sz w:val="24"/>
              </w:rPr>
            </w:pPr>
            <w:r>
              <w:rPr>
                <w:rFonts w:eastAsia="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C33B4">
            <w:pPr>
              <w:widowControl/>
              <w:jc w:val="center"/>
              <w:textAlignment w:val="center"/>
              <w:rPr>
                <w:rFonts w:eastAsia="仿宋"/>
                <w:color w:val="000000"/>
                <w:sz w:val="24"/>
              </w:rPr>
            </w:pPr>
            <w:r>
              <w:rPr>
                <w:rFonts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F69C2">
            <w:pPr>
              <w:widowControl/>
              <w:jc w:val="center"/>
              <w:textAlignment w:val="center"/>
              <w:rPr>
                <w:rFonts w:eastAsia="仿宋"/>
                <w:color w:val="000000"/>
                <w:sz w:val="24"/>
              </w:rPr>
            </w:pPr>
            <w:r>
              <w:rPr>
                <w:rFonts w:eastAsia="仿宋"/>
                <w:color w:val="000000"/>
                <w:kern w:val="0"/>
                <w:sz w:val="24"/>
              </w:rPr>
              <w:t>实际完成目标</w:t>
            </w:r>
          </w:p>
        </w:tc>
      </w:tr>
      <w:tr w14:paraId="24AD59D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AA3BB">
            <w:pPr>
              <w:jc w:val="center"/>
              <w:rPr>
                <w:rFonts w:eastAsia="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0E1CF5">
            <w:pPr>
              <w:widowControl/>
              <w:textAlignment w:val="center"/>
              <w:rPr>
                <w:rFonts w:ascii="宋体" w:hAnsi="宋体" w:cs="宋体"/>
                <w:color w:val="000000"/>
                <w:sz w:val="18"/>
                <w:szCs w:val="18"/>
              </w:rPr>
            </w:pPr>
            <w:r>
              <w:rPr>
                <w:rFonts w:hint="eastAsia" w:ascii="仿宋" w:hAnsi="仿宋" w:eastAsia="仿宋" w:cs="仿宋"/>
                <w:color w:val="000000"/>
                <w:kern w:val="0"/>
                <w:sz w:val="24"/>
                <w:lang w:bidi="ar"/>
              </w:rPr>
              <w:t>2020年对供销社领办的130多个农民专业合作社理事长等人员进行培训，培训内容：对专业合作社进行规范管理、包括内部管理规范、生产管理规范等。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291D9">
            <w:pPr>
              <w:widowControl/>
              <w:textAlignment w:val="center"/>
              <w:rPr>
                <w:color w:val="000000"/>
                <w:sz w:val="18"/>
                <w:szCs w:val="18"/>
              </w:rPr>
            </w:pPr>
          </w:p>
        </w:tc>
      </w:tr>
      <w:tr w14:paraId="34F3311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70E5CA2">
            <w:pPr>
              <w:widowControl/>
              <w:jc w:val="center"/>
              <w:textAlignment w:val="center"/>
              <w:rPr>
                <w:rFonts w:eastAsia="仿宋"/>
                <w:color w:val="000000"/>
                <w:sz w:val="24"/>
              </w:rPr>
            </w:pPr>
            <w:r>
              <w:rPr>
                <w:rFonts w:eastAsia="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1C0EE">
            <w:pPr>
              <w:widowControl/>
              <w:jc w:val="center"/>
              <w:textAlignment w:val="center"/>
              <w:rPr>
                <w:rFonts w:eastAsia="仿宋"/>
                <w:color w:val="000000"/>
                <w:sz w:val="24"/>
              </w:rPr>
            </w:pPr>
            <w:r>
              <w:rPr>
                <w:rFonts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C9204">
            <w:pPr>
              <w:widowControl/>
              <w:jc w:val="center"/>
              <w:textAlignment w:val="center"/>
              <w:rPr>
                <w:rFonts w:eastAsia="仿宋"/>
                <w:color w:val="000000"/>
                <w:sz w:val="24"/>
              </w:rPr>
            </w:pPr>
            <w:r>
              <w:rPr>
                <w:rFonts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EF6231">
            <w:pPr>
              <w:widowControl/>
              <w:jc w:val="center"/>
              <w:textAlignment w:val="center"/>
              <w:rPr>
                <w:rFonts w:eastAsia="仿宋"/>
                <w:color w:val="000000"/>
                <w:sz w:val="24"/>
              </w:rPr>
            </w:pPr>
            <w:r>
              <w:rPr>
                <w:rFonts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8ED7C">
            <w:pPr>
              <w:widowControl/>
              <w:jc w:val="center"/>
              <w:textAlignment w:val="center"/>
              <w:rPr>
                <w:rFonts w:eastAsia="仿宋"/>
                <w:color w:val="000000"/>
                <w:sz w:val="24"/>
              </w:rPr>
            </w:pPr>
            <w:r>
              <w:rPr>
                <w:rFonts w:eastAsia="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FA6A0">
            <w:pPr>
              <w:widowControl/>
              <w:jc w:val="center"/>
              <w:textAlignment w:val="center"/>
              <w:rPr>
                <w:rFonts w:eastAsia="仿宋"/>
                <w:color w:val="000000"/>
                <w:sz w:val="24"/>
              </w:rPr>
            </w:pPr>
            <w:r>
              <w:rPr>
                <w:rFonts w:eastAsia="仿宋"/>
                <w:color w:val="000000"/>
                <w:kern w:val="0"/>
                <w:sz w:val="24"/>
              </w:rPr>
              <w:t>实际完成指标值(包含数字及文字描述)</w:t>
            </w:r>
          </w:p>
        </w:tc>
      </w:tr>
      <w:tr w14:paraId="0225EF7A">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053CBB">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E5EE1">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6968F">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5488F">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2020年度内对领办的农民专业合作社管理人员进行培训一次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B13C1">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专业合作社理事长业务培训经费标准150人/150元=22500元，会议场地租赁费2500，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B3587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18"/>
                <w:szCs w:val="18"/>
                <w:lang w:bidi="ar"/>
              </w:rPr>
              <w:t>会议场地租赁费2500</w:t>
            </w:r>
          </w:p>
        </w:tc>
      </w:tr>
      <w:tr w14:paraId="01BD8C9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7B147BB">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D1B6C4">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C9D638">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48606">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提高农民专业合作社的管理水平。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A90B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包括内部管理规范、生产管理规范等。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FA2F8">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已经提高</w:t>
            </w:r>
          </w:p>
        </w:tc>
      </w:tr>
      <w:tr w14:paraId="7C10901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14BE0B2">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2409BB">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4A9135">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B64D4">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农民专业合作社培训会议费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49640">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B9EBD">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2020</w:t>
            </w:r>
          </w:p>
        </w:tc>
      </w:tr>
      <w:tr w14:paraId="618D71C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6FDC763">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43AB3">
            <w:pPr>
              <w:widowControl/>
              <w:jc w:val="center"/>
              <w:textAlignment w:val="center"/>
              <w:rPr>
                <w:rFonts w:eastAsia="仿宋"/>
                <w:color w:val="000000"/>
                <w:kern w:val="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7F9B5">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D3B57">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50人/150天=22500元，会议场地租赁费1500，会议其他杂费1000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24BECF">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25000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77F47">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25000</w:t>
            </w:r>
          </w:p>
        </w:tc>
      </w:tr>
      <w:tr w14:paraId="44B8F04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8AE36D7">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522704">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D643E">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C9A2C">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积极推广使用阳光米易公共区域品牌、提升农产品品质。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B7A20F">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积极创造条件申报“三品一标”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3BAC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18"/>
                <w:szCs w:val="18"/>
                <w:lang w:bidi="ar"/>
              </w:rPr>
              <w:t>积极推广使用阳光米易公共区域品牌、提升农产品品质。</w:t>
            </w:r>
          </w:p>
        </w:tc>
      </w:tr>
      <w:tr w14:paraId="735076EA">
        <w:tblPrEx>
          <w:tblCellMar>
            <w:top w:w="0" w:type="dxa"/>
            <w:left w:w="0" w:type="dxa"/>
            <w:bottom w:w="0" w:type="dxa"/>
            <w:right w:w="0" w:type="dxa"/>
          </w:tblCellMar>
        </w:tblPrEx>
        <w:trPr>
          <w:trHeight w:val="142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7404BB2">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76F1E">
            <w:pPr>
              <w:widowControl/>
              <w:jc w:val="center"/>
              <w:textAlignment w:val="center"/>
              <w:rPr>
                <w:rFonts w:eastAsia="仿宋"/>
                <w:color w:val="000000"/>
                <w:sz w:val="24"/>
              </w:rPr>
            </w:pPr>
            <w:r>
              <w:rPr>
                <w:rFonts w:hint="eastAsia"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B0AB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32D9B">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农民专业合作社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A33470">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 xml:space="preserve">达95%以上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B5D3D">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98%</w:t>
            </w:r>
          </w:p>
        </w:tc>
      </w:tr>
      <w:tr w14:paraId="380A5E3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741DFE6">
            <w:pPr>
              <w:widowControl/>
              <w:jc w:val="center"/>
              <w:textAlignment w:val="center"/>
              <w:rPr>
                <w:rFonts w:eastAsia="仿宋"/>
                <w:color w:val="000000"/>
                <w:sz w:val="36"/>
                <w:szCs w:val="36"/>
              </w:rPr>
            </w:pPr>
            <w:r>
              <w:rPr>
                <w:rFonts w:eastAsia="仿宋"/>
                <w:b/>
                <w:bCs/>
                <w:color w:val="000000"/>
                <w:kern w:val="0"/>
                <w:sz w:val="36"/>
                <w:szCs w:val="36"/>
              </w:rPr>
              <w:t>项目绩效目标完成情况表</w:t>
            </w:r>
            <w:r>
              <w:rPr>
                <w:rFonts w:eastAsia="仿宋"/>
                <w:b/>
                <w:bCs/>
                <w:color w:val="000000"/>
                <w:kern w:val="0"/>
                <w:sz w:val="36"/>
                <w:szCs w:val="36"/>
              </w:rPr>
              <w:br w:type="textWrapping"/>
            </w:r>
            <w:r>
              <w:rPr>
                <w:rFonts w:eastAsia="仿宋"/>
                <w:color w:val="000000"/>
                <w:kern w:val="0"/>
                <w:sz w:val="36"/>
                <w:szCs w:val="36"/>
              </w:rPr>
              <w:t>(2020年度)</w:t>
            </w:r>
          </w:p>
        </w:tc>
      </w:tr>
      <w:tr w14:paraId="494A94A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3AC27">
            <w:pPr>
              <w:widowControl/>
              <w:jc w:val="center"/>
              <w:textAlignment w:val="center"/>
              <w:rPr>
                <w:rFonts w:eastAsia="仿宋"/>
                <w:color w:val="000000"/>
                <w:sz w:val="24"/>
              </w:rPr>
            </w:pPr>
            <w:r>
              <w:rPr>
                <w:rFonts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158FD">
            <w:pPr>
              <w:widowControl/>
              <w:jc w:val="center"/>
              <w:textAlignment w:val="center"/>
              <w:rPr>
                <w:rFonts w:eastAsia="仿宋"/>
                <w:color w:val="000000"/>
                <w:sz w:val="24"/>
              </w:rPr>
            </w:pPr>
            <w:r>
              <w:rPr>
                <w:rFonts w:eastAsia="仿宋"/>
                <w:sz w:val="24"/>
              </w:rPr>
              <w:t>综合改革及发展专项工作经费</w:t>
            </w:r>
          </w:p>
        </w:tc>
      </w:tr>
      <w:tr w14:paraId="7E61518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E1EF2">
            <w:pPr>
              <w:widowControl/>
              <w:jc w:val="center"/>
              <w:textAlignment w:val="center"/>
              <w:rPr>
                <w:rFonts w:eastAsia="仿宋"/>
                <w:color w:val="000000"/>
                <w:sz w:val="24"/>
              </w:rPr>
            </w:pPr>
            <w:r>
              <w:rPr>
                <w:rFonts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B5B3D">
            <w:pPr>
              <w:widowControl/>
              <w:jc w:val="center"/>
              <w:textAlignment w:val="center"/>
              <w:rPr>
                <w:rFonts w:eastAsia="仿宋"/>
                <w:color w:val="000000"/>
                <w:sz w:val="24"/>
              </w:rPr>
            </w:pPr>
            <w:r>
              <w:rPr>
                <w:rFonts w:eastAsia="仿宋"/>
                <w:color w:val="000000"/>
                <w:sz w:val="24"/>
              </w:rPr>
              <w:t>米易县供销合作社</w:t>
            </w:r>
          </w:p>
        </w:tc>
      </w:tr>
      <w:tr w14:paraId="4B7305F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1F782">
            <w:pPr>
              <w:widowControl/>
              <w:jc w:val="center"/>
              <w:textAlignment w:val="center"/>
              <w:rPr>
                <w:rFonts w:eastAsia="仿宋"/>
                <w:color w:val="000000"/>
                <w:sz w:val="24"/>
              </w:rPr>
            </w:pPr>
            <w:r>
              <w:rPr>
                <w:rFonts w:eastAsia="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F5896D">
            <w:pPr>
              <w:widowControl/>
              <w:jc w:val="center"/>
              <w:textAlignment w:val="center"/>
              <w:rPr>
                <w:rFonts w:eastAsia="仿宋"/>
                <w:color w:val="000000"/>
                <w:sz w:val="24"/>
              </w:rPr>
            </w:pPr>
            <w:r>
              <w:rPr>
                <w:rFonts w:eastAsia="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8813D1">
            <w:pPr>
              <w:widowControl/>
              <w:jc w:val="center"/>
              <w:textAlignment w:val="center"/>
              <w:rPr>
                <w:rFonts w:eastAsia="仿宋"/>
                <w:color w:val="000000"/>
                <w:sz w:val="24"/>
              </w:rPr>
            </w:pPr>
            <w:r>
              <w:rPr>
                <w:rFonts w:hint="eastAsia" w:eastAsia="仿宋"/>
                <w:color w:val="000000"/>
                <w:sz w:val="24"/>
              </w:rPr>
              <w:t>4.5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C0A95">
            <w:pPr>
              <w:widowControl/>
              <w:jc w:val="center"/>
              <w:textAlignment w:val="center"/>
              <w:rPr>
                <w:rFonts w:eastAsia="仿宋"/>
                <w:color w:val="000000"/>
                <w:sz w:val="24"/>
              </w:rPr>
            </w:pPr>
            <w:r>
              <w:rPr>
                <w:rFonts w:eastAsia="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977C78">
            <w:pPr>
              <w:widowControl/>
              <w:jc w:val="center"/>
              <w:textAlignment w:val="center"/>
              <w:rPr>
                <w:rFonts w:eastAsia="仿宋"/>
                <w:color w:val="000000"/>
                <w:sz w:val="24"/>
              </w:rPr>
            </w:pPr>
            <w:r>
              <w:rPr>
                <w:rFonts w:hint="eastAsia" w:eastAsia="仿宋"/>
                <w:color w:val="000000"/>
                <w:sz w:val="24"/>
              </w:rPr>
              <w:t>4.48</w:t>
            </w:r>
          </w:p>
        </w:tc>
      </w:tr>
      <w:tr w14:paraId="78B1BF9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D01D89">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65579B">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1BDFDD">
            <w:pPr>
              <w:widowControl/>
              <w:jc w:val="center"/>
              <w:textAlignment w:val="center"/>
              <w:rPr>
                <w:rFonts w:eastAsia="仿宋"/>
                <w:color w:val="000000"/>
                <w:sz w:val="24"/>
              </w:rPr>
            </w:pPr>
            <w:r>
              <w:rPr>
                <w:rFonts w:hint="eastAsia" w:eastAsia="仿宋"/>
                <w:color w:val="000000"/>
                <w:sz w:val="24"/>
              </w:rPr>
              <w:t>4.5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145A0">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7F1841">
            <w:pPr>
              <w:widowControl/>
              <w:jc w:val="center"/>
              <w:textAlignment w:val="center"/>
              <w:rPr>
                <w:rFonts w:eastAsia="仿宋"/>
                <w:color w:val="000000"/>
                <w:sz w:val="24"/>
              </w:rPr>
            </w:pPr>
            <w:r>
              <w:rPr>
                <w:rFonts w:hint="eastAsia" w:eastAsia="仿宋"/>
                <w:color w:val="000000"/>
                <w:sz w:val="24"/>
              </w:rPr>
              <w:t>4.48</w:t>
            </w:r>
          </w:p>
        </w:tc>
      </w:tr>
      <w:tr w14:paraId="2282D8B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B19DE2">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12769E">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5E909">
            <w:pPr>
              <w:widowControl/>
              <w:jc w:val="center"/>
              <w:textAlignment w:val="center"/>
              <w:rPr>
                <w:rFonts w:eastAsia="仿宋"/>
                <w:color w:val="000000"/>
                <w:sz w:val="24"/>
              </w:rPr>
            </w:pPr>
            <w:r>
              <w:rPr>
                <w:rFonts w:hint="eastAsia"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46DD9B">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951CCF">
            <w:pPr>
              <w:jc w:val="center"/>
              <w:rPr>
                <w:rFonts w:eastAsia="仿宋"/>
                <w:color w:val="000000"/>
                <w:sz w:val="24"/>
              </w:rPr>
            </w:pPr>
            <w:r>
              <w:rPr>
                <w:rFonts w:hint="eastAsia" w:eastAsia="仿宋"/>
                <w:color w:val="000000"/>
                <w:sz w:val="24"/>
              </w:rPr>
              <w:t>0</w:t>
            </w:r>
          </w:p>
        </w:tc>
      </w:tr>
      <w:tr w14:paraId="2DBB01E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BC23C">
            <w:pPr>
              <w:widowControl/>
              <w:jc w:val="center"/>
              <w:textAlignment w:val="center"/>
              <w:rPr>
                <w:rFonts w:eastAsia="仿宋"/>
                <w:color w:val="000000"/>
                <w:sz w:val="24"/>
              </w:rPr>
            </w:pPr>
            <w:r>
              <w:rPr>
                <w:rFonts w:eastAsia="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D8308F">
            <w:pPr>
              <w:widowControl/>
              <w:jc w:val="center"/>
              <w:textAlignment w:val="center"/>
              <w:rPr>
                <w:rFonts w:eastAsia="仿宋"/>
                <w:color w:val="000000"/>
                <w:sz w:val="24"/>
              </w:rPr>
            </w:pPr>
            <w:r>
              <w:rPr>
                <w:rFonts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7746A">
            <w:pPr>
              <w:widowControl/>
              <w:jc w:val="center"/>
              <w:textAlignment w:val="center"/>
              <w:rPr>
                <w:rFonts w:eastAsia="仿宋"/>
                <w:color w:val="000000"/>
                <w:sz w:val="24"/>
              </w:rPr>
            </w:pPr>
            <w:r>
              <w:rPr>
                <w:rFonts w:eastAsia="仿宋"/>
                <w:color w:val="000000"/>
                <w:kern w:val="0"/>
                <w:sz w:val="24"/>
              </w:rPr>
              <w:t>实际完成目标</w:t>
            </w:r>
          </w:p>
        </w:tc>
      </w:tr>
      <w:tr w14:paraId="2C0B258D">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22FAA">
            <w:pPr>
              <w:jc w:val="center"/>
              <w:rPr>
                <w:rFonts w:eastAsia="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71AD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推进供销综合改革与双线运行工作，大力发展土地托管、电子商务、仓储物流、为农服务中心、城乡社区综合服务社、基层社恢复重建等工作。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FE06FC">
            <w:pPr>
              <w:widowControl/>
              <w:textAlignment w:val="center"/>
              <w:rPr>
                <w:color w:val="000000"/>
                <w:sz w:val="18"/>
                <w:szCs w:val="18"/>
              </w:rPr>
            </w:pPr>
          </w:p>
        </w:tc>
      </w:tr>
      <w:tr w14:paraId="2E111F26">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858D861">
            <w:pPr>
              <w:widowControl/>
              <w:jc w:val="center"/>
              <w:textAlignment w:val="center"/>
              <w:rPr>
                <w:rFonts w:eastAsia="仿宋"/>
                <w:color w:val="000000"/>
                <w:sz w:val="24"/>
              </w:rPr>
            </w:pPr>
            <w:r>
              <w:rPr>
                <w:rFonts w:eastAsia="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AB4ED7">
            <w:pPr>
              <w:widowControl/>
              <w:jc w:val="center"/>
              <w:textAlignment w:val="center"/>
              <w:rPr>
                <w:rFonts w:eastAsia="仿宋"/>
                <w:color w:val="000000"/>
                <w:sz w:val="24"/>
              </w:rPr>
            </w:pPr>
            <w:r>
              <w:rPr>
                <w:rFonts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971ADF">
            <w:pPr>
              <w:widowControl/>
              <w:jc w:val="center"/>
              <w:textAlignment w:val="center"/>
              <w:rPr>
                <w:rFonts w:eastAsia="仿宋"/>
                <w:color w:val="000000"/>
                <w:sz w:val="24"/>
              </w:rPr>
            </w:pPr>
            <w:r>
              <w:rPr>
                <w:rFonts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D8EED">
            <w:pPr>
              <w:widowControl/>
              <w:jc w:val="center"/>
              <w:textAlignment w:val="center"/>
              <w:rPr>
                <w:rFonts w:eastAsia="仿宋"/>
                <w:color w:val="000000"/>
                <w:sz w:val="24"/>
              </w:rPr>
            </w:pPr>
            <w:r>
              <w:rPr>
                <w:rFonts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A4975E">
            <w:pPr>
              <w:widowControl/>
              <w:jc w:val="center"/>
              <w:textAlignment w:val="center"/>
              <w:rPr>
                <w:rFonts w:eastAsia="仿宋"/>
                <w:color w:val="000000"/>
                <w:sz w:val="24"/>
              </w:rPr>
            </w:pPr>
            <w:r>
              <w:rPr>
                <w:rFonts w:eastAsia="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2CAD34">
            <w:pPr>
              <w:widowControl/>
              <w:jc w:val="center"/>
              <w:textAlignment w:val="center"/>
              <w:rPr>
                <w:rFonts w:eastAsia="仿宋"/>
                <w:color w:val="000000"/>
                <w:sz w:val="24"/>
              </w:rPr>
            </w:pPr>
            <w:r>
              <w:rPr>
                <w:rFonts w:eastAsia="仿宋"/>
                <w:color w:val="000000"/>
                <w:kern w:val="0"/>
                <w:sz w:val="24"/>
              </w:rPr>
              <w:t>实际完成指标值(包含数字及文字描述)</w:t>
            </w:r>
          </w:p>
        </w:tc>
      </w:tr>
      <w:tr w14:paraId="04E6FE8D">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9DB1A8E">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0FA7C">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F0E4B">
            <w:pPr>
              <w:widowControl/>
              <w:jc w:val="center"/>
              <w:textAlignment w:val="center"/>
              <w:rPr>
                <w:rFonts w:eastAsia="仿宋"/>
                <w:color w:val="000000"/>
                <w:sz w:val="24"/>
              </w:rPr>
            </w:pPr>
            <w:r>
              <w:rPr>
                <w:rFonts w:hint="eastAsia" w:eastAsia="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D17BB">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对外宣传、组织专业合作社参展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2CBF9A">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全年组织专业合作社及机关人参展及培训约20人次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65B1E">
            <w:pPr>
              <w:widowControl/>
              <w:jc w:val="center"/>
              <w:textAlignment w:val="center"/>
              <w:rPr>
                <w:rFonts w:eastAsia="仿宋"/>
                <w:color w:val="000000"/>
                <w:sz w:val="24"/>
              </w:rPr>
            </w:pPr>
            <w:r>
              <w:rPr>
                <w:rFonts w:hint="eastAsia" w:ascii="宋体" w:hAnsi="宋体" w:cs="宋体"/>
                <w:color w:val="000000"/>
                <w:kern w:val="0"/>
                <w:sz w:val="18"/>
                <w:szCs w:val="18"/>
                <w:lang w:bidi="ar"/>
              </w:rPr>
              <w:t>全年组织专业合作社及机关人参展及培训约20人次</w:t>
            </w:r>
          </w:p>
        </w:tc>
      </w:tr>
      <w:tr w14:paraId="3C9155F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868CFB">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CB2AA">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58ACD">
            <w:pPr>
              <w:widowControl/>
              <w:jc w:val="center"/>
              <w:textAlignment w:val="center"/>
              <w:rPr>
                <w:rFonts w:eastAsia="仿宋"/>
                <w:color w:val="000000"/>
                <w:sz w:val="24"/>
              </w:rPr>
            </w:pPr>
            <w:r>
              <w:rPr>
                <w:rFonts w:hint="eastAsia" w:eastAsia="仿宋"/>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6D29B8">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推进农产品宣传和推广工作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45755">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积极推进供销综合改革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6B589">
            <w:pPr>
              <w:widowControl/>
              <w:jc w:val="center"/>
              <w:textAlignment w:val="center"/>
              <w:rPr>
                <w:rFonts w:eastAsia="仿宋"/>
                <w:color w:val="000000"/>
                <w:sz w:val="24"/>
              </w:rPr>
            </w:pPr>
            <w:r>
              <w:rPr>
                <w:rFonts w:hint="eastAsia" w:ascii="宋体" w:hAnsi="宋体" w:cs="宋体"/>
                <w:color w:val="000000"/>
                <w:kern w:val="0"/>
                <w:sz w:val="18"/>
                <w:szCs w:val="18"/>
                <w:lang w:bidi="ar"/>
              </w:rPr>
              <w:t>已推进积极推进供销综合改革</w:t>
            </w:r>
          </w:p>
        </w:tc>
      </w:tr>
      <w:tr w14:paraId="5554EF5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CAC7386">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BE4FC">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5C72F9">
            <w:pPr>
              <w:widowControl/>
              <w:jc w:val="center"/>
              <w:textAlignment w:val="center"/>
              <w:rPr>
                <w:rFonts w:eastAsia="仿宋"/>
                <w:color w:val="000000"/>
                <w:sz w:val="24"/>
              </w:rPr>
            </w:pPr>
            <w:r>
              <w:rPr>
                <w:rFonts w:hint="eastAsia" w:eastAsia="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6767F">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2105C">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2020年1月至12月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C8E86">
            <w:pPr>
              <w:widowControl/>
              <w:jc w:val="center"/>
              <w:textAlignment w:val="center"/>
              <w:rPr>
                <w:rFonts w:eastAsia="仿宋"/>
                <w:color w:val="000000"/>
                <w:sz w:val="24"/>
              </w:rPr>
            </w:pPr>
            <w:r>
              <w:rPr>
                <w:rFonts w:hint="eastAsia" w:ascii="宋体" w:hAnsi="宋体" w:cs="宋体"/>
                <w:color w:val="000000"/>
                <w:kern w:val="0"/>
                <w:sz w:val="18"/>
                <w:szCs w:val="18"/>
                <w:lang w:bidi="ar"/>
              </w:rPr>
              <w:t>2020年</w:t>
            </w:r>
          </w:p>
        </w:tc>
      </w:tr>
      <w:tr w14:paraId="42A4544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C939835">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BBC7E">
            <w:pPr>
              <w:widowControl/>
              <w:jc w:val="center"/>
              <w:textAlignment w:val="center"/>
              <w:rPr>
                <w:rFonts w:eastAsia="仿宋"/>
                <w:color w:val="000000"/>
                <w:kern w:val="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0DC1D5">
            <w:pPr>
              <w:widowControl/>
              <w:jc w:val="center"/>
              <w:textAlignment w:val="center"/>
              <w:rPr>
                <w:rFonts w:eastAsia="仿宋"/>
                <w:color w:val="000000"/>
                <w:sz w:val="24"/>
              </w:rPr>
            </w:pPr>
            <w:r>
              <w:rPr>
                <w:rFonts w:hint="eastAsia" w:eastAsia="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C803B">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对外宣传、学习培训、组织专合社参展等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F77629">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45000元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3DF651">
            <w:pPr>
              <w:widowControl/>
              <w:jc w:val="center"/>
              <w:textAlignment w:val="center"/>
              <w:rPr>
                <w:rFonts w:eastAsia="仿宋"/>
                <w:color w:val="000000"/>
                <w:sz w:val="24"/>
              </w:rPr>
            </w:pPr>
            <w:r>
              <w:rPr>
                <w:rFonts w:hint="eastAsia" w:ascii="宋体" w:hAnsi="宋体" w:cs="宋体"/>
                <w:color w:val="000000"/>
                <w:kern w:val="0"/>
                <w:sz w:val="18"/>
                <w:szCs w:val="18"/>
                <w:lang w:bidi="ar"/>
              </w:rPr>
              <w:t>45000元</w:t>
            </w:r>
          </w:p>
        </w:tc>
      </w:tr>
      <w:tr w14:paraId="4DC076B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EA9683">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C67A5">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952AB8">
            <w:pPr>
              <w:widowControl/>
              <w:jc w:val="center"/>
              <w:textAlignment w:val="center"/>
              <w:rPr>
                <w:rFonts w:eastAsia="仿宋"/>
                <w:color w:val="000000"/>
                <w:sz w:val="24"/>
              </w:rPr>
            </w:pPr>
            <w:r>
              <w:rPr>
                <w:rFonts w:hint="eastAsia" w:eastAsia="仿宋"/>
                <w:color w:val="000000"/>
                <w:sz w:val="24"/>
              </w:rPr>
              <w:t>绩效指标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FAD4C">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大力发展土地托管、电子商务、仓储物流等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86091">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增加农产品销售渠道，促进农民增收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178CAD">
            <w:pPr>
              <w:widowControl/>
              <w:jc w:val="center"/>
              <w:textAlignment w:val="center"/>
              <w:rPr>
                <w:rFonts w:eastAsia="仿宋"/>
                <w:color w:val="000000"/>
                <w:sz w:val="24"/>
              </w:rPr>
            </w:pPr>
            <w:r>
              <w:rPr>
                <w:rFonts w:hint="eastAsia" w:ascii="宋体" w:hAnsi="宋体" w:cs="宋体"/>
                <w:color w:val="000000"/>
                <w:kern w:val="0"/>
                <w:sz w:val="18"/>
                <w:szCs w:val="18"/>
                <w:lang w:bidi="ar"/>
              </w:rPr>
              <w:t>增加农产品销售渠道，促进农民增收</w:t>
            </w:r>
          </w:p>
        </w:tc>
      </w:tr>
      <w:tr w14:paraId="205A4631">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B93C379">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5324A1">
            <w:pPr>
              <w:widowControl/>
              <w:jc w:val="center"/>
              <w:textAlignment w:val="center"/>
              <w:rPr>
                <w:rFonts w:eastAsia="仿宋"/>
                <w:color w:val="000000"/>
                <w:sz w:val="24"/>
              </w:rPr>
            </w:pPr>
            <w:r>
              <w:rPr>
                <w:rFonts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B12176">
            <w:pPr>
              <w:widowControl/>
              <w:jc w:val="center"/>
              <w:textAlignment w:val="center"/>
              <w:rPr>
                <w:rFonts w:eastAsia="仿宋"/>
                <w:color w:val="000000"/>
                <w:sz w:val="24"/>
              </w:rPr>
            </w:pPr>
            <w:r>
              <w:rPr>
                <w:rFonts w:hint="eastAsia" w:eastAsia="仿宋"/>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4D899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F0DBD">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00B24">
            <w:pPr>
              <w:widowControl/>
              <w:jc w:val="center"/>
              <w:textAlignment w:val="center"/>
              <w:rPr>
                <w:rFonts w:eastAsia="仿宋"/>
                <w:color w:val="000000"/>
                <w:sz w:val="24"/>
              </w:rPr>
            </w:pPr>
            <w:r>
              <w:rPr>
                <w:rFonts w:hint="eastAsia" w:eastAsia="仿宋"/>
                <w:color w:val="000000"/>
                <w:sz w:val="24"/>
              </w:rPr>
              <w:t>96%</w:t>
            </w:r>
          </w:p>
        </w:tc>
      </w:tr>
      <w:tr w14:paraId="14D85A0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0006C91">
            <w:pPr>
              <w:widowControl/>
              <w:jc w:val="center"/>
              <w:textAlignment w:val="center"/>
              <w:rPr>
                <w:rFonts w:eastAsia="仿宋"/>
                <w:color w:val="000000"/>
                <w:sz w:val="36"/>
                <w:szCs w:val="36"/>
              </w:rPr>
            </w:pPr>
            <w:r>
              <w:rPr>
                <w:rFonts w:eastAsia="仿宋"/>
                <w:b/>
                <w:bCs/>
                <w:color w:val="000000"/>
                <w:kern w:val="0"/>
                <w:sz w:val="36"/>
                <w:szCs w:val="36"/>
              </w:rPr>
              <w:t>项目绩效目标完成情况表</w:t>
            </w:r>
            <w:r>
              <w:rPr>
                <w:rFonts w:eastAsia="仿宋"/>
                <w:b/>
                <w:bCs/>
                <w:color w:val="000000"/>
                <w:kern w:val="0"/>
                <w:sz w:val="36"/>
                <w:szCs w:val="36"/>
              </w:rPr>
              <w:br w:type="textWrapping"/>
            </w:r>
            <w:r>
              <w:rPr>
                <w:rFonts w:eastAsia="仿宋"/>
                <w:color w:val="000000"/>
                <w:kern w:val="0"/>
                <w:sz w:val="36"/>
                <w:szCs w:val="36"/>
              </w:rPr>
              <w:t>(2020年度)</w:t>
            </w:r>
          </w:p>
        </w:tc>
      </w:tr>
      <w:tr w14:paraId="7A935B5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7B760B">
            <w:pPr>
              <w:widowControl/>
              <w:jc w:val="center"/>
              <w:textAlignment w:val="center"/>
              <w:rPr>
                <w:rFonts w:eastAsia="仿宋"/>
                <w:color w:val="000000"/>
                <w:sz w:val="24"/>
              </w:rPr>
            </w:pPr>
            <w:r>
              <w:rPr>
                <w:rFonts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4F395">
            <w:pPr>
              <w:widowControl/>
              <w:jc w:val="center"/>
              <w:textAlignment w:val="center"/>
              <w:rPr>
                <w:rFonts w:eastAsia="仿宋"/>
                <w:color w:val="000000"/>
                <w:sz w:val="24"/>
              </w:rPr>
            </w:pPr>
            <w:r>
              <w:rPr>
                <w:rFonts w:eastAsia="仿宋"/>
                <w:sz w:val="24"/>
              </w:rPr>
              <w:t>物业管理费</w:t>
            </w:r>
          </w:p>
        </w:tc>
      </w:tr>
      <w:tr w14:paraId="0ABB3E1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1E4058">
            <w:pPr>
              <w:widowControl/>
              <w:jc w:val="center"/>
              <w:textAlignment w:val="center"/>
              <w:rPr>
                <w:rFonts w:eastAsia="仿宋"/>
                <w:color w:val="000000"/>
                <w:sz w:val="24"/>
              </w:rPr>
            </w:pPr>
            <w:r>
              <w:rPr>
                <w:rFonts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FAA431">
            <w:pPr>
              <w:widowControl/>
              <w:jc w:val="center"/>
              <w:textAlignment w:val="center"/>
              <w:rPr>
                <w:rFonts w:eastAsia="仿宋"/>
                <w:color w:val="000000"/>
                <w:sz w:val="24"/>
              </w:rPr>
            </w:pPr>
            <w:r>
              <w:rPr>
                <w:rFonts w:eastAsia="仿宋"/>
                <w:color w:val="000000"/>
                <w:sz w:val="24"/>
              </w:rPr>
              <w:t>米易县供销合作社</w:t>
            </w:r>
          </w:p>
        </w:tc>
      </w:tr>
      <w:tr w14:paraId="4A17FA8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5FA1F">
            <w:pPr>
              <w:widowControl/>
              <w:jc w:val="center"/>
              <w:textAlignment w:val="center"/>
              <w:rPr>
                <w:rFonts w:eastAsia="仿宋"/>
                <w:color w:val="000000"/>
                <w:sz w:val="24"/>
              </w:rPr>
            </w:pPr>
            <w:r>
              <w:rPr>
                <w:rFonts w:eastAsia="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56E52">
            <w:pPr>
              <w:widowControl/>
              <w:jc w:val="center"/>
              <w:textAlignment w:val="center"/>
              <w:rPr>
                <w:rFonts w:eastAsia="仿宋"/>
                <w:color w:val="000000"/>
                <w:sz w:val="24"/>
              </w:rPr>
            </w:pPr>
            <w:r>
              <w:rPr>
                <w:rFonts w:eastAsia="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C3F2F">
            <w:pPr>
              <w:widowControl/>
              <w:jc w:val="center"/>
              <w:textAlignment w:val="center"/>
              <w:rPr>
                <w:rFonts w:eastAsia="仿宋"/>
                <w:color w:val="000000"/>
                <w:sz w:val="24"/>
              </w:rPr>
            </w:pPr>
            <w:r>
              <w:rPr>
                <w:rFonts w:hint="eastAsia" w:eastAsia="仿宋"/>
                <w:color w:val="000000"/>
                <w:sz w:val="24"/>
              </w:rPr>
              <w:t>3.54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5363A4">
            <w:pPr>
              <w:widowControl/>
              <w:jc w:val="center"/>
              <w:textAlignment w:val="center"/>
              <w:rPr>
                <w:rFonts w:eastAsia="仿宋"/>
                <w:color w:val="000000"/>
                <w:sz w:val="24"/>
              </w:rPr>
            </w:pPr>
            <w:r>
              <w:rPr>
                <w:rFonts w:eastAsia="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881DEC">
            <w:pPr>
              <w:widowControl/>
              <w:jc w:val="center"/>
              <w:textAlignment w:val="center"/>
              <w:rPr>
                <w:rFonts w:eastAsia="仿宋"/>
                <w:color w:val="000000"/>
                <w:sz w:val="24"/>
              </w:rPr>
            </w:pPr>
            <w:r>
              <w:rPr>
                <w:rFonts w:hint="eastAsia" w:eastAsia="仿宋"/>
                <w:color w:val="000000"/>
                <w:sz w:val="24"/>
              </w:rPr>
              <w:t>3.54</w:t>
            </w:r>
          </w:p>
        </w:tc>
      </w:tr>
      <w:tr w14:paraId="32ECC337">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F5396B">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0D284">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24BA9">
            <w:pPr>
              <w:widowControl/>
              <w:jc w:val="center"/>
              <w:textAlignment w:val="center"/>
              <w:rPr>
                <w:rFonts w:eastAsia="仿宋"/>
                <w:color w:val="000000"/>
                <w:sz w:val="24"/>
              </w:rPr>
            </w:pPr>
            <w:r>
              <w:rPr>
                <w:rFonts w:hint="eastAsia" w:eastAsia="仿宋"/>
                <w:color w:val="000000"/>
                <w:sz w:val="24"/>
              </w:rPr>
              <w:t>3.54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AD357">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48AA6D">
            <w:pPr>
              <w:widowControl/>
              <w:jc w:val="center"/>
              <w:textAlignment w:val="center"/>
              <w:rPr>
                <w:rFonts w:eastAsia="仿宋"/>
                <w:color w:val="000000"/>
                <w:sz w:val="24"/>
              </w:rPr>
            </w:pPr>
            <w:r>
              <w:rPr>
                <w:rFonts w:hint="eastAsia" w:eastAsia="仿宋"/>
                <w:color w:val="000000"/>
                <w:sz w:val="24"/>
              </w:rPr>
              <w:t>3.54</w:t>
            </w:r>
          </w:p>
        </w:tc>
      </w:tr>
      <w:tr w14:paraId="4552F49A">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D3B6F">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B02DF">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4AEA9">
            <w:pPr>
              <w:widowControl/>
              <w:jc w:val="center"/>
              <w:textAlignment w:val="center"/>
              <w:rPr>
                <w:rFonts w:eastAsia="仿宋"/>
                <w:color w:val="000000"/>
                <w:sz w:val="24"/>
              </w:rPr>
            </w:pPr>
            <w:r>
              <w:rPr>
                <w:rFonts w:hint="eastAsia"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EB142F">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32062E">
            <w:pPr>
              <w:jc w:val="center"/>
              <w:rPr>
                <w:rFonts w:eastAsia="仿宋"/>
                <w:color w:val="000000"/>
                <w:sz w:val="24"/>
              </w:rPr>
            </w:pPr>
            <w:r>
              <w:rPr>
                <w:rFonts w:hint="eastAsia" w:eastAsia="仿宋"/>
                <w:color w:val="000000"/>
                <w:sz w:val="24"/>
              </w:rPr>
              <w:t>0</w:t>
            </w:r>
          </w:p>
        </w:tc>
      </w:tr>
      <w:tr w14:paraId="2FE43165">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814F7">
            <w:pPr>
              <w:widowControl/>
              <w:jc w:val="center"/>
              <w:textAlignment w:val="center"/>
              <w:rPr>
                <w:rFonts w:eastAsia="仿宋"/>
                <w:color w:val="000000"/>
                <w:sz w:val="24"/>
              </w:rPr>
            </w:pPr>
            <w:r>
              <w:rPr>
                <w:rFonts w:eastAsia="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5FCFC3">
            <w:pPr>
              <w:widowControl/>
              <w:jc w:val="center"/>
              <w:textAlignment w:val="center"/>
              <w:rPr>
                <w:rFonts w:eastAsia="仿宋"/>
                <w:color w:val="000000"/>
                <w:sz w:val="24"/>
              </w:rPr>
            </w:pPr>
            <w:r>
              <w:rPr>
                <w:rFonts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100CA">
            <w:pPr>
              <w:widowControl/>
              <w:jc w:val="center"/>
              <w:textAlignment w:val="center"/>
              <w:rPr>
                <w:rFonts w:eastAsia="仿宋"/>
                <w:color w:val="000000"/>
                <w:sz w:val="24"/>
              </w:rPr>
            </w:pPr>
            <w:r>
              <w:rPr>
                <w:rFonts w:eastAsia="仿宋"/>
                <w:color w:val="000000"/>
                <w:kern w:val="0"/>
                <w:sz w:val="24"/>
              </w:rPr>
              <w:t>实际完成目标</w:t>
            </w:r>
          </w:p>
        </w:tc>
      </w:tr>
      <w:tr w14:paraId="2036EA59">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5C202">
            <w:pPr>
              <w:jc w:val="center"/>
              <w:rPr>
                <w:rFonts w:eastAsia="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03B43">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保证公共区域清洁卫生，负责办公区域内公共设施维修以及养护等。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0FADF">
            <w:pPr>
              <w:widowControl/>
              <w:textAlignment w:val="center"/>
              <w:rPr>
                <w:color w:val="000000"/>
                <w:sz w:val="18"/>
                <w:szCs w:val="18"/>
              </w:rPr>
            </w:pPr>
          </w:p>
        </w:tc>
      </w:tr>
      <w:tr w14:paraId="12DD481D">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2B2BD0B">
            <w:pPr>
              <w:widowControl/>
              <w:jc w:val="center"/>
              <w:textAlignment w:val="center"/>
              <w:rPr>
                <w:rFonts w:eastAsia="仿宋"/>
                <w:color w:val="000000"/>
                <w:sz w:val="24"/>
              </w:rPr>
            </w:pPr>
            <w:r>
              <w:rPr>
                <w:rFonts w:eastAsia="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10036">
            <w:pPr>
              <w:widowControl/>
              <w:jc w:val="center"/>
              <w:textAlignment w:val="center"/>
              <w:rPr>
                <w:rFonts w:eastAsia="仿宋"/>
                <w:color w:val="000000"/>
                <w:sz w:val="24"/>
              </w:rPr>
            </w:pPr>
            <w:r>
              <w:rPr>
                <w:rFonts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DD8528">
            <w:pPr>
              <w:widowControl/>
              <w:jc w:val="center"/>
              <w:textAlignment w:val="center"/>
              <w:rPr>
                <w:rFonts w:eastAsia="仿宋"/>
                <w:color w:val="000000"/>
                <w:sz w:val="24"/>
              </w:rPr>
            </w:pPr>
            <w:r>
              <w:rPr>
                <w:rFonts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3E13DE">
            <w:pPr>
              <w:widowControl/>
              <w:jc w:val="center"/>
              <w:textAlignment w:val="center"/>
              <w:rPr>
                <w:rFonts w:eastAsia="仿宋"/>
                <w:color w:val="000000"/>
                <w:sz w:val="24"/>
              </w:rPr>
            </w:pPr>
            <w:r>
              <w:rPr>
                <w:rFonts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51BEE3">
            <w:pPr>
              <w:widowControl/>
              <w:jc w:val="center"/>
              <w:textAlignment w:val="center"/>
              <w:rPr>
                <w:rFonts w:eastAsia="仿宋"/>
                <w:color w:val="000000"/>
                <w:sz w:val="24"/>
              </w:rPr>
            </w:pPr>
            <w:r>
              <w:rPr>
                <w:rFonts w:eastAsia="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E0BD7">
            <w:pPr>
              <w:widowControl/>
              <w:jc w:val="center"/>
              <w:textAlignment w:val="center"/>
              <w:rPr>
                <w:rFonts w:eastAsia="仿宋"/>
                <w:color w:val="000000"/>
                <w:sz w:val="24"/>
              </w:rPr>
            </w:pPr>
            <w:r>
              <w:rPr>
                <w:rFonts w:eastAsia="仿宋"/>
                <w:color w:val="000000"/>
                <w:kern w:val="0"/>
                <w:sz w:val="24"/>
              </w:rPr>
              <w:t>实际完成指标值(包含数字及文字描述)</w:t>
            </w:r>
          </w:p>
        </w:tc>
      </w:tr>
      <w:tr w14:paraId="4D342EC5">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F6088E">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0EB03">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12397">
            <w:pPr>
              <w:widowControl/>
              <w:jc w:val="center"/>
              <w:textAlignment w:val="center"/>
              <w:rPr>
                <w:rFonts w:eastAsia="仿宋"/>
                <w:color w:val="000000"/>
                <w:sz w:val="24"/>
              </w:rPr>
            </w:pPr>
            <w:r>
              <w:rPr>
                <w:rFonts w:hint="eastAsia" w:eastAsia="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CB25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办公区域面积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94070F">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691.74平米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E3AD7">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691.74平米</w:t>
            </w:r>
          </w:p>
        </w:tc>
      </w:tr>
      <w:tr w14:paraId="31DF726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891993">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305604">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25D9C6">
            <w:pPr>
              <w:widowControl/>
              <w:jc w:val="center"/>
              <w:textAlignment w:val="center"/>
              <w:rPr>
                <w:rFonts w:eastAsia="仿宋"/>
                <w:color w:val="000000"/>
                <w:sz w:val="24"/>
              </w:rPr>
            </w:pPr>
            <w:r>
              <w:rPr>
                <w:rFonts w:hint="eastAsia" w:eastAsia="仿宋"/>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7A0603">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保洁、维修、安保工作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8D00D">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达到合同约定的标准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E6365E">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达到合同约定的标准</w:t>
            </w:r>
          </w:p>
        </w:tc>
      </w:tr>
      <w:tr w14:paraId="4850415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1FF2E30">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4E478">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0F011F">
            <w:pPr>
              <w:widowControl/>
              <w:jc w:val="center"/>
              <w:textAlignment w:val="center"/>
              <w:rPr>
                <w:rFonts w:eastAsia="仿宋"/>
                <w:color w:val="000000"/>
                <w:sz w:val="24"/>
              </w:rPr>
            </w:pPr>
            <w:r>
              <w:rPr>
                <w:rFonts w:hint="eastAsia" w:eastAsia="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CD54D">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3AD67">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D9D994">
            <w:pPr>
              <w:widowControl/>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2020年12月</w:t>
            </w:r>
          </w:p>
        </w:tc>
      </w:tr>
      <w:tr w14:paraId="392E649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18F7CB">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5FD689">
            <w:pPr>
              <w:widowControl/>
              <w:jc w:val="center"/>
              <w:textAlignment w:val="center"/>
              <w:rPr>
                <w:rFonts w:eastAsia="仿宋"/>
                <w:color w:val="000000"/>
                <w:kern w:val="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4AB05">
            <w:pPr>
              <w:widowControl/>
              <w:jc w:val="center"/>
              <w:textAlignment w:val="center"/>
              <w:rPr>
                <w:rFonts w:eastAsia="仿宋"/>
                <w:color w:val="000000"/>
                <w:sz w:val="24"/>
              </w:rPr>
            </w:pPr>
            <w:r>
              <w:rPr>
                <w:rFonts w:hint="eastAsia" w:eastAsia="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AA484">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物业管理费标准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BF6C1">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51.28元/平方米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E6198">
            <w:pPr>
              <w:widowControl/>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51.28元/平方米</w:t>
            </w:r>
          </w:p>
        </w:tc>
      </w:tr>
      <w:tr w14:paraId="293C638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B910BA2">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AD3B7">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4A5E2">
            <w:pPr>
              <w:widowControl/>
              <w:jc w:val="center"/>
              <w:textAlignment w:val="center"/>
              <w:rPr>
                <w:rFonts w:eastAsia="仿宋"/>
                <w:color w:val="000000"/>
                <w:sz w:val="24"/>
              </w:rPr>
            </w:pPr>
            <w:r>
              <w:rPr>
                <w:rFonts w:hint="eastAsia" w:eastAsia="仿宋"/>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51C94">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方便群众办事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F00F2">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提高办事效率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A53E20">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提高办事效率</w:t>
            </w:r>
          </w:p>
        </w:tc>
      </w:tr>
      <w:tr w14:paraId="2E84B7F4">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ACA7AC1">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8C4A3E">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A0693">
            <w:pPr>
              <w:widowControl/>
              <w:jc w:val="center"/>
              <w:textAlignment w:val="center"/>
              <w:rPr>
                <w:rFonts w:eastAsia="仿宋"/>
                <w:color w:val="000000"/>
                <w:sz w:val="24"/>
              </w:rPr>
            </w:pPr>
            <w:r>
              <w:rPr>
                <w:rFonts w:hint="eastAsia" w:eastAsia="仿宋"/>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57DA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保护环境卫生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D1A601">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提高空气质量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C1F9F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提高空气质量</w:t>
            </w:r>
          </w:p>
        </w:tc>
      </w:tr>
      <w:tr w14:paraId="588C12A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21BF08D">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E6F19">
            <w:pPr>
              <w:widowControl/>
              <w:jc w:val="center"/>
              <w:textAlignment w:val="center"/>
              <w:rPr>
                <w:rFonts w:eastAsia="仿宋"/>
                <w:color w:val="000000"/>
                <w:sz w:val="24"/>
              </w:rPr>
            </w:pPr>
            <w:r>
              <w:rPr>
                <w:rFonts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F618F">
            <w:pPr>
              <w:widowControl/>
              <w:jc w:val="center"/>
              <w:textAlignment w:val="center"/>
              <w:rPr>
                <w:rFonts w:eastAsia="仿宋"/>
                <w:color w:val="000000"/>
                <w:sz w:val="24"/>
              </w:rPr>
            </w:pPr>
            <w:r>
              <w:rPr>
                <w:rFonts w:hint="eastAsia" w:eastAsia="仿宋"/>
                <w:color w:val="000000"/>
                <w:sz w:val="24"/>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D60C7">
            <w:pPr>
              <w:widowControl/>
              <w:textAlignment w:val="center"/>
              <w:rPr>
                <w:rFonts w:ascii="宋体" w:hAnsi="宋体" w:cs="宋体"/>
                <w:color w:val="000000"/>
                <w:sz w:val="18"/>
                <w:szCs w:val="18"/>
              </w:rPr>
            </w:pPr>
            <w:r>
              <w:rPr>
                <w:rFonts w:hint="eastAsia" w:ascii="宋体" w:hAnsi="宋体" w:cs="宋体"/>
                <w:color w:val="000000"/>
                <w:sz w:val="18"/>
                <w:szCs w:val="18"/>
              </w:rPr>
              <w:t>达到100%满意度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0D2958">
            <w:pPr>
              <w:widowControl/>
              <w:jc w:val="center"/>
              <w:textAlignment w:val="center"/>
              <w:rPr>
                <w:rFonts w:eastAsia="仿宋"/>
                <w:color w:val="000000"/>
                <w:sz w:val="24"/>
              </w:rPr>
            </w:pPr>
            <w:r>
              <w:rPr>
                <w:rFonts w:hint="eastAsia" w:ascii="宋体" w:hAnsi="宋体" w:cs="宋体"/>
                <w:color w:val="000000"/>
                <w:kern w:val="0"/>
                <w:sz w:val="18"/>
                <w:szCs w:val="18"/>
                <w:lang w:bidi="ar"/>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6632F">
            <w:pPr>
              <w:widowControl/>
              <w:jc w:val="center"/>
              <w:textAlignment w:val="center"/>
              <w:rPr>
                <w:rFonts w:eastAsia="仿宋"/>
                <w:color w:val="000000"/>
                <w:sz w:val="24"/>
              </w:rPr>
            </w:pPr>
            <w:r>
              <w:rPr>
                <w:rFonts w:hint="eastAsia" w:ascii="宋体" w:hAnsi="宋体" w:cs="宋体"/>
                <w:color w:val="000000"/>
                <w:kern w:val="0"/>
                <w:sz w:val="18"/>
                <w:szCs w:val="18"/>
                <w:lang w:bidi="ar"/>
              </w:rPr>
              <w:t>100%</w:t>
            </w:r>
          </w:p>
        </w:tc>
      </w:tr>
      <w:tr w14:paraId="0807843B">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C8D96B9">
            <w:pPr>
              <w:widowControl/>
              <w:jc w:val="center"/>
              <w:textAlignment w:val="center"/>
              <w:rPr>
                <w:rFonts w:eastAsia="仿宋"/>
                <w:color w:val="000000"/>
                <w:sz w:val="36"/>
                <w:szCs w:val="36"/>
              </w:rPr>
            </w:pPr>
            <w:r>
              <w:rPr>
                <w:rFonts w:eastAsia="仿宋"/>
                <w:b/>
                <w:bCs/>
                <w:color w:val="000000"/>
                <w:kern w:val="0"/>
                <w:sz w:val="36"/>
                <w:szCs w:val="36"/>
              </w:rPr>
              <w:t>项目绩效目标完成情况表</w:t>
            </w:r>
            <w:r>
              <w:rPr>
                <w:rFonts w:eastAsia="仿宋"/>
                <w:b/>
                <w:bCs/>
                <w:color w:val="000000"/>
                <w:kern w:val="0"/>
                <w:sz w:val="36"/>
                <w:szCs w:val="36"/>
              </w:rPr>
              <w:br w:type="textWrapping"/>
            </w:r>
            <w:r>
              <w:rPr>
                <w:rFonts w:eastAsia="仿宋"/>
                <w:color w:val="000000"/>
                <w:kern w:val="0"/>
                <w:sz w:val="36"/>
                <w:szCs w:val="36"/>
              </w:rPr>
              <w:t>(2020年度)</w:t>
            </w:r>
          </w:p>
        </w:tc>
      </w:tr>
      <w:tr w14:paraId="386CA32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949AC">
            <w:pPr>
              <w:widowControl/>
              <w:jc w:val="center"/>
              <w:textAlignment w:val="center"/>
              <w:rPr>
                <w:rFonts w:eastAsia="仿宋"/>
                <w:color w:val="000000"/>
                <w:sz w:val="24"/>
              </w:rPr>
            </w:pPr>
            <w:r>
              <w:rPr>
                <w:rFonts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E55574">
            <w:pPr>
              <w:widowControl/>
              <w:jc w:val="center"/>
              <w:textAlignment w:val="center"/>
              <w:rPr>
                <w:rFonts w:eastAsia="仿宋"/>
                <w:color w:val="000000"/>
                <w:sz w:val="24"/>
              </w:rPr>
            </w:pPr>
            <w:r>
              <w:rPr>
                <w:rFonts w:eastAsia="仿宋"/>
                <w:sz w:val="24"/>
              </w:rPr>
              <w:t>尹志平等人员专项经费</w:t>
            </w:r>
          </w:p>
        </w:tc>
      </w:tr>
      <w:tr w14:paraId="0826310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AFEE8D">
            <w:pPr>
              <w:widowControl/>
              <w:jc w:val="center"/>
              <w:textAlignment w:val="center"/>
              <w:rPr>
                <w:rFonts w:eastAsia="仿宋"/>
                <w:color w:val="000000"/>
                <w:sz w:val="24"/>
              </w:rPr>
            </w:pPr>
            <w:r>
              <w:rPr>
                <w:rFonts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E92BF0">
            <w:pPr>
              <w:widowControl/>
              <w:jc w:val="center"/>
              <w:textAlignment w:val="center"/>
              <w:rPr>
                <w:rFonts w:eastAsia="仿宋"/>
                <w:color w:val="000000"/>
                <w:sz w:val="24"/>
              </w:rPr>
            </w:pPr>
            <w:r>
              <w:rPr>
                <w:rFonts w:eastAsia="仿宋"/>
                <w:color w:val="000000"/>
                <w:sz w:val="24"/>
              </w:rPr>
              <w:t>米易县供销合作社</w:t>
            </w:r>
          </w:p>
        </w:tc>
      </w:tr>
      <w:tr w14:paraId="6FF4917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6BEF8">
            <w:pPr>
              <w:widowControl/>
              <w:jc w:val="center"/>
              <w:textAlignment w:val="center"/>
              <w:rPr>
                <w:rFonts w:eastAsia="仿宋"/>
                <w:color w:val="000000"/>
                <w:sz w:val="24"/>
              </w:rPr>
            </w:pPr>
            <w:r>
              <w:rPr>
                <w:rFonts w:eastAsia="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25B0A5">
            <w:pPr>
              <w:widowControl/>
              <w:jc w:val="center"/>
              <w:textAlignment w:val="center"/>
              <w:rPr>
                <w:rFonts w:eastAsia="仿宋"/>
                <w:color w:val="000000"/>
                <w:sz w:val="24"/>
              </w:rPr>
            </w:pPr>
            <w:r>
              <w:rPr>
                <w:rFonts w:eastAsia="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8B663">
            <w:pPr>
              <w:widowControl/>
              <w:jc w:val="center"/>
              <w:textAlignment w:val="center"/>
              <w:rPr>
                <w:rFonts w:eastAsia="仿宋"/>
                <w:color w:val="000000"/>
                <w:sz w:val="24"/>
              </w:rPr>
            </w:pPr>
            <w:r>
              <w:rPr>
                <w:rFonts w:hint="eastAsia" w:eastAsia="仿宋"/>
                <w:color w:val="000000"/>
                <w:sz w:val="24"/>
              </w:rPr>
              <w:t>51.18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13FCD">
            <w:pPr>
              <w:widowControl/>
              <w:jc w:val="center"/>
              <w:textAlignment w:val="center"/>
              <w:rPr>
                <w:rFonts w:eastAsia="仿宋"/>
                <w:color w:val="000000"/>
                <w:sz w:val="24"/>
              </w:rPr>
            </w:pPr>
            <w:r>
              <w:rPr>
                <w:rFonts w:eastAsia="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8AA7F">
            <w:pPr>
              <w:widowControl/>
              <w:jc w:val="center"/>
              <w:textAlignment w:val="center"/>
              <w:rPr>
                <w:rFonts w:eastAsia="仿宋"/>
                <w:color w:val="000000"/>
                <w:sz w:val="24"/>
              </w:rPr>
            </w:pPr>
            <w:r>
              <w:rPr>
                <w:rFonts w:hint="eastAsia" w:eastAsia="仿宋"/>
                <w:color w:val="000000"/>
                <w:sz w:val="24"/>
              </w:rPr>
              <w:t>47.43</w:t>
            </w:r>
          </w:p>
        </w:tc>
      </w:tr>
      <w:tr w14:paraId="7A9C6C9D">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3D9D7">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B0D0E">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AD94B3">
            <w:pPr>
              <w:widowControl/>
              <w:jc w:val="center"/>
              <w:textAlignment w:val="center"/>
              <w:rPr>
                <w:rFonts w:eastAsia="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6160F">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EFDDB3">
            <w:pPr>
              <w:widowControl/>
              <w:jc w:val="center"/>
              <w:textAlignment w:val="center"/>
              <w:rPr>
                <w:rFonts w:eastAsia="仿宋"/>
                <w:color w:val="000000"/>
                <w:sz w:val="24"/>
              </w:rPr>
            </w:pPr>
          </w:p>
        </w:tc>
      </w:tr>
      <w:tr w14:paraId="7BDE5B8B">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A6A4E5">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CDFAC">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5C0C58">
            <w:pPr>
              <w:widowControl/>
              <w:jc w:val="center"/>
              <w:textAlignment w:val="center"/>
              <w:rPr>
                <w:rFonts w:eastAsia="仿宋"/>
                <w:color w:val="000000"/>
                <w:sz w:val="24"/>
              </w:rPr>
            </w:pPr>
            <w:r>
              <w:rPr>
                <w:rFonts w:hint="eastAsia"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1D043">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A0B69">
            <w:pPr>
              <w:jc w:val="center"/>
              <w:rPr>
                <w:rFonts w:eastAsia="仿宋"/>
                <w:color w:val="000000"/>
                <w:sz w:val="24"/>
              </w:rPr>
            </w:pPr>
            <w:r>
              <w:rPr>
                <w:rFonts w:hint="eastAsia" w:eastAsia="仿宋"/>
                <w:color w:val="000000"/>
                <w:sz w:val="24"/>
              </w:rPr>
              <w:t>0</w:t>
            </w:r>
          </w:p>
        </w:tc>
      </w:tr>
      <w:tr w14:paraId="6E5F9D5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671920">
            <w:pPr>
              <w:widowControl/>
              <w:jc w:val="center"/>
              <w:textAlignment w:val="center"/>
              <w:rPr>
                <w:rFonts w:eastAsia="仿宋"/>
                <w:color w:val="000000"/>
                <w:sz w:val="24"/>
              </w:rPr>
            </w:pPr>
            <w:r>
              <w:rPr>
                <w:rFonts w:eastAsia="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97B5D">
            <w:pPr>
              <w:widowControl/>
              <w:jc w:val="center"/>
              <w:textAlignment w:val="center"/>
              <w:rPr>
                <w:rFonts w:eastAsia="仿宋"/>
                <w:color w:val="000000"/>
                <w:sz w:val="24"/>
              </w:rPr>
            </w:pPr>
            <w:r>
              <w:rPr>
                <w:rFonts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57DA5A">
            <w:pPr>
              <w:widowControl/>
              <w:jc w:val="center"/>
              <w:textAlignment w:val="center"/>
              <w:rPr>
                <w:rFonts w:eastAsia="仿宋"/>
                <w:color w:val="000000"/>
                <w:sz w:val="24"/>
              </w:rPr>
            </w:pPr>
            <w:r>
              <w:rPr>
                <w:rFonts w:eastAsia="仿宋"/>
                <w:color w:val="000000"/>
                <w:kern w:val="0"/>
                <w:sz w:val="24"/>
              </w:rPr>
              <w:t>实际完成目标</w:t>
            </w:r>
          </w:p>
        </w:tc>
      </w:tr>
      <w:tr w14:paraId="783A358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E30535">
            <w:pPr>
              <w:jc w:val="center"/>
              <w:rPr>
                <w:rFonts w:eastAsia="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33334">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推进供销综合改革与双线运行工作，大力发展土地托管、电子商务、仓储物流、为农服务中心、城乡社区综合服务社、基层社恢复重建等工作。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59223">
            <w:pPr>
              <w:widowControl/>
              <w:textAlignment w:val="center"/>
              <w:rPr>
                <w:color w:val="000000"/>
                <w:sz w:val="18"/>
                <w:szCs w:val="18"/>
              </w:rPr>
            </w:pPr>
          </w:p>
        </w:tc>
      </w:tr>
      <w:tr w14:paraId="7E0A3C87">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F85BA0A">
            <w:pPr>
              <w:widowControl/>
              <w:jc w:val="center"/>
              <w:textAlignment w:val="center"/>
              <w:rPr>
                <w:rFonts w:eastAsia="仿宋"/>
                <w:color w:val="000000"/>
                <w:sz w:val="24"/>
              </w:rPr>
            </w:pPr>
            <w:r>
              <w:rPr>
                <w:rFonts w:eastAsia="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CD051">
            <w:pPr>
              <w:widowControl/>
              <w:jc w:val="center"/>
              <w:textAlignment w:val="center"/>
              <w:rPr>
                <w:rFonts w:eastAsia="仿宋"/>
                <w:color w:val="000000"/>
                <w:sz w:val="24"/>
              </w:rPr>
            </w:pPr>
            <w:r>
              <w:rPr>
                <w:rFonts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15D0D">
            <w:pPr>
              <w:widowControl/>
              <w:jc w:val="center"/>
              <w:textAlignment w:val="center"/>
              <w:rPr>
                <w:rFonts w:eastAsia="仿宋"/>
                <w:color w:val="000000"/>
                <w:sz w:val="24"/>
              </w:rPr>
            </w:pPr>
            <w:r>
              <w:rPr>
                <w:rFonts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01793">
            <w:pPr>
              <w:widowControl/>
              <w:jc w:val="center"/>
              <w:textAlignment w:val="center"/>
              <w:rPr>
                <w:rFonts w:eastAsia="仿宋"/>
                <w:color w:val="000000"/>
                <w:sz w:val="24"/>
              </w:rPr>
            </w:pPr>
            <w:r>
              <w:rPr>
                <w:rFonts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A27A50">
            <w:pPr>
              <w:widowControl/>
              <w:jc w:val="center"/>
              <w:textAlignment w:val="center"/>
              <w:rPr>
                <w:rFonts w:eastAsia="仿宋"/>
                <w:color w:val="000000"/>
                <w:sz w:val="24"/>
              </w:rPr>
            </w:pPr>
            <w:r>
              <w:rPr>
                <w:rFonts w:eastAsia="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9130E5">
            <w:pPr>
              <w:widowControl/>
              <w:jc w:val="center"/>
              <w:textAlignment w:val="center"/>
              <w:rPr>
                <w:rFonts w:eastAsia="仿宋"/>
                <w:color w:val="000000"/>
                <w:sz w:val="24"/>
              </w:rPr>
            </w:pPr>
            <w:r>
              <w:rPr>
                <w:rFonts w:eastAsia="仿宋"/>
                <w:color w:val="000000"/>
                <w:kern w:val="0"/>
                <w:sz w:val="24"/>
              </w:rPr>
              <w:t>实际完成指标值(包含数字及文字描述)</w:t>
            </w:r>
          </w:p>
        </w:tc>
      </w:tr>
      <w:tr w14:paraId="0732F384">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A57A27">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5C8995">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B109B">
            <w:pPr>
              <w:widowControl/>
              <w:textAlignment w:val="center"/>
              <w:rPr>
                <w:rFonts w:eastAsia="仿宋"/>
                <w:color w:val="000000"/>
                <w:sz w:val="24"/>
              </w:rPr>
            </w:pPr>
            <w:r>
              <w:rPr>
                <w:rFonts w:hint="eastAsia" w:eastAsia="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F7DB0">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参照事业人员管理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70795">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3人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65705">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3人</w:t>
            </w:r>
          </w:p>
        </w:tc>
      </w:tr>
      <w:tr w14:paraId="7760E71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4764DD3">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9B3E03">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D0185">
            <w:pPr>
              <w:widowControl/>
              <w:textAlignment w:val="center"/>
              <w:rPr>
                <w:rFonts w:eastAsia="仿宋"/>
                <w:color w:val="000000"/>
                <w:sz w:val="24"/>
              </w:rPr>
            </w:pPr>
            <w:r>
              <w:rPr>
                <w:rFonts w:hint="eastAsia" w:eastAsia="仿宋"/>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3A6EF">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保障供销社工作正常开展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1D9A5">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辅助完成综合股及会计、出纳相关工作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8F43E6">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辅助完成综合股及会计、出纳相关工作</w:t>
            </w:r>
          </w:p>
        </w:tc>
      </w:tr>
      <w:tr w14:paraId="0633AF9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85BCB9B">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7FFDD">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32542">
            <w:pPr>
              <w:widowControl/>
              <w:textAlignment w:val="center"/>
              <w:rPr>
                <w:rFonts w:eastAsia="仿宋"/>
                <w:color w:val="000000"/>
                <w:sz w:val="24"/>
              </w:rPr>
            </w:pPr>
            <w:r>
              <w:rPr>
                <w:rFonts w:hint="eastAsia" w:eastAsia="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404D3">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DC385">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58089">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2020年12月</w:t>
            </w:r>
          </w:p>
        </w:tc>
      </w:tr>
      <w:tr w14:paraId="4B5805B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2FFC2C0">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9C0329">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927B0">
            <w:pPr>
              <w:widowControl/>
              <w:textAlignment w:val="center"/>
              <w:rPr>
                <w:rFonts w:eastAsia="仿宋"/>
                <w:color w:val="000000"/>
                <w:sz w:val="24"/>
              </w:rPr>
            </w:pPr>
            <w:r>
              <w:rPr>
                <w:rFonts w:hint="eastAsia" w:eastAsia="仿宋"/>
                <w:color w:val="000000"/>
                <w:sz w:val="24"/>
              </w:rPr>
              <w:t>绩效指标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AD992">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供销工作正常推进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AA399F">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保质保量完成各项工作任务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D3C6C">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保质保量完成各项工作任务</w:t>
            </w:r>
          </w:p>
        </w:tc>
      </w:tr>
      <w:tr w14:paraId="67AF48B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308FF8D">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B1202D">
            <w:pPr>
              <w:widowControl/>
              <w:jc w:val="center"/>
              <w:textAlignment w:val="center"/>
              <w:rPr>
                <w:rFonts w:eastAsia="仿宋"/>
                <w:color w:val="000000"/>
                <w:sz w:val="24"/>
              </w:rPr>
            </w:pPr>
            <w:r>
              <w:rPr>
                <w:rFonts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7CF7B">
            <w:pPr>
              <w:widowControl/>
              <w:textAlignment w:val="center"/>
              <w:rPr>
                <w:rFonts w:eastAsia="仿宋"/>
                <w:color w:val="000000"/>
                <w:sz w:val="24"/>
              </w:rPr>
            </w:pPr>
            <w:r>
              <w:rPr>
                <w:rFonts w:hint="eastAsia" w:eastAsia="仿宋"/>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04D6CB">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抽样调查达到基本满意及以上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15B028">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抽样调查达到基本满意及以上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92EA01">
            <w:pPr>
              <w:widowControl/>
              <w:textAlignment w:val="center"/>
              <w:rPr>
                <w:rFonts w:ascii="宋体" w:hAnsi="宋体" w:cs="宋体"/>
                <w:color w:val="000000"/>
                <w:sz w:val="18"/>
                <w:szCs w:val="18"/>
              </w:rPr>
            </w:pPr>
            <w:r>
              <w:rPr>
                <w:rFonts w:hint="eastAsia" w:ascii="宋体" w:hAnsi="宋体" w:cs="宋体"/>
                <w:color w:val="000000"/>
                <w:sz w:val="18"/>
                <w:szCs w:val="18"/>
              </w:rPr>
              <w:t>基本满意</w:t>
            </w:r>
          </w:p>
        </w:tc>
      </w:tr>
      <w:tr w14:paraId="2B98CFBC">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5E8482D">
            <w:pPr>
              <w:widowControl/>
              <w:jc w:val="center"/>
              <w:textAlignment w:val="center"/>
              <w:rPr>
                <w:rFonts w:eastAsia="仿宋"/>
                <w:color w:val="000000"/>
                <w:sz w:val="36"/>
                <w:szCs w:val="36"/>
              </w:rPr>
            </w:pPr>
            <w:r>
              <w:rPr>
                <w:rFonts w:eastAsia="仿宋"/>
                <w:b/>
                <w:bCs/>
                <w:color w:val="000000"/>
                <w:kern w:val="0"/>
                <w:sz w:val="36"/>
                <w:szCs w:val="36"/>
              </w:rPr>
              <w:t>项目绩效目标完成情况表</w:t>
            </w:r>
            <w:r>
              <w:rPr>
                <w:rFonts w:eastAsia="仿宋"/>
                <w:b/>
                <w:bCs/>
                <w:color w:val="000000"/>
                <w:kern w:val="0"/>
                <w:sz w:val="36"/>
                <w:szCs w:val="36"/>
              </w:rPr>
              <w:br w:type="textWrapping"/>
            </w:r>
            <w:r>
              <w:rPr>
                <w:rFonts w:eastAsia="仿宋"/>
                <w:color w:val="000000"/>
                <w:kern w:val="0"/>
                <w:sz w:val="36"/>
                <w:szCs w:val="36"/>
              </w:rPr>
              <w:t>(2020年度)</w:t>
            </w:r>
          </w:p>
        </w:tc>
      </w:tr>
      <w:tr w14:paraId="49A85F8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6B448">
            <w:pPr>
              <w:widowControl/>
              <w:jc w:val="center"/>
              <w:textAlignment w:val="center"/>
              <w:rPr>
                <w:rFonts w:eastAsia="仿宋"/>
                <w:color w:val="000000"/>
                <w:sz w:val="24"/>
              </w:rPr>
            </w:pPr>
            <w:r>
              <w:rPr>
                <w:rFonts w:eastAsia="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43731B">
            <w:pPr>
              <w:widowControl/>
              <w:jc w:val="center"/>
              <w:textAlignment w:val="center"/>
              <w:rPr>
                <w:rFonts w:eastAsia="仿宋"/>
                <w:color w:val="000000"/>
                <w:sz w:val="24"/>
              </w:rPr>
            </w:pPr>
            <w:r>
              <w:rPr>
                <w:rFonts w:eastAsia="仿宋"/>
                <w:sz w:val="24"/>
              </w:rPr>
              <w:t>下达农民专业合作社会计服务中心支持贫困村专合社发展缺口资金</w:t>
            </w:r>
          </w:p>
        </w:tc>
      </w:tr>
      <w:tr w14:paraId="74A5B5D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97937A">
            <w:pPr>
              <w:widowControl/>
              <w:jc w:val="center"/>
              <w:textAlignment w:val="center"/>
              <w:rPr>
                <w:rFonts w:eastAsia="仿宋"/>
                <w:color w:val="000000"/>
                <w:sz w:val="24"/>
              </w:rPr>
            </w:pPr>
            <w:r>
              <w:rPr>
                <w:rFonts w:eastAsia="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82A38E">
            <w:pPr>
              <w:widowControl/>
              <w:jc w:val="center"/>
              <w:textAlignment w:val="center"/>
              <w:rPr>
                <w:rFonts w:eastAsia="仿宋"/>
                <w:color w:val="000000"/>
                <w:sz w:val="24"/>
              </w:rPr>
            </w:pPr>
            <w:r>
              <w:rPr>
                <w:rFonts w:eastAsia="仿宋"/>
                <w:color w:val="000000"/>
                <w:sz w:val="24"/>
              </w:rPr>
              <w:t>米易县供销合作社</w:t>
            </w:r>
          </w:p>
        </w:tc>
      </w:tr>
      <w:tr w14:paraId="086CB7E9">
        <w:tblPrEx>
          <w:tblCellMar>
            <w:top w:w="0" w:type="dxa"/>
            <w:left w:w="0" w:type="dxa"/>
            <w:bottom w:w="0" w:type="dxa"/>
            <w:right w:w="0" w:type="dxa"/>
          </w:tblCellMar>
        </w:tblPrEx>
        <w:trPr>
          <w:trHeight w:val="295"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510002">
            <w:pPr>
              <w:widowControl/>
              <w:jc w:val="center"/>
              <w:textAlignment w:val="center"/>
              <w:rPr>
                <w:rFonts w:eastAsia="仿宋"/>
                <w:color w:val="000000"/>
                <w:sz w:val="24"/>
              </w:rPr>
            </w:pPr>
            <w:r>
              <w:rPr>
                <w:rFonts w:eastAsia="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7C1149">
            <w:pPr>
              <w:widowControl/>
              <w:jc w:val="center"/>
              <w:textAlignment w:val="center"/>
              <w:rPr>
                <w:rFonts w:eastAsia="仿宋"/>
                <w:color w:val="000000"/>
                <w:sz w:val="24"/>
              </w:rPr>
            </w:pPr>
            <w:r>
              <w:rPr>
                <w:rFonts w:eastAsia="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3270A4">
            <w:pPr>
              <w:widowControl/>
              <w:jc w:val="center"/>
              <w:textAlignment w:val="center"/>
              <w:rPr>
                <w:rFonts w:eastAsia="仿宋"/>
                <w:color w:val="000000"/>
                <w:sz w:val="24"/>
              </w:rPr>
            </w:pPr>
            <w:r>
              <w:rPr>
                <w:rFonts w:hint="eastAsia" w:eastAsia="仿宋"/>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3F131">
            <w:pPr>
              <w:widowControl/>
              <w:jc w:val="center"/>
              <w:textAlignment w:val="center"/>
              <w:rPr>
                <w:rFonts w:eastAsia="仿宋"/>
                <w:color w:val="000000"/>
                <w:sz w:val="24"/>
              </w:rPr>
            </w:pPr>
            <w:r>
              <w:rPr>
                <w:rFonts w:eastAsia="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F51BE">
            <w:pPr>
              <w:widowControl/>
              <w:jc w:val="center"/>
              <w:textAlignment w:val="center"/>
              <w:rPr>
                <w:rFonts w:eastAsia="仿宋"/>
                <w:color w:val="000000"/>
                <w:sz w:val="24"/>
              </w:rPr>
            </w:pPr>
            <w:r>
              <w:rPr>
                <w:rFonts w:hint="eastAsia" w:eastAsia="仿宋"/>
                <w:color w:val="000000"/>
                <w:sz w:val="24"/>
              </w:rPr>
              <w:t>20</w:t>
            </w:r>
          </w:p>
        </w:tc>
      </w:tr>
      <w:tr w14:paraId="3B6AA3B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15973">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03AA6">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761F9">
            <w:pPr>
              <w:widowControl/>
              <w:jc w:val="center"/>
              <w:textAlignment w:val="center"/>
              <w:rPr>
                <w:rFonts w:eastAsia="仿宋"/>
                <w:color w:val="000000"/>
                <w:sz w:val="24"/>
              </w:rPr>
            </w:pPr>
            <w:r>
              <w:rPr>
                <w:rFonts w:hint="eastAsia" w:eastAsia="仿宋"/>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B6C8CF">
            <w:pPr>
              <w:widowControl/>
              <w:jc w:val="center"/>
              <w:textAlignment w:val="center"/>
              <w:rPr>
                <w:rFonts w:eastAsia="仿宋"/>
                <w:color w:val="000000"/>
                <w:sz w:val="24"/>
              </w:rPr>
            </w:pPr>
            <w:r>
              <w:rPr>
                <w:rFonts w:eastAsia="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817D9">
            <w:pPr>
              <w:widowControl/>
              <w:jc w:val="center"/>
              <w:textAlignment w:val="center"/>
              <w:rPr>
                <w:rFonts w:eastAsia="仿宋"/>
                <w:color w:val="000000"/>
                <w:sz w:val="24"/>
              </w:rPr>
            </w:pPr>
            <w:r>
              <w:rPr>
                <w:rFonts w:hint="eastAsia" w:eastAsia="仿宋"/>
                <w:color w:val="000000"/>
                <w:sz w:val="24"/>
              </w:rPr>
              <w:t>20</w:t>
            </w:r>
          </w:p>
        </w:tc>
      </w:tr>
      <w:tr w14:paraId="1DBF46B1">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F6E8B3">
            <w:pPr>
              <w:jc w:val="center"/>
              <w:rPr>
                <w:rFonts w:eastAsia="仿宋"/>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CE246E">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F2CC7A">
            <w:pPr>
              <w:widowControl/>
              <w:jc w:val="center"/>
              <w:textAlignment w:val="center"/>
              <w:rPr>
                <w:rFonts w:eastAsia="仿宋"/>
                <w:color w:val="000000"/>
                <w:sz w:val="24"/>
              </w:rPr>
            </w:pPr>
            <w:r>
              <w:rPr>
                <w:rFonts w:hint="eastAsia" w:eastAsia="仿宋"/>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C7C14">
            <w:pPr>
              <w:widowControl/>
              <w:jc w:val="center"/>
              <w:textAlignment w:val="center"/>
              <w:rPr>
                <w:rFonts w:eastAsia="仿宋"/>
                <w:color w:val="000000"/>
                <w:sz w:val="24"/>
              </w:rPr>
            </w:pPr>
            <w:r>
              <w:rPr>
                <w:rFonts w:eastAsia="仿宋"/>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7CFC5">
            <w:pPr>
              <w:jc w:val="center"/>
              <w:rPr>
                <w:rFonts w:eastAsia="仿宋"/>
                <w:color w:val="000000"/>
                <w:sz w:val="24"/>
              </w:rPr>
            </w:pPr>
            <w:r>
              <w:rPr>
                <w:rFonts w:hint="eastAsia" w:eastAsia="仿宋"/>
                <w:color w:val="000000"/>
                <w:sz w:val="24"/>
              </w:rPr>
              <w:t>0</w:t>
            </w:r>
          </w:p>
        </w:tc>
      </w:tr>
      <w:tr w14:paraId="44C451C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D449F">
            <w:pPr>
              <w:widowControl/>
              <w:jc w:val="center"/>
              <w:textAlignment w:val="center"/>
              <w:rPr>
                <w:rFonts w:eastAsia="仿宋"/>
                <w:color w:val="000000"/>
                <w:sz w:val="24"/>
              </w:rPr>
            </w:pPr>
            <w:r>
              <w:rPr>
                <w:rFonts w:eastAsia="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E97E8">
            <w:pPr>
              <w:widowControl/>
              <w:jc w:val="center"/>
              <w:textAlignment w:val="center"/>
              <w:rPr>
                <w:rFonts w:eastAsia="仿宋"/>
                <w:color w:val="000000"/>
                <w:sz w:val="24"/>
              </w:rPr>
            </w:pPr>
            <w:r>
              <w:rPr>
                <w:rFonts w:eastAsia="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AC348A">
            <w:pPr>
              <w:widowControl/>
              <w:jc w:val="center"/>
              <w:textAlignment w:val="center"/>
              <w:rPr>
                <w:rFonts w:eastAsia="仿宋"/>
                <w:color w:val="000000"/>
                <w:sz w:val="24"/>
              </w:rPr>
            </w:pPr>
            <w:r>
              <w:rPr>
                <w:rFonts w:eastAsia="仿宋"/>
                <w:color w:val="000000"/>
                <w:kern w:val="0"/>
                <w:sz w:val="24"/>
              </w:rPr>
              <w:t>实际完成目标</w:t>
            </w:r>
          </w:p>
        </w:tc>
      </w:tr>
      <w:tr w14:paraId="7664A861">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A31449">
            <w:pPr>
              <w:jc w:val="center"/>
              <w:rPr>
                <w:rFonts w:eastAsia="仿宋"/>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8A2388">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根据米人纪[2009]4号会议纪要及米财预[2019]244号精神，保障尹志平等3人工资、社保及公用经费等，确保机关工作正常运转。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682374">
            <w:pPr>
              <w:widowControl/>
              <w:textAlignment w:val="center"/>
              <w:rPr>
                <w:color w:val="000000"/>
                <w:sz w:val="18"/>
                <w:szCs w:val="18"/>
              </w:rPr>
            </w:pPr>
          </w:p>
        </w:tc>
      </w:tr>
      <w:tr w14:paraId="505081CE">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963DA29">
            <w:pPr>
              <w:widowControl/>
              <w:jc w:val="center"/>
              <w:textAlignment w:val="center"/>
              <w:rPr>
                <w:rFonts w:eastAsia="仿宋"/>
                <w:color w:val="000000"/>
                <w:sz w:val="24"/>
              </w:rPr>
            </w:pPr>
            <w:r>
              <w:rPr>
                <w:rFonts w:eastAsia="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98AA42">
            <w:pPr>
              <w:widowControl/>
              <w:jc w:val="center"/>
              <w:textAlignment w:val="center"/>
              <w:rPr>
                <w:rFonts w:eastAsia="仿宋"/>
                <w:color w:val="000000"/>
                <w:sz w:val="24"/>
              </w:rPr>
            </w:pPr>
            <w:r>
              <w:rPr>
                <w:rFonts w:eastAsia="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948CF">
            <w:pPr>
              <w:widowControl/>
              <w:jc w:val="center"/>
              <w:textAlignment w:val="center"/>
              <w:rPr>
                <w:rFonts w:eastAsia="仿宋"/>
                <w:color w:val="000000"/>
                <w:sz w:val="24"/>
              </w:rPr>
            </w:pPr>
            <w:r>
              <w:rPr>
                <w:rFonts w:eastAsia="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EAD88">
            <w:pPr>
              <w:widowControl/>
              <w:jc w:val="center"/>
              <w:textAlignment w:val="center"/>
              <w:rPr>
                <w:rFonts w:eastAsia="仿宋"/>
                <w:color w:val="000000"/>
                <w:sz w:val="24"/>
              </w:rPr>
            </w:pPr>
            <w:r>
              <w:rPr>
                <w:rFonts w:eastAsia="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C5D528">
            <w:pPr>
              <w:widowControl/>
              <w:jc w:val="center"/>
              <w:textAlignment w:val="center"/>
              <w:rPr>
                <w:rFonts w:eastAsia="仿宋"/>
                <w:color w:val="000000"/>
                <w:sz w:val="24"/>
              </w:rPr>
            </w:pPr>
            <w:r>
              <w:rPr>
                <w:rFonts w:eastAsia="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B586B">
            <w:pPr>
              <w:widowControl/>
              <w:jc w:val="center"/>
              <w:textAlignment w:val="center"/>
              <w:rPr>
                <w:rFonts w:eastAsia="仿宋"/>
                <w:color w:val="000000"/>
                <w:sz w:val="24"/>
              </w:rPr>
            </w:pPr>
            <w:r>
              <w:rPr>
                <w:rFonts w:eastAsia="仿宋"/>
                <w:color w:val="000000"/>
                <w:kern w:val="0"/>
                <w:sz w:val="24"/>
              </w:rPr>
              <w:t>实际完成指标值(包含数字及文字描述)</w:t>
            </w:r>
          </w:p>
        </w:tc>
      </w:tr>
      <w:tr w14:paraId="71AF60C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47B8B05">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6B45F">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11A84">
            <w:pPr>
              <w:widowControl/>
              <w:textAlignment w:val="center"/>
              <w:rPr>
                <w:rFonts w:eastAsia="仿宋"/>
                <w:color w:val="000000"/>
                <w:kern w:val="0"/>
                <w:sz w:val="24"/>
              </w:rPr>
            </w:pPr>
            <w:r>
              <w:rPr>
                <w:rFonts w:hint="eastAsia" w:eastAsia="仿宋"/>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E51FA">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规范农民专业合作社建设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DF4A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为30个贫困村专业合作社免费服务20万元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10F96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为30个贫困村专业合作社免费服务20万元</w:t>
            </w:r>
          </w:p>
        </w:tc>
      </w:tr>
      <w:tr w14:paraId="5E95E85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20B741">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C8FB9">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D169C9">
            <w:pPr>
              <w:widowControl/>
              <w:textAlignment w:val="center"/>
              <w:rPr>
                <w:rFonts w:eastAsia="仿宋"/>
                <w:color w:val="000000"/>
                <w:kern w:val="0"/>
                <w:sz w:val="24"/>
              </w:rPr>
            </w:pPr>
            <w:r>
              <w:rPr>
                <w:rFonts w:hint="eastAsia" w:eastAsia="仿宋"/>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3311A1">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2020年恢复重建基层供销社8个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3B7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每个10万元*8=80万元。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1ACC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每个10万元*8=80万元。</w:t>
            </w:r>
          </w:p>
        </w:tc>
      </w:tr>
      <w:tr w14:paraId="0F70FC9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1ED3FC">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71E76">
            <w:pPr>
              <w:widowControl/>
              <w:jc w:val="center"/>
              <w:textAlignment w:val="center"/>
              <w:rPr>
                <w:rFonts w:eastAsia="仿宋"/>
                <w:color w:val="00000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620E55">
            <w:pPr>
              <w:widowControl/>
              <w:textAlignment w:val="center"/>
              <w:rPr>
                <w:rFonts w:eastAsia="仿宋"/>
                <w:color w:val="000000"/>
                <w:kern w:val="0"/>
                <w:sz w:val="24"/>
              </w:rPr>
            </w:pPr>
            <w:r>
              <w:rPr>
                <w:rFonts w:hint="eastAsia" w:eastAsia="仿宋"/>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DAA96E">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规范合作社建设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277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200000.00元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E755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200000.00元</w:t>
            </w:r>
          </w:p>
        </w:tc>
      </w:tr>
      <w:tr w14:paraId="6E61FE9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37DD232">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BEC35B">
            <w:pPr>
              <w:widowControl/>
              <w:jc w:val="center"/>
              <w:textAlignment w:val="center"/>
              <w:rPr>
                <w:rFonts w:eastAsia="仿宋"/>
                <w:color w:val="000000"/>
                <w:kern w:val="0"/>
                <w:sz w:val="24"/>
              </w:rPr>
            </w:pPr>
            <w:r>
              <w:rPr>
                <w:rFonts w:eastAsia="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37A257">
            <w:pPr>
              <w:widowControl/>
              <w:textAlignment w:val="center"/>
              <w:rPr>
                <w:rFonts w:eastAsia="仿宋"/>
                <w:color w:val="000000"/>
                <w:kern w:val="0"/>
                <w:sz w:val="24"/>
              </w:rPr>
            </w:pPr>
            <w:r>
              <w:rPr>
                <w:rFonts w:hint="eastAsia" w:eastAsia="仿宋"/>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921A04">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基层社、专合社、三社融合发展资金恢复8个基层社每个100000元。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19C4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8*100000=800000.00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F0FD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8*100000=800000.00</w:t>
            </w:r>
          </w:p>
        </w:tc>
      </w:tr>
      <w:tr w14:paraId="72A0891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A15B74A">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8635F">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858AEC">
            <w:pPr>
              <w:widowControl/>
              <w:textAlignment w:val="center"/>
              <w:rPr>
                <w:rFonts w:eastAsia="仿宋"/>
                <w:color w:val="000000"/>
                <w:kern w:val="0"/>
                <w:sz w:val="24"/>
              </w:rPr>
            </w:pPr>
            <w:r>
              <w:rPr>
                <w:rFonts w:hint="eastAsia" w:eastAsia="仿宋"/>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A05B0">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237C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F3A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2019年12月</w:t>
            </w:r>
          </w:p>
        </w:tc>
      </w:tr>
      <w:tr w14:paraId="4C03A4A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2F5F23A">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986E37">
            <w:pPr>
              <w:widowControl/>
              <w:jc w:val="center"/>
              <w:textAlignment w:val="center"/>
              <w:rPr>
                <w:rFonts w:eastAsia="仿宋"/>
                <w:color w:val="000000"/>
                <w:sz w:val="24"/>
              </w:rPr>
            </w:pPr>
            <w:r>
              <w:rPr>
                <w:rFonts w:eastAsia="仿宋"/>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B21C6A">
            <w:pPr>
              <w:widowControl/>
              <w:textAlignment w:val="center"/>
              <w:rPr>
                <w:rFonts w:eastAsia="仿宋"/>
                <w:color w:val="000000"/>
                <w:kern w:val="0"/>
                <w:sz w:val="24"/>
              </w:rPr>
            </w:pPr>
            <w:r>
              <w:rPr>
                <w:rFonts w:hint="eastAsia" w:eastAsia="仿宋"/>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614CB3">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工作开展年度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5D0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2020年1-12月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F9731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2020年12月</w:t>
            </w:r>
          </w:p>
        </w:tc>
      </w:tr>
      <w:tr w14:paraId="5094B81B">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F79DBC5">
            <w:pPr>
              <w:widowControl/>
              <w:jc w:val="center"/>
              <w:textAlignment w:val="center"/>
              <w:rPr>
                <w:rFonts w:eastAsia="仿宋"/>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2CBB9E">
            <w:pPr>
              <w:widowControl/>
              <w:jc w:val="center"/>
              <w:textAlignment w:val="center"/>
              <w:rPr>
                <w:rFonts w:eastAsia="仿宋"/>
                <w:color w:val="000000"/>
                <w:sz w:val="24"/>
              </w:rPr>
            </w:pPr>
            <w:r>
              <w:rPr>
                <w:rFonts w:eastAsia="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DB5E5">
            <w:pPr>
              <w:widowControl/>
              <w:textAlignment w:val="center"/>
              <w:rPr>
                <w:rFonts w:eastAsia="仿宋"/>
                <w:color w:val="000000"/>
                <w:kern w:val="0"/>
                <w:sz w:val="24"/>
              </w:rPr>
            </w:pPr>
            <w:r>
              <w:rPr>
                <w:rFonts w:eastAsia="仿宋"/>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0D27CC">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为农服务满意度达96%以上。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C6C64B">
            <w:pPr>
              <w:widowControl/>
              <w:jc w:val="left"/>
              <w:textAlignment w:val="center"/>
              <w:rPr>
                <w:rFonts w:eastAsia="仿宋"/>
                <w:color w:val="000000"/>
                <w:sz w:val="24"/>
              </w:rPr>
            </w:pPr>
            <w:r>
              <w:rPr>
                <w:rFonts w:hint="eastAsia" w:ascii="宋体" w:hAnsi="宋体" w:cs="宋体"/>
                <w:color w:val="000000"/>
                <w:kern w:val="0"/>
                <w:sz w:val="18"/>
                <w:szCs w:val="18"/>
                <w:lang w:bidi="ar"/>
              </w:rPr>
              <w:t>农服务满意度达96%以上。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5AFA6">
            <w:pPr>
              <w:widowControl/>
              <w:jc w:val="left"/>
              <w:textAlignment w:val="center"/>
              <w:rPr>
                <w:rFonts w:eastAsia="仿宋"/>
                <w:color w:val="000000"/>
                <w:sz w:val="24"/>
              </w:rPr>
            </w:pPr>
            <w:r>
              <w:rPr>
                <w:rFonts w:hint="eastAsia" w:ascii="宋体" w:hAnsi="宋体" w:cs="宋体"/>
                <w:color w:val="000000"/>
                <w:kern w:val="0"/>
                <w:sz w:val="18"/>
                <w:szCs w:val="18"/>
                <w:lang w:bidi="ar"/>
              </w:rPr>
              <w:t>满意度达96%以上。</w:t>
            </w:r>
          </w:p>
        </w:tc>
      </w:tr>
    </w:tbl>
    <w:p w14:paraId="2757C24A">
      <w:pPr>
        <w:spacing w:line="580" w:lineRule="exact"/>
        <w:rPr>
          <w:rFonts w:eastAsia="仿宋"/>
          <w:sz w:val="32"/>
          <w:szCs w:val="32"/>
        </w:rPr>
      </w:pPr>
    </w:p>
    <w:p w14:paraId="50AA8121">
      <w:pPr>
        <w:spacing w:line="580" w:lineRule="exact"/>
        <w:ind w:firstLine="640" w:firstLineChars="200"/>
        <w:rPr>
          <w:rFonts w:eastAsia="仿宋"/>
          <w:sz w:val="32"/>
          <w:szCs w:val="32"/>
        </w:rPr>
      </w:pPr>
      <w:r>
        <w:rPr>
          <w:rFonts w:eastAsia="仿宋"/>
          <w:sz w:val="32"/>
          <w:szCs w:val="32"/>
        </w:rPr>
        <w:t>2.部门绩效评价结果</w:t>
      </w:r>
    </w:p>
    <w:p w14:paraId="16070C19">
      <w:pPr>
        <w:snapToGrid w:val="0"/>
        <w:spacing w:line="240" w:lineRule="atLeast"/>
        <w:ind w:firstLine="640" w:firstLineChars="200"/>
        <w:jc w:val="left"/>
        <w:rPr>
          <w:rFonts w:eastAsia="仿宋"/>
          <w:sz w:val="32"/>
          <w:szCs w:val="32"/>
        </w:rPr>
      </w:pPr>
      <w:r>
        <w:rPr>
          <w:rFonts w:eastAsia="仿宋"/>
          <w:sz w:val="32"/>
          <w:szCs w:val="32"/>
        </w:rPr>
        <w:t>本部门按要求对2020年部门整体支出绩效评价情况开展自评，《米易县供销合作社联合社2020年部门预算整体绩效评价报告》见附件（附件1）。</w:t>
      </w:r>
    </w:p>
    <w:p w14:paraId="4E244C8B">
      <w:pPr>
        <w:widowControl/>
        <w:jc w:val="left"/>
        <w:rPr>
          <w:rFonts w:eastAsia="仿宋"/>
          <w:sz w:val="32"/>
          <w:szCs w:val="32"/>
        </w:rPr>
      </w:pPr>
    </w:p>
    <w:p w14:paraId="626F93CC">
      <w:pPr>
        <w:widowControl/>
        <w:jc w:val="left"/>
        <w:rPr>
          <w:rFonts w:eastAsia="仿宋"/>
          <w:sz w:val="32"/>
          <w:szCs w:val="32"/>
        </w:rPr>
      </w:pPr>
    </w:p>
    <w:p w14:paraId="5C527691">
      <w:pPr>
        <w:widowControl/>
        <w:jc w:val="left"/>
        <w:rPr>
          <w:rFonts w:eastAsia="仿宋"/>
          <w:sz w:val="32"/>
          <w:szCs w:val="32"/>
        </w:rPr>
      </w:pPr>
    </w:p>
    <w:p w14:paraId="2399E72B">
      <w:pPr>
        <w:widowControl/>
        <w:jc w:val="left"/>
        <w:rPr>
          <w:rFonts w:eastAsia="仿宋"/>
          <w:sz w:val="32"/>
          <w:szCs w:val="32"/>
        </w:rPr>
      </w:pPr>
    </w:p>
    <w:p w14:paraId="30C12233">
      <w:pPr>
        <w:widowControl/>
        <w:jc w:val="left"/>
        <w:rPr>
          <w:rFonts w:eastAsia="仿宋"/>
          <w:sz w:val="32"/>
          <w:szCs w:val="32"/>
        </w:rPr>
      </w:pPr>
    </w:p>
    <w:p w14:paraId="1294AB15">
      <w:pPr>
        <w:widowControl/>
        <w:jc w:val="left"/>
        <w:rPr>
          <w:rFonts w:eastAsia="仿宋"/>
          <w:sz w:val="32"/>
          <w:szCs w:val="32"/>
        </w:rPr>
      </w:pPr>
    </w:p>
    <w:p w14:paraId="5FC1E074">
      <w:pPr>
        <w:widowControl/>
        <w:jc w:val="left"/>
        <w:rPr>
          <w:rFonts w:eastAsia="仿宋"/>
          <w:sz w:val="32"/>
          <w:szCs w:val="32"/>
        </w:rPr>
      </w:pPr>
    </w:p>
    <w:p w14:paraId="27EB4B68">
      <w:pPr>
        <w:widowControl/>
        <w:jc w:val="left"/>
        <w:rPr>
          <w:rFonts w:eastAsia="仿宋"/>
          <w:sz w:val="32"/>
          <w:szCs w:val="32"/>
        </w:rPr>
      </w:pPr>
    </w:p>
    <w:p w14:paraId="6158243C">
      <w:pPr>
        <w:pStyle w:val="2"/>
        <w:numPr>
          <w:ilvl w:val="0"/>
          <w:numId w:val="5"/>
        </w:numPr>
        <w:jc w:val="center"/>
      </w:pPr>
      <w:bookmarkStart w:id="75" w:name="_Toc15377225"/>
      <w:bookmarkStart w:id="76" w:name="_Toc12754_WPSOffice_Level1"/>
      <w:bookmarkStart w:id="77" w:name="_Toc15396613"/>
      <w:r>
        <w:t>名词解释</w:t>
      </w:r>
      <w:bookmarkEnd w:id="75"/>
      <w:bookmarkEnd w:id="76"/>
      <w:bookmarkEnd w:id="77"/>
    </w:p>
    <w:p w14:paraId="75556834">
      <w:pPr>
        <w:spacing w:line="600" w:lineRule="exact"/>
        <w:jc w:val="left"/>
        <w:rPr>
          <w:rFonts w:eastAsia="仿宋"/>
          <w:b/>
          <w:color w:val="000000"/>
          <w:sz w:val="44"/>
          <w:szCs w:val="44"/>
        </w:rPr>
      </w:pPr>
    </w:p>
    <w:p w14:paraId="3AD032D1">
      <w:pPr>
        <w:spacing w:line="560" w:lineRule="exact"/>
        <w:ind w:firstLine="640" w:firstLineChars="200"/>
        <w:rPr>
          <w:rFonts w:eastAsia="仿宋"/>
          <w:sz w:val="32"/>
          <w:szCs w:val="32"/>
        </w:rPr>
      </w:pPr>
      <w:bookmarkStart w:id="78" w:name="_Toc15377226"/>
      <w:r>
        <w:rPr>
          <w:rFonts w:eastAsia="仿宋"/>
          <w:sz w:val="32"/>
          <w:szCs w:val="32"/>
        </w:rPr>
        <w:t>1.财政拨款收入：指单位从同级财政部门取得的财政预算资金。</w:t>
      </w:r>
    </w:p>
    <w:p w14:paraId="281D0A73">
      <w:pPr>
        <w:spacing w:line="560" w:lineRule="exact"/>
        <w:ind w:firstLine="640" w:firstLineChars="200"/>
        <w:rPr>
          <w:rFonts w:eastAsia="仿宋"/>
          <w:sz w:val="32"/>
          <w:szCs w:val="32"/>
        </w:rPr>
      </w:pPr>
      <w:r>
        <w:rPr>
          <w:rFonts w:eastAsia="仿宋"/>
          <w:sz w:val="32"/>
          <w:szCs w:val="32"/>
        </w:rPr>
        <w:t>2.事业收入：指事业单位开展专业业务活动及辅助活动取得的收入。</w:t>
      </w:r>
    </w:p>
    <w:p w14:paraId="565A0F51">
      <w:pPr>
        <w:spacing w:line="560" w:lineRule="exact"/>
        <w:ind w:firstLine="640" w:firstLineChars="200"/>
        <w:rPr>
          <w:rFonts w:eastAsia="仿宋"/>
          <w:sz w:val="32"/>
          <w:szCs w:val="32"/>
        </w:rPr>
      </w:pPr>
      <w:r>
        <w:rPr>
          <w:rFonts w:eastAsia="仿宋"/>
          <w:sz w:val="32"/>
          <w:szCs w:val="32"/>
        </w:rPr>
        <w:t>3.经营收入：指事业单位在专业业务活动及其辅助活动之外开展非独立核算经营活动取得的收入。</w:t>
      </w:r>
    </w:p>
    <w:p w14:paraId="5E2C6B95">
      <w:pPr>
        <w:spacing w:line="560" w:lineRule="exact"/>
        <w:ind w:firstLine="640" w:firstLineChars="200"/>
        <w:rPr>
          <w:rFonts w:eastAsia="仿宋"/>
          <w:sz w:val="32"/>
          <w:szCs w:val="32"/>
        </w:rPr>
      </w:pPr>
      <w:r>
        <w:rPr>
          <w:rFonts w:eastAsia="仿宋"/>
          <w:sz w:val="32"/>
          <w:szCs w:val="32"/>
        </w:rPr>
        <w:t xml:space="preserve">4.其他收入：指单位取得的除上述收入以外的各项收入。 </w:t>
      </w:r>
    </w:p>
    <w:p w14:paraId="4CF42FE7">
      <w:pPr>
        <w:spacing w:line="560" w:lineRule="exact"/>
        <w:ind w:firstLine="640" w:firstLineChars="200"/>
        <w:rPr>
          <w:rFonts w:eastAsia="仿宋"/>
          <w:sz w:val="32"/>
          <w:szCs w:val="32"/>
        </w:rPr>
      </w:pPr>
      <w:r>
        <w:rPr>
          <w:rFonts w:eastAsia="仿宋"/>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96C161A">
      <w:pPr>
        <w:spacing w:line="560" w:lineRule="exact"/>
        <w:ind w:firstLine="640" w:firstLineChars="200"/>
        <w:rPr>
          <w:rFonts w:eastAsia="仿宋"/>
          <w:sz w:val="32"/>
          <w:szCs w:val="32"/>
        </w:rPr>
      </w:pPr>
      <w:r>
        <w:rPr>
          <w:rFonts w:eastAsia="仿宋"/>
          <w:sz w:val="32"/>
          <w:szCs w:val="32"/>
        </w:rPr>
        <w:t xml:space="preserve">6.年初结转和结余：指以前年度尚未完成、结转到本年按有关规定继续使用的资金。 </w:t>
      </w:r>
    </w:p>
    <w:p w14:paraId="7F821C27">
      <w:pPr>
        <w:spacing w:line="560" w:lineRule="exact"/>
        <w:ind w:firstLine="640" w:firstLineChars="200"/>
        <w:rPr>
          <w:rFonts w:eastAsia="仿宋"/>
          <w:sz w:val="32"/>
          <w:szCs w:val="32"/>
        </w:rPr>
      </w:pPr>
      <w:r>
        <w:rPr>
          <w:rFonts w:eastAsia="仿宋"/>
          <w:sz w:val="32"/>
          <w:szCs w:val="32"/>
        </w:rPr>
        <w:t>7.结余分配：指事业单位按照事业单位会计制度的规定从非财政补助结余中分配的事业基金和职工福利基金等。</w:t>
      </w:r>
    </w:p>
    <w:p w14:paraId="629B2531">
      <w:pPr>
        <w:spacing w:line="560" w:lineRule="exact"/>
        <w:ind w:firstLine="640" w:firstLineChars="200"/>
        <w:rPr>
          <w:rFonts w:eastAsia="仿宋"/>
          <w:sz w:val="32"/>
          <w:szCs w:val="32"/>
        </w:rPr>
      </w:pPr>
      <w:r>
        <w:rPr>
          <w:rFonts w:eastAsia="仿宋"/>
          <w:sz w:val="32"/>
          <w:szCs w:val="32"/>
        </w:rPr>
        <w:t>8、年末结转和结余：指单位按有关规定结转到下年或以后年度继续使用的资金。</w:t>
      </w:r>
    </w:p>
    <w:p w14:paraId="1C9ED6A4">
      <w:pPr>
        <w:spacing w:line="560" w:lineRule="exact"/>
        <w:ind w:firstLine="640" w:firstLineChars="200"/>
        <w:rPr>
          <w:rFonts w:eastAsia="仿宋"/>
          <w:sz w:val="32"/>
          <w:szCs w:val="32"/>
        </w:rPr>
      </w:pPr>
      <w:r>
        <w:rPr>
          <w:rFonts w:eastAsia="仿宋"/>
          <w:sz w:val="32"/>
          <w:szCs w:val="32"/>
        </w:rPr>
        <w:t>9、保障和就业（类）行政事业单位离退休（款）机关事业单位基本养老保险缴费支出（项）：指部门实施养老保险制度由单位缴纳的养老保险费的支出。</w:t>
      </w:r>
    </w:p>
    <w:p w14:paraId="7DF90589">
      <w:pPr>
        <w:spacing w:line="560" w:lineRule="exact"/>
        <w:ind w:firstLine="640" w:firstLineChars="200"/>
        <w:rPr>
          <w:rFonts w:eastAsia="仿宋"/>
          <w:sz w:val="32"/>
          <w:szCs w:val="32"/>
        </w:rPr>
      </w:pPr>
      <w:r>
        <w:rPr>
          <w:rFonts w:eastAsia="仿宋"/>
          <w:sz w:val="32"/>
          <w:szCs w:val="32"/>
        </w:rPr>
        <w:t>10、社会保障和就业（类）行政事业单位离退休（款）机关事业单位职业年金缴费支出（项）：指部门实施养老保险制度由单位缴纳的职业年金的支出。　　</w:t>
      </w:r>
    </w:p>
    <w:p w14:paraId="41F4649D">
      <w:pPr>
        <w:spacing w:line="560" w:lineRule="exact"/>
        <w:ind w:firstLine="640" w:firstLineChars="200"/>
        <w:rPr>
          <w:rFonts w:eastAsia="仿宋"/>
          <w:sz w:val="32"/>
          <w:szCs w:val="32"/>
        </w:rPr>
      </w:pPr>
      <w:r>
        <w:rPr>
          <w:rFonts w:eastAsia="仿宋"/>
          <w:sz w:val="32"/>
          <w:szCs w:val="32"/>
        </w:rPr>
        <w:t>11.社会保障和就业（类）其他社会保障和就业（款）其他社会保障和就业支出（项）：指除上述项目外，其他用于行政事业单位离退休方面的支出。</w:t>
      </w:r>
    </w:p>
    <w:p w14:paraId="0BE648B5">
      <w:pPr>
        <w:spacing w:line="560" w:lineRule="exact"/>
        <w:ind w:firstLine="640" w:firstLineChars="200"/>
        <w:rPr>
          <w:rFonts w:eastAsia="仿宋"/>
          <w:sz w:val="32"/>
          <w:szCs w:val="32"/>
        </w:rPr>
      </w:pPr>
      <w:r>
        <w:rPr>
          <w:rFonts w:eastAsia="仿宋"/>
          <w:sz w:val="32"/>
          <w:szCs w:val="32"/>
        </w:rPr>
        <w:t>12.卫生健康支出（类）行政事业单位医疗（款）行政单位医疗（项）：指行政单位用于缴纳单位基本医疗保险支出。</w:t>
      </w:r>
    </w:p>
    <w:p w14:paraId="7452334E">
      <w:pPr>
        <w:spacing w:line="560" w:lineRule="exact"/>
        <w:ind w:firstLine="640" w:firstLineChars="200"/>
        <w:rPr>
          <w:rFonts w:eastAsia="仿宋"/>
          <w:sz w:val="32"/>
          <w:szCs w:val="32"/>
        </w:rPr>
      </w:pPr>
      <w:r>
        <w:rPr>
          <w:rFonts w:eastAsia="仿宋"/>
          <w:sz w:val="32"/>
          <w:szCs w:val="32"/>
        </w:rPr>
        <w:t>13.卫生健康支出（类）行政事业单位医疗（款）公务员医疗补助（项）：指单位用于集中缴纳公务员医疗补助支出。</w:t>
      </w:r>
    </w:p>
    <w:p w14:paraId="79712F63">
      <w:pPr>
        <w:spacing w:line="560" w:lineRule="exact"/>
        <w:ind w:firstLine="640" w:firstLineChars="200"/>
        <w:rPr>
          <w:rFonts w:eastAsia="仿宋"/>
          <w:sz w:val="32"/>
          <w:szCs w:val="32"/>
        </w:rPr>
      </w:pPr>
      <w:r>
        <w:rPr>
          <w:rFonts w:eastAsia="仿宋"/>
          <w:sz w:val="32"/>
          <w:szCs w:val="32"/>
        </w:rPr>
        <w:t>14.住房保障（类）住房改革支出（款）住房公积金（项）：指用于职工住房公积金支出。</w:t>
      </w:r>
    </w:p>
    <w:p w14:paraId="268D89E0">
      <w:pPr>
        <w:spacing w:line="560" w:lineRule="exact"/>
        <w:ind w:firstLine="640" w:firstLineChars="200"/>
        <w:rPr>
          <w:rFonts w:eastAsia="仿宋"/>
          <w:sz w:val="32"/>
          <w:szCs w:val="32"/>
        </w:rPr>
      </w:pPr>
      <w:r>
        <w:rPr>
          <w:rFonts w:eastAsia="仿宋"/>
          <w:sz w:val="32"/>
          <w:szCs w:val="32"/>
        </w:rPr>
        <w:t>15.基本支出：指为保障机构正常运转、完成日常工作任务而发生的人员支出和公用支出。</w:t>
      </w:r>
    </w:p>
    <w:p w14:paraId="3EBBE028">
      <w:pPr>
        <w:spacing w:line="560" w:lineRule="exact"/>
        <w:ind w:firstLine="640" w:firstLineChars="200"/>
        <w:rPr>
          <w:rFonts w:eastAsia="仿宋"/>
          <w:sz w:val="32"/>
          <w:szCs w:val="32"/>
        </w:rPr>
      </w:pPr>
      <w:r>
        <w:rPr>
          <w:rFonts w:eastAsia="仿宋"/>
          <w:sz w:val="32"/>
          <w:szCs w:val="32"/>
        </w:rPr>
        <w:t xml:space="preserve">16.项目支出：指在基本支出之外为完成特定行政任务和事业发展目标所发生的支出。 </w:t>
      </w:r>
    </w:p>
    <w:p w14:paraId="48860531">
      <w:pPr>
        <w:spacing w:line="560" w:lineRule="exact"/>
        <w:ind w:firstLine="640" w:firstLineChars="200"/>
        <w:rPr>
          <w:rFonts w:eastAsia="仿宋"/>
          <w:sz w:val="32"/>
          <w:szCs w:val="32"/>
        </w:rPr>
      </w:pPr>
      <w:r>
        <w:rPr>
          <w:rFonts w:eastAsia="仿宋"/>
          <w:sz w:val="32"/>
          <w:szCs w:val="32"/>
        </w:rPr>
        <w:t>17.经营支出：指事业单位在专业业务活动及其辅助活动之外开展非独立核算经营活动发生的支出。</w:t>
      </w:r>
    </w:p>
    <w:p w14:paraId="17617B85">
      <w:pPr>
        <w:spacing w:line="560" w:lineRule="exact"/>
        <w:ind w:firstLine="640" w:firstLineChars="200"/>
        <w:rPr>
          <w:rFonts w:eastAsia="仿宋"/>
          <w:sz w:val="32"/>
          <w:szCs w:val="32"/>
        </w:rPr>
      </w:pPr>
      <w:r>
        <w:rPr>
          <w:rFonts w:eastAsia="仿宋"/>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23AA0DB">
      <w:pPr>
        <w:spacing w:line="560" w:lineRule="exact"/>
        <w:ind w:firstLine="640" w:firstLineChars="200"/>
        <w:rPr>
          <w:rFonts w:eastAsia="仿宋"/>
          <w:sz w:val="32"/>
          <w:szCs w:val="32"/>
        </w:rPr>
      </w:pPr>
      <w:r>
        <w:rPr>
          <w:rFonts w:eastAsia="仿宋"/>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36AB1A5">
      <w:pPr>
        <w:spacing w:line="560" w:lineRule="exact"/>
        <w:jc w:val="center"/>
        <w:outlineLvl w:val="0"/>
        <w:rPr>
          <w:rStyle w:val="17"/>
          <w:rFonts w:eastAsia="仿宋"/>
          <w:b w:val="0"/>
        </w:rPr>
      </w:pPr>
      <w:r>
        <w:rPr>
          <w:rFonts w:eastAsia="仿宋"/>
          <w:b/>
          <w:color w:val="000000"/>
          <w:sz w:val="44"/>
          <w:szCs w:val="44"/>
        </w:rPr>
        <w:br w:type="page"/>
      </w:r>
      <w:bookmarkStart w:id="79" w:name="_Toc32365_WPSOffice_Level1"/>
      <w:bookmarkStart w:id="80" w:name="_Toc15396614"/>
      <w:r>
        <w:rPr>
          <w:rStyle w:val="17"/>
        </w:rPr>
        <w:t>第四部分 附件</w:t>
      </w:r>
      <w:bookmarkEnd w:id="79"/>
      <w:bookmarkEnd w:id="80"/>
    </w:p>
    <w:p w14:paraId="24EC9A34">
      <w:pPr>
        <w:pStyle w:val="3"/>
        <w:rPr>
          <w:rFonts w:ascii="Times New Roman" w:hAnsi="Times New Roman"/>
        </w:rPr>
      </w:pPr>
      <w:r>
        <w:rPr>
          <w:rFonts w:ascii="Times New Roman" w:hAnsi="Times New Roman"/>
        </w:rPr>
        <w:t>附件1</w:t>
      </w:r>
    </w:p>
    <w:p w14:paraId="48789320">
      <w:pPr>
        <w:spacing w:line="580" w:lineRule="exact"/>
        <w:jc w:val="center"/>
        <w:rPr>
          <w:rFonts w:eastAsia="仿宋"/>
          <w:sz w:val="44"/>
          <w:szCs w:val="44"/>
        </w:rPr>
      </w:pPr>
    </w:p>
    <w:p w14:paraId="1E3EEE48">
      <w:pPr>
        <w:snapToGrid w:val="0"/>
        <w:spacing w:line="240" w:lineRule="atLeast"/>
        <w:jc w:val="center"/>
        <w:rPr>
          <w:rFonts w:eastAsia="小标宋"/>
          <w:sz w:val="44"/>
          <w:szCs w:val="44"/>
        </w:rPr>
      </w:pPr>
      <w:r>
        <w:rPr>
          <w:rFonts w:eastAsia="小标宋"/>
          <w:sz w:val="44"/>
          <w:szCs w:val="44"/>
        </w:rPr>
        <w:t>米易县供销合作社联合社</w:t>
      </w:r>
    </w:p>
    <w:p w14:paraId="2E82668A">
      <w:pPr>
        <w:snapToGrid w:val="0"/>
        <w:spacing w:line="240" w:lineRule="atLeast"/>
        <w:jc w:val="center"/>
        <w:outlineLvl w:val="0"/>
        <w:rPr>
          <w:rFonts w:eastAsia="小标宋"/>
          <w:sz w:val="44"/>
          <w:szCs w:val="44"/>
        </w:rPr>
      </w:pPr>
      <w:r>
        <w:rPr>
          <w:rFonts w:eastAsia="小标宋"/>
          <w:sz w:val="44"/>
          <w:szCs w:val="44"/>
        </w:rPr>
        <w:t>2020年部门预算整体绩效评价报告</w:t>
      </w:r>
    </w:p>
    <w:p w14:paraId="3EFB6AC8">
      <w:pPr>
        <w:adjustRightInd w:val="0"/>
        <w:snapToGrid w:val="0"/>
        <w:spacing w:line="560" w:lineRule="exact"/>
        <w:ind w:firstLine="720"/>
        <w:rPr>
          <w:rFonts w:eastAsia="黑体"/>
          <w:sz w:val="36"/>
          <w:szCs w:val="36"/>
        </w:rPr>
      </w:pPr>
    </w:p>
    <w:p w14:paraId="114AD3DC">
      <w:pPr>
        <w:adjustRightInd w:val="0"/>
        <w:snapToGrid w:val="0"/>
        <w:spacing w:line="560"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部门概况</w:t>
      </w:r>
    </w:p>
    <w:p w14:paraId="53F7CB44">
      <w:pPr>
        <w:spacing w:line="560" w:lineRule="exact"/>
        <w:ind w:firstLine="640" w:firstLineChars="200"/>
        <w:rPr>
          <w:rFonts w:eastAsia="仿宋_GB2312"/>
          <w:sz w:val="32"/>
          <w:szCs w:val="32"/>
        </w:rPr>
      </w:pPr>
      <w:r>
        <w:rPr>
          <w:rFonts w:eastAsia="仿宋_GB2312"/>
          <w:sz w:val="32"/>
          <w:szCs w:val="32"/>
        </w:rPr>
        <w:t>县供销社是全县供销社系统的管理机关，按照社会主义市场经济的要求，对全县供销社系统进行行业管理，在以提高经济效益为中心，坚持为农服务的方向，发展专业合作经济组织，兴办农业产业化龙头企业，完善社会化服务体系，建立现代流通网络中行使其指导、协调、监督、服务职能。2020年末县供销社资产44.25万元、负债42.64万元、净资产1.62万元。</w:t>
      </w:r>
    </w:p>
    <w:p w14:paraId="339C717B">
      <w:pPr>
        <w:adjustRightInd w:val="0"/>
        <w:snapToGrid w:val="0"/>
        <w:spacing w:line="560" w:lineRule="exact"/>
        <w:ind w:firstLine="640" w:firstLineChars="200"/>
        <w:rPr>
          <w:rFonts w:eastAsia="黑体"/>
          <w:sz w:val="32"/>
          <w:szCs w:val="32"/>
        </w:rPr>
      </w:pPr>
      <w:r>
        <w:rPr>
          <w:rFonts w:eastAsia="黑体"/>
          <w:sz w:val="32"/>
          <w:szCs w:val="32"/>
        </w:rPr>
        <w:t>二、部门人员情况</w:t>
      </w:r>
    </w:p>
    <w:p w14:paraId="4AD882C0">
      <w:pPr>
        <w:spacing w:line="560" w:lineRule="exact"/>
        <w:ind w:firstLine="640" w:firstLineChars="200"/>
        <w:rPr>
          <w:rFonts w:eastAsia="仿宋_GB2312"/>
          <w:sz w:val="32"/>
          <w:szCs w:val="32"/>
        </w:rPr>
      </w:pPr>
      <w:r>
        <w:rPr>
          <w:rFonts w:eastAsia="仿宋_GB2312"/>
          <w:sz w:val="32"/>
          <w:szCs w:val="32"/>
        </w:rPr>
        <w:t>部门总编制 9 人。行政编制  8 人，行政工勤编制  1 人，在岗  10  人;参公管理事业编制 5 人，参公管事业工勤编制 2 人，老事业工勤人员 2人。离退休人员 19 人，其中：行政离休 1 人，退休 17人，事业退职1人。</w:t>
      </w:r>
    </w:p>
    <w:p w14:paraId="7CA1D7BE">
      <w:pPr>
        <w:adjustRightInd w:val="0"/>
        <w:snapToGrid w:val="0"/>
        <w:spacing w:line="560" w:lineRule="exact"/>
        <w:ind w:firstLine="640" w:firstLineChars="200"/>
        <w:rPr>
          <w:rFonts w:eastAsia="黑体"/>
          <w:sz w:val="32"/>
          <w:szCs w:val="32"/>
        </w:rPr>
      </w:pPr>
      <w:r>
        <w:rPr>
          <w:rFonts w:eastAsia="黑体"/>
          <w:sz w:val="32"/>
          <w:szCs w:val="32"/>
        </w:rPr>
        <w:t>三、部门资金情况</w:t>
      </w:r>
    </w:p>
    <w:p w14:paraId="2C4966BC">
      <w:pPr>
        <w:adjustRightInd w:val="0"/>
        <w:snapToGrid w:val="0"/>
        <w:spacing w:line="560" w:lineRule="exact"/>
        <w:ind w:firstLine="640" w:firstLineChars="200"/>
        <w:rPr>
          <w:sz w:val="36"/>
          <w:szCs w:val="36"/>
          <w:lang w:val="zh-CN"/>
        </w:rPr>
      </w:pPr>
      <w:r>
        <w:rPr>
          <w:rFonts w:eastAsia="楷体"/>
          <w:sz w:val="32"/>
          <w:szCs w:val="32"/>
          <w:lang w:val="zh-CN"/>
        </w:rPr>
        <w:t>（一）部门财政资金收入情况</w:t>
      </w:r>
    </w:p>
    <w:p w14:paraId="1E34E259">
      <w:pPr>
        <w:snapToGrid w:val="0"/>
        <w:spacing w:line="560" w:lineRule="exact"/>
        <w:ind w:firstLine="640" w:firstLineChars="200"/>
        <w:rPr>
          <w:rFonts w:eastAsia="仿宋_GB2312"/>
          <w:sz w:val="32"/>
          <w:szCs w:val="32"/>
        </w:rPr>
      </w:pPr>
      <w:r>
        <w:rPr>
          <w:rFonts w:eastAsia="仿宋_GB2312"/>
          <w:sz w:val="32"/>
          <w:szCs w:val="32"/>
        </w:rPr>
        <w:t>2020年供销合作社预算收入239.07万元、年初预算安排239.07万元，调整预算数29.02万元，年初结转和结余73万元，决算数341.09万元。</w:t>
      </w:r>
    </w:p>
    <w:p w14:paraId="2449E486">
      <w:pPr>
        <w:adjustRightInd w:val="0"/>
        <w:snapToGrid w:val="0"/>
        <w:spacing w:line="560" w:lineRule="exact"/>
        <w:ind w:firstLine="640" w:firstLineChars="200"/>
        <w:rPr>
          <w:rFonts w:eastAsia="楷体"/>
          <w:sz w:val="32"/>
          <w:szCs w:val="32"/>
          <w:lang w:val="zh-CN"/>
        </w:rPr>
      </w:pPr>
      <w:r>
        <w:rPr>
          <w:rFonts w:eastAsia="楷体"/>
          <w:sz w:val="32"/>
          <w:szCs w:val="32"/>
          <w:lang w:val="zh-CN"/>
        </w:rPr>
        <w:t>（二）部门财政资金支出情况</w:t>
      </w:r>
    </w:p>
    <w:p w14:paraId="045DA30B">
      <w:pPr>
        <w:spacing w:line="560" w:lineRule="exact"/>
        <w:ind w:firstLine="640"/>
        <w:rPr>
          <w:rFonts w:eastAsia="仿宋_GB2312"/>
          <w:sz w:val="32"/>
          <w:szCs w:val="32"/>
        </w:rPr>
      </w:pPr>
      <w:r>
        <w:rPr>
          <w:rFonts w:eastAsia="仿宋_GB2312"/>
          <w:sz w:val="32"/>
          <w:szCs w:val="32"/>
        </w:rPr>
        <w:t>2020年供销合作社</w:t>
      </w:r>
      <w:r>
        <w:rPr>
          <w:rFonts w:eastAsia="仿宋_GB2312"/>
          <w:sz w:val="32"/>
          <w:szCs w:val="32"/>
          <w:lang w:val="zh-CN"/>
        </w:rPr>
        <w:t>财政资金支出</w:t>
      </w:r>
      <w:r>
        <w:rPr>
          <w:rFonts w:eastAsia="仿宋_GB2312"/>
          <w:sz w:val="32"/>
          <w:szCs w:val="32"/>
        </w:rPr>
        <w:t>总额341.09万元，其中：项目支出150.77万元，基本支出190.32万元。</w:t>
      </w:r>
    </w:p>
    <w:p w14:paraId="3F6422CF">
      <w:pPr>
        <w:spacing w:line="560" w:lineRule="exact"/>
        <w:ind w:firstLine="640"/>
        <w:rPr>
          <w:rFonts w:eastAsia="仿宋_GB2312"/>
          <w:sz w:val="32"/>
          <w:szCs w:val="32"/>
        </w:rPr>
      </w:pPr>
      <w:r>
        <w:rPr>
          <w:rFonts w:eastAsia="仿宋_GB2312"/>
          <w:sz w:val="32"/>
          <w:szCs w:val="32"/>
        </w:rPr>
        <w:t>基本支出，是用于保障办公室、综合股等机构正常运转的日常支出，包括基本工资、津贴补贴、离退休费、住房公积金和日常公用经费等。</w:t>
      </w:r>
    </w:p>
    <w:p w14:paraId="5C8D40F2">
      <w:pPr>
        <w:spacing w:line="560" w:lineRule="exact"/>
        <w:ind w:firstLine="640"/>
        <w:rPr>
          <w:rFonts w:eastAsia="仿宋_GB2312"/>
          <w:sz w:val="32"/>
          <w:szCs w:val="32"/>
        </w:rPr>
      </w:pPr>
      <w:r>
        <w:rPr>
          <w:rFonts w:eastAsia="仿宋_GB2312"/>
          <w:sz w:val="32"/>
          <w:szCs w:val="32"/>
        </w:rPr>
        <w:t>项目支出，是用于保障办公室、综合股等机构为完成特定的行政工作任务或事业发展目标，用于专项业务工作的经费支出。</w:t>
      </w:r>
    </w:p>
    <w:p w14:paraId="32019C79">
      <w:pPr>
        <w:adjustRightInd w:val="0"/>
        <w:snapToGrid w:val="0"/>
        <w:spacing w:line="560" w:lineRule="exact"/>
        <w:ind w:firstLine="640" w:firstLineChars="200"/>
        <w:rPr>
          <w:rFonts w:eastAsia="黑体"/>
          <w:sz w:val="32"/>
          <w:szCs w:val="32"/>
        </w:rPr>
      </w:pPr>
      <w:r>
        <w:rPr>
          <w:rFonts w:eastAsia="黑体"/>
          <w:sz w:val="32"/>
          <w:szCs w:val="32"/>
        </w:rPr>
        <w:t>四、部门财政支出管理情况</w:t>
      </w:r>
    </w:p>
    <w:p w14:paraId="7BF33218">
      <w:pPr>
        <w:adjustRightInd w:val="0"/>
        <w:snapToGrid w:val="0"/>
        <w:spacing w:line="560" w:lineRule="exact"/>
        <w:ind w:firstLine="320" w:firstLineChars="100"/>
        <w:rPr>
          <w:rFonts w:eastAsia="楷体"/>
          <w:sz w:val="32"/>
          <w:szCs w:val="32"/>
          <w:lang w:val="zh-CN"/>
        </w:rPr>
      </w:pPr>
      <w:r>
        <w:rPr>
          <w:rFonts w:eastAsia="楷体"/>
          <w:sz w:val="32"/>
          <w:szCs w:val="32"/>
          <w:lang w:val="zh-CN"/>
        </w:rPr>
        <w:t>（一）预算编制情况</w:t>
      </w:r>
    </w:p>
    <w:p w14:paraId="1E12D779">
      <w:pPr>
        <w:spacing w:line="560" w:lineRule="exact"/>
        <w:ind w:firstLine="480" w:firstLineChars="150"/>
        <w:rPr>
          <w:rFonts w:eastAsia="仿宋_GB2312"/>
          <w:sz w:val="32"/>
          <w:szCs w:val="32"/>
        </w:rPr>
      </w:pPr>
      <w:r>
        <w:rPr>
          <w:rFonts w:eastAsia="仿宋_GB2312"/>
          <w:kern w:val="0"/>
          <w:sz w:val="32"/>
          <w:szCs w:val="32"/>
        </w:rPr>
        <w:t>严格按照</w:t>
      </w:r>
      <w:r>
        <w:rPr>
          <w:rFonts w:eastAsia="仿宋_GB2312"/>
          <w:sz w:val="32"/>
          <w:szCs w:val="32"/>
          <w:lang w:val="zh-CN"/>
        </w:rPr>
        <w:t>财政预算编制方法和口径编制年初预算，</w:t>
      </w:r>
      <w:r>
        <w:rPr>
          <w:rFonts w:eastAsia="仿宋_GB2312"/>
          <w:sz w:val="32"/>
          <w:szCs w:val="32"/>
        </w:rPr>
        <w:t>预算的编制坚持统筹兼顾、保证重点、勤俭节约的原则，根据本部门的年度工作计划，参照上年度本部门各项实际开支，考虑可能出现的变化因素，先自行作出本部门费用预算。</w:t>
      </w:r>
    </w:p>
    <w:p w14:paraId="4FD3342B">
      <w:pPr>
        <w:spacing w:line="560" w:lineRule="exact"/>
        <w:ind w:firstLine="480" w:firstLineChars="150"/>
        <w:rPr>
          <w:rFonts w:eastAsia="仿宋_GB2312"/>
          <w:sz w:val="32"/>
          <w:szCs w:val="32"/>
        </w:rPr>
      </w:pPr>
      <w:r>
        <w:rPr>
          <w:rFonts w:eastAsia="仿宋_GB2312"/>
          <w:sz w:val="32"/>
          <w:szCs w:val="32"/>
        </w:rPr>
        <w:t>支出预算分为基本支出预算和项目支出预算两部分，支出预算首先保证基本支出。</w:t>
      </w:r>
    </w:p>
    <w:p w14:paraId="0B578A78">
      <w:pPr>
        <w:spacing w:line="560" w:lineRule="exact"/>
        <w:ind w:firstLine="640" w:firstLineChars="200"/>
        <w:rPr>
          <w:rFonts w:eastAsia="仿宋_GB2312"/>
          <w:sz w:val="32"/>
          <w:szCs w:val="32"/>
        </w:rPr>
      </w:pPr>
      <w:r>
        <w:rPr>
          <w:rFonts w:eastAsia="仿宋_GB2312"/>
          <w:sz w:val="32"/>
          <w:szCs w:val="32"/>
        </w:rPr>
        <w:t>编制基本支出时，分为人员支出、日常公用支出和对个人及家庭补助支出三个两部分:人员支出应按国家有关政策、标准和编制人数等计算编列；公用支出有支出定额的，按定额计算编列，无支出定额的，要根据实际情况测算编列。</w:t>
      </w:r>
    </w:p>
    <w:p w14:paraId="138B1788">
      <w:pPr>
        <w:adjustRightInd w:val="0"/>
        <w:snapToGrid w:val="0"/>
        <w:spacing w:line="560" w:lineRule="exact"/>
        <w:ind w:firstLine="480" w:firstLineChars="150"/>
        <w:rPr>
          <w:rFonts w:eastAsia="楷体"/>
          <w:sz w:val="32"/>
          <w:szCs w:val="32"/>
          <w:lang w:val="zh-CN"/>
        </w:rPr>
      </w:pPr>
      <w:r>
        <w:rPr>
          <w:rFonts w:eastAsia="楷体"/>
          <w:sz w:val="32"/>
          <w:szCs w:val="32"/>
          <w:lang w:val="zh-CN"/>
        </w:rPr>
        <w:t>（二）执行管理情况</w:t>
      </w:r>
    </w:p>
    <w:p w14:paraId="5C4FAC80">
      <w:pPr>
        <w:spacing w:line="560" w:lineRule="exact"/>
        <w:ind w:firstLine="640" w:firstLineChars="200"/>
        <w:rPr>
          <w:rFonts w:eastAsia="仿宋_GB2312"/>
          <w:sz w:val="32"/>
          <w:szCs w:val="32"/>
        </w:rPr>
      </w:pPr>
      <w:r>
        <w:rPr>
          <w:rFonts w:eastAsia="仿宋_GB2312"/>
          <w:sz w:val="32"/>
          <w:szCs w:val="32"/>
        </w:rPr>
        <w:t>单位基本支出、项目支出按进度拨付,基本支出及项目支出达到本部门应达到执行进度, 基本支出及项目支出达到100%。</w:t>
      </w:r>
    </w:p>
    <w:p w14:paraId="3854E559">
      <w:pPr>
        <w:adjustRightInd w:val="0"/>
        <w:snapToGrid w:val="0"/>
        <w:spacing w:line="560" w:lineRule="exact"/>
        <w:ind w:firstLine="480" w:firstLineChars="150"/>
        <w:rPr>
          <w:rFonts w:eastAsia="楷体"/>
          <w:sz w:val="32"/>
          <w:szCs w:val="32"/>
          <w:lang w:val="zh-CN"/>
        </w:rPr>
      </w:pPr>
      <w:r>
        <w:rPr>
          <w:rFonts w:eastAsia="楷体"/>
          <w:sz w:val="32"/>
          <w:szCs w:val="32"/>
          <w:lang w:val="zh-CN"/>
        </w:rPr>
        <w:t>（三）决算编制情况</w:t>
      </w:r>
    </w:p>
    <w:p w14:paraId="5808B275">
      <w:pPr>
        <w:snapToGrid w:val="0"/>
        <w:spacing w:line="560" w:lineRule="exact"/>
        <w:ind w:firstLine="640" w:firstLineChars="200"/>
        <w:rPr>
          <w:rFonts w:eastAsia="仿宋_GB2312"/>
          <w:sz w:val="32"/>
          <w:szCs w:val="32"/>
        </w:rPr>
      </w:pPr>
      <w:r>
        <w:rPr>
          <w:rFonts w:eastAsia="仿宋_GB2312"/>
          <w:sz w:val="32"/>
          <w:szCs w:val="32"/>
        </w:rPr>
        <w:t>2020年供销合作社预算收入239.07万元、年初预算安排239.07万元，调整预算数29.02万元，决算数341.09万元。</w:t>
      </w:r>
    </w:p>
    <w:p w14:paraId="3045FC97">
      <w:pPr>
        <w:snapToGrid w:val="0"/>
        <w:spacing w:line="560" w:lineRule="exact"/>
        <w:ind w:firstLine="627" w:firstLineChars="196"/>
        <w:rPr>
          <w:rFonts w:eastAsia="仿宋_GB2312"/>
          <w:sz w:val="32"/>
          <w:szCs w:val="32"/>
        </w:rPr>
      </w:pPr>
      <w:r>
        <w:rPr>
          <w:rFonts w:eastAsia="仿宋_GB2312"/>
          <w:sz w:val="32"/>
          <w:szCs w:val="32"/>
        </w:rPr>
        <w:t>2020年供销合作社</w:t>
      </w:r>
      <w:r>
        <w:rPr>
          <w:rFonts w:eastAsia="仿宋_GB2312"/>
          <w:sz w:val="32"/>
          <w:szCs w:val="32"/>
          <w:lang w:val="zh-CN"/>
        </w:rPr>
        <w:t>财政资金支出</w:t>
      </w:r>
      <w:r>
        <w:rPr>
          <w:rFonts w:eastAsia="仿宋_GB2312"/>
          <w:sz w:val="32"/>
          <w:szCs w:val="32"/>
        </w:rPr>
        <w:t>总额341.09万元。其中：项目支出150.77万元，基本支出, 190.32万元。</w:t>
      </w:r>
    </w:p>
    <w:p w14:paraId="2864BB8F">
      <w:pPr>
        <w:adjustRightInd w:val="0"/>
        <w:snapToGrid w:val="0"/>
        <w:spacing w:line="560" w:lineRule="exact"/>
        <w:ind w:firstLine="640" w:firstLineChars="200"/>
        <w:rPr>
          <w:rFonts w:eastAsia="黑体"/>
          <w:sz w:val="32"/>
          <w:szCs w:val="32"/>
        </w:rPr>
      </w:pPr>
      <w:r>
        <w:rPr>
          <w:rFonts w:eastAsia="黑体"/>
          <w:sz w:val="32"/>
          <w:szCs w:val="32"/>
        </w:rPr>
        <w:t>五、评价结论及建议</w:t>
      </w:r>
    </w:p>
    <w:p w14:paraId="0566319D">
      <w:pPr>
        <w:adjustRightInd w:val="0"/>
        <w:snapToGrid w:val="0"/>
        <w:spacing w:line="560" w:lineRule="exact"/>
        <w:ind w:firstLine="320" w:firstLineChars="100"/>
        <w:outlineLvl w:val="0"/>
        <w:rPr>
          <w:rFonts w:eastAsia="楷体"/>
          <w:sz w:val="32"/>
          <w:szCs w:val="32"/>
          <w:lang w:val="zh-CN"/>
        </w:rPr>
      </w:pPr>
      <w:r>
        <w:rPr>
          <w:rFonts w:eastAsia="楷体"/>
          <w:sz w:val="32"/>
          <w:szCs w:val="32"/>
          <w:lang w:val="zh-CN"/>
        </w:rPr>
        <w:t>（一） 评价结论</w:t>
      </w:r>
    </w:p>
    <w:p w14:paraId="42608CF8">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通过上述综合情况，米易县供销合作社联合社部门绩效支出自评得分96分。</w:t>
      </w:r>
    </w:p>
    <w:p w14:paraId="499A024A">
      <w:pPr>
        <w:adjustRightInd w:val="0"/>
        <w:snapToGrid w:val="0"/>
        <w:spacing w:line="560" w:lineRule="exact"/>
        <w:ind w:firstLine="320" w:firstLineChars="100"/>
        <w:outlineLvl w:val="0"/>
        <w:rPr>
          <w:rFonts w:eastAsia="楷体"/>
          <w:sz w:val="32"/>
          <w:szCs w:val="32"/>
          <w:lang w:val="zh-CN"/>
        </w:rPr>
      </w:pPr>
      <w:r>
        <w:rPr>
          <w:rFonts w:eastAsia="楷体"/>
          <w:sz w:val="32"/>
          <w:szCs w:val="32"/>
          <w:lang w:val="zh-CN"/>
        </w:rPr>
        <w:t>（二）存在问题</w:t>
      </w:r>
    </w:p>
    <w:p w14:paraId="5EE1BD9C">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财务管理意识相对薄弱，对财务管理的重要性认识不够；财务人员基础薄弱，管理制度不够完善内部会计制度不够健全。</w:t>
      </w:r>
    </w:p>
    <w:p w14:paraId="310F45A0">
      <w:pPr>
        <w:spacing w:line="580" w:lineRule="exact"/>
        <w:ind w:firstLine="640" w:firstLineChars="200"/>
        <w:rPr>
          <w:rFonts w:eastAsia="仿宋"/>
          <w:sz w:val="32"/>
          <w:szCs w:val="32"/>
        </w:rPr>
      </w:pPr>
    </w:p>
    <w:p w14:paraId="1142826D">
      <w:pPr>
        <w:spacing w:line="580" w:lineRule="exact"/>
        <w:ind w:firstLine="640" w:firstLineChars="200"/>
        <w:rPr>
          <w:rFonts w:eastAsia="仿宋"/>
          <w:sz w:val="32"/>
          <w:szCs w:val="32"/>
        </w:rPr>
      </w:pPr>
    </w:p>
    <w:p w14:paraId="5013C84B">
      <w:pPr>
        <w:spacing w:line="580" w:lineRule="exact"/>
        <w:ind w:firstLine="640" w:firstLineChars="200"/>
        <w:rPr>
          <w:rFonts w:eastAsia="仿宋"/>
          <w:sz w:val="32"/>
          <w:szCs w:val="32"/>
        </w:rPr>
      </w:pPr>
    </w:p>
    <w:p w14:paraId="504F1BBD">
      <w:pPr>
        <w:spacing w:line="580" w:lineRule="exact"/>
        <w:ind w:firstLine="640"/>
        <w:rPr>
          <w:rFonts w:eastAsia="仿宋"/>
          <w:sz w:val="32"/>
          <w:szCs w:val="32"/>
        </w:rPr>
      </w:pPr>
    </w:p>
    <w:p w14:paraId="704C8DE3">
      <w:pPr>
        <w:widowControl/>
        <w:jc w:val="left"/>
        <w:rPr>
          <w:rStyle w:val="17"/>
          <w:rFonts w:eastAsia="仿宋"/>
          <w:b w:val="0"/>
        </w:rPr>
      </w:pPr>
    </w:p>
    <w:p w14:paraId="7E7EC8AF">
      <w:pPr>
        <w:pStyle w:val="2"/>
        <w:jc w:val="center"/>
        <w:rPr>
          <w:rFonts w:eastAsia="仿宋"/>
          <w:color w:val="000000"/>
        </w:rPr>
      </w:pPr>
      <w:bookmarkStart w:id="81" w:name="_Toc31975_WPSOffice_Level1"/>
      <w:bookmarkStart w:id="82" w:name="_Toc15396618"/>
      <w:r>
        <w:t>第五部分 附表</w:t>
      </w:r>
      <w:bookmarkEnd w:id="78"/>
      <w:bookmarkEnd w:id="81"/>
      <w:bookmarkEnd w:id="82"/>
    </w:p>
    <w:p w14:paraId="64BD6C0B">
      <w:pPr>
        <w:pStyle w:val="3"/>
        <w:spacing w:line="560" w:lineRule="exact"/>
        <w:rPr>
          <w:rFonts w:ascii="Times New Roman" w:hAnsi="Times New Roman"/>
        </w:rPr>
      </w:pPr>
      <w:bookmarkStart w:id="83" w:name="_Toc20668_WPSOffice_Level2"/>
      <w:bookmarkStart w:id="84" w:name="_Toc15396619"/>
      <w:r>
        <w:rPr>
          <w:rFonts w:ascii="Times New Roman" w:hAnsi="Times New Roman"/>
        </w:rPr>
        <w:t>一、收入支出决算总表</w:t>
      </w:r>
      <w:bookmarkEnd w:id="83"/>
      <w:bookmarkEnd w:id="84"/>
    </w:p>
    <w:p w14:paraId="6D7E6D94">
      <w:pPr>
        <w:pStyle w:val="3"/>
        <w:spacing w:line="560" w:lineRule="exact"/>
        <w:rPr>
          <w:rFonts w:ascii="Times New Roman" w:hAnsi="Times New Roman"/>
        </w:rPr>
      </w:pPr>
      <w:bookmarkStart w:id="85" w:name="_Toc15396620"/>
      <w:bookmarkStart w:id="86" w:name="_Toc10880_WPSOffice_Level2"/>
      <w:r>
        <w:rPr>
          <w:rFonts w:ascii="Times New Roman" w:hAnsi="Times New Roman"/>
        </w:rPr>
        <w:t>二、收入决算表</w:t>
      </w:r>
      <w:bookmarkEnd w:id="85"/>
      <w:bookmarkEnd w:id="86"/>
    </w:p>
    <w:p w14:paraId="5FB3C95A">
      <w:pPr>
        <w:pStyle w:val="3"/>
        <w:spacing w:line="560" w:lineRule="exact"/>
        <w:rPr>
          <w:rFonts w:ascii="Times New Roman" w:hAnsi="Times New Roman"/>
        </w:rPr>
      </w:pPr>
      <w:bookmarkStart w:id="87" w:name="_Toc15396621"/>
      <w:bookmarkStart w:id="88" w:name="_Toc29846_WPSOffice_Level2"/>
      <w:r>
        <w:rPr>
          <w:rFonts w:ascii="Times New Roman" w:hAnsi="Times New Roman"/>
        </w:rPr>
        <w:t>三、支出决算表</w:t>
      </w:r>
      <w:bookmarkEnd w:id="87"/>
      <w:bookmarkEnd w:id="88"/>
    </w:p>
    <w:p w14:paraId="0DAB96A1">
      <w:pPr>
        <w:pStyle w:val="3"/>
        <w:spacing w:line="560" w:lineRule="exact"/>
        <w:rPr>
          <w:rFonts w:ascii="Times New Roman" w:hAnsi="Times New Roman"/>
        </w:rPr>
      </w:pPr>
      <w:bookmarkStart w:id="89" w:name="_Toc3492_WPSOffice_Level2"/>
      <w:bookmarkStart w:id="90" w:name="_Toc15396622"/>
      <w:r>
        <w:rPr>
          <w:rFonts w:ascii="Times New Roman" w:hAnsi="Times New Roman"/>
        </w:rPr>
        <w:t>四、财政拨款收入支出决算总表</w:t>
      </w:r>
      <w:bookmarkEnd w:id="89"/>
      <w:bookmarkEnd w:id="90"/>
    </w:p>
    <w:p w14:paraId="17A171E0">
      <w:pPr>
        <w:pStyle w:val="3"/>
        <w:spacing w:line="560" w:lineRule="exact"/>
        <w:rPr>
          <w:rFonts w:ascii="Times New Roman" w:hAnsi="Times New Roman"/>
        </w:rPr>
      </w:pPr>
      <w:bookmarkStart w:id="91" w:name="_Toc15396623"/>
      <w:bookmarkStart w:id="92" w:name="_Toc9278_WPSOffice_Level2"/>
      <w:r>
        <w:rPr>
          <w:rFonts w:ascii="Times New Roman" w:hAnsi="Times New Roman"/>
        </w:rPr>
        <w:t>五、财政拨款支出决算明细表</w:t>
      </w:r>
      <w:bookmarkEnd w:id="91"/>
      <w:bookmarkEnd w:id="92"/>
      <w:bookmarkStart w:id="93" w:name="_Toc15396624"/>
    </w:p>
    <w:p w14:paraId="4B87F630">
      <w:pPr>
        <w:pStyle w:val="3"/>
        <w:spacing w:line="560" w:lineRule="exact"/>
        <w:rPr>
          <w:rFonts w:ascii="Times New Roman" w:hAnsi="Times New Roman"/>
        </w:rPr>
      </w:pPr>
      <w:bookmarkStart w:id="94" w:name="_Toc9231_WPSOffice_Level2"/>
      <w:r>
        <w:rPr>
          <w:rFonts w:ascii="Times New Roman" w:hAnsi="Times New Roman"/>
        </w:rPr>
        <w:t>六、一般公共预算财政拨款支出决算表</w:t>
      </w:r>
      <w:bookmarkEnd w:id="93"/>
      <w:bookmarkEnd w:id="94"/>
    </w:p>
    <w:p w14:paraId="7D2A3346">
      <w:pPr>
        <w:pStyle w:val="3"/>
        <w:spacing w:line="560" w:lineRule="exact"/>
        <w:rPr>
          <w:rFonts w:ascii="Times New Roman" w:hAnsi="Times New Roman"/>
        </w:rPr>
      </w:pPr>
      <w:bookmarkStart w:id="95" w:name="_Toc24303_WPSOffice_Level2"/>
      <w:bookmarkStart w:id="96" w:name="_Toc15396625"/>
      <w:r>
        <w:rPr>
          <w:rFonts w:ascii="Times New Roman" w:hAnsi="Times New Roman"/>
        </w:rPr>
        <w:t>七、一般公共预算财政拨款支出决算明细表</w:t>
      </w:r>
      <w:bookmarkEnd w:id="95"/>
      <w:bookmarkEnd w:id="96"/>
    </w:p>
    <w:p w14:paraId="452BF30C">
      <w:pPr>
        <w:pStyle w:val="3"/>
        <w:spacing w:line="560" w:lineRule="exact"/>
        <w:rPr>
          <w:rFonts w:ascii="Times New Roman" w:hAnsi="Times New Roman"/>
        </w:rPr>
      </w:pPr>
      <w:bookmarkStart w:id="97" w:name="_Toc12234_WPSOffice_Level2"/>
      <w:bookmarkStart w:id="98" w:name="_Toc15396626"/>
      <w:r>
        <w:rPr>
          <w:rFonts w:ascii="Times New Roman" w:hAnsi="Times New Roman"/>
        </w:rPr>
        <w:t>八、一般公共预算财政拨款基本支出决算表</w:t>
      </w:r>
      <w:bookmarkEnd w:id="97"/>
      <w:bookmarkEnd w:id="98"/>
    </w:p>
    <w:p w14:paraId="2C78EB9A">
      <w:pPr>
        <w:pStyle w:val="3"/>
        <w:spacing w:line="560" w:lineRule="exact"/>
        <w:rPr>
          <w:rFonts w:ascii="Times New Roman" w:hAnsi="Times New Roman"/>
        </w:rPr>
      </w:pPr>
      <w:bookmarkStart w:id="99" w:name="_Toc26486_WPSOffice_Level2"/>
      <w:bookmarkStart w:id="100" w:name="_Toc15396627"/>
      <w:r>
        <w:rPr>
          <w:rFonts w:ascii="Times New Roman" w:hAnsi="Times New Roman"/>
        </w:rPr>
        <w:t>九、一般公共预算财政拨款项目支出决算表</w:t>
      </w:r>
      <w:bookmarkEnd w:id="99"/>
      <w:bookmarkEnd w:id="100"/>
    </w:p>
    <w:p w14:paraId="612C30BD">
      <w:pPr>
        <w:pStyle w:val="3"/>
        <w:spacing w:line="560" w:lineRule="exact"/>
        <w:rPr>
          <w:rFonts w:ascii="Times New Roman" w:hAnsi="Times New Roman"/>
        </w:rPr>
      </w:pPr>
      <w:bookmarkStart w:id="101" w:name="_Toc15396628"/>
      <w:bookmarkStart w:id="102" w:name="_Toc30124_WPSOffice_Level2"/>
      <w:r>
        <w:rPr>
          <w:rFonts w:ascii="Times New Roman" w:hAnsi="Times New Roman"/>
        </w:rPr>
        <w:t>十、一般公共预算财政拨款“三公”经费支出决算表</w:t>
      </w:r>
      <w:bookmarkEnd w:id="101"/>
      <w:bookmarkEnd w:id="102"/>
    </w:p>
    <w:p w14:paraId="56181164">
      <w:pPr>
        <w:pStyle w:val="3"/>
        <w:spacing w:line="560" w:lineRule="exact"/>
        <w:rPr>
          <w:rFonts w:ascii="Times New Roman" w:hAnsi="Times New Roman"/>
        </w:rPr>
      </w:pPr>
      <w:bookmarkStart w:id="103" w:name="_Toc20361_WPSOffice_Level2"/>
      <w:bookmarkStart w:id="104" w:name="_Toc15396629"/>
      <w:r>
        <w:rPr>
          <w:rFonts w:ascii="Times New Roman" w:hAnsi="Times New Roman"/>
        </w:rPr>
        <w:t>十一、政府性基金预算财政拨款收入支出决算表</w:t>
      </w:r>
      <w:bookmarkEnd w:id="103"/>
      <w:bookmarkEnd w:id="104"/>
    </w:p>
    <w:p w14:paraId="6E9AF55C">
      <w:pPr>
        <w:pStyle w:val="3"/>
        <w:spacing w:line="560" w:lineRule="exact"/>
        <w:rPr>
          <w:rFonts w:ascii="Times New Roman" w:hAnsi="Times New Roman"/>
        </w:rPr>
      </w:pPr>
      <w:bookmarkStart w:id="105" w:name="_Toc2022_WPSOffice_Level2"/>
      <w:bookmarkStart w:id="106" w:name="_Toc15396630"/>
      <w:r>
        <w:rPr>
          <w:rFonts w:ascii="Times New Roman" w:hAnsi="Times New Roman"/>
        </w:rPr>
        <w:t>十二、政府性基金预算财政拨款“三公”经费支出决算表</w:t>
      </w:r>
      <w:bookmarkEnd w:id="105"/>
      <w:bookmarkEnd w:id="106"/>
    </w:p>
    <w:p w14:paraId="0F64A1D5">
      <w:pPr>
        <w:pStyle w:val="3"/>
        <w:spacing w:line="560" w:lineRule="exact"/>
        <w:rPr>
          <w:rFonts w:ascii="Times New Roman" w:hAnsi="Times New Roman"/>
        </w:rPr>
      </w:pPr>
      <w:bookmarkStart w:id="107" w:name="_Toc21152_WPSOffice_Level2"/>
      <w:bookmarkStart w:id="108" w:name="_Toc15396631"/>
      <w:r>
        <w:rPr>
          <w:rFonts w:ascii="Times New Roman" w:hAnsi="Times New Roman"/>
        </w:rPr>
        <w:t>十三、国有资本经营预算财政拨款收入支出决算表</w:t>
      </w:r>
      <w:bookmarkEnd w:id="107"/>
      <w:bookmarkEnd w:id="108"/>
    </w:p>
    <w:p w14:paraId="3D7A7360">
      <w:pPr>
        <w:pStyle w:val="3"/>
        <w:spacing w:line="560" w:lineRule="exact"/>
        <w:rPr>
          <w:rFonts w:ascii="Times New Roman" w:hAnsi="Times New Roman"/>
        </w:rPr>
      </w:pPr>
      <w:bookmarkStart w:id="109" w:name="_Toc1525_WPSOffice_Level2"/>
      <w:r>
        <w:rPr>
          <w:rFonts w:ascii="Times New Roman" w:hAnsi="Times New Roman"/>
        </w:rPr>
        <w:t>十四、国有资本经营预算财政拨款支出决算表</w:t>
      </w:r>
      <w:bookmarkEnd w:id="109"/>
    </w:p>
    <w:p w14:paraId="6BBAD14F">
      <w:pPr>
        <w:pStyle w:val="3"/>
        <w:spacing w:line="560" w:lineRule="exact"/>
        <w:rPr>
          <w:rFonts w:ascii="Times New Roman" w:hAnsi="Times New Roman"/>
        </w:rPr>
      </w:pPr>
      <w:bookmarkStart w:id="110" w:name="_Toc9373_WPSOffice_Level2"/>
      <w:r>
        <w:rPr>
          <w:rFonts w:ascii="Times New Roman" w:hAnsi="Times New Roman"/>
        </w:rPr>
        <w:t>十五、机关运行经费、资产占用情况及政府采购支出信息表</w:t>
      </w:r>
      <w:bookmarkEnd w:id="110"/>
    </w:p>
    <w:p w14:paraId="7743F684">
      <w:pPr>
        <w:rPr>
          <w:rStyle w:val="18"/>
          <w:rFonts w:ascii="仿宋" w:hAnsi="仿宋" w:eastAsia="仿宋" w:cs="仿宋"/>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0C43F">
    <w:pPr>
      <w:pStyle w:val="9"/>
      <w:jc w:val="center"/>
    </w:pPr>
    <w:r>
      <w:fldChar w:fldCharType="begin"/>
    </w:r>
    <w:r>
      <w:instrText xml:space="preserve">PAGE   \* MERGEFORMAT</w:instrText>
    </w:r>
    <w:r>
      <w:fldChar w:fldCharType="separate"/>
    </w:r>
    <w:r>
      <w:rPr>
        <w:lang w:val="zh-CN"/>
      </w:rPr>
      <w:t>8</w:t>
    </w:r>
    <w:r>
      <w:rPr>
        <w:lang w:val="zh-CN"/>
      </w:rPr>
      <w:fldChar w:fldCharType="end"/>
    </w:r>
  </w:p>
  <w:p w14:paraId="1A58AF6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BFCB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A4033"/>
    <w:multiLevelType w:val="singleLevel"/>
    <w:tmpl w:val="A67A4033"/>
    <w:lvl w:ilvl="0" w:tentative="0">
      <w:start w:val="1"/>
      <w:numFmt w:val="decimal"/>
      <w:suff w:val="nothing"/>
      <w:lvlText w:val="（%1）"/>
      <w:lvlJc w:val="left"/>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F39C28E3"/>
    <w:multiLevelType w:val="singleLevel"/>
    <w:tmpl w:val="F39C28E3"/>
    <w:lvl w:ilvl="0" w:tentative="0">
      <w:start w:val="1"/>
      <w:numFmt w:val="decimal"/>
      <w:lvlText w:val="%1."/>
      <w:lvlJc w:val="left"/>
      <w:pPr>
        <w:tabs>
          <w:tab w:val="left" w:pos="312"/>
        </w:tabs>
      </w:pPr>
      <w:rPr>
        <w:rFonts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97A45"/>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80496"/>
    <w:rsid w:val="00294DC9"/>
    <w:rsid w:val="00295495"/>
    <w:rsid w:val="002A31DE"/>
    <w:rsid w:val="002B2613"/>
    <w:rsid w:val="002C1AA8"/>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76F62"/>
    <w:rsid w:val="0048044D"/>
    <w:rsid w:val="0048263A"/>
    <w:rsid w:val="00487E5D"/>
    <w:rsid w:val="004A711F"/>
    <w:rsid w:val="004B199D"/>
    <w:rsid w:val="004B4690"/>
    <w:rsid w:val="004D1187"/>
    <w:rsid w:val="004E0A2D"/>
    <w:rsid w:val="004E206B"/>
    <w:rsid w:val="004E6DF7"/>
    <w:rsid w:val="004F0FBD"/>
    <w:rsid w:val="00505A47"/>
    <w:rsid w:val="00512FDA"/>
    <w:rsid w:val="00520DA0"/>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867C4"/>
    <w:rsid w:val="006A3141"/>
    <w:rsid w:val="006A5E34"/>
    <w:rsid w:val="006B2422"/>
    <w:rsid w:val="006B2B9A"/>
    <w:rsid w:val="006C1937"/>
    <w:rsid w:val="006F020C"/>
    <w:rsid w:val="006F57DE"/>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86B0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574C"/>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2A92"/>
    <w:rsid w:val="00B440AA"/>
    <w:rsid w:val="00B44B70"/>
    <w:rsid w:val="00B46335"/>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3E00"/>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4895"/>
    <w:rsid w:val="00DC5A81"/>
    <w:rsid w:val="00DC68CA"/>
    <w:rsid w:val="00DC7CBA"/>
    <w:rsid w:val="00DD703E"/>
    <w:rsid w:val="00DD73B7"/>
    <w:rsid w:val="00DF28BC"/>
    <w:rsid w:val="00DF34B9"/>
    <w:rsid w:val="00E01053"/>
    <w:rsid w:val="00E07ACF"/>
    <w:rsid w:val="00E32CAD"/>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2A37"/>
    <w:rsid w:val="00F2408F"/>
    <w:rsid w:val="00F240E9"/>
    <w:rsid w:val="00F36D8F"/>
    <w:rsid w:val="00F417B1"/>
    <w:rsid w:val="00F45853"/>
    <w:rsid w:val="00F602DF"/>
    <w:rsid w:val="00F754A1"/>
    <w:rsid w:val="00F81FD9"/>
    <w:rsid w:val="00F841AA"/>
    <w:rsid w:val="00F84A94"/>
    <w:rsid w:val="00F87E96"/>
    <w:rsid w:val="00FA23E8"/>
    <w:rsid w:val="00FB6BCE"/>
    <w:rsid w:val="00FD3CC1"/>
    <w:rsid w:val="00FF1E02"/>
    <w:rsid w:val="00FF30B4"/>
    <w:rsid w:val="010B4162"/>
    <w:rsid w:val="0180771C"/>
    <w:rsid w:val="01A04385"/>
    <w:rsid w:val="01EF45D8"/>
    <w:rsid w:val="01EF5220"/>
    <w:rsid w:val="025B198A"/>
    <w:rsid w:val="026510C4"/>
    <w:rsid w:val="037E3475"/>
    <w:rsid w:val="038204B1"/>
    <w:rsid w:val="03A478A4"/>
    <w:rsid w:val="03AA3F69"/>
    <w:rsid w:val="03AC1BF4"/>
    <w:rsid w:val="03CE7F55"/>
    <w:rsid w:val="04047F21"/>
    <w:rsid w:val="0491173A"/>
    <w:rsid w:val="05555FB0"/>
    <w:rsid w:val="05924EF2"/>
    <w:rsid w:val="059B01FD"/>
    <w:rsid w:val="061C54B4"/>
    <w:rsid w:val="063F2A6A"/>
    <w:rsid w:val="066D039B"/>
    <w:rsid w:val="06E43EB9"/>
    <w:rsid w:val="07515D65"/>
    <w:rsid w:val="08121FC2"/>
    <w:rsid w:val="081243F8"/>
    <w:rsid w:val="08247BCF"/>
    <w:rsid w:val="09881E2A"/>
    <w:rsid w:val="0A2032A3"/>
    <w:rsid w:val="0B3640B0"/>
    <w:rsid w:val="0BDC239D"/>
    <w:rsid w:val="0C3057D5"/>
    <w:rsid w:val="0C4371A8"/>
    <w:rsid w:val="0D833258"/>
    <w:rsid w:val="0E4E6DDB"/>
    <w:rsid w:val="0EA6025A"/>
    <w:rsid w:val="0EF34D54"/>
    <w:rsid w:val="0F5868CC"/>
    <w:rsid w:val="0F8C1E8E"/>
    <w:rsid w:val="0FF25798"/>
    <w:rsid w:val="0FFA6D61"/>
    <w:rsid w:val="10512BF5"/>
    <w:rsid w:val="10C055FF"/>
    <w:rsid w:val="113353AA"/>
    <w:rsid w:val="118107EC"/>
    <w:rsid w:val="12B26CDB"/>
    <w:rsid w:val="131A7CA5"/>
    <w:rsid w:val="13C517A8"/>
    <w:rsid w:val="141C1DD7"/>
    <w:rsid w:val="14A33442"/>
    <w:rsid w:val="155112A2"/>
    <w:rsid w:val="157E0B0D"/>
    <w:rsid w:val="15B844AF"/>
    <w:rsid w:val="15E3277C"/>
    <w:rsid w:val="16631BC2"/>
    <w:rsid w:val="16913CF6"/>
    <w:rsid w:val="16A129FA"/>
    <w:rsid w:val="16BB723D"/>
    <w:rsid w:val="16E63070"/>
    <w:rsid w:val="1701217F"/>
    <w:rsid w:val="172F5C63"/>
    <w:rsid w:val="17D13482"/>
    <w:rsid w:val="1861645B"/>
    <w:rsid w:val="189A3BDC"/>
    <w:rsid w:val="18AA55BB"/>
    <w:rsid w:val="18D308E0"/>
    <w:rsid w:val="19D6138A"/>
    <w:rsid w:val="1A010B84"/>
    <w:rsid w:val="1A3112E7"/>
    <w:rsid w:val="1A9B7F86"/>
    <w:rsid w:val="1B7826A7"/>
    <w:rsid w:val="1BF226B8"/>
    <w:rsid w:val="1C7804B7"/>
    <w:rsid w:val="1C8D2AF5"/>
    <w:rsid w:val="1CF94208"/>
    <w:rsid w:val="1D050B4B"/>
    <w:rsid w:val="1D155CEE"/>
    <w:rsid w:val="1DC001C3"/>
    <w:rsid w:val="1E132539"/>
    <w:rsid w:val="1E7B0982"/>
    <w:rsid w:val="1F915765"/>
    <w:rsid w:val="1FE064B4"/>
    <w:rsid w:val="1FFF069A"/>
    <w:rsid w:val="20645114"/>
    <w:rsid w:val="240371BF"/>
    <w:rsid w:val="257956DC"/>
    <w:rsid w:val="26054BC7"/>
    <w:rsid w:val="26EE6996"/>
    <w:rsid w:val="27163DAB"/>
    <w:rsid w:val="277C45AF"/>
    <w:rsid w:val="27853E46"/>
    <w:rsid w:val="27BE7F3E"/>
    <w:rsid w:val="27E528B6"/>
    <w:rsid w:val="28271BE2"/>
    <w:rsid w:val="291E6264"/>
    <w:rsid w:val="299260B9"/>
    <w:rsid w:val="29FD04D3"/>
    <w:rsid w:val="2BC46AFE"/>
    <w:rsid w:val="2CAC54F7"/>
    <w:rsid w:val="2ECE2477"/>
    <w:rsid w:val="2F3B68DB"/>
    <w:rsid w:val="2FA245D4"/>
    <w:rsid w:val="2FDD69C3"/>
    <w:rsid w:val="2FEC025B"/>
    <w:rsid w:val="30290A0C"/>
    <w:rsid w:val="30D318E3"/>
    <w:rsid w:val="30E54607"/>
    <w:rsid w:val="315D197A"/>
    <w:rsid w:val="319F7F4E"/>
    <w:rsid w:val="348E46AA"/>
    <w:rsid w:val="34FF3FC0"/>
    <w:rsid w:val="350E7736"/>
    <w:rsid w:val="36ED0933"/>
    <w:rsid w:val="37280A07"/>
    <w:rsid w:val="381A1BBF"/>
    <w:rsid w:val="387F71B5"/>
    <w:rsid w:val="395B43D9"/>
    <w:rsid w:val="39947913"/>
    <w:rsid w:val="3A1457F0"/>
    <w:rsid w:val="3A47474C"/>
    <w:rsid w:val="3AB76C82"/>
    <w:rsid w:val="3B1633E1"/>
    <w:rsid w:val="3B3134A4"/>
    <w:rsid w:val="3B4515FF"/>
    <w:rsid w:val="3CAE406D"/>
    <w:rsid w:val="3D020035"/>
    <w:rsid w:val="3DD462ED"/>
    <w:rsid w:val="3F0C1D29"/>
    <w:rsid w:val="3F135629"/>
    <w:rsid w:val="3F474C9F"/>
    <w:rsid w:val="3FAA4DD0"/>
    <w:rsid w:val="40A347DD"/>
    <w:rsid w:val="40DB1A7C"/>
    <w:rsid w:val="410B3DD0"/>
    <w:rsid w:val="41BD1673"/>
    <w:rsid w:val="41CD1BF2"/>
    <w:rsid w:val="43126C4F"/>
    <w:rsid w:val="43183F35"/>
    <w:rsid w:val="43A85A4F"/>
    <w:rsid w:val="43B44229"/>
    <w:rsid w:val="4550621E"/>
    <w:rsid w:val="47C81C90"/>
    <w:rsid w:val="48843198"/>
    <w:rsid w:val="4AA05794"/>
    <w:rsid w:val="4BC23C8E"/>
    <w:rsid w:val="4C344297"/>
    <w:rsid w:val="4C3915A7"/>
    <w:rsid w:val="4CC433B9"/>
    <w:rsid w:val="4E5D0126"/>
    <w:rsid w:val="4ECE2238"/>
    <w:rsid w:val="507755E1"/>
    <w:rsid w:val="517C3CA1"/>
    <w:rsid w:val="521622F8"/>
    <w:rsid w:val="52925F09"/>
    <w:rsid w:val="534C4A66"/>
    <w:rsid w:val="536F4AF5"/>
    <w:rsid w:val="537A2D8D"/>
    <w:rsid w:val="538813D2"/>
    <w:rsid w:val="53EA719C"/>
    <w:rsid w:val="542D2EA6"/>
    <w:rsid w:val="545E57BC"/>
    <w:rsid w:val="558F752A"/>
    <w:rsid w:val="56E76013"/>
    <w:rsid w:val="578B006B"/>
    <w:rsid w:val="58144AC8"/>
    <w:rsid w:val="58593534"/>
    <w:rsid w:val="58801564"/>
    <w:rsid w:val="589804EC"/>
    <w:rsid w:val="5944076A"/>
    <w:rsid w:val="5A925F9C"/>
    <w:rsid w:val="5B6628B4"/>
    <w:rsid w:val="5B6A2E21"/>
    <w:rsid w:val="5C762AAB"/>
    <w:rsid w:val="5CAE78CD"/>
    <w:rsid w:val="5CCA2391"/>
    <w:rsid w:val="5D0402A2"/>
    <w:rsid w:val="5D2855CF"/>
    <w:rsid w:val="5E70043D"/>
    <w:rsid w:val="5F102585"/>
    <w:rsid w:val="5FF62F26"/>
    <w:rsid w:val="603C7D87"/>
    <w:rsid w:val="60B16F41"/>
    <w:rsid w:val="60D27603"/>
    <w:rsid w:val="60DA2E1E"/>
    <w:rsid w:val="612B7927"/>
    <w:rsid w:val="61766687"/>
    <w:rsid w:val="61DC0923"/>
    <w:rsid w:val="62D91EDD"/>
    <w:rsid w:val="63541A1D"/>
    <w:rsid w:val="639062ED"/>
    <w:rsid w:val="6540617C"/>
    <w:rsid w:val="65AA504E"/>
    <w:rsid w:val="65CE5022"/>
    <w:rsid w:val="668A2BC7"/>
    <w:rsid w:val="66970254"/>
    <w:rsid w:val="67055534"/>
    <w:rsid w:val="678705C6"/>
    <w:rsid w:val="683F0088"/>
    <w:rsid w:val="68626C30"/>
    <w:rsid w:val="68852758"/>
    <w:rsid w:val="68D278D3"/>
    <w:rsid w:val="692D23EB"/>
    <w:rsid w:val="69AD0522"/>
    <w:rsid w:val="6A90632E"/>
    <w:rsid w:val="6AA141BC"/>
    <w:rsid w:val="6B31448E"/>
    <w:rsid w:val="6B3669B9"/>
    <w:rsid w:val="6B3E175E"/>
    <w:rsid w:val="6BD70BE4"/>
    <w:rsid w:val="6C4A05C8"/>
    <w:rsid w:val="6CD52650"/>
    <w:rsid w:val="6CDC495D"/>
    <w:rsid w:val="6D13315C"/>
    <w:rsid w:val="6FB64C28"/>
    <w:rsid w:val="70152C4A"/>
    <w:rsid w:val="70510251"/>
    <w:rsid w:val="71896BA2"/>
    <w:rsid w:val="71A077D5"/>
    <w:rsid w:val="72734D90"/>
    <w:rsid w:val="728234C5"/>
    <w:rsid w:val="73432C00"/>
    <w:rsid w:val="740452FF"/>
    <w:rsid w:val="742812C9"/>
    <w:rsid w:val="74DD58F5"/>
    <w:rsid w:val="75102D33"/>
    <w:rsid w:val="75425B42"/>
    <w:rsid w:val="767C07B4"/>
    <w:rsid w:val="76C506A8"/>
    <w:rsid w:val="77D52660"/>
    <w:rsid w:val="785A3DFD"/>
    <w:rsid w:val="789F780D"/>
    <w:rsid w:val="799E5D97"/>
    <w:rsid w:val="79A167C2"/>
    <w:rsid w:val="7A0D3B5B"/>
    <w:rsid w:val="7C687F27"/>
    <w:rsid w:val="7D5E3BAD"/>
    <w:rsid w:val="7DFD1762"/>
    <w:rsid w:val="7E2100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Document Map"/>
    <w:basedOn w:val="1"/>
    <w:link w:val="33"/>
    <w:semiHidden/>
    <w:qFormat/>
    <w:uiPriority w:val="99"/>
    <w:pPr>
      <w:shd w:val="clear" w:color="auto" w:fill="000080"/>
    </w:pPr>
  </w:style>
  <w:style w:type="paragraph" w:styleId="6">
    <w:name w:val="Body Text"/>
    <w:basedOn w:val="1"/>
    <w:link w:val="28"/>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21"/>
    <w:qFormat/>
    <w:uiPriority w:val="99"/>
    <w:rPr>
      <w:sz w:val="18"/>
      <w:szCs w:val="18"/>
    </w:rPr>
  </w:style>
  <w:style w:type="paragraph" w:styleId="9">
    <w:name w:val="footer"/>
    <w:basedOn w:val="1"/>
    <w:link w:val="29"/>
    <w:qFormat/>
    <w:uiPriority w:val="99"/>
    <w:pPr>
      <w:tabs>
        <w:tab w:val="center" w:pos="4153"/>
        <w:tab w:val="right" w:pos="8306"/>
      </w:tabs>
      <w:snapToGrid w:val="0"/>
      <w:jc w:val="left"/>
    </w:pPr>
    <w:rPr>
      <w:kern w:val="0"/>
      <w:sz w:val="18"/>
      <w:szCs w:val="20"/>
    </w:rPr>
  </w:style>
  <w:style w:type="paragraph" w:styleId="10">
    <w:name w:val="header"/>
    <w:basedOn w:val="1"/>
    <w:link w:val="30"/>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semiHidden/>
    <w:qFormat/>
    <w:uiPriority w:val="99"/>
    <w:rPr>
      <w:rFonts w:ascii="Times New Roman" w:hAnsi="Times New Roman" w:cs="Times New Roman"/>
      <w:sz w:val="24"/>
      <w:szCs w:val="24"/>
    </w:rPr>
  </w:style>
  <w:style w:type="character" w:customStyle="1" w:styleId="21">
    <w:name w:val="批注框文本 Char"/>
    <w:basedOn w:val="14"/>
    <w:link w:val="8"/>
    <w:semiHidden/>
    <w:qFormat/>
    <w:locked/>
    <w:uiPriority w:val="99"/>
    <w:rPr>
      <w:rFonts w:ascii="Times New Roman" w:hAnsi="Times New Roman" w:cs="Times New Roman"/>
      <w:kern w:val="2"/>
      <w:sz w:val="18"/>
      <w:szCs w:val="18"/>
    </w:rPr>
  </w:style>
  <w:style w:type="character" w:customStyle="1" w:styleId="22">
    <w:name w:val="Footer Char"/>
    <w:basedOn w:val="14"/>
    <w:semiHidden/>
    <w:qFormat/>
    <w:uiPriority w:val="99"/>
    <w:rPr>
      <w:rFonts w:ascii="Times New Roman" w:hAnsi="Times New Roman" w:cs="Times New Roman"/>
      <w:sz w:val="18"/>
      <w:szCs w:val="18"/>
    </w:rPr>
  </w:style>
  <w:style w:type="character" w:customStyle="1" w:styleId="23">
    <w:name w:val="Header Char"/>
    <w:basedOn w:val="14"/>
    <w:semiHidden/>
    <w:qFormat/>
    <w:uiPriority w:val="99"/>
    <w:rPr>
      <w:rFonts w:ascii="Times New Roman" w:hAnsi="Times New Roman" w:cs="Times New Roman"/>
      <w:sz w:val="18"/>
      <w:szCs w:val="18"/>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出段落1"/>
    <w:basedOn w:val="1"/>
    <w:qFormat/>
    <w:uiPriority w:val="99"/>
    <w:pPr>
      <w:ind w:firstLine="420" w:firstLineChars="200"/>
    </w:pPr>
  </w:style>
  <w:style w:type="paragraph" w:customStyle="1" w:styleId="26">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27">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28">
    <w:name w:val="正文文本 Char"/>
    <w:link w:val="6"/>
    <w:qFormat/>
    <w:locked/>
    <w:uiPriority w:val="99"/>
    <w:rPr>
      <w:rFonts w:ascii="仿宋_GB2312" w:hAnsi="Times New Roman" w:eastAsia="仿宋_GB2312"/>
      <w:sz w:val="24"/>
    </w:rPr>
  </w:style>
  <w:style w:type="character" w:customStyle="1" w:styleId="29">
    <w:name w:val="页脚 Char"/>
    <w:link w:val="9"/>
    <w:qFormat/>
    <w:locked/>
    <w:uiPriority w:val="99"/>
    <w:rPr>
      <w:sz w:val="18"/>
    </w:rPr>
  </w:style>
  <w:style w:type="character" w:customStyle="1" w:styleId="30">
    <w:name w:val="页眉 Char"/>
    <w:link w:val="10"/>
    <w:semiHidden/>
    <w:qFormat/>
    <w:locked/>
    <w:uiPriority w:val="99"/>
    <w:rPr>
      <w:sz w:val="18"/>
    </w:rPr>
  </w:style>
  <w:style w:type="paragraph" w:customStyle="1" w:styleId="31">
    <w:name w:val="WPSOffice手动目录 1"/>
    <w:qFormat/>
    <w:uiPriority w:val="99"/>
    <w:rPr>
      <w:rFonts w:ascii="Calibri" w:hAnsi="Calibri" w:eastAsia="宋体" w:cs="Times New Roman"/>
      <w:lang w:val="en-US" w:eastAsia="zh-CN" w:bidi="ar-SA"/>
    </w:rPr>
  </w:style>
  <w:style w:type="paragraph" w:customStyle="1" w:styleId="32">
    <w:name w:val="WPSOffice手动目录 2"/>
    <w:qFormat/>
    <w:uiPriority w:val="99"/>
    <w:pPr>
      <w:ind w:left="200" w:leftChars="200"/>
    </w:pPr>
    <w:rPr>
      <w:rFonts w:ascii="Calibri" w:hAnsi="Calibri" w:eastAsia="宋体" w:cs="Times New Roman"/>
      <w:lang w:val="en-US" w:eastAsia="zh-CN" w:bidi="ar-SA"/>
    </w:rPr>
  </w:style>
  <w:style w:type="character" w:customStyle="1" w:styleId="33">
    <w:name w:val="文档结构图 Char"/>
    <w:basedOn w:val="14"/>
    <w:link w:val="5"/>
    <w:semiHidden/>
    <w:qFormat/>
    <w:uiPriority w:val="99"/>
    <w:rPr>
      <w:sz w:val="0"/>
      <w:szCs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Workbook1.xls"/><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Workbook6.xls"/><Relationship Id="rId17" Type="http://schemas.openxmlformats.org/officeDocument/2006/relationships/image" Target="media/image6.emf"/><Relationship Id="rId16" Type="http://schemas.openxmlformats.org/officeDocument/2006/relationships/oleObject" Target="embeddings/Workbook5.xls"/><Relationship Id="rId15" Type="http://schemas.openxmlformats.org/officeDocument/2006/relationships/image" Target="media/image5.emf"/><Relationship Id="rId14" Type="http://schemas.openxmlformats.org/officeDocument/2006/relationships/oleObject" Target="embeddings/Workbook4.xls"/><Relationship Id="rId13" Type="http://schemas.openxmlformats.org/officeDocument/2006/relationships/image" Target="media/image4.emf"/><Relationship Id="rId12" Type="http://schemas.openxmlformats.org/officeDocument/2006/relationships/oleObject" Target="embeddings/Workbook3.xls"/><Relationship Id="rId11" Type="http://schemas.openxmlformats.org/officeDocument/2006/relationships/image" Target="media/image3.emf"/><Relationship Id="rId10" Type="http://schemas.openxmlformats.org/officeDocument/2006/relationships/oleObject" Target="embeddings/Workbook2.xls"/><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42</Words>
  <Characters>50</Characters>
  <Lines>103</Lines>
  <Paragraphs>29</Paragraphs>
  <TotalTime>32</TotalTime>
  <ScaleCrop>false</ScaleCrop>
  <LinksUpToDate>false</LinksUpToDate>
  <CharactersWithSpaces>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gxs</cp:lastModifiedBy>
  <cp:lastPrinted>2021-07-29T03:56:00Z</cp:lastPrinted>
  <dcterms:modified xsi:type="dcterms:W3CDTF">2026-08-21T02:32:17Z</dcterms:modified>
  <dc:title>四川省***</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3805987428404A74A0349FC812AE947B</vt:lpwstr>
  </property>
  <property fmtid="{D5CDD505-2E9C-101B-9397-08002B2CF9AE}" pid="4" name="KSOTemplateDocerSaveRecord">
    <vt:lpwstr>eyJoZGlkIjoiMmI3OTJiMzRjNDY3MzkzNTlkOWEzMmJlZmMxM2U2MjMiLCJ1c2VySWQiOiIxNTUxOTg4MTE0In0=</vt:lpwstr>
  </property>
</Properties>
</file>