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ECD05">
      <w:pPr>
        <w:spacing w:line="600" w:lineRule="exact"/>
        <w:jc w:val="center"/>
        <w:outlineLvl w:val="0"/>
        <w:rPr>
          <w:rFonts w:hint="default" w:ascii="方正小标宋简体" w:hAnsi="宋体" w:eastAsia="方正小标宋简体"/>
          <w:color w:val="auto"/>
          <w:sz w:val="72"/>
          <w:szCs w:val="72"/>
          <w:highlight w:val="none"/>
          <w:lang w:val="en-US" w:eastAsia="zh-CN"/>
        </w:rPr>
      </w:pPr>
      <w:bookmarkStart w:id="0" w:name="_Toc15377193"/>
      <w:bookmarkStart w:id="1" w:name="_Toc15396475"/>
      <w:bookmarkStart w:id="2" w:name="_Toc15378441"/>
      <w:bookmarkStart w:id="3" w:name="_Toc15396597"/>
      <w:bookmarkStart w:id="4" w:name="_Toc15377425"/>
      <w:bookmarkStart w:id="5" w:name="_Toc15306267"/>
    </w:p>
    <w:p w14:paraId="548AFD55">
      <w:pPr>
        <w:spacing w:line="600" w:lineRule="exact"/>
        <w:jc w:val="center"/>
        <w:outlineLvl w:val="0"/>
        <w:rPr>
          <w:rFonts w:ascii="方正小标宋简体" w:hAnsi="宋体" w:eastAsia="方正小标宋简体"/>
          <w:color w:val="auto"/>
          <w:sz w:val="72"/>
          <w:szCs w:val="72"/>
          <w:highlight w:val="none"/>
        </w:rPr>
      </w:pPr>
    </w:p>
    <w:p w14:paraId="6A7CD9F2">
      <w:pPr>
        <w:spacing w:line="600" w:lineRule="exact"/>
        <w:jc w:val="center"/>
        <w:outlineLvl w:val="0"/>
        <w:rPr>
          <w:rFonts w:ascii="方正小标宋简体" w:hAnsi="宋体" w:eastAsia="方正小标宋简体"/>
          <w:color w:val="auto"/>
          <w:sz w:val="72"/>
          <w:szCs w:val="72"/>
          <w:highlight w:val="none"/>
        </w:rPr>
      </w:pPr>
    </w:p>
    <w:p w14:paraId="2E153ACD">
      <w:pPr>
        <w:spacing w:line="600" w:lineRule="exact"/>
        <w:jc w:val="center"/>
        <w:outlineLvl w:val="0"/>
        <w:rPr>
          <w:rFonts w:ascii="方正小标宋简体" w:hAnsi="宋体" w:eastAsia="方正小标宋简体"/>
          <w:color w:val="auto"/>
          <w:sz w:val="72"/>
          <w:szCs w:val="72"/>
          <w:highlight w:val="none"/>
        </w:rPr>
      </w:pPr>
    </w:p>
    <w:p w14:paraId="5246EA5A">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21</w:t>
      </w:r>
      <w:r>
        <w:rPr>
          <w:rFonts w:hint="eastAsia" w:ascii="方正小标宋简体" w:hAnsi="方正小标宋简体" w:eastAsia="方正小标宋简体" w:cs="方正小标宋简体"/>
          <w:color w:val="auto"/>
          <w:sz w:val="72"/>
          <w:szCs w:val="72"/>
          <w:highlight w:val="none"/>
        </w:rPr>
        <w:t>年度</w:t>
      </w:r>
      <w:bookmarkEnd w:id="0"/>
      <w:bookmarkEnd w:id="1"/>
      <w:bookmarkEnd w:id="2"/>
      <w:bookmarkEnd w:id="3"/>
      <w:bookmarkEnd w:id="4"/>
    </w:p>
    <w:p w14:paraId="2E8210DC">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bookmarkStart w:id="6" w:name="_Toc15396598"/>
      <w:bookmarkStart w:id="7" w:name="_Toc15377194"/>
      <w:bookmarkStart w:id="8" w:name="_Toc15377426"/>
      <w:bookmarkStart w:id="9" w:name="_Toc15378442"/>
      <w:bookmarkStart w:id="10" w:name="_Toc15396476"/>
      <w:r>
        <w:rPr>
          <w:rFonts w:hint="eastAsia" w:ascii="方正小标宋简体" w:hAnsi="方正小标宋简体" w:eastAsia="方正小标宋简体" w:cs="方正小标宋简体"/>
          <w:color w:val="auto"/>
          <w:sz w:val="72"/>
          <w:szCs w:val="72"/>
          <w:highlight w:val="none"/>
          <w:lang w:eastAsia="zh-CN"/>
        </w:rPr>
        <w:t>米易县</w:t>
      </w:r>
      <w:bookmarkEnd w:id="5"/>
      <w:bookmarkStart w:id="11" w:name="_Toc15306268"/>
      <w:r>
        <w:rPr>
          <w:rFonts w:hint="eastAsia" w:ascii="方正小标宋简体" w:hAnsi="方正小标宋简体" w:eastAsia="方正小标宋简体" w:cs="方正小标宋简体"/>
          <w:color w:val="auto"/>
          <w:sz w:val="72"/>
          <w:szCs w:val="72"/>
          <w:highlight w:val="none"/>
          <w:lang w:val="en-US" w:eastAsia="zh-CN"/>
        </w:rPr>
        <w:t>妇女联合会</w:t>
      </w:r>
      <w:r>
        <w:rPr>
          <w:rFonts w:hint="eastAsia" w:ascii="方正小标宋简体" w:hAnsi="方正小标宋简体" w:eastAsia="方正小标宋简体" w:cs="方正小标宋简体"/>
          <w:color w:val="auto"/>
          <w:sz w:val="72"/>
          <w:szCs w:val="72"/>
          <w:highlight w:val="none"/>
        </w:rPr>
        <w:t>决算</w:t>
      </w:r>
      <w:bookmarkEnd w:id="6"/>
      <w:bookmarkEnd w:id="7"/>
      <w:bookmarkEnd w:id="8"/>
      <w:bookmarkEnd w:id="9"/>
      <w:bookmarkEnd w:id="10"/>
      <w:bookmarkEnd w:id="11"/>
    </w:p>
    <w:p w14:paraId="04A4D34A">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14:paraId="4CB98D79">
      <w:pPr>
        <w:widowControl/>
        <w:jc w:val="center"/>
        <w:rPr>
          <w:rFonts w:ascii="黑体" w:hAnsi="黑体" w:eastAsia="黑体" w:cstheme="minorBidi"/>
          <w:color w:val="auto"/>
          <w:sz w:val="28"/>
          <w:szCs w:val="28"/>
          <w:highlight w:val="none"/>
        </w:rPr>
      </w:pPr>
    </w:p>
    <w:p w14:paraId="01E5FE51">
      <w:pPr>
        <w:pStyle w:val="10"/>
        <w:rPr>
          <w:color w:val="auto"/>
          <w:highlight w:val="none"/>
        </w:rPr>
      </w:pPr>
      <w:r>
        <w:rPr>
          <w:rFonts w:hint="eastAsia"/>
          <w:color w:val="auto"/>
          <w:highlight w:val="none"/>
        </w:rPr>
        <w:t>公开时间：20</w:t>
      </w:r>
      <w:r>
        <w:rPr>
          <w:rFonts w:hint="eastAsia"/>
          <w:color w:val="auto"/>
          <w:highlight w:val="none"/>
          <w:lang w:val="en-US" w:eastAsia="zh-CN"/>
        </w:rPr>
        <w:t>22</w:t>
      </w:r>
      <w:r>
        <w:rPr>
          <w:rFonts w:hint="eastAsia"/>
          <w:color w:val="auto"/>
          <w:highlight w:val="none"/>
        </w:rPr>
        <w:t>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29</w:t>
      </w:r>
      <w:r>
        <w:rPr>
          <w:rFonts w:hint="eastAsia"/>
          <w:color w:val="auto"/>
          <w:highlight w:val="none"/>
        </w:rPr>
        <w:t>日</w:t>
      </w:r>
    </w:p>
    <w:p w14:paraId="0463C81A">
      <w:pPr>
        <w:rPr>
          <w:color w:val="auto"/>
          <w:highlight w:val="none"/>
        </w:rPr>
      </w:pPr>
    </w:p>
    <w:p w14:paraId="5232E8A6">
      <w:pPr>
        <w:pStyle w:val="10"/>
        <w:adjustRightInd w:val="0"/>
        <w:snapToGrid w:val="0"/>
        <w:spacing w:before="0" w:line="440" w:lineRule="exact"/>
        <w:jc w:val="left"/>
        <w:rPr>
          <w:rFonts w:hint="default" w:eastAsia="仿宋" w:cstheme="minorBidi"/>
          <w:color w:val="auto"/>
          <w:sz w:val="24"/>
          <w:szCs w:val="24"/>
          <w:highlight w:val="none"/>
          <w:lang w:val="en-US" w:eastAsia="zh-CN"/>
        </w:rPr>
      </w:pPr>
      <w:r>
        <w:rPr>
          <w:rFonts w:hint="eastAsia"/>
          <w:color w:val="auto"/>
          <w:sz w:val="24"/>
          <w:highlight w:val="none"/>
        </w:rPr>
        <w:t>第一部分</w:t>
      </w:r>
      <w:r>
        <w:rPr>
          <w:color w:val="auto"/>
          <w:sz w:val="24"/>
          <w:highlight w:val="none"/>
        </w:rPr>
        <w:t xml:space="preserve"> </w:t>
      </w:r>
      <w:r>
        <w:rPr>
          <w:rFonts w:hint="eastAsia"/>
          <w:color w:val="auto"/>
          <w:sz w:val="24"/>
          <w:highlight w:val="none"/>
        </w:rPr>
        <w:t>部门概况</w:t>
      </w:r>
      <w:r>
        <w:rPr>
          <w:rFonts w:hint="eastAsia"/>
          <w:color w:val="auto"/>
          <w:sz w:val="24"/>
          <w:highlight w:val="none"/>
          <w:lang w:val="en-US" w:eastAsia="zh-CN"/>
        </w:rPr>
        <w:t>.................................................4</w:t>
      </w:r>
    </w:p>
    <w:p w14:paraId="7AFB3D9A">
      <w:pPr>
        <w:pStyle w:val="11"/>
        <w:adjustRightInd w:val="0"/>
        <w:snapToGrid w:val="0"/>
        <w:spacing w:line="440" w:lineRule="exact"/>
        <w:jc w:val="left"/>
        <w:rPr>
          <w:rFonts w:hint="default"/>
          <w:color w:val="auto"/>
          <w:sz w:val="24"/>
          <w:highlight w:val="none"/>
          <w:lang w:val="en-US"/>
        </w:rPr>
      </w:pPr>
      <w:r>
        <w:rPr>
          <w:rFonts w:hint="eastAsia"/>
          <w:color w:val="auto"/>
          <w:sz w:val="24"/>
          <w:highlight w:val="none"/>
        </w:rPr>
        <w:t>一、基本职能及主要工</w:t>
      </w:r>
      <w:r>
        <w:rPr>
          <w:rFonts w:hint="eastAsia"/>
          <w:color w:val="auto"/>
          <w:sz w:val="24"/>
          <w:highlight w:val="none"/>
          <w:lang w:val="en-US" w:eastAsia="zh-CN"/>
        </w:rPr>
        <w:t>作.................................................................................4</w:t>
      </w:r>
    </w:p>
    <w:p w14:paraId="56D49287">
      <w:pPr>
        <w:pStyle w:val="10"/>
        <w:adjustRightInd w:val="0"/>
        <w:snapToGrid w:val="0"/>
        <w:spacing w:before="0" w:line="440" w:lineRule="exact"/>
        <w:jc w:val="left"/>
        <w:rPr>
          <w:rFonts w:hint="default" w:eastAsia="仿宋"/>
          <w:color w:val="auto"/>
          <w:sz w:val="24"/>
          <w:szCs w:val="24"/>
          <w:highlight w:val="none"/>
          <w:lang w:val="en-US" w:eastAsia="zh-CN"/>
        </w:rPr>
      </w:pPr>
      <w:r>
        <w:rPr>
          <w:rFonts w:hint="eastAsia"/>
          <w:color w:val="auto"/>
          <w:sz w:val="24"/>
          <w:highlight w:val="none"/>
        </w:rPr>
        <w:t>第二部分</w:t>
      </w:r>
      <w:r>
        <w:rPr>
          <w:rFonts w:hint="eastAsia"/>
          <w:color w:val="auto"/>
          <w:sz w:val="24"/>
          <w:highlight w:val="none"/>
          <w:lang w:val="en-US" w:eastAsia="zh-CN"/>
        </w:rPr>
        <w:t xml:space="preserve"> 2021年度</w:t>
      </w:r>
      <w:r>
        <w:rPr>
          <w:rFonts w:hint="eastAsia"/>
          <w:color w:val="auto"/>
          <w:sz w:val="24"/>
          <w:highlight w:val="none"/>
        </w:rPr>
        <w:t>部门决算情况说明</w:t>
      </w:r>
      <w:r>
        <w:rPr>
          <w:rFonts w:hint="eastAsia"/>
          <w:color w:val="auto"/>
          <w:sz w:val="24"/>
          <w:highlight w:val="none"/>
          <w:lang w:val="en-US" w:eastAsia="zh-CN"/>
        </w:rPr>
        <w:t>.................................5</w:t>
      </w:r>
    </w:p>
    <w:p w14:paraId="1743B090">
      <w:pPr>
        <w:pStyle w:val="11"/>
        <w:adjustRightInd w:val="0"/>
        <w:snapToGrid w:val="0"/>
        <w:spacing w:line="440" w:lineRule="exact"/>
        <w:jc w:val="left"/>
        <w:rPr>
          <w:rFonts w:hint="default"/>
          <w:color w:val="auto"/>
          <w:sz w:val="24"/>
          <w:highlight w:val="none"/>
          <w:lang w:val="en-US" w:eastAsia="zh-CN"/>
        </w:rPr>
      </w:pPr>
      <w:r>
        <w:rPr>
          <w:rFonts w:hint="eastAsia"/>
          <w:color w:val="auto"/>
          <w:sz w:val="24"/>
          <w:highlight w:val="none"/>
        </w:rPr>
        <w:t>一、收入支出决算总体情况说明</w:t>
      </w:r>
      <w:r>
        <w:rPr>
          <w:rFonts w:hint="eastAsia"/>
          <w:color w:val="auto"/>
          <w:sz w:val="24"/>
          <w:highlight w:val="none"/>
          <w:lang w:val="en-US" w:eastAsia="zh-CN"/>
        </w:rPr>
        <w:t>.....................................................................5</w:t>
      </w:r>
    </w:p>
    <w:p w14:paraId="0DA8EF4C">
      <w:pPr>
        <w:pStyle w:val="11"/>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二、收入决算情况说明</w:t>
      </w:r>
      <w:r>
        <w:rPr>
          <w:rFonts w:hint="eastAsia"/>
          <w:color w:val="auto"/>
          <w:sz w:val="24"/>
          <w:highlight w:val="none"/>
          <w:lang w:val="en-US" w:eastAsia="zh-CN"/>
        </w:rPr>
        <w:t>....................................................................................6</w:t>
      </w:r>
    </w:p>
    <w:p w14:paraId="6CE1CC29">
      <w:pPr>
        <w:pStyle w:val="11"/>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三、支出决算情况说明</w:t>
      </w:r>
      <w:r>
        <w:rPr>
          <w:rFonts w:hint="eastAsia"/>
          <w:color w:val="auto"/>
          <w:sz w:val="24"/>
          <w:highlight w:val="none"/>
          <w:lang w:val="en-US" w:eastAsia="zh-CN"/>
        </w:rPr>
        <w:t>....................................................................................7</w:t>
      </w:r>
    </w:p>
    <w:p w14:paraId="440E409E">
      <w:pPr>
        <w:pStyle w:val="11"/>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四、财政拨款收入支出决算总体情况说明</w:t>
      </w:r>
      <w:r>
        <w:rPr>
          <w:rFonts w:hint="eastAsia"/>
          <w:color w:val="auto"/>
          <w:sz w:val="24"/>
          <w:highlight w:val="none"/>
          <w:lang w:val="en-US" w:eastAsia="zh-CN"/>
        </w:rPr>
        <w:t>....................................................7</w:t>
      </w:r>
    </w:p>
    <w:p w14:paraId="58F723C0">
      <w:pPr>
        <w:pStyle w:val="11"/>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五、一般公共预算财政拨款支出决算情况说明</w:t>
      </w:r>
      <w:r>
        <w:rPr>
          <w:rFonts w:hint="eastAsia"/>
          <w:color w:val="auto"/>
          <w:sz w:val="24"/>
          <w:highlight w:val="none"/>
          <w:lang w:val="en-US" w:eastAsia="zh-CN"/>
        </w:rPr>
        <w:t>.............................................8</w:t>
      </w:r>
    </w:p>
    <w:p w14:paraId="6A4EC703">
      <w:pPr>
        <w:pStyle w:val="11"/>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六、一般公共预算财政拨款基本支出决算情况说明</w:t>
      </w:r>
      <w:r>
        <w:rPr>
          <w:rFonts w:hint="eastAsia"/>
          <w:color w:val="auto"/>
          <w:sz w:val="24"/>
          <w:highlight w:val="none"/>
          <w:lang w:val="en-US" w:eastAsia="zh-CN"/>
        </w:rPr>
        <w:t>....................................10</w:t>
      </w:r>
    </w:p>
    <w:p w14:paraId="2528BE69">
      <w:pPr>
        <w:pStyle w:val="11"/>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七、</w:t>
      </w:r>
      <w:r>
        <w:rPr>
          <w:rFonts w:hint="eastAsia"/>
          <w:color w:val="auto"/>
          <w:sz w:val="24"/>
          <w:highlight w:val="none"/>
          <w:lang w:eastAsia="zh-CN"/>
        </w:rPr>
        <w:t>“</w:t>
      </w:r>
      <w:r>
        <w:rPr>
          <w:rFonts w:hint="eastAsia"/>
          <w:color w:val="auto"/>
          <w:sz w:val="24"/>
          <w:highlight w:val="none"/>
        </w:rPr>
        <w:t>三公”经费财政拨款支出决算情况说明</w:t>
      </w:r>
      <w:r>
        <w:rPr>
          <w:rFonts w:hint="eastAsia"/>
          <w:color w:val="auto"/>
          <w:sz w:val="24"/>
          <w:highlight w:val="none"/>
          <w:lang w:val="en-US" w:eastAsia="zh-CN"/>
        </w:rPr>
        <w:t>..............................................10</w:t>
      </w:r>
    </w:p>
    <w:p w14:paraId="3965DDB2">
      <w:pPr>
        <w:pStyle w:val="11"/>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八、政府性基金预算支出决算情况说明</w:t>
      </w:r>
      <w:r>
        <w:rPr>
          <w:rFonts w:hint="eastAsia"/>
          <w:color w:val="auto"/>
          <w:sz w:val="24"/>
          <w:highlight w:val="none"/>
          <w:lang w:val="en-US" w:eastAsia="zh-CN"/>
        </w:rPr>
        <w:t>........................................................12</w:t>
      </w:r>
    </w:p>
    <w:p w14:paraId="03AB3B0E">
      <w:pPr>
        <w:pStyle w:val="11"/>
        <w:adjustRightInd w:val="0"/>
        <w:snapToGrid w:val="0"/>
        <w:spacing w:line="440" w:lineRule="exact"/>
        <w:ind w:leftChars="0"/>
        <w:jc w:val="left"/>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九、</w:t>
      </w:r>
      <w:r>
        <w:rPr>
          <w:rFonts w:hint="eastAsia" w:asciiTheme="minorEastAsia" w:hAnsiTheme="minorEastAsia" w:eastAsiaTheme="minorEastAsia" w:cstheme="minorEastAsia"/>
          <w:color w:val="auto"/>
          <w:sz w:val="24"/>
          <w:highlight w:val="none"/>
          <w:lang w:eastAsia="zh-CN"/>
        </w:rPr>
        <w:t>国</w:t>
      </w:r>
      <w:r>
        <w:rPr>
          <w:rFonts w:hint="eastAsia" w:asciiTheme="minorEastAsia" w:hAnsiTheme="minorEastAsia" w:eastAsiaTheme="minorEastAsia" w:cstheme="minorEastAsia"/>
          <w:color w:val="auto"/>
          <w:sz w:val="24"/>
          <w:highlight w:val="none"/>
        </w:rPr>
        <w:t>有资本经营预算支出决算情况说明</w:t>
      </w:r>
      <w:r>
        <w:rPr>
          <w:rFonts w:hint="eastAsia" w:asciiTheme="minorEastAsia" w:hAnsiTheme="minorEastAsia" w:eastAsiaTheme="minorEastAsia" w:cstheme="minorEastAsia"/>
          <w:color w:val="auto"/>
          <w:sz w:val="24"/>
          <w:highlight w:val="none"/>
          <w:lang w:val="en-US" w:eastAsia="zh-CN"/>
        </w:rPr>
        <w:t>..........................12</w:t>
      </w:r>
    </w:p>
    <w:p w14:paraId="587A6C59">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20" w:firstLineChars="175"/>
        <w:jc w:val="left"/>
        <w:textAlignment w:val="auto"/>
        <w:rPr>
          <w:rFonts w:hint="eastAsia" w:asciiTheme="minorEastAsia" w:hAnsiTheme="minorEastAsia" w:eastAsiaTheme="minorEastAsia" w:cstheme="minorEastAsia"/>
          <w:color w:val="auto"/>
          <w:sz w:val="24"/>
          <w:highlight w:val="none"/>
        </w:rPr>
      </w:pPr>
      <w:r>
        <w:rPr>
          <w:rStyle w:val="15"/>
          <w:rFonts w:hint="eastAsia" w:asciiTheme="minorEastAsia" w:hAnsiTheme="minorEastAsia" w:eastAsiaTheme="minorEastAsia" w:cstheme="minorEastAsia"/>
          <w:color w:val="auto"/>
          <w:sz w:val="24"/>
          <w:highlight w:val="none"/>
          <w:u w:val="none"/>
          <w:lang w:eastAsia="zh-CN"/>
        </w:rPr>
        <w:t>十</w:t>
      </w:r>
      <w:r>
        <w:rPr>
          <w:rStyle w:val="15"/>
          <w:rFonts w:hint="eastAsia" w:asciiTheme="minorEastAsia" w:hAnsiTheme="minorEastAsia" w:eastAsiaTheme="minorEastAsia" w:cstheme="minorEastAsia"/>
          <w:color w:val="auto"/>
          <w:sz w:val="24"/>
          <w:highlight w:val="none"/>
          <w:u w:val="none"/>
        </w:rPr>
        <w:t>、</w:t>
      </w:r>
      <w:r>
        <w:rPr>
          <w:rFonts w:hint="eastAsia" w:asciiTheme="minorEastAsia" w:hAnsiTheme="minorEastAsia" w:eastAsiaTheme="minorEastAsia" w:cstheme="minorEastAsia"/>
          <w:color w:val="auto"/>
          <w:sz w:val="24"/>
          <w:highlight w:val="none"/>
        </w:rPr>
        <w:t>其他重要事项的情况说明</w:t>
      </w:r>
      <w:r>
        <w:rPr>
          <w:rFonts w:hint="eastAsia" w:asciiTheme="minorEastAsia" w:hAnsiTheme="minorEastAsia" w:eastAsiaTheme="minorEastAsia" w:cstheme="minorEastAsia"/>
          <w:color w:val="auto"/>
          <w:sz w:val="24"/>
          <w:highlight w:val="none"/>
          <w:lang w:val="en-US" w:eastAsia="zh-CN"/>
        </w:rPr>
        <w:t>....................................12</w:t>
      </w:r>
    </w:p>
    <w:p w14:paraId="1154794F">
      <w:pPr>
        <w:pStyle w:val="10"/>
        <w:adjustRightInd w:val="0"/>
        <w:snapToGrid w:val="0"/>
        <w:spacing w:before="0" w:line="440" w:lineRule="exact"/>
        <w:jc w:val="left"/>
        <w:rPr>
          <w:rFonts w:hint="default" w:eastAsia="仿宋" w:cstheme="minorBidi"/>
          <w:color w:val="auto"/>
          <w:sz w:val="24"/>
          <w:szCs w:val="24"/>
          <w:highlight w:val="none"/>
          <w:lang w:val="en-US" w:eastAsia="zh-CN"/>
        </w:rPr>
      </w:pPr>
      <w:r>
        <w:rPr>
          <w:rFonts w:hint="eastAsia"/>
          <w:color w:val="auto"/>
          <w:sz w:val="24"/>
          <w:highlight w:val="none"/>
        </w:rPr>
        <w:t>第三部分</w:t>
      </w:r>
      <w:r>
        <w:rPr>
          <w:color w:val="auto"/>
          <w:sz w:val="24"/>
          <w:highlight w:val="none"/>
        </w:rPr>
        <w:t xml:space="preserve"> </w:t>
      </w:r>
      <w:r>
        <w:rPr>
          <w:rFonts w:hint="eastAsia"/>
          <w:color w:val="auto"/>
          <w:sz w:val="24"/>
          <w:highlight w:val="none"/>
        </w:rPr>
        <w:t>名词解释</w:t>
      </w:r>
      <w:r>
        <w:rPr>
          <w:rFonts w:hint="eastAsia"/>
          <w:color w:val="auto"/>
          <w:sz w:val="24"/>
          <w:highlight w:val="none"/>
          <w:lang w:val="en-US" w:eastAsia="zh-CN"/>
        </w:rPr>
        <w:t>.................................................16</w:t>
      </w:r>
    </w:p>
    <w:p w14:paraId="1E33B28D">
      <w:pPr>
        <w:pStyle w:val="10"/>
        <w:adjustRightInd w:val="0"/>
        <w:snapToGrid w:val="0"/>
        <w:spacing w:before="0" w:line="440" w:lineRule="exact"/>
        <w:jc w:val="left"/>
        <w:rPr>
          <w:rFonts w:hint="default" w:eastAsia="仿宋" w:cstheme="minorBidi"/>
          <w:color w:val="auto"/>
          <w:sz w:val="24"/>
          <w:szCs w:val="24"/>
          <w:highlight w:val="none"/>
          <w:lang w:val="en-US" w:eastAsia="zh-CN"/>
        </w:rPr>
      </w:pPr>
      <w:r>
        <w:rPr>
          <w:rFonts w:hint="eastAsia"/>
          <w:color w:val="auto"/>
          <w:sz w:val="24"/>
          <w:highlight w:val="none"/>
        </w:rPr>
        <w:t>第四部分</w:t>
      </w:r>
      <w:r>
        <w:rPr>
          <w:color w:val="auto"/>
          <w:sz w:val="24"/>
          <w:highlight w:val="none"/>
        </w:rPr>
        <w:t xml:space="preserve"> </w:t>
      </w:r>
      <w:r>
        <w:rPr>
          <w:rFonts w:hint="eastAsia"/>
          <w:color w:val="auto"/>
          <w:sz w:val="24"/>
          <w:highlight w:val="none"/>
        </w:rPr>
        <w:t>附件</w:t>
      </w:r>
      <w:r>
        <w:rPr>
          <w:rFonts w:hint="eastAsia"/>
          <w:color w:val="auto"/>
          <w:sz w:val="24"/>
          <w:highlight w:val="none"/>
          <w:lang w:val="en-US" w:eastAsia="zh-CN"/>
        </w:rPr>
        <w:t>.....................................................18</w:t>
      </w:r>
    </w:p>
    <w:p w14:paraId="5D835600">
      <w:pPr>
        <w:pStyle w:val="10"/>
        <w:adjustRightInd w:val="0"/>
        <w:snapToGrid w:val="0"/>
        <w:spacing w:before="0" w:line="440" w:lineRule="exact"/>
        <w:jc w:val="left"/>
        <w:rPr>
          <w:rFonts w:hint="default" w:eastAsia="仿宋" w:cstheme="minorBidi"/>
          <w:color w:val="auto"/>
          <w:sz w:val="24"/>
          <w:szCs w:val="24"/>
          <w:highlight w:val="none"/>
          <w:lang w:val="en-US" w:eastAsia="zh-CN"/>
        </w:rPr>
      </w:pPr>
      <w:r>
        <w:rPr>
          <w:rFonts w:hint="eastAsia"/>
          <w:color w:val="auto"/>
          <w:sz w:val="24"/>
          <w:highlight w:val="none"/>
        </w:rPr>
        <w:t>第五部分</w:t>
      </w:r>
      <w:r>
        <w:rPr>
          <w:color w:val="auto"/>
          <w:sz w:val="24"/>
          <w:highlight w:val="none"/>
        </w:rPr>
        <w:t xml:space="preserve"> </w:t>
      </w:r>
      <w:r>
        <w:rPr>
          <w:rFonts w:hint="eastAsia"/>
          <w:color w:val="auto"/>
          <w:sz w:val="24"/>
          <w:highlight w:val="none"/>
        </w:rPr>
        <w:t>附表</w:t>
      </w:r>
      <w:r>
        <w:rPr>
          <w:rFonts w:hint="eastAsia"/>
          <w:color w:val="auto"/>
          <w:sz w:val="24"/>
          <w:highlight w:val="none"/>
          <w:lang w:val="en-US" w:eastAsia="zh-CN"/>
        </w:rPr>
        <w:t>.....................................................25</w:t>
      </w:r>
    </w:p>
    <w:p w14:paraId="3887CE13">
      <w:pPr>
        <w:pStyle w:val="11"/>
        <w:adjustRightInd w:val="0"/>
        <w:snapToGrid w:val="0"/>
        <w:spacing w:line="440" w:lineRule="exact"/>
        <w:jc w:val="left"/>
        <w:rPr>
          <w:rFonts w:hint="eastAsia"/>
          <w:color w:val="auto"/>
          <w:sz w:val="24"/>
          <w:highlight w:val="none"/>
        </w:rPr>
      </w:pPr>
      <w:r>
        <w:rPr>
          <w:rFonts w:hint="eastAsia" w:ascii="仿宋" w:hAnsi="仿宋" w:eastAsia="仿宋"/>
          <w:color w:val="auto"/>
          <w:sz w:val="24"/>
          <w:highlight w:val="none"/>
        </w:rPr>
        <w:t>一、</w:t>
      </w:r>
      <w:r>
        <w:rPr>
          <w:rFonts w:hint="eastAsia"/>
          <w:color w:val="auto"/>
          <w:sz w:val="24"/>
          <w:highlight w:val="none"/>
        </w:rPr>
        <w:t>收入支出决算总表</w:t>
      </w:r>
    </w:p>
    <w:p w14:paraId="2D8892BD">
      <w:pPr>
        <w:pStyle w:val="11"/>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二、收入决算表</w:t>
      </w:r>
    </w:p>
    <w:p w14:paraId="0E1CDC6F">
      <w:pPr>
        <w:pStyle w:val="11"/>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三、支出决算表</w:t>
      </w:r>
    </w:p>
    <w:p w14:paraId="0E4C05B9">
      <w:pPr>
        <w:pStyle w:val="11"/>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四、财政拨款收入支出决算总表</w:t>
      </w:r>
    </w:p>
    <w:p w14:paraId="35BA861B">
      <w:pPr>
        <w:pStyle w:val="11"/>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五、财政拨款支出决算明细表</w:t>
      </w:r>
    </w:p>
    <w:p w14:paraId="41F0731E">
      <w:pPr>
        <w:pStyle w:val="11"/>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六、一般公共预算财政拨款支出决算表</w:t>
      </w:r>
    </w:p>
    <w:p w14:paraId="147D678E">
      <w:pPr>
        <w:pStyle w:val="11"/>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七、一般公共预算财政拨款支出决算明细表</w:t>
      </w:r>
    </w:p>
    <w:p w14:paraId="6F045AF5">
      <w:pPr>
        <w:pStyle w:val="11"/>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八、一般公共预算财政拨款基本支出决算表</w:t>
      </w:r>
    </w:p>
    <w:p w14:paraId="3D2D317A">
      <w:pPr>
        <w:pStyle w:val="11"/>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九、一般公共预算财政拨款项目支出决算表</w:t>
      </w:r>
    </w:p>
    <w:p w14:paraId="234BDCB4">
      <w:pPr>
        <w:pStyle w:val="11"/>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十、一般公共预算财政拨款“三公”经费支出决算表</w:t>
      </w:r>
    </w:p>
    <w:p w14:paraId="0E424937">
      <w:pPr>
        <w:pStyle w:val="11"/>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十一、政府性基金预算财政拨款收入支出决算表</w:t>
      </w:r>
    </w:p>
    <w:p w14:paraId="211EC9B6">
      <w:pPr>
        <w:pStyle w:val="11"/>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十二、政府性基金预算财政拨款“三公”经费支出决算表</w:t>
      </w:r>
    </w:p>
    <w:p w14:paraId="4A22DC4C">
      <w:pPr>
        <w:pStyle w:val="11"/>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十三、国有资本经营预算</w:t>
      </w:r>
      <w:r>
        <w:rPr>
          <w:rFonts w:hint="eastAsia" w:asciiTheme="minorEastAsia" w:hAnsiTheme="minorEastAsia" w:eastAsiaTheme="minorEastAsia" w:cstheme="minorEastAsia"/>
          <w:color w:val="auto"/>
          <w:sz w:val="24"/>
          <w:highlight w:val="none"/>
          <w:lang w:eastAsia="zh-CN"/>
        </w:rPr>
        <w:t>财政拨款收入</w:t>
      </w:r>
      <w:r>
        <w:rPr>
          <w:rFonts w:hint="eastAsia" w:asciiTheme="minorEastAsia" w:hAnsiTheme="minorEastAsia" w:eastAsiaTheme="minorEastAsia" w:cstheme="minorEastAsia"/>
          <w:color w:val="auto"/>
          <w:sz w:val="24"/>
          <w:highlight w:val="none"/>
        </w:rPr>
        <w:t>支出决算表</w:t>
      </w:r>
    </w:p>
    <w:p w14:paraId="5E536139">
      <w:pPr>
        <w:pStyle w:val="11"/>
        <w:adjustRightInd w:val="0"/>
        <w:snapToGrid w:val="0"/>
        <w:spacing w:line="440" w:lineRule="exact"/>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十四、国有资本经营预算财政拨款支出决算表</w:t>
      </w:r>
    </w:p>
    <w:p w14:paraId="500911CC">
      <w:pPr>
        <w:pStyle w:val="11"/>
        <w:adjustRightInd w:val="0"/>
        <w:snapToGrid w:val="0"/>
        <w:spacing w:line="440" w:lineRule="exact"/>
        <w:jc w:val="left"/>
        <w:rPr>
          <w:rFonts w:hint="eastAsia"/>
          <w:lang w:val="en-US" w:eastAsia="zh-CN"/>
        </w:rPr>
      </w:pPr>
      <w:r>
        <w:rPr>
          <w:rFonts w:hint="eastAsia" w:asciiTheme="minorEastAsia" w:hAnsiTheme="minorEastAsia" w:eastAsiaTheme="minorEastAsia" w:cstheme="minorEastAsia"/>
          <w:color w:val="auto"/>
          <w:sz w:val="24"/>
          <w:highlight w:val="none"/>
          <w:lang w:val="en-US" w:eastAsia="zh-CN"/>
        </w:rPr>
        <w:t>十五、</w:t>
      </w:r>
      <w:r>
        <w:rPr>
          <w:rFonts w:hint="eastAsia" w:ascii="仿宋" w:hAnsi="仿宋" w:eastAsia="仿宋"/>
          <w:sz w:val="24"/>
          <w:lang w:val="en-US" w:eastAsia="zh-CN"/>
        </w:rPr>
        <w:t>机关运行经费、资产占用情况及政府采购支出信息表</w:t>
      </w:r>
    </w:p>
    <w:p w14:paraId="0CBD423C">
      <w:pPr>
        <w:widowControl/>
        <w:spacing w:line="440" w:lineRule="exact"/>
        <w:jc w:val="left"/>
        <w:rPr>
          <w:rFonts w:ascii="仿宋" w:hAnsi="仿宋" w:eastAsia="仿宋"/>
          <w:bCs/>
          <w:color w:val="auto"/>
          <w:kern w:val="44"/>
          <w:sz w:val="24"/>
          <w:highlight w:val="none"/>
        </w:rPr>
      </w:pPr>
      <w:bookmarkStart w:id="12" w:name="_Toc15396599"/>
      <w:bookmarkStart w:id="13" w:name="_Toc15377196"/>
      <w:r>
        <w:rPr>
          <w:rFonts w:ascii="仿宋" w:hAnsi="仿宋" w:eastAsia="仿宋"/>
          <w:b/>
          <w:color w:val="auto"/>
          <w:sz w:val="24"/>
          <w:highlight w:val="none"/>
        </w:rPr>
        <w:br w:type="page"/>
      </w:r>
    </w:p>
    <w:p w14:paraId="253A19B6">
      <w:pPr>
        <w:pStyle w:val="3"/>
        <w:jc w:val="center"/>
        <w:rPr>
          <w:rStyle w:val="24"/>
          <w:rFonts w:ascii="黑体" w:hAnsi="黑体" w:eastAsia="黑体"/>
          <w:b/>
          <w:bCs w:val="0"/>
          <w:color w:val="auto"/>
          <w:highlight w:val="none"/>
        </w:rPr>
      </w:pPr>
      <w:r>
        <w:rPr>
          <w:rFonts w:hint="eastAsia" w:ascii="黑体" w:hAnsi="黑体" w:eastAsia="黑体"/>
          <w:b w:val="0"/>
          <w:color w:val="auto"/>
          <w:highlight w:val="none"/>
        </w:rPr>
        <w:t xml:space="preserve">第一部分 </w:t>
      </w:r>
      <w:r>
        <w:rPr>
          <w:rStyle w:val="24"/>
          <w:rFonts w:hint="eastAsia" w:ascii="黑体" w:hAnsi="黑体" w:eastAsia="黑体"/>
          <w:b w:val="0"/>
          <w:bCs w:val="0"/>
          <w:color w:val="auto"/>
          <w:highlight w:val="none"/>
        </w:rPr>
        <w:t>部门概况</w:t>
      </w:r>
      <w:bookmarkEnd w:id="12"/>
      <w:bookmarkEnd w:id="13"/>
    </w:p>
    <w:p w14:paraId="15486A6C">
      <w:pPr>
        <w:widowControl/>
        <w:jc w:val="left"/>
        <w:rPr>
          <w:rFonts w:ascii="黑体" w:eastAsia="黑体"/>
          <w:color w:val="auto"/>
          <w:sz w:val="32"/>
          <w:szCs w:val="32"/>
          <w:highlight w:val="none"/>
        </w:rPr>
      </w:pPr>
    </w:p>
    <w:p w14:paraId="4682012B">
      <w:pPr>
        <w:pStyle w:val="4"/>
        <w:rPr>
          <w:rStyle w:val="25"/>
          <w:rFonts w:ascii="仿宋" w:hAnsi="仿宋" w:eastAsia="仿宋"/>
          <w:b w:val="0"/>
          <w:bCs w:val="0"/>
          <w:color w:val="auto"/>
          <w:highlight w:val="none"/>
        </w:rPr>
      </w:pPr>
      <w:bookmarkStart w:id="14" w:name="_Toc15377197"/>
      <w:bookmarkStart w:id="15" w:name="_Toc15396600"/>
      <w:r>
        <w:rPr>
          <w:rFonts w:hint="eastAsia" w:ascii="黑体" w:hAnsi="黑体" w:eastAsia="黑体"/>
          <w:b w:val="0"/>
          <w:color w:val="auto"/>
          <w:highlight w:val="none"/>
        </w:rPr>
        <w:t>一、基</w:t>
      </w:r>
      <w:r>
        <w:rPr>
          <w:rStyle w:val="25"/>
          <w:rFonts w:hint="eastAsia" w:ascii="黑体" w:hAnsi="黑体" w:eastAsia="黑体"/>
          <w:b w:val="0"/>
          <w:bCs w:val="0"/>
          <w:color w:val="auto"/>
          <w:highlight w:val="none"/>
        </w:rPr>
        <w:t>本职能及主要工作</w:t>
      </w:r>
      <w:bookmarkEnd w:id="14"/>
      <w:bookmarkEnd w:id="15"/>
    </w:p>
    <w:p w14:paraId="371F5514">
      <w:pPr>
        <w:pStyle w:val="2"/>
        <w:keepNext w:val="0"/>
        <w:keepLines w:val="0"/>
        <w:pageBreakBefore w:val="0"/>
        <w:widowControl w:val="0"/>
        <w:kinsoku/>
        <w:wordWrap/>
        <w:overflowPunct/>
        <w:topLinePunct w:val="0"/>
        <w:autoSpaceDE/>
        <w:autoSpaceDN/>
        <w:bidi w:val="0"/>
        <w:adjustRightInd w:val="0"/>
        <w:snapToGrid w:val="0"/>
        <w:spacing w:before="93" w:line="240" w:lineRule="atLeast"/>
        <w:ind w:firstLine="672" w:firstLineChars="210"/>
        <w:textAlignment w:val="auto"/>
        <w:outlineLvl w:val="2"/>
        <w:rPr>
          <w:rFonts w:hint="default" w:ascii="Times New Roman" w:hAnsi="Times New Roman" w:eastAsia="方正仿宋_GBK" w:cs="Times New Roman"/>
          <w:color w:val="000000"/>
          <w:sz w:val="33"/>
          <w:szCs w:val="33"/>
        </w:rPr>
      </w:pPr>
      <w:bookmarkStart w:id="16" w:name="_Toc15377198"/>
      <w:bookmarkStart w:id="17" w:name="_Toc15378445"/>
      <w:r>
        <w:rPr>
          <w:rFonts w:hint="eastAsia" w:ascii="仿宋" w:hAnsi="仿宋" w:eastAsia="仿宋"/>
          <w:bCs/>
          <w:color w:val="auto"/>
          <w:sz w:val="32"/>
          <w:szCs w:val="32"/>
          <w:highlight w:val="none"/>
        </w:rPr>
        <w:t>（一）主要职能。</w:t>
      </w:r>
      <w:bookmarkEnd w:id="16"/>
      <w:bookmarkEnd w:id="17"/>
      <w:r>
        <w:rPr>
          <w:rFonts w:hint="default" w:ascii="Times New Roman" w:hAnsi="Times New Roman" w:eastAsia="方正仿宋_GBK" w:cs="Times New Roman"/>
          <w:b w:val="0"/>
          <w:bCs w:val="0"/>
          <w:color w:val="000000"/>
          <w:sz w:val="33"/>
          <w:szCs w:val="33"/>
        </w:rPr>
        <w:t>县妇联的基本职责是代表和维护妇女权益，促进男女平等，概括起来即坚持“一手抓发展、一手抓维权”的工作方针。</w:t>
      </w:r>
    </w:p>
    <w:p w14:paraId="2B6D7C3D">
      <w:pPr>
        <w:keepNext w:val="0"/>
        <w:keepLines w:val="0"/>
        <w:pageBreakBefore w:val="0"/>
        <w:widowControl w:val="0"/>
        <w:kinsoku/>
        <w:wordWrap/>
        <w:overflowPunct/>
        <w:topLinePunct w:val="0"/>
        <w:autoSpaceDE/>
        <w:autoSpaceDN/>
        <w:bidi w:val="0"/>
        <w:spacing w:line="240" w:lineRule="atLeast"/>
        <w:ind w:firstLine="660" w:firstLineChars="200"/>
        <w:textAlignment w:val="auto"/>
        <w:rPr>
          <w:rFonts w:hint="default" w:ascii="Times New Roman" w:hAnsi="Times New Roman" w:eastAsia="方正仿宋_GBK" w:cs="Times New Roman"/>
          <w:color w:val="000000"/>
          <w:sz w:val="33"/>
          <w:szCs w:val="33"/>
        </w:rPr>
      </w:pPr>
      <w:r>
        <w:rPr>
          <w:rFonts w:hint="default" w:ascii="Times New Roman" w:hAnsi="Times New Roman" w:eastAsia="方正仿宋_GBK" w:cs="Times New Roman"/>
          <w:color w:val="000000"/>
          <w:sz w:val="33"/>
          <w:szCs w:val="33"/>
        </w:rPr>
        <w:t>1.参与职能，发动和组织妇</w:t>
      </w:r>
      <w:r>
        <w:rPr>
          <w:rFonts w:hint="default" w:ascii="Times New Roman" w:hAnsi="Times New Roman" w:eastAsia="方正仿宋_GBK" w:cs="Times New Roman"/>
          <w:color w:val="000000"/>
          <w:sz w:val="33"/>
          <w:szCs w:val="33"/>
          <w:lang w:eastAsia="zh-CN"/>
        </w:rPr>
        <w:t>女</w:t>
      </w:r>
      <w:r>
        <w:rPr>
          <w:rFonts w:hint="default" w:ascii="Times New Roman" w:hAnsi="Times New Roman" w:eastAsia="方正仿宋_GBK" w:cs="Times New Roman"/>
          <w:color w:val="000000"/>
          <w:sz w:val="33"/>
          <w:szCs w:val="33"/>
        </w:rPr>
        <w:t>参与改革和经济建设。</w:t>
      </w:r>
    </w:p>
    <w:p w14:paraId="311D7074">
      <w:pPr>
        <w:keepNext w:val="0"/>
        <w:keepLines w:val="0"/>
        <w:pageBreakBefore w:val="0"/>
        <w:widowControl w:val="0"/>
        <w:kinsoku/>
        <w:wordWrap/>
        <w:overflowPunct/>
        <w:topLinePunct w:val="0"/>
        <w:autoSpaceDE/>
        <w:autoSpaceDN/>
        <w:bidi w:val="0"/>
        <w:spacing w:line="240" w:lineRule="atLeast"/>
        <w:ind w:firstLine="660" w:firstLineChars="200"/>
        <w:textAlignment w:val="auto"/>
        <w:rPr>
          <w:rFonts w:hint="default" w:ascii="Times New Roman" w:hAnsi="Times New Roman" w:eastAsia="方正仿宋_GBK" w:cs="Times New Roman"/>
          <w:color w:val="000000"/>
          <w:sz w:val="33"/>
          <w:szCs w:val="33"/>
        </w:rPr>
      </w:pPr>
      <w:r>
        <w:rPr>
          <w:rFonts w:hint="default" w:ascii="Times New Roman" w:hAnsi="Times New Roman" w:eastAsia="方正仿宋_GBK" w:cs="Times New Roman"/>
          <w:color w:val="000000"/>
          <w:sz w:val="33"/>
          <w:szCs w:val="33"/>
        </w:rPr>
        <w:t>2.教育职能，引导妇女提高素质，促进妇女人才成长。</w:t>
      </w:r>
    </w:p>
    <w:p w14:paraId="222B53C3">
      <w:pPr>
        <w:keepNext w:val="0"/>
        <w:keepLines w:val="0"/>
        <w:pageBreakBefore w:val="0"/>
        <w:widowControl w:val="0"/>
        <w:kinsoku/>
        <w:wordWrap/>
        <w:overflowPunct/>
        <w:topLinePunct w:val="0"/>
        <w:autoSpaceDE/>
        <w:autoSpaceDN/>
        <w:bidi w:val="0"/>
        <w:spacing w:line="240" w:lineRule="atLeast"/>
        <w:ind w:firstLine="660" w:firstLineChars="200"/>
        <w:textAlignment w:val="auto"/>
        <w:rPr>
          <w:rFonts w:hint="default" w:ascii="Times New Roman" w:hAnsi="Times New Roman" w:eastAsia="方正仿宋_GBK" w:cs="Times New Roman"/>
          <w:color w:val="000000"/>
          <w:sz w:val="33"/>
          <w:szCs w:val="33"/>
        </w:rPr>
      </w:pPr>
      <w:r>
        <w:rPr>
          <w:rFonts w:hint="default" w:ascii="Times New Roman" w:hAnsi="Times New Roman" w:eastAsia="方正仿宋_GBK" w:cs="Times New Roman"/>
          <w:color w:val="000000"/>
          <w:sz w:val="33"/>
          <w:szCs w:val="33"/>
        </w:rPr>
        <w:t>3.代表职能，代表妇女参与民主管理和民主监督，保护妇女儿童合法权益。</w:t>
      </w:r>
    </w:p>
    <w:p w14:paraId="65450C8C">
      <w:pPr>
        <w:keepNext w:val="0"/>
        <w:keepLines w:val="0"/>
        <w:pageBreakBefore w:val="0"/>
        <w:widowControl w:val="0"/>
        <w:kinsoku/>
        <w:wordWrap/>
        <w:overflowPunct/>
        <w:topLinePunct w:val="0"/>
        <w:autoSpaceDE/>
        <w:autoSpaceDN/>
        <w:bidi w:val="0"/>
        <w:spacing w:line="240" w:lineRule="atLeast"/>
        <w:ind w:firstLine="660" w:firstLineChars="200"/>
        <w:textAlignment w:val="auto"/>
        <w:rPr>
          <w:rFonts w:hint="default" w:ascii="Times New Roman" w:hAnsi="Times New Roman" w:eastAsia="方正仿宋_GBK" w:cs="Times New Roman"/>
          <w:color w:val="000000"/>
          <w:sz w:val="33"/>
          <w:szCs w:val="33"/>
        </w:rPr>
      </w:pPr>
      <w:r>
        <w:rPr>
          <w:rFonts w:hint="default" w:ascii="Times New Roman" w:hAnsi="Times New Roman" w:eastAsia="方正仿宋_GBK" w:cs="Times New Roman"/>
          <w:color w:val="000000"/>
          <w:sz w:val="33"/>
          <w:szCs w:val="33"/>
        </w:rPr>
        <w:t>4.服务职能，全心全意为妇女群众服务，推动有关部门为妇女发展提供服务，创造条件。</w:t>
      </w:r>
    </w:p>
    <w:p w14:paraId="14EFFA99">
      <w:pPr>
        <w:keepNext w:val="0"/>
        <w:keepLines w:val="0"/>
        <w:pageBreakBefore w:val="0"/>
        <w:widowControl w:val="0"/>
        <w:kinsoku/>
        <w:wordWrap/>
        <w:overflowPunct/>
        <w:topLinePunct w:val="0"/>
        <w:autoSpaceDE/>
        <w:autoSpaceDN/>
        <w:bidi w:val="0"/>
        <w:spacing w:line="240" w:lineRule="atLeast"/>
        <w:ind w:firstLine="660" w:firstLineChars="200"/>
        <w:textAlignment w:val="auto"/>
        <w:rPr>
          <w:rFonts w:hint="default" w:ascii="Times New Roman" w:hAnsi="Times New Roman" w:eastAsia="方正仿宋_GBK" w:cs="Times New Roman"/>
          <w:color w:val="000000"/>
          <w:sz w:val="33"/>
          <w:szCs w:val="33"/>
        </w:rPr>
      </w:pPr>
      <w:r>
        <w:rPr>
          <w:rFonts w:hint="default" w:ascii="Times New Roman" w:hAnsi="Times New Roman" w:eastAsia="方正仿宋_GBK" w:cs="Times New Roman"/>
          <w:color w:val="000000"/>
          <w:sz w:val="33"/>
          <w:szCs w:val="33"/>
        </w:rPr>
        <w:t>5.联谊职能，加强与妇联组织和各社会团体、各相关部门的横向和纵向的联系沟通，</w:t>
      </w:r>
      <w:r>
        <w:rPr>
          <w:rFonts w:hint="default" w:ascii="Times New Roman" w:hAnsi="Times New Roman" w:eastAsia="方正仿宋_GBK" w:cs="Times New Roman"/>
          <w:color w:val="000000"/>
          <w:sz w:val="33"/>
          <w:szCs w:val="33"/>
          <w:lang w:eastAsia="zh-CN"/>
        </w:rPr>
        <w:t>拓宽</w:t>
      </w:r>
      <w:r>
        <w:rPr>
          <w:rFonts w:hint="default" w:ascii="Times New Roman" w:hAnsi="Times New Roman" w:eastAsia="方正仿宋_GBK" w:cs="Times New Roman"/>
          <w:color w:val="000000"/>
          <w:sz w:val="33"/>
          <w:szCs w:val="33"/>
        </w:rPr>
        <w:t>妇联工作</w:t>
      </w:r>
      <w:r>
        <w:rPr>
          <w:rFonts w:hint="default" w:ascii="Times New Roman" w:hAnsi="Times New Roman" w:eastAsia="方正仿宋_GBK" w:cs="Times New Roman"/>
          <w:color w:val="000000"/>
          <w:sz w:val="33"/>
          <w:szCs w:val="33"/>
          <w:lang w:eastAsia="zh-CN"/>
        </w:rPr>
        <w:t>覆盖</w:t>
      </w:r>
      <w:r>
        <w:rPr>
          <w:rFonts w:hint="default" w:ascii="Times New Roman" w:hAnsi="Times New Roman" w:eastAsia="方正仿宋_GBK" w:cs="Times New Roman"/>
          <w:color w:val="000000"/>
          <w:sz w:val="33"/>
          <w:szCs w:val="33"/>
        </w:rPr>
        <w:t>面。</w:t>
      </w:r>
    </w:p>
    <w:p w14:paraId="2F14E1EE">
      <w:pPr>
        <w:keepNext w:val="0"/>
        <w:keepLines w:val="0"/>
        <w:pageBreakBefore w:val="0"/>
        <w:widowControl w:val="0"/>
        <w:kinsoku/>
        <w:wordWrap/>
        <w:overflowPunct/>
        <w:topLinePunct w:val="0"/>
        <w:autoSpaceDE/>
        <w:autoSpaceDN/>
        <w:bidi w:val="0"/>
        <w:spacing w:line="240" w:lineRule="atLeast"/>
        <w:ind w:firstLine="640" w:firstLineChars="200"/>
        <w:textAlignment w:val="auto"/>
        <w:rPr>
          <w:rFonts w:ascii="仿宋" w:hAnsi="仿宋" w:eastAsia="仿宋"/>
          <w:bCs/>
          <w:color w:val="auto"/>
          <w:sz w:val="32"/>
          <w:szCs w:val="32"/>
          <w:highlight w:val="none"/>
        </w:rPr>
      </w:pPr>
      <w:bookmarkStart w:id="18" w:name="_Toc15377199"/>
      <w:bookmarkStart w:id="19" w:name="_Toc15378446"/>
      <w:r>
        <w:rPr>
          <w:rFonts w:hint="eastAsia" w:ascii="仿宋" w:hAnsi="仿宋" w:eastAsia="仿宋"/>
          <w:bCs/>
          <w:color w:val="auto"/>
          <w:sz w:val="32"/>
          <w:szCs w:val="32"/>
          <w:highlight w:val="none"/>
        </w:rPr>
        <w:t>（二）</w:t>
      </w:r>
      <w:r>
        <w:rPr>
          <w:rFonts w:ascii="仿宋" w:hAnsi="仿宋" w:eastAsia="仿宋"/>
          <w:bCs/>
          <w:color w:val="auto"/>
          <w:sz w:val="32"/>
          <w:szCs w:val="32"/>
          <w:highlight w:val="none"/>
        </w:rPr>
        <w:t>20</w:t>
      </w:r>
      <w:r>
        <w:rPr>
          <w:rFonts w:hint="eastAsia" w:ascii="仿宋" w:hAnsi="仿宋" w:eastAsia="仿宋"/>
          <w:bCs/>
          <w:color w:val="auto"/>
          <w:sz w:val="32"/>
          <w:szCs w:val="32"/>
          <w:highlight w:val="none"/>
          <w:lang w:val="en-US" w:eastAsia="zh-CN"/>
        </w:rPr>
        <w:t>21</w:t>
      </w:r>
      <w:r>
        <w:rPr>
          <w:rFonts w:hint="eastAsia" w:ascii="仿宋" w:hAnsi="仿宋" w:eastAsia="仿宋"/>
          <w:bCs/>
          <w:color w:val="auto"/>
          <w:sz w:val="32"/>
          <w:szCs w:val="32"/>
          <w:highlight w:val="none"/>
        </w:rPr>
        <w:t>年重点工作完成情况。</w:t>
      </w:r>
      <w:bookmarkEnd w:id="18"/>
      <w:bookmarkEnd w:id="19"/>
      <w:r>
        <w:rPr>
          <w:rFonts w:hint="default" w:ascii="Times New Roman" w:hAnsi="Times New Roman" w:eastAsia="方正仿宋_GBK" w:cs="Times New Roman"/>
          <w:b w:val="0"/>
          <w:bCs w:val="0"/>
          <w:color w:val="000000"/>
          <w:kern w:val="2"/>
          <w:sz w:val="33"/>
          <w:szCs w:val="33"/>
          <w:lang w:val="en-US" w:eastAsia="zh-CN" w:bidi="ar-SA"/>
        </w:rPr>
        <w:t>2021年，县妇联紧紧围绕米易“奋力争当高质量发展和高效能治理排头兵”总目标，结合市妇联“一三五一”工作思路，团结动员全县各级妇联组织和妇女群众圆满完成年初各项目标任务。县妇联（县妇儿工委办）先后荣获全省维护妇女儿童权益先进集体、全国妇联系统先进集体。攀枝花市妇女儿童工作全委(扩大)会上，米易县在会上进行“两纲”工作经验交流发言，米易县“两纲”工作经验在全省市、县妇联主席培训班上进行交流分享，“易境 家风馆”、 阳光米易“i”家婚姻家庭培训辅导室等特色亮点工作得到县委主要领导肯定性批示。</w:t>
      </w:r>
    </w:p>
    <w:p w14:paraId="301FA086">
      <w:pPr>
        <w:pStyle w:val="4"/>
        <w:rPr>
          <w:rFonts w:hint="eastAsia" w:ascii="黑体" w:hAnsi="黑体" w:eastAsia="黑体"/>
          <w:b w:val="0"/>
          <w:color w:val="auto"/>
          <w:highlight w:val="none"/>
        </w:rPr>
      </w:pPr>
      <w:bookmarkStart w:id="20" w:name="_Toc15396601"/>
      <w:bookmarkStart w:id="21" w:name="_Toc15377200"/>
      <w:r>
        <w:rPr>
          <w:rFonts w:hint="eastAsia" w:ascii="黑体" w:hAnsi="黑体" w:eastAsia="黑体"/>
          <w:b w:val="0"/>
          <w:color w:val="auto"/>
          <w:highlight w:val="none"/>
        </w:rPr>
        <w:t>二、机构设置</w:t>
      </w:r>
      <w:bookmarkEnd w:id="20"/>
      <w:bookmarkEnd w:id="21"/>
    </w:p>
    <w:p w14:paraId="68E418F0">
      <w:pPr>
        <w:pStyle w:val="2"/>
        <w:adjustRightInd w:val="0"/>
        <w:spacing w:before="130" w:beforeLines="0" w:line="600" w:lineRule="exact"/>
        <w:ind w:firstLine="672" w:firstLineChars="210"/>
        <w:rPr>
          <w:rFonts w:hint="eastAsia" w:ascii="方正仿宋_GBK" w:hAnsi="方正仿宋_GBK" w:eastAsia="方正仿宋_GBK" w:cs="方正仿宋_GBK"/>
          <w:b w:val="0"/>
          <w:bCs w:val="0"/>
          <w:color w:val="000000"/>
          <w:kern w:val="2"/>
          <w:sz w:val="33"/>
          <w:szCs w:val="33"/>
          <w:lang w:val="en-US" w:eastAsia="zh-CN" w:bidi="ar-SA"/>
        </w:rPr>
      </w:pPr>
      <w:bookmarkStart w:id="22" w:name="_Toc15377204"/>
      <w:bookmarkStart w:id="23" w:name="_Toc15396602"/>
      <w:r>
        <w:rPr>
          <w:rFonts w:hint="eastAsia" w:ascii="Times New Roman"/>
          <w:sz w:val="32"/>
          <w:lang w:eastAsia="zh-CN"/>
        </w:rPr>
        <w:t>县妇联</w:t>
      </w:r>
      <w:r>
        <w:rPr>
          <w:rFonts w:ascii="Times New Roman"/>
          <w:sz w:val="32"/>
        </w:rPr>
        <w:t>下属非独立核算单位</w:t>
      </w:r>
      <w:r>
        <w:rPr>
          <w:rFonts w:hint="eastAsia" w:ascii="Times New Roman"/>
          <w:sz w:val="32"/>
          <w:lang w:val="en-US" w:eastAsia="zh-CN"/>
        </w:rPr>
        <w:t>1</w:t>
      </w:r>
      <w:r>
        <w:rPr>
          <w:rFonts w:ascii="Times New Roman"/>
          <w:sz w:val="32"/>
        </w:rPr>
        <w:t>个，其中行政单位</w:t>
      </w:r>
      <w:r>
        <w:rPr>
          <w:rFonts w:hint="eastAsia" w:ascii="Times New Roman"/>
          <w:sz w:val="32"/>
          <w:lang w:val="en-US" w:eastAsia="zh-CN"/>
        </w:rPr>
        <w:t>0</w:t>
      </w:r>
      <w:r>
        <w:rPr>
          <w:rFonts w:ascii="Times New Roman"/>
          <w:sz w:val="32"/>
        </w:rPr>
        <w:t>个，参照公务员法管理的事业单位</w:t>
      </w:r>
      <w:r>
        <w:rPr>
          <w:rFonts w:hint="eastAsia" w:ascii="Times New Roman"/>
          <w:sz w:val="32"/>
          <w:lang w:val="en-US" w:eastAsia="zh-CN"/>
        </w:rPr>
        <w:t>0</w:t>
      </w:r>
      <w:r>
        <w:rPr>
          <w:rFonts w:ascii="Times New Roman"/>
          <w:sz w:val="32"/>
        </w:rPr>
        <w:t>个，其他事业单位</w:t>
      </w:r>
      <w:r>
        <w:rPr>
          <w:rFonts w:hint="eastAsia" w:ascii="Times New Roman"/>
          <w:sz w:val="32"/>
          <w:lang w:val="en-US" w:eastAsia="zh-CN"/>
        </w:rPr>
        <w:t>1</w:t>
      </w:r>
      <w:r>
        <w:rPr>
          <w:rFonts w:ascii="Times New Roman"/>
          <w:sz w:val="32"/>
        </w:rPr>
        <w:t>个。主要包括：</w:t>
      </w:r>
      <w:r>
        <w:rPr>
          <w:rFonts w:hint="eastAsia" w:ascii="Times New Roman"/>
          <w:sz w:val="32"/>
          <w:u w:val="none"/>
          <w:lang w:eastAsia="zh-CN"/>
        </w:rPr>
        <w:t>米易县妇女儿童服务中心</w:t>
      </w:r>
      <w:r>
        <w:rPr>
          <w:rFonts w:ascii="Times New Roman"/>
          <w:sz w:val="32"/>
        </w:rPr>
        <w:t>。</w:t>
      </w:r>
    </w:p>
    <w:p w14:paraId="3EC9BF33">
      <w:pPr>
        <w:pStyle w:val="3"/>
        <w:ind w:right="440"/>
        <w:jc w:val="center"/>
        <w:rPr>
          <w:rStyle w:val="24"/>
          <w:rFonts w:ascii="黑体" w:hAnsi="黑体" w:eastAsia="黑体"/>
          <w:b w:val="0"/>
          <w:bCs/>
          <w:color w:val="auto"/>
          <w:highlight w:val="none"/>
        </w:rPr>
      </w:pPr>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2021年度</w:t>
      </w:r>
      <w:r>
        <w:rPr>
          <w:rStyle w:val="24"/>
          <w:rFonts w:hint="eastAsia" w:ascii="黑体" w:hAnsi="黑体" w:eastAsia="黑体"/>
          <w:b w:val="0"/>
          <w:bCs/>
          <w:color w:val="auto"/>
          <w:highlight w:val="none"/>
        </w:rPr>
        <w:t>部门决算情况说明</w:t>
      </w:r>
      <w:bookmarkEnd w:id="22"/>
      <w:bookmarkEnd w:id="23"/>
    </w:p>
    <w:p w14:paraId="034818F9">
      <w:pPr>
        <w:rPr>
          <w:color w:val="auto"/>
          <w:highlight w:val="none"/>
        </w:rPr>
      </w:pPr>
    </w:p>
    <w:p w14:paraId="1BF39A5D">
      <w:pPr>
        <w:pStyle w:val="23"/>
        <w:numPr>
          <w:ilvl w:val="0"/>
          <w:numId w:val="1"/>
        </w:numPr>
        <w:spacing w:line="600" w:lineRule="exact"/>
        <w:ind w:firstLineChars="0"/>
        <w:outlineLvl w:val="1"/>
        <w:rPr>
          <w:rStyle w:val="25"/>
          <w:rFonts w:ascii="黑体" w:hAnsi="黑体" w:eastAsia="黑体"/>
          <w:b w:val="0"/>
          <w:color w:val="auto"/>
          <w:highlight w:val="none"/>
        </w:rPr>
      </w:pPr>
      <w:bookmarkStart w:id="24" w:name="_Toc15377205"/>
      <w:bookmarkStart w:id="25" w:name="_Toc15396603"/>
      <w:r>
        <w:rPr>
          <w:rFonts w:hint="eastAsia" w:ascii="黑体" w:hAnsi="黑体" w:eastAsia="黑体"/>
          <w:color w:val="auto"/>
          <w:sz w:val="32"/>
          <w:szCs w:val="32"/>
          <w:highlight w:val="none"/>
        </w:rPr>
        <w:t>收</w:t>
      </w:r>
      <w:r>
        <w:rPr>
          <w:rStyle w:val="25"/>
          <w:rFonts w:hint="eastAsia" w:ascii="黑体" w:hAnsi="黑体" w:eastAsia="黑体"/>
          <w:b w:val="0"/>
          <w:color w:val="auto"/>
          <w:highlight w:val="none"/>
        </w:rPr>
        <w:t>入支出决算总体情况说明</w:t>
      </w:r>
      <w:bookmarkEnd w:id="24"/>
      <w:bookmarkEnd w:id="25"/>
    </w:p>
    <w:p w14:paraId="06C68FF5">
      <w:pPr>
        <w:spacing w:line="600" w:lineRule="exact"/>
        <w:ind w:firstLine="640" w:firstLineChars="200"/>
        <w:rPr>
          <w:rFonts w:hint="default" w:ascii="Times New Roman" w:hAnsi="Times New Roman" w:eastAsia="仿宋" w:cs="Times New Roman"/>
          <w:color w:val="auto"/>
          <w:sz w:val="32"/>
          <w:szCs w:val="32"/>
          <w:highlight w:val="red"/>
          <w:lang w:val="en-US" w:eastAsia="zh-CN"/>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21</w:t>
      </w:r>
      <w:r>
        <w:rPr>
          <w:rFonts w:hint="default" w:ascii="Times New Roman" w:hAnsi="Times New Roman" w:eastAsia="仿宋" w:cs="Times New Roman"/>
          <w:color w:val="auto"/>
          <w:sz w:val="32"/>
          <w:szCs w:val="32"/>
          <w:highlight w:val="none"/>
        </w:rPr>
        <w:t>年度收、支总计</w:t>
      </w:r>
      <w:r>
        <w:rPr>
          <w:rFonts w:hint="default" w:ascii="Times New Roman" w:hAnsi="Times New Roman" w:eastAsia="仿宋" w:cs="Times New Roman"/>
          <w:color w:val="auto"/>
          <w:sz w:val="32"/>
          <w:szCs w:val="32"/>
          <w:highlight w:val="none"/>
          <w:lang w:val="en-US" w:eastAsia="zh-CN"/>
        </w:rPr>
        <w:t>246.16</w:t>
      </w:r>
      <w:r>
        <w:rPr>
          <w:rFonts w:hint="default" w:ascii="Times New Roman" w:hAnsi="Times New Roman" w:eastAsia="仿宋" w:cs="Times New Roman"/>
          <w:color w:val="auto"/>
          <w:sz w:val="32"/>
          <w:szCs w:val="32"/>
          <w:highlight w:val="none"/>
        </w:rPr>
        <w:t>万元。与20</w:t>
      </w:r>
      <w:r>
        <w:rPr>
          <w:rFonts w:hint="default" w:ascii="Times New Roman" w:hAnsi="Times New Roman" w:eastAsia="仿宋" w:cs="Times New Roman"/>
          <w:color w:val="auto"/>
          <w:sz w:val="32"/>
          <w:szCs w:val="32"/>
          <w:highlight w:val="none"/>
          <w:lang w:val="en-US" w:eastAsia="zh-CN"/>
        </w:rPr>
        <w:t>20</w:t>
      </w:r>
      <w:r>
        <w:rPr>
          <w:rFonts w:hint="default" w:ascii="Times New Roman" w:hAnsi="Times New Roman" w:eastAsia="仿宋" w:cs="Times New Roman"/>
          <w:color w:val="auto"/>
          <w:sz w:val="32"/>
          <w:szCs w:val="32"/>
          <w:highlight w:val="none"/>
        </w:rPr>
        <w:t>年相比，收、支总计减少</w:t>
      </w:r>
      <w:r>
        <w:rPr>
          <w:rFonts w:hint="default" w:ascii="Times New Roman" w:hAnsi="Times New Roman" w:eastAsia="仿宋" w:cs="Times New Roman"/>
          <w:color w:val="auto"/>
          <w:sz w:val="32"/>
          <w:szCs w:val="32"/>
          <w:highlight w:val="none"/>
          <w:lang w:val="en-US" w:eastAsia="zh-CN"/>
        </w:rPr>
        <w:t>56.52</w:t>
      </w:r>
      <w:r>
        <w:rPr>
          <w:rFonts w:hint="default" w:ascii="Times New Roman" w:hAnsi="Times New Roman" w:eastAsia="仿宋" w:cs="Times New Roman"/>
          <w:color w:val="auto"/>
          <w:sz w:val="32"/>
          <w:szCs w:val="32"/>
          <w:highlight w:val="none"/>
        </w:rPr>
        <w:t>万元，下降</w:t>
      </w:r>
      <w:r>
        <w:rPr>
          <w:rFonts w:hint="default" w:ascii="Times New Roman" w:hAnsi="Times New Roman" w:eastAsia="仿宋" w:cs="Times New Roman"/>
          <w:color w:val="auto"/>
          <w:sz w:val="32"/>
          <w:szCs w:val="32"/>
          <w:highlight w:val="none"/>
          <w:lang w:val="en-US" w:eastAsia="zh-CN"/>
        </w:rPr>
        <w:t>18.67</w:t>
      </w:r>
      <w:r>
        <w:rPr>
          <w:rFonts w:hint="default" w:ascii="Times New Roman" w:hAnsi="Times New Roman" w:eastAsia="仿宋" w:cs="Times New Roman"/>
          <w:color w:val="auto"/>
          <w:sz w:val="32"/>
          <w:szCs w:val="32"/>
          <w:highlight w:val="none"/>
        </w:rPr>
        <w:t>%。主要变动原因是</w:t>
      </w:r>
      <w:r>
        <w:rPr>
          <w:rFonts w:hint="default" w:ascii="Times New Roman" w:hAnsi="Times New Roman" w:eastAsia="仿宋" w:cs="Times New Roman"/>
          <w:color w:val="auto"/>
          <w:sz w:val="32"/>
          <w:szCs w:val="32"/>
          <w:highlight w:val="none"/>
          <w:lang w:eastAsia="zh-CN"/>
        </w:rPr>
        <w:t>疫情原因，导致部分活动未开展。</w:t>
      </w:r>
    </w:p>
    <w:p w14:paraId="412B5DCB">
      <w:pPr>
        <w:spacing w:line="600" w:lineRule="exact"/>
        <w:ind w:firstLine="420" w:firstLineChars="200"/>
        <w:rPr>
          <w:rFonts w:ascii="仿宋_GB2312" w:eastAsia="仿宋_GB2312"/>
          <w:color w:val="auto"/>
          <w:sz w:val="32"/>
          <w:szCs w:val="32"/>
          <w:highlight w:val="none"/>
        </w:rPr>
      </w:pP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271145</wp:posOffset>
            </wp:positionH>
            <wp:positionV relativeFrom="paragraph">
              <wp:posOffset>-2319655</wp:posOffset>
            </wp:positionV>
            <wp:extent cx="5000625" cy="2619375"/>
            <wp:effectExtent l="4445" t="4445" r="5080" b="5080"/>
            <wp:wrapTight wrapText="bothSides">
              <wp:wrapPolygon>
                <wp:start x="-19" y="-37"/>
                <wp:lineTo x="-19" y="21485"/>
                <wp:lineTo x="21540" y="21485"/>
                <wp:lineTo x="21540" y="-37"/>
                <wp:lineTo x="-19" y="-37"/>
              </wp:wrapPolygon>
            </wp:wrapTight>
            <wp:docPr id="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w:t>
      </w:r>
    </w:p>
    <w:p w14:paraId="324D87BA">
      <w:pPr>
        <w:pStyle w:val="23"/>
        <w:numPr>
          <w:ilvl w:val="0"/>
          <w:numId w:val="1"/>
        </w:numPr>
        <w:spacing w:line="600" w:lineRule="exact"/>
        <w:ind w:firstLineChars="0"/>
        <w:outlineLvl w:val="1"/>
        <w:rPr>
          <w:rStyle w:val="25"/>
          <w:rFonts w:ascii="黑体" w:hAnsi="黑体" w:eastAsia="黑体"/>
          <w:b w:val="0"/>
          <w:color w:val="auto"/>
          <w:highlight w:val="none"/>
        </w:rPr>
      </w:pPr>
      <w:bookmarkStart w:id="26" w:name="_Toc15377206"/>
      <w:bookmarkStart w:id="27" w:name="_Toc15396604"/>
      <w:r>
        <w:rPr>
          <w:rFonts w:hint="eastAsia" w:ascii="黑体" w:hAnsi="黑体" w:eastAsia="黑体"/>
          <w:color w:val="auto"/>
          <w:sz w:val="32"/>
          <w:szCs w:val="32"/>
          <w:highlight w:val="none"/>
        </w:rPr>
        <w:t>收</w:t>
      </w:r>
      <w:r>
        <w:rPr>
          <w:rStyle w:val="25"/>
          <w:rFonts w:hint="eastAsia" w:ascii="黑体" w:hAnsi="黑体" w:eastAsia="黑体"/>
          <w:b w:val="0"/>
          <w:color w:val="auto"/>
          <w:highlight w:val="none"/>
        </w:rPr>
        <w:t>入决算情况说明</w:t>
      </w:r>
      <w:bookmarkEnd w:id="26"/>
      <w:bookmarkEnd w:id="27"/>
    </w:p>
    <w:p w14:paraId="5A51ED1C">
      <w:pPr>
        <w:spacing w:line="600" w:lineRule="exact"/>
        <w:ind w:firstLine="640" w:firstLineChars="200"/>
        <w:outlineLvl w:val="1"/>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21</w:t>
      </w:r>
      <w:r>
        <w:rPr>
          <w:rFonts w:hint="default" w:ascii="Times New Roman" w:hAnsi="Times New Roman" w:eastAsia="仿宋" w:cs="Times New Roman"/>
          <w:color w:val="auto"/>
          <w:sz w:val="32"/>
          <w:szCs w:val="32"/>
          <w:highlight w:val="none"/>
        </w:rPr>
        <w:t>年本年收入合计</w:t>
      </w:r>
      <w:r>
        <w:rPr>
          <w:rFonts w:hint="default" w:ascii="Times New Roman" w:hAnsi="Times New Roman" w:eastAsia="仿宋" w:cs="Times New Roman"/>
          <w:color w:val="auto"/>
          <w:sz w:val="32"/>
          <w:szCs w:val="32"/>
          <w:highlight w:val="none"/>
          <w:lang w:val="en-US" w:eastAsia="zh-CN"/>
        </w:rPr>
        <w:t>123.08</w:t>
      </w:r>
      <w:r>
        <w:rPr>
          <w:rFonts w:hint="default" w:ascii="Times New Roman" w:hAnsi="Times New Roman" w:eastAsia="仿宋" w:cs="Times New Roman"/>
          <w:color w:val="auto"/>
          <w:sz w:val="32"/>
          <w:szCs w:val="32"/>
          <w:highlight w:val="none"/>
        </w:rPr>
        <w:t>万元，其中：一般公共预算财政拨款收入</w:t>
      </w:r>
      <w:r>
        <w:rPr>
          <w:rFonts w:hint="default" w:ascii="Times New Roman" w:hAnsi="Times New Roman" w:eastAsia="仿宋" w:cs="Times New Roman"/>
          <w:color w:val="auto"/>
          <w:sz w:val="32"/>
          <w:szCs w:val="32"/>
          <w:highlight w:val="none"/>
          <w:lang w:val="en-US" w:eastAsia="zh-CN"/>
        </w:rPr>
        <w:t>123.08</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100</w:t>
      </w:r>
      <w:r>
        <w:rPr>
          <w:rFonts w:hint="default" w:ascii="Times New Roman" w:hAnsi="Times New Roman" w:eastAsia="仿宋" w:cs="Times New Roman"/>
          <w:color w:val="auto"/>
          <w:sz w:val="32"/>
          <w:szCs w:val="32"/>
          <w:highlight w:val="none"/>
        </w:rPr>
        <w:t>%；政府性基金预算财政拨款收入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国有资本经营预算财政拨款收入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%；上级补助收入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%；事业收入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%；经营收入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%；附属单位上缴收入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%；其他收入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p>
    <w:p w14:paraId="08146734">
      <w:pPr>
        <w:spacing w:line="600" w:lineRule="exact"/>
        <w:ind w:firstLine="640" w:firstLineChars="200"/>
        <w:outlineLvl w:val="1"/>
        <w:rPr>
          <w:rFonts w:ascii="仿宋" w:hAnsi="仿宋" w:eastAsia="仿宋"/>
          <w:color w:val="auto"/>
          <w:sz w:val="32"/>
          <w:szCs w:val="32"/>
          <w:highlight w:val="none"/>
        </w:rPr>
      </w:pPr>
    </w:p>
    <w:p w14:paraId="7D8CAAF7">
      <w:pPr>
        <w:spacing w:line="600" w:lineRule="exact"/>
        <w:ind w:firstLine="420" w:firstLineChars="200"/>
        <w:rPr>
          <w:rFonts w:hint="eastAsia" w:ascii="仿宋" w:hAnsi="仿宋" w:eastAsia="仿宋"/>
          <w:color w:val="auto"/>
          <w:sz w:val="32"/>
          <w:szCs w:val="32"/>
          <w:highlight w:val="none"/>
        </w:rPr>
      </w:pPr>
      <w:r>
        <w:rPr>
          <w:rFonts w:hint="default" w:ascii="Times New Roman" w:hAnsi="Times New Roman" w:cs="Times New Roman"/>
        </w:rPr>
        <w:drawing>
          <wp:anchor distT="0" distB="0" distL="114300" distR="114300" simplePos="0" relativeHeight="251660288" behindDoc="1" locked="0" layoutInCell="1" allowOverlap="1">
            <wp:simplePos x="0" y="0"/>
            <wp:positionH relativeFrom="column">
              <wp:posOffset>-138430</wp:posOffset>
            </wp:positionH>
            <wp:positionV relativeFrom="paragraph">
              <wp:posOffset>9525</wp:posOffset>
            </wp:positionV>
            <wp:extent cx="4848225" cy="3218180"/>
            <wp:effectExtent l="4445" t="4445" r="5080" b="73025"/>
            <wp:wrapTight wrapText="bothSides">
              <wp:wrapPolygon>
                <wp:start x="-20" y="-30"/>
                <wp:lineTo x="-20" y="21834"/>
                <wp:lineTo x="21538" y="21834"/>
                <wp:lineTo x="21538" y="-30"/>
                <wp:lineTo x="-20" y="-30"/>
              </wp:wrapPolygon>
            </wp:wrapTight>
            <wp:docPr id="4" name="图表 3" descr="7b0a202020202263686172745265734964223a2022343437303036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68AE4140">
      <w:pPr>
        <w:spacing w:line="600" w:lineRule="exact"/>
        <w:ind w:firstLine="640" w:firstLineChars="200"/>
        <w:rPr>
          <w:rFonts w:hint="eastAsia" w:ascii="仿宋" w:hAnsi="仿宋" w:eastAsia="仿宋"/>
          <w:color w:val="auto"/>
          <w:sz w:val="32"/>
          <w:szCs w:val="32"/>
          <w:highlight w:val="none"/>
        </w:rPr>
      </w:pPr>
    </w:p>
    <w:p w14:paraId="6A5AC49F">
      <w:pPr>
        <w:spacing w:line="600" w:lineRule="exact"/>
        <w:ind w:firstLine="640" w:firstLineChars="200"/>
        <w:rPr>
          <w:rFonts w:hint="eastAsia" w:ascii="仿宋" w:hAnsi="仿宋" w:eastAsia="仿宋"/>
          <w:color w:val="auto"/>
          <w:sz w:val="32"/>
          <w:szCs w:val="32"/>
          <w:highlight w:val="none"/>
        </w:rPr>
      </w:pPr>
    </w:p>
    <w:p w14:paraId="7CEA646D">
      <w:pPr>
        <w:spacing w:line="600" w:lineRule="exact"/>
        <w:ind w:firstLine="640" w:firstLineChars="200"/>
        <w:rPr>
          <w:rFonts w:hint="eastAsia" w:ascii="仿宋" w:hAnsi="仿宋" w:eastAsia="仿宋"/>
          <w:color w:val="auto"/>
          <w:sz w:val="32"/>
          <w:szCs w:val="32"/>
          <w:highlight w:val="none"/>
        </w:rPr>
      </w:pPr>
    </w:p>
    <w:p w14:paraId="25BD28B7">
      <w:pPr>
        <w:spacing w:line="600" w:lineRule="exact"/>
        <w:ind w:firstLine="640" w:firstLineChars="200"/>
        <w:rPr>
          <w:rFonts w:hint="eastAsia" w:ascii="仿宋" w:hAnsi="仿宋" w:eastAsia="仿宋"/>
          <w:color w:val="auto"/>
          <w:sz w:val="32"/>
          <w:szCs w:val="32"/>
          <w:highlight w:val="none"/>
        </w:rPr>
      </w:pPr>
    </w:p>
    <w:p w14:paraId="163AF08A">
      <w:pPr>
        <w:spacing w:line="600" w:lineRule="exact"/>
        <w:ind w:firstLine="640" w:firstLineChars="200"/>
        <w:rPr>
          <w:rFonts w:ascii="仿宋_GB2312" w:eastAsia="仿宋_GB2312"/>
          <w:color w:val="auto"/>
          <w:sz w:val="32"/>
          <w:szCs w:val="32"/>
          <w:highlight w:val="none"/>
        </w:rPr>
      </w:pPr>
      <w:r>
        <w:rPr>
          <w:rFonts w:hint="eastAsia" w:ascii="仿宋" w:hAnsi="仿宋" w:eastAsia="仿宋"/>
          <w:color w:val="auto"/>
          <w:sz w:val="32"/>
          <w:szCs w:val="32"/>
          <w:highlight w:val="none"/>
        </w:rPr>
        <w:t>（图2：收入决算结构图）</w:t>
      </w:r>
    </w:p>
    <w:p w14:paraId="19F53880">
      <w:pPr>
        <w:pStyle w:val="23"/>
        <w:numPr>
          <w:ilvl w:val="0"/>
          <w:numId w:val="1"/>
        </w:numPr>
        <w:spacing w:line="600" w:lineRule="exact"/>
        <w:ind w:firstLineChars="0"/>
        <w:outlineLvl w:val="1"/>
        <w:rPr>
          <w:rStyle w:val="25"/>
          <w:rFonts w:ascii="黑体" w:hAnsi="黑体" w:eastAsia="黑体"/>
          <w:b w:val="0"/>
          <w:color w:val="auto"/>
          <w:highlight w:val="none"/>
        </w:rPr>
      </w:pPr>
      <w:bookmarkStart w:id="28" w:name="_Toc15377207"/>
      <w:bookmarkStart w:id="29" w:name="_Toc15396605"/>
      <w:r>
        <w:rPr>
          <w:rFonts w:hint="eastAsia" w:ascii="黑体" w:hAnsi="黑体" w:eastAsia="黑体"/>
          <w:color w:val="auto"/>
          <w:sz w:val="32"/>
          <w:szCs w:val="32"/>
          <w:highlight w:val="none"/>
        </w:rPr>
        <w:t>支</w:t>
      </w:r>
      <w:r>
        <w:rPr>
          <w:rStyle w:val="25"/>
          <w:rFonts w:hint="eastAsia" w:ascii="黑体" w:hAnsi="黑体" w:eastAsia="黑体"/>
          <w:b w:val="0"/>
          <w:color w:val="auto"/>
          <w:highlight w:val="none"/>
        </w:rPr>
        <w:t>出决算情况说明</w:t>
      </w:r>
      <w:bookmarkEnd w:id="28"/>
      <w:bookmarkEnd w:id="29"/>
    </w:p>
    <w:p w14:paraId="1C8BC148">
      <w:pPr>
        <w:spacing w:line="600" w:lineRule="exact"/>
        <w:ind w:firstLine="640" w:firstLineChars="200"/>
        <w:outlineLvl w:val="1"/>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21</w:t>
      </w:r>
      <w:r>
        <w:rPr>
          <w:rFonts w:hint="default" w:ascii="Times New Roman" w:hAnsi="Times New Roman" w:eastAsia="仿宋" w:cs="Times New Roman"/>
          <w:color w:val="auto"/>
          <w:sz w:val="32"/>
          <w:szCs w:val="32"/>
          <w:highlight w:val="none"/>
        </w:rPr>
        <w:t>年本年支出合计</w:t>
      </w:r>
      <w:r>
        <w:rPr>
          <w:rFonts w:hint="default" w:ascii="Times New Roman" w:hAnsi="Times New Roman" w:eastAsia="仿宋" w:cs="Times New Roman"/>
          <w:color w:val="auto"/>
          <w:sz w:val="32"/>
          <w:szCs w:val="32"/>
          <w:highlight w:val="none"/>
          <w:lang w:val="en-US" w:eastAsia="zh-CN"/>
        </w:rPr>
        <w:t>123.08</w:t>
      </w:r>
      <w:r>
        <w:rPr>
          <w:rFonts w:hint="default" w:ascii="Times New Roman" w:hAnsi="Times New Roman" w:eastAsia="仿宋" w:cs="Times New Roman"/>
          <w:color w:val="auto"/>
          <w:sz w:val="32"/>
          <w:szCs w:val="32"/>
          <w:highlight w:val="none"/>
        </w:rPr>
        <w:t>万元，其中：基本支出</w:t>
      </w:r>
      <w:r>
        <w:rPr>
          <w:rFonts w:hint="default" w:ascii="Times New Roman" w:hAnsi="Times New Roman" w:eastAsia="仿宋" w:cs="Times New Roman"/>
          <w:color w:val="auto"/>
          <w:sz w:val="32"/>
          <w:szCs w:val="32"/>
          <w:highlight w:val="none"/>
          <w:lang w:val="en-US" w:eastAsia="zh-CN"/>
        </w:rPr>
        <w:t>117.04</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95.09</w:t>
      </w:r>
      <w:r>
        <w:rPr>
          <w:rFonts w:hint="default" w:ascii="Times New Roman" w:hAnsi="Times New Roman" w:eastAsia="仿宋" w:cs="Times New Roman"/>
          <w:color w:val="auto"/>
          <w:sz w:val="32"/>
          <w:szCs w:val="32"/>
          <w:highlight w:val="none"/>
        </w:rPr>
        <w:t>%；项目支出</w:t>
      </w:r>
      <w:r>
        <w:rPr>
          <w:rFonts w:hint="default" w:ascii="Times New Roman" w:hAnsi="Times New Roman" w:eastAsia="仿宋" w:cs="Times New Roman"/>
          <w:color w:val="auto"/>
          <w:sz w:val="32"/>
          <w:szCs w:val="32"/>
          <w:highlight w:val="none"/>
          <w:lang w:val="en-US" w:eastAsia="zh-CN"/>
        </w:rPr>
        <w:t>6.04</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4.91</w:t>
      </w:r>
      <w:r>
        <w:rPr>
          <w:rFonts w:hint="default" w:ascii="Times New Roman" w:hAnsi="Times New Roman" w:eastAsia="仿宋" w:cs="Times New Roman"/>
          <w:color w:val="auto"/>
          <w:sz w:val="32"/>
          <w:szCs w:val="32"/>
          <w:highlight w:val="none"/>
        </w:rPr>
        <w:t>%；上缴上级支出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%；经营支出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%；对附属单位补助支出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p>
    <w:p w14:paraId="7AD8D568">
      <w:pPr>
        <w:spacing w:line="600" w:lineRule="exact"/>
        <w:ind w:firstLine="640" w:firstLineChars="200"/>
        <w:rPr>
          <w:rFonts w:hint="eastAsia" w:ascii="仿宋" w:hAnsi="仿宋" w:eastAsia="仿宋"/>
          <w:color w:val="auto"/>
          <w:sz w:val="32"/>
          <w:szCs w:val="32"/>
          <w:highlight w:val="none"/>
        </w:rPr>
      </w:pPr>
    </w:p>
    <w:p w14:paraId="4BAE1ADE">
      <w:pPr>
        <w:pStyle w:val="2"/>
        <w:rPr>
          <w:rFonts w:hint="eastAsia" w:ascii="仿宋" w:hAnsi="仿宋" w:eastAsia="仿宋"/>
          <w:color w:val="auto"/>
          <w:sz w:val="32"/>
          <w:szCs w:val="32"/>
          <w:highlight w:val="none"/>
        </w:rPr>
      </w:pPr>
      <w:r>
        <w:rPr>
          <w:rFonts w:hint="default" w:ascii="Times New Roman" w:hAnsi="Times New Roman" w:cs="Times New Roman"/>
        </w:rPr>
        <w:drawing>
          <wp:inline distT="0" distB="0" distL="114300" distR="114300">
            <wp:extent cx="4162425" cy="2400300"/>
            <wp:effectExtent l="4445" t="4445" r="5080" b="1460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D48596">
      <w:pPr>
        <w:spacing w:line="600" w:lineRule="exact"/>
        <w:ind w:firstLine="640" w:firstLineChars="200"/>
        <w:rPr>
          <w:rFonts w:ascii="仿宋_GB2312" w:eastAsia="仿宋_GB2312"/>
          <w:color w:val="auto"/>
          <w:sz w:val="32"/>
          <w:szCs w:val="32"/>
          <w:highlight w:val="none"/>
        </w:rPr>
      </w:pPr>
      <w:r>
        <w:rPr>
          <w:rFonts w:hint="eastAsia" w:ascii="仿宋" w:hAnsi="仿宋" w:eastAsia="仿宋"/>
          <w:color w:val="auto"/>
          <w:sz w:val="32"/>
          <w:szCs w:val="32"/>
          <w:highlight w:val="none"/>
        </w:rPr>
        <w:t>（图3：支出决算结构图）</w:t>
      </w:r>
    </w:p>
    <w:p w14:paraId="032E9DE6">
      <w:pPr>
        <w:spacing w:line="600" w:lineRule="exact"/>
        <w:ind w:firstLine="640" w:firstLineChars="200"/>
        <w:outlineLvl w:val="1"/>
        <w:rPr>
          <w:rStyle w:val="25"/>
          <w:rFonts w:ascii="黑体" w:hAnsi="黑体" w:eastAsia="黑体"/>
          <w:b w:val="0"/>
          <w:color w:val="auto"/>
          <w:highlight w:val="none"/>
        </w:rPr>
      </w:pPr>
      <w:bookmarkStart w:id="30" w:name="_Toc15377208"/>
      <w:bookmarkStart w:id="31" w:name="_Toc15396606"/>
      <w:r>
        <w:rPr>
          <w:rFonts w:hint="eastAsia" w:ascii="黑体" w:hAnsi="黑体" w:eastAsia="黑体"/>
          <w:color w:val="auto"/>
          <w:sz w:val="32"/>
          <w:szCs w:val="32"/>
          <w:highlight w:val="none"/>
        </w:rPr>
        <w:t>四、财</w:t>
      </w:r>
      <w:r>
        <w:rPr>
          <w:rStyle w:val="25"/>
          <w:rFonts w:hint="eastAsia" w:ascii="黑体" w:hAnsi="黑体" w:eastAsia="黑体"/>
          <w:b w:val="0"/>
          <w:color w:val="auto"/>
          <w:highlight w:val="none"/>
        </w:rPr>
        <w:t>政拨款收入支出决算总体情况说明</w:t>
      </w:r>
      <w:bookmarkEnd w:id="30"/>
      <w:bookmarkEnd w:id="31"/>
    </w:p>
    <w:p w14:paraId="6206BE62">
      <w:pPr>
        <w:spacing w:line="600" w:lineRule="exact"/>
        <w:ind w:firstLine="640"/>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21</w:t>
      </w:r>
      <w:r>
        <w:rPr>
          <w:rFonts w:hint="default" w:ascii="Times New Roman" w:hAnsi="Times New Roman" w:eastAsia="仿宋" w:cs="Times New Roman"/>
          <w:color w:val="auto"/>
          <w:sz w:val="32"/>
          <w:szCs w:val="32"/>
          <w:highlight w:val="none"/>
        </w:rPr>
        <w:t>年财政拨款收、支总计</w:t>
      </w:r>
      <w:r>
        <w:rPr>
          <w:rFonts w:hint="default" w:ascii="Times New Roman" w:hAnsi="Times New Roman" w:eastAsia="仿宋" w:cs="Times New Roman"/>
          <w:color w:val="auto"/>
          <w:sz w:val="32"/>
          <w:szCs w:val="32"/>
          <w:highlight w:val="none"/>
          <w:lang w:val="en-US" w:eastAsia="zh-CN"/>
        </w:rPr>
        <w:t>246.16</w:t>
      </w:r>
      <w:r>
        <w:rPr>
          <w:rFonts w:hint="default" w:ascii="Times New Roman" w:hAnsi="Times New Roman" w:eastAsia="仿宋" w:cs="Times New Roman"/>
          <w:color w:val="auto"/>
          <w:sz w:val="32"/>
          <w:szCs w:val="32"/>
          <w:highlight w:val="none"/>
        </w:rPr>
        <w:t>万元。与20</w:t>
      </w:r>
      <w:r>
        <w:rPr>
          <w:rFonts w:hint="default" w:ascii="Times New Roman" w:hAnsi="Times New Roman" w:eastAsia="仿宋" w:cs="Times New Roman"/>
          <w:color w:val="auto"/>
          <w:sz w:val="32"/>
          <w:szCs w:val="32"/>
          <w:highlight w:val="none"/>
          <w:lang w:val="en-US" w:eastAsia="zh-CN"/>
        </w:rPr>
        <w:t>20</w:t>
      </w:r>
      <w:r>
        <w:rPr>
          <w:rFonts w:hint="default" w:ascii="Times New Roman" w:hAnsi="Times New Roman" w:eastAsia="仿宋" w:cs="Times New Roman"/>
          <w:color w:val="auto"/>
          <w:sz w:val="32"/>
          <w:szCs w:val="32"/>
          <w:highlight w:val="none"/>
        </w:rPr>
        <w:t>年相比，财政拨款收、支总计减少</w:t>
      </w:r>
      <w:r>
        <w:rPr>
          <w:rFonts w:hint="default" w:ascii="Times New Roman" w:hAnsi="Times New Roman" w:eastAsia="仿宋" w:cs="Times New Roman"/>
          <w:color w:val="auto"/>
          <w:sz w:val="32"/>
          <w:szCs w:val="32"/>
          <w:highlight w:val="none"/>
          <w:lang w:val="en-US" w:eastAsia="zh-CN"/>
        </w:rPr>
        <w:t>56.52</w:t>
      </w:r>
      <w:r>
        <w:rPr>
          <w:rFonts w:hint="default" w:ascii="Times New Roman" w:hAnsi="Times New Roman" w:eastAsia="仿宋" w:cs="Times New Roman"/>
          <w:color w:val="auto"/>
          <w:sz w:val="32"/>
          <w:szCs w:val="32"/>
          <w:highlight w:val="none"/>
        </w:rPr>
        <w:t>万元，下降</w:t>
      </w:r>
      <w:r>
        <w:rPr>
          <w:rFonts w:hint="default" w:ascii="Times New Roman" w:hAnsi="Times New Roman" w:eastAsia="仿宋" w:cs="Times New Roman"/>
          <w:color w:val="auto"/>
          <w:sz w:val="32"/>
          <w:szCs w:val="32"/>
          <w:highlight w:val="none"/>
          <w:lang w:val="en-US" w:eastAsia="zh-CN"/>
        </w:rPr>
        <w:t>18.67</w:t>
      </w:r>
      <w:r>
        <w:rPr>
          <w:rFonts w:hint="default" w:ascii="Times New Roman" w:hAnsi="Times New Roman" w:eastAsia="仿宋" w:cs="Times New Roman"/>
          <w:color w:val="auto"/>
          <w:sz w:val="32"/>
          <w:szCs w:val="32"/>
          <w:highlight w:val="none"/>
        </w:rPr>
        <w:t>%。主要变动原因是</w:t>
      </w:r>
      <w:r>
        <w:rPr>
          <w:rFonts w:hint="default" w:ascii="Times New Roman" w:hAnsi="Times New Roman" w:eastAsia="仿宋" w:cs="Times New Roman"/>
          <w:color w:val="auto"/>
          <w:sz w:val="32"/>
          <w:szCs w:val="32"/>
          <w:highlight w:val="none"/>
          <w:lang w:eastAsia="zh-CN"/>
        </w:rPr>
        <w:t>疫情原因，导致部分活动未开展。</w:t>
      </w:r>
    </w:p>
    <w:p w14:paraId="472EB981">
      <w:pPr>
        <w:spacing w:line="600" w:lineRule="exact"/>
        <w:rPr>
          <w:rFonts w:ascii="仿宋" w:hAnsi="仿宋" w:eastAsia="仿宋"/>
          <w:color w:val="auto"/>
          <w:sz w:val="32"/>
          <w:szCs w:val="32"/>
          <w:highlight w:val="none"/>
        </w:rPr>
      </w:pPr>
    </w:p>
    <w:p w14:paraId="6C19FB33">
      <w:pPr>
        <w:pStyle w:val="2"/>
        <w:rPr>
          <w:rFonts w:ascii="仿宋" w:hAnsi="仿宋" w:eastAsia="仿宋"/>
          <w:color w:val="auto"/>
          <w:sz w:val="32"/>
          <w:szCs w:val="32"/>
          <w:highlight w:val="none"/>
        </w:rPr>
      </w:pPr>
      <w:r>
        <w:rPr>
          <w:rFonts w:hint="default" w:ascii="Times New Roman" w:hAnsi="Times New Roman" w:cs="Times New Roman"/>
        </w:rPr>
        <w:drawing>
          <wp:inline distT="0" distB="0" distL="114300" distR="114300">
            <wp:extent cx="4514850" cy="2772410"/>
            <wp:effectExtent l="4445" t="4445" r="14605" b="2349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DCAC486">
      <w:pPr>
        <w:spacing w:line="600" w:lineRule="exact"/>
        <w:ind w:firstLine="640" w:firstLineChars="200"/>
        <w:rPr>
          <w:rFonts w:ascii="仿宋" w:hAnsi="仿宋" w:eastAsia="仿宋"/>
          <w:b/>
          <w:color w:val="auto"/>
          <w:sz w:val="32"/>
          <w:szCs w:val="32"/>
          <w:highlight w:val="none"/>
        </w:rPr>
      </w:pPr>
      <w:r>
        <w:rPr>
          <w:rFonts w:hint="eastAsia" w:ascii="仿宋" w:hAnsi="仿宋" w:eastAsia="仿宋"/>
          <w:color w:val="auto"/>
          <w:sz w:val="32"/>
          <w:szCs w:val="32"/>
          <w:highlight w:val="none"/>
        </w:rPr>
        <w:t>（图4：财政拨款收、支决算总计变动情况）</w:t>
      </w:r>
    </w:p>
    <w:p w14:paraId="4118B53C">
      <w:pPr>
        <w:spacing w:line="600" w:lineRule="exact"/>
        <w:ind w:firstLine="640" w:firstLineChars="200"/>
        <w:outlineLvl w:val="1"/>
        <w:rPr>
          <w:rStyle w:val="25"/>
          <w:rFonts w:ascii="黑体" w:hAnsi="黑体" w:eastAsia="黑体"/>
          <w:b w:val="0"/>
          <w:color w:val="auto"/>
          <w:highlight w:val="none"/>
        </w:rPr>
      </w:pPr>
      <w:bookmarkStart w:id="32" w:name="_Toc15396607"/>
      <w:bookmarkStart w:id="33" w:name="_Toc15377209"/>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25"/>
          <w:rFonts w:hint="eastAsia" w:ascii="黑体" w:hAnsi="黑体" w:eastAsia="黑体"/>
          <w:b w:val="0"/>
          <w:color w:val="auto"/>
          <w:highlight w:val="none"/>
        </w:rPr>
        <w:t>般公共预算财政拨款支出决算情况说明</w:t>
      </w:r>
      <w:bookmarkEnd w:id="32"/>
      <w:bookmarkEnd w:id="33"/>
    </w:p>
    <w:p w14:paraId="33F2EB54">
      <w:pPr>
        <w:spacing w:line="600" w:lineRule="exact"/>
        <w:ind w:firstLine="643" w:firstLineChars="200"/>
        <w:outlineLvl w:val="2"/>
        <w:rPr>
          <w:rFonts w:ascii="仿宋" w:hAnsi="仿宋" w:eastAsia="仿宋"/>
          <w:b/>
          <w:color w:val="auto"/>
          <w:sz w:val="32"/>
          <w:szCs w:val="32"/>
          <w:highlight w:val="none"/>
        </w:rPr>
      </w:pPr>
      <w:bookmarkStart w:id="34" w:name="_Toc15377210"/>
      <w:r>
        <w:rPr>
          <w:rFonts w:hint="eastAsia" w:ascii="仿宋" w:hAnsi="仿宋" w:eastAsia="仿宋"/>
          <w:b/>
          <w:color w:val="auto"/>
          <w:sz w:val="32"/>
          <w:szCs w:val="32"/>
          <w:highlight w:val="none"/>
        </w:rPr>
        <w:t>（一）一般公共预算财政拨款支出决算总体情况</w:t>
      </w:r>
      <w:bookmarkEnd w:id="34"/>
    </w:p>
    <w:p w14:paraId="34AF7028">
      <w:pPr>
        <w:spacing w:line="600" w:lineRule="exact"/>
        <w:ind w:firstLine="640" w:firstLineChars="200"/>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21</w:t>
      </w:r>
      <w:r>
        <w:rPr>
          <w:rFonts w:hint="default" w:ascii="Times New Roman" w:hAnsi="Times New Roman" w:eastAsia="仿宋" w:cs="Times New Roman"/>
          <w:color w:val="auto"/>
          <w:sz w:val="32"/>
          <w:szCs w:val="32"/>
          <w:highlight w:val="none"/>
        </w:rPr>
        <w:t>年一般公共预算财政拨款支出</w:t>
      </w:r>
      <w:r>
        <w:rPr>
          <w:rFonts w:hint="default" w:ascii="Times New Roman" w:hAnsi="Times New Roman" w:eastAsia="仿宋" w:cs="Times New Roman"/>
          <w:color w:val="auto"/>
          <w:sz w:val="32"/>
          <w:szCs w:val="32"/>
          <w:highlight w:val="none"/>
          <w:lang w:val="en-US" w:eastAsia="zh-CN"/>
        </w:rPr>
        <w:t>123.08</w:t>
      </w:r>
      <w:r>
        <w:rPr>
          <w:rFonts w:hint="default" w:ascii="Times New Roman" w:hAnsi="Times New Roman" w:eastAsia="仿宋" w:cs="Times New Roman"/>
          <w:color w:val="auto"/>
          <w:sz w:val="32"/>
          <w:szCs w:val="32"/>
          <w:highlight w:val="none"/>
        </w:rPr>
        <w:t>万元，占本年支出合计的</w:t>
      </w:r>
      <w:r>
        <w:rPr>
          <w:rFonts w:hint="default" w:ascii="Times New Roman" w:hAnsi="Times New Roman" w:eastAsia="仿宋" w:cs="Times New Roman"/>
          <w:color w:val="auto"/>
          <w:sz w:val="32"/>
          <w:szCs w:val="32"/>
          <w:highlight w:val="none"/>
          <w:lang w:val="en-US" w:eastAsia="zh-CN"/>
        </w:rPr>
        <w:t>100</w:t>
      </w:r>
      <w:r>
        <w:rPr>
          <w:rFonts w:hint="default" w:ascii="Times New Roman" w:hAnsi="Times New Roman" w:eastAsia="仿宋" w:cs="Times New Roman"/>
          <w:color w:val="auto"/>
          <w:sz w:val="32"/>
          <w:szCs w:val="32"/>
          <w:highlight w:val="none"/>
        </w:rPr>
        <w:t>%。与20</w:t>
      </w:r>
      <w:r>
        <w:rPr>
          <w:rFonts w:hint="default" w:ascii="Times New Roman" w:hAnsi="Times New Roman" w:eastAsia="仿宋" w:cs="Times New Roman"/>
          <w:color w:val="auto"/>
          <w:sz w:val="32"/>
          <w:szCs w:val="32"/>
          <w:highlight w:val="none"/>
          <w:lang w:val="en-US" w:eastAsia="zh-CN"/>
        </w:rPr>
        <w:t>20</w:t>
      </w:r>
      <w:r>
        <w:rPr>
          <w:rFonts w:hint="default" w:ascii="Times New Roman" w:hAnsi="Times New Roman" w:eastAsia="仿宋" w:cs="Times New Roman"/>
          <w:color w:val="auto"/>
          <w:sz w:val="32"/>
          <w:szCs w:val="32"/>
          <w:highlight w:val="none"/>
        </w:rPr>
        <w:t>年相比，一般公共预算财政拨款</w:t>
      </w:r>
      <w:r>
        <w:rPr>
          <w:rFonts w:hint="default" w:ascii="Times New Roman" w:hAnsi="Times New Roman" w:eastAsia="仿宋" w:cs="Times New Roman"/>
          <w:color w:val="auto"/>
          <w:sz w:val="32"/>
          <w:szCs w:val="32"/>
          <w:highlight w:val="none"/>
          <w:lang w:eastAsia="zh-CN"/>
        </w:rPr>
        <w:t>支出</w:t>
      </w:r>
      <w:r>
        <w:rPr>
          <w:rFonts w:hint="default" w:ascii="Times New Roman" w:hAnsi="Times New Roman" w:eastAsia="仿宋" w:cs="Times New Roman"/>
          <w:color w:val="auto"/>
          <w:sz w:val="32"/>
          <w:szCs w:val="32"/>
          <w:highlight w:val="none"/>
        </w:rPr>
        <w:t>减少</w:t>
      </w:r>
      <w:r>
        <w:rPr>
          <w:rFonts w:hint="default" w:ascii="Times New Roman" w:hAnsi="Times New Roman" w:eastAsia="仿宋" w:cs="Times New Roman"/>
          <w:color w:val="auto"/>
          <w:sz w:val="32"/>
          <w:szCs w:val="32"/>
          <w:highlight w:val="none"/>
          <w:lang w:val="en-US" w:eastAsia="zh-CN"/>
        </w:rPr>
        <w:t>28.26</w:t>
      </w:r>
      <w:r>
        <w:rPr>
          <w:rFonts w:hint="default" w:ascii="Times New Roman" w:hAnsi="Times New Roman" w:eastAsia="仿宋" w:cs="Times New Roman"/>
          <w:color w:val="auto"/>
          <w:sz w:val="32"/>
          <w:szCs w:val="32"/>
          <w:highlight w:val="none"/>
        </w:rPr>
        <w:t>万元，下降</w:t>
      </w:r>
      <w:r>
        <w:rPr>
          <w:rFonts w:hint="default" w:ascii="Times New Roman" w:hAnsi="Times New Roman" w:eastAsia="仿宋" w:cs="Times New Roman"/>
          <w:color w:val="auto"/>
          <w:sz w:val="32"/>
          <w:szCs w:val="32"/>
          <w:highlight w:val="none"/>
          <w:lang w:val="en-US" w:eastAsia="zh-CN"/>
        </w:rPr>
        <w:t>18.67</w:t>
      </w:r>
      <w:r>
        <w:rPr>
          <w:rFonts w:hint="default" w:ascii="Times New Roman" w:hAnsi="Times New Roman" w:eastAsia="仿宋" w:cs="Times New Roman"/>
          <w:color w:val="auto"/>
          <w:sz w:val="32"/>
          <w:szCs w:val="32"/>
          <w:highlight w:val="none"/>
        </w:rPr>
        <w:t>%。主要变动原因是</w:t>
      </w:r>
      <w:r>
        <w:rPr>
          <w:rFonts w:hint="default" w:ascii="Times New Roman" w:hAnsi="Times New Roman" w:eastAsia="仿宋" w:cs="Times New Roman"/>
          <w:color w:val="auto"/>
          <w:sz w:val="32"/>
          <w:szCs w:val="32"/>
          <w:highlight w:val="none"/>
          <w:lang w:eastAsia="zh-CN"/>
        </w:rPr>
        <w:t>疫情原因，导致部分活动未开展。</w:t>
      </w:r>
    </w:p>
    <w:p w14:paraId="1D5D47DB">
      <w:pPr>
        <w:pStyle w:val="2"/>
        <w:rPr>
          <w:rFonts w:hint="default" w:ascii="Times New Roman" w:hAnsi="Times New Roman" w:eastAsia="仿宋" w:cs="Times New Roman"/>
          <w:color w:val="auto"/>
          <w:sz w:val="32"/>
          <w:szCs w:val="32"/>
          <w:highlight w:val="none"/>
          <w:lang w:eastAsia="zh-CN"/>
        </w:rPr>
      </w:pPr>
      <w:r>
        <w:rPr>
          <w:rFonts w:hint="default" w:ascii="Times New Roman" w:hAnsi="Times New Roman" w:cs="Times New Roman"/>
        </w:rPr>
        <w:drawing>
          <wp:inline distT="0" distB="0" distL="114300" distR="114300">
            <wp:extent cx="4610100" cy="2647950"/>
            <wp:effectExtent l="4445" t="4445" r="1460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A7D1CB4">
      <w:pPr>
        <w:pStyle w:val="2"/>
        <w:rPr>
          <w:rFonts w:hint="default" w:ascii="Times New Roman" w:hAnsi="Times New Roman" w:eastAsia="仿宋" w:cs="Times New Roman"/>
          <w:color w:val="auto"/>
          <w:sz w:val="32"/>
          <w:szCs w:val="32"/>
          <w:highlight w:val="none"/>
          <w:lang w:eastAsia="zh-CN"/>
        </w:rPr>
      </w:pPr>
    </w:p>
    <w:p w14:paraId="22086D0C">
      <w:pPr>
        <w:pStyle w:val="2"/>
        <w:rPr>
          <w:rFonts w:hint="default" w:ascii="Times New Roman" w:hAnsi="Times New Roman" w:eastAsia="仿宋" w:cs="Times New Roman"/>
          <w:color w:val="auto"/>
          <w:sz w:val="32"/>
          <w:szCs w:val="32"/>
          <w:highlight w:val="none"/>
          <w:lang w:eastAsia="zh-CN"/>
        </w:rPr>
      </w:pPr>
    </w:p>
    <w:p w14:paraId="607623C0">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w:t>
      </w:r>
    </w:p>
    <w:p w14:paraId="4900C789">
      <w:pPr>
        <w:spacing w:line="600" w:lineRule="exact"/>
        <w:ind w:firstLine="643" w:firstLineChars="200"/>
        <w:outlineLvl w:val="2"/>
        <w:rPr>
          <w:rFonts w:ascii="仿宋" w:hAnsi="仿宋" w:eastAsia="仿宋"/>
          <w:b/>
          <w:color w:val="auto"/>
          <w:sz w:val="32"/>
          <w:szCs w:val="32"/>
          <w:highlight w:val="none"/>
        </w:rPr>
      </w:pPr>
      <w:bookmarkStart w:id="35" w:name="_Toc15377211"/>
      <w:r>
        <w:rPr>
          <w:rFonts w:hint="eastAsia" w:ascii="仿宋" w:hAnsi="仿宋" w:eastAsia="仿宋"/>
          <w:b/>
          <w:color w:val="auto"/>
          <w:sz w:val="32"/>
          <w:szCs w:val="32"/>
          <w:highlight w:val="none"/>
        </w:rPr>
        <w:t>（二）一般公共预算财政拨款支出决算结构情况</w:t>
      </w:r>
      <w:bookmarkEnd w:id="35"/>
    </w:p>
    <w:p w14:paraId="737BB85D">
      <w:pPr>
        <w:spacing w:line="600" w:lineRule="exact"/>
        <w:ind w:firstLine="640"/>
        <w:rPr>
          <w:rFonts w:hint="default" w:ascii="Times New Roman" w:hAnsi="Times New Roman" w:eastAsia="仿宋" w:cs="Times New Roman"/>
          <w:b w:val="0"/>
          <w:bCs w:val="0"/>
          <w:color w:val="auto"/>
          <w:sz w:val="32"/>
          <w:szCs w:val="32"/>
          <w:highlight w:val="none"/>
        </w:rPr>
      </w:pPr>
      <w:r>
        <w:rPr>
          <w:rFonts w:hint="default" w:ascii="Times New Roman" w:hAnsi="Times New Roman" w:eastAsia="仿宋" w:cs="Times New Roman"/>
          <w:b w:val="0"/>
          <w:bCs w:val="0"/>
          <w:color w:val="auto"/>
          <w:sz w:val="32"/>
          <w:szCs w:val="32"/>
          <w:highlight w:val="none"/>
        </w:rPr>
        <w:t>20</w:t>
      </w:r>
      <w:r>
        <w:rPr>
          <w:rFonts w:hint="default" w:ascii="Times New Roman" w:hAnsi="Times New Roman" w:eastAsia="仿宋" w:cs="Times New Roman"/>
          <w:b w:val="0"/>
          <w:bCs w:val="0"/>
          <w:color w:val="auto"/>
          <w:sz w:val="32"/>
          <w:szCs w:val="32"/>
          <w:highlight w:val="none"/>
          <w:lang w:val="en-US" w:eastAsia="zh-CN"/>
        </w:rPr>
        <w:t>21</w:t>
      </w:r>
      <w:r>
        <w:rPr>
          <w:rFonts w:hint="default" w:ascii="Times New Roman" w:hAnsi="Times New Roman" w:eastAsia="仿宋" w:cs="Times New Roman"/>
          <w:b w:val="0"/>
          <w:bCs w:val="0"/>
          <w:color w:val="auto"/>
          <w:sz w:val="32"/>
          <w:szCs w:val="32"/>
          <w:highlight w:val="none"/>
        </w:rPr>
        <w:t>年一般公共预算财政拨款支出</w:t>
      </w:r>
      <w:r>
        <w:rPr>
          <w:rFonts w:hint="default" w:ascii="Times New Roman" w:hAnsi="Times New Roman" w:eastAsia="仿宋" w:cs="Times New Roman"/>
          <w:b w:val="0"/>
          <w:bCs w:val="0"/>
          <w:color w:val="auto"/>
          <w:sz w:val="32"/>
          <w:szCs w:val="32"/>
          <w:highlight w:val="none"/>
          <w:lang w:val="en-US" w:eastAsia="zh-CN"/>
        </w:rPr>
        <w:t>123.08</w:t>
      </w:r>
      <w:r>
        <w:rPr>
          <w:rFonts w:hint="default" w:ascii="Times New Roman" w:hAnsi="Times New Roman" w:eastAsia="仿宋" w:cs="Times New Roman"/>
          <w:b w:val="0"/>
          <w:bCs w:val="0"/>
          <w:color w:val="auto"/>
          <w:sz w:val="32"/>
          <w:szCs w:val="32"/>
          <w:highlight w:val="none"/>
        </w:rPr>
        <w:t>万元，主要用于以下方面:一般公共服务（类）支出</w:t>
      </w:r>
      <w:r>
        <w:rPr>
          <w:rFonts w:hint="default" w:ascii="Times New Roman" w:hAnsi="Times New Roman" w:eastAsia="仿宋" w:cs="Times New Roman"/>
          <w:b w:val="0"/>
          <w:bCs w:val="0"/>
          <w:color w:val="auto"/>
          <w:sz w:val="32"/>
          <w:szCs w:val="32"/>
          <w:highlight w:val="none"/>
          <w:lang w:val="en-US" w:eastAsia="zh-CN"/>
        </w:rPr>
        <w:t>92.42</w:t>
      </w:r>
      <w:r>
        <w:rPr>
          <w:rFonts w:hint="default" w:ascii="Times New Roman" w:hAnsi="Times New Roman" w:eastAsia="仿宋" w:cs="Times New Roman"/>
          <w:b w:val="0"/>
          <w:bCs w:val="0"/>
          <w:color w:val="auto"/>
          <w:sz w:val="32"/>
          <w:szCs w:val="32"/>
          <w:highlight w:val="none"/>
        </w:rPr>
        <w:t>万元，占</w:t>
      </w:r>
      <w:r>
        <w:rPr>
          <w:rFonts w:hint="default" w:ascii="Times New Roman" w:hAnsi="Times New Roman" w:eastAsia="仿宋" w:cs="Times New Roman"/>
          <w:b w:val="0"/>
          <w:bCs w:val="0"/>
          <w:color w:val="auto"/>
          <w:sz w:val="32"/>
          <w:szCs w:val="32"/>
          <w:highlight w:val="none"/>
          <w:lang w:val="en-US" w:eastAsia="zh-CN"/>
        </w:rPr>
        <w:t>75.09</w:t>
      </w:r>
      <w:r>
        <w:rPr>
          <w:rFonts w:hint="default" w:ascii="Times New Roman" w:hAnsi="Times New Roman" w:eastAsia="仿宋" w:cs="Times New Roman"/>
          <w:b w:val="0"/>
          <w:bCs w:val="0"/>
          <w:color w:val="auto"/>
          <w:sz w:val="32"/>
          <w:szCs w:val="32"/>
          <w:highlight w:val="none"/>
        </w:rPr>
        <w:t>%；社会保障和就业（类）支出</w:t>
      </w:r>
      <w:r>
        <w:rPr>
          <w:rFonts w:hint="default" w:ascii="Times New Roman" w:hAnsi="Times New Roman" w:eastAsia="仿宋" w:cs="Times New Roman"/>
          <w:b w:val="0"/>
          <w:bCs w:val="0"/>
          <w:color w:val="auto"/>
          <w:sz w:val="32"/>
          <w:szCs w:val="32"/>
          <w:highlight w:val="none"/>
          <w:lang w:val="en-US" w:eastAsia="zh-CN"/>
        </w:rPr>
        <w:t>11.39</w:t>
      </w:r>
      <w:r>
        <w:rPr>
          <w:rFonts w:hint="default" w:ascii="Times New Roman" w:hAnsi="Times New Roman" w:eastAsia="仿宋" w:cs="Times New Roman"/>
          <w:b w:val="0"/>
          <w:bCs w:val="0"/>
          <w:color w:val="auto"/>
          <w:sz w:val="32"/>
          <w:szCs w:val="32"/>
          <w:highlight w:val="none"/>
        </w:rPr>
        <w:t>万元，占</w:t>
      </w:r>
      <w:r>
        <w:rPr>
          <w:rFonts w:hint="default" w:ascii="Times New Roman" w:hAnsi="Times New Roman" w:eastAsia="仿宋" w:cs="Times New Roman"/>
          <w:b w:val="0"/>
          <w:bCs w:val="0"/>
          <w:color w:val="auto"/>
          <w:sz w:val="32"/>
          <w:szCs w:val="32"/>
          <w:highlight w:val="none"/>
          <w:lang w:val="en-US" w:eastAsia="zh-CN"/>
        </w:rPr>
        <w:t>9.25</w:t>
      </w:r>
      <w:r>
        <w:rPr>
          <w:rFonts w:hint="default" w:ascii="Times New Roman" w:hAnsi="Times New Roman" w:eastAsia="仿宋" w:cs="Times New Roman"/>
          <w:b w:val="0"/>
          <w:bCs w:val="0"/>
          <w:color w:val="auto"/>
          <w:sz w:val="32"/>
          <w:szCs w:val="32"/>
          <w:highlight w:val="none"/>
        </w:rPr>
        <w:t>%；卫生健康支出</w:t>
      </w:r>
      <w:r>
        <w:rPr>
          <w:rFonts w:hint="default" w:ascii="Times New Roman" w:hAnsi="Times New Roman" w:eastAsia="仿宋" w:cs="Times New Roman"/>
          <w:b w:val="0"/>
          <w:bCs w:val="0"/>
          <w:color w:val="auto"/>
          <w:sz w:val="32"/>
          <w:szCs w:val="32"/>
          <w:highlight w:val="none"/>
          <w:lang w:val="en-US" w:eastAsia="zh-CN"/>
        </w:rPr>
        <w:t>7.64</w:t>
      </w:r>
      <w:r>
        <w:rPr>
          <w:rFonts w:hint="default" w:ascii="Times New Roman" w:hAnsi="Times New Roman" w:eastAsia="仿宋" w:cs="Times New Roman"/>
          <w:b w:val="0"/>
          <w:bCs w:val="0"/>
          <w:color w:val="auto"/>
          <w:sz w:val="32"/>
          <w:szCs w:val="32"/>
          <w:highlight w:val="none"/>
        </w:rPr>
        <w:t>万元，占</w:t>
      </w:r>
      <w:r>
        <w:rPr>
          <w:rFonts w:hint="default" w:ascii="Times New Roman" w:hAnsi="Times New Roman" w:eastAsia="仿宋" w:cs="Times New Roman"/>
          <w:b w:val="0"/>
          <w:bCs w:val="0"/>
          <w:color w:val="auto"/>
          <w:sz w:val="32"/>
          <w:szCs w:val="32"/>
          <w:highlight w:val="none"/>
          <w:lang w:val="en-US" w:eastAsia="zh-CN"/>
        </w:rPr>
        <w:t>6.21</w:t>
      </w:r>
      <w:r>
        <w:rPr>
          <w:rFonts w:hint="default" w:ascii="Times New Roman" w:hAnsi="Times New Roman" w:eastAsia="仿宋" w:cs="Times New Roman"/>
          <w:b w:val="0"/>
          <w:bCs w:val="0"/>
          <w:color w:val="auto"/>
          <w:sz w:val="32"/>
          <w:szCs w:val="32"/>
          <w:highlight w:val="none"/>
        </w:rPr>
        <w:t>%；住房保障支出</w:t>
      </w:r>
      <w:r>
        <w:rPr>
          <w:rFonts w:hint="default" w:ascii="Times New Roman" w:hAnsi="Times New Roman" w:eastAsia="仿宋" w:cs="Times New Roman"/>
          <w:b w:val="0"/>
          <w:bCs w:val="0"/>
          <w:color w:val="auto"/>
          <w:sz w:val="32"/>
          <w:szCs w:val="32"/>
          <w:highlight w:val="none"/>
          <w:lang w:val="en-US" w:eastAsia="zh-CN"/>
        </w:rPr>
        <w:t>11.63</w:t>
      </w:r>
      <w:r>
        <w:rPr>
          <w:rFonts w:hint="default" w:ascii="Times New Roman" w:hAnsi="Times New Roman" w:eastAsia="仿宋" w:cs="Times New Roman"/>
          <w:b w:val="0"/>
          <w:bCs w:val="0"/>
          <w:color w:val="auto"/>
          <w:sz w:val="32"/>
          <w:szCs w:val="32"/>
          <w:highlight w:val="none"/>
        </w:rPr>
        <w:t>万元，占</w:t>
      </w:r>
      <w:r>
        <w:rPr>
          <w:rFonts w:hint="default" w:ascii="Times New Roman" w:hAnsi="Times New Roman" w:eastAsia="仿宋" w:cs="Times New Roman"/>
          <w:b w:val="0"/>
          <w:bCs w:val="0"/>
          <w:color w:val="auto"/>
          <w:sz w:val="32"/>
          <w:szCs w:val="32"/>
          <w:highlight w:val="none"/>
          <w:lang w:val="en-US" w:eastAsia="zh-CN"/>
        </w:rPr>
        <w:t>9.45</w:t>
      </w:r>
      <w:r>
        <w:rPr>
          <w:rFonts w:hint="default" w:ascii="Times New Roman" w:hAnsi="Times New Roman" w:eastAsia="仿宋" w:cs="Times New Roman"/>
          <w:b w:val="0"/>
          <w:bCs w:val="0"/>
          <w:color w:val="auto"/>
          <w:sz w:val="32"/>
          <w:szCs w:val="32"/>
          <w:highlight w:val="none"/>
        </w:rPr>
        <w:t>%。</w:t>
      </w:r>
    </w:p>
    <w:p w14:paraId="5532F69D">
      <w:pPr>
        <w:spacing w:line="600" w:lineRule="exact"/>
        <w:ind w:firstLine="640" w:firstLineChars="200"/>
        <w:rPr>
          <w:rFonts w:hint="eastAsia" w:ascii="仿宋" w:hAnsi="仿宋" w:eastAsia="仿宋"/>
          <w:color w:val="auto"/>
          <w:sz w:val="32"/>
          <w:szCs w:val="32"/>
          <w:highlight w:val="none"/>
        </w:rPr>
      </w:pPr>
    </w:p>
    <w:p w14:paraId="4380FE48">
      <w:pPr>
        <w:pStyle w:val="2"/>
        <w:rPr>
          <w:rFonts w:hint="eastAsia"/>
        </w:rPr>
      </w:pPr>
      <w:r>
        <w:rPr>
          <w:rFonts w:hint="default" w:ascii="Times New Roman" w:hAnsi="Times New Roman" w:cs="Times New Roman"/>
        </w:rPr>
        <w:drawing>
          <wp:inline distT="0" distB="0" distL="114300" distR="114300">
            <wp:extent cx="4524375" cy="2524125"/>
            <wp:effectExtent l="4445" t="4445" r="5080" b="5080"/>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AA7E153">
      <w:pPr>
        <w:spacing w:line="600" w:lineRule="exact"/>
        <w:ind w:firstLine="640" w:firstLineChars="200"/>
        <w:rPr>
          <w:rFonts w:hint="eastAsia" w:ascii="仿宋" w:hAnsi="仿宋" w:eastAsia="仿宋"/>
          <w:color w:val="auto"/>
          <w:sz w:val="32"/>
          <w:szCs w:val="32"/>
          <w:highlight w:val="none"/>
        </w:rPr>
      </w:pPr>
    </w:p>
    <w:p w14:paraId="1A01B55D">
      <w:pPr>
        <w:spacing w:line="600" w:lineRule="exact"/>
        <w:ind w:firstLine="640" w:firstLineChars="200"/>
        <w:outlineLvl w:val="2"/>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（图6：一般公共预算财政拨款支出决算结构）</w:t>
      </w:r>
      <w:bookmarkStart w:id="36" w:name="_Toc15377212"/>
    </w:p>
    <w:p w14:paraId="5C091BFD">
      <w:pPr>
        <w:spacing w:line="600" w:lineRule="exact"/>
        <w:ind w:firstLine="643" w:firstLineChars="200"/>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（三）一般公共预算财政拨款支出决算具体情况</w:t>
      </w:r>
      <w:bookmarkEnd w:id="36"/>
    </w:p>
    <w:p w14:paraId="71366FDB">
      <w:pPr>
        <w:spacing w:line="600" w:lineRule="exact"/>
        <w:ind w:firstLine="640" w:firstLineChars="200"/>
        <w:outlineLvl w:val="2"/>
        <w:rPr>
          <w:rFonts w:hint="default" w:ascii="Times New Roman" w:hAnsi="Times New Roman" w:eastAsia="仿宋" w:cs="Times New Roman"/>
          <w:b w:val="0"/>
          <w:bCs/>
          <w:color w:val="auto"/>
          <w:sz w:val="32"/>
          <w:szCs w:val="32"/>
          <w:highlight w:val="none"/>
        </w:rPr>
      </w:pPr>
      <w:bookmarkStart w:id="37" w:name="_Toc15378460"/>
      <w:bookmarkStart w:id="38" w:name="_Toc15377213"/>
      <w:bookmarkStart w:id="39" w:name="_Toc15377444"/>
      <w:bookmarkStart w:id="40" w:name="_Toc15396608"/>
      <w:bookmarkStart w:id="41" w:name="_Toc15377214"/>
      <w:r>
        <w:rPr>
          <w:rFonts w:hint="default" w:ascii="Times New Roman" w:hAnsi="Times New Roman" w:eastAsia="仿宋" w:cs="Times New Roman"/>
          <w:b w:val="0"/>
          <w:bCs/>
          <w:color w:val="auto"/>
          <w:sz w:val="32"/>
          <w:szCs w:val="32"/>
          <w:highlight w:val="none"/>
        </w:rPr>
        <w:t>20</w:t>
      </w:r>
      <w:r>
        <w:rPr>
          <w:rFonts w:hint="default" w:ascii="Times New Roman" w:hAnsi="Times New Roman" w:eastAsia="仿宋" w:cs="Times New Roman"/>
          <w:b w:val="0"/>
          <w:bCs/>
          <w:color w:val="auto"/>
          <w:sz w:val="32"/>
          <w:szCs w:val="32"/>
          <w:highlight w:val="none"/>
          <w:lang w:val="en-US" w:eastAsia="zh-CN"/>
        </w:rPr>
        <w:t>21</w:t>
      </w:r>
      <w:r>
        <w:rPr>
          <w:rFonts w:hint="default" w:ascii="Times New Roman" w:hAnsi="Times New Roman" w:eastAsia="仿宋" w:cs="Times New Roman"/>
          <w:b w:val="0"/>
          <w:bCs/>
          <w:color w:val="auto"/>
          <w:sz w:val="32"/>
          <w:szCs w:val="32"/>
          <w:highlight w:val="none"/>
        </w:rPr>
        <w:t>年</w:t>
      </w:r>
      <w:r>
        <w:rPr>
          <w:rFonts w:hint="default" w:ascii="Times New Roman" w:hAnsi="Times New Roman" w:eastAsia="仿宋" w:cs="Times New Roman"/>
          <w:b w:val="0"/>
          <w:bCs/>
          <w:color w:val="auto"/>
          <w:sz w:val="32"/>
          <w:szCs w:val="32"/>
          <w:highlight w:val="none"/>
          <w:lang w:eastAsia="zh-CN"/>
        </w:rPr>
        <w:t>一</w:t>
      </w:r>
      <w:r>
        <w:rPr>
          <w:rFonts w:hint="default" w:ascii="Times New Roman" w:hAnsi="Times New Roman" w:eastAsia="仿宋" w:cs="Times New Roman"/>
          <w:b w:val="0"/>
          <w:bCs/>
          <w:color w:val="auto"/>
          <w:sz w:val="32"/>
          <w:szCs w:val="32"/>
          <w:highlight w:val="none"/>
        </w:rPr>
        <w:t>般公共预算支出决算数为</w:t>
      </w:r>
      <w:r>
        <w:rPr>
          <w:rFonts w:hint="default" w:ascii="Times New Roman" w:hAnsi="Times New Roman" w:eastAsia="仿宋" w:cs="Times New Roman"/>
          <w:b w:val="0"/>
          <w:bCs/>
          <w:color w:val="auto"/>
          <w:sz w:val="32"/>
          <w:szCs w:val="32"/>
          <w:highlight w:val="none"/>
          <w:lang w:val="en-US" w:eastAsia="zh-CN"/>
        </w:rPr>
        <w:t>123.08万元</w:t>
      </w:r>
      <w:r>
        <w:rPr>
          <w:rFonts w:hint="default" w:ascii="Times New Roman" w:hAnsi="Times New Roman" w:eastAsia="仿宋" w:cs="Times New Roman"/>
          <w:b w:val="0"/>
          <w:bCs/>
          <w:color w:val="auto"/>
          <w:sz w:val="32"/>
          <w:szCs w:val="32"/>
          <w:highlight w:val="none"/>
        </w:rPr>
        <w:t>，</w:t>
      </w:r>
      <w:r>
        <w:rPr>
          <w:rStyle w:val="14"/>
          <w:rFonts w:hint="default" w:ascii="Times New Roman" w:hAnsi="Times New Roman" w:eastAsia="仿宋" w:cs="Times New Roman"/>
          <w:b w:val="0"/>
          <w:bCs/>
          <w:color w:val="auto"/>
          <w:sz w:val="32"/>
          <w:szCs w:val="32"/>
          <w:highlight w:val="none"/>
        </w:rPr>
        <w:t>完成预算</w:t>
      </w:r>
      <w:r>
        <w:rPr>
          <w:rStyle w:val="14"/>
          <w:rFonts w:hint="default" w:ascii="Times New Roman" w:hAnsi="Times New Roman" w:eastAsia="仿宋" w:cs="Times New Roman"/>
          <w:b w:val="0"/>
          <w:bCs/>
          <w:color w:val="auto"/>
          <w:sz w:val="32"/>
          <w:szCs w:val="32"/>
          <w:highlight w:val="none"/>
          <w:lang w:val="en-US" w:eastAsia="zh-CN"/>
        </w:rPr>
        <w:t>100</w:t>
      </w:r>
      <w:r>
        <w:rPr>
          <w:rStyle w:val="14"/>
          <w:rFonts w:hint="default" w:ascii="Times New Roman" w:hAnsi="Times New Roman" w:eastAsia="仿宋" w:cs="Times New Roman"/>
          <w:b w:val="0"/>
          <w:bCs/>
          <w:color w:val="auto"/>
          <w:sz w:val="32"/>
          <w:szCs w:val="32"/>
          <w:highlight w:val="none"/>
        </w:rPr>
        <w:t>%。其中：</w:t>
      </w:r>
      <w:bookmarkEnd w:id="37"/>
      <w:bookmarkEnd w:id="38"/>
      <w:bookmarkEnd w:id="39"/>
    </w:p>
    <w:p w14:paraId="6749FA3D">
      <w:pPr>
        <w:spacing w:line="600" w:lineRule="exact"/>
        <w:ind w:firstLine="640" w:firstLineChars="200"/>
        <w:rPr>
          <w:rFonts w:hint="default" w:ascii="Times New Roman" w:hAnsi="Times New Roman" w:eastAsia="仿宋" w:cs="Times New Roman"/>
          <w:b w:val="0"/>
          <w:bCs/>
          <w:color w:val="auto"/>
          <w:sz w:val="32"/>
          <w:szCs w:val="32"/>
          <w:highlight w:val="none"/>
        </w:rPr>
      </w:pPr>
      <w:r>
        <w:rPr>
          <w:rStyle w:val="14"/>
          <w:rFonts w:hint="default" w:ascii="Times New Roman" w:hAnsi="Times New Roman" w:eastAsia="仿宋" w:cs="Times New Roman"/>
          <w:b w:val="0"/>
          <w:bCs/>
          <w:color w:val="auto"/>
          <w:sz w:val="32"/>
          <w:szCs w:val="32"/>
          <w:highlight w:val="none"/>
        </w:rPr>
        <w:t>1.一般公共服务（</w:t>
      </w:r>
      <w:r>
        <w:rPr>
          <w:rStyle w:val="14"/>
          <w:rFonts w:hint="default" w:ascii="Times New Roman" w:hAnsi="Times New Roman" w:eastAsia="仿宋" w:cs="Times New Roman"/>
          <w:b w:val="0"/>
          <w:bCs/>
          <w:color w:val="auto"/>
          <w:sz w:val="32"/>
          <w:szCs w:val="32"/>
          <w:highlight w:val="none"/>
          <w:lang w:val="en-US" w:eastAsia="zh-CN"/>
        </w:rPr>
        <w:t>201</w:t>
      </w:r>
      <w:r>
        <w:rPr>
          <w:rStyle w:val="14"/>
          <w:rFonts w:hint="default" w:ascii="Times New Roman" w:hAnsi="Times New Roman" w:eastAsia="仿宋" w:cs="Times New Roman"/>
          <w:b w:val="0"/>
          <w:bCs/>
          <w:color w:val="auto"/>
          <w:sz w:val="32"/>
          <w:szCs w:val="32"/>
          <w:highlight w:val="none"/>
        </w:rPr>
        <w:t>）</w:t>
      </w:r>
      <w:r>
        <w:rPr>
          <w:rStyle w:val="14"/>
          <w:rFonts w:hint="default" w:ascii="Times New Roman" w:hAnsi="Times New Roman" w:eastAsia="仿宋" w:cs="Times New Roman"/>
          <w:b w:val="0"/>
          <w:bCs/>
          <w:color w:val="auto"/>
          <w:sz w:val="32"/>
          <w:szCs w:val="32"/>
          <w:highlight w:val="none"/>
          <w:lang w:val="en-US" w:eastAsia="zh-CN"/>
        </w:rPr>
        <w:t>群众团体事务</w:t>
      </w:r>
      <w:r>
        <w:rPr>
          <w:rStyle w:val="14"/>
          <w:rFonts w:hint="default" w:ascii="Times New Roman" w:hAnsi="Times New Roman" w:eastAsia="仿宋" w:cs="Times New Roman"/>
          <w:b w:val="0"/>
          <w:bCs/>
          <w:color w:val="auto"/>
          <w:sz w:val="32"/>
          <w:szCs w:val="32"/>
          <w:highlight w:val="none"/>
        </w:rPr>
        <w:t>（</w:t>
      </w:r>
      <w:r>
        <w:rPr>
          <w:rStyle w:val="14"/>
          <w:rFonts w:hint="default" w:ascii="Times New Roman" w:hAnsi="Times New Roman" w:eastAsia="仿宋" w:cs="Times New Roman"/>
          <w:b w:val="0"/>
          <w:bCs/>
          <w:color w:val="auto"/>
          <w:sz w:val="32"/>
          <w:szCs w:val="32"/>
          <w:highlight w:val="none"/>
          <w:lang w:val="en-US" w:eastAsia="zh-CN"/>
        </w:rPr>
        <w:t>29</w:t>
      </w:r>
      <w:r>
        <w:rPr>
          <w:rStyle w:val="14"/>
          <w:rFonts w:hint="default" w:ascii="Times New Roman" w:hAnsi="Times New Roman" w:eastAsia="仿宋" w:cs="Times New Roman"/>
          <w:b w:val="0"/>
          <w:bCs/>
          <w:color w:val="auto"/>
          <w:sz w:val="32"/>
          <w:szCs w:val="32"/>
          <w:highlight w:val="none"/>
        </w:rPr>
        <w:t>）</w:t>
      </w:r>
      <w:r>
        <w:rPr>
          <w:rStyle w:val="14"/>
          <w:rFonts w:hint="default" w:ascii="Times New Roman" w:hAnsi="Times New Roman" w:eastAsia="仿宋" w:cs="Times New Roman"/>
          <w:b w:val="0"/>
          <w:bCs/>
          <w:color w:val="auto"/>
          <w:sz w:val="32"/>
          <w:szCs w:val="32"/>
          <w:highlight w:val="none"/>
          <w:lang w:val="en-US" w:eastAsia="zh-CN"/>
        </w:rPr>
        <w:t>行政运动</w:t>
      </w:r>
      <w:r>
        <w:rPr>
          <w:rStyle w:val="14"/>
          <w:rFonts w:hint="default" w:ascii="Times New Roman" w:hAnsi="Times New Roman" w:eastAsia="仿宋" w:cs="Times New Roman"/>
          <w:b w:val="0"/>
          <w:bCs/>
          <w:color w:val="auto"/>
          <w:sz w:val="32"/>
          <w:szCs w:val="32"/>
          <w:highlight w:val="none"/>
        </w:rPr>
        <w:t>（</w:t>
      </w:r>
      <w:r>
        <w:rPr>
          <w:rStyle w:val="14"/>
          <w:rFonts w:hint="default" w:ascii="Times New Roman" w:hAnsi="Times New Roman" w:eastAsia="仿宋" w:cs="Times New Roman"/>
          <w:b w:val="0"/>
          <w:bCs/>
          <w:color w:val="auto"/>
          <w:sz w:val="32"/>
          <w:szCs w:val="32"/>
          <w:highlight w:val="none"/>
          <w:lang w:val="en-US" w:eastAsia="zh-CN"/>
        </w:rPr>
        <w:t>01</w:t>
      </w:r>
      <w:r>
        <w:rPr>
          <w:rStyle w:val="14"/>
          <w:rFonts w:hint="default" w:ascii="Times New Roman" w:hAnsi="Times New Roman" w:eastAsia="仿宋" w:cs="Times New Roman"/>
          <w:b w:val="0"/>
          <w:bCs/>
          <w:color w:val="auto"/>
          <w:sz w:val="32"/>
          <w:szCs w:val="32"/>
          <w:highlight w:val="none"/>
        </w:rPr>
        <w:t>）</w:t>
      </w:r>
      <w:r>
        <w:rPr>
          <w:rStyle w:val="14"/>
          <w:rFonts w:hint="default" w:ascii="Times New Roman" w:hAnsi="Times New Roman" w:eastAsia="仿宋" w:cs="Times New Roman"/>
          <w:b w:val="0"/>
          <w:bCs/>
          <w:color w:val="auto"/>
          <w:sz w:val="32"/>
          <w:szCs w:val="32"/>
          <w:highlight w:val="none"/>
          <w:lang w:val="en-US" w:eastAsia="zh-CN"/>
        </w:rPr>
        <w:t>一般行政事务管理（02）事业运行（50） 其他群众团体事务支出（99）</w:t>
      </w:r>
      <w:r>
        <w:rPr>
          <w:rStyle w:val="14"/>
          <w:rFonts w:hint="default" w:ascii="Times New Roman" w:hAnsi="Times New Roman" w:eastAsia="仿宋" w:cs="Times New Roman"/>
          <w:b w:val="0"/>
          <w:bCs/>
          <w:color w:val="auto"/>
          <w:sz w:val="32"/>
          <w:szCs w:val="32"/>
          <w:highlight w:val="none"/>
        </w:rPr>
        <w:t>: 支出决算为</w:t>
      </w:r>
      <w:r>
        <w:rPr>
          <w:rStyle w:val="14"/>
          <w:rFonts w:hint="default" w:ascii="Times New Roman" w:hAnsi="Times New Roman" w:eastAsia="仿宋" w:cs="Times New Roman"/>
          <w:b w:val="0"/>
          <w:bCs/>
          <w:color w:val="auto"/>
          <w:sz w:val="32"/>
          <w:szCs w:val="32"/>
          <w:highlight w:val="none"/>
          <w:lang w:val="en-US" w:eastAsia="zh-CN"/>
        </w:rPr>
        <w:t>92.42</w:t>
      </w:r>
      <w:r>
        <w:rPr>
          <w:rStyle w:val="14"/>
          <w:rFonts w:hint="default" w:ascii="Times New Roman" w:hAnsi="Times New Roman" w:eastAsia="仿宋" w:cs="Times New Roman"/>
          <w:b w:val="0"/>
          <w:bCs/>
          <w:color w:val="auto"/>
          <w:sz w:val="32"/>
          <w:szCs w:val="32"/>
          <w:highlight w:val="none"/>
        </w:rPr>
        <w:t>万元，完成预算</w:t>
      </w:r>
      <w:r>
        <w:rPr>
          <w:rStyle w:val="14"/>
          <w:rFonts w:hint="default" w:ascii="Times New Roman" w:hAnsi="Times New Roman" w:eastAsia="仿宋" w:cs="Times New Roman"/>
          <w:b w:val="0"/>
          <w:bCs/>
          <w:color w:val="auto"/>
          <w:sz w:val="32"/>
          <w:szCs w:val="32"/>
          <w:highlight w:val="none"/>
          <w:lang w:val="en-US" w:eastAsia="zh-CN"/>
        </w:rPr>
        <w:t>100</w:t>
      </w:r>
      <w:r>
        <w:rPr>
          <w:rStyle w:val="14"/>
          <w:rFonts w:hint="default" w:ascii="Times New Roman" w:hAnsi="Times New Roman" w:eastAsia="仿宋" w:cs="Times New Roman"/>
          <w:b w:val="0"/>
          <w:bCs/>
          <w:color w:val="auto"/>
          <w:sz w:val="32"/>
          <w:szCs w:val="32"/>
          <w:highlight w:val="none"/>
        </w:rPr>
        <w:t>%，。</w:t>
      </w:r>
    </w:p>
    <w:p w14:paraId="767373FE">
      <w:pPr>
        <w:spacing w:line="600" w:lineRule="exact"/>
        <w:ind w:firstLine="640" w:firstLineChars="200"/>
        <w:rPr>
          <w:rFonts w:hint="default" w:ascii="Times New Roman" w:hAnsi="Times New Roman" w:eastAsia="仿宋" w:cs="Times New Roman"/>
          <w:b w:val="0"/>
          <w:bCs/>
          <w:color w:val="auto"/>
          <w:sz w:val="32"/>
          <w:szCs w:val="32"/>
          <w:highlight w:val="none"/>
        </w:rPr>
      </w:pPr>
      <w:r>
        <w:rPr>
          <w:rStyle w:val="14"/>
          <w:rFonts w:hint="default" w:ascii="Times New Roman" w:hAnsi="Times New Roman" w:eastAsia="仿宋" w:cs="Times New Roman"/>
          <w:b w:val="0"/>
          <w:bCs/>
          <w:color w:val="auto"/>
          <w:sz w:val="32"/>
          <w:szCs w:val="32"/>
          <w:highlight w:val="none"/>
        </w:rPr>
        <w:t>2.社会保障和就业（</w:t>
      </w:r>
      <w:r>
        <w:rPr>
          <w:rStyle w:val="14"/>
          <w:rFonts w:hint="default" w:ascii="Times New Roman" w:hAnsi="Times New Roman" w:eastAsia="仿宋" w:cs="Times New Roman"/>
          <w:b w:val="0"/>
          <w:bCs/>
          <w:color w:val="auto"/>
          <w:sz w:val="32"/>
          <w:szCs w:val="32"/>
          <w:highlight w:val="none"/>
          <w:lang w:val="en-US" w:eastAsia="zh-CN"/>
        </w:rPr>
        <w:t>208</w:t>
      </w:r>
      <w:r>
        <w:rPr>
          <w:rStyle w:val="14"/>
          <w:rFonts w:hint="default" w:ascii="Times New Roman" w:hAnsi="Times New Roman" w:eastAsia="仿宋" w:cs="Times New Roman"/>
          <w:b w:val="0"/>
          <w:bCs/>
          <w:color w:val="auto"/>
          <w:sz w:val="32"/>
          <w:szCs w:val="32"/>
          <w:highlight w:val="none"/>
        </w:rPr>
        <w:t>）行政事业单位养老支出（</w:t>
      </w:r>
      <w:r>
        <w:rPr>
          <w:rStyle w:val="14"/>
          <w:rFonts w:hint="default" w:ascii="Times New Roman" w:hAnsi="Times New Roman" w:eastAsia="仿宋" w:cs="Times New Roman"/>
          <w:b w:val="0"/>
          <w:bCs/>
          <w:color w:val="auto"/>
          <w:sz w:val="32"/>
          <w:szCs w:val="32"/>
          <w:highlight w:val="none"/>
          <w:lang w:val="en-US" w:eastAsia="zh-CN"/>
        </w:rPr>
        <w:t>05</w:t>
      </w:r>
      <w:r>
        <w:rPr>
          <w:rStyle w:val="14"/>
          <w:rFonts w:hint="default" w:ascii="Times New Roman" w:hAnsi="Times New Roman" w:eastAsia="仿宋" w:cs="Times New Roman"/>
          <w:b w:val="0"/>
          <w:bCs/>
          <w:color w:val="auto"/>
          <w:sz w:val="32"/>
          <w:szCs w:val="32"/>
          <w:highlight w:val="none"/>
        </w:rPr>
        <w:t>）行政单位离退休（</w:t>
      </w:r>
      <w:r>
        <w:rPr>
          <w:rStyle w:val="14"/>
          <w:rFonts w:hint="default" w:ascii="Times New Roman" w:hAnsi="Times New Roman" w:eastAsia="仿宋" w:cs="Times New Roman"/>
          <w:b w:val="0"/>
          <w:bCs/>
          <w:color w:val="auto"/>
          <w:sz w:val="32"/>
          <w:szCs w:val="32"/>
          <w:highlight w:val="none"/>
          <w:lang w:val="en-US" w:eastAsia="zh-CN"/>
        </w:rPr>
        <w:t>01</w:t>
      </w:r>
      <w:r>
        <w:rPr>
          <w:rStyle w:val="14"/>
          <w:rFonts w:hint="default" w:ascii="Times New Roman" w:hAnsi="Times New Roman" w:eastAsia="仿宋" w:cs="Times New Roman"/>
          <w:b w:val="0"/>
          <w:bCs/>
          <w:color w:val="auto"/>
          <w:sz w:val="32"/>
          <w:szCs w:val="32"/>
          <w:highlight w:val="none"/>
        </w:rPr>
        <w:t>） 机关事业单位基本养老保险缴费支出</w:t>
      </w:r>
      <w:r>
        <w:rPr>
          <w:rStyle w:val="14"/>
          <w:rFonts w:hint="default" w:ascii="Times New Roman" w:hAnsi="Times New Roman" w:eastAsia="仿宋" w:cs="Times New Roman"/>
          <w:b w:val="0"/>
          <w:bCs/>
          <w:color w:val="auto"/>
          <w:sz w:val="32"/>
          <w:szCs w:val="32"/>
          <w:highlight w:val="none"/>
          <w:lang w:eastAsia="zh-CN"/>
        </w:rPr>
        <w:t>（</w:t>
      </w:r>
      <w:r>
        <w:rPr>
          <w:rStyle w:val="14"/>
          <w:rFonts w:hint="default" w:ascii="Times New Roman" w:hAnsi="Times New Roman" w:eastAsia="仿宋" w:cs="Times New Roman"/>
          <w:b w:val="0"/>
          <w:bCs/>
          <w:color w:val="auto"/>
          <w:sz w:val="32"/>
          <w:szCs w:val="32"/>
          <w:highlight w:val="none"/>
          <w:lang w:val="en-US" w:eastAsia="zh-CN"/>
        </w:rPr>
        <w:t>05）</w:t>
      </w:r>
      <w:r>
        <w:rPr>
          <w:rStyle w:val="14"/>
          <w:rFonts w:hint="default" w:ascii="Times New Roman" w:hAnsi="Times New Roman" w:eastAsia="仿宋" w:cs="Times New Roman"/>
          <w:b w:val="0"/>
          <w:bCs/>
          <w:color w:val="auto"/>
          <w:sz w:val="32"/>
          <w:szCs w:val="32"/>
          <w:highlight w:val="none"/>
        </w:rPr>
        <w:t>: 支出决算为</w:t>
      </w:r>
      <w:r>
        <w:rPr>
          <w:rStyle w:val="14"/>
          <w:rFonts w:hint="default" w:ascii="Times New Roman" w:hAnsi="Times New Roman" w:eastAsia="仿宋" w:cs="Times New Roman"/>
          <w:b w:val="0"/>
          <w:bCs/>
          <w:color w:val="auto"/>
          <w:sz w:val="32"/>
          <w:szCs w:val="32"/>
          <w:highlight w:val="none"/>
          <w:lang w:val="en-US" w:eastAsia="zh-CN"/>
        </w:rPr>
        <w:t>11.39</w:t>
      </w:r>
      <w:r>
        <w:rPr>
          <w:rStyle w:val="14"/>
          <w:rFonts w:hint="default" w:ascii="Times New Roman" w:hAnsi="Times New Roman" w:eastAsia="仿宋" w:cs="Times New Roman"/>
          <w:b w:val="0"/>
          <w:bCs/>
          <w:color w:val="auto"/>
          <w:sz w:val="32"/>
          <w:szCs w:val="32"/>
          <w:highlight w:val="none"/>
        </w:rPr>
        <w:t>万元，完成预算</w:t>
      </w:r>
      <w:r>
        <w:rPr>
          <w:rStyle w:val="14"/>
          <w:rFonts w:hint="default" w:ascii="Times New Roman" w:hAnsi="Times New Roman" w:eastAsia="仿宋" w:cs="Times New Roman"/>
          <w:b w:val="0"/>
          <w:bCs/>
          <w:color w:val="auto"/>
          <w:sz w:val="32"/>
          <w:szCs w:val="32"/>
          <w:highlight w:val="none"/>
          <w:lang w:val="en-US" w:eastAsia="zh-CN"/>
        </w:rPr>
        <w:t>100</w:t>
      </w:r>
      <w:r>
        <w:rPr>
          <w:rStyle w:val="14"/>
          <w:rFonts w:hint="default" w:ascii="Times New Roman" w:hAnsi="Times New Roman" w:eastAsia="仿宋" w:cs="Times New Roman"/>
          <w:b w:val="0"/>
          <w:bCs/>
          <w:color w:val="auto"/>
          <w:sz w:val="32"/>
          <w:szCs w:val="32"/>
          <w:highlight w:val="none"/>
        </w:rPr>
        <w:t>%。</w:t>
      </w:r>
    </w:p>
    <w:p w14:paraId="68247068">
      <w:pPr>
        <w:spacing w:line="600" w:lineRule="exact"/>
        <w:ind w:firstLine="640" w:firstLineChars="200"/>
        <w:rPr>
          <w:rStyle w:val="14"/>
          <w:rFonts w:hint="default" w:ascii="Times New Roman" w:hAnsi="Times New Roman" w:eastAsia="仿宋" w:cs="Times New Roman"/>
          <w:b w:val="0"/>
          <w:bCs/>
          <w:color w:val="auto"/>
          <w:sz w:val="32"/>
          <w:szCs w:val="32"/>
          <w:highlight w:val="none"/>
        </w:rPr>
      </w:pPr>
      <w:r>
        <w:rPr>
          <w:rStyle w:val="14"/>
          <w:rFonts w:hint="default" w:ascii="Times New Roman" w:hAnsi="Times New Roman" w:eastAsia="仿宋" w:cs="Times New Roman"/>
          <w:b w:val="0"/>
          <w:bCs/>
          <w:color w:val="auto"/>
          <w:sz w:val="32"/>
          <w:szCs w:val="32"/>
          <w:highlight w:val="none"/>
          <w:lang w:val="en-US" w:eastAsia="zh-CN"/>
        </w:rPr>
        <w:t>3</w:t>
      </w:r>
      <w:r>
        <w:rPr>
          <w:rStyle w:val="14"/>
          <w:rFonts w:hint="default" w:ascii="Times New Roman" w:hAnsi="Times New Roman" w:eastAsia="仿宋" w:cs="Times New Roman"/>
          <w:b w:val="0"/>
          <w:bCs/>
          <w:color w:val="auto"/>
          <w:sz w:val="32"/>
          <w:szCs w:val="32"/>
          <w:highlight w:val="none"/>
        </w:rPr>
        <w:t>.</w:t>
      </w:r>
      <w:r>
        <w:rPr>
          <w:rFonts w:hint="default" w:ascii="Times New Roman" w:hAnsi="Times New Roman" w:eastAsia="仿宋" w:cs="Times New Roman"/>
          <w:b w:val="0"/>
          <w:bCs/>
          <w:color w:val="auto"/>
          <w:sz w:val="32"/>
          <w:szCs w:val="32"/>
          <w:highlight w:val="none"/>
        </w:rPr>
        <w:t>卫生健康</w:t>
      </w:r>
      <w:r>
        <w:rPr>
          <w:rStyle w:val="14"/>
          <w:rFonts w:hint="default" w:ascii="Times New Roman" w:hAnsi="Times New Roman" w:eastAsia="仿宋" w:cs="Times New Roman"/>
          <w:b w:val="0"/>
          <w:bCs/>
          <w:color w:val="auto"/>
          <w:sz w:val="32"/>
          <w:szCs w:val="32"/>
          <w:highlight w:val="none"/>
        </w:rPr>
        <w:t>（</w:t>
      </w:r>
      <w:r>
        <w:rPr>
          <w:rStyle w:val="14"/>
          <w:rFonts w:hint="default" w:ascii="Times New Roman" w:hAnsi="Times New Roman" w:eastAsia="仿宋" w:cs="Times New Roman"/>
          <w:b w:val="0"/>
          <w:bCs/>
          <w:color w:val="auto"/>
          <w:sz w:val="32"/>
          <w:szCs w:val="32"/>
          <w:highlight w:val="none"/>
          <w:lang w:val="en-US" w:eastAsia="zh-CN"/>
        </w:rPr>
        <w:t>210</w:t>
      </w:r>
      <w:r>
        <w:rPr>
          <w:rStyle w:val="14"/>
          <w:rFonts w:hint="default" w:ascii="Times New Roman" w:hAnsi="Times New Roman" w:eastAsia="仿宋" w:cs="Times New Roman"/>
          <w:b w:val="0"/>
          <w:bCs/>
          <w:color w:val="auto"/>
          <w:sz w:val="32"/>
          <w:szCs w:val="32"/>
          <w:highlight w:val="none"/>
        </w:rPr>
        <w:t>）行政事业单位医疗（</w:t>
      </w:r>
      <w:r>
        <w:rPr>
          <w:rStyle w:val="14"/>
          <w:rFonts w:hint="default" w:ascii="Times New Roman" w:hAnsi="Times New Roman" w:eastAsia="仿宋" w:cs="Times New Roman"/>
          <w:b w:val="0"/>
          <w:bCs/>
          <w:color w:val="auto"/>
          <w:sz w:val="32"/>
          <w:szCs w:val="32"/>
          <w:highlight w:val="none"/>
          <w:lang w:val="en-US" w:eastAsia="zh-CN"/>
        </w:rPr>
        <w:t>11</w:t>
      </w:r>
      <w:r>
        <w:rPr>
          <w:rStyle w:val="14"/>
          <w:rFonts w:hint="default" w:ascii="Times New Roman" w:hAnsi="Times New Roman" w:eastAsia="仿宋" w:cs="Times New Roman"/>
          <w:b w:val="0"/>
          <w:bCs/>
          <w:color w:val="auto"/>
          <w:sz w:val="32"/>
          <w:szCs w:val="32"/>
          <w:highlight w:val="none"/>
        </w:rPr>
        <w:t>） 行政单位医疗（</w:t>
      </w:r>
      <w:r>
        <w:rPr>
          <w:rStyle w:val="14"/>
          <w:rFonts w:hint="default" w:ascii="Times New Roman" w:hAnsi="Times New Roman" w:eastAsia="仿宋" w:cs="Times New Roman"/>
          <w:b w:val="0"/>
          <w:bCs/>
          <w:color w:val="auto"/>
          <w:sz w:val="32"/>
          <w:szCs w:val="32"/>
          <w:highlight w:val="none"/>
          <w:lang w:val="en-US" w:eastAsia="zh-CN"/>
        </w:rPr>
        <w:t>01</w:t>
      </w:r>
      <w:r>
        <w:rPr>
          <w:rStyle w:val="14"/>
          <w:rFonts w:hint="default" w:ascii="Times New Roman" w:hAnsi="Times New Roman" w:eastAsia="仿宋" w:cs="Times New Roman"/>
          <w:b w:val="0"/>
          <w:bCs/>
          <w:color w:val="auto"/>
          <w:sz w:val="32"/>
          <w:szCs w:val="32"/>
          <w:highlight w:val="none"/>
        </w:rPr>
        <w:t>）事业单位医疗（</w:t>
      </w:r>
      <w:r>
        <w:rPr>
          <w:rStyle w:val="14"/>
          <w:rFonts w:hint="default" w:ascii="Times New Roman" w:hAnsi="Times New Roman" w:eastAsia="仿宋" w:cs="Times New Roman"/>
          <w:b w:val="0"/>
          <w:bCs/>
          <w:color w:val="auto"/>
          <w:sz w:val="32"/>
          <w:szCs w:val="32"/>
          <w:highlight w:val="none"/>
          <w:lang w:val="en-US" w:eastAsia="zh-CN"/>
        </w:rPr>
        <w:t>02</w:t>
      </w:r>
      <w:r>
        <w:rPr>
          <w:rStyle w:val="14"/>
          <w:rFonts w:hint="default" w:ascii="Times New Roman" w:hAnsi="Times New Roman" w:eastAsia="仿宋" w:cs="Times New Roman"/>
          <w:b w:val="0"/>
          <w:bCs/>
          <w:color w:val="auto"/>
          <w:sz w:val="32"/>
          <w:szCs w:val="32"/>
          <w:highlight w:val="none"/>
        </w:rPr>
        <w:t>）公务员医疗补助（</w:t>
      </w:r>
      <w:r>
        <w:rPr>
          <w:rStyle w:val="14"/>
          <w:rFonts w:hint="default" w:ascii="Times New Roman" w:hAnsi="Times New Roman" w:eastAsia="仿宋" w:cs="Times New Roman"/>
          <w:b w:val="0"/>
          <w:bCs/>
          <w:color w:val="auto"/>
          <w:sz w:val="32"/>
          <w:szCs w:val="32"/>
          <w:highlight w:val="none"/>
          <w:lang w:val="en-US" w:eastAsia="zh-CN"/>
        </w:rPr>
        <w:t>03</w:t>
      </w:r>
      <w:r>
        <w:rPr>
          <w:rStyle w:val="14"/>
          <w:rFonts w:hint="default" w:ascii="Times New Roman" w:hAnsi="Times New Roman" w:eastAsia="仿宋" w:cs="Times New Roman"/>
          <w:b w:val="0"/>
          <w:bCs/>
          <w:color w:val="auto"/>
          <w:sz w:val="32"/>
          <w:szCs w:val="32"/>
          <w:highlight w:val="none"/>
        </w:rPr>
        <w:t>）:支出决算为</w:t>
      </w:r>
      <w:r>
        <w:rPr>
          <w:rStyle w:val="14"/>
          <w:rFonts w:hint="default" w:ascii="Times New Roman" w:hAnsi="Times New Roman" w:eastAsia="仿宋" w:cs="Times New Roman"/>
          <w:b w:val="0"/>
          <w:bCs/>
          <w:color w:val="auto"/>
          <w:sz w:val="32"/>
          <w:szCs w:val="32"/>
          <w:highlight w:val="none"/>
          <w:lang w:val="en-US" w:eastAsia="zh-CN"/>
        </w:rPr>
        <w:t>7.64</w:t>
      </w:r>
      <w:r>
        <w:rPr>
          <w:rStyle w:val="14"/>
          <w:rFonts w:hint="default" w:ascii="Times New Roman" w:hAnsi="Times New Roman" w:eastAsia="仿宋" w:cs="Times New Roman"/>
          <w:b w:val="0"/>
          <w:bCs/>
          <w:color w:val="auto"/>
          <w:sz w:val="32"/>
          <w:szCs w:val="32"/>
          <w:highlight w:val="none"/>
        </w:rPr>
        <w:t>万元，完成预算</w:t>
      </w:r>
      <w:r>
        <w:rPr>
          <w:rStyle w:val="14"/>
          <w:rFonts w:hint="default" w:ascii="Times New Roman" w:hAnsi="Times New Roman" w:eastAsia="仿宋" w:cs="Times New Roman"/>
          <w:b w:val="0"/>
          <w:bCs/>
          <w:color w:val="auto"/>
          <w:sz w:val="32"/>
          <w:szCs w:val="32"/>
          <w:highlight w:val="none"/>
          <w:lang w:val="en-US" w:eastAsia="zh-CN"/>
        </w:rPr>
        <w:t>100</w:t>
      </w:r>
      <w:r>
        <w:rPr>
          <w:rStyle w:val="14"/>
          <w:rFonts w:hint="default" w:ascii="Times New Roman" w:hAnsi="Times New Roman" w:eastAsia="仿宋" w:cs="Times New Roman"/>
          <w:b w:val="0"/>
          <w:bCs/>
          <w:color w:val="auto"/>
          <w:sz w:val="32"/>
          <w:szCs w:val="32"/>
          <w:highlight w:val="none"/>
        </w:rPr>
        <w:t>%。</w:t>
      </w:r>
    </w:p>
    <w:p w14:paraId="22E2AC71">
      <w:pPr>
        <w:pStyle w:val="2"/>
        <w:rPr>
          <w:rFonts w:hint="default" w:ascii="Times New Roman" w:hAnsi="Times New Roman" w:eastAsia="仿宋" w:cs="Times New Roman"/>
          <w:b w:val="0"/>
          <w:bCs/>
          <w:color w:val="auto"/>
          <w:kern w:val="2"/>
          <w:sz w:val="32"/>
          <w:szCs w:val="32"/>
          <w:highlight w:val="none"/>
          <w:lang w:val="en-US" w:eastAsia="zh-CN" w:bidi="ar-SA"/>
        </w:rPr>
      </w:pPr>
      <w:r>
        <w:rPr>
          <w:rStyle w:val="14"/>
          <w:rFonts w:hint="default" w:ascii="Times New Roman" w:hAnsi="Times New Roman" w:eastAsia="仿宋" w:cs="Times New Roman"/>
          <w:b w:val="0"/>
          <w:bCs/>
          <w:color w:val="auto"/>
          <w:sz w:val="32"/>
          <w:szCs w:val="32"/>
          <w:highlight w:val="none"/>
          <w:lang w:val="en-US" w:eastAsia="zh-CN"/>
        </w:rPr>
        <w:t xml:space="preserve">    </w:t>
      </w:r>
      <w:r>
        <w:rPr>
          <w:rStyle w:val="14"/>
          <w:rFonts w:hint="default" w:ascii="Times New Roman" w:hAnsi="Times New Roman" w:eastAsia="仿宋" w:cs="Times New Roman"/>
          <w:b w:val="0"/>
          <w:bCs/>
          <w:color w:val="auto"/>
          <w:kern w:val="2"/>
          <w:sz w:val="32"/>
          <w:szCs w:val="32"/>
          <w:highlight w:val="none"/>
          <w:lang w:val="en-US" w:eastAsia="zh-CN" w:bidi="ar-SA"/>
        </w:rPr>
        <w:t>4.</w:t>
      </w:r>
      <w:r>
        <w:rPr>
          <w:rFonts w:hint="default" w:ascii="Times New Roman" w:hAnsi="Times New Roman" w:eastAsia="仿宋" w:cs="Times New Roman"/>
          <w:b w:val="0"/>
          <w:bCs/>
          <w:color w:val="auto"/>
          <w:kern w:val="2"/>
          <w:sz w:val="32"/>
          <w:szCs w:val="32"/>
          <w:highlight w:val="none"/>
          <w:lang w:val="en-US" w:eastAsia="zh-CN" w:bidi="ar-SA"/>
        </w:rPr>
        <w:t>住房保障支出（210）住房改革支出（02）</w:t>
      </w:r>
      <w:bookmarkStart w:id="73" w:name="_GoBack"/>
      <w:bookmarkEnd w:id="73"/>
      <w:r>
        <w:rPr>
          <w:rFonts w:hint="default" w:ascii="Times New Roman" w:hAnsi="Times New Roman" w:eastAsia="仿宋" w:cs="Times New Roman"/>
          <w:b w:val="0"/>
          <w:bCs/>
          <w:color w:val="auto"/>
          <w:kern w:val="2"/>
          <w:sz w:val="32"/>
          <w:szCs w:val="32"/>
          <w:highlight w:val="none"/>
          <w:lang w:val="en-US" w:eastAsia="zh-CN" w:bidi="ar-SA"/>
        </w:rPr>
        <w:t>住房公积金（01）:</w:t>
      </w:r>
      <w:r>
        <w:rPr>
          <w:rStyle w:val="14"/>
          <w:rFonts w:hint="default" w:ascii="Times New Roman" w:hAnsi="Times New Roman" w:eastAsia="仿宋" w:cs="Times New Roman"/>
          <w:b w:val="0"/>
          <w:bCs/>
          <w:color w:val="auto"/>
          <w:sz w:val="32"/>
          <w:szCs w:val="32"/>
          <w:highlight w:val="none"/>
        </w:rPr>
        <w:t>支出决算为</w:t>
      </w:r>
      <w:r>
        <w:rPr>
          <w:rFonts w:hint="default" w:ascii="Times New Roman" w:hAnsi="Times New Roman" w:eastAsia="仿宋" w:cs="Times New Roman"/>
          <w:b w:val="0"/>
          <w:bCs/>
          <w:color w:val="auto"/>
          <w:kern w:val="2"/>
          <w:sz w:val="32"/>
          <w:szCs w:val="32"/>
          <w:highlight w:val="none"/>
          <w:lang w:val="en-US" w:eastAsia="zh-CN" w:bidi="ar-SA"/>
        </w:rPr>
        <w:t>11.63</w:t>
      </w:r>
      <w:r>
        <w:rPr>
          <w:rStyle w:val="14"/>
          <w:rFonts w:hint="default" w:ascii="Times New Roman" w:hAnsi="Times New Roman" w:eastAsia="仿宋" w:cs="Times New Roman"/>
          <w:b w:val="0"/>
          <w:bCs/>
          <w:color w:val="auto"/>
          <w:sz w:val="32"/>
          <w:szCs w:val="32"/>
          <w:highlight w:val="none"/>
        </w:rPr>
        <w:t>万元，完成预算</w:t>
      </w:r>
      <w:r>
        <w:rPr>
          <w:rStyle w:val="14"/>
          <w:rFonts w:hint="default" w:ascii="Times New Roman" w:hAnsi="Times New Roman" w:eastAsia="仿宋" w:cs="Times New Roman"/>
          <w:b w:val="0"/>
          <w:bCs/>
          <w:color w:val="auto"/>
          <w:sz w:val="32"/>
          <w:szCs w:val="32"/>
          <w:highlight w:val="none"/>
          <w:lang w:val="en-US" w:eastAsia="zh-CN"/>
        </w:rPr>
        <w:t>100</w:t>
      </w:r>
      <w:r>
        <w:rPr>
          <w:rStyle w:val="14"/>
          <w:rFonts w:hint="default" w:ascii="Times New Roman" w:hAnsi="Times New Roman" w:eastAsia="仿宋" w:cs="Times New Roman"/>
          <w:b w:val="0"/>
          <w:bCs/>
          <w:color w:val="auto"/>
          <w:sz w:val="32"/>
          <w:szCs w:val="32"/>
          <w:highlight w:val="none"/>
        </w:rPr>
        <w:t>%。</w:t>
      </w:r>
    </w:p>
    <w:p w14:paraId="18BB5EEF">
      <w:pPr>
        <w:tabs>
          <w:tab w:val="right" w:pos="8306"/>
        </w:tabs>
        <w:spacing w:line="600" w:lineRule="exact"/>
        <w:ind w:firstLine="640"/>
        <w:outlineLvl w:val="1"/>
        <w:rPr>
          <w:rStyle w:val="25"/>
          <w:color w:val="auto"/>
          <w:highlight w:val="none"/>
        </w:rPr>
      </w:pPr>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25"/>
          <w:rFonts w:hint="eastAsia" w:ascii="黑体" w:hAnsi="黑体" w:eastAsia="黑体"/>
          <w:b w:val="0"/>
          <w:color w:val="auto"/>
          <w:highlight w:val="none"/>
        </w:rPr>
        <w:t>般公共预算财政拨款基本支出决算情况说明</w:t>
      </w:r>
      <w:bookmarkEnd w:id="40"/>
      <w:bookmarkEnd w:id="41"/>
      <w:r>
        <w:rPr>
          <w:rStyle w:val="25"/>
          <w:rFonts w:ascii="黑体" w:hAnsi="黑体" w:eastAsia="黑体"/>
          <w:b w:val="0"/>
          <w:color w:val="auto"/>
          <w:highlight w:val="none"/>
        </w:rPr>
        <w:tab/>
      </w:r>
    </w:p>
    <w:p w14:paraId="0FCB828C">
      <w:pPr>
        <w:spacing w:line="600" w:lineRule="exact"/>
        <w:ind w:firstLine="645"/>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21</w:t>
      </w:r>
      <w:r>
        <w:rPr>
          <w:rFonts w:hint="default" w:ascii="Times New Roman" w:hAnsi="Times New Roman" w:eastAsia="仿宋" w:cs="Times New Roman"/>
          <w:color w:val="auto"/>
          <w:sz w:val="32"/>
          <w:szCs w:val="32"/>
          <w:highlight w:val="none"/>
        </w:rPr>
        <w:t>年一般公共预算财政拨款基本支出</w:t>
      </w:r>
      <w:r>
        <w:rPr>
          <w:rFonts w:hint="default" w:ascii="Times New Roman" w:hAnsi="Times New Roman" w:eastAsia="仿宋" w:cs="Times New Roman"/>
          <w:color w:val="auto"/>
          <w:sz w:val="32"/>
          <w:szCs w:val="32"/>
          <w:highlight w:val="none"/>
          <w:lang w:val="en-US" w:eastAsia="zh-CN"/>
        </w:rPr>
        <w:t>117.04</w:t>
      </w:r>
      <w:r>
        <w:rPr>
          <w:rFonts w:hint="default" w:ascii="Times New Roman" w:hAnsi="Times New Roman" w:eastAsia="仿宋" w:cs="Times New Roman"/>
          <w:color w:val="auto"/>
          <w:sz w:val="32"/>
          <w:szCs w:val="32"/>
          <w:highlight w:val="none"/>
        </w:rPr>
        <w:t>万元，其中：</w:t>
      </w:r>
    </w:p>
    <w:p w14:paraId="6E116855">
      <w:pPr>
        <w:spacing w:line="600" w:lineRule="exact"/>
        <w:ind w:firstLine="645"/>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rPr>
        <w:t>人员经费</w:t>
      </w:r>
      <w:r>
        <w:rPr>
          <w:rFonts w:hint="default" w:ascii="Times New Roman" w:hAnsi="Times New Roman" w:eastAsia="仿宋" w:cs="Times New Roman"/>
          <w:color w:val="auto"/>
          <w:sz w:val="32"/>
          <w:szCs w:val="32"/>
          <w:highlight w:val="none"/>
          <w:lang w:val="en-US" w:eastAsia="zh-CN"/>
        </w:rPr>
        <w:t>109.11</w:t>
      </w:r>
      <w:r>
        <w:rPr>
          <w:rFonts w:hint="default" w:ascii="Times New Roman" w:hAnsi="Times New Roman" w:eastAsia="仿宋" w:cs="Times New Roman"/>
          <w:color w:val="auto"/>
          <w:sz w:val="32"/>
          <w:szCs w:val="32"/>
          <w:highlight w:val="none"/>
        </w:rPr>
        <w:t>万元，主要包括：基本工资、津贴补贴、奖金、绩效工资、机关事业单位基本养老保险缴费、职业年金缴费、其他社会保障缴费、其他工资福利支出、退休费、奖励金、住房公积金、其他对个人和家庭的补助支出等。</w:t>
      </w:r>
    </w:p>
    <w:p w14:paraId="287D4FEB">
      <w:pPr>
        <w:spacing w:line="600" w:lineRule="exact"/>
        <w:ind w:firstLine="645"/>
        <w:rPr>
          <w:rFonts w:ascii="仿宋" w:hAnsi="仿宋" w:eastAsia="仿宋"/>
          <w:b/>
          <w:color w:val="auto"/>
          <w:sz w:val="32"/>
          <w:szCs w:val="32"/>
          <w:highlight w:val="none"/>
        </w:rPr>
      </w:pPr>
      <w:r>
        <w:rPr>
          <w:rFonts w:hint="default" w:ascii="Times New Roman" w:hAnsi="Times New Roman" w:eastAsia="仿宋" w:cs="Times New Roman"/>
          <w:color w:val="auto"/>
          <w:sz w:val="32"/>
          <w:szCs w:val="32"/>
          <w:highlight w:val="none"/>
        </w:rPr>
        <w:t>公用经费</w:t>
      </w:r>
      <w:r>
        <w:rPr>
          <w:rFonts w:hint="default" w:ascii="Times New Roman" w:hAnsi="Times New Roman" w:eastAsia="仿宋" w:cs="Times New Roman"/>
          <w:color w:val="auto"/>
          <w:sz w:val="32"/>
          <w:szCs w:val="32"/>
          <w:highlight w:val="none"/>
          <w:lang w:val="en-US" w:eastAsia="zh-CN"/>
        </w:rPr>
        <w:t>7.93</w:t>
      </w:r>
      <w:r>
        <w:rPr>
          <w:rFonts w:hint="default" w:ascii="Times New Roman" w:hAnsi="Times New Roman" w:eastAsia="仿宋" w:cs="Times New Roman"/>
          <w:color w:val="auto"/>
          <w:sz w:val="32"/>
          <w:szCs w:val="32"/>
          <w:highlight w:val="none"/>
        </w:rPr>
        <w:t>万元，主要包括：办公费、印刷费、水费、电费、邮电费、差旅费、公务接待费、劳务费、福利费、其他交通费、其他商品和服务支出等。</w:t>
      </w:r>
    </w:p>
    <w:p w14:paraId="3C3D49B7">
      <w:pPr>
        <w:spacing w:line="600" w:lineRule="exact"/>
        <w:ind w:firstLine="640"/>
        <w:outlineLvl w:val="1"/>
        <w:rPr>
          <w:rStyle w:val="25"/>
          <w:rFonts w:ascii="黑体" w:hAnsi="黑体" w:eastAsia="黑体"/>
          <w:b w:val="0"/>
          <w:color w:val="auto"/>
          <w:highlight w:val="none"/>
        </w:rPr>
      </w:pPr>
      <w:bookmarkStart w:id="42" w:name="_Toc15377215"/>
      <w:bookmarkStart w:id="43" w:name="_Toc15396609"/>
      <w:r>
        <w:rPr>
          <w:rFonts w:hint="eastAsia" w:ascii="黑体" w:eastAsia="黑体"/>
          <w:color w:val="auto"/>
          <w:sz w:val="32"/>
          <w:szCs w:val="32"/>
          <w:highlight w:val="none"/>
        </w:rPr>
        <w:t>七、</w:t>
      </w:r>
      <w:r>
        <w:rPr>
          <w:rStyle w:val="25"/>
          <w:rFonts w:hint="eastAsia" w:ascii="黑体" w:hAnsi="黑体" w:eastAsia="黑体"/>
          <w:color w:val="auto"/>
          <w:highlight w:val="none"/>
        </w:rPr>
        <w:t>“</w:t>
      </w:r>
      <w:r>
        <w:rPr>
          <w:rStyle w:val="25"/>
          <w:rFonts w:hint="eastAsia" w:ascii="黑体" w:hAnsi="黑体" w:eastAsia="黑体"/>
          <w:b w:val="0"/>
          <w:color w:val="auto"/>
          <w:highlight w:val="none"/>
        </w:rPr>
        <w:t>三公”经费财政拨款支出决算情况说明</w:t>
      </w:r>
      <w:bookmarkEnd w:id="42"/>
      <w:bookmarkEnd w:id="43"/>
    </w:p>
    <w:p w14:paraId="38D5B0AE">
      <w:pPr>
        <w:spacing w:line="600" w:lineRule="exact"/>
        <w:ind w:firstLine="640"/>
        <w:outlineLvl w:val="2"/>
        <w:rPr>
          <w:rFonts w:ascii="仿宋" w:hAnsi="仿宋" w:eastAsia="仿宋"/>
          <w:b/>
          <w:color w:val="auto"/>
          <w:sz w:val="32"/>
          <w:szCs w:val="32"/>
          <w:highlight w:val="none"/>
        </w:rPr>
      </w:pPr>
      <w:bookmarkStart w:id="44" w:name="_Toc15377216"/>
      <w:r>
        <w:rPr>
          <w:rFonts w:hint="eastAsia" w:ascii="仿宋" w:hAnsi="仿宋" w:eastAsia="仿宋"/>
          <w:b/>
          <w:color w:val="auto"/>
          <w:sz w:val="32"/>
          <w:szCs w:val="32"/>
          <w:highlight w:val="none"/>
        </w:rPr>
        <w:t>（一）“三公”经费财政拨款支出决算总体情况说明</w:t>
      </w:r>
      <w:bookmarkEnd w:id="44"/>
    </w:p>
    <w:p w14:paraId="21AAFDEC">
      <w:pPr>
        <w:spacing w:line="600" w:lineRule="exact"/>
        <w:ind w:firstLine="640"/>
        <w:rPr>
          <w:rFonts w:ascii="仿宋" w:hAnsi="仿宋" w:eastAsia="仿宋"/>
          <w:color w:val="auto"/>
          <w:sz w:val="32"/>
          <w:szCs w:val="32"/>
          <w:highlight w:val="none"/>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21</w:t>
      </w:r>
      <w:r>
        <w:rPr>
          <w:rFonts w:hint="default" w:ascii="Times New Roman" w:hAnsi="Times New Roman" w:eastAsia="仿宋" w:cs="Times New Roman"/>
          <w:color w:val="auto"/>
          <w:sz w:val="32"/>
          <w:szCs w:val="32"/>
          <w:highlight w:val="none"/>
        </w:rPr>
        <w:t>年“三公”经费财政拨款支出决算为</w:t>
      </w:r>
      <w:r>
        <w:rPr>
          <w:rFonts w:hint="default" w:ascii="Times New Roman" w:hAnsi="Times New Roman" w:eastAsia="仿宋" w:cs="Times New Roman"/>
          <w:color w:val="auto"/>
          <w:sz w:val="32"/>
          <w:szCs w:val="32"/>
          <w:highlight w:val="none"/>
          <w:lang w:val="en-US" w:eastAsia="zh-CN"/>
        </w:rPr>
        <w:t>0.31</w:t>
      </w:r>
      <w:r>
        <w:rPr>
          <w:rFonts w:hint="default" w:ascii="Times New Roman" w:hAnsi="Times New Roman" w:eastAsia="仿宋" w:cs="Times New Roman"/>
          <w:color w:val="auto"/>
          <w:sz w:val="32"/>
          <w:szCs w:val="32"/>
          <w:highlight w:val="none"/>
        </w:rPr>
        <w:t>万元，完成预算</w:t>
      </w:r>
      <w:r>
        <w:rPr>
          <w:rFonts w:hint="default" w:ascii="Times New Roman" w:hAnsi="Times New Roman" w:eastAsia="仿宋" w:cs="Times New Roman"/>
          <w:color w:val="auto"/>
          <w:sz w:val="32"/>
          <w:szCs w:val="32"/>
          <w:highlight w:val="none"/>
          <w:lang w:val="en-US" w:eastAsia="zh-CN"/>
        </w:rPr>
        <w:t>100</w:t>
      </w:r>
      <w:r>
        <w:rPr>
          <w:rFonts w:hint="default" w:ascii="Times New Roman" w:hAnsi="Times New Roman" w:eastAsia="仿宋" w:cs="Times New Roman"/>
          <w:color w:val="auto"/>
          <w:sz w:val="32"/>
          <w:szCs w:val="32"/>
          <w:highlight w:val="none"/>
        </w:rPr>
        <w:t>%。</w:t>
      </w:r>
      <w:r>
        <w:rPr>
          <w:rFonts w:hint="eastAsia" w:ascii="仿宋" w:hAnsi="仿宋" w:eastAsia="仿宋"/>
          <w:color w:val="auto"/>
          <w:sz w:val="32"/>
          <w:szCs w:val="32"/>
          <w:highlight w:val="none"/>
        </w:rPr>
        <w:t>决算数与预算数持平的主要原因是</w:t>
      </w:r>
      <w:r>
        <w:rPr>
          <w:rFonts w:hint="eastAsia" w:ascii="仿宋" w:hAnsi="仿宋" w:eastAsia="仿宋"/>
          <w:color w:val="auto"/>
          <w:sz w:val="32"/>
          <w:szCs w:val="32"/>
          <w:highlight w:val="none"/>
          <w:lang w:val="en-US" w:eastAsia="zh-CN"/>
        </w:rPr>
        <w:t>严格按照年初预算执行</w:t>
      </w:r>
      <w:r>
        <w:rPr>
          <w:rFonts w:hint="eastAsia" w:ascii="仿宋" w:hAnsi="仿宋" w:eastAsia="仿宋"/>
          <w:color w:val="auto"/>
          <w:sz w:val="32"/>
          <w:szCs w:val="32"/>
          <w:highlight w:val="none"/>
        </w:rPr>
        <w:t>。</w:t>
      </w:r>
    </w:p>
    <w:p w14:paraId="16A69286">
      <w:pPr>
        <w:spacing w:line="600" w:lineRule="exact"/>
        <w:ind w:firstLine="640"/>
        <w:outlineLvl w:val="2"/>
        <w:rPr>
          <w:rFonts w:ascii="仿宋" w:hAnsi="仿宋" w:eastAsia="仿宋"/>
          <w:b/>
          <w:color w:val="auto"/>
          <w:sz w:val="32"/>
          <w:szCs w:val="32"/>
          <w:highlight w:val="none"/>
        </w:rPr>
      </w:pPr>
      <w:bookmarkStart w:id="45" w:name="_Toc15377217"/>
      <w:r>
        <w:rPr>
          <w:rFonts w:hint="eastAsia" w:ascii="仿宋" w:hAnsi="仿宋" w:eastAsia="仿宋"/>
          <w:b/>
          <w:color w:val="auto"/>
          <w:sz w:val="32"/>
          <w:szCs w:val="32"/>
          <w:highlight w:val="none"/>
        </w:rPr>
        <w:t>（二）“三公”经费财政拨款支出决算具体情况说明</w:t>
      </w:r>
      <w:bookmarkEnd w:id="45"/>
    </w:p>
    <w:p w14:paraId="64B2FC5D">
      <w:pPr>
        <w:spacing w:line="600" w:lineRule="exact"/>
        <w:ind w:firstLine="64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21</w:t>
      </w:r>
      <w:r>
        <w:rPr>
          <w:rFonts w:hint="default" w:ascii="Times New Roman" w:hAnsi="Times New Roman" w:eastAsia="仿宋" w:cs="Times New Roman"/>
          <w:color w:val="auto"/>
          <w:sz w:val="32"/>
          <w:szCs w:val="32"/>
          <w:highlight w:val="none"/>
        </w:rPr>
        <w:t>年“三公”经费财政拨款支出决算中，因公出国（境）费支出决算</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%；公务用车购置及运行维护费支出决算</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%；公务接待费支出决算</w:t>
      </w:r>
      <w:r>
        <w:rPr>
          <w:rFonts w:hint="default" w:ascii="Times New Roman" w:hAnsi="Times New Roman" w:eastAsia="仿宋" w:cs="Times New Roman"/>
          <w:color w:val="auto"/>
          <w:sz w:val="32"/>
          <w:szCs w:val="32"/>
          <w:highlight w:val="none"/>
          <w:lang w:val="en-US" w:eastAsia="zh-CN"/>
        </w:rPr>
        <w:t>0.31</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100</w:t>
      </w:r>
      <w:r>
        <w:rPr>
          <w:rFonts w:hint="default" w:ascii="Times New Roman" w:hAnsi="Times New Roman" w:eastAsia="仿宋" w:cs="Times New Roman"/>
          <w:color w:val="auto"/>
          <w:sz w:val="32"/>
          <w:szCs w:val="32"/>
          <w:highlight w:val="none"/>
        </w:rPr>
        <w:t>%。具体情况如下：</w:t>
      </w:r>
    </w:p>
    <w:p w14:paraId="1CA77C07">
      <w:pPr>
        <w:spacing w:line="600" w:lineRule="exact"/>
        <w:ind w:firstLine="640"/>
        <w:rPr>
          <w:rFonts w:hint="eastAsia" w:ascii="仿宋" w:hAnsi="仿宋" w:eastAsia="仿宋"/>
          <w:color w:val="auto"/>
          <w:sz w:val="32"/>
          <w:szCs w:val="32"/>
          <w:highlight w:val="none"/>
        </w:rPr>
      </w:pPr>
    </w:p>
    <w:p w14:paraId="42C7B359">
      <w:pPr>
        <w:pStyle w:val="2"/>
        <w:rPr>
          <w:rFonts w:hint="eastAsia" w:ascii="仿宋" w:hAnsi="仿宋" w:eastAsia="仿宋"/>
          <w:color w:val="auto"/>
          <w:sz w:val="32"/>
          <w:szCs w:val="32"/>
          <w:highlight w:val="none"/>
        </w:rPr>
      </w:pPr>
      <w:r>
        <w:rPr>
          <w:rFonts w:hint="default" w:ascii="Times New Roman" w:hAnsi="Times New Roman" w:cs="Times New Roman"/>
        </w:rPr>
        <w:drawing>
          <wp:inline distT="0" distB="0" distL="114300" distR="114300">
            <wp:extent cx="3830320" cy="1990725"/>
            <wp:effectExtent l="4445" t="4445" r="13335" b="5080"/>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E1A28BE">
      <w:pPr>
        <w:spacing w:line="600" w:lineRule="exact"/>
        <w:ind w:firstLine="64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（图7：“三公”经费财政拨款支出结构）</w:t>
      </w:r>
    </w:p>
    <w:p w14:paraId="1F951BB2">
      <w:pPr>
        <w:numPr>
          <w:ilvl w:val="0"/>
          <w:numId w:val="0"/>
        </w:numPr>
        <w:spacing w:line="600" w:lineRule="exact"/>
        <w:ind w:firstLine="640" w:firstLineChars="200"/>
        <w:rPr>
          <w:rFonts w:hint="default" w:ascii="Times New Roman" w:hAnsi="Times New Roman" w:eastAsia="仿宋_GB2312" w:cs="Times New Roman"/>
          <w:b w:val="0"/>
          <w:bCs/>
          <w:color w:val="auto"/>
          <w:sz w:val="32"/>
          <w:szCs w:val="32"/>
          <w:highlight w:val="none"/>
          <w:lang w:eastAsia="zh-CN"/>
        </w:rPr>
      </w:pPr>
      <w:r>
        <w:rPr>
          <w:rFonts w:hint="eastAsia" w:eastAsia="仿宋_GB2312" w:cs="Times New Roman"/>
          <w:b w:val="0"/>
          <w:bCs/>
          <w:color w:val="auto"/>
          <w:sz w:val="32"/>
          <w:szCs w:val="32"/>
          <w:highlight w:val="none"/>
          <w:lang w:val="en-US" w:eastAsia="zh-CN"/>
        </w:rPr>
        <w:t>1.</w:t>
      </w:r>
      <w:r>
        <w:rPr>
          <w:rFonts w:hint="default" w:ascii="Times New Roman" w:hAnsi="Times New Roman" w:eastAsia="仿宋_GB2312" w:cs="Times New Roman"/>
          <w:b w:val="0"/>
          <w:bCs/>
          <w:color w:val="auto"/>
          <w:sz w:val="32"/>
          <w:szCs w:val="32"/>
          <w:highlight w:val="none"/>
        </w:rPr>
        <w:t>因公出国（境）经费支出</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万元，</w:t>
      </w:r>
      <w:r>
        <w:rPr>
          <w:rStyle w:val="14"/>
          <w:rFonts w:hint="default" w:ascii="Times New Roman" w:hAnsi="Times New Roman" w:eastAsia="仿宋" w:cs="Times New Roman"/>
          <w:b w:val="0"/>
          <w:bCs/>
          <w:color w:val="auto"/>
          <w:sz w:val="32"/>
          <w:szCs w:val="32"/>
          <w:highlight w:val="none"/>
        </w:rPr>
        <w:t>完成预算</w:t>
      </w:r>
      <w:r>
        <w:rPr>
          <w:rStyle w:val="14"/>
          <w:rFonts w:hint="default" w:ascii="Times New Roman" w:hAnsi="Times New Roman" w:eastAsia="仿宋" w:cs="Times New Roman"/>
          <w:b w:val="0"/>
          <w:bCs/>
          <w:color w:val="auto"/>
          <w:sz w:val="32"/>
          <w:szCs w:val="32"/>
          <w:highlight w:val="none"/>
          <w:lang w:val="en-US" w:eastAsia="zh-CN"/>
        </w:rPr>
        <w:t>0</w:t>
      </w:r>
      <w:r>
        <w:rPr>
          <w:rStyle w:val="14"/>
          <w:rFonts w:hint="default" w:ascii="Times New Roman" w:hAnsi="Times New Roman" w:eastAsia="仿宋" w:cs="Times New Roman"/>
          <w:b w:val="0"/>
          <w:bCs/>
          <w:color w:val="auto"/>
          <w:sz w:val="32"/>
          <w:szCs w:val="32"/>
          <w:highlight w:val="none"/>
        </w:rPr>
        <w:t>%。</w:t>
      </w:r>
      <w:r>
        <w:rPr>
          <w:rFonts w:hint="default" w:ascii="Times New Roman" w:hAnsi="Times New Roman" w:eastAsia="仿宋_GB2312" w:cs="Times New Roman"/>
          <w:b w:val="0"/>
          <w:bCs/>
          <w:color w:val="auto"/>
          <w:sz w:val="32"/>
          <w:szCs w:val="32"/>
          <w:highlight w:val="none"/>
        </w:rPr>
        <w:t>全年</w:t>
      </w:r>
      <w:r>
        <w:rPr>
          <w:rFonts w:hint="default" w:ascii="Times New Roman" w:hAnsi="Times New Roman" w:eastAsia="仿宋_GB2312" w:cs="Times New Roman"/>
          <w:b w:val="0"/>
          <w:bCs/>
          <w:color w:val="auto"/>
          <w:sz w:val="32"/>
          <w:szCs w:val="32"/>
          <w:highlight w:val="none"/>
          <w:lang w:val="en-US" w:eastAsia="zh-CN"/>
        </w:rPr>
        <w:t>未</w:t>
      </w:r>
      <w:r>
        <w:rPr>
          <w:rFonts w:hint="default" w:ascii="Times New Roman" w:hAnsi="Times New Roman" w:eastAsia="仿宋_GB2312" w:cs="Times New Roman"/>
          <w:b w:val="0"/>
          <w:bCs/>
          <w:color w:val="auto"/>
          <w:sz w:val="32"/>
          <w:szCs w:val="32"/>
          <w:highlight w:val="none"/>
        </w:rPr>
        <w:t>安排因公出国（境）</w:t>
      </w:r>
      <w:r>
        <w:rPr>
          <w:rFonts w:hint="default" w:ascii="Times New Roman" w:hAnsi="Times New Roman" w:eastAsia="仿宋_GB2312" w:cs="Times New Roman"/>
          <w:b w:val="0"/>
          <w:bCs/>
          <w:color w:val="auto"/>
          <w:sz w:val="32"/>
          <w:szCs w:val="32"/>
          <w:highlight w:val="none"/>
          <w:lang w:eastAsia="zh-CN"/>
        </w:rPr>
        <w:t>。</w:t>
      </w:r>
    </w:p>
    <w:p w14:paraId="6FFA9DF6">
      <w:pPr>
        <w:numPr>
          <w:ilvl w:val="0"/>
          <w:numId w:val="0"/>
        </w:numPr>
        <w:spacing w:line="600" w:lineRule="exact"/>
        <w:ind w:firstLine="643" w:firstLineChars="200"/>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default" w:ascii="Times New Roman" w:hAnsi="Times New Roman" w:eastAsia="仿宋_GB2312" w:cs="Times New Roman"/>
          <w:b w:val="0"/>
          <w:bCs/>
          <w:color w:val="auto"/>
          <w:sz w:val="32"/>
          <w:szCs w:val="32"/>
          <w:highlight w:val="none"/>
        </w:rPr>
        <w:t>公务用车购置及运行维护费支出</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万元,</w:t>
      </w:r>
      <w:r>
        <w:rPr>
          <w:rStyle w:val="14"/>
          <w:rFonts w:hint="default" w:ascii="Times New Roman" w:hAnsi="Times New Roman" w:eastAsia="仿宋" w:cs="Times New Roman"/>
          <w:b w:val="0"/>
          <w:bCs/>
          <w:color w:val="auto"/>
          <w:sz w:val="32"/>
          <w:szCs w:val="32"/>
          <w:highlight w:val="none"/>
        </w:rPr>
        <w:t>完成预算</w:t>
      </w:r>
      <w:r>
        <w:rPr>
          <w:rStyle w:val="14"/>
          <w:rFonts w:hint="default" w:ascii="Times New Roman" w:hAnsi="Times New Roman" w:eastAsia="仿宋" w:cs="Times New Roman"/>
          <w:b w:val="0"/>
          <w:bCs/>
          <w:color w:val="auto"/>
          <w:sz w:val="32"/>
          <w:szCs w:val="32"/>
          <w:highlight w:val="none"/>
          <w:lang w:val="en-US" w:eastAsia="zh-CN"/>
        </w:rPr>
        <w:t>0</w:t>
      </w:r>
      <w:r>
        <w:rPr>
          <w:rStyle w:val="14"/>
          <w:rFonts w:hint="default" w:ascii="Times New Roman" w:hAnsi="Times New Roman" w:eastAsia="仿宋" w:cs="Times New Roman"/>
          <w:b w:val="0"/>
          <w:bCs/>
          <w:color w:val="auto"/>
          <w:sz w:val="32"/>
          <w:szCs w:val="32"/>
          <w:highlight w:val="none"/>
        </w:rPr>
        <w:t>%。</w:t>
      </w:r>
      <w:r>
        <w:rPr>
          <w:rStyle w:val="14"/>
          <w:rFonts w:hint="default" w:ascii="Times New Roman" w:hAnsi="Times New Roman" w:eastAsia="仿宋" w:cs="Times New Roman"/>
          <w:b w:val="0"/>
          <w:bCs/>
          <w:color w:val="auto"/>
          <w:sz w:val="32"/>
          <w:szCs w:val="32"/>
          <w:highlight w:val="none"/>
          <w:lang w:val="en-US" w:eastAsia="zh-CN"/>
        </w:rPr>
        <w:t>我单位无</w:t>
      </w:r>
      <w:r>
        <w:rPr>
          <w:rFonts w:hint="default" w:ascii="Times New Roman" w:hAnsi="Times New Roman" w:eastAsia="仿宋_GB2312" w:cs="Times New Roman"/>
          <w:b w:val="0"/>
          <w:bCs/>
          <w:color w:val="auto"/>
          <w:sz w:val="32"/>
          <w:szCs w:val="32"/>
          <w:highlight w:val="none"/>
        </w:rPr>
        <w:t>公务用车。</w:t>
      </w:r>
    </w:p>
    <w:p w14:paraId="34D1D23A">
      <w:pPr>
        <w:spacing w:line="50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color w:val="auto"/>
          <w:sz w:val="32"/>
          <w:szCs w:val="32"/>
          <w:highlight w:val="none"/>
        </w:rPr>
        <w:t>3.公务接待费支出</w:t>
      </w:r>
      <w:r>
        <w:rPr>
          <w:rFonts w:hint="default" w:ascii="Times New Roman" w:hAnsi="Times New Roman" w:eastAsia="仿宋_GB2312" w:cs="Times New Roman"/>
          <w:b w:val="0"/>
          <w:bCs/>
          <w:color w:val="auto"/>
          <w:sz w:val="32"/>
          <w:szCs w:val="32"/>
          <w:highlight w:val="none"/>
          <w:lang w:val="en-US" w:eastAsia="zh-CN"/>
        </w:rPr>
        <w:t>0.31</w:t>
      </w:r>
      <w:r>
        <w:rPr>
          <w:rFonts w:hint="default" w:ascii="Times New Roman" w:hAnsi="Times New Roman" w:eastAsia="仿宋_GB2312" w:cs="Times New Roman"/>
          <w:b w:val="0"/>
          <w:bCs/>
          <w:color w:val="auto"/>
          <w:sz w:val="32"/>
          <w:szCs w:val="32"/>
          <w:highlight w:val="none"/>
        </w:rPr>
        <w:t>万元，</w:t>
      </w:r>
      <w:r>
        <w:rPr>
          <w:rStyle w:val="14"/>
          <w:rFonts w:hint="default" w:ascii="Times New Roman" w:hAnsi="Times New Roman" w:eastAsia="仿宋" w:cs="Times New Roman"/>
          <w:b w:val="0"/>
          <w:bCs/>
          <w:color w:val="auto"/>
          <w:sz w:val="32"/>
          <w:szCs w:val="32"/>
          <w:highlight w:val="none"/>
        </w:rPr>
        <w:t>完成预算</w:t>
      </w:r>
      <w:r>
        <w:rPr>
          <w:rStyle w:val="14"/>
          <w:rFonts w:hint="default" w:ascii="Times New Roman" w:hAnsi="Times New Roman" w:eastAsia="仿宋" w:cs="Times New Roman"/>
          <w:b w:val="0"/>
          <w:bCs/>
          <w:color w:val="auto"/>
          <w:sz w:val="32"/>
          <w:szCs w:val="32"/>
          <w:highlight w:val="none"/>
          <w:lang w:val="en-US" w:eastAsia="zh-CN"/>
        </w:rPr>
        <w:t>100</w:t>
      </w:r>
      <w:r>
        <w:rPr>
          <w:rStyle w:val="14"/>
          <w:rFonts w:hint="default" w:ascii="Times New Roman" w:hAnsi="Times New Roman" w:eastAsia="仿宋" w:cs="Times New Roman"/>
          <w:b w:val="0"/>
          <w:bCs/>
          <w:color w:val="auto"/>
          <w:sz w:val="32"/>
          <w:szCs w:val="32"/>
          <w:highlight w:val="none"/>
        </w:rPr>
        <w:t>%。</w:t>
      </w:r>
      <w:r>
        <w:rPr>
          <w:rFonts w:hint="default" w:ascii="Times New Roman" w:hAnsi="Times New Roman" w:eastAsia="仿宋_GB2312" w:cs="Times New Roman"/>
          <w:b w:val="0"/>
          <w:bCs/>
          <w:color w:val="auto"/>
          <w:sz w:val="32"/>
          <w:szCs w:val="32"/>
          <w:highlight w:val="none"/>
        </w:rPr>
        <w:t>公务接待费支出决算比20</w:t>
      </w:r>
      <w:r>
        <w:rPr>
          <w:rFonts w:hint="default" w:ascii="Times New Roman" w:hAnsi="Times New Roman" w:eastAsia="仿宋_GB2312" w:cs="Times New Roman"/>
          <w:b w:val="0"/>
          <w:bCs/>
          <w:color w:val="auto"/>
          <w:sz w:val="32"/>
          <w:szCs w:val="32"/>
          <w:highlight w:val="none"/>
          <w:lang w:val="en-US" w:eastAsia="zh-CN"/>
        </w:rPr>
        <w:t>20</w:t>
      </w:r>
      <w:r>
        <w:rPr>
          <w:rFonts w:hint="default" w:ascii="Times New Roman" w:hAnsi="Times New Roman" w:eastAsia="仿宋_GB2312" w:cs="Times New Roman"/>
          <w:b w:val="0"/>
          <w:bCs/>
          <w:color w:val="auto"/>
          <w:sz w:val="32"/>
          <w:szCs w:val="32"/>
          <w:highlight w:val="none"/>
        </w:rPr>
        <w:t>年增加/减少</w:t>
      </w:r>
      <w:r>
        <w:rPr>
          <w:rFonts w:hint="default" w:ascii="Times New Roman" w:hAnsi="Times New Roman" w:eastAsia="仿宋_GB2312" w:cs="Times New Roman"/>
          <w:b w:val="0"/>
          <w:bCs/>
          <w:color w:val="auto"/>
          <w:sz w:val="32"/>
          <w:szCs w:val="32"/>
          <w:highlight w:val="none"/>
          <w:lang w:val="en-US" w:eastAsia="zh-CN"/>
        </w:rPr>
        <w:t>0.09</w:t>
      </w:r>
      <w:r>
        <w:rPr>
          <w:rFonts w:hint="default" w:ascii="Times New Roman" w:hAnsi="Times New Roman" w:eastAsia="仿宋_GB2312" w:cs="Times New Roman"/>
          <w:b w:val="0"/>
          <w:bCs/>
          <w:color w:val="auto"/>
          <w:sz w:val="32"/>
          <w:szCs w:val="32"/>
          <w:highlight w:val="none"/>
        </w:rPr>
        <w:t>万元，下降</w:t>
      </w:r>
      <w:r>
        <w:rPr>
          <w:rFonts w:hint="default" w:ascii="Times New Roman" w:hAnsi="Times New Roman" w:eastAsia="仿宋_GB2312" w:cs="Times New Roman"/>
          <w:b w:val="0"/>
          <w:bCs/>
          <w:color w:val="auto"/>
          <w:sz w:val="32"/>
          <w:szCs w:val="32"/>
          <w:highlight w:val="none"/>
          <w:lang w:val="en-US" w:eastAsia="zh-CN"/>
        </w:rPr>
        <w:t>22.95</w:t>
      </w:r>
      <w:r>
        <w:rPr>
          <w:rFonts w:hint="default" w:ascii="Times New Roman" w:hAnsi="Times New Roman" w:eastAsia="仿宋_GB2312" w:cs="Times New Roman"/>
          <w:b w:val="0"/>
          <w:bCs/>
          <w:color w:val="auto"/>
          <w:sz w:val="32"/>
          <w:szCs w:val="32"/>
          <w:highlight w:val="none"/>
        </w:rPr>
        <w:t>%。</w:t>
      </w:r>
      <w:r>
        <w:rPr>
          <w:rFonts w:hint="default" w:ascii="Times New Roman" w:hAnsi="Times New Roman" w:eastAsia="仿宋_GB2312" w:cs="Times New Roman"/>
          <w:color w:val="auto"/>
          <w:sz w:val="32"/>
          <w:szCs w:val="32"/>
          <w:highlight w:val="none"/>
        </w:rPr>
        <w:t>主要原因是</w:t>
      </w:r>
      <w:r>
        <w:rPr>
          <w:rFonts w:hint="default" w:ascii="Times New Roman" w:hAnsi="Times New Roman" w:eastAsia="仿宋_GB2312" w:cs="Times New Roman"/>
          <w:color w:val="auto"/>
          <w:sz w:val="32"/>
          <w:szCs w:val="32"/>
          <w:highlight w:val="none"/>
          <w:lang w:eastAsia="zh-CN"/>
        </w:rPr>
        <w:t>厉行节约。</w:t>
      </w:r>
      <w:r>
        <w:rPr>
          <w:rFonts w:hint="default" w:ascii="Times New Roman" w:hAnsi="Times New Roman" w:eastAsia="仿宋_GB2312" w:cs="Times New Roman"/>
          <w:color w:val="auto"/>
          <w:sz w:val="32"/>
          <w:szCs w:val="32"/>
          <w:highlight w:val="none"/>
        </w:rPr>
        <w:t>其中：</w:t>
      </w:r>
      <w:r>
        <w:rPr>
          <w:rFonts w:hint="default" w:ascii="Times New Roman" w:hAnsi="Times New Roman" w:eastAsia="仿宋" w:cs="Times New Roman"/>
          <w:b w:val="0"/>
          <w:bCs/>
          <w:color w:val="auto"/>
          <w:sz w:val="32"/>
          <w:szCs w:val="32"/>
          <w:highlight w:val="none"/>
        </w:rPr>
        <w:t>国内公务接待支出</w:t>
      </w:r>
      <w:r>
        <w:rPr>
          <w:rFonts w:hint="default" w:ascii="Times New Roman" w:hAnsi="Times New Roman" w:eastAsia="仿宋" w:cs="Times New Roman"/>
          <w:b w:val="0"/>
          <w:bCs/>
          <w:color w:val="auto"/>
          <w:sz w:val="32"/>
          <w:szCs w:val="32"/>
          <w:highlight w:val="none"/>
          <w:lang w:val="en-US" w:eastAsia="zh-CN"/>
        </w:rPr>
        <w:t>0.31</w:t>
      </w:r>
      <w:r>
        <w:rPr>
          <w:rFonts w:hint="default" w:ascii="Times New Roman" w:hAnsi="Times New Roman" w:eastAsia="仿宋_GB2312" w:cs="Times New Roman"/>
          <w:b w:val="0"/>
          <w:bCs/>
          <w:color w:val="auto"/>
          <w:sz w:val="32"/>
          <w:szCs w:val="32"/>
          <w:highlight w:val="none"/>
        </w:rPr>
        <w:t>万元</w:t>
      </w:r>
      <w:r>
        <w:rPr>
          <w:rFonts w:hint="default" w:ascii="Times New Roman" w:hAnsi="Times New Roman" w:eastAsia="仿宋_GB2312" w:cs="Times New Roman"/>
          <w:color w:val="auto"/>
          <w:sz w:val="32"/>
          <w:szCs w:val="32"/>
          <w:highlight w:val="none"/>
        </w:rPr>
        <w:t>，主要用于</w:t>
      </w:r>
      <w:r>
        <w:rPr>
          <w:rFonts w:hint="default" w:ascii="Times New Roman" w:hAnsi="Times New Roman" w:eastAsia="仿宋_GB2312" w:cs="Times New Roman"/>
          <w:b w:val="0"/>
          <w:bCs/>
          <w:color w:val="000000"/>
          <w:sz w:val="32"/>
          <w:szCs w:val="32"/>
        </w:rPr>
        <w:t>公务用餐费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国内公务接待</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批次</w:t>
      </w:r>
      <w:r>
        <w:rPr>
          <w:rFonts w:hint="default" w:ascii="Times New Roman" w:hAnsi="Times New Roman" w:eastAsia="仿宋_GB2312" w:cs="Times New Roman"/>
          <w:b w:val="0"/>
          <w:bCs/>
          <w:color w:val="auto"/>
          <w:sz w:val="32"/>
          <w:szCs w:val="32"/>
          <w:highlight w:val="none"/>
        </w:rPr>
        <w:t>，</w:t>
      </w:r>
      <w:r>
        <w:rPr>
          <w:rFonts w:hint="default" w:ascii="Times New Roman" w:hAnsi="Times New Roman" w:eastAsia="仿宋_GB2312" w:cs="Times New Roman"/>
          <w:b w:val="0"/>
          <w:bCs/>
          <w:color w:val="auto"/>
          <w:sz w:val="32"/>
          <w:szCs w:val="32"/>
          <w:highlight w:val="none"/>
          <w:lang w:val="en-US" w:eastAsia="zh-CN"/>
        </w:rPr>
        <w:t>22</w:t>
      </w:r>
      <w:r>
        <w:rPr>
          <w:rFonts w:hint="default" w:ascii="Times New Roman" w:hAnsi="Times New Roman" w:eastAsia="仿宋_GB2312" w:cs="Times New Roman"/>
          <w:b w:val="0"/>
          <w:bCs/>
          <w:color w:val="auto"/>
          <w:sz w:val="32"/>
          <w:szCs w:val="32"/>
          <w:highlight w:val="none"/>
        </w:rPr>
        <w:t>人次（不包括陪同人员），共计支出</w:t>
      </w:r>
      <w:r>
        <w:rPr>
          <w:rFonts w:hint="default" w:ascii="Times New Roman" w:hAnsi="Times New Roman" w:eastAsia="仿宋_GB2312" w:cs="Times New Roman"/>
          <w:b w:val="0"/>
          <w:bCs/>
          <w:color w:val="auto"/>
          <w:sz w:val="32"/>
          <w:szCs w:val="32"/>
          <w:highlight w:val="none"/>
          <w:lang w:val="en-US" w:eastAsia="zh-CN"/>
        </w:rPr>
        <w:t>0.31</w:t>
      </w:r>
      <w:r>
        <w:rPr>
          <w:rFonts w:hint="default" w:ascii="Times New Roman" w:hAnsi="Times New Roman" w:eastAsia="仿宋_GB2312" w:cs="Times New Roman"/>
          <w:b w:val="0"/>
          <w:bCs/>
          <w:color w:val="auto"/>
          <w:sz w:val="32"/>
          <w:szCs w:val="32"/>
          <w:highlight w:val="none"/>
        </w:rPr>
        <w:t>万元，具体内容包括：执行公务、开展业务活动开支的用餐费。</w:t>
      </w:r>
    </w:p>
    <w:p w14:paraId="785035A2">
      <w:pPr>
        <w:spacing w:line="600" w:lineRule="exact"/>
        <w:ind w:firstLine="640" w:firstLineChars="200"/>
        <w:rPr>
          <w:rFonts w:hint="default" w:ascii="Times New Roman" w:hAnsi="Times New Roman" w:eastAsia="仿宋_GB2312" w:cs="Times New Roman"/>
          <w:b w:val="0"/>
          <w:bCs/>
          <w:color w:val="auto"/>
          <w:sz w:val="32"/>
          <w:szCs w:val="32"/>
          <w:highlight w:val="none"/>
          <w:lang w:eastAsia="zh-CN"/>
        </w:rPr>
      </w:pPr>
      <w:r>
        <w:rPr>
          <w:rFonts w:hint="default" w:ascii="Times New Roman" w:hAnsi="Times New Roman" w:eastAsia="仿宋" w:cs="Times New Roman"/>
          <w:b w:val="0"/>
          <w:bCs/>
          <w:color w:val="auto"/>
          <w:sz w:val="32"/>
          <w:szCs w:val="32"/>
          <w:highlight w:val="none"/>
        </w:rPr>
        <w:t>外事接待支出</w:t>
      </w:r>
      <w:r>
        <w:rPr>
          <w:rFonts w:hint="default" w:ascii="Times New Roman" w:hAnsi="Times New Roman" w:eastAsia="仿宋"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rPr>
        <w:t>万元，</w:t>
      </w:r>
      <w:r>
        <w:rPr>
          <w:rStyle w:val="14"/>
          <w:rFonts w:hint="default" w:ascii="Times New Roman" w:hAnsi="Times New Roman" w:eastAsia="仿宋" w:cs="Times New Roman"/>
          <w:b w:val="0"/>
          <w:bCs/>
          <w:color w:val="auto"/>
          <w:sz w:val="32"/>
          <w:szCs w:val="32"/>
          <w:highlight w:val="none"/>
          <w:lang w:val="en-US" w:eastAsia="zh-CN"/>
        </w:rPr>
        <w:t>我单位无</w:t>
      </w:r>
      <w:r>
        <w:rPr>
          <w:rFonts w:hint="default" w:ascii="Times New Roman" w:hAnsi="Times New Roman" w:eastAsia="仿宋_GB2312" w:cs="Times New Roman"/>
          <w:b w:val="0"/>
          <w:bCs/>
          <w:color w:val="auto"/>
          <w:sz w:val="32"/>
          <w:szCs w:val="32"/>
          <w:highlight w:val="none"/>
        </w:rPr>
        <w:t>外事接待支出</w:t>
      </w:r>
      <w:r>
        <w:rPr>
          <w:rFonts w:hint="default" w:ascii="Times New Roman" w:hAnsi="Times New Roman" w:eastAsia="仿宋_GB2312" w:cs="Times New Roman"/>
          <w:b w:val="0"/>
          <w:bCs/>
          <w:color w:val="auto"/>
          <w:sz w:val="32"/>
          <w:szCs w:val="32"/>
          <w:highlight w:val="none"/>
          <w:lang w:eastAsia="zh-CN"/>
        </w:rPr>
        <w:t>。</w:t>
      </w:r>
    </w:p>
    <w:p w14:paraId="63A84284">
      <w:pPr>
        <w:spacing w:line="600" w:lineRule="exact"/>
        <w:ind w:firstLine="640"/>
        <w:outlineLvl w:val="1"/>
        <w:rPr>
          <w:rStyle w:val="25"/>
          <w:rFonts w:ascii="黑体" w:hAnsi="黑体" w:eastAsia="黑体"/>
          <w:color w:val="auto"/>
          <w:highlight w:val="none"/>
        </w:rPr>
      </w:pPr>
      <w:bookmarkStart w:id="46" w:name="_Toc15396610"/>
      <w:bookmarkStart w:id="47" w:name="_Toc15377218"/>
      <w:r>
        <w:rPr>
          <w:rFonts w:hint="eastAsia" w:ascii="黑体" w:eastAsia="黑体"/>
          <w:color w:val="auto"/>
          <w:sz w:val="32"/>
          <w:szCs w:val="32"/>
          <w:highlight w:val="none"/>
        </w:rPr>
        <w:t>八、</w:t>
      </w:r>
      <w:r>
        <w:rPr>
          <w:rStyle w:val="25"/>
          <w:rFonts w:hint="eastAsia" w:ascii="黑体" w:hAnsi="黑体" w:eastAsia="黑体"/>
          <w:b w:val="0"/>
          <w:color w:val="auto"/>
          <w:highlight w:val="none"/>
        </w:rPr>
        <w:t>政府性基金预算支出决算情况说明</w:t>
      </w:r>
      <w:bookmarkEnd w:id="46"/>
      <w:bookmarkEnd w:id="47"/>
    </w:p>
    <w:p w14:paraId="578F4334">
      <w:pPr>
        <w:spacing w:line="600" w:lineRule="exact"/>
        <w:ind w:firstLine="640"/>
        <w:rPr>
          <w:rFonts w:ascii="仿宋_GB2312" w:eastAsia="仿宋_GB2312"/>
          <w:color w:val="auto"/>
          <w:sz w:val="32"/>
          <w:szCs w:val="32"/>
          <w:highlight w:val="none"/>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年政府性基金预算</w:t>
      </w:r>
      <w:r>
        <w:rPr>
          <w:rFonts w:hint="default" w:ascii="Times New Roman" w:hAnsi="Times New Roman" w:eastAsia="仿宋_GB2312" w:cs="Times New Roman"/>
          <w:color w:val="auto"/>
          <w:sz w:val="32"/>
          <w:szCs w:val="32"/>
          <w:highlight w:val="none"/>
          <w:lang w:eastAsia="zh-CN"/>
        </w:rPr>
        <w:t>财政</w:t>
      </w:r>
      <w:r>
        <w:rPr>
          <w:rFonts w:hint="default" w:ascii="Times New Roman" w:hAnsi="Times New Roman" w:eastAsia="仿宋_GB2312" w:cs="Times New Roman"/>
          <w:color w:val="auto"/>
          <w:sz w:val="32"/>
          <w:szCs w:val="32"/>
          <w:highlight w:val="none"/>
        </w:rPr>
        <w:t>拨款支出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14:paraId="0E48564B">
      <w:pPr>
        <w:numPr>
          <w:ilvl w:val="0"/>
          <w:numId w:val="2"/>
        </w:numPr>
        <w:spacing w:line="600" w:lineRule="exact"/>
        <w:ind w:firstLine="640"/>
        <w:outlineLvl w:val="1"/>
        <w:rPr>
          <w:rStyle w:val="25"/>
          <w:rFonts w:ascii="黑体" w:hAnsi="黑体" w:eastAsia="黑体"/>
          <w:b w:val="0"/>
          <w:color w:val="auto"/>
          <w:highlight w:val="none"/>
        </w:rPr>
      </w:pPr>
      <w:bookmarkStart w:id="48" w:name="_Toc15377219"/>
      <w:bookmarkStart w:id="49" w:name="_Toc15396611"/>
      <w:r>
        <w:rPr>
          <w:rStyle w:val="25"/>
          <w:rFonts w:hint="eastAsia" w:ascii="黑体" w:hAnsi="黑体" w:eastAsia="黑体"/>
          <w:b w:val="0"/>
          <w:color w:val="auto"/>
          <w:highlight w:val="none"/>
        </w:rPr>
        <w:t>国有资本经营预算支出决算情况说明</w:t>
      </w:r>
      <w:bookmarkEnd w:id="48"/>
      <w:bookmarkEnd w:id="49"/>
    </w:p>
    <w:p w14:paraId="305690CC">
      <w:pPr>
        <w:spacing w:line="580" w:lineRule="exact"/>
        <w:jc w:val="center"/>
        <w:rPr>
          <w:rFonts w:ascii="方正小标宋简体" w:hAnsi="方正小标宋简体" w:eastAsia="方正小标宋简体" w:cs="方正小标宋简体"/>
          <w:color w:val="auto"/>
          <w:sz w:val="44"/>
          <w:szCs w:val="44"/>
          <w:highlight w:val="none"/>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年国有资本经营预算</w:t>
      </w:r>
      <w:r>
        <w:rPr>
          <w:rFonts w:hint="default" w:ascii="Times New Roman" w:hAnsi="Times New Roman" w:eastAsia="仿宋_GB2312" w:cs="Times New Roman"/>
          <w:color w:val="auto"/>
          <w:sz w:val="32"/>
          <w:szCs w:val="32"/>
          <w:highlight w:val="none"/>
          <w:lang w:eastAsia="zh-CN"/>
        </w:rPr>
        <w:t>财政</w:t>
      </w:r>
      <w:r>
        <w:rPr>
          <w:rFonts w:hint="default" w:ascii="Times New Roman" w:hAnsi="Times New Roman" w:eastAsia="仿宋_GB2312" w:cs="Times New Roman"/>
          <w:color w:val="auto"/>
          <w:sz w:val="32"/>
          <w:szCs w:val="32"/>
          <w:highlight w:val="none"/>
        </w:rPr>
        <w:t>拨款支出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14:paraId="1AAE8CFC">
      <w:pPr>
        <w:numPr>
          <w:ilvl w:val="0"/>
          <w:numId w:val="2"/>
        </w:numPr>
        <w:spacing w:line="600" w:lineRule="exact"/>
        <w:ind w:firstLine="640"/>
        <w:outlineLvl w:val="1"/>
        <w:rPr>
          <w:rStyle w:val="25"/>
          <w:rFonts w:hint="eastAsia" w:ascii="黑体" w:hAnsi="黑体" w:eastAsia="黑体"/>
          <w:b w:val="0"/>
          <w:color w:val="auto"/>
          <w:highlight w:val="none"/>
        </w:rPr>
      </w:pPr>
      <w:bookmarkStart w:id="50" w:name="_Toc15377221"/>
      <w:bookmarkStart w:id="51" w:name="_Toc15396612"/>
      <w:r>
        <w:rPr>
          <w:rStyle w:val="25"/>
          <w:rFonts w:hint="eastAsia" w:ascii="黑体" w:hAnsi="黑体" w:eastAsia="黑体"/>
          <w:b w:val="0"/>
          <w:color w:val="auto"/>
          <w:highlight w:val="none"/>
        </w:rPr>
        <w:t>其他重要事项的情况说明</w:t>
      </w:r>
      <w:bookmarkEnd w:id="50"/>
      <w:bookmarkEnd w:id="51"/>
    </w:p>
    <w:p w14:paraId="7D1AF1F7">
      <w:pPr>
        <w:spacing w:line="600" w:lineRule="exact"/>
        <w:ind w:firstLine="643" w:firstLineChars="200"/>
        <w:outlineLvl w:val="2"/>
        <w:rPr>
          <w:rFonts w:ascii="仿宋" w:hAnsi="仿宋" w:eastAsia="仿宋"/>
          <w:color w:val="auto"/>
          <w:sz w:val="32"/>
          <w:szCs w:val="32"/>
          <w:highlight w:val="none"/>
        </w:rPr>
      </w:pPr>
      <w:bookmarkStart w:id="52" w:name="_Toc15377222"/>
      <w:r>
        <w:rPr>
          <w:rFonts w:hint="eastAsia" w:ascii="仿宋" w:hAnsi="仿宋" w:eastAsia="仿宋"/>
          <w:b/>
          <w:color w:val="auto"/>
          <w:sz w:val="32"/>
          <w:szCs w:val="32"/>
          <w:highlight w:val="none"/>
        </w:rPr>
        <w:t>（一）机关运行经费支出情况</w:t>
      </w:r>
      <w:bookmarkEnd w:id="52"/>
    </w:p>
    <w:p w14:paraId="630FBE42">
      <w:pPr>
        <w:spacing w:line="600" w:lineRule="exact"/>
        <w:ind w:firstLine="640" w:firstLineChars="200"/>
        <w:rPr>
          <w:rFonts w:hint="default" w:ascii="Times New Roman" w:hAnsi="Times New Roman" w:eastAsia="仿宋_GB2312" w:cs="Times New Roman"/>
          <w:b w:val="0"/>
          <w:bCs/>
          <w:color w:val="000000"/>
          <w:sz w:val="32"/>
          <w:szCs w:val="32"/>
          <w:lang w:eastAsia="zh-CN"/>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县妇联</w:t>
      </w:r>
      <w:r>
        <w:rPr>
          <w:rFonts w:hint="default" w:ascii="Times New Roman" w:hAnsi="Times New Roman" w:eastAsia="仿宋_GB2312" w:cs="Times New Roman"/>
          <w:color w:val="auto"/>
          <w:sz w:val="32"/>
          <w:szCs w:val="32"/>
          <w:highlight w:val="none"/>
        </w:rPr>
        <w:t>机关运行经费支出</w:t>
      </w:r>
      <w:r>
        <w:rPr>
          <w:rFonts w:hint="default" w:ascii="Times New Roman" w:hAnsi="Times New Roman" w:eastAsia="仿宋_GB2312" w:cs="Times New Roman"/>
          <w:color w:val="auto"/>
          <w:sz w:val="32"/>
          <w:szCs w:val="32"/>
          <w:highlight w:val="none"/>
          <w:lang w:val="en-US" w:eastAsia="zh-CN"/>
        </w:rPr>
        <w:t>7.93</w:t>
      </w:r>
      <w:r>
        <w:rPr>
          <w:rFonts w:hint="default" w:ascii="Times New Roman" w:hAnsi="Times New Roman" w:eastAsia="仿宋_GB2312" w:cs="Times New Roman"/>
          <w:color w:val="auto"/>
          <w:sz w:val="32"/>
          <w:szCs w:val="32"/>
          <w:highlight w:val="none"/>
        </w:rPr>
        <w:t>万元，比20</w:t>
      </w:r>
      <w:r>
        <w:rPr>
          <w:rFonts w:hint="default"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年减少</w:t>
      </w:r>
      <w:r>
        <w:rPr>
          <w:rFonts w:hint="default" w:ascii="Times New Roman" w:hAnsi="Times New Roman" w:eastAsia="仿宋_GB2312" w:cs="Times New Roman"/>
          <w:color w:val="auto"/>
          <w:sz w:val="32"/>
          <w:szCs w:val="32"/>
          <w:highlight w:val="none"/>
          <w:lang w:val="en-US" w:eastAsia="zh-CN"/>
        </w:rPr>
        <w:t>1.57</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val="en-US" w:eastAsia="zh-CN"/>
        </w:rPr>
        <w:t>下</w:t>
      </w:r>
      <w:r>
        <w:rPr>
          <w:rFonts w:hint="default" w:ascii="Times New Roman" w:hAnsi="Times New Roman" w:eastAsia="仿宋_GB2312" w:cs="Times New Roman"/>
          <w:color w:val="auto"/>
          <w:sz w:val="32"/>
          <w:szCs w:val="32"/>
          <w:highlight w:val="none"/>
        </w:rPr>
        <w:t>降</w:t>
      </w:r>
      <w:r>
        <w:rPr>
          <w:rFonts w:hint="default" w:ascii="Times New Roman" w:hAnsi="Times New Roman" w:eastAsia="仿宋_GB2312" w:cs="Times New Roman"/>
          <w:color w:val="auto"/>
          <w:sz w:val="32"/>
          <w:szCs w:val="32"/>
          <w:highlight w:val="none"/>
          <w:lang w:val="en-US" w:eastAsia="zh-CN"/>
        </w:rPr>
        <w:t>16.53</w:t>
      </w:r>
      <w:r>
        <w:rPr>
          <w:rFonts w:hint="default" w:ascii="Times New Roman" w:hAnsi="Times New Roman" w:eastAsia="仿宋_GB2312" w:cs="Times New Roman"/>
          <w:color w:val="auto"/>
          <w:sz w:val="32"/>
          <w:szCs w:val="32"/>
          <w:highlight w:val="none"/>
        </w:rPr>
        <w:t>%。主要原因是</w:t>
      </w:r>
      <w:r>
        <w:rPr>
          <w:rFonts w:hint="default" w:ascii="Times New Roman" w:hAnsi="Times New Roman" w:eastAsia="仿宋_GB2312" w:cs="Times New Roman"/>
          <w:b w:val="0"/>
          <w:bCs/>
          <w:color w:val="000000"/>
          <w:sz w:val="32"/>
          <w:szCs w:val="32"/>
          <w:lang w:eastAsia="zh-CN"/>
        </w:rPr>
        <w:t>厉行节约，严格控制办公经费。</w:t>
      </w:r>
    </w:p>
    <w:p w14:paraId="6653FFA8">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53" w:name="_Toc15377223"/>
      <w:r>
        <w:rPr>
          <w:rFonts w:hint="eastAsia" w:ascii="仿宋" w:hAnsi="仿宋" w:eastAsia="仿宋"/>
          <w:b/>
          <w:color w:val="auto"/>
          <w:sz w:val="32"/>
          <w:szCs w:val="32"/>
          <w:highlight w:val="none"/>
        </w:rPr>
        <w:t>（二）政府采购支出情况</w:t>
      </w:r>
      <w:bookmarkEnd w:id="53"/>
    </w:p>
    <w:p w14:paraId="20D47172">
      <w:pPr>
        <w:spacing w:line="600" w:lineRule="exact"/>
        <w:ind w:firstLine="640" w:firstLineChars="200"/>
        <w:rPr>
          <w:rFonts w:hint="default" w:ascii="Times New Roman" w:hAnsi="Times New Roman" w:eastAsia="仿宋_GB2312" w:cs="Times New Roman"/>
          <w:color w:val="auto"/>
          <w:sz w:val="32"/>
          <w:szCs w:val="32"/>
          <w:highlight w:val="none"/>
        </w:rPr>
      </w:pPr>
      <w:bookmarkStart w:id="54" w:name="_Toc15377224"/>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县妇联</w:t>
      </w:r>
      <w:r>
        <w:rPr>
          <w:rFonts w:hint="default" w:ascii="Times New Roman" w:hAnsi="Times New Roman" w:eastAsia="仿宋_GB2312" w:cs="Times New Roman"/>
          <w:color w:val="auto"/>
          <w:sz w:val="32"/>
          <w:szCs w:val="32"/>
          <w:highlight w:val="none"/>
        </w:rPr>
        <w:t>政府采购支出总额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万元，其中：政府采购货物支出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万元、政府采购工程支出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万元、政府采购服务支出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万元。授予中小企业合同金额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万元，占政府采购支出总额的</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%，其中：授予小微企业合同金额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万元，占政府采购支出总额的</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w:t>
      </w:r>
    </w:p>
    <w:p w14:paraId="16637A58">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（三）国有资产占有使用情况</w:t>
      </w:r>
      <w:bookmarkEnd w:id="54"/>
    </w:p>
    <w:p w14:paraId="710935B8">
      <w:pPr>
        <w:autoSpaceDE w:val="0"/>
        <w:autoSpaceDN w:val="0"/>
        <w:adjustRightInd w:val="0"/>
        <w:spacing w:line="600" w:lineRule="exact"/>
        <w:ind w:firstLine="640" w:firstLineChars="200"/>
        <w:jc w:val="left"/>
        <w:outlineLvl w:val="2"/>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截至20</w:t>
      </w: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年12月31日，</w:t>
      </w:r>
      <w:r>
        <w:rPr>
          <w:rFonts w:hint="default" w:ascii="Times New Roman" w:hAnsi="Times New Roman" w:eastAsia="仿宋_GB2312" w:cs="Times New Roman"/>
          <w:color w:val="auto"/>
          <w:sz w:val="32"/>
          <w:szCs w:val="32"/>
          <w:highlight w:val="none"/>
          <w:lang w:eastAsia="zh-CN"/>
        </w:rPr>
        <w:t>县妇联</w:t>
      </w:r>
      <w:r>
        <w:rPr>
          <w:rFonts w:hint="default" w:ascii="Times New Roman" w:hAnsi="Times New Roman" w:eastAsia="仿宋_GB2312" w:cs="Times New Roman"/>
          <w:color w:val="auto"/>
          <w:sz w:val="32"/>
          <w:szCs w:val="32"/>
          <w:highlight w:val="none"/>
        </w:rPr>
        <w:t>共有车辆</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辆，其中：主要领导干部用车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辆、机要通信用车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辆、应急保障用车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辆、其他用车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单价50万元以上通用设备</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台（套），单价100万元以上专用设备</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台（套）。</w:t>
      </w:r>
    </w:p>
    <w:p w14:paraId="213B27E5">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（四）预算绩效管理情况</w:t>
      </w:r>
    </w:p>
    <w:p w14:paraId="05C3034B">
      <w:pPr>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根据预算绩效管理要求，本部门（单位）在年初预算编制阶段，组织对</w:t>
      </w:r>
      <w:r>
        <w:rPr>
          <w:rFonts w:hint="default" w:ascii="Times New Roman" w:hAnsi="Times New Roman" w:eastAsia="方正仿宋_GBK" w:cs="Times New Roman"/>
          <w:color w:val="auto"/>
          <w:sz w:val="33"/>
          <w:szCs w:val="33"/>
          <w:shd w:val="clear" w:color="auto" w:fill="FFFFFF"/>
          <w:lang w:val="en-US" w:eastAsia="zh-CN"/>
        </w:rPr>
        <w:t>妇联专项工作经费（含乡镇妇联工作经费）</w:t>
      </w:r>
      <w:r>
        <w:rPr>
          <w:rFonts w:hint="default" w:ascii="Times New Roman" w:hAnsi="Times New Roman" w:eastAsia="仿宋_GB2312" w:cs="Times New Roman"/>
          <w:color w:val="auto"/>
          <w:sz w:val="32"/>
          <w:szCs w:val="32"/>
          <w:lang w:eastAsia="zh-CN"/>
        </w:rPr>
        <w:t>等</w:t>
      </w:r>
      <w:r>
        <w:rPr>
          <w:rFonts w:hint="default" w:ascii="Times New Roman" w:hAnsi="Times New Roman" w:eastAsia="仿宋_GB2312" w:cs="Times New Roman"/>
          <w:color w:val="auto"/>
          <w:sz w:val="32"/>
          <w:szCs w:val="32"/>
        </w:rPr>
        <w:t>项目开展了预算事前绩效评估，对</w:t>
      </w:r>
      <w:r>
        <w:rPr>
          <w:rFonts w:hint="default" w:ascii="Times New Roman" w:hAnsi="Times New Roman" w:eastAsia="仿宋_GB2312" w:cs="Times New Roman"/>
          <w:color w:val="auto"/>
          <w:sz w:val="32"/>
          <w:szCs w:val="32"/>
          <w:lang w:eastAsia="zh-CN"/>
        </w:rPr>
        <w:t>各</w:t>
      </w:r>
      <w:r>
        <w:rPr>
          <w:rFonts w:hint="default" w:ascii="Times New Roman" w:hAnsi="Times New Roman" w:eastAsia="仿宋_GB2312" w:cs="Times New Roman"/>
          <w:color w:val="auto"/>
          <w:sz w:val="32"/>
          <w:szCs w:val="32"/>
        </w:rPr>
        <w:t>项目编制了绩效目标，预算执行过程中，</w:t>
      </w:r>
      <w:r>
        <w:rPr>
          <w:rFonts w:hint="eastAsia" w:eastAsia="仿宋_GB2312" w:cs="Times New Roman"/>
          <w:color w:val="auto"/>
          <w:sz w:val="32"/>
          <w:szCs w:val="32"/>
          <w:lang w:eastAsia="zh-CN"/>
        </w:rPr>
        <w:t>对</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个项目开展绩效监控，年终执行完毕后，对</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个项目开展了绩效目标完成情况自评。</w:t>
      </w:r>
    </w:p>
    <w:p w14:paraId="15C8865A">
      <w:pPr>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本部门按要求对20</w:t>
      </w:r>
      <w:r>
        <w:rPr>
          <w:rFonts w:hint="default"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rPr>
        <w:t>年部门整体支出开展绩效自评，从评价情况来看均按照要求圆满完成目标任务。</w:t>
      </w:r>
    </w:p>
    <w:p w14:paraId="5D6C21D9">
      <w:pPr>
        <w:numPr>
          <w:ilvl w:val="0"/>
          <w:numId w:val="0"/>
        </w:numPr>
        <w:spacing w:line="58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项目绩效目标完成情况。</w:t>
      </w:r>
    </w:p>
    <w:p w14:paraId="04EE149D">
      <w:pPr>
        <w:numPr>
          <w:ilvl w:val="0"/>
          <w:numId w:val="0"/>
        </w:numPr>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本部门在202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年度部门决算中反映“</w:t>
      </w:r>
      <w:r>
        <w:rPr>
          <w:rFonts w:hint="default" w:ascii="Times New Roman" w:hAnsi="Times New Roman" w:eastAsia="仿宋_GB2312" w:cs="Times New Roman"/>
          <w:color w:val="auto"/>
          <w:sz w:val="32"/>
          <w:szCs w:val="32"/>
          <w:lang w:eastAsia="zh-CN"/>
        </w:rPr>
        <w:t>两纲工作专项经费</w:t>
      </w:r>
      <w:r>
        <w:rPr>
          <w:rFonts w:hint="default" w:ascii="Times New Roman" w:hAnsi="Times New Roman" w:eastAsia="仿宋_GB2312" w:cs="Times New Roman"/>
          <w:color w:val="auto"/>
          <w:sz w:val="32"/>
          <w:szCs w:val="32"/>
        </w:rPr>
        <w:t>”“</w:t>
      </w:r>
      <w:r>
        <w:rPr>
          <w:rFonts w:hint="default" w:ascii="Times New Roman" w:hAnsi="Times New Roman" w:eastAsia="方正仿宋_GBK" w:cs="Times New Roman"/>
          <w:color w:val="auto"/>
          <w:sz w:val="33"/>
          <w:szCs w:val="33"/>
          <w:shd w:val="clear" w:color="auto" w:fill="FFFFFF"/>
          <w:lang w:val="en-US" w:eastAsia="zh-CN"/>
        </w:rPr>
        <w:t>妇联专项工作经费（含乡镇妇联工作经费）</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个项目绩效目标实际完成情况。</w:t>
      </w:r>
    </w:p>
    <w:p w14:paraId="1A9195D4">
      <w:pPr>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eastAsia="zh-CN"/>
        </w:rPr>
        <w:t>两纲专项工作</w:t>
      </w:r>
      <w:r>
        <w:rPr>
          <w:rFonts w:hint="default" w:ascii="Times New Roman" w:hAnsi="Times New Roman" w:eastAsia="仿宋_GB2312" w:cs="Times New Roman"/>
          <w:color w:val="auto"/>
          <w:sz w:val="32"/>
          <w:szCs w:val="32"/>
        </w:rPr>
        <w:t>项目绩效目标完成情况综述。项目全年预算数</w:t>
      </w:r>
      <w:r>
        <w:rPr>
          <w:rFonts w:hint="default" w:ascii="Times New Roman" w:hAnsi="Times New Roman" w:eastAsia="仿宋_GB2312" w:cs="Times New Roman"/>
          <w:color w:val="auto"/>
          <w:sz w:val="32"/>
          <w:szCs w:val="32"/>
          <w:lang w:val="en-US" w:eastAsia="zh-CN"/>
        </w:rPr>
        <w:t>4.5</w:t>
      </w:r>
      <w:r>
        <w:rPr>
          <w:rFonts w:hint="default" w:ascii="Times New Roman" w:hAnsi="Times New Roman" w:eastAsia="仿宋_GB2312" w:cs="Times New Roman"/>
          <w:color w:val="auto"/>
          <w:sz w:val="32"/>
          <w:szCs w:val="32"/>
        </w:rPr>
        <w:t>万元，执行数为</w:t>
      </w:r>
      <w:r>
        <w:rPr>
          <w:rFonts w:hint="default" w:ascii="Times New Roman" w:hAnsi="Times New Roman" w:eastAsia="仿宋_GB2312" w:cs="Times New Roman"/>
          <w:color w:val="auto"/>
          <w:sz w:val="32"/>
          <w:szCs w:val="32"/>
          <w:lang w:val="en-US" w:eastAsia="zh-CN"/>
        </w:rPr>
        <w:t>4.5</w:t>
      </w:r>
      <w:r>
        <w:rPr>
          <w:rFonts w:hint="default"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%。通过项目实施，</w:t>
      </w:r>
      <w:r>
        <w:rPr>
          <w:rFonts w:hint="default" w:ascii="Times New Roman" w:hAnsi="Times New Roman" w:eastAsia="仿宋" w:cs="Times New Roman"/>
          <w:color w:val="auto"/>
          <w:sz w:val="32"/>
          <w:szCs w:val="32"/>
        </w:rPr>
        <w:t>保障全县妇女儿童工作健康发展。</w:t>
      </w:r>
    </w:p>
    <w:p w14:paraId="56B280EB">
      <w:pPr>
        <w:ind w:firstLine="640" w:firstLineChars="200"/>
        <w:rPr>
          <w:rFonts w:hint="default" w:ascii="Times New Roman" w:hAnsi="Times New Roman" w:eastAsia="方正仿宋_GBK" w:cs="Times New Roman"/>
          <w:b w:val="0"/>
          <w:bCs w:val="0"/>
          <w:color w:val="auto"/>
          <w:sz w:val="33"/>
          <w:szCs w:val="33"/>
          <w:shd w:val="clear" w:color="auto" w:fill="FFFFFF"/>
        </w:rPr>
      </w:pPr>
      <w:r>
        <w:rPr>
          <w:rFonts w:hint="default" w:ascii="Times New Roman" w:hAnsi="Times New Roman" w:eastAsia="仿宋_GB2312" w:cs="Times New Roman"/>
          <w:color w:val="auto"/>
          <w:sz w:val="32"/>
          <w:szCs w:val="32"/>
        </w:rPr>
        <w:t>（2）</w:t>
      </w:r>
      <w:r>
        <w:rPr>
          <w:rFonts w:hint="default" w:ascii="Times New Roman" w:hAnsi="Times New Roman" w:eastAsia="方正仿宋_GBK" w:cs="Times New Roman"/>
          <w:color w:val="auto"/>
          <w:sz w:val="33"/>
          <w:szCs w:val="33"/>
          <w:shd w:val="clear" w:color="auto" w:fill="FFFFFF"/>
          <w:lang w:val="en-US" w:eastAsia="zh-CN"/>
        </w:rPr>
        <w:t>妇联专项工作经费（含乡镇妇联工作经费）</w:t>
      </w:r>
      <w:r>
        <w:rPr>
          <w:rFonts w:hint="default" w:ascii="Times New Roman" w:hAnsi="Times New Roman" w:eastAsia="仿宋_GB2312" w:cs="Times New Roman"/>
          <w:color w:val="auto"/>
          <w:sz w:val="32"/>
          <w:szCs w:val="32"/>
        </w:rPr>
        <w:t>项目绩效目标完成情况综述。项目全年预算数</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万元，执行数为</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%。通过项目实施，</w:t>
      </w:r>
      <w:r>
        <w:rPr>
          <w:rFonts w:hint="default" w:ascii="Times New Roman" w:hAnsi="Times New Roman" w:eastAsia="方正仿宋_GBK" w:cs="Times New Roman"/>
          <w:b w:val="0"/>
          <w:bCs w:val="0"/>
          <w:color w:val="auto"/>
          <w:sz w:val="33"/>
          <w:szCs w:val="33"/>
          <w:shd w:val="clear" w:color="auto" w:fill="FFFFFF"/>
        </w:rPr>
        <w:t>最大限度满足妇女儿童的发展需要，提升妇女儿童整体素质，促进妇女儿童全面发展，从而有力推进我县妇女儿童事业的健康发展。</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190"/>
        <w:gridCol w:w="2500"/>
        <w:gridCol w:w="96"/>
        <w:gridCol w:w="2392"/>
      </w:tblGrid>
      <w:tr w14:paraId="43CA2FA8">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14:paraId="60A02C62">
            <w:pPr>
              <w:widowControl/>
              <w:jc w:val="center"/>
              <w:textAlignment w:val="center"/>
              <w:rPr>
                <w:rFonts w:hint="default" w:ascii="Times New Roman" w:hAnsi="Times New Roman" w:cs="Times New Roman"/>
                <w:b/>
                <w:bCs/>
                <w:color w:val="auto"/>
                <w:kern w:val="0"/>
                <w:sz w:val="36"/>
                <w:szCs w:val="36"/>
              </w:rPr>
            </w:pPr>
          </w:p>
          <w:p w14:paraId="5402826B">
            <w:pPr>
              <w:widowControl/>
              <w:jc w:val="center"/>
              <w:textAlignment w:val="center"/>
              <w:rPr>
                <w:rFonts w:hint="default" w:ascii="Times New Roman" w:hAnsi="Times New Roman" w:eastAsia="宋体" w:cs="Times New Roman"/>
                <w:b/>
                <w:bCs/>
                <w:color w:val="auto"/>
                <w:kern w:val="0"/>
                <w:sz w:val="36"/>
                <w:szCs w:val="36"/>
                <w:lang w:eastAsia="zh-CN"/>
              </w:rPr>
            </w:pPr>
            <w:r>
              <w:rPr>
                <w:rFonts w:hint="default" w:ascii="Times New Roman" w:hAnsi="Times New Roman" w:cs="Times New Roman"/>
                <w:b/>
                <w:bCs/>
                <w:color w:val="auto"/>
                <w:kern w:val="0"/>
                <w:sz w:val="36"/>
                <w:szCs w:val="36"/>
              </w:rPr>
              <w:t>项目绩效目标完成情况表</w:t>
            </w:r>
          </w:p>
          <w:p w14:paraId="12AE5C9E">
            <w:pPr>
              <w:widowControl/>
              <w:jc w:val="center"/>
              <w:textAlignment w:val="center"/>
              <w:rPr>
                <w:rFonts w:hint="default" w:ascii="Times New Roman" w:hAnsi="Times New Roman" w:cs="Times New Roman"/>
                <w:color w:val="auto"/>
                <w:sz w:val="36"/>
                <w:szCs w:val="36"/>
              </w:rPr>
            </w:pPr>
            <w:r>
              <w:rPr>
                <w:rFonts w:hint="default" w:ascii="Times New Roman" w:hAnsi="Times New Roman" w:cs="Times New Roman"/>
                <w:color w:val="auto"/>
                <w:kern w:val="0"/>
                <w:sz w:val="36"/>
                <w:szCs w:val="36"/>
              </w:rPr>
              <w:t>(20</w:t>
            </w:r>
            <w:r>
              <w:rPr>
                <w:rFonts w:hint="default" w:ascii="Times New Roman" w:hAnsi="Times New Roman" w:cs="Times New Roman"/>
                <w:color w:val="auto"/>
                <w:kern w:val="0"/>
                <w:sz w:val="36"/>
                <w:szCs w:val="36"/>
                <w:lang w:val="en-US" w:eastAsia="zh-CN"/>
              </w:rPr>
              <w:t>21</w:t>
            </w:r>
            <w:r>
              <w:rPr>
                <w:rFonts w:hint="default" w:ascii="Times New Roman" w:hAnsi="Times New Roman" w:cs="Times New Roman"/>
                <w:color w:val="auto"/>
                <w:kern w:val="0"/>
                <w:sz w:val="36"/>
                <w:szCs w:val="36"/>
              </w:rPr>
              <w:t>年度)</w:t>
            </w:r>
          </w:p>
        </w:tc>
      </w:tr>
      <w:tr w14:paraId="0190E304">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EC5C5A">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2A81BF">
            <w:pPr>
              <w:widowControl/>
              <w:jc w:val="center"/>
              <w:textAlignment w:val="center"/>
              <w:rPr>
                <w:rFonts w:hint="eastAsia" w:ascii="Times New Roman" w:hAnsi="Times New Roman" w:eastAsia="宋体" w:cs="Times New Roman"/>
                <w:color w:val="auto"/>
                <w:sz w:val="24"/>
                <w:lang w:eastAsia="zh-CN"/>
              </w:rPr>
            </w:pPr>
            <w:r>
              <w:rPr>
                <w:rFonts w:hint="default" w:ascii="Times New Roman" w:hAnsi="Times New Roman" w:cs="Times New Roman"/>
                <w:color w:val="auto"/>
                <w:sz w:val="24"/>
              </w:rPr>
              <w:t>两纲</w:t>
            </w:r>
            <w:r>
              <w:rPr>
                <w:rFonts w:hint="default" w:ascii="Times New Roman" w:hAnsi="Times New Roman" w:cs="Times New Roman"/>
                <w:color w:val="auto"/>
                <w:sz w:val="24"/>
                <w:lang w:eastAsia="zh-CN"/>
              </w:rPr>
              <w:t>专项</w:t>
            </w:r>
            <w:r>
              <w:rPr>
                <w:rFonts w:hint="default" w:ascii="Times New Roman" w:hAnsi="Times New Roman" w:cs="Times New Roman"/>
                <w:color w:val="auto"/>
                <w:sz w:val="24"/>
              </w:rPr>
              <w:t>工作</w:t>
            </w:r>
            <w:r>
              <w:rPr>
                <w:rFonts w:hint="eastAsia" w:cs="Times New Roman"/>
                <w:color w:val="auto"/>
                <w:sz w:val="24"/>
                <w:lang w:eastAsia="zh-CN"/>
              </w:rPr>
              <w:t>经费</w:t>
            </w:r>
          </w:p>
        </w:tc>
      </w:tr>
      <w:tr w14:paraId="3F3AC5AB">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CF81E1">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F3BCAC">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sz w:val="24"/>
              </w:rPr>
              <w:t>米易县妇女联合会</w:t>
            </w:r>
          </w:p>
        </w:tc>
      </w:tr>
      <w:tr w14:paraId="31C29A39">
        <w:tblPrEx>
          <w:tblCellMar>
            <w:top w:w="0" w:type="dxa"/>
            <w:left w:w="0" w:type="dxa"/>
            <w:bottom w:w="0" w:type="dxa"/>
            <w:right w:w="0" w:type="dxa"/>
          </w:tblCellMar>
        </w:tblPrEx>
        <w:trPr>
          <w:trHeight w:val="201"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7A6872">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CE04CB">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预算数:</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B0AD22">
            <w:pPr>
              <w:widowControl/>
              <w:jc w:val="center"/>
              <w:textAlignment w:val="center"/>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4.5</w:t>
            </w:r>
          </w:p>
        </w:tc>
        <w:tc>
          <w:tcPr>
            <w:tcW w:w="259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C24D39">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49D768">
            <w:pPr>
              <w:widowControl/>
              <w:jc w:val="center"/>
              <w:textAlignment w:val="center"/>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4.5</w:t>
            </w:r>
          </w:p>
        </w:tc>
      </w:tr>
      <w:tr w14:paraId="47CC0560">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4F3884">
            <w:pPr>
              <w:jc w:val="center"/>
              <w:rPr>
                <w:rFonts w:hint="default" w:ascii="Times New Roman" w:hAnsi="Times New Roman" w:cs="Times New Roman"/>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F86B83">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其中-财政拨款:</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892760">
            <w:pPr>
              <w:widowControl/>
              <w:jc w:val="center"/>
              <w:textAlignment w:val="center"/>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4.5</w:t>
            </w:r>
          </w:p>
        </w:tc>
        <w:tc>
          <w:tcPr>
            <w:tcW w:w="259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73953B">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DCB744">
            <w:pPr>
              <w:widowControl/>
              <w:jc w:val="center"/>
              <w:textAlignment w:val="center"/>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4.5</w:t>
            </w:r>
          </w:p>
        </w:tc>
      </w:tr>
      <w:tr w14:paraId="4E7973B4">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F230E3">
            <w:pPr>
              <w:jc w:val="center"/>
              <w:rPr>
                <w:rFonts w:hint="default" w:ascii="Times New Roman" w:hAnsi="Times New Roman" w:cs="Times New Roman"/>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09D9B7">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其它资金:</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9234FB">
            <w:pPr>
              <w:widowControl/>
              <w:jc w:val="center"/>
              <w:textAlignment w:val="center"/>
              <w:rPr>
                <w:rFonts w:hint="default" w:ascii="Times New Roman" w:hAnsi="Times New Roman" w:cs="Times New Roman"/>
                <w:color w:val="auto"/>
                <w:sz w:val="24"/>
              </w:rPr>
            </w:pPr>
          </w:p>
        </w:tc>
        <w:tc>
          <w:tcPr>
            <w:tcW w:w="259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9DD0BA">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F1B5EB">
            <w:pPr>
              <w:jc w:val="center"/>
              <w:rPr>
                <w:rFonts w:hint="default" w:ascii="Times New Roman" w:hAnsi="Times New Roman" w:cs="Times New Roman"/>
                <w:color w:val="auto"/>
                <w:sz w:val="24"/>
              </w:rPr>
            </w:pPr>
          </w:p>
        </w:tc>
      </w:tr>
      <w:tr w14:paraId="019C748B">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61BECC">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年度目标完成情况</w:t>
            </w:r>
          </w:p>
        </w:tc>
        <w:tc>
          <w:tcPr>
            <w:tcW w:w="45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78A52E">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预期目标</w:t>
            </w:r>
          </w:p>
        </w:tc>
        <w:tc>
          <w:tcPr>
            <w:tcW w:w="498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9DAD21">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实际完成目标</w:t>
            </w:r>
          </w:p>
        </w:tc>
      </w:tr>
      <w:tr w14:paraId="7681B273">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1BF712">
            <w:pPr>
              <w:jc w:val="center"/>
              <w:rPr>
                <w:rFonts w:hint="default" w:ascii="Times New Roman" w:hAnsi="Times New Roman" w:cs="Times New Roman"/>
                <w:color w:val="auto"/>
                <w:sz w:val="24"/>
              </w:rPr>
            </w:pPr>
          </w:p>
        </w:tc>
        <w:tc>
          <w:tcPr>
            <w:tcW w:w="45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6B095A">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sz w:val="24"/>
              </w:rPr>
              <w:t>完成两纲工作</w:t>
            </w:r>
            <w:r>
              <w:rPr>
                <w:rFonts w:hint="default" w:ascii="Times New Roman" w:hAnsi="Times New Roman" w:cs="Times New Roman"/>
                <w:color w:val="auto"/>
                <w:sz w:val="24"/>
                <w:lang w:eastAsia="zh-CN"/>
              </w:rPr>
              <w:t>终</w:t>
            </w:r>
            <w:r>
              <w:rPr>
                <w:rFonts w:hint="default" w:ascii="Times New Roman" w:hAnsi="Times New Roman" w:cs="Times New Roman"/>
                <w:color w:val="auto"/>
                <w:sz w:val="24"/>
              </w:rPr>
              <w:t>期评估各项指标任务</w:t>
            </w:r>
          </w:p>
        </w:tc>
        <w:tc>
          <w:tcPr>
            <w:tcW w:w="498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4B807D">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sz w:val="24"/>
              </w:rPr>
              <w:t>圆满完成目标任务</w:t>
            </w:r>
          </w:p>
        </w:tc>
      </w:tr>
      <w:tr w14:paraId="6D0B661A">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57A3D8EF">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A62156">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0277A5">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二级指标</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E40196">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三级指标</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1308E9">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预期指标值(包含数字及文字描述)</w:t>
            </w:r>
          </w:p>
        </w:tc>
        <w:tc>
          <w:tcPr>
            <w:tcW w:w="248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AB2C9E">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实际完成指标值(包含数字及文字描述)</w:t>
            </w:r>
          </w:p>
        </w:tc>
      </w:tr>
      <w:tr w14:paraId="32EBF170">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A490569">
            <w:pPr>
              <w:widowControl/>
              <w:jc w:val="center"/>
              <w:textAlignment w:val="center"/>
              <w:rPr>
                <w:rFonts w:hint="default" w:ascii="Times New Roman" w:hAnsi="Times New Roman" w:cs="Times New Roman"/>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22C480">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08F649">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sz w:val="24"/>
              </w:rPr>
              <w:t>两纲工作</w:t>
            </w:r>
            <w:r>
              <w:rPr>
                <w:rFonts w:hint="default" w:ascii="Times New Roman" w:hAnsi="Times New Roman" w:cs="Times New Roman"/>
                <w:color w:val="auto"/>
                <w:sz w:val="24"/>
                <w:lang w:eastAsia="zh-CN"/>
              </w:rPr>
              <w:t>终</w:t>
            </w:r>
            <w:r>
              <w:rPr>
                <w:rFonts w:hint="default" w:ascii="Times New Roman" w:hAnsi="Times New Roman" w:cs="Times New Roman"/>
                <w:color w:val="auto"/>
                <w:sz w:val="24"/>
              </w:rPr>
              <w:t>期评估</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9482C1">
            <w:pPr>
              <w:widowControl/>
              <w:jc w:val="center"/>
              <w:textAlignment w:val="center"/>
              <w:rPr>
                <w:rFonts w:hint="default" w:ascii="Times New Roman" w:hAnsi="Times New Roman" w:cs="Times New Roman"/>
                <w:color w:val="auto"/>
                <w:sz w:val="24"/>
              </w:rPr>
            </w:pP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4FD476">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sz w:val="24"/>
              </w:rPr>
              <w:t>完成涉及各项指标任务</w:t>
            </w:r>
          </w:p>
        </w:tc>
        <w:tc>
          <w:tcPr>
            <w:tcW w:w="248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EE48A2">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sz w:val="24"/>
              </w:rPr>
              <w:t>全面完成任务</w:t>
            </w:r>
          </w:p>
        </w:tc>
      </w:tr>
      <w:tr w14:paraId="6A7F0EF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000521F">
            <w:pPr>
              <w:widowControl/>
              <w:jc w:val="center"/>
              <w:textAlignment w:val="center"/>
              <w:rPr>
                <w:rFonts w:hint="default" w:ascii="Times New Roman" w:hAnsi="Times New Roman" w:cs="Times New Roman"/>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C1B5A3">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572575">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sz w:val="24"/>
              </w:rPr>
              <w:t>妇女儿童工作顺利发展</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E9215A">
            <w:pPr>
              <w:widowControl/>
              <w:jc w:val="center"/>
              <w:textAlignment w:val="center"/>
              <w:rPr>
                <w:rFonts w:hint="default" w:ascii="Times New Roman" w:hAnsi="Times New Roman" w:cs="Times New Roman"/>
                <w:color w:val="auto"/>
                <w:sz w:val="24"/>
              </w:rPr>
            </w:pP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ED5CA9">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sz w:val="24"/>
              </w:rPr>
              <w:t>妇女儿童工作顺利发展</w:t>
            </w:r>
          </w:p>
        </w:tc>
        <w:tc>
          <w:tcPr>
            <w:tcW w:w="248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769EBC">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sz w:val="24"/>
              </w:rPr>
              <w:t>妇女儿童工作顺利发展</w:t>
            </w:r>
          </w:p>
        </w:tc>
      </w:tr>
      <w:tr w14:paraId="0C9ED6BD">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6DDE7E87">
            <w:pPr>
              <w:widowControl/>
              <w:jc w:val="center"/>
              <w:textAlignment w:val="center"/>
              <w:rPr>
                <w:rFonts w:hint="default" w:ascii="Times New Roman" w:hAnsi="Times New Roman" w:cs="Times New Roman"/>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5E2762">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FC75C2">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sz w:val="24"/>
              </w:rPr>
              <w:t>群众满意率</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40CA80">
            <w:pPr>
              <w:widowControl/>
              <w:jc w:val="center"/>
              <w:textAlignment w:val="center"/>
              <w:rPr>
                <w:rFonts w:hint="default" w:ascii="Times New Roman" w:hAnsi="Times New Roman" w:cs="Times New Roman"/>
                <w:color w:val="auto"/>
                <w:sz w:val="24"/>
              </w:rPr>
            </w:pP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49D2BA">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sz w:val="24"/>
              </w:rPr>
              <w:t>95%</w:t>
            </w:r>
          </w:p>
        </w:tc>
        <w:tc>
          <w:tcPr>
            <w:tcW w:w="248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921936">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sz w:val="24"/>
              </w:rPr>
              <w:t>95%</w:t>
            </w:r>
          </w:p>
        </w:tc>
      </w:tr>
    </w:tbl>
    <w:p w14:paraId="78614E47">
      <w:pPr>
        <w:spacing w:line="580" w:lineRule="exact"/>
        <w:ind w:left="630"/>
        <w:rPr>
          <w:rFonts w:hint="default" w:ascii="Times New Roman" w:hAnsi="Times New Roman" w:eastAsia="仿宋_GB2312" w:cs="Times New Roman"/>
          <w:color w:val="auto"/>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4C34D40A">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637CBE59">
            <w:pPr>
              <w:widowControl/>
              <w:jc w:val="center"/>
              <w:textAlignment w:val="center"/>
              <w:rPr>
                <w:rFonts w:hint="default" w:ascii="Times New Roman" w:hAnsi="Times New Roman" w:eastAsia="宋体" w:cs="Times New Roman"/>
                <w:b/>
                <w:bCs/>
                <w:color w:val="auto"/>
                <w:kern w:val="0"/>
                <w:sz w:val="36"/>
                <w:szCs w:val="36"/>
                <w:lang w:eastAsia="zh-CN" w:bidi="ar"/>
              </w:rPr>
            </w:pPr>
            <w:r>
              <w:rPr>
                <w:rFonts w:hint="default" w:ascii="Times New Roman" w:hAnsi="Times New Roman" w:cs="Times New Roman"/>
                <w:b/>
                <w:bCs/>
                <w:color w:val="auto"/>
                <w:kern w:val="0"/>
                <w:sz w:val="36"/>
                <w:szCs w:val="36"/>
                <w:lang w:bidi="ar"/>
              </w:rPr>
              <w:t>项目绩效目标完成情况表</w:t>
            </w:r>
          </w:p>
          <w:p w14:paraId="51F75282">
            <w:pPr>
              <w:widowControl/>
              <w:jc w:val="center"/>
              <w:textAlignment w:val="center"/>
              <w:rPr>
                <w:rFonts w:hint="default" w:ascii="Times New Roman" w:hAnsi="Times New Roman" w:cs="Times New Roman"/>
                <w:color w:val="auto"/>
                <w:sz w:val="36"/>
                <w:szCs w:val="36"/>
              </w:rPr>
            </w:pPr>
            <w:r>
              <w:rPr>
                <w:rFonts w:hint="default" w:ascii="Times New Roman" w:hAnsi="Times New Roman" w:cs="Times New Roman"/>
                <w:color w:val="auto"/>
                <w:kern w:val="0"/>
                <w:sz w:val="36"/>
                <w:szCs w:val="36"/>
                <w:lang w:bidi="ar"/>
              </w:rPr>
              <w:t>(202</w:t>
            </w:r>
            <w:r>
              <w:rPr>
                <w:rFonts w:hint="default" w:ascii="Times New Roman" w:hAnsi="Times New Roman" w:cs="Times New Roman"/>
                <w:color w:val="auto"/>
                <w:kern w:val="0"/>
                <w:sz w:val="36"/>
                <w:szCs w:val="36"/>
                <w:lang w:val="en-US" w:eastAsia="zh-CN" w:bidi="ar"/>
              </w:rPr>
              <w:t>1</w:t>
            </w:r>
            <w:r>
              <w:rPr>
                <w:rFonts w:hint="default" w:ascii="Times New Roman" w:hAnsi="Times New Roman" w:cs="Times New Roman"/>
                <w:color w:val="auto"/>
                <w:kern w:val="0"/>
                <w:sz w:val="36"/>
                <w:szCs w:val="36"/>
                <w:lang w:bidi="ar"/>
              </w:rPr>
              <w:t>年度)</w:t>
            </w:r>
          </w:p>
        </w:tc>
      </w:tr>
      <w:tr w14:paraId="7040169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4F276A">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450B5C">
            <w:pPr>
              <w:widowControl/>
              <w:jc w:val="center"/>
              <w:textAlignment w:val="center"/>
              <w:rPr>
                <w:rFonts w:hint="default" w:ascii="Times New Roman" w:hAnsi="Times New Roman" w:eastAsia="宋体" w:cs="Times New Roman"/>
                <w:color w:val="auto"/>
                <w:sz w:val="24"/>
                <w:lang w:eastAsia="zh-CN"/>
              </w:rPr>
            </w:pPr>
            <w:r>
              <w:rPr>
                <w:rFonts w:hint="default" w:ascii="Times New Roman" w:hAnsi="Times New Roman" w:cs="Times New Roman"/>
                <w:color w:val="auto"/>
                <w:sz w:val="24"/>
                <w:lang w:val="en-US" w:eastAsia="zh-CN"/>
              </w:rPr>
              <w:t>妇联专项工作经费（含乡镇妇联工作经费）</w:t>
            </w:r>
          </w:p>
        </w:tc>
      </w:tr>
      <w:tr w14:paraId="264AB3A9">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57AE69">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FF8721">
            <w:pPr>
              <w:widowControl/>
              <w:jc w:val="center"/>
              <w:textAlignment w:val="center"/>
              <w:rPr>
                <w:rFonts w:hint="default" w:ascii="Times New Roman" w:hAnsi="Times New Roman" w:eastAsia="宋体" w:cs="Times New Roman"/>
                <w:color w:val="auto"/>
                <w:sz w:val="24"/>
                <w:lang w:eastAsia="zh-CN"/>
              </w:rPr>
            </w:pPr>
            <w:r>
              <w:rPr>
                <w:rFonts w:hint="default" w:ascii="Times New Roman" w:hAnsi="Times New Roman" w:cs="Times New Roman"/>
                <w:color w:val="auto"/>
                <w:sz w:val="24"/>
                <w:lang w:eastAsia="zh-CN"/>
              </w:rPr>
              <w:t>米易县妇女联合会</w:t>
            </w:r>
          </w:p>
        </w:tc>
      </w:tr>
      <w:tr w14:paraId="612760C4">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966595">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4E8922">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77CFCE">
            <w:pPr>
              <w:widowControl/>
              <w:jc w:val="center"/>
              <w:textAlignment w:val="center"/>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EA4D10">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10D0A1">
            <w:pPr>
              <w:widowControl/>
              <w:jc w:val="center"/>
              <w:textAlignment w:val="center"/>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5</w:t>
            </w:r>
          </w:p>
        </w:tc>
      </w:tr>
      <w:tr w14:paraId="23DAAA5D">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1FD760">
            <w:pPr>
              <w:jc w:val="center"/>
              <w:rPr>
                <w:rFonts w:hint="default" w:ascii="Times New Roman" w:hAnsi="Times New Roman" w:cs="Times New Roman"/>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4768BE">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381F5E">
            <w:pPr>
              <w:widowControl/>
              <w:jc w:val="center"/>
              <w:textAlignment w:val="center"/>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A3FEFC">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156F08">
            <w:pPr>
              <w:widowControl/>
              <w:jc w:val="center"/>
              <w:textAlignment w:val="center"/>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5</w:t>
            </w:r>
          </w:p>
        </w:tc>
      </w:tr>
      <w:tr w14:paraId="6D125A48">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4469A2">
            <w:pPr>
              <w:jc w:val="center"/>
              <w:rPr>
                <w:rFonts w:hint="default" w:ascii="Times New Roman" w:hAnsi="Times New Roman" w:cs="Times New Roman"/>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370F09">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EB4880">
            <w:pPr>
              <w:widowControl/>
              <w:jc w:val="center"/>
              <w:textAlignment w:val="center"/>
              <w:rPr>
                <w:rFonts w:hint="default" w:ascii="Times New Roman" w:hAnsi="Times New Roman" w:cs="Times New Roman"/>
                <w:color w:val="auto"/>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F96AE8">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1E471E">
            <w:pPr>
              <w:jc w:val="center"/>
              <w:rPr>
                <w:rFonts w:hint="default" w:ascii="Times New Roman" w:hAnsi="Times New Roman" w:cs="Times New Roman"/>
                <w:color w:val="auto"/>
                <w:sz w:val="24"/>
              </w:rPr>
            </w:pPr>
          </w:p>
        </w:tc>
      </w:tr>
      <w:tr w14:paraId="0045B6E1">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AD37A3">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CA74B1">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1C1C76">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实际完成目标</w:t>
            </w:r>
          </w:p>
        </w:tc>
      </w:tr>
      <w:tr w14:paraId="5944430C">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9C436E">
            <w:pPr>
              <w:jc w:val="center"/>
              <w:rPr>
                <w:rFonts w:hint="default" w:ascii="Times New Roman" w:hAnsi="Times New Roman" w:cs="Times New Roman"/>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3933EE">
            <w:pPr>
              <w:widowControl/>
              <w:jc w:val="center"/>
              <w:textAlignment w:val="center"/>
              <w:rPr>
                <w:rFonts w:hint="default" w:ascii="Times New Roman" w:hAnsi="Times New Roman" w:eastAsia="宋体" w:cs="Times New Roman"/>
                <w:color w:val="auto"/>
                <w:sz w:val="24"/>
                <w:lang w:eastAsia="zh-CN"/>
              </w:rPr>
            </w:pPr>
            <w:r>
              <w:rPr>
                <w:rFonts w:hint="default" w:ascii="Times New Roman" w:hAnsi="Times New Roman" w:cs="Times New Roman"/>
                <w:color w:val="auto"/>
                <w:sz w:val="24"/>
                <w:lang w:eastAsia="zh-CN"/>
              </w:rPr>
              <w:t>按照县委要求完成妇联工作任务</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376239">
            <w:pPr>
              <w:widowControl/>
              <w:jc w:val="center"/>
              <w:textAlignment w:val="center"/>
              <w:rPr>
                <w:rFonts w:hint="default" w:ascii="Times New Roman" w:hAnsi="Times New Roman" w:eastAsia="宋体" w:cs="Times New Roman"/>
                <w:color w:val="auto"/>
                <w:sz w:val="24"/>
                <w:lang w:eastAsia="zh-CN"/>
              </w:rPr>
            </w:pPr>
            <w:r>
              <w:rPr>
                <w:rFonts w:hint="default" w:ascii="Times New Roman" w:hAnsi="Times New Roman" w:cs="Times New Roman"/>
                <w:color w:val="auto"/>
                <w:sz w:val="24"/>
                <w:lang w:eastAsia="zh-CN"/>
              </w:rPr>
              <w:t>全面完成</w:t>
            </w:r>
          </w:p>
        </w:tc>
      </w:tr>
      <w:tr w14:paraId="4F58B784">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74240DC4">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2E247B">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B37C3E">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60D08B">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876A73">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A61A26">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实际完成指标值(包含数字及文字描述)</w:t>
            </w:r>
          </w:p>
        </w:tc>
      </w:tr>
      <w:tr w14:paraId="5E37A262">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75D9C3A">
            <w:pPr>
              <w:widowControl/>
              <w:jc w:val="center"/>
              <w:textAlignment w:val="center"/>
              <w:rPr>
                <w:rFonts w:hint="default" w:ascii="Times New Roman" w:hAnsi="Times New Roman" w:cs="Times New Roman"/>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49107B">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11D024">
            <w:pPr>
              <w:widowControl/>
              <w:jc w:val="center"/>
              <w:textAlignment w:val="center"/>
              <w:rPr>
                <w:rFonts w:hint="default" w:ascii="Times New Roman" w:hAnsi="Times New Roman" w:eastAsia="宋体" w:cs="Times New Roman"/>
                <w:color w:val="auto"/>
                <w:sz w:val="24"/>
                <w:lang w:eastAsia="zh-CN"/>
              </w:rPr>
            </w:pPr>
            <w:r>
              <w:rPr>
                <w:rFonts w:hint="default" w:ascii="Times New Roman" w:hAnsi="Times New Roman" w:cs="Times New Roman"/>
                <w:color w:val="auto"/>
                <w:sz w:val="24"/>
                <w:lang w:eastAsia="zh-CN"/>
              </w:rPr>
              <w:t>活动场次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5A480B">
            <w:pPr>
              <w:widowControl/>
              <w:jc w:val="center"/>
              <w:textAlignment w:val="center"/>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11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ACE6BD">
            <w:pPr>
              <w:widowControl/>
              <w:jc w:val="center"/>
              <w:textAlignment w:val="center"/>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1500余人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98CED4">
            <w:pPr>
              <w:widowControl/>
              <w:jc w:val="center"/>
              <w:textAlignment w:val="center"/>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eastAsia="zh-CN"/>
              </w:rPr>
              <w:t>实际完成</w:t>
            </w:r>
            <w:r>
              <w:rPr>
                <w:rFonts w:hint="default" w:ascii="Times New Roman" w:hAnsi="Times New Roman" w:cs="Times New Roman"/>
                <w:color w:val="auto"/>
                <w:sz w:val="24"/>
                <w:lang w:val="en-US" w:eastAsia="zh-CN"/>
              </w:rPr>
              <w:t>13场次2000余人</w:t>
            </w:r>
          </w:p>
        </w:tc>
      </w:tr>
      <w:tr w14:paraId="0029FA9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1596237">
            <w:pPr>
              <w:widowControl/>
              <w:jc w:val="center"/>
              <w:textAlignment w:val="center"/>
              <w:rPr>
                <w:rFonts w:hint="default" w:ascii="Times New Roman" w:hAnsi="Times New Roman" w:cs="Times New Roman"/>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E150FA">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1199AA">
            <w:pPr>
              <w:widowControl/>
              <w:jc w:val="center"/>
              <w:textAlignment w:val="center"/>
              <w:rPr>
                <w:rFonts w:hint="default" w:ascii="Times New Roman" w:hAnsi="Times New Roman" w:cs="Times New Roman"/>
                <w:color w:val="auto"/>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D47082">
            <w:pPr>
              <w:widowControl/>
              <w:jc w:val="center"/>
              <w:textAlignment w:val="center"/>
              <w:rPr>
                <w:rFonts w:hint="default" w:ascii="Times New Roman" w:hAnsi="Times New Roman" w:cs="Times New Roman"/>
                <w:color w:val="auto"/>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C0CA6D">
            <w:pPr>
              <w:widowControl/>
              <w:jc w:val="center"/>
              <w:textAlignment w:val="center"/>
              <w:rPr>
                <w:rFonts w:hint="default" w:ascii="Times New Roman" w:hAnsi="Times New Roman" w:cs="Times New Roman"/>
                <w:color w:val="auto"/>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7890BD">
            <w:pPr>
              <w:widowControl/>
              <w:jc w:val="center"/>
              <w:textAlignment w:val="center"/>
              <w:rPr>
                <w:rFonts w:hint="default" w:ascii="Times New Roman" w:hAnsi="Times New Roman" w:cs="Times New Roman"/>
                <w:color w:val="auto"/>
                <w:sz w:val="24"/>
              </w:rPr>
            </w:pPr>
          </w:p>
        </w:tc>
      </w:tr>
      <w:tr w14:paraId="404F9BDF">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E771579">
            <w:pPr>
              <w:widowControl/>
              <w:jc w:val="center"/>
              <w:textAlignment w:val="center"/>
              <w:rPr>
                <w:rFonts w:hint="default" w:ascii="Times New Roman" w:hAnsi="Times New Roman" w:cs="Times New Roman"/>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49D724">
            <w:pPr>
              <w:widowControl/>
              <w:jc w:val="center"/>
              <w:textAlignment w:val="center"/>
              <w:rPr>
                <w:rFonts w:hint="default" w:ascii="Times New Roman" w:hAnsi="Times New Roman" w:cs="Times New Roman"/>
                <w:color w:val="auto"/>
                <w:sz w:val="24"/>
              </w:rPr>
            </w:pPr>
            <w:r>
              <w:rPr>
                <w:rFonts w:hint="default" w:ascii="Times New Roman" w:hAnsi="Times New Roman" w:cs="Times New Roman"/>
                <w:color w:val="auto"/>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92D522">
            <w:pPr>
              <w:widowControl/>
              <w:jc w:val="center"/>
              <w:textAlignment w:val="center"/>
              <w:rPr>
                <w:rFonts w:hint="default" w:ascii="Times New Roman" w:hAnsi="Times New Roman" w:cs="Times New Roman"/>
                <w:color w:val="auto"/>
                <w:kern w:val="2"/>
                <w:sz w:val="24"/>
                <w:szCs w:val="24"/>
                <w:lang w:val="en-US" w:eastAsia="zh-CN" w:bidi="ar-SA"/>
              </w:rPr>
            </w:pPr>
            <w:r>
              <w:rPr>
                <w:rFonts w:hint="default" w:ascii="Times New Roman" w:hAnsi="Times New Roman" w:cs="Times New Roman"/>
                <w:color w:val="auto"/>
                <w:sz w:val="24"/>
              </w:rPr>
              <w:t>群众满意率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F1E876">
            <w:pPr>
              <w:widowControl/>
              <w:jc w:val="center"/>
              <w:textAlignment w:val="center"/>
              <w:rPr>
                <w:rFonts w:hint="default" w:ascii="Times New Roman" w:hAnsi="Times New Roman" w:cs="Times New Roman"/>
                <w:color w:val="auto"/>
                <w:kern w:val="2"/>
                <w:sz w:val="24"/>
                <w:szCs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3CA85B">
            <w:pPr>
              <w:widowControl/>
              <w:jc w:val="center"/>
              <w:textAlignment w:val="center"/>
              <w:rPr>
                <w:rFonts w:hint="default" w:ascii="Times New Roman" w:hAnsi="Times New Roman" w:cs="Times New Roman"/>
                <w:color w:val="auto"/>
                <w:kern w:val="2"/>
                <w:sz w:val="24"/>
                <w:szCs w:val="24"/>
                <w:lang w:val="en-US" w:eastAsia="zh-CN" w:bidi="ar-SA"/>
              </w:rPr>
            </w:pPr>
            <w:r>
              <w:rPr>
                <w:rFonts w:hint="default" w:ascii="Times New Roman" w:hAnsi="Times New Roman" w:cs="Times New Roman"/>
                <w:color w:val="auto"/>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095CE4">
            <w:pPr>
              <w:widowControl/>
              <w:jc w:val="center"/>
              <w:textAlignment w:val="center"/>
              <w:rPr>
                <w:rFonts w:hint="default" w:ascii="Times New Roman" w:hAnsi="Times New Roman" w:cs="Times New Roman"/>
                <w:color w:val="auto"/>
                <w:kern w:val="2"/>
                <w:sz w:val="24"/>
                <w:szCs w:val="24"/>
                <w:lang w:val="en-US" w:eastAsia="zh-CN" w:bidi="ar-SA"/>
              </w:rPr>
            </w:pPr>
            <w:r>
              <w:rPr>
                <w:rFonts w:hint="default" w:ascii="Times New Roman" w:hAnsi="Times New Roman" w:cs="Times New Roman"/>
                <w:color w:val="auto"/>
                <w:sz w:val="24"/>
              </w:rPr>
              <w:t>95%</w:t>
            </w:r>
          </w:p>
        </w:tc>
      </w:tr>
    </w:tbl>
    <w:p w14:paraId="7D4E8F90">
      <w:pPr>
        <w:numPr>
          <w:ilvl w:val="0"/>
          <w:numId w:val="3"/>
        </w:numPr>
        <w:spacing w:line="58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部门绩效评价结果。</w:t>
      </w:r>
    </w:p>
    <w:p w14:paraId="44AE2A41">
      <w:pPr>
        <w:numPr>
          <w:ilvl w:val="0"/>
          <w:numId w:val="0"/>
        </w:numPr>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本部门按要求对202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年部门整体支出绩效评价情况开展自评，《米易妇女联合会202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年部门整体支出绩效评价报告》见附件（附件1）。</w:t>
      </w:r>
    </w:p>
    <w:p w14:paraId="3CB079FC">
      <w:pPr>
        <w:spacing w:line="58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color w:val="auto"/>
          <w:sz w:val="32"/>
          <w:szCs w:val="32"/>
        </w:rPr>
        <w:t>本部门自行组织对</w:t>
      </w:r>
      <w:r>
        <w:rPr>
          <w:rFonts w:hint="default" w:ascii="Times New Roman" w:hAnsi="Times New Roman" w:eastAsia="仿宋_GB2312" w:cs="Times New Roman"/>
          <w:color w:val="auto"/>
          <w:sz w:val="32"/>
          <w:szCs w:val="32"/>
          <w:lang w:eastAsia="zh-CN"/>
        </w:rPr>
        <w:t>两纲专项工作</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妇联专项工作经费（含乡镇妇联工作经费）</w:t>
      </w:r>
      <w:r>
        <w:rPr>
          <w:rFonts w:hint="default" w:ascii="Times New Roman" w:hAnsi="Times New Roman" w:eastAsia="仿宋_GB2312" w:cs="Times New Roman"/>
          <w:color w:val="auto"/>
          <w:sz w:val="32"/>
          <w:szCs w:val="32"/>
        </w:rPr>
        <w:t>项目开展了绩效评价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两纲专项工作经费</w:t>
      </w:r>
      <w:r>
        <w:rPr>
          <w:rFonts w:hint="default" w:ascii="Times New Roman" w:hAnsi="Times New Roman" w:eastAsia="仿宋_GB2312" w:cs="Times New Roman"/>
          <w:color w:val="auto"/>
          <w:sz w:val="32"/>
          <w:szCs w:val="32"/>
        </w:rPr>
        <w:t>项目202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年绩效评价报告》见附件（附件</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妇联专项工作经费（含乡镇妇联工作经费）</w:t>
      </w:r>
      <w:r>
        <w:rPr>
          <w:rFonts w:hint="default" w:ascii="Times New Roman" w:hAnsi="Times New Roman" w:eastAsia="仿宋_GB2312" w:cs="Times New Roman"/>
          <w:color w:val="auto"/>
          <w:sz w:val="32"/>
          <w:szCs w:val="32"/>
        </w:rPr>
        <w:t>项目202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年绩效评价报告》见附件（附件</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w:t>
      </w:r>
    </w:p>
    <w:p w14:paraId="2660CB72">
      <w:pPr>
        <w:widowControl/>
        <w:jc w:val="left"/>
        <w:rPr>
          <w:rFonts w:hint="default" w:ascii="Times New Roman" w:hAnsi="Times New Roman" w:eastAsia="仿宋_GB2312" w:cs="Times New Roman"/>
          <w:b/>
          <w:color w:val="auto"/>
          <w:sz w:val="32"/>
          <w:szCs w:val="32"/>
          <w:highlight w:val="none"/>
        </w:rPr>
      </w:pPr>
      <w:r>
        <w:rPr>
          <w:rFonts w:hint="default" w:ascii="Times New Roman" w:hAnsi="Times New Roman" w:eastAsia="仿宋_GB2312" w:cs="Times New Roman"/>
          <w:b/>
          <w:color w:val="auto"/>
          <w:sz w:val="32"/>
          <w:szCs w:val="32"/>
          <w:highlight w:val="none"/>
        </w:rPr>
        <w:br w:type="page"/>
      </w:r>
    </w:p>
    <w:p w14:paraId="321A4E7D">
      <w:pPr>
        <w:numPr>
          <w:ilvl w:val="0"/>
          <w:numId w:val="4"/>
        </w:numPr>
        <w:spacing w:line="600" w:lineRule="exact"/>
        <w:ind w:firstLine="660" w:firstLineChars="150"/>
        <w:jc w:val="center"/>
        <w:outlineLvl w:val="0"/>
        <w:rPr>
          <w:rStyle w:val="24"/>
          <w:rFonts w:ascii="黑体" w:hAnsi="黑体" w:eastAsia="黑体"/>
          <w:b w:val="0"/>
          <w:color w:val="auto"/>
          <w:highlight w:val="none"/>
        </w:rPr>
      </w:pPr>
      <w:bookmarkStart w:id="55" w:name="_Toc15396613"/>
      <w:bookmarkStart w:id="56" w:name="_Toc15377225"/>
      <w:r>
        <w:rPr>
          <w:rFonts w:hint="eastAsia" w:ascii="黑体" w:hAnsi="黑体" w:eastAsia="黑体"/>
          <w:color w:val="auto"/>
          <w:sz w:val="44"/>
          <w:szCs w:val="44"/>
          <w:highlight w:val="none"/>
        </w:rPr>
        <w:t>名</w:t>
      </w:r>
      <w:r>
        <w:rPr>
          <w:rStyle w:val="24"/>
          <w:rFonts w:hint="eastAsia" w:ascii="黑体" w:hAnsi="黑体" w:eastAsia="黑体"/>
          <w:b w:val="0"/>
          <w:color w:val="auto"/>
          <w:highlight w:val="none"/>
        </w:rPr>
        <w:t>词解释</w:t>
      </w:r>
      <w:bookmarkEnd w:id="55"/>
      <w:bookmarkEnd w:id="56"/>
    </w:p>
    <w:p w14:paraId="765873B9">
      <w:pPr>
        <w:spacing w:line="600" w:lineRule="exact"/>
        <w:jc w:val="left"/>
        <w:rPr>
          <w:rFonts w:ascii="宋体"/>
          <w:b/>
          <w:color w:val="auto"/>
          <w:sz w:val="44"/>
          <w:szCs w:val="44"/>
          <w:highlight w:val="none"/>
        </w:rPr>
      </w:pPr>
    </w:p>
    <w:p w14:paraId="5380E947">
      <w:pPr>
        <w:pStyle w:val="22"/>
        <w:spacing w:line="560" w:lineRule="exact"/>
        <w:ind w:firstLine="660" w:firstLineChars="200"/>
        <w:rPr>
          <w:rFonts w:hint="default" w:ascii="Times New Roman" w:hAnsi="Times New Roman" w:eastAsia="方正仿宋_GBK" w:cs="Times New Roman"/>
          <w:b w:val="0"/>
          <w:bCs w:val="0"/>
          <w:color w:val="000000"/>
          <w:sz w:val="33"/>
          <w:szCs w:val="33"/>
        </w:rPr>
      </w:pPr>
      <w:bookmarkStart w:id="57" w:name="_Toc15377226"/>
      <w:r>
        <w:rPr>
          <w:rFonts w:hint="default" w:ascii="Times New Roman" w:hAnsi="Times New Roman" w:eastAsia="方正仿宋_GBK" w:cs="Times New Roman"/>
          <w:b w:val="0"/>
          <w:bCs w:val="0"/>
          <w:color w:val="000000"/>
          <w:kern w:val="2"/>
          <w:sz w:val="33"/>
          <w:szCs w:val="33"/>
        </w:rPr>
        <w:t>1.财政拨款收入：</w:t>
      </w:r>
      <w:r>
        <w:rPr>
          <w:rFonts w:hint="default" w:ascii="Times New Roman" w:hAnsi="Times New Roman" w:eastAsia="方正仿宋_GBK" w:cs="Times New Roman"/>
          <w:b w:val="0"/>
          <w:bCs w:val="0"/>
          <w:color w:val="000000"/>
          <w:sz w:val="33"/>
          <w:szCs w:val="33"/>
        </w:rPr>
        <w:t>指单位从同级财政部门取得的财政预算资金。</w:t>
      </w:r>
    </w:p>
    <w:p w14:paraId="050666F3">
      <w:pPr>
        <w:spacing w:line="600" w:lineRule="exact"/>
        <w:ind w:firstLine="640"/>
        <w:rPr>
          <w:rFonts w:hint="default" w:ascii="Times New Roman" w:hAnsi="Times New Roman" w:eastAsia="方正仿宋_GBK" w:cs="Times New Roman"/>
          <w:b w:val="0"/>
          <w:bCs w:val="0"/>
          <w:color w:val="000000"/>
          <w:sz w:val="33"/>
          <w:szCs w:val="33"/>
        </w:rPr>
      </w:pPr>
      <w:r>
        <w:rPr>
          <w:rFonts w:hint="default" w:ascii="Times New Roman" w:hAnsi="Times New Roman" w:eastAsia="方正仿宋_GBK" w:cs="Times New Roman"/>
          <w:b w:val="0"/>
          <w:bCs w:val="0"/>
          <w:color w:val="000000"/>
          <w:sz w:val="33"/>
          <w:szCs w:val="33"/>
        </w:rPr>
        <w:t>2.事业收入：指事业单位开展专业业务活动及辅助活动取得的收入。</w:t>
      </w:r>
    </w:p>
    <w:p w14:paraId="22809A2F">
      <w:pPr>
        <w:spacing w:line="600" w:lineRule="exact"/>
        <w:ind w:firstLine="640"/>
        <w:rPr>
          <w:rFonts w:hint="default" w:ascii="Times New Roman" w:hAnsi="Times New Roman" w:eastAsia="方正仿宋_GBK" w:cs="Times New Roman"/>
          <w:b w:val="0"/>
          <w:bCs w:val="0"/>
          <w:color w:val="000000"/>
          <w:sz w:val="33"/>
          <w:szCs w:val="33"/>
        </w:rPr>
      </w:pPr>
      <w:r>
        <w:rPr>
          <w:rFonts w:hint="default" w:ascii="Times New Roman" w:hAnsi="Times New Roman" w:eastAsia="方正仿宋_GBK" w:cs="Times New Roman"/>
          <w:b w:val="0"/>
          <w:bCs w:val="0"/>
          <w:color w:val="000000"/>
          <w:sz w:val="33"/>
          <w:szCs w:val="33"/>
        </w:rPr>
        <w:t>3.经营收入：指事业单位在专业业务活动及其辅助活动之外开展非独立核算经营活动取得的收入。</w:t>
      </w:r>
    </w:p>
    <w:p w14:paraId="5C376762">
      <w:pPr>
        <w:spacing w:line="600" w:lineRule="exact"/>
        <w:ind w:firstLine="640"/>
        <w:rPr>
          <w:rFonts w:hint="default" w:ascii="Times New Roman" w:hAnsi="Times New Roman" w:eastAsia="方正仿宋_GBK" w:cs="Times New Roman"/>
          <w:b w:val="0"/>
          <w:bCs w:val="0"/>
          <w:color w:val="000000"/>
          <w:sz w:val="33"/>
          <w:szCs w:val="33"/>
        </w:rPr>
      </w:pPr>
      <w:r>
        <w:rPr>
          <w:rFonts w:hint="default" w:ascii="Times New Roman" w:hAnsi="Times New Roman" w:eastAsia="方正仿宋_GBK" w:cs="Times New Roman"/>
          <w:b w:val="0"/>
          <w:bCs w:val="0"/>
          <w:color w:val="000000"/>
          <w:sz w:val="33"/>
          <w:szCs w:val="33"/>
        </w:rPr>
        <w:t>4.其他收入：指除上述“财政拨款收入”、“事业收入”、“经营收入”等以外的收入。</w:t>
      </w:r>
    </w:p>
    <w:p w14:paraId="305143AF">
      <w:pPr>
        <w:ind w:firstLine="660" w:firstLineChars="200"/>
        <w:rPr>
          <w:rFonts w:hint="default" w:ascii="Times New Roman" w:hAnsi="Times New Roman" w:eastAsia="方正仿宋_GBK" w:cs="Times New Roman"/>
          <w:b w:val="0"/>
          <w:bCs w:val="0"/>
          <w:color w:val="000000"/>
          <w:sz w:val="33"/>
          <w:szCs w:val="33"/>
        </w:rPr>
      </w:pPr>
      <w:r>
        <w:rPr>
          <w:rFonts w:hint="default" w:ascii="Times New Roman" w:hAnsi="Times New Roman" w:eastAsia="方正仿宋_GBK" w:cs="Times New Roman"/>
          <w:b w:val="0"/>
          <w:bCs w:val="0"/>
          <w:color w:val="000000"/>
          <w:sz w:val="33"/>
          <w:szCs w:val="33"/>
        </w:rPr>
        <w:t>5.基本支出：指为保障机构正常运转、完成日常工作任务而发生的人员支出和公用支出。</w:t>
      </w:r>
    </w:p>
    <w:p w14:paraId="15D68299">
      <w:pPr>
        <w:ind w:firstLine="660" w:firstLineChars="200"/>
        <w:rPr>
          <w:rFonts w:hint="default" w:ascii="Times New Roman" w:hAnsi="Times New Roman" w:eastAsia="方正仿宋_GBK" w:cs="Times New Roman"/>
          <w:b w:val="0"/>
          <w:bCs w:val="0"/>
          <w:color w:val="000000"/>
          <w:sz w:val="33"/>
          <w:szCs w:val="33"/>
        </w:rPr>
      </w:pPr>
      <w:r>
        <w:rPr>
          <w:rFonts w:hint="default" w:ascii="Times New Roman" w:hAnsi="Times New Roman" w:eastAsia="方正仿宋_GBK" w:cs="Times New Roman"/>
          <w:b w:val="0"/>
          <w:bCs w:val="0"/>
          <w:color w:val="000000"/>
          <w:sz w:val="33"/>
          <w:szCs w:val="33"/>
        </w:rPr>
        <w:t xml:space="preserve">6.项目支出：指在基本支出之外为完成特定行政任务和事业发展目标所发生的支出。 </w:t>
      </w:r>
    </w:p>
    <w:p w14:paraId="0EBCE918">
      <w:pPr>
        <w:spacing w:line="600" w:lineRule="exact"/>
        <w:ind w:firstLine="640"/>
        <w:rPr>
          <w:rFonts w:hint="default" w:ascii="Times New Roman" w:hAnsi="Times New Roman" w:eastAsia="方正仿宋_GBK" w:cs="Times New Roman"/>
          <w:color w:val="000000"/>
          <w:sz w:val="33"/>
          <w:szCs w:val="33"/>
        </w:rPr>
      </w:pPr>
      <w:r>
        <w:rPr>
          <w:rFonts w:hint="default" w:ascii="Times New Roman" w:hAnsi="Times New Roman" w:eastAsia="方正仿宋_GBK" w:cs="Times New Roman"/>
          <w:b w:val="0"/>
          <w:bCs w:val="0"/>
          <w:color w:val="000000"/>
          <w:sz w:val="33"/>
          <w:szCs w:val="33"/>
        </w:rPr>
        <w:t>7. 医疗卫生支出：反映</w:t>
      </w:r>
      <w:r>
        <w:rPr>
          <w:rFonts w:hint="default" w:ascii="Times New Roman" w:hAnsi="Times New Roman" w:eastAsia="方正仿宋_GBK" w:cs="Times New Roman"/>
          <w:color w:val="000000"/>
          <w:sz w:val="33"/>
          <w:szCs w:val="33"/>
        </w:rPr>
        <w:t>的是行政事业单位社会保障缴费及行政事业单位公务员医疗补助经费。</w:t>
      </w:r>
    </w:p>
    <w:p w14:paraId="2238C7A1">
      <w:pPr>
        <w:spacing w:line="600" w:lineRule="exact"/>
        <w:ind w:firstLine="640"/>
        <w:rPr>
          <w:rFonts w:hint="default" w:ascii="Times New Roman" w:hAnsi="Times New Roman" w:eastAsia="方正仿宋_GBK" w:cs="Times New Roman"/>
          <w:b w:val="0"/>
          <w:bCs w:val="0"/>
          <w:color w:val="000000"/>
          <w:sz w:val="33"/>
          <w:szCs w:val="33"/>
        </w:rPr>
      </w:pPr>
      <w:r>
        <w:rPr>
          <w:rFonts w:hint="default" w:ascii="Times New Roman" w:hAnsi="Times New Roman" w:eastAsia="方正仿宋_GBK" w:cs="Times New Roman"/>
          <w:b w:val="0"/>
          <w:bCs w:val="0"/>
          <w:color w:val="000000"/>
          <w:sz w:val="33"/>
          <w:szCs w:val="33"/>
        </w:rPr>
        <w:t>8.政府性基金：是指各级人民政府及其所属部门根据法律、国家行政法规和中共中央、国务院有关文件的规定，为支持某项事业发展，按照国家规定程序批准，向公民、法人和其他组织征收的具有专项用途的资金。</w:t>
      </w:r>
    </w:p>
    <w:p w14:paraId="2E8CBDB7">
      <w:pPr>
        <w:pStyle w:val="22"/>
        <w:spacing w:line="560" w:lineRule="exact"/>
        <w:ind w:firstLine="660" w:firstLineChars="200"/>
        <w:rPr>
          <w:rFonts w:hint="default" w:ascii="Times New Roman" w:hAnsi="Times New Roman" w:eastAsia="方正仿宋_GBK" w:cs="Times New Roman"/>
          <w:color w:val="000000"/>
          <w:sz w:val="33"/>
          <w:szCs w:val="33"/>
        </w:rPr>
      </w:pPr>
      <w:r>
        <w:rPr>
          <w:rFonts w:hint="default" w:ascii="Times New Roman" w:hAnsi="Times New Roman" w:eastAsia="方正仿宋_GBK" w:cs="Times New Roman"/>
          <w:b w:val="0"/>
          <w:bCs w:val="0"/>
          <w:color w:val="000000"/>
          <w:kern w:val="2"/>
          <w:sz w:val="33"/>
          <w:szCs w:val="33"/>
        </w:rPr>
        <w:t>9.年初结转和结余</w:t>
      </w:r>
      <w:r>
        <w:rPr>
          <w:rFonts w:hint="default" w:ascii="Times New Roman" w:hAnsi="Times New Roman" w:eastAsia="方正仿宋_GBK" w:cs="Times New Roman"/>
          <w:b w:val="0"/>
          <w:bCs w:val="0"/>
          <w:color w:val="000000"/>
          <w:sz w:val="33"/>
          <w:szCs w:val="33"/>
        </w:rPr>
        <w:t>：</w:t>
      </w:r>
      <w:r>
        <w:rPr>
          <w:rFonts w:hint="default" w:ascii="Times New Roman" w:hAnsi="Times New Roman" w:eastAsia="方正仿宋_GBK" w:cs="Times New Roman"/>
          <w:color w:val="000000"/>
          <w:sz w:val="33"/>
          <w:szCs w:val="33"/>
        </w:rPr>
        <w:t xml:space="preserve">指以前年度尚未完成、结转到本年按有关规定继续使用的资金。 </w:t>
      </w:r>
    </w:p>
    <w:p w14:paraId="47B92299">
      <w:pPr>
        <w:pStyle w:val="22"/>
        <w:spacing w:line="560" w:lineRule="exact"/>
        <w:ind w:firstLine="660" w:firstLineChars="200"/>
        <w:rPr>
          <w:rFonts w:hint="default" w:ascii="Times New Roman" w:hAnsi="Times New Roman" w:eastAsia="方正仿宋_GBK" w:cs="Times New Roman"/>
          <w:b w:val="0"/>
          <w:bCs w:val="0"/>
          <w:color w:val="000000"/>
          <w:sz w:val="33"/>
          <w:szCs w:val="33"/>
        </w:rPr>
      </w:pPr>
      <w:r>
        <w:rPr>
          <w:rFonts w:hint="default" w:ascii="Times New Roman" w:hAnsi="Times New Roman" w:eastAsia="方正仿宋_GBK" w:cs="Times New Roman"/>
          <w:b w:val="0"/>
          <w:bCs w:val="0"/>
          <w:color w:val="000000"/>
          <w:kern w:val="2"/>
          <w:sz w:val="33"/>
          <w:szCs w:val="33"/>
        </w:rPr>
        <w:t>10.年末结转和结余</w:t>
      </w:r>
      <w:r>
        <w:rPr>
          <w:rFonts w:hint="default" w:ascii="Times New Roman" w:hAnsi="Times New Roman" w:eastAsia="方正仿宋_GBK" w:cs="Times New Roman"/>
          <w:b w:val="0"/>
          <w:bCs w:val="0"/>
          <w:color w:val="000000"/>
          <w:sz w:val="33"/>
          <w:szCs w:val="33"/>
        </w:rPr>
        <w:t>：指单位按有关规定结转到下年或以后年度继续使用的资金。</w:t>
      </w:r>
    </w:p>
    <w:p w14:paraId="5F6EFF51">
      <w:pPr>
        <w:pStyle w:val="22"/>
        <w:spacing w:line="560" w:lineRule="exact"/>
        <w:ind w:firstLine="660" w:firstLineChars="200"/>
        <w:rPr>
          <w:rFonts w:hint="default" w:ascii="Times New Roman" w:hAnsi="Times New Roman" w:eastAsia="方正仿宋_GBK" w:cs="Times New Roman"/>
          <w:color w:val="000000"/>
          <w:sz w:val="33"/>
          <w:szCs w:val="33"/>
        </w:rPr>
      </w:pPr>
      <w:r>
        <w:rPr>
          <w:rFonts w:hint="default" w:ascii="Times New Roman" w:hAnsi="Times New Roman" w:eastAsia="方正仿宋_GBK" w:cs="Times New Roman"/>
          <w:b w:val="0"/>
          <w:bCs w:val="0"/>
          <w:color w:val="000000"/>
          <w:kern w:val="2"/>
          <w:sz w:val="33"/>
          <w:szCs w:val="33"/>
        </w:rPr>
        <w:t>11.“三公”经费</w:t>
      </w:r>
      <w:r>
        <w:rPr>
          <w:rFonts w:hint="default" w:ascii="Times New Roman" w:hAnsi="Times New Roman" w:eastAsia="方正仿宋_GBK" w:cs="Times New Roman"/>
          <w:b w:val="0"/>
          <w:bCs w:val="0"/>
          <w:color w:val="000000"/>
          <w:sz w:val="33"/>
          <w:szCs w:val="33"/>
        </w:rPr>
        <w:t>：指</w:t>
      </w:r>
      <w:r>
        <w:rPr>
          <w:rFonts w:hint="default" w:ascii="Times New Roman" w:hAnsi="Times New Roman" w:eastAsia="方正仿宋_GBK" w:cs="Times New Roman"/>
          <w:color w:val="000000"/>
          <w:sz w:val="33"/>
          <w:szCs w:val="33"/>
        </w:rPr>
        <w:t>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43A4883">
      <w:pPr>
        <w:pStyle w:val="22"/>
        <w:spacing w:line="560" w:lineRule="exact"/>
        <w:ind w:firstLine="660" w:firstLineChars="200"/>
        <w:rPr>
          <w:rFonts w:hint="default" w:ascii="Times New Roman" w:hAnsi="Times New Roman" w:eastAsia="方正仿宋_GBK" w:cs="Times New Roman"/>
          <w:color w:val="000000"/>
          <w:sz w:val="33"/>
          <w:szCs w:val="33"/>
        </w:rPr>
      </w:pPr>
      <w:r>
        <w:rPr>
          <w:rFonts w:hint="default" w:ascii="Times New Roman" w:hAnsi="Times New Roman" w:eastAsia="方正仿宋_GBK" w:cs="Times New Roman"/>
          <w:b w:val="0"/>
          <w:bCs w:val="0"/>
          <w:color w:val="000000"/>
          <w:kern w:val="2"/>
          <w:sz w:val="33"/>
          <w:szCs w:val="33"/>
        </w:rPr>
        <w:t>12.机关运行经费</w:t>
      </w:r>
      <w:r>
        <w:rPr>
          <w:rFonts w:hint="default" w:ascii="Times New Roman" w:hAnsi="Times New Roman" w:eastAsia="方正仿宋_GBK" w:cs="Times New Roman"/>
          <w:b w:val="0"/>
          <w:bCs w:val="0"/>
          <w:color w:val="000000"/>
          <w:sz w:val="33"/>
          <w:szCs w:val="33"/>
        </w:rPr>
        <w:t>：为</w:t>
      </w:r>
      <w:r>
        <w:rPr>
          <w:rFonts w:hint="default" w:ascii="Times New Roman" w:hAnsi="Times New Roman" w:eastAsia="方正仿宋_GBK" w:cs="Times New Roman"/>
          <w:color w:val="000000"/>
          <w:sz w:val="33"/>
          <w:szCs w:val="33"/>
        </w:rPr>
        <w:t>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A5A81AC">
      <w:pPr>
        <w:pStyle w:val="22"/>
        <w:spacing w:line="560" w:lineRule="exact"/>
        <w:ind w:firstLine="660" w:firstLineChars="200"/>
        <w:rPr>
          <w:rFonts w:hint="default" w:ascii="Times New Roman" w:hAnsi="Times New Roman" w:eastAsia="方正仿宋_GBK" w:cs="Times New Roman"/>
          <w:b w:val="0"/>
          <w:bCs w:val="0"/>
          <w:color w:val="000000"/>
          <w:kern w:val="0"/>
          <w:sz w:val="33"/>
          <w:szCs w:val="33"/>
          <w:lang w:eastAsia="zh-CN"/>
        </w:rPr>
      </w:pPr>
      <w:r>
        <w:rPr>
          <w:rFonts w:hint="default" w:ascii="Times New Roman" w:hAnsi="Times New Roman" w:eastAsia="方正仿宋_GBK" w:cs="Times New Roman"/>
          <w:b w:val="0"/>
          <w:bCs w:val="0"/>
          <w:color w:val="000000"/>
          <w:sz w:val="33"/>
          <w:szCs w:val="33"/>
        </w:rPr>
        <w:t>13.一般公共服务：</w:t>
      </w:r>
      <w:r>
        <w:rPr>
          <w:rFonts w:hint="default" w:ascii="Times New Roman" w:hAnsi="Times New Roman" w:eastAsia="方正仿宋_GBK" w:cs="Times New Roman"/>
          <w:b w:val="0"/>
          <w:bCs w:val="0"/>
          <w:color w:val="000000"/>
          <w:kern w:val="0"/>
          <w:sz w:val="33"/>
          <w:szCs w:val="33"/>
        </w:rPr>
        <w:t>指反映各级人民团体、社会团体、群众团体以及工会、妇联、共青团组织（包括中华青年联合会）等方面的支出。</w:t>
      </w:r>
    </w:p>
    <w:p w14:paraId="22C01440">
      <w:pPr>
        <w:pStyle w:val="22"/>
        <w:spacing w:line="560" w:lineRule="exact"/>
        <w:ind w:firstLine="660" w:firstLineChars="200"/>
        <w:rPr>
          <w:rFonts w:hint="default" w:ascii="Times New Roman" w:hAnsi="Times New Roman" w:eastAsia="方正仿宋_GBK" w:cs="Times New Roman"/>
          <w:b w:val="0"/>
          <w:bCs w:val="0"/>
          <w:color w:val="000000"/>
          <w:kern w:val="0"/>
          <w:sz w:val="33"/>
          <w:szCs w:val="33"/>
          <w:lang w:eastAsia="zh-CN"/>
        </w:rPr>
      </w:pPr>
      <w:r>
        <w:rPr>
          <w:rFonts w:hint="default" w:ascii="Times New Roman" w:hAnsi="Times New Roman" w:eastAsia="方正仿宋_GBK" w:cs="Times New Roman"/>
          <w:b w:val="0"/>
          <w:bCs w:val="0"/>
          <w:color w:val="000000"/>
          <w:sz w:val="33"/>
          <w:szCs w:val="33"/>
        </w:rPr>
        <w:t>14.社会保障和就业：</w:t>
      </w:r>
      <w:r>
        <w:rPr>
          <w:rFonts w:hint="default" w:ascii="Times New Roman" w:hAnsi="Times New Roman" w:eastAsia="方正仿宋_GBK" w:cs="Times New Roman"/>
          <w:b w:val="0"/>
          <w:bCs w:val="0"/>
          <w:color w:val="000000"/>
          <w:kern w:val="0"/>
          <w:sz w:val="33"/>
          <w:szCs w:val="33"/>
        </w:rPr>
        <w:t>指反映机关事业单位实施养老保险制度由单位缴纳的基本养老保险费支出。</w:t>
      </w:r>
    </w:p>
    <w:p w14:paraId="6C94CDAB">
      <w:pPr>
        <w:pStyle w:val="22"/>
        <w:spacing w:line="560" w:lineRule="exact"/>
        <w:ind w:firstLine="660" w:firstLineChars="200"/>
        <w:rPr>
          <w:rFonts w:hint="default" w:ascii="Times New Roman" w:hAnsi="Times New Roman" w:eastAsia="方正仿宋_GBK" w:cs="Times New Roman"/>
          <w:color w:val="000000"/>
          <w:sz w:val="33"/>
          <w:szCs w:val="33"/>
        </w:rPr>
      </w:pPr>
      <w:r>
        <w:rPr>
          <w:rFonts w:hint="default" w:ascii="Times New Roman" w:hAnsi="Times New Roman" w:eastAsia="方正仿宋_GBK" w:cs="Times New Roman"/>
          <w:b w:val="0"/>
          <w:bCs w:val="0"/>
          <w:color w:val="000000"/>
          <w:sz w:val="33"/>
          <w:szCs w:val="33"/>
        </w:rPr>
        <w:t>15.住房保障：</w:t>
      </w:r>
      <w:r>
        <w:rPr>
          <w:rFonts w:hint="default" w:ascii="Times New Roman" w:hAnsi="Times New Roman" w:eastAsia="方正仿宋_GBK" w:cs="Times New Roman"/>
          <w:b w:val="0"/>
          <w:bCs w:val="0"/>
          <w:color w:val="000000"/>
          <w:kern w:val="0"/>
          <w:sz w:val="33"/>
          <w:szCs w:val="33"/>
        </w:rPr>
        <w:t>指反映行政事业单位按人力资源和社会保障部、财政部规定的</w:t>
      </w:r>
      <w:r>
        <w:rPr>
          <w:rFonts w:hint="default" w:ascii="Times New Roman" w:hAnsi="Times New Roman" w:eastAsia="方正仿宋_GBK" w:cs="Times New Roman"/>
          <w:color w:val="000000"/>
          <w:kern w:val="0"/>
          <w:sz w:val="33"/>
          <w:szCs w:val="33"/>
        </w:rPr>
        <w:t>基本工资和津贴补贴以及规定比例为职工缴纳的</w:t>
      </w:r>
      <w:r>
        <w:rPr>
          <w:rFonts w:hint="default" w:ascii="Times New Roman" w:hAnsi="Times New Roman" w:eastAsia="方正仿宋_GBK" w:cs="Times New Roman"/>
          <w:color w:val="000000"/>
          <w:kern w:val="0"/>
          <w:sz w:val="33"/>
          <w:szCs w:val="33"/>
          <w:lang w:val="en-US"/>
        </w:rPr>
        <w:t>住房公积金</w:t>
      </w:r>
      <w:r>
        <w:rPr>
          <w:rFonts w:hint="default" w:ascii="Times New Roman" w:hAnsi="Times New Roman" w:eastAsia="方正仿宋_GBK" w:cs="Times New Roman"/>
          <w:color w:val="000000"/>
          <w:kern w:val="0"/>
          <w:sz w:val="33"/>
          <w:szCs w:val="33"/>
        </w:rPr>
        <w:t>。</w:t>
      </w:r>
    </w:p>
    <w:p w14:paraId="4C6F1ACE">
      <w:pPr>
        <w:spacing w:line="600" w:lineRule="exact"/>
        <w:jc w:val="center"/>
        <w:outlineLvl w:val="0"/>
        <w:rPr>
          <w:rStyle w:val="24"/>
          <w:rFonts w:hint="eastAsia" w:ascii="黑体" w:hAnsi="黑体" w:eastAsia="黑体"/>
          <w:b w:val="0"/>
          <w:color w:val="auto"/>
          <w:highlight w:val="none"/>
          <w:lang w:eastAsia="zh-CN"/>
        </w:rPr>
      </w:pPr>
      <w:r>
        <w:rPr>
          <w:rFonts w:ascii="宋体"/>
          <w:b/>
          <w:color w:val="auto"/>
          <w:sz w:val="44"/>
          <w:szCs w:val="44"/>
          <w:highlight w:val="none"/>
        </w:rPr>
        <w:br w:type="page"/>
      </w:r>
      <w:bookmarkStart w:id="58" w:name="_Toc15396614"/>
      <w:r>
        <w:rPr>
          <w:rFonts w:hint="eastAsia" w:ascii="黑体" w:hAnsi="黑体" w:eastAsia="黑体"/>
          <w:color w:val="auto"/>
          <w:sz w:val="44"/>
          <w:szCs w:val="44"/>
          <w:highlight w:val="none"/>
        </w:rPr>
        <w:t>第</w:t>
      </w:r>
      <w:r>
        <w:rPr>
          <w:rStyle w:val="24"/>
          <w:rFonts w:hint="eastAsia" w:ascii="黑体" w:hAnsi="黑体" w:eastAsia="黑体"/>
          <w:b w:val="0"/>
          <w:color w:val="auto"/>
          <w:highlight w:val="none"/>
        </w:rPr>
        <w:t>四部分 附件</w:t>
      </w:r>
      <w:bookmarkEnd w:id="58"/>
    </w:p>
    <w:p w14:paraId="2FF83416">
      <w:pPr>
        <w:keepNext w:val="0"/>
        <w:keepLines w:val="0"/>
        <w:pageBreakBefore w:val="0"/>
        <w:kinsoku/>
        <w:wordWrap/>
        <w:overflowPunct/>
        <w:topLinePunct w:val="0"/>
        <w:autoSpaceDE/>
        <w:autoSpaceDN/>
        <w:bidi w:val="0"/>
        <w:spacing w:line="572" w:lineRule="exact"/>
        <w:jc w:val="left"/>
        <w:textAlignment w:val="auto"/>
        <w:outlineLvl w:val="0"/>
        <w:rPr>
          <w:rFonts w:ascii="方正小标宋简体" w:hAnsi="方正小标宋简体" w:eastAsia="方正小标宋简体" w:cs="方正小标宋简体"/>
          <w:color w:val="auto"/>
          <w:sz w:val="44"/>
          <w:szCs w:val="44"/>
          <w:highlight w:val="none"/>
        </w:rPr>
      </w:pPr>
      <w:r>
        <w:rPr>
          <w:rFonts w:hint="eastAsia" w:ascii="黑体" w:hAnsi="黑体" w:eastAsia="黑体" w:cs="黑体"/>
          <w:color w:val="auto"/>
          <w:sz w:val="32"/>
          <w:szCs w:val="32"/>
          <w:highlight w:val="none"/>
        </w:rPr>
        <w:t>附件</w:t>
      </w:r>
    </w:p>
    <w:p w14:paraId="1F0F6EDD">
      <w:pPr>
        <w:keepNext w:val="0"/>
        <w:keepLines w:val="0"/>
        <w:pageBreakBefore w:val="0"/>
        <w:kinsoku/>
        <w:wordWrap/>
        <w:overflowPunct/>
        <w:topLinePunct w:val="0"/>
        <w:autoSpaceDE/>
        <w:autoSpaceDN/>
        <w:bidi w:val="0"/>
        <w:spacing w:line="572" w:lineRule="exact"/>
        <w:jc w:val="center"/>
        <w:textAlignment w:val="auto"/>
        <w:rPr>
          <w:rFonts w:ascii="方正小标宋简体" w:hAnsi="宋体" w:eastAsia="方正小标宋简体"/>
          <w:color w:val="auto"/>
          <w:kern w:val="0"/>
          <w:sz w:val="40"/>
          <w:szCs w:val="44"/>
          <w:highlight w:val="none"/>
          <w:lang w:val="zh-CN"/>
        </w:rPr>
      </w:pPr>
      <w:r>
        <w:rPr>
          <w:rFonts w:hint="eastAsia" w:ascii="方正小标宋简体" w:hAnsi="宋体" w:eastAsia="方正小标宋简体"/>
          <w:color w:val="auto"/>
          <w:kern w:val="0"/>
          <w:sz w:val="40"/>
          <w:szCs w:val="44"/>
          <w:highlight w:val="none"/>
        </w:rPr>
        <w:t>202</w:t>
      </w:r>
      <w:r>
        <w:rPr>
          <w:rFonts w:hint="eastAsia" w:ascii="方正小标宋简体" w:hAnsi="宋体" w:eastAsia="方正小标宋简体"/>
          <w:color w:val="auto"/>
          <w:kern w:val="0"/>
          <w:sz w:val="40"/>
          <w:szCs w:val="44"/>
          <w:highlight w:val="none"/>
          <w:lang w:val="en-US" w:eastAsia="zh-CN"/>
        </w:rPr>
        <w:t>1</w:t>
      </w:r>
      <w:r>
        <w:rPr>
          <w:rFonts w:hint="eastAsia" w:ascii="方正小标宋简体" w:hAnsi="宋体" w:eastAsia="方正小标宋简体"/>
          <w:color w:val="auto"/>
          <w:kern w:val="0"/>
          <w:sz w:val="40"/>
          <w:szCs w:val="44"/>
          <w:highlight w:val="none"/>
        </w:rPr>
        <w:t>年</w:t>
      </w:r>
      <w:r>
        <w:rPr>
          <w:rFonts w:hint="eastAsia" w:ascii="方正小标宋简体" w:hAnsi="宋体" w:eastAsia="方正小标宋简体"/>
          <w:color w:val="auto"/>
          <w:kern w:val="0"/>
          <w:sz w:val="40"/>
          <w:szCs w:val="44"/>
          <w:highlight w:val="none"/>
          <w:lang w:eastAsia="zh-CN"/>
        </w:rPr>
        <w:t>米易县妇女联合会</w:t>
      </w:r>
      <w:r>
        <w:rPr>
          <w:rFonts w:hint="eastAsia" w:ascii="方正小标宋简体" w:hAnsi="宋体" w:eastAsia="方正小标宋简体"/>
          <w:color w:val="auto"/>
          <w:kern w:val="0"/>
          <w:sz w:val="40"/>
          <w:szCs w:val="44"/>
          <w:highlight w:val="none"/>
        </w:rPr>
        <w:t>整体绩效评价报告</w:t>
      </w:r>
    </w:p>
    <w:p w14:paraId="5EE0136D">
      <w:pPr>
        <w:keepNext w:val="0"/>
        <w:keepLines w:val="0"/>
        <w:pageBreakBefore w:val="0"/>
        <w:widowControl/>
        <w:kinsoku/>
        <w:wordWrap/>
        <w:overflowPunct/>
        <w:topLinePunct w:val="0"/>
        <w:autoSpaceDE/>
        <w:autoSpaceDN/>
        <w:bidi w:val="0"/>
        <w:adjustRightInd w:val="0"/>
        <w:snapToGrid w:val="0"/>
        <w:spacing w:line="572" w:lineRule="exact"/>
        <w:ind w:firstLine="480" w:firstLineChars="200"/>
        <w:contextualSpacing/>
        <w:jc w:val="left"/>
        <w:textAlignment w:val="auto"/>
        <w:rPr>
          <w:rFonts w:ascii="黑体" w:hAnsi="宋体" w:eastAsia="黑体" w:cs="宋体"/>
          <w:color w:val="auto"/>
          <w:kern w:val="0"/>
          <w:sz w:val="24"/>
          <w:szCs w:val="32"/>
          <w:highlight w:val="none"/>
          <w:shd w:val="clear" w:color="auto" w:fill="FFFFFF"/>
        </w:rPr>
      </w:pPr>
    </w:p>
    <w:p w14:paraId="05C67EF2">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lang w:val="zh-CN"/>
        </w:rPr>
      </w:pPr>
      <w:r>
        <w:rPr>
          <w:rFonts w:hint="eastAsia" w:ascii="黑体" w:hAnsi="宋体" w:eastAsia="黑体" w:cs="宋体"/>
          <w:color w:val="auto"/>
          <w:kern w:val="0"/>
          <w:sz w:val="32"/>
          <w:szCs w:val="32"/>
          <w:highlight w:val="none"/>
          <w:shd w:val="clear" w:color="auto" w:fill="FFFFFF"/>
        </w:rPr>
        <w:t>一、</w:t>
      </w:r>
      <w:r>
        <w:rPr>
          <w:rFonts w:hint="eastAsia" w:ascii="黑体" w:hAnsi="宋体" w:eastAsia="黑体" w:cs="宋体"/>
          <w:color w:val="auto"/>
          <w:kern w:val="0"/>
          <w:sz w:val="32"/>
          <w:szCs w:val="32"/>
          <w:highlight w:val="none"/>
          <w:shd w:val="clear" w:color="auto" w:fill="FFFFFF"/>
          <w:lang w:val="zh-CN"/>
        </w:rPr>
        <w:t>部门（单位）概况</w:t>
      </w:r>
    </w:p>
    <w:p w14:paraId="6123764B">
      <w:pPr>
        <w:widowControl/>
        <w:adjustRightInd w:val="0"/>
        <w:snapToGrid w:val="0"/>
        <w:spacing w:line="580" w:lineRule="exact"/>
        <w:ind w:firstLine="640" w:firstLineChars="200"/>
        <w:contextualSpacing/>
        <w:jc w:val="left"/>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（一）机构组成。</w:t>
      </w:r>
      <w:r>
        <w:rPr>
          <w:rFonts w:hint="default" w:ascii="Times New Roman" w:hAnsi="Times New Roman" w:eastAsia="方正仿宋_GBK" w:cs="Times New Roman"/>
          <w:color w:val="auto"/>
          <w:kern w:val="0"/>
          <w:sz w:val="33"/>
          <w:szCs w:val="33"/>
          <w:lang w:val="zh-CN"/>
        </w:rPr>
        <w:t>米易县妇女联合会设办公室</w:t>
      </w:r>
      <w:r>
        <w:rPr>
          <w:rFonts w:hint="default" w:ascii="Times New Roman" w:hAnsi="Times New Roman" w:eastAsia="方正仿宋_GBK" w:cs="Times New Roman"/>
          <w:bCs/>
          <w:color w:val="auto"/>
          <w:sz w:val="33"/>
          <w:szCs w:val="33"/>
          <w:lang w:val="zh-CN"/>
        </w:rPr>
        <w:t>1</w:t>
      </w:r>
      <w:r>
        <w:rPr>
          <w:rFonts w:hint="default" w:ascii="Times New Roman" w:hAnsi="Times New Roman" w:eastAsia="方正仿宋_GBK" w:cs="Times New Roman"/>
          <w:color w:val="auto"/>
          <w:kern w:val="0"/>
          <w:sz w:val="33"/>
          <w:szCs w:val="33"/>
          <w:lang w:val="zh-CN"/>
        </w:rPr>
        <w:t>个,下设妇女儿童服务中心，属于事业机构，县妇儿工委办设在县妇联。</w:t>
      </w:r>
    </w:p>
    <w:p w14:paraId="5B6501BC">
      <w:pPr>
        <w:spacing w:line="560" w:lineRule="exact"/>
        <w:ind w:firstLine="640"/>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（二）机构职能。</w:t>
      </w:r>
      <w:r>
        <w:rPr>
          <w:rFonts w:hint="default" w:ascii="Times New Roman" w:hAnsi="Times New Roman" w:eastAsia="方正仿宋_GBK" w:cs="Times New Roman"/>
          <w:color w:val="auto"/>
          <w:kern w:val="0"/>
          <w:sz w:val="33"/>
          <w:szCs w:val="33"/>
          <w:lang w:val="zh-CN"/>
        </w:rPr>
        <w:t>县妇联的基本职责是代表和维护妇女权益，促进男女平等，即“一手抓发展、一手抓维权”。具体履行以下职能：发动和组织妇女参与改革和经济建设、引导妇女提高素质，促进妇女人才成长、代表妇女参与民主管理和民主监督、保护妇女儿童合法权益，全心全意为妇女群众服务，加强横向和纵向的联系沟通，拓宽妇联工作覆盖面。</w:t>
      </w:r>
    </w:p>
    <w:p w14:paraId="519824F5">
      <w:pPr>
        <w:spacing w:line="580" w:lineRule="exact"/>
        <w:ind w:firstLine="640" w:firstLineChars="200"/>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（三）人员概况。</w:t>
      </w:r>
      <w:r>
        <w:rPr>
          <w:rFonts w:hint="default" w:ascii="Times New Roman" w:hAnsi="Times New Roman" w:eastAsia="方正仿宋_GBK" w:cs="Times New Roman"/>
          <w:color w:val="auto"/>
          <w:kern w:val="0"/>
          <w:sz w:val="33"/>
          <w:szCs w:val="33"/>
          <w:lang w:val="zh-CN"/>
        </w:rPr>
        <w:t>部门总编制</w:t>
      </w:r>
      <w:r>
        <w:rPr>
          <w:rFonts w:hint="default" w:ascii="Times New Roman" w:hAnsi="Times New Roman" w:eastAsia="方正仿宋_GBK" w:cs="Times New Roman"/>
          <w:bCs/>
          <w:color w:val="auto"/>
          <w:sz w:val="33"/>
          <w:szCs w:val="33"/>
          <w:lang w:val="zh-CN"/>
        </w:rPr>
        <w:t>6</w:t>
      </w:r>
      <w:r>
        <w:rPr>
          <w:rFonts w:hint="default" w:ascii="Times New Roman" w:hAnsi="Times New Roman" w:eastAsia="方正仿宋_GBK" w:cs="Times New Roman"/>
          <w:color w:val="auto"/>
          <w:kern w:val="0"/>
          <w:sz w:val="33"/>
          <w:szCs w:val="33"/>
          <w:lang w:val="zh-CN"/>
        </w:rPr>
        <w:t>人，其中行政编制</w:t>
      </w:r>
      <w:r>
        <w:rPr>
          <w:rFonts w:hint="default" w:ascii="Times New Roman" w:hAnsi="Times New Roman" w:eastAsia="方正仿宋_GBK" w:cs="Times New Roman"/>
          <w:bCs/>
          <w:color w:val="auto"/>
          <w:sz w:val="33"/>
          <w:szCs w:val="33"/>
          <w:lang w:val="zh-CN"/>
        </w:rPr>
        <w:t>3</w:t>
      </w:r>
      <w:r>
        <w:rPr>
          <w:rFonts w:hint="default" w:ascii="Times New Roman" w:hAnsi="Times New Roman" w:eastAsia="方正仿宋_GBK" w:cs="Times New Roman"/>
          <w:color w:val="auto"/>
          <w:kern w:val="0"/>
          <w:sz w:val="33"/>
          <w:szCs w:val="33"/>
          <w:lang w:val="zh-CN"/>
        </w:rPr>
        <w:t>个，事业编制</w:t>
      </w:r>
      <w:r>
        <w:rPr>
          <w:rFonts w:hint="default" w:ascii="Times New Roman" w:hAnsi="Times New Roman" w:eastAsia="方正仿宋_GBK" w:cs="Times New Roman"/>
          <w:bCs/>
          <w:color w:val="auto"/>
          <w:sz w:val="33"/>
          <w:szCs w:val="33"/>
          <w:lang w:val="zh-CN"/>
        </w:rPr>
        <w:t>3</w:t>
      </w:r>
      <w:r>
        <w:rPr>
          <w:rFonts w:hint="default" w:ascii="Times New Roman" w:hAnsi="Times New Roman" w:eastAsia="方正仿宋_GBK" w:cs="Times New Roman"/>
          <w:color w:val="auto"/>
          <w:kern w:val="0"/>
          <w:sz w:val="33"/>
          <w:szCs w:val="33"/>
          <w:lang w:val="zh-CN"/>
        </w:rPr>
        <w:t>个。现有在岗</w:t>
      </w:r>
      <w:r>
        <w:rPr>
          <w:rFonts w:hint="default" w:ascii="Times New Roman" w:hAnsi="Times New Roman" w:eastAsia="方正仿宋_GBK" w:cs="Times New Roman"/>
          <w:bCs/>
          <w:color w:val="auto"/>
          <w:sz w:val="33"/>
          <w:szCs w:val="33"/>
          <w:lang w:val="zh-CN"/>
        </w:rPr>
        <w:t>6</w:t>
      </w:r>
      <w:r>
        <w:rPr>
          <w:rFonts w:hint="default" w:ascii="Times New Roman" w:hAnsi="Times New Roman" w:eastAsia="方正仿宋_GBK" w:cs="Times New Roman"/>
          <w:color w:val="auto"/>
          <w:kern w:val="0"/>
          <w:sz w:val="33"/>
          <w:szCs w:val="33"/>
          <w:lang w:val="zh-CN"/>
        </w:rPr>
        <w:t>人，退休</w:t>
      </w:r>
      <w:r>
        <w:rPr>
          <w:rFonts w:hint="default" w:ascii="Times New Roman" w:hAnsi="Times New Roman" w:eastAsia="方正仿宋_GBK" w:cs="Times New Roman"/>
          <w:bCs/>
          <w:color w:val="auto"/>
          <w:sz w:val="33"/>
          <w:szCs w:val="33"/>
          <w:lang w:val="zh-CN"/>
        </w:rPr>
        <w:t>3</w:t>
      </w:r>
      <w:r>
        <w:rPr>
          <w:rFonts w:hint="default" w:ascii="Times New Roman" w:hAnsi="Times New Roman" w:eastAsia="方正仿宋_GBK" w:cs="Times New Roman"/>
          <w:color w:val="auto"/>
          <w:kern w:val="0"/>
          <w:sz w:val="33"/>
          <w:szCs w:val="33"/>
          <w:lang w:val="zh-CN"/>
        </w:rPr>
        <w:t>人，其中：主席</w:t>
      </w:r>
      <w:r>
        <w:rPr>
          <w:rFonts w:hint="default" w:ascii="Times New Roman" w:hAnsi="Times New Roman" w:eastAsia="方正仿宋_GBK" w:cs="Times New Roman"/>
          <w:bCs/>
          <w:color w:val="auto"/>
          <w:sz w:val="33"/>
          <w:szCs w:val="33"/>
          <w:lang w:val="zh-CN"/>
        </w:rPr>
        <w:t>1</w:t>
      </w:r>
      <w:r>
        <w:rPr>
          <w:rFonts w:hint="default" w:ascii="Times New Roman" w:hAnsi="Times New Roman" w:eastAsia="方正仿宋_GBK" w:cs="Times New Roman"/>
          <w:color w:val="auto"/>
          <w:kern w:val="0"/>
          <w:sz w:val="33"/>
          <w:szCs w:val="33"/>
          <w:lang w:val="zh-CN"/>
        </w:rPr>
        <w:t>名、副主席</w:t>
      </w:r>
      <w:r>
        <w:rPr>
          <w:rFonts w:hint="default" w:ascii="Times New Roman" w:hAnsi="Times New Roman" w:eastAsia="方正仿宋_GBK" w:cs="Times New Roman"/>
          <w:bCs/>
          <w:color w:val="auto"/>
          <w:sz w:val="33"/>
          <w:szCs w:val="33"/>
          <w:lang w:val="zh-CN"/>
        </w:rPr>
        <w:t>1</w:t>
      </w:r>
      <w:r>
        <w:rPr>
          <w:rFonts w:hint="default" w:ascii="Times New Roman" w:hAnsi="Times New Roman" w:eastAsia="方正仿宋_GBK" w:cs="Times New Roman"/>
          <w:color w:val="auto"/>
          <w:kern w:val="0"/>
          <w:sz w:val="33"/>
          <w:szCs w:val="33"/>
          <w:lang w:val="zh-CN"/>
        </w:rPr>
        <w:t>名（行政领导），妇女儿童服务中心兼县政府妇儿工委办专职副主任</w:t>
      </w:r>
      <w:r>
        <w:rPr>
          <w:rFonts w:hint="default" w:ascii="Times New Roman" w:hAnsi="Times New Roman" w:eastAsia="方正仿宋_GBK" w:cs="Times New Roman"/>
          <w:bCs/>
          <w:color w:val="auto"/>
          <w:sz w:val="33"/>
          <w:szCs w:val="33"/>
          <w:lang w:val="zh-CN"/>
        </w:rPr>
        <w:t>1</w:t>
      </w:r>
      <w:r>
        <w:rPr>
          <w:rFonts w:hint="default" w:ascii="Times New Roman" w:hAnsi="Times New Roman" w:eastAsia="方正仿宋_GBK" w:cs="Times New Roman"/>
          <w:color w:val="auto"/>
          <w:kern w:val="0"/>
          <w:sz w:val="33"/>
          <w:szCs w:val="33"/>
          <w:lang w:val="zh-CN"/>
        </w:rPr>
        <w:t>名（事业领导），事业工作人员</w:t>
      </w:r>
      <w:r>
        <w:rPr>
          <w:rFonts w:hint="default" w:ascii="Times New Roman" w:hAnsi="Times New Roman" w:eastAsia="方正仿宋_GBK" w:cs="Times New Roman"/>
          <w:bCs/>
          <w:color w:val="auto"/>
          <w:sz w:val="33"/>
          <w:szCs w:val="33"/>
          <w:lang w:val="zh-CN"/>
        </w:rPr>
        <w:t>2</w:t>
      </w:r>
      <w:r>
        <w:rPr>
          <w:rFonts w:hint="default" w:ascii="Times New Roman" w:hAnsi="Times New Roman" w:eastAsia="方正仿宋_GBK" w:cs="Times New Roman"/>
          <w:color w:val="auto"/>
          <w:kern w:val="0"/>
          <w:sz w:val="33"/>
          <w:szCs w:val="33"/>
          <w:lang w:val="zh-CN"/>
        </w:rPr>
        <w:t>名。</w:t>
      </w:r>
    </w:p>
    <w:p w14:paraId="45A93148">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二、部门财政资金收支情况</w:t>
      </w:r>
    </w:p>
    <w:p w14:paraId="03511EB2">
      <w:pPr>
        <w:spacing w:line="560" w:lineRule="exact"/>
        <w:ind w:firstLine="640" w:firstLineChars="200"/>
        <w:rPr>
          <w:rFonts w:hint="default" w:ascii="Times New Roman" w:hAnsi="Times New Roman" w:eastAsia="仿宋_GB2312" w:cs="Times New Roman"/>
          <w:color w:val="auto"/>
          <w:kern w:val="0"/>
          <w:sz w:val="32"/>
          <w:szCs w:val="32"/>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（一）部门财政资金收入情况。</w:t>
      </w:r>
      <w:r>
        <w:rPr>
          <w:rFonts w:hint="default" w:ascii="Times New Roman" w:hAnsi="Times New Roman" w:eastAsia="方正仿宋_GBK" w:cs="Times New Roman"/>
          <w:bCs/>
          <w:color w:val="auto"/>
          <w:sz w:val="33"/>
          <w:szCs w:val="33"/>
          <w:lang w:val="zh-CN"/>
        </w:rPr>
        <w:t>20</w:t>
      </w:r>
      <w:r>
        <w:rPr>
          <w:rFonts w:hint="default" w:ascii="Times New Roman" w:hAnsi="Times New Roman" w:eastAsia="方正仿宋_GBK" w:cs="Times New Roman"/>
          <w:bCs/>
          <w:color w:val="auto"/>
          <w:sz w:val="33"/>
          <w:szCs w:val="33"/>
          <w:lang w:val="en-US" w:eastAsia="zh-CN"/>
        </w:rPr>
        <w:t>21</w:t>
      </w:r>
      <w:r>
        <w:rPr>
          <w:rFonts w:hint="default" w:ascii="Times New Roman" w:hAnsi="Times New Roman" w:eastAsia="方正仿宋_GBK" w:cs="Times New Roman"/>
          <w:color w:val="auto"/>
          <w:kern w:val="0"/>
          <w:sz w:val="33"/>
          <w:szCs w:val="33"/>
          <w:lang w:val="zh-CN"/>
        </w:rPr>
        <w:t>年米易县妇女联合会收入决算总额为</w:t>
      </w:r>
      <w:r>
        <w:rPr>
          <w:rFonts w:hint="default" w:ascii="Times New Roman" w:hAnsi="Times New Roman" w:eastAsia="方正仿宋_GBK" w:cs="Times New Roman"/>
          <w:color w:val="auto"/>
          <w:kern w:val="0"/>
          <w:sz w:val="33"/>
          <w:szCs w:val="33"/>
          <w:lang w:val="en-US" w:eastAsia="zh-CN"/>
        </w:rPr>
        <w:t>123.08</w:t>
      </w:r>
      <w:r>
        <w:rPr>
          <w:rFonts w:hint="default" w:ascii="Times New Roman" w:hAnsi="Times New Roman" w:eastAsia="方正仿宋_GBK" w:cs="Times New Roman"/>
          <w:color w:val="auto"/>
          <w:kern w:val="0"/>
          <w:sz w:val="33"/>
          <w:szCs w:val="33"/>
          <w:lang w:val="zh-CN"/>
        </w:rPr>
        <w:t>万元，其中：当年财政拨款收入</w:t>
      </w:r>
      <w:r>
        <w:rPr>
          <w:rFonts w:hint="default" w:ascii="Times New Roman" w:hAnsi="Times New Roman" w:eastAsia="方正仿宋_GBK" w:cs="Times New Roman"/>
          <w:color w:val="auto"/>
          <w:kern w:val="0"/>
          <w:sz w:val="33"/>
          <w:szCs w:val="33"/>
          <w:lang w:val="en-US" w:eastAsia="zh-CN"/>
        </w:rPr>
        <w:t>123.08</w:t>
      </w:r>
      <w:r>
        <w:rPr>
          <w:rFonts w:hint="default" w:ascii="Times New Roman" w:hAnsi="Times New Roman" w:eastAsia="方正仿宋_GBK" w:cs="Times New Roman"/>
          <w:color w:val="auto"/>
          <w:kern w:val="0"/>
          <w:sz w:val="33"/>
          <w:szCs w:val="33"/>
          <w:lang w:val="zh-CN"/>
        </w:rPr>
        <w:t>万元，无结转收入。</w:t>
      </w:r>
    </w:p>
    <w:p w14:paraId="5EDE80D5">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p>
    <w:p w14:paraId="1C69B572">
      <w:pPr>
        <w:spacing w:line="600" w:lineRule="exact"/>
        <w:ind w:firstLine="640"/>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（二）部门财政资金支出情况。</w:t>
      </w:r>
      <w:r>
        <w:rPr>
          <w:rFonts w:hint="default" w:ascii="Times New Roman" w:hAnsi="Times New Roman" w:eastAsia="方正仿宋_GBK" w:cs="Times New Roman"/>
          <w:bCs/>
          <w:color w:val="auto"/>
          <w:sz w:val="33"/>
          <w:szCs w:val="33"/>
          <w:lang w:val="zh-CN"/>
        </w:rPr>
        <w:t>20</w:t>
      </w:r>
      <w:r>
        <w:rPr>
          <w:rFonts w:hint="default" w:ascii="Times New Roman" w:hAnsi="Times New Roman" w:eastAsia="方正仿宋_GBK" w:cs="Times New Roman"/>
          <w:bCs/>
          <w:color w:val="auto"/>
          <w:sz w:val="33"/>
          <w:szCs w:val="33"/>
          <w:lang w:val="en-US" w:eastAsia="zh-CN"/>
        </w:rPr>
        <w:t>21</w:t>
      </w:r>
      <w:r>
        <w:rPr>
          <w:rFonts w:hint="default" w:ascii="Times New Roman" w:hAnsi="Times New Roman" w:eastAsia="方正仿宋_GBK" w:cs="Times New Roman"/>
          <w:color w:val="auto"/>
          <w:kern w:val="0"/>
          <w:sz w:val="33"/>
          <w:szCs w:val="33"/>
          <w:lang w:val="zh-CN"/>
        </w:rPr>
        <w:t>年米易县妇女联合会支出决算总额为</w:t>
      </w:r>
      <w:r>
        <w:rPr>
          <w:rFonts w:hint="default" w:ascii="Times New Roman" w:hAnsi="Times New Roman" w:eastAsia="方正仿宋_GBK" w:cs="Times New Roman"/>
          <w:color w:val="auto"/>
          <w:kern w:val="0"/>
          <w:sz w:val="33"/>
          <w:szCs w:val="33"/>
          <w:lang w:val="en-US" w:eastAsia="zh-CN"/>
        </w:rPr>
        <w:t>123.08</w:t>
      </w:r>
      <w:r>
        <w:rPr>
          <w:rFonts w:hint="default" w:ascii="Times New Roman" w:hAnsi="Times New Roman" w:eastAsia="方正仿宋_GBK" w:cs="Times New Roman"/>
          <w:color w:val="auto"/>
          <w:kern w:val="0"/>
          <w:sz w:val="33"/>
          <w:szCs w:val="33"/>
          <w:lang w:val="zh-CN"/>
        </w:rPr>
        <w:t>万元，其中：一般公共服务支出</w:t>
      </w:r>
      <w:r>
        <w:rPr>
          <w:rFonts w:hint="default" w:ascii="Times New Roman" w:hAnsi="Times New Roman" w:eastAsia="方正仿宋_GBK" w:cs="Times New Roman"/>
          <w:color w:val="auto"/>
          <w:kern w:val="0"/>
          <w:sz w:val="33"/>
          <w:szCs w:val="33"/>
          <w:lang w:val="en-US" w:eastAsia="zh-CN"/>
        </w:rPr>
        <w:t>92.42</w:t>
      </w:r>
      <w:r>
        <w:rPr>
          <w:rFonts w:hint="default" w:ascii="Times New Roman" w:hAnsi="Times New Roman" w:eastAsia="方正仿宋_GBK" w:cs="Times New Roman"/>
          <w:color w:val="auto"/>
          <w:kern w:val="0"/>
          <w:sz w:val="33"/>
          <w:szCs w:val="33"/>
          <w:lang w:val="zh-CN"/>
        </w:rPr>
        <w:t>万元，社会保障和就业支出</w:t>
      </w:r>
      <w:r>
        <w:rPr>
          <w:rFonts w:hint="default" w:ascii="Times New Roman" w:hAnsi="Times New Roman" w:eastAsia="方正仿宋_GBK" w:cs="Times New Roman"/>
          <w:color w:val="auto"/>
          <w:kern w:val="0"/>
          <w:sz w:val="33"/>
          <w:szCs w:val="33"/>
          <w:lang w:val="en-US" w:eastAsia="zh-CN"/>
        </w:rPr>
        <w:t>11.39</w:t>
      </w:r>
      <w:r>
        <w:rPr>
          <w:rFonts w:hint="default" w:ascii="Times New Roman" w:hAnsi="Times New Roman" w:eastAsia="方正仿宋_GBK" w:cs="Times New Roman"/>
          <w:color w:val="auto"/>
          <w:kern w:val="0"/>
          <w:sz w:val="33"/>
          <w:szCs w:val="33"/>
          <w:lang w:val="zh-CN"/>
        </w:rPr>
        <w:t>万元，住房保障支出</w:t>
      </w:r>
      <w:r>
        <w:rPr>
          <w:rFonts w:hint="default" w:ascii="Times New Roman" w:hAnsi="Times New Roman" w:eastAsia="方正仿宋_GBK" w:cs="Times New Roman"/>
          <w:color w:val="auto"/>
          <w:kern w:val="0"/>
          <w:sz w:val="33"/>
          <w:szCs w:val="33"/>
          <w:lang w:val="en-US" w:eastAsia="zh-CN"/>
        </w:rPr>
        <w:t>11.63</w:t>
      </w:r>
      <w:r>
        <w:rPr>
          <w:rFonts w:hint="default" w:ascii="Times New Roman" w:hAnsi="Times New Roman" w:eastAsia="方正仿宋_GBK" w:cs="Times New Roman"/>
          <w:color w:val="auto"/>
          <w:kern w:val="0"/>
          <w:sz w:val="33"/>
          <w:szCs w:val="33"/>
          <w:lang w:val="zh-CN"/>
        </w:rPr>
        <w:t>万元，卫生健康支出</w:t>
      </w:r>
      <w:r>
        <w:rPr>
          <w:rFonts w:hint="default" w:ascii="Times New Roman" w:hAnsi="Times New Roman" w:eastAsia="方正仿宋_GBK" w:cs="Times New Roman"/>
          <w:color w:val="auto"/>
          <w:kern w:val="0"/>
          <w:sz w:val="33"/>
          <w:szCs w:val="33"/>
          <w:lang w:val="en-US" w:eastAsia="zh-CN"/>
        </w:rPr>
        <w:t>7.64</w:t>
      </w:r>
      <w:r>
        <w:rPr>
          <w:rFonts w:hint="default" w:ascii="Times New Roman" w:hAnsi="Times New Roman" w:eastAsia="方正仿宋_GBK" w:cs="Times New Roman"/>
          <w:color w:val="auto"/>
          <w:kern w:val="0"/>
          <w:sz w:val="33"/>
          <w:szCs w:val="33"/>
          <w:lang w:val="zh-CN"/>
        </w:rPr>
        <w:t>万元，无年末结转和结余。</w:t>
      </w:r>
    </w:p>
    <w:p w14:paraId="1A7BF3E4">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三、</w:t>
      </w:r>
      <w:r>
        <w:rPr>
          <w:rFonts w:hint="eastAsia" w:ascii="黑体" w:hAnsi="宋体" w:eastAsia="黑体" w:cs="宋体"/>
          <w:color w:val="auto"/>
          <w:kern w:val="0"/>
          <w:sz w:val="32"/>
          <w:szCs w:val="32"/>
          <w:highlight w:val="none"/>
          <w:u w:val="none"/>
          <w:shd w:val="clear" w:color="auto" w:fill="FFFFFF"/>
        </w:rPr>
        <w:t>部门整体预算绩效管理情况</w:t>
      </w:r>
    </w:p>
    <w:p w14:paraId="1D7760CC">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（一）部门预算项目绩效管理。</w:t>
      </w:r>
    </w:p>
    <w:p w14:paraId="0576EEB8">
      <w:pPr>
        <w:widowControl/>
        <w:adjustRightInd w:val="0"/>
        <w:snapToGrid w:val="0"/>
        <w:spacing w:line="540" w:lineRule="exact"/>
        <w:ind w:firstLine="720"/>
        <w:jc w:val="left"/>
        <w:rPr>
          <w:rFonts w:hint="default" w:ascii="Times New Roman" w:hAnsi="Times New Roman" w:eastAsia="方正仿宋_GBK" w:cs="Times New Roman"/>
          <w:color w:val="auto"/>
          <w:kern w:val="0"/>
          <w:sz w:val="33"/>
          <w:szCs w:val="33"/>
          <w:lang w:val="zh-CN"/>
        </w:rPr>
      </w:pPr>
      <w:r>
        <w:rPr>
          <w:rFonts w:hint="default" w:ascii="Times New Roman" w:hAnsi="Times New Roman" w:eastAsia="方正仿宋_GBK" w:cs="Times New Roman"/>
          <w:color w:val="auto"/>
          <w:kern w:val="0"/>
          <w:sz w:val="33"/>
          <w:szCs w:val="33"/>
          <w:lang w:val="zh-CN"/>
        </w:rPr>
        <w:t>严格按照县级部门预算编制通知和有关要求，按时完成</w:t>
      </w:r>
      <w:r>
        <w:rPr>
          <w:rFonts w:hint="default" w:ascii="Times New Roman" w:hAnsi="Times New Roman" w:eastAsia="方正仿宋_GBK" w:cs="Times New Roman"/>
          <w:bCs/>
          <w:color w:val="auto"/>
          <w:sz w:val="33"/>
          <w:szCs w:val="33"/>
          <w:lang w:val="zh-CN"/>
        </w:rPr>
        <w:t>20</w:t>
      </w:r>
      <w:r>
        <w:rPr>
          <w:rFonts w:hint="default" w:ascii="Times New Roman" w:hAnsi="Times New Roman" w:eastAsia="方正仿宋_GBK" w:cs="Times New Roman"/>
          <w:bCs/>
          <w:color w:val="auto"/>
          <w:sz w:val="33"/>
          <w:szCs w:val="33"/>
          <w:lang w:val="en-US" w:eastAsia="zh-CN"/>
        </w:rPr>
        <w:t>21</w:t>
      </w:r>
      <w:r>
        <w:rPr>
          <w:rFonts w:hint="default" w:ascii="Times New Roman" w:hAnsi="Times New Roman" w:eastAsia="方正仿宋_GBK" w:cs="Times New Roman"/>
          <w:color w:val="auto"/>
          <w:kern w:val="0"/>
          <w:sz w:val="33"/>
          <w:szCs w:val="33"/>
          <w:lang w:val="zh-CN"/>
        </w:rPr>
        <w:t>年预算编制工作，并按时提交部门预算草案，预算编制全面、科学。我单位财务管理制度健全，执行制度严格合规，会计核算符合相关规定，资金专款专用，资金支付依据和开支标准合法合规，严格执行政府采购。</w:t>
      </w:r>
    </w:p>
    <w:p w14:paraId="138A4768">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（二）结果应用情况。</w:t>
      </w:r>
    </w:p>
    <w:p w14:paraId="2AC38FE7">
      <w:pPr>
        <w:widowControl/>
        <w:adjustRightInd w:val="0"/>
        <w:snapToGrid w:val="0"/>
        <w:spacing w:line="540" w:lineRule="exact"/>
        <w:ind w:firstLine="720"/>
        <w:jc w:val="left"/>
        <w:rPr>
          <w:rFonts w:hint="default" w:ascii="Times New Roman" w:hAnsi="Times New Roman" w:eastAsia="仿宋_GB2312" w:cs="Times New Roman"/>
          <w:color w:val="auto"/>
          <w:kern w:val="0"/>
          <w:sz w:val="32"/>
          <w:szCs w:val="32"/>
          <w:shd w:val="clear" w:color="auto" w:fill="FFFFFF"/>
          <w:lang w:val="zh-CN"/>
        </w:rPr>
      </w:pPr>
      <w:r>
        <w:rPr>
          <w:rFonts w:hint="default" w:ascii="Times New Roman" w:hAnsi="Times New Roman" w:eastAsia="方正仿宋_GBK" w:cs="Times New Roman"/>
          <w:color w:val="auto"/>
          <w:kern w:val="0"/>
          <w:sz w:val="33"/>
          <w:szCs w:val="33"/>
          <w:lang w:val="zh-CN"/>
        </w:rPr>
        <w:t>我单位</w:t>
      </w:r>
      <w:r>
        <w:rPr>
          <w:rFonts w:hint="default" w:ascii="Times New Roman" w:hAnsi="Times New Roman" w:eastAsia="方正仿宋_GBK" w:cs="Times New Roman"/>
          <w:bCs/>
          <w:color w:val="auto"/>
          <w:sz w:val="33"/>
          <w:szCs w:val="33"/>
          <w:lang w:val="zh-CN"/>
        </w:rPr>
        <w:t>20</w:t>
      </w:r>
      <w:r>
        <w:rPr>
          <w:rFonts w:hint="default" w:ascii="Times New Roman" w:hAnsi="Times New Roman" w:eastAsia="方正仿宋_GBK" w:cs="Times New Roman"/>
          <w:bCs/>
          <w:color w:val="auto"/>
          <w:sz w:val="33"/>
          <w:szCs w:val="33"/>
          <w:lang w:val="en-US" w:eastAsia="zh-CN"/>
        </w:rPr>
        <w:t>21</w:t>
      </w:r>
      <w:r>
        <w:rPr>
          <w:rFonts w:hint="default" w:ascii="Times New Roman" w:hAnsi="Times New Roman" w:eastAsia="方正仿宋_GBK" w:cs="Times New Roman"/>
          <w:color w:val="auto"/>
          <w:kern w:val="0"/>
          <w:sz w:val="33"/>
          <w:szCs w:val="33"/>
          <w:lang w:val="zh-CN"/>
        </w:rPr>
        <w:t>年全年执行进度达到本部门执行进度。机关厉行节约：我单位</w:t>
      </w:r>
      <w:r>
        <w:rPr>
          <w:rFonts w:hint="default" w:ascii="Times New Roman" w:hAnsi="Times New Roman" w:eastAsia="方正仿宋_GBK" w:cs="Times New Roman"/>
          <w:bCs/>
          <w:color w:val="auto"/>
          <w:sz w:val="33"/>
          <w:szCs w:val="33"/>
          <w:lang w:val="zh-CN"/>
        </w:rPr>
        <w:t>20</w:t>
      </w:r>
      <w:r>
        <w:rPr>
          <w:rFonts w:hint="default" w:ascii="Times New Roman" w:hAnsi="Times New Roman" w:eastAsia="方正仿宋_GBK" w:cs="Times New Roman"/>
          <w:bCs/>
          <w:color w:val="auto"/>
          <w:sz w:val="33"/>
          <w:szCs w:val="33"/>
          <w:lang w:val="en-US" w:eastAsia="zh-CN"/>
        </w:rPr>
        <w:t>21</w:t>
      </w:r>
      <w:r>
        <w:rPr>
          <w:rFonts w:hint="default" w:ascii="Times New Roman" w:hAnsi="Times New Roman" w:eastAsia="方正仿宋_GBK" w:cs="Times New Roman"/>
          <w:color w:val="auto"/>
          <w:kern w:val="0"/>
          <w:sz w:val="33"/>
          <w:szCs w:val="33"/>
          <w:lang w:val="zh-CN"/>
        </w:rPr>
        <w:t>年因公出国（境）费用</w:t>
      </w:r>
      <w:r>
        <w:rPr>
          <w:rFonts w:hint="default" w:ascii="Times New Roman" w:hAnsi="Times New Roman" w:eastAsia="方正仿宋_GBK" w:cs="Times New Roman"/>
          <w:bCs/>
          <w:color w:val="auto"/>
          <w:sz w:val="33"/>
          <w:szCs w:val="33"/>
          <w:lang w:val="zh-CN"/>
        </w:rPr>
        <w:t>0</w:t>
      </w:r>
      <w:r>
        <w:rPr>
          <w:rFonts w:hint="default" w:ascii="Times New Roman" w:hAnsi="Times New Roman" w:eastAsia="方正仿宋_GBK" w:cs="Times New Roman"/>
          <w:color w:val="auto"/>
          <w:kern w:val="0"/>
          <w:sz w:val="33"/>
          <w:szCs w:val="33"/>
          <w:lang w:val="zh-CN"/>
        </w:rPr>
        <w:t>元，公务接待费</w:t>
      </w:r>
      <w:r>
        <w:rPr>
          <w:rFonts w:hint="default" w:ascii="Times New Roman" w:hAnsi="Times New Roman" w:eastAsia="方正仿宋_GBK" w:cs="Times New Roman"/>
          <w:color w:val="auto"/>
          <w:kern w:val="0"/>
          <w:sz w:val="33"/>
          <w:szCs w:val="33"/>
          <w:lang w:val="en-US" w:eastAsia="zh-CN"/>
        </w:rPr>
        <w:t>3100</w:t>
      </w:r>
      <w:r>
        <w:rPr>
          <w:rFonts w:hint="default" w:ascii="Times New Roman" w:hAnsi="Times New Roman" w:eastAsia="方正仿宋_GBK" w:cs="Times New Roman"/>
          <w:color w:val="auto"/>
          <w:kern w:val="0"/>
          <w:sz w:val="33"/>
          <w:szCs w:val="33"/>
          <w:lang w:val="zh-CN"/>
        </w:rPr>
        <w:t>元，公务用车购置及运行维护费0元。机关节能降耗：办公室搬迁到县政务服务中心，严格按照机关事务管理</w:t>
      </w:r>
      <w:r>
        <w:rPr>
          <w:rFonts w:hint="eastAsia" w:eastAsia="方正仿宋_GBK" w:cs="Times New Roman"/>
          <w:color w:val="auto"/>
          <w:kern w:val="0"/>
          <w:sz w:val="33"/>
          <w:szCs w:val="33"/>
          <w:lang w:val="zh-CN"/>
        </w:rPr>
        <w:t>服务中心</w:t>
      </w:r>
      <w:r>
        <w:rPr>
          <w:rFonts w:hint="default" w:ascii="Times New Roman" w:hAnsi="Times New Roman" w:eastAsia="方正仿宋_GBK" w:cs="Times New Roman"/>
          <w:color w:val="auto"/>
          <w:kern w:val="0"/>
          <w:sz w:val="33"/>
          <w:szCs w:val="33"/>
          <w:lang w:val="zh-CN"/>
        </w:rPr>
        <w:t>规定进行水、电、燃油费用支出，不存在浪费等情况。</w:t>
      </w:r>
    </w:p>
    <w:p w14:paraId="43065312">
      <w:pPr>
        <w:widowControl/>
        <w:numPr>
          <w:ilvl w:val="0"/>
          <w:numId w:val="5"/>
        </w:numPr>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highlight w:val="none"/>
          <w:u w:val="none"/>
          <w:shd w:val="clear" w:color="auto" w:fill="FFFFFF"/>
          <w:lang w:val="zh-CN"/>
        </w:rPr>
      </w:pPr>
      <w:r>
        <w:rPr>
          <w:rFonts w:hint="eastAsia" w:ascii="仿宋_GB2312" w:hAnsi="宋体" w:eastAsia="仿宋_GB2312" w:cs="宋体"/>
          <w:color w:val="auto"/>
          <w:kern w:val="0"/>
          <w:sz w:val="32"/>
          <w:szCs w:val="32"/>
          <w:highlight w:val="none"/>
          <w:u w:val="none"/>
          <w:shd w:val="clear" w:color="auto" w:fill="FFFFFF"/>
          <w:lang w:val="zh-CN"/>
        </w:rPr>
        <w:t>自评质量</w:t>
      </w:r>
    </w:p>
    <w:p w14:paraId="3264177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contextualSpacing/>
        <w:jc w:val="left"/>
        <w:textAlignment w:val="auto"/>
        <w:rPr>
          <w:rFonts w:hint="default" w:ascii="仿宋_GB2312" w:hAnsi="宋体" w:eastAsia="仿宋_GB2312" w:cs="宋体"/>
          <w:color w:val="auto"/>
          <w:kern w:val="0"/>
          <w:sz w:val="32"/>
          <w:szCs w:val="32"/>
          <w:highlight w:val="none"/>
          <w:shd w:val="clear" w:color="auto" w:fill="FFFFFF"/>
          <w:lang w:val="en-US" w:eastAsia="zh-CN"/>
        </w:rPr>
      </w:pPr>
      <w:r>
        <w:rPr>
          <w:rFonts w:hint="eastAsia" w:ascii="仿宋_GB2312" w:hAnsi="宋体" w:eastAsia="仿宋_GB2312" w:cs="宋体"/>
          <w:color w:val="auto"/>
          <w:kern w:val="0"/>
          <w:sz w:val="32"/>
          <w:szCs w:val="32"/>
          <w:highlight w:val="none"/>
          <w:shd w:val="clear" w:color="auto" w:fill="FFFFFF"/>
          <w:lang w:val="en-US" w:eastAsia="zh-CN"/>
        </w:rPr>
        <w:t xml:space="preserve">    我单位评价部门整体支出自评准确情况达到合格。</w:t>
      </w:r>
    </w:p>
    <w:p w14:paraId="3D7F727F">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四、评价结论及建议</w:t>
      </w:r>
    </w:p>
    <w:p w14:paraId="0CAEE450">
      <w:pPr>
        <w:widowControl/>
        <w:adjustRightInd w:val="0"/>
        <w:snapToGrid w:val="0"/>
        <w:spacing w:line="540" w:lineRule="exact"/>
        <w:ind w:firstLine="720"/>
        <w:jc w:val="left"/>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（一）评价结论。</w:t>
      </w:r>
      <w:r>
        <w:rPr>
          <w:rFonts w:hint="default" w:ascii="Times New Roman" w:hAnsi="Times New Roman" w:eastAsia="方正仿宋_GBK" w:cs="Times New Roman"/>
          <w:color w:val="auto"/>
          <w:kern w:val="0"/>
          <w:sz w:val="33"/>
          <w:szCs w:val="33"/>
          <w:lang w:val="zh-CN"/>
        </w:rPr>
        <w:t>我单位</w:t>
      </w:r>
      <w:r>
        <w:rPr>
          <w:rFonts w:hint="default" w:ascii="Times New Roman" w:hAnsi="Times New Roman" w:eastAsia="方正仿宋_GBK" w:cs="Times New Roman"/>
          <w:bCs/>
          <w:color w:val="auto"/>
          <w:sz w:val="33"/>
          <w:szCs w:val="33"/>
          <w:lang w:val="zh-CN"/>
        </w:rPr>
        <w:t>20</w:t>
      </w:r>
      <w:r>
        <w:rPr>
          <w:rFonts w:hint="default" w:ascii="Times New Roman" w:hAnsi="Times New Roman" w:eastAsia="方正仿宋_GBK" w:cs="Times New Roman"/>
          <w:bCs/>
          <w:color w:val="auto"/>
          <w:sz w:val="33"/>
          <w:szCs w:val="33"/>
          <w:lang w:val="en-US" w:eastAsia="zh-CN"/>
        </w:rPr>
        <w:t>21</w:t>
      </w:r>
      <w:r>
        <w:rPr>
          <w:rFonts w:hint="default" w:ascii="Times New Roman" w:hAnsi="Times New Roman" w:eastAsia="方正仿宋_GBK" w:cs="Times New Roman"/>
          <w:color w:val="auto"/>
          <w:kern w:val="0"/>
          <w:sz w:val="33"/>
          <w:szCs w:val="33"/>
          <w:lang w:val="zh-CN"/>
        </w:rPr>
        <w:t>年部门支出与年初预算基本一致，达到预期绩效目标。</w:t>
      </w:r>
    </w:p>
    <w:p w14:paraId="6AA16DE4">
      <w:pPr>
        <w:adjustRightInd w:val="0"/>
        <w:snapToGrid w:val="0"/>
        <w:spacing w:line="560" w:lineRule="exact"/>
        <w:ind w:firstLine="640" w:firstLineChars="200"/>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（二）存在问题。</w:t>
      </w:r>
      <w:r>
        <w:rPr>
          <w:rFonts w:hint="default" w:ascii="Times New Roman" w:hAnsi="Times New Roman" w:eastAsia="方正仿宋_GBK" w:cs="Times New Roman"/>
          <w:color w:val="auto"/>
          <w:kern w:val="0"/>
          <w:sz w:val="33"/>
          <w:szCs w:val="33"/>
          <w:lang w:val="zh-CN"/>
        </w:rPr>
        <w:t>预算前瞻性不足，细化度不够。</w:t>
      </w:r>
    </w:p>
    <w:p w14:paraId="482A7E71">
      <w:pPr>
        <w:widowControl/>
        <w:numPr>
          <w:ilvl w:val="0"/>
          <w:numId w:val="0"/>
        </w:numPr>
        <w:adjustRightInd w:val="0"/>
        <w:snapToGrid w:val="0"/>
        <w:spacing w:line="540" w:lineRule="exact"/>
        <w:ind w:firstLine="640" w:firstLineChars="200"/>
        <w:jc w:val="left"/>
        <w:rPr>
          <w:rFonts w:hint="default" w:ascii="Times New Roman" w:hAnsi="Times New Roman" w:eastAsia="方正仿宋_GBK" w:cs="Times New Roman"/>
          <w:color w:val="000000"/>
          <w:kern w:val="0"/>
          <w:sz w:val="33"/>
          <w:szCs w:val="33"/>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（三）改进建议。</w:t>
      </w:r>
      <w:r>
        <w:rPr>
          <w:rFonts w:hint="default" w:ascii="Times New Roman" w:hAnsi="Times New Roman" w:eastAsia="方正仿宋_GBK" w:cs="Times New Roman"/>
          <w:b w:val="0"/>
          <w:bCs w:val="0"/>
          <w:color w:val="000000"/>
          <w:kern w:val="0"/>
          <w:sz w:val="33"/>
          <w:szCs w:val="33"/>
          <w:shd w:val="clear" w:color="auto" w:fill="FFFFFF"/>
          <w:lang w:val="zh-CN" w:eastAsia="zh-CN"/>
        </w:rPr>
        <w:t>1.</w:t>
      </w:r>
      <w:r>
        <w:rPr>
          <w:rFonts w:hint="default" w:ascii="Times New Roman" w:hAnsi="Times New Roman" w:eastAsia="方正仿宋_GBK" w:cs="Times New Roman"/>
          <w:color w:val="000000"/>
          <w:kern w:val="0"/>
          <w:sz w:val="33"/>
          <w:szCs w:val="33"/>
          <w:shd w:val="clear" w:color="auto" w:fill="FFFFFF"/>
          <w:lang w:val="zh-CN"/>
        </w:rPr>
        <w:t>进一步加强财务法规制度的学习，提高思想认识，坚持先有预算、后有支出，没有预算不得支出的支出理念。</w:t>
      </w:r>
    </w:p>
    <w:p w14:paraId="0F398F5B">
      <w:pPr>
        <w:widowControl/>
        <w:adjustRightInd w:val="0"/>
        <w:snapToGrid w:val="0"/>
        <w:spacing w:line="540" w:lineRule="exact"/>
        <w:jc w:val="left"/>
        <w:rPr>
          <w:rFonts w:hint="default" w:ascii="Times New Roman" w:hAnsi="Times New Roman" w:eastAsia="方正仿宋_GBK" w:cs="Times New Roman"/>
          <w:color w:val="000000"/>
          <w:kern w:val="0"/>
          <w:sz w:val="33"/>
          <w:szCs w:val="33"/>
          <w:shd w:val="clear" w:color="auto" w:fill="FFFFFF"/>
          <w:lang w:val="zh-CN"/>
        </w:rPr>
      </w:pPr>
      <w:r>
        <w:rPr>
          <w:rFonts w:hint="default" w:ascii="Times New Roman" w:hAnsi="Times New Roman" w:eastAsia="方正仿宋_GBK" w:cs="Times New Roman"/>
          <w:b w:val="0"/>
          <w:bCs w:val="0"/>
          <w:color w:val="000000"/>
          <w:kern w:val="0"/>
          <w:sz w:val="33"/>
          <w:szCs w:val="33"/>
          <w:shd w:val="clear" w:color="auto" w:fill="FFFFFF"/>
          <w:lang w:val="en-US" w:eastAsia="zh-CN"/>
        </w:rPr>
        <w:t xml:space="preserve">    </w:t>
      </w:r>
      <w:r>
        <w:rPr>
          <w:rFonts w:hint="default" w:ascii="Times New Roman" w:hAnsi="Times New Roman" w:eastAsia="方正仿宋_GBK" w:cs="Times New Roman"/>
          <w:b w:val="0"/>
          <w:bCs w:val="0"/>
          <w:color w:val="000000"/>
          <w:kern w:val="0"/>
          <w:sz w:val="33"/>
          <w:szCs w:val="33"/>
          <w:shd w:val="clear" w:color="auto" w:fill="FFFFFF"/>
          <w:lang w:val="zh-CN" w:eastAsia="zh-CN"/>
        </w:rPr>
        <w:t>2.</w:t>
      </w:r>
      <w:r>
        <w:rPr>
          <w:rFonts w:hint="default" w:ascii="Times New Roman" w:hAnsi="Times New Roman" w:eastAsia="方正仿宋_GBK" w:cs="Times New Roman"/>
          <w:color w:val="000000"/>
          <w:kern w:val="0"/>
          <w:sz w:val="33"/>
          <w:szCs w:val="33"/>
          <w:shd w:val="clear" w:color="auto" w:fill="FFFFFF"/>
          <w:lang w:val="zh-CN"/>
        </w:rPr>
        <w:t>进一步加强预算编制工作，细化预算指标，提高预算科学性。加强预算执行管理，做好预算执行分析，掌握预算执行进度，及时找出预算实际执行情况与预算目标之间存在的差异，采取有效措施纠正偏差，提高预算支出执行效率。</w:t>
      </w:r>
    </w:p>
    <w:p w14:paraId="47128838">
      <w:pPr>
        <w:widowControl/>
        <w:adjustRightInd w:val="0"/>
        <w:snapToGrid w:val="0"/>
        <w:spacing w:line="540" w:lineRule="exact"/>
        <w:ind w:firstLine="720"/>
        <w:jc w:val="left"/>
        <w:rPr>
          <w:rFonts w:hint="default" w:ascii="Times New Roman" w:hAnsi="Times New Roman" w:eastAsia="方正仿宋_GBK" w:cs="Times New Roman"/>
          <w:color w:val="000000"/>
          <w:kern w:val="0"/>
          <w:sz w:val="33"/>
          <w:szCs w:val="33"/>
          <w:shd w:val="clear" w:color="auto" w:fill="FFFFFF"/>
          <w:lang w:val="zh-CN"/>
        </w:rPr>
      </w:pPr>
      <w:r>
        <w:rPr>
          <w:rFonts w:hint="default" w:ascii="Times New Roman" w:hAnsi="Times New Roman" w:eastAsia="方正仿宋_GBK" w:cs="Times New Roman"/>
          <w:b w:val="0"/>
          <w:bCs w:val="0"/>
          <w:color w:val="000000"/>
          <w:kern w:val="0"/>
          <w:sz w:val="33"/>
          <w:szCs w:val="33"/>
          <w:shd w:val="clear" w:color="auto" w:fill="FFFFFF"/>
          <w:lang w:val="zh-CN" w:eastAsia="zh-CN"/>
        </w:rPr>
        <w:t>3.</w:t>
      </w:r>
      <w:r>
        <w:rPr>
          <w:rFonts w:hint="default" w:ascii="Times New Roman" w:hAnsi="Times New Roman" w:eastAsia="方正仿宋_GBK" w:cs="Times New Roman"/>
          <w:color w:val="000000"/>
          <w:kern w:val="0"/>
          <w:sz w:val="33"/>
          <w:szCs w:val="33"/>
          <w:shd w:val="clear" w:color="auto" w:fill="FFFFFF"/>
          <w:lang w:val="zh-CN"/>
        </w:rPr>
        <w:t>加强财务培训，提高决算质量，杜绝决算报表和账务不一致的情况发生。</w:t>
      </w:r>
    </w:p>
    <w:p w14:paraId="5415009C">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p>
    <w:p w14:paraId="183297E6">
      <w:pPr>
        <w:pStyle w:val="2"/>
        <w:rPr>
          <w:rFonts w:hint="eastAsia" w:ascii="仿宋_GB2312" w:hAnsi="宋体" w:eastAsia="仿宋_GB2312" w:cs="宋体"/>
          <w:color w:val="auto"/>
          <w:kern w:val="0"/>
          <w:sz w:val="32"/>
          <w:szCs w:val="32"/>
          <w:highlight w:val="none"/>
          <w:shd w:val="clear" w:color="auto" w:fill="FFFFFF"/>
          <w:lang w:val="zh-CN"/>
        </w:rPr>
      </w:pPr>
    </w:p>
    <w:p w14:paraId="4D25EEFD">
      <w:pPr>
        <w:pStyle w:val="2"/>
        <w:rPr>
          <w:rFonts w:hint="eastAsia" w:ascii="仿宋_GB2312" w:hAnsi="宋体" w:eastAsia="仿宋_GB2312" w:cs="宋体"/>
          <w:color w:val="auto"/>
          <w:kern w:val="0"/>
          <w:sz w:val="32"/>
          <w:szCs w:val="32"/>
          <w:highlight w:val="none"/>
          <w:shd w:val="clear" w:color="auto" w:fill="FFFFFF"/>
          <w:lang w:val="zh-CN"/>
        </w:rPr>
      </w:pPr>
    </w:p>
    <w:p w14:paraId="60F2B8A4">
      <w:pPr>
        <w:pStyle w:val="2"/>
        <w:rPr>
          <w:rFonts w:hint="eastAsia" w:ascii="仿宋_GB2312" w:hAnsi="宋体" w:eastAsia="仿宋_GB2312" w:cs="宋体"/>
          <w:color w:val="auto"/>
          <w:kern w:val="0"/>
          <w:sz w:val="32"/>
          <w:szCs w:val="32"/>
          <w:highlight w:val="none"/>
          <w:shd w:val="clear" w:color="auto" w:fill="FFFFFF"/>
          <w:lang w:val="zh-CN"/>
        </w:rPr>
      </w:pPr>
    </w:p>
    <w:p w14:paraId="4276002E">
      <w:pPr>
        <w:pStyle w:val="2"/>
        <w:rPr>
          <w:rFonts w:hint="eastAsia" w:ascii="仿宋_GB2312" w:hAnsi="宋体" w:eastAsia="仿宋_GB2312" w:cs="宋体"/>
          <w:color w:val="auto"/>
          <w:kern w:val="0"/>
          <w:sz w:val="32"/>
          <w:szCs w:val="32"/>
          <w:highlight w:val="none"/>
          <w:shd w:val="clear" w:color="auto" w:fill="FFFFFF"/>
          <w:lang w:val="zh-CN"/>
        </w:rPr>
      </w:pPr>
    </w:p>
    <w:p w14:paraId="1FC141E4">
      <w:pPr>
        <w:pStyle w:val="2"/>
        <w:rPr>
          <w:rFonts w:hint="eastAsia" w:ascii="仿宋_GB2312" w:hAnsi="宋体" w:eastAsia="仿宋_GB2312" w:cs="宋体"/>
          <w:color w:val="auto"/>
          <w:kern w:val="0"/>
          <w:sz w:val="32"/>
          <w:szCs w:val="32"/>
          <w:highlight w:val="none"/>
          <w:shd w:val="clear" w:color="auto" w:fill="FFFFFF"/>
          <w:lang w:val="zh-CN"/>
        </w:rPr>
      </w:pPr>
    </w:p>
    <w:p w14:paraId="365AEFA3">
      <w:pPr>
        <w:pStyle w:val="2"/>
        <w:rPr>
          <w:rFonts w:hint="eastAsia" w:ascii="仿宋_GB2312" w:hAnsi="宋体" w:eastAsia="仿宋_GB2312" w:cs="宋体"/>
          <w:color w:val="auto"/>
          <w:kern w:val="0"/>
          <w:sz w:val="32"/>
          <w:szCs w:val="32"/>
          <w:highlight w:val="none"/>
          <w:shd w:val="clear" w:color="auto" w:fill="FFFFFF"/>
          <w:lang w:val="zh-CN"/>
        </w:rPr>
      </w:pPr>
    </w:p>
    <w:p w14:paraId="459D2BAC">
      <w:pPr>
        <w:pStyle w:val="2"/>
        <w:rPr>
          <w:rFonts w:hint="eastAsia" w:ascii="仿宋_GB2312" w:hAnsi="宋体" w:eastAsia="仿宋_GB2312" w:cs="宋体"/>
          <w:color w:val="auto"/>
          <w:kern w:val="0"/>
          <w:sz w:val="32"/>
          <w:szCs w:val="32"/>
          <w:highlight w:val="none"/>
          <w:shd w:val="clear" w:color="auto" w:fill="FFFFFF"/>
          <w:lang w:val="zh-CN"/>
        </w:rPr>
      </w:pPr>
    </w:p>
    <w:p w14:paraId="0997E417">
      <w:pPr>
        <w:pStyle w:val="2"/>
        <w:rPr>
          <w:rFonts w:hint="eastAsia" w:hAnsi="宋体" w:cs="宋体"/>
          <w:color w:val="auto"/>
          <w:kern w:val="0"/>
          <w:sz w:val="32"/>
          <w:szCs w:val="32"/>
          <w:highlight w:val="none"/>
          <w:shd w:val="clear" w:color="auto" w:fill="FFFFFF"/>
          <w:lang w:val="zh-CN"/>
        </w:rPr>
      </w:pPr>
    </w:p>
    <w:p w14:paraId="771C5316">
      <w:pPr>
        <w:pStyle w:val="2"/>
        <w:rPr>
          <w:rFonts w:hint="eastAsia"/>
          <w:color w:val="auto"/>
          <w:highlight w:val="none"/>
          <w:lang w:val="zh-CN"/>
        </w:rPr>
      </w:pPr>
      <w:r>
        <w:rPr>
          <w:rFonts w:hint="eastAsia" w:hAnsi="宋体" w:cs="宋体"/>
          <w:color w:val="auto"/>
          <w:kern w:val="0"/>
          <w:sz w:val="32"/>
          <w:szCs w:val="32"/>
          <w:highlight w:val="none"/>
          <w:shd w:val="clear" w:color="auto" w:fill="FFFFFF"/>
          <w:lang w:val="zh-CN"/>
        </w:rPr>
        <w:t>附件</w:t>
      </w:r>
    </w:p>
    <w:p w14:paraId="29DBB617">
      <w:pPr>
        <w:spacing w:line="600" w:lineRule="exact"/>
        <w:jc w:val="center"/>
        <w:rPr>
          <w:rFonts w:hint="eastAsia" w:eastAsia="方正小标宋简体" w:cs="Times New Roman"/>
          <w:color w:val="auto"/>
          <w:kern w:val="0"/>
          <w:sz w:val="44"/>
          <w:szCs w:val="44"/>
          <w:lang w:eastAsia="zh-CN"/>
        </w:rPr>
      </w:pPr>
      <w:r>
        <w:rPr>
          <w:rFonts w:hint="eastAsia" w:ascii="Times New Roman" w:hAnsi="Times New Roman" w:eastAsia="方正小标宋简体" w:cs="Times New Roman"/>
          <w:color w:val="auto"/>
          <w:kern w:val="0"/>
          <w:sz w:val="44"/>
          <w:szCs w:val="44"/>
          <w:lang w:val="en-US" w:eastAsia="zh-CN"/>
        </w:rPr>
        <w:t>2021年</w:t>
      </w:r>
      <w:r>
        <w:rPr>
          <w:rFonts w:hint="default" w:ascii="Times New Roman" w:hAnsi="Times New Roman" w:eastAsia="方正小标宋简体" w:cs="Times New Roman"/>
          <w:color w:val="auto"/>
          <w:kern w:val="0"/>
          <w:sz w:val="44"/>
          <w:szCs w:val="44"/>
        </w:rPr>
        <w:t>“两纲”专项工作</w:t>
      </w:r>
      <w:r>
        <w:rPr>
          <w:rFonts w:hint="default" w:ascii="Times New Roman" w:hAnsi="Times New Roman" w:eastAsia="方正小标宋简体" w:cs="Times New Roman"/>
          <w:color w:val="auto"/>
          <w:kern w:val="0"/>
          <w:sz w:val="44"/>
          <w:szCs w:val="44"/>
          <w:lang w:eastAsia="zh-CN"/>
        </w:rPr>
        <w:t>经费</w:t>
      </w:r>
      <w:r>
        <w:rPr>
          <w:rFonts w:hint="eastAsia" w:eastAsia="方正小标宋简体" w:cs="Times New Roman"/>
          <w:color w:val="auto"/>
          <w:kern w:val="0"/>
          <w:sz w:val="44"/>
          <w:szCs w:val="44"/>
          <w:lang w:eastAsia="zh-CN"/>
        </w:rPr>
        <w:t>支出绩效</w:t>
      </w:r>
    </w:p>
    <w:p w14:paraId="1B176FFB">
      <w:pPr>
        <w:spacing w:line="600" w:lineRule="exact"/>
        <w:jc w:val="center"/>
        <w:rPr>
          <w:rFonts w:hint="default" w:ascii="Times New Roman" w:hAnsi="Times New Roman" w:cs="Times New Roman"/>
          <w:color w:val="auto"/>
          <w:sz w:val="32"/>
          <w:szCs w:val="32"/>
          <w:lang w:val="zh-CN"/>
        </w:rPr>
      </w:pPr>
      <w:r>
        <w:rPr>
          <w:rFonts w:hint="eastAsia" w:eastAsia="方正小标宋简体" w:cs="Times New Roman"/>
          <w:color w:val="auto"/>
          <w:kern w:val="0"/>
          <w:sz w:val="44"/>
          <w:szCs w:val="44"/>
          <w:lang w:val="zh-CN"/>
        </w:rPr>
        <w:t>自评</w:t>
      </w:r>
      <w:r>
        <w:rPr>
          <w:rFonts w:hint="default" w:ascii="Times New Roman" w:hAnsi="Times New Roman" w:eastAsia="方正小标宋简体" w:cs="Times New Roman"/>
          <w:color w:val="auto"/>
          <w:kern w:val="0"/>
          <w:sz w:val="44"/>
          <w:szCs w:val="44"/>
          <w:lang w:val="zh-CN"/>
        </w:rPr>
        <w:t>报告</w:t>
      </w:r>
    </w:p>
    <w:p w14:paraId="7B611F30">
      <w:pPr>
        <w:keepNext w:val="0"/>
        <w:keepLines w:val="0"/>
        <w:pageBreakBefore w:val="0"/>
        <w:widowControl w:val="0"/>
        <w:kinsoku/>
        <w:wordWrap/>
        <w:overflowPunct/>
        <w:topLinePunct w:val="0"/>
        <w:autoSpaceDE/>
        <w:autoSpaceDN/>
        <w:bidi w:val="0"/>
        <w:spacing w:line="600" w:lineRule="exact"/>
        <w:ind w:firstLine="883"/>
        <w:jc w:val="center"/>
        <w:textAlignment w:val="auto"/>
        <w:rPr>
          <w:rFonts w:ascii="仿宋_GB2312" w:hAnsi="宋体" w:eastAsia="仿宋_GB2312" w:cs="Times New Roman"/>
          <w:color w:val="auto"/>
          <w:kern w:val="2"/>
          <w:sz w:val="32"/>
          <w:szCs w:val="32"/>
          <w:highlight w:val="none"/>
          <w:lang w:val="zh-CN" w:eastAsia="zh-CN" w:bidi="ar-SA"/>
        </w:rPr>
      </w:pPr>
    </w:p>
    <w:p w14:paraId="5481D372">
      <w:pPr>
        <w:adjustRightInd w:val="0"/>
        <w:snapToGrid w:val="0"/>
        <w:spacing w:line="600" w:lineRule="exact"/>
        <w:ind w:firstLine="960" w:firstLineChars="300"/>
        <w:rPr>
          <w:rFonts w:hint="default" w:ascii="Times New Roman" w:hAnsi="Times New Roman" w:eastAsia="黑体" w:cs="Times New Roman"/>
          <w:color w:val="auto"/>
          <w:sz w:val="32"/>
          <w:szCs w:val="32"/>
          <w:lang w:val="zh-CN"/>
        </w:rPr>
      </w:pPr>
      <w:r>
        <w:rPr>
          <w:rFonts w:hint="default" w:ascii="Times New Roman" w:hAnsi="Times New Roman" w:eastAsia="黑体" w:cs="Times New Roman"/>
          <w:color w:val="auto"/>
          <w:sz w:val="32"/>
          <w:szCs w:val="32"/>
        </w:rPr>
        <w:t>一、</w:t>
      </w:r>
      <w:r>
        <w:rPr>
          <w:rFonts w:hint="default" w:ascii="Times New Roman" w:hAnsi="Times New Roman" w:eastAsia="黑体" w:cs="Times New Roman"/>
          <w:color w:val="auto"/>
          <w:sz w:val="32"/>
          <w:szCs w:val="32"/>
          <w:lang w:val="zh-CN"/>
        </w:rPr>
        <w:t>项目概况</w:t>
      </w:r>
    </w:p>
    <w:p w14:paraId="54E4473D">
      <w:pPr>
        <w:adjustRightInd w:val="0"/>
        <w:snapToGrid w:val="0"/>
        <w:spacing w:line="600" w:lineRule="exact"/>
        <w:ind w:firstLine="720"/>
        <w:rPr>
          <w:rFonts w:hint="default" w:ascii="Times New Roman" w:hAnsi="Times New Roman" w:eastAsia="楷体_GB2312" w:cs="Times New Roman"/>
          <w:b/>
          <w:color w:val="auto"/>
          <w:sz w:val="32"/>
          <w:szCs w:val="32"/>
          <w:lang w:val="zh-CN"/>
        </w:rPr>
      </w:pPr>
      <w:r>
        <w:rPr>
          <w:rFonts w:hint="default" w:ascii="Times New Roman" w:hAnsi="Times New Roman" w:eastAsia="楷体_GB2312" w:cs="Times New Roman"/>
          <w:b/>
          <w:color w:val="auto"/>
          <w:sz w:val="32"/>
          <w:szCs w:val="32"/>
          <w:lang w:val="zh-CN"/>
        </w:rPr>
        <w:t>（一）项目基本情况。</w:t>
      </w:r>
    </w:p>
    <w:p w14:paraId="7C1BD173">
      <w:pPr>
        <w:adjustRightInd w:val="0"/>
        <w:snapToGrid w:val="0"/>
        <w:spacing w:line="600" w:lineRule="exact"/>
        <w:ind w:firstLine="72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按照川妇儿工委[2012]6号文件规定：省级两纲示范县妇儿工委办公室工作经费每年在</w:t>
      </w:r>
      <w:r>
        <w:rPr>
          <w:rFonts w:hint="default" w:ascii="Times New Roman" w:hAnsi="Times New Roman" w:eastAsia="方正仿宋_GBK" w:cs="Times New Roman"/>
          <w:color w:val="auto"/>
          <w:sz w:val="32"/>
          <w:szCs w:val="32"/>
          <w:lang w:val="en-US" w:eastAsia="zh-CN"/>
        </w:rPr>
        <w:t>4.5</w:t>
      </w:r>
      <w:r>
        <w:rPr>
          <w:rFonts w:hint="default" w:ascii="Times New Roman" w:hAnsi="Times New Roman" w:eastAsia="方正仿宋_GBK" w:cs="Times New Roman"/>
          <w:color w:val="auto"/>
          <w:sz w:val="32"/>
          <w:szCs w:val="32"/>
        </w:rPr>
        <w:t>万元以上，纳入财政年度预算，米易县是攀枝花市政府妇儿工委指定上报的全市唯一</w:t>
      </w:r>
      <w:r>
        <w:rPr>
          <w:rFonts w:hint="default" w:ascii="Times New Roman" w:hAnsi="Times New Roman" w:eastAsia="方正仿宋_GBK" w:cs="Times New Roman"/>
          <w:color w:val="auto"/>
          <w:sz w:val="32"/>
          <w:szCs w:val="32"/>
          <w:lang w:eastAsia="zh-CN"/>
        </w:rPr>
        <w:t>一</w:t>
      </w:r>
      <w:r>
        <w:rPr>
          <w:rFonts w:hint="default" w:ascii="Times New Roman" w:hAnsi="Times New Roman" w:eastAsia="方正仿宋_GBK" w:cs="Times New Roman"/>
          <w:color w:val="auto"/>
          <w:sz w:val="32"/>
          <w:szCs w:val="32"/>
        </w:rPr>
        <w:t>个省级两纲示范县。</w:t>
      </w:r>
      <w:r>
        <w:rPr>
          <w:rFonts w:hint="default" w:ascii="Times New Roman" w:hAnsi="Times New Roman" w:eastAsia="方正仿宋_GBK" w:cs="Times New Roman"/>
          <w:color w:val="auto"/>
          <w:sz w:val="33"/>
          <w:szCs w:val="33"/>
        </w:rPr>
        <w:t>该项目</w:t>
      </w:r>
      <w:r>
        <w:rPr>
          <w:rFonts w:hint="default" w:ascii="Times New Roman" w:hAnsi="Times New Roman" w:eastAsia="仿宋_GB2312" w:cs="Times New Roman"/>
          <w:color w:val="auto"/>
          <w:sz w:val="32"/>
          <w:szCs w:val="32"/>
          <w:lang w:val="zh-CN"/>
        </w:rPr>
        <w:t>申报内容与实际相符，申报目标合理可行，项目绩效自评不存在问题。</w:t>
      </w:r>
    </w:p>
    <w:p w14:paraId="79CA221E">
      <w:pPr>
        <w:adjustRightInd w:val="0"/>
        <w:snapToGrid w:val="0"/>
        <w:spacing w:line="600" w:lineRule="exact"/>
        <w:ind w:firstLine="72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二、项目资金申报及使用情况</w:t>
      </w:r>
    </w:p>
    <w:p w14:paraId="54FEAD70">
      <w:pPr>
        <w:adjustRightInd w:val="0"/>
        <w:snapToGrid w:val="0"/>
        <w:spacing w:line="600" w:lineRule="exact"/>
        <w:ind w:firstLine="720"/>
        <w:rPr>
          <w:rFonts w:hint="default" w:ascii="Times New Roman" w:hAnsi="Times New Roman" w:eastAsia="仿宋_GB2312" w:cs="Times New Roman"/>
          <w:color w:val="auto"/>
          <w:sz w:val="32"/>
          <w:szCs w:val="32"/>
          <w:lang w:val="zh-CN"/>
        </w:rPr>
      </w:pPr>
      <w:r>
        <w:rPr>
          <w:rFonts w:hint="default" w:ascii="Times New Roman" w:hAnsi="Times New Roman" w:eastAsia="方正仿宋_GBK" w:cs="Times New Roman"/>
          <w:color w:val="auto"/>
          <w:sz w:val="33"/>
          <w:szCs w:val="33"/>
          <w:lang w:eastAsia="zh-CN"/>
        </w:rPr>
        <w:t>项目</w:t>
      </w:r>
      <w:r>
        <w:rPr>
          <w:rFonts w:hint="default" w:ascii="Times New Roman" w:hAnsi="Times New Roman" w:eastAsia="方正仿宋_GBK" w:cs="Times New Roman"/>
          <w:color w:val="auto"/>
          <w:sz w:val="33"/>
          <w:szCs w:val="33"/>
        </w:rPr>
        <w:t>资金由县财政解决</w:t>
      </w:r>
      <w:r>
        <w:rPr>
          <w:rFonts w:hint="default" w:ascii="Times New Roman" w:hAnsi="Times New Roman" w:eastAsia="方正仿宋_GBK" w:cs="Times New Roman"/>
          <w:color w:val="auto"/>
          <w:sz w:val="33"/>
          <w:szCs w:val="33"/>
          <w:lang w:val="en-US" w:eastAsia="zh-CN"/>
        </w:rPr>
        <w:t>4.5</w:t>
      </w:r>
      <w:r>
        <w:rPr>
          <w:rFonts w:hint="default" w:ascii="Times New Roman" w:hAnsi="Times New Roman" w:eastAsia="方正仿宋_GBK" w:cs="Times New Roman"/>
          <w:color w:val="auto"/>
          <w:sz w:val="33"/>
          <w:szCs w:val="33"/>
        </w:rPr>
        <w:t>万元，</w:t>
      </w:r>
      <w:r>
        <w:rPr>
          <w:rFonts w:hint="default" w:ascii="Times New Roman" w:hAnsi="Times New Roman" w:eastAsia="仿宋_GB2312" w:cs="Times New Roman"/>
          <w:color w:val="auto"/>
          <w:sz w:val="32"/>
          <w:szCs w:val="32"/>
          <w:lang w:val="zh-CN"/>
        </w:rPr>
        <w:t>资金支付范围、支付标准、支付进度、支付依据等都合规合法、与预算相符。县妇联财务管理制度健全，严格执行财务管理制度，账务处理及时，会计核算规范。</w:t>
      </w:r>
    </w:p>
    <w:p w14:paraId="6F0367EF">
      <w:pPr>
        <w:adjustRightInd w:val="0"/>
        <w:snapToGrid w:val="0"/>
        <w:spacing w:line="600" w:lineRule="exact"/>
        <w:ind w:firstLine="72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三、项目实施及管理情况</w:t>
      </w:r>
    </w:p>
    <w:p w14:paraId="17676ECB">
      <w:pPr>
        <w:adjustRightInd w:val="0"/>
        <w:snapToGrid w:val="0"/>
        <w:spacing w:line="600" w:lineRule="exact"/>
        <w:ind w:firstLine="720"/>
        <w:rPr>
          <w:rFonts w:hint="default" w:ascii="Times New Roman" w:hAnsi="Times New Roman" w:eastAsia="方正仿宋_GBK" w:cs="Times New Roman"/>
          <w:color w:val="auto"/>
          <w:sz w:val="33"/>
          <w:szCs w:val="33"/>
        </w:rPr>
      </w:pPr>
      <w:r>
        <w:rPr>
          <w:rFonts w:hint="default" w:ascii="Times New Roman" w:hAnsi="Times New Roman" w:eastAsia="方正仿宋_GBK" w:cs="Times New Roman"/>
          <w:color w:val="auto"/>
          <w:sz w:val="33"/>
          <w:szCs w:val="33"/>
          <w:lang w:eastAsia="zh-CN"/>
        </w:rPr>
        <w:t>项目</w:t>
      </w:r>
      <w:r>
        <w:rPr>
          <w:rFonts w:hint="default" w:ascii="Times New Roman" w:hAnsi="Times New Roman" w:eastAsia="方正仿宋_GBK" w:cs="Times New Roman"/>
          <w:color w:val="auto"/>
          <w:sz w:val="33"/>
          <w:szCs w:val="33"/>
        </w:rPr>
        <w:t>经费用于推动两纲工作指标的落实，包括两纲宣传培训、两纲会议、两纲调研等。</w:t>
      </w:r>
    </w:p>
    <w:p w14:paraId="7BCD5B8D">
      <w:pPr>
        <w:adjustRightInd w:val="0"/>
        <w:snapToGrid w:val="0"/>
        <w:spacing w:line="600" w:lineRule="exact"/>
        <w:ind w:firstLine="720"/>
        <w:rPr>
          <w:rFonts w:hint="default" w:ascii="Times New Roman" w:hAnsi="Times New Roman" w:eastAsia="仿宋_GB2312" w:cs="Times New Roman"/>
          <w:color w:val="auto"/>
          <w:sz w:val="32"/>
          <w:szCs w:val="32"/>
          <w:lang w:val="zh-CN"/>
        </w:rPr>
      </w:pPr>
      <w:r>
        <w:rPr>
          <w:rFonts w:hint="default" w:ascii="Times New Roman" w:hAnsi="Times New Roman" w:eastAsia="黑体" w:cs="Times New Roman"/>
          <w:color w:val="auto"/>
          <w:sz w:val="32"/>
          <w:szCs w:val="32"/>
        </w:rPr>
        <w:t>四、项目绩效情况</w:t>
      </w:r>
      <w:r>
        <w:rPr>
          <w:rFonts w:hint="default" w:ascii="Times New Roman" w:hAnsi="Times New Roman" w:eastAsia="仿宋_GB2312" w:cs="Times New Roman"/>
          <w:color w:val="auto"/>
          <w:sz w:val="32"/>
          <w:szCs w:val="32"/>
          <w:lang w:val="zh-CN"/>
        </w:rPr>
        <w:tab/>
      </w:r>
    </w:p>
    <w:p w14:paraId="7B3C3CE5">
      <w:pPr>
        <w:adjustRightInd w:val="0"/>
        <w:snapToGrid w:val="0"/>
        <w:spacing w:line="600" w:lineRule="exact"/>
        <w:ind w:firstLine="720"/>
        <w:rPr>
          <w:rFonts w:hint="default" w:ascii="Times New Roman" w:hAnsi="Times New Roman" w:eastAsia="方正仿宋_GBK" w:cs="Times New Roman"/>
          <w:color w:val="auto"/>
          <w:sz w:val="33"/>
          <w:szCs w:val="33"/>
        </w:rPr>
      </w:pPr>
      <w:r>
        <w:rPr>
          <w:rFonts w:hint="default" w:ascii="Times New Roman" w:hAnsi="Times New Roman" w:eastAsia="方正仿宋_GBK" w:cs="Times New Roman"/>
          <w:color w:val="auto"/>
          <w:sz w:val="33"/>
          <w:szCs w:val="33"/>
        </w:rPr>
        <w:t>促进全县妇女儿童健康发展。</w:t>
      </w:r>
    </w:p>
    <w:p w14:paraId="25308992">
      <w:pPr>
        <w:adjustRightInd w:val="0"/>
        <w:snapToGrid w:val="0"/>
        <w:spacing w:line="600" w:lineRule="exact"/>
        <w:ind w:firstLine="72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五、评价结论及建议</w:t>
      </w:r>
    </w:p>
    <w:p w14:paraId="6B42D5EC">
      <w:pPr>
        <w:adjustRightInd w:val="0"/>
        <w:snapToGrid w:val="0"/>
        <w:spacing w:line="600" w:lineRule="exact"/>
        <w:ind w:firstLine="720"/>
        <w:rPr>
          <w:rFonts w:hint="default" w:ascii="Times New Roman" w:hAnsi="Times New Roman" w:eastAsia="楷体_GB2312" w:cs="Times New Roman"/>
          <w:b/>
          <w:color w:val="auto"/>
          <w:sz w:val="32"/>
          <w:szCs w:val="32"/>
          <w:lang w:val="zh-CN"/>
        </w:rPr>
      </w:pPr>
      <w:r>
        <w:rPr>
          <w:rFonts w:hint="default" w:ascii="Times New Roman" w:hAnsi="Times New Roman" w:eastAsia="楷体_GB2312" w:cs="Times New Roman"/>
          <w:b/>
          <w:color w:val="auto"/>
          <w:sz w:val="32"/>
          <w:szCs w:val="32"/>
          <w:lang w:val="zh-CN"/>
        </w:rPr>
        <w:t>（一）评价结论。</w:t>
      </w:r>
    </w:p>
    <w:p w14:paraId="351FD48B">
      <w:pPr>
        <w:adjustRightInd w:val="0"/>
        <w:snapToGrid w:val="0"/>
        <w:spacing w:line="600" w:lineRule="exact"/>
        <w:ind w:firstLine="720"/>
        <w:rPr>
          <w:rFonts w:hint="default" w:ascii="Times New Roman" w:hAnsi="Times New Roman" w:eastAsia="方正仿宋_GBK" w:cs="Times New Roman"/>
          <w:color w:val="auto"/>
          <w:sz w:val="33"/>
          <w:szCs w:val="33"/>
          <w:lang w:val="zh-CN"/>
        </w:rPr>
      </w:pPr>
      <w:r>
        <w:rPr>
          <w:rFonts w:hint="default" w:ascii="Times New Roman" w:hAnsi="Times New Roman" w:eastAsia="方正仿宋_GBK" w:cs="Times New Roman"/>
          <w:color w:val="auto"/>
          <w:sz w:val="33"/>
          <w:szCs w:val="33"/>
          <w:lang w:val="zh-CN"/>
        </w:rPr>
        <w:t>项目实施圆满完成两纲终期评估各项指标任务。</w:t>
      </w:r>
    </w:p>
    <w:p w14:paraId="298885F2">
      <w:pPr>
        <w:adjustRightInd w:val="0"/>
        <w:snapToGrid w:val="0"/>
        <w:spacing w:line="600" w:lineRule="exact"/>
        <w:ind w:firstLine="720"/>
        <w:rPr>
          <w:rFonts w:hint="default" w:ascii="Times New Roman" w:hAnsi="Times New Roman" w:eastAsia="楷体_GB2312" w:cs="Times New Roman"/>
          <w:b/>
          <w:color w:val="auto"/>
          <w:sz w:val="32"/>
          <w:szCs w:val="32"/>
          <w:lang w:val="zh-CN"/>
        </w:rPr>
      </w:pPr>
      <w:r>
        <w:rPr>
          <w:rFonts w:hint="default" w:ascii="Times New Roman" w:hAnsi="Times New Roman" w:eastAsia="楷体_GB2312" w:cs="Times New Roman"/>
          <w:b/>
          <w:color w:val="auto"/>
          <w:sz w:val="32"/>
          <w:szCs w:val="32"/>
          <w:lang w:val="zh-CN"/>
        </w:rPr>
        <w:t>（二）存在的问题。</w:t>
      </w:r>
    </w:p>
    <w:p w14:paraId="78A4A398">
      <w:pPr>
        <w:adjustRightInd w:val="0"/>
        <w:snapToGrid w:val="0"/>
        <w:spacing w:line="600" w:lineRule="exact"/>
        <w:ind w:firstLine="720"/>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zh-CN"/>
        </w:rPr>
        <w:t>无</w:t>
      </w:r>
    </w:p>
    <w:p w14:paraId="2260F93A">
      <w:pPr>
        <w:adjustRightInd w:val="0"/>
        <w:snapToGrid w:val="0"/>
        <w:spacing w:line="600" w:lineRule="exact"/>
        <w:ind w:firstLine="720"/>
        <w:rPr>
          <w:rFonts w:hint="default" w:ascii="Times New Roman" w:hAnsi="Times New Roman" w:eastAsia="楷体_GB2312" w:cs="Times New Roman"/>
          <w:b/>
          <w:color w:val="auto"/>
          <w:sz w:val="32"/>
          <w:szCs w:val="32"/>
          <w:lang w:val="zh-CN"/>
        </w:rPr>
      </w:pPr>
      <w:r>
        <w:rPr>
          <w:rFonts w:hint="default" w:ascii="Times New Roman" w:hAnsi="Times New Roman" w:eastAsia="楷体_GB2312" w:cs="Times New Roman"/>
          <w:b/>
          <w:color w:val="auto"/>
          <w:sz w:val="32"/>
          <w:szCs w:val="32"/>
          <w:lang w:val="zh-CN"/>
        </w:rPr>
        <w:t>（三）相关建议。</w:t>
      </w:r>
    </w:p>
    <w:p w14:paraId="319B49ED">
      <w:pPr>
        <w:spacing w:line="580" w:lineRule="exact"/>
        <w:ind w:firstLine="640"/>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zh-CN"/>
        </w:rPr>
        <w:t>无</w:t>
      </w:r>
    </w:p>
    <w:p w14:paraId="6B56E2E1">
      <w:pPr>
        <w:spacing w:line="580" w:lineRule="exact"/>
        <w:rPr>
          <w:rFonts w:hint="default" w:ascii="Times New Roman" w:hAnsi="Times New Roman" w:eastAsia="黑体" w:cs="Times New Roman"/>
          <w:color w:val="0000FF"/>
          <w:sz w:val="32"/>
          <w:szCs w:val="32"/>
        </w:rPr>
      </w:pPr>
    </w:p>
    <w:p w14:paraId="46B01C75">
      <w:pPr>
        <w:spacing w:line="580" w:lineRule="exact"/>
        <w:rPr>
          <w:rFonts w:hint="default" w:ascii="Times New Roman" w:hAnsi="Times New Roman" w:eastAsia="黑体" w:cs="Times New Roman"/>
          <w:color w:val="0000FF"/>
          <w:sz w:val="32"/>
          <w:szCs w:val="32"/>
        </w:rPr>
      </w:pPr>
    </w:p>
    <w:p w14:paraId="5963BEAD">
      <w:pPr>
        <w:spacing w:line="580" w:lineRule="exact"/>
        <w:rPr>
          <w:rFonts w:hint="default" w:ascii="Times New Roman" w:hAnsi="Times New Roman" w:eastAsia="黑体" w:cs="Times New Roman"/>
          <w:color w:val="0000FF"/>
          <w:sz w:val="32"/>
          <w:szCs w:val="32"/>
        </w:rPr>
      </w:pPr>
    </w:p>
    <w:p w14:paraId="645C3F23">
      <w:pPr>
        <w:spacing w:line="580" w:lineRule="exact"/>
        <w:rPr>
          <w:rFonts w:hint="default" w:ascii="Times New Roman" w:hAnsi="Times New Roman" w:eastAsia="黑体" w:cs="Times New Roman"/>
          <w:color w:val="0000FF"/>
          <w:sz w:val="32"/>
          <w:szCs w:val="32"/>
        </w:rPr>
      </w:pPr>
    </w:p>
    <w:p w14:paraId="21F49339">
      <w:pPr>
        <w:spacing w:line="580" w:lineRule="exact"/>
        <w:rPr>
          <w:rFonts w:hint="default" w:ascii="Times New Roman" w:hAnsi="Times New Roman" w:eastAsia="黑体" w:cs="Times New Roman"/>
          <w:color w:val="auto"/>
          <w:sz w:val="32"/>
          <w:szCs w:val="32"/>
        </w:rPr>
      </w:pPr>
    </w:p>
    <w:p w14:paraId="5E6751B6">
      <w:pPr>
        <w:spacing w:line="580" w:lineRule="exact"/>
        <w:rPr>
          <w:rFonts w:hint="default" w:ascii="Times New Roman" w:hAnsi="Times New Roman" w:eastAsia="黑体" w:cs="Times New Roman"/>
          <w:color w:val="auto"/>
          <w:sz w:val="32"/>
          <w:szCs w:val="32"/>
        </w:rPr>
      </w:pPr>
    </w:p>
    <w:p w14:paraId="60395692">
      <w:pPr>
        <w:spacing w:line="580" w:lineRule="exact"/>
        <w:rPr>
          <w:rFonts w:hint="default" w:ascii="Times New Roman" w:hAnsi="Times New Roman" w:eastAsia="黑体" w:cs="Times New Roman"/>
          <w:color w:val="auto"/>
          <w:sz w:val="32"/>
          <w:szCs w:val="32"/>
        </w:rPr>
      </w:pPr>
    </w:p>
    <w:p w14:paraId="26D99930">
      <w:pPr>
        <w:spacing w:line="580" w:lineRule="exact"/>
        <w:rPr>
          <w:rFonts w:hint="default" w:ascii="Times New Roman" w:hAnsi="Times New Roman" w:eastAsia="黑体" w:cs="Times New Roman"/>
          <w:color w:val="auto"/>
          <w:sz w:val="32"/>
          <w:szCs w:val="32"/>
        </w:rPr>
      </w:pPr>
    </w:p>
    <w:p w14:paraId="5FEBB59A">
      <w:pPr>
        <w:spacing w:line="580" w:lineRule="exact"/>
        <w:rPr>
          <w:rFonts w:hint="default" w:ascii="Times New Roman" w:hAnsi="Times New Roman" w:eastAsia="黑体" w:cs="Times New Roman"/>
          <w:color w:val="auto"/>
          <w:sz w:val="32"/>
          <w:szCs w:val="32"/>
        </w:rPr>
      </w:pPr>
    </w:p>
    <w:p w14:paraId="12CF7516">
      <w:pPr>
        <w:spacing w:line="580" w:lineRule="exact"/>
        <w:rPr>
          <w:rFonts w:hint="default" w:ascii="Times New Roman" w:hAnsi="Times New Roman" w:eastAsia="黑体" w:cs="Times New Roman"/>
          <w:color w:val="auto"/>
          <w:sz w:val="32"/>
          <w:szCs w:val="32"/>
        </w:rPr>
      </w:pPr>
    </w:p>
    <w:p w14:paraId="064E096B">
      <w:pPr>
        <w:spacing w:line="580" w:lineRule="exact"/>
        <w:rPr>
          <w:rFonts w:hint="default" w:ascii="Times New Roman" w:hAnsi="Times New Roman" w:eastAsia="黑体" w:cs="Times New Roman"/>
          <w:color w:val="auto"/>
          <w:sz w:val="32"/>
          <w:szCs w:val="32"/>
        </w:rPr>
      </w:pPr>
    </w:p>
    <w:p w14:paraId="674F8BCB">
      <w:pPr>
        <w:spacing w:line="580" w:lineRule="exact"/>
        <w:rPr>
          <w:rFonts w:hint="default" w:ascii="Times New Roman" w:hAnsi="Times New Roman" w:eastAsia="黑体" w:cs="Times New Roman"/>
          <w:color w:val="auto"/>
          <w:sz w:val="32"/>
          <w:szCs w:val="32"/>
        </w:rPr>
      </w:pPr>
    </w:p>
    <w:p w14:paraId="66EF41F0">
      <w:pPr>
        <w:spacing w:line="580" w:lineRule="exact"/>
        <w:rPr>
          <w:rFonts w:hint="default" w:ascii="Times New Roman" w:hAnsi="Times New Roman" w:eastAsia="黑体" w:cs="Times New Roman"/>
          <w:color w:val="auto"/>
          <w:sz w:val="32"/>
          <w:szCs w:val="32"/>
        </w:rPr>
      </w:pPr>
    </w:p>
    <w:p w14:paraId="70773642">
      <w:pPr>
        <w:spacing w:line="580" w:lineRule="exact"/>
        <w:rPr>
          <w:rFonts w:hint="default" w:ascii="Times New Roman" w:hAnsi="Times New Roman" w:eastAsia="黑体" w:cs="Times New Roman"/>
          <w:color w:val="auto"/>
          <w:sz w:val="32"/>
          <w:szCs w:val="32"/>
        </w:rPr>
      </w:pPr>
    </w:p>
    <w:p w14:paraId="164FDEA2">
      <w:pPr>
        <w:spacing w:line="580" w:lineRule="exact"/>
        <w:rPr>
          <w:rFonts w:hint="default" w:ascii="Times New Roman" w:hAnsi="Times New Roman" w:eastAsia="黑体" w:cs="Times New Roman"/>
          <w:color w:val="auto"/>
          <w:sz w:val="32"/>
          <w:szCs w:val="32"/>
        </w:rPr>
      </w:pPr>
    </w:p>
    <w:p w14:paraId="379B5EFF">
      <w:pPr>
        <w:spacing w:line="580" w:lineRule="exact"/>
        <w:rPr>
          <w:rFonts w:hint="default" w:ascii="Times New Roman" w:hAnsi="Times New Roman" w:eastAsia="黑体" w:cs="Times New Roman"/>
          <w:color w:val="auto"/>
          <w:sz w:val="32"/>
          <w:szCs w:val="32"/>
        </w:rPr>
      </w:pPr>
    </w:p>
    <w:p w14:paraId="082189C3">
      <w:pPr>
        <w:spacing w:line="580" w:lineRule="exact"/>
        <w:rPr>
          <w:rFonts w:hint="default" w:ascii="Times New Roman" w:hAnsi="Times New Roman" w:eastAsia="黑体" w:cs="Times New Roman"/>
          <w:color w:val="auto"/>
          <w:sz w:val="32"/>
          <w:szCs w:val="32"/>
        </w:rPr>
      </w:pPr>
    </w:p>
    <w:p w14:paraId="2A96E378">
      <w:pPr>
        <w:spacing w:line="580" w:lineRule="exact"/>
        <w:rPr>
          <w:rFonts w:hint="default" w:ascii="Times New Roman" w:hAnsi="Times New Roman" w:eastAsia="黑体" w:cs="Times New Roman"/>
          <w:color w:val="auto"/>
          <w:sz w:val="32"/>
          <w:szCs w:val="32"/>
        </w:rPr>
      </w:pPr>
    </w:p>
    <w:p w14:paraId="727ABC03">
      <w:pPr>
        <w:spacing w:line="580" w:lineRule="exact"/>
        <w:rPr>
          <w:rFonts w:hint="default" w:ascii="Times New Roman" w:hAnsi="Times New Roman" w:eastAsia="方正小标宋简体" w:cs="Times New Roman"/>
          <w:color w:val="auto"/>
          <w:kern w:val="0"/>
          <w:sz w:val="44"/>
          <w:szCs w:val="44"/>
        </w:rPr>
      </w:pPr>
      <w:r>
        <w:rPr>
          <w:rFonts w:hint="default" w:ascii="Times New Roman" w:hAnsi="Times New Roman" w:eastAsia="黑体" w:cs="Times New Roman"/>
          <w:color w:val="auto"/>
          <w:sz w:val="32"/>
          <w:szCs w:val="32"/>
        </w:rPr>
        <w:t>附件</w:t>
      </w:r>
      <w:r>
        <w:rPr>
          <w:rFonts w:hint="default" w:ascii="Times New Roman" w:hAnsi="Times New Roman" w:eastAsia="黑体" w:cs="Times New Roman"/>
          <w:color w:val="auto"/>
          <w:sz w:val="32"/>
          <w:szCs w:val="32"/>
          <w:lang w:val="en-US" w:eastAsia="zh-CN"/>
        </w:rPr>
        <w:t>3</w:t>
      </w:r>
    </w:p>
    <w:p w14:paraId="77DCF77A">
      <w:pPr>
        <w:spacing w:line="600" w:lineRule="exact"/>
        <w:jc w:val="center"/>
        <w:rPr>
          <w:rFonts w:hint="default" w:ascii="Times New Roman" w:hAnsi="Times New Roman" w:eastAsia="方正小标宋简体" w:cs="Times New Roman"/>
          <w:color w:val="auto"/>
          <w:kern w:val="0"/>
          <w:sz w:val="44"/>
          <w:szCs w:val="44"/>
          <w:lang w:val="zh-CN"/>
        </w:rPr>
      </w:pPr>
      <w:r>
        <w:rPr>
          <w:rFonts w:hint="default" w:ascii="Times New Roman" w:hAnsi="Times New Roman" w:eastAsia="方正小标宋简体" w:cs="Times New Roman"/>
          <w:color w:val="auto"/>
          <w:kern w:val="0"/>
          <w:sz w:val="44"/>
          <w:szCs w:val="44"/>
          <w:lang w:val="en-US" w:eastAsia="zh-CN"/>
        </w:rPr>
        <w:t>妇联专项工作经费（含乡镇妇联工作经费）</w:t>
      </w:r>
      <w:r>
        <w:rPr>
          <w:rFonts w:hint="default" w:ascii="Times New Roman" w:hAnsi="Times New Roman" w:eastAsia="方正小标宋简体" w:cs="Times New Roman"/>
          <w:color w:val="auto"/>
          <w:kern w:val="0"/>
          <w:sz w:val="44"/>
          <w:szCs w:val="44"/>
          <w:lang w:val="zh-CN"/>
        </w:rPr>
        <w:t>项目</w:t>
      </w:r>
      <w:r>
        <w:rPr>
          <w:rFonts w:hint="default" w:ascii="Times New Roman" w:hAnsi="Times New Roman" w:eastAsia="方正小标宋简体" w:cs="Times New Roman"/>
          <w:color w:val="auto"/>
          <w:kern w:val="0"/>
          <w:sz w:val="44"/>
          <w:szCs w:val="44"/>
        </w:rPr>
        <w:t>202</w:t>
      </w:r>
      <w:r>
        <w:rPr>
          <w:rFonts w:hint="default" w:ascii="Times New Roman" w:hAnsi="Times New Roman" w:eastAsia="方正小标宋简体" w:cs="Times New Roman"/>
          <w:color w:val="auto"/>
          <w:kern w:val="0"/>
          <w:sz w:val="44"/>
          <w:szCs w:val="44"/>
          <w:lang w:val="en-US" w:eastAsia="zh-CN"/>
        </w:rPr>
        <w:t>1</w:t>
      </w:r>
      <w:r>
        <w:rPr>
          <w:rFonts w:hint="default" w:ascii="Times New Roman" w:hAnsi="Times New Roman" w:eastAsia="方正小标宋简体" w:cs="Times New Roman"/>
          <w:color w:val="auto"/>
          <w:kern w:val="0"/>
          <w:sz w:val="44"/>
          <w:szCs w:val="44"/>
        </w:rPr>
        <w:t>年</w:t>
      </w:r>
      <w:r>
        <w:rPr>
          <w:rFonts w:hint="default" w:ascii="Times New Roman" w:hAnsi="Times New Roman" w:eastAsia="方正小标宋简体" w:cs="Times New Roman"/>
          <w:color w:val="auto"/>
          <w:kern w:val="0"/>
          <w:sz w:val="44"/>
          <w:szCs w:val="44"/>
          <w:lang w:val="zh-CN"/>
        </w:rPr>
        <w:t>绩效评价报告</w:t>
      </w:r>
    </w:p>
    <w:p w14:paraId="1F518088">
      <w:pPr>
        <w:spacing w:line="600" w:lineRule="exact"/>
        <w:rPr>
          <w:rFonts w:hint="default" w:ascii="Times New Roman" w:hAnsi="Times New Roman" w:cs="Times New Roman"/>
          <w:color w:val="auto"/>
          <w:sz w:val="32"/>
          <w:szCs w:val="32"/>
          <w:lang w:val="zh-CN"/>
        </w:rPr>
      </w:pPr>
    </w:p>
    <w:p w14:paraId="6EC8304C">
      <w:pPr>
        <w:adjustRightInd w:val="0"/>
        <w:snapToGrid w:val="0"/>
        <w:spacing w:line="600" w:lineRule="exact"/>
        <w:ind w:firstLine="720"/>
        <w:rPr>
          <w:rFonts w:hint="default" w:ascii="Times New Roman" w:hAnsi="Times New Roman" w:eastAsia="黑体" w:cs="Times New Roman"/>
          <w:color w:val="auto"/>
          <w:sz w:val="32"/>
          <w:szCs w:val="32"/>
          <w:lang w:val="zh-CN"/>
        </w:rPr>
      </w:pPr>
      <w:r>
        <w:rPr>
          <w:rFonts w:hint="default" w:ascii="Times New Roman" w:hAnsi="Times New Roman" w:eastAsia="黑体" w:cs="Times New Roman"/>
          <w:color w:val="auto"/>
          <w:sz w:val="32"/>
          <w:szCs w:val="32"/>
        </w:rPr>
        <w:t>一、</w:t>
      </w:r>
      <w:r>
        <w:rPr>
          <w:rFonts w:hint="default" w:ascii="Times New Roman" w:hAnsi="Times New Roman" w:eastAsia="黑体" w:cs="Times New Roman"/>
          <w:color w:val="auto"/>
          <w:sz w:val="32"/>
          <w:szCs w:val="32"/>
          <w:lang w:val="zh-CN"/>
        </w:rPr>
        <w:t>项目概况</w:t>
      </w:r>
    </w:p>
    <w:p w14:paraId="7C7194F8">
      <w:pPr>
        <w:numPr>
          <w:ilvl w:val="0"/>
          <w:numId w:val="0"/>
        </w:numPr>
        <w:spacing w:line="600" w:lineRule="exact"/>
        <w:ind w:firstLine="640"/>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val="en-US" w:eastAsia="zh-CN"/>
        </w:rPr>
        <w:t>按照</w:t>
      </w:r>
      <w:r>
        <w:rPr>
          <w:rFonts w:hint="default" w:ascii="Times New Roman" w:hAnsi="Times New Roman" w:eastAsia="仿宋_GB2312" w:cs="Times New Roman"/>
          <w:color w:val="auto"/>
          <w:sz w:val="32"/>
          <w:szCs w:val="32"/>
          <w:shd w:val="clear" w:color="auto" w:fill="FFFFFF"/>
        </w:rPr>
        <w:t>攀委办〔2017〕105号文件规定：县财政按每人每年不</w:t>
      </w:r>
      <w:r>
        <w:rPr>
          <w:rFonts w:hint="default" w:ascii="Times New Roman" w:hAnsi="Times New Roman" w:eastAsia="仿宋_GB2312" w:cs="Times New Roman"/>
          <w:color w:val="auto"/>
          <w:sz w:val="32"/>
          <w:szCs w:val="32"/>
          <w:shd w:val="clear" w:color="auto" w:fill="FFFFFF"/>
          <w:lang w:eastAsia="zh-CN"/>
        </w:rPr>
        <w:t>少</w:t>
      </w:r>
      <w:r>
        <w:rPr>
          <w:rFonts w:hint="default" w:ascii="Times New Roman" w:hAnsi="Times New Roman" w:eastAsia="仿宋_GB2312" w:cs="Times New Roman"/>
          <w:color w:val="auto"/>
          <w:sz w:val="32"/>
          <w:szCs w:val="32"/>
          <w:shd w:val="clear" w:color="auto" w:fill="FFFFFF"/>
        </w:rPr>
        <w:t>于2元标准落实妇联专项工作经费。按照人均2.0元的标准预算，根据公安局提供数据，我县2020年底妇女儿童总人口为15.</w:t>
      </w:r>
      <w:r>
        <w:rPr>
          <w:rFonts w:hint="default" w:ascii="Times New Roman" w:hAnsi="Times New Roman" w:eastAsia="仿宋_GB2312" w:cs="Times New Roman"/>
          <w:color w:val="auto"/>
          <w:sz w:val="32"/>
          <w:szCs w:val="32"/>
          <w:shd w:val="clear" w:color="auto" w:fill="FFFFFF"/>
          <w:lang w:val="en-US" w:eastAsia="zh-CN"/>
        </w:rPr>
        <w:t>6</w:t>
      </w:r>
      <w:r>
        <w:rPr>
          <w:rFonts w:hint="default" w:ascii="Times New Roman" w:hAnsi="Times New Roman" w:eastAsia="仿宋_GB2312" w:cs="Times New Roman"/>
          <w:color w:val="auto"/>
          <w:sz w:val="32"/>
          <w:szCs w:val="32"/>
          <w:shd w:val="clear" w:color="auto" w:fill="FFFFFF"/>
        </w:rPr>
        <w:t>万人，2021年妇联工作专项经费预算总额，不得少于3</w:t>
      </w:r>
      <w:r>
        <w:rPr>
          <w:rFonts w:hint="default" w:ascii="Times New Roman" w:hAnsi="Times New Roman" w:eastAsia="仿宋_GB2312" w:cs="Times New Roman"/>
          <w:color w:val="auto"/>
          <w:sz w:val="32"/>
          <w:szCs w:val="32"/>
          <w:shd w:val="clear" w:color="auto" w:fill="FFFFFF"/>
          <w:lang w:val="en-US" w:eastAsia="zh-CN"/>
        </w:rPr>
        <w:t>1</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val="en-US" w:eastAsia="zh-CN"/>
        </w:rPr>
        <w:t>2</w:t>
      </w:r>
      <w:r>
        <w:rPr>
          <w:rFonts w:hint="default" w:ascii="Times New Roman" w:hAnsi="Times New Roman" w:eastAsia="仿宋_GB2312" w:cs="Times New Roman"/>
          <w:color w:val="auto"/>
          <w:sz w:val="32"/>
          <w:szCs w:val="32"/>
          <w:shd w:val="clear" w:color="auto" w:fill="FFFFFF"/>
        </w:rPr>
        <w:t>万元。按照攀办函〔2015〕67号文件和攀委办〔2017〕105号文件规定，“按照每年不低于3万元的工作经费标准，落实乡镇（街道）妇联工作经费，纳入县（区）级财政预算”。</w:t>
      </w:r>
    </w:p>
    <w:p w14:paraId="4D39649C">
      <w:pPr>
        <w:adjustRightInd w:val="0"/>
        <w:snapToGrid w:val="0"/>
        <w:spacing w:line="600" w:lineRule="exact"/>
        <w:ind w:firstLine="720"/>
        <w:rPr>
          <w:rFonts w:hint="default" w:ascii="Times New Roman" w:hAnsi="Times New Roman" w:eastAsia="方正仿宋_GBK" w:cs="Times New Roman"/>
          <w:color w:val="auto"/>
          <w:sz w:val="33"/>
          <w:szCs w:val="33"/>
        </w:rPr>
      </w:pPr>
      <w:r>
        <w:rPr>
          <w:rFonts w:hint="default" w:ascii="Times New Roman" w:hAnsi="Times New Roman" w:eastAsia="黑体" w:cs="Times New Roman"/>
          <w:color w:val="auto"/>
          <w:sz w:val="32"/>
          <w:szCs w:val="32"/>
        </w:rPr>
        <w:t>二、项目资金申报及使用情况</w:t>
      </w:r>
    </w:p>
    <w:p w14:paraId="2B19031A">
      <w:pPr>
        <w:adjustRightInd w:val="0"/>
        <w:snapToGrid w:val="0"/>
        <w:spacing w:line="600" w:lineRule="exact"/>
        <w:ind w:firstLine="720"/>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lang w:val="en-US" w:eastAsia="zh-CN"/>
        </w:rPr>
        <w:t>妇联专项工作经费（含乡镇妇联工作经费）</w:t>
      </w:r>
      <w:r>
        <w:rPr>
          <w:rFonts w:hint="default" w:ascii="Times New Roman" w:hAnsi="Times New Roman" w:eastAsia="方正仿宋_GBK" w:cs="Times New Roman"/>
          <w:color w:val="auto"/>
          <w:sz w:val="33"/>
          <w:szCs w:val="33"/>
        </w:rPr>
        <w:t>由县财政解决</w:t>
      </w:r>
      <w:r>
        <w:rPr>
          <w:rFonts w:hint="default" w:ascii="Times New Roman" w:hAnsi="Times New Roman" w:eastAsia="方正仿宋_GBK" w:cs="Times New Roman"/>
          <w:color w:val="auto"/>
          <w:sz w:val="33"/>
          <w:szCs w:val="33"/>
          <w:lang w:val="en-US" w:eastAsia="zh-CN"/>
        </w:rPr>
        <w:t>5</w:t>
      </w:r>
      <w:r>
        <w:rPr>
          <w:rFonts w:hint="default" w:ascii="Times New Roman" w:hAnsi="Times New Roman" w:eastAsia="方正仿宋_GBK" w:cs="Times New Roman"/>
          <w:color w:val="auto"/>
          <w:sz w:val="33"/>
          <w:szCs w:val="33"/>
        </w:rPr>
        <w:t>万元，活动</w:t>
      </w:r>
      <w:r>
        <w:rPr>
          <w:rFonts w:hint="default" w:ascii="Times New Roman" w:hAnsi="Times New Roman" w:eastAsia="仿宋_GB2312" w:cs="Times New Roman"/>
          <w:color w:val="auto"/>
          <w:sz w:val="32"/>
          <w:szCs w:val="32"/>
          <w:lang w:val="zh-CN"/>
        </w:rPr>
        <w:t>资金支付范围、支付标准、支付进度、支付依据等都合规合法、与预算相符。县妇联财务管理制度健全，严格执行财务管理制度，账务处理及时，会计核算规范。</w:t>
      </w:r>
    </w:p>
    <w:p w14:paraId="1424E00A">
      <w:pPr>
        <w:adjustRightInd w:val="0"/>
        <w:snapToGrid w:val="0"/>
        <w:spacing w:line="600" w:lineRule="exact"/>
        <w:ind w:firstLine="72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三、项目实施及管理情况</w:t>
      </w:r>
    </w:p>
    <w:p w14:paraId="60338EB9">
      <w:pPr>
        <w:numPr>
          <w:ilvl w:val="0"/>
          <w:numId w:val="0"/>
        </w:numPr>
        <w:spacing w:line="600" w:lineRule="exact"/>
        <w:ind w:firstLine="640" w:firstLineChars="200"/>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lang w:eastAsia="zh-CN"/>
        </w:rPr>
        <w:t>经费用于</w:t>
      </w:r>
      <w:r>
        <w:rPr>
          <w:rFonts w:hint="default" w:ascii="Times New Roman" w:hAnsi="Times New Roman" w:eastAsia="仿宋_GB2312" w:cs="Times New Roman"/>
          <w:color w:val="auto"/>
          <w:sz w:val="32"/>
          <w:szCs w:val="32"/>
          <w:shd w:val="clear" w:color="auto" w:fill="FFFFFF"/>
        </w:rPr>
        <w:t>“六一”庆祝活动、群众文化宣传培训推广</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、巾帼大课堂培训、巾帼产业大户扶持、文明幸福家庭及</w:t>
      </w:r>
      <w:r>
        <w:rPr>
          <w:rFonts w:hint="eastAsia" w:eastAsia="仿宋_GB2312" w:cs="Times New Roman"/>
          <w:color w:val="000000" w:themeColor="text1"/>
          <w:sz w:val="32"/>
          <w:szCs w:val="32"/>
          <w:shd w:val="clear" w:color="auto" w:fill="FFFFFF"/>
          <w:lang w:eastAsia="zh-CN"/>
          <w14:textFill>
            <w14:solidFill>
              <w14:schemeClr w14:val="tx1"/>
            </w14:solidFill>
          </w14:textFill>
        </w:rPr>
        <w:t>绿色</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家庭、创业能手及产业大户表扬、妇联干部能力提升培训、巾</w:t>
      </w:r>
      <w:r>
        <w:rPr>
          <w:rFonts w:hint="default" w:ascii="Times New Roman" w:hAnsi="Times New Roman" w:eastAsia="仿宋_GB2312" w:cs="Times New Roman"/>
          <w:color w:val="auto"/>
          <w:sz w:val="32"/>
          <w:szCs w:val="32"/>
          <w:shd w:val="clear" w:color="auto" w:fill="FFFFFF"/>
        </w:rPr>
        <w:t>帼乡村振兴及居家灵活就业</w:t>
      </w:r>
      <w:r>
        <w:rPr>
          <w:rFonts w:hint="eastAsia" w:eastAsia="仿宋_GB2312" w:cs="Times New Roman"/>
          <w:color w:val="auto"/>
          <w:sz w:val="32"/>
          <w:szCs w:val="32"/>
          <w:shd w:val="clear" w:color="auto" w:fill="FFFFFF"/>
          <w:lang w:eastAsia="zh-CN"/>
        </w:rPr>
        <w:t>培训</w:t>
      </w:r>
      <w:r>
        <w:rPr>
          <w:rFonts w:hint="default" w:ascii="Times New Roman" w:hAnsi="Times New Roman" w:eastAsia="仿宋_GB2312" w:cs="Times New Roman"/>
          <w:color w:val="auto"/>
          <w:sz w:val="32"/>
          <w:szCs w:val="32"/>
          <w:shd w:val="clear" w:color="auto" w:fill="FFFFFF"/>
        </w:rPr>
        <w:t>等工作。</w:t>
      </w:r>
    </w:p>
    <w:p w14:paraId="583B6E94">
      <w:pPr>
        <w:adjustRightInd w:val="0"/>
        <w:snapToGrid w:val="0"/>
        <w:spacing w:line="600" w:lineRule="exact"/>
        <w:ind w:firstLine="720"/>
        <w:rPr>
          <w:rFonts w:hint="default" w:ascii="Times New Roman" w:hAnsi="Times New Roman" w:eastAsia="仿宋_GB2312" w:cs="Times New Roman"/>
          <w:color w:val="auto"/>
          <w:sz w:val="32"/>
          <w:szCs w:val="32"/>
          <w:lang w:val="zh-CN"/>
        </w:rPr>
      </w:pPr>
      <w:r>
        <w:rPr>
          <w:rFonts w:hint="default" w:ascii="Times New Roman" w:hAnsi="Times New Roman" w:eastAsia="黑体" w:cs="Times New Roman"/>
          <w:color w:val="auto"/>
          <w:sz w:val="32"/>
          <w:szCs w:val="32"/>
        </w:rPr>
        <w:t>四、项目绩效情况</w:t>
      </w:r>
      <w:r>
        <w:rPr>
          <w:rFonts w:hint="default" w:ascii="Times New Roman" w:hAnsi="Times New Roman" w:eastAsia="仿宋_GB2312" w:cs="Times New Roman"/>
          <w:color w:val="auto"/>
          <w:sz w:val="32"/>
          <w:szCs w:val="32"/>
          <w:lang w:val="zh-CN"/>
        </w:rPr>
        <w:tab/>
      </w:r>
    </w:p>
    <w:p w14:paraId="476A5EA0">
      <w:pPr>
        <w:ind w:firstLine="660" w:firstLineChars="200"/>
        <w:rPr>
          <w:rFonts w:hint="default" w:ascii="Times New Roman" w:hAnsi="Times New Roman" w:eastAsia="方正仿宋_GBK" w:cs="Times New Roman"/>
          <w:b w:val="0"/>
          <w:bCs w:val="0"/>
          <w:color w:val="auto"/>
          <w:sz w:val="33"/>
          <w:szCs w:val="33"/>
          <w:shd w:val="clear" w:color="auto" w:fill="FFFFFF"/>
        </w:rPr>
      </w:pPr>
      <w:r>
        <w:rPr>
          <w:rFonts w:hint="default" w:ascii="Times New Roman" w:hAnsi="Times New Roman" w:eastAsia="方正仿宋_GBK" w:cs="Times New Roman"/>
          <w:b w:val="0"/>
          <w:bCs w:val="0"/>
          <w:color w:val="auto"/>
          <w:sz w:val="33"/>
          <w:szCs w:val="33"/>
          <w:shd w:val="clear" w:color="auto" w:fill="FFFFFF"/>
          <w:lang w:eastAsia="zh-CN"/>
        </w:rPr>
        <w:t>项目实施</w:t>
      </w:r>
      <w:r>
        <w:rPr>
          <w:rFonts w:hint="default" w:ascii="Times New Roman" w:hAnsi="Times New Roman" w:eastAsia="方正仿宋_GBK" w:cs="Times New Roman"/>
          <w:b w:val="0"/>
          <w:bCs w:val="0"/>
          <w:color w:val="auto"/>
          <w:sz w:val="33"/>
          <w:szCs w:val="33"/>
          <w:shd w:val="clear" w:color="auto" w:fill="FFFFFF"/>
        </w:rPr>
        <w:t>最大限度满足妇女儿童的发展需要，提升妇女儿童整体素质，促进妇女儿童全面发展，从而有力推进我县妇女儿童事业的健康发展。</w:t>
      </w:r>
    </w:p>
    <w:p w14:paraId="5A8D9875">
      <w:pPr>
        <w:adjustRightInd w:val="0"/>
        <w:snapToGrid w:val="0"/>
        <w:spacing w:line="600" w:lineRule="exact"/>
        <w:ind w:firstLine="72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五、评价结论及建议</w:t>
      </w:r>
    </w:p>
    <w:p w14:paraId="7DBD6EF5">
      <w:pPr>
        <w:adjustRightInd w:val="0"/>
        <w:snapToGrid w:val="0"/>
        <w:spacing w:line="600" w:lineRule="exact"/>
        <w:ind w:firstLine="720"/>
        <w:rPr>
          <w:rFonts w:hint="default" w:ascii="Times New Roman" w:hAnsi="Times New Roman" w:eastAsia="楷体_GB2312" w:cs="Times New Roman"/>
          <w:b/>
          <w:color w:val="auto"/>
          <w:sz w:val="32"/>
          <w:szCs w:val="32"/>
          <w:lang w:val="zh-CN"/>
        </w:rPr>
      </w:pPr>
      <w:r>
        <w:rPr>
          <w:rFonts w:hint="default" w:ascii="Times New Roman" w:hAnsi="Times New Roman" w:eastAsia="楷体_GB2312" w:cs="Times New Roman"/>
          <w:b/>
          <w:color w:val="auto"/>
          <w:sz w:val="32"/>
          <w:szCs w:val="32"/>
          <w:lang w:val="zh-CN"/>
        </w:rPr>
        <w:t>（一）评价结论。</w:t>
      </w:r>
    </w:p>
    <w:p w14:paraId="6E864594">
      <w:pPr>
        <w:ind w:firstLine="660" w:firstLineChars="200"/>
        <w:rPr>
          <w:rFonts w:hint="default" w:ascii="Times New Roman" w:hAnsi="Times New Roman" w:eastAsia="方正仿宋_GBK" w:cs="Times New Roman"/>
          <w:color w:val="auto"/>
          <w:sz w:val="33"/>
          <w:szCs w:val="33"/>
          <w:lang w:val="zh-CN"/>
        </w:rPr>
      </w:pPr>
      <w:r>
        <w:rPr>
          <w:rFonts w:hint="default" w:ascii="Times New Roman" w:hAnsi="Times New Roman" w:eastAsia="方正仿宋_GBK" w:cs="Times New Roman"/>
          <w:color w:val="auto"/>
          <w:sz w:val="33"/>
          <w:szCs w:val="33"/>
        </w:rPr>
        <w:t>根据米易县财政支出绩效评价标准，分析判断我单位管理已到位，相关政策执行没留死角，我单位政绩水平优良。</w:t>
      </w:r>
    </w:p>
    <w:p w14:paraId="513C6039">
      <w:pPr>
        <w:adjustRightInd w:val="0"/>
        <w:snapToGrid w:val="0"/>
        <w:spacing w:line="600" w:lineRule="exact"/>
        <w:ind w:firstLine="720"/>
        <w:rPr>
          <w:rFonts w:hint="default" w:ascii="Times New Roman" w:hAnsi="Times New Roman" w:eastAsia="楷体_GB2312" w:cs="Times New Roman"/>
          <w:b/>
          <w:color w:val="auto"/>
          <w:sz w:val="32"/>
          <w:szCs w:val="32"/>
          <w:lang w:val="zh-CN"/>
        </w:rPr>
      </w:pPr>
      <w:r>
        <w:rPr>
          <w:rFonts w:hint="default" w:ascii="Times New Roman" w:hAnsi="Times New Roman" w:eastAsia="楷体_GB2312" w:cs="Times New Roman"/>
          <w:b/>
          <w:color w:val="auto"/>
          <w:sz w:val="32"/>
          <w:szCs w:val="32"/>
          <w:lang w:val="zh-CN"/>
        </w:rPr>
        <w:t>（二）存在的问题。</w:t>
      </w:r>
    </w:p>
    <w:p w14:paraId="767B4D57">
      <w:pPr>
        <w:adjustRightInd w:val="0"/>
        <w:snapToGrid w:val="0"/>
        <w:spacing w:line="600" w:lineRule="exact"/>
        <w:ind w:firstLine="720"/>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zh-CN"/>
        </w:rPr>
        <w:t>无</w:t>
      </w:r>
    </w:p>
    <w:p w14:paraId="3031059E">
      <w:pPr>
        <w:adjustRightInd w:val="0"/>
        <w:snapToGrid w:val="0"/>
        <w:spacing w:line="600" w:lineRule="exact"/>
        <w:ind w:firstLine="720"/>
        <w:rPr>
          <w:rFonts w:hint="default" w:ascii="Times New Roman" w:hAnsi="Times New Roman" w:eastAsia="楷体_GB2312" w:cs="Times New Roman"/>
          <w:b/>
          <w:color w:val="auto"/>
          <w:sz w:val="32"/>
          <w:szCs w:val="32"/>
          <w:lang w:val="zh-CN"/>
        </w:rPr>
      </w:pPr>
      <w:r>
        <w:rPr>
          <w:rFonts w:hint="default" w:ascii="Times New Roman" w:hAnsi="Times New Roman" w:eastAsia="楷体_GB2312" w:cs="Times New Roman"/>
          <w:b/>
          <w:color w:val="auto"/>
          <w:sz w:val="32"/>
          <w:szCs w:val="32"/>
          <w:lang w:val="zh-CN"/>
        </w:rPr>
        <w:t>（三）相关建议。</w:t>
      </w:r>
    </w:p>
    <w:p w14:paraId="6F3B50E9">
      <w:pPr>
        <w:spacing w:line="58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zh-CN"/>
        </w:rPr>
        <w:t>无</w:t>
      </w:r>
    </w:p>
    <w:p w14:paraId="56DD2479">
      <w:pPr>
        <w:spacing w:line="600" w:lineRule="exact"/>
        <w:jc w:val="center"/>
        <w:outlineLvl w:val="0"/>
        <w:rPr>
          <w:rFonts w:hint="default" w:ascii="Times New Roman" w:hAnsi="Times New Roman" w:eastAsia="黑体" w:cs="Times New Roman"/>
          <w:color w:val="auto"/>
          <w:sz w:val="44"/>
          <w:szCs w:val="44"/>
          <w:highlight w:val="none"/>
        </w:rPr>
      </w:pPr>
    </w:p>
    <w:p w14:paraId="1EC45E1D">
      <w:pPr>
        <w:widowControl/>
        <w:jc w:val="left"/>
        <w:rPr>
          <w:rStyle w:val="24"/>
          <w:rFonts w:ascii="黑体" w:hAnsi="黑体" w:eastAsia="黑体"/>
          <w:b w:val="0"/>
          <w:color w:val="auto"/>
          <w:highlight w:val="none"/>
        </w:rPr>
      </w:pPr>
      <w:r>
        <w:rPr>
          <w:rStyle w:val="24"/>
          <w:rFonts w:ascii="黑体" w:hAnsi="黑体" w:eastAsia="黑体"/>
          <w:b w:val="0"/>
          <w:color w:val="auto"/>
          <w:highlight w:val="none"/>
        </w:rPr>
        <w:br w:type="page"/>
      </w:r>
    </w:p>
    <w:p w14:paraId="221CFE81">
      <w:pPr>
        <w:spacing w:line="600" w:lineRule="exact"/>
        <w:jc w:val="center"/>
        <w:outlineLvl w:val="0"/>
        <w:rPr>
          <w:rFonts w:hint="eastAsia" w:ascii="仿宋" w:hAnsi="仿宋" w:eastAsia="仿宋"/>
          <w:b w:val="0"/>
          <w:color w:val="auto"/>
          <w:highlight w:val="none"/>
        </w:rPr>
      </w:pPr>
      <w:bookmarkStart w:id="59" w:name="_Toc15396618"/>
      <w:r>
        <w:rPr>
          <w:rFonts w:hint="eastAsia" w:ascii="黑体" w:hAnsi="黑体" w:eastAsia="黑体"/>
          <w:color w:val="auto"/>
          <w:sz w:val="44"/>
          <w:szCs w:val="44"/>
          <w:highlight w:val="none"/>
        </w:rPr>
        <w:t>第</w:t>
      </w:r>
      <w:r>
        <w:rPr>
          <w:rStyle w:val="24"/>
          <w:rFonts w:hint="eastAsia" w:ascii="黑体" w:hAnsi="黑体" w:eastAsia="黑体"/>
          <w:b w:val="0"/>
          <w:color w:val="auto"/>
          <w:highlight w:val="none"/>
        </w:rPr>
        <w:t>五部分 附表</w:t>
      </w:r>
      <w:bookmarkEnd w:id="57"/>
      <w:bookmarkEnd w:id="59"/>
      <w:bookmarkStart w:id="60" w:name="_Toc15396619"/>
    </w:p>
    <w:p w14:paraId="3A449E9F">
      <w:pPr>
        <w:pStyle w:val="4"/>
        <w:rPr>
          <w:rFonts w:ascii="仿宋" w:hAnsi="仿宋" w:eastAsia="仿宋"/>
          <w:color w:val="auto"/>
          <w:highlight w:val="none"/>
        </w:rPr>
      </w:pPr>
      <w:r>
        <w:rPr>
          <w:rFonts w:hint="eastAsia" w:ascii="仿宋" w:hAnsi="仿宋" w:eastAsia="仿宋"/>
          <w:b w:val="0"/>
          <w:color w:val="auto"/>
          <w:highlight w:val="none"/>
        </w:rPr>
        <w:t>一、收</w:t>
      </w:r>
      <w:r>
        <w:rPr>
          <w:rStyle w:val="25"/>
          <w:rFonts w:hint="eastAsia" w:ascii="仿宋" w:hAnsi="仿宋" w:eastAsia="仿宋"/>
          <w:b w:val="0"/>
          <w:bCs w:val="0"/>
          <w:color w:val="auto"/>
          <w:highlight w:val="none"/>
        </w:rPr>
        <w:t>入支出决算总表</w:t>
      </w:r>
      <w:bookmarkEnd w:id="60"/>
    </w:p>
    <w:p w14:paraId="0AE6955E">
      <w:pPr>
        <w:pStyle w:val="4"/>
        <w:rPr>
          <w:rFonts w:ascii="仿宋" w:hAnsi="仿宋" w:eastAsia="仿宋"/>
          <w:color w:val="auto"/>
          <w:highlight w:val="none"/>
        </w:rPr>
      </w:pPr>
      <w:bookmarkStart w:id="61" w:name="_Toc15396620"/>
      <w:r>
        <w:rPr>
          <w:rFonts w:hint="eastAsia" w:ascii="仿宋" w:hAnsi="仿宋" w:eastAsia="仿宋"/>
          <w:b w:val="0"/>
          <w:color w:val="auto"/>
          <w:highlight w:val="none"/>
        </w:rPr>
        <w:t>二、收</w:t>
      </w:r>
      <w:r>
        <w:rPr>
          <w:rStyle w:val="25"/>
          <w:rFonts w:hint="eastAsia" w:ascii="仿宋" w:hAnsi="仿宋" w:eastAsia="仿宋"/>
          <w:b w:val="0"/>
          <w:bCs w:val="0"/>
          <w:color w:val="auto"/>
          <w:highlight w:val="none"/>
        </w:rPr>
        <w:t>入决算表</w:t>
      </w:r>
      <w:bookmarkEnd w:id="61"/>
    </w:p>
    <w:p w14:paraId="1A29FE5D">
      <w:pPr>
        <w:pStyle w:val="4"/>
        <w:rPr>
          <w:rFonts w:ascii="仿宋" w:hAnsi="仿宋" w:eastAsia="仿宋"/>
          <w:color w:val="auto"/>
          <w:highlight w:val="none"/>
        </w:rPr>
      </w:pPr>
      <w:bookmarkStart w:id="62" w:name="_Toc15396621"/>
      <w:r>
        <w:rPr>
          <w:rStyle w:val="25"/>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5"/>
          <w:rFonts w:hint="eastAsia" w:ascii="仿宋" w:hAnsi="仿宋" w:eastAsia="仿宋"/>
          <w:b w:val="0"/>
          <w:bCs w:val="0"/>
          <w:color w:val="auto"/>
          <w:highlight w:val="none"/>
        </w:rPr>
        <w:t>出决算表</w:t>
      </w:r>
      <w:bookmarkEnd w:id="62"/>
    </w:p>
    <w:p w14:paraId="4322B7DF">
      <w:pPr>
        <w:pStyle w:val="4"/>
        <w:rPr>
          <w:rFonts w:ascii="仿宋" w:hAnsi="仿宋" w:eastAsia="仿宋"/>
          <w:b w:val="0"/>
          <w:color w:val="auto"/>
          <w:highlight w:val="none"/>
        </w:rPr>
      </w:pPr>
      <w:bookmarkStart w:id="63" w:name="_Toc15396622"/>
      <w:r>
        <w:rPr>
          <w:rStyle w:val="25"/>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5"/>
          <w:rFonts w:hint="eastAsia" w:ascii="仿宋" w:hAnsi="仿宋" w:eastAsia="仿宋"/>
          <w:b w:val="0"/>
          <w:bCs w:val="0"/>
          <w:color w:val="auto"/>
          <w:highlight w:val="none"/>
        </w:rPr>
        <w:t>政拨款收入支出决算总表</w:t>
      </w:r>
      <w:bookmarkEnd w:id="63"/>
    </w:p>
    <w:p w14:paraId="03BB179E">
      <w:pPr>
        <w:pStyle w:val="4"/>
        <w:rPr>
          <w:rStyle w:val="25"/>
          <w:rFonts w:ascii="仿宋" w:hAnsi="仿宋" w:eastAsia="仿宋"/>
          <w:b w:val="0"/>
          <w:bCs w:val="0"/>
          <w:color w:val="auto"/>
          <w:highlight w:val="none"/>
        </w:rPr>
      </w:pPr>
      <w:bookmarkStart w:id="64" w:name="_Toc15396623"/>
      <w:r>
        <w:rPr>
          <w:rStyle w:val="25"/>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5"/>
          <w:rFonts w:hint="eastAsia" w:ascii="仿宋" w:hAnsi="仿宋" w:eastAsia="仿宋"/>
          <w:b w:val="0"/>
          <w:bCs w:val="0"/>
          <w:color w:val="auto"/>
          <w:highlight w:val="none"/>
        </w:rPr>
        <w:t>政拨款支出决算明细表</w:t>
      </w:r>
      <w:bookmarkEnd w:id="64"/>
      <w:bookmarkStart w:id="65" w:name="_Toc15396624"/>
    </w:p>
    <w:p w14:paraId="6DE842DD">
      <w:pPr>
        <w:pStyle w:val="4"/>
        <w:rPr>
          <w:rFonts w:ascii="仿宋" w:hAnsi="仿宋" w:eastAsia="仿宋"/>
          <w:color w:val="auto"/>
          <w:highlight w:val="none"/>
        </w:rPr>
      </w:pPr>
      <w:r>
        <w:rPr>
          <w:rStyle w:val="25"/>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般公共预算财政拨款支出决算表</w:t>
      </w:r>
      <w:bookmarkEnd w:id="65"/>
    </w:p>
    <w:p w14:paraId="41BF56BB">
      <w:pPr>
        <w:pStyle w:val="4"/>
        <w:rPr>
          <w:rFonts w:ascii="仿宋" w:hAnsi="仿宋" w:eastAsia="仿宋"/>
          <w:color w:val="auto"/>
          <w:highlight w:val="none"/>
        </w:rPr>
      </w:pPr>
      <w:bookmarkStart w:id="66" w:name="_Toc15396625"/>
      <w:r>
        <w:rPr>
          <w:rStyle w:val="25"/>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般公共预算财政拨款支出决算明细表</w:t>
      </w:r>
      <w:bookmarkEnd w:id="66"/>
    </w:p>
    <w:p w14:paraId="7CDD873E">
      <w:pPr>
        <w:pStyle w:val="4"/>
        <w:rPr>
          <w:rFonts w:ascii="仿宋" w:hAnsi="仿宋" w:eastAsia="仿宋"/>
          <w:color w:val="auto"/>
          <w:highlight w:val="none"/>
        </w:rPr>
      </w:pPr>
      <w:bookmarkStart w:id="67" w:name="_Toc15396626"/>
      <w:r>
        <w:rPr>
          <w:rStyle w:val="25"/>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般公共预算财政拨款基本支出决算表</w:t>
      </w:r>
      <w:bookmarkEnd w:id="67"/>
    </w:p>
    <w:p w14:paraId="36DEB0F1">
      <w:pPr>
        <w:pStyle w:val="4"/>
        <w:rPr>
          <w:rFonts w:ascii="仿宋" w:hAnsi="仿宋" w:eastAsia="仿宋"/>
          <w:color w:val="auto"/>
          <w:highlight w:val="none"/>
        </w:rPr>
      </w:pPr>
      <w:bookmarkStart w:id="68" w:name="_Toc15396627"/>
      <w:r>
        <w:rPr>
          <w:rStyle w:val="25"/>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般公共预算财政拨款项目支出决算表</w:t>
      </w:r>
      <w:bookmarkEnd w:id="68"/>
    </w:p>
    <w:p w14:paraId="61C4D6DE">
      <w:pPr>
        <w:pStyle w:val="4"/>
        <w:rPr>
          <w:rFonts w:ascii="仿宋" w:hAnsi="仿宋" w:eastAsia="仿宋"/>
          <w:color w:val="auto"/>
          <w:highlight w:val="none"/>
        </w:rPr>
      </w:pPr>
      <w:bookmarkStart w:id="69" w:name="_Toc15396628"/>
      <w:r>
        <w:rPr>
          <w:rStyle w:val="25"/>
          <w:rFonts w:hint="eastAsia" w:ascii="仿宋" w:hAnsi="仿宋" w:eastAsia="仿宋"/>
          <w:b w:val="0"/>
          <w:bCs w:val="0"/>
          <w:color w:val="auto"/>
          <w:highlight w:val="none"/>
        </w:rPr>
        <w:t>十、</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般公共预算财政拨款“三公”经费支出决算表</w:t>
      </w:r>
      <w:bookmarkEnd w:id="69"/>
    </w:p>
    <w:p w14:paraId="14052738">
      <w:pPr>
        <w:pStyle w:val="4"/>
        <w:rPr>
          <w:rFonts w:ascii="仿宋" w:hAnsi="仿宋" w:eastAsia="仿宋"/>
          <w:color w:val="auto"/>
          <w:highlight w:val="none"/>
        </w:rPr>
      </w:pPr>
      <w:bookmarkStart w:id="70" w:name="_Toc15396629"/>
      <w:r>
        <w:rPr>
          <w:rStyle w:val="25"/>
          <w:rFonts w:hint="eastAsia" w:ascii="仿宋" w:hAnsi="仿宋" w:eastAsia="仿宋"/>
          <w:b w:val="0"/>
          <w:bCs w:val="0"/>
          <w:color w:val="auto"/>
          <w:highlight w:val="none"/>
        </w:rPr>
        <w:t>十一、</w:t>
      </w:r>
      <w:r>
        <w:rPr>
          <w:rFonts w:hint="eastAsia" w:ascii="仿宋" w:hAnsi="仿宋" w:eastAsia="仿宋"/>
          <w:b w:val="0"/>
          <w:color w:val="auto"/>
          <w:highlight w:val="none"/>
        </w:rPr>
        <w:t>政</w:t>
      </w:r>
      <w:r>
        <w:rPr>
          <w:rStyle w:val="25"/>
          <w:rFonts w:hint="eastAsia" w:ascii="仿宋" w:hAnsi="仿宋" w:eastAsia="仿宋"/>
          <w:b w:val="0"/>
          <w:bCs w:val="0"/>
          <w:color w:val="auto"/>
          <w:highlight w:val="none"/>
        </w:rPr>
        <w:t>府性基金预算财政拨款收入支出决算表</w:t>
      </w:r>
      <w:bookmarkEnd w:id="70"/>
    </w:p>
    <w:p w14:paraId="7E164246">
      <w:pPr>
        <w:pStyle w:val="4"/>
        <w:rPr>
          <w:rFonts w:ascii="仿宋" w:hAnsi="仿宋" w:eastAsia="仿宋"/>
          <w:color w:val="auto"/>
          <w:highlight w:val="none"/>
        </w:rPr>
      </w:pPr>
      <w:bookmarkStart w:id="71" w:name="_Toc15396630"/>
      <w:r>
        <w:rPr>
          <w:rStyle w:val="25"/>
          <w:rFonts w:hint="eastAsia" w:ascii="仿宋" w:hAnsi="仿宋" w:eastAsia="仿宋"/>
          <w:b w:val="0"/>
          <w:bCs w:val="0"/>
          <w:color w:val="auto"/>
          <w:highlight w:val="none"/>
        </w:rPr>
        <w:t>十二、</w:t>
      </w:r>
      <w:r>
        <w:rPr>
          <w:rFonts w:hint="eastAsia" w:ascii="仿宋" w:hAnsi="仿宋" w:eastAsia="仿宋"/>
          <w:b w:val="0"/>
          <w:color w:val="auto"/>
          <w:highlight w:val="none"/>
        </w:rPr>
        <w:t>政</w:t>
      </w:r>
      <w:r>
        <w:rPr>
          <w:rStyle w:val="25"/>
          <w:rFonts w:hint="eastAsia" w:ascii="仿宋" w:hAnsi="仿宋" w:eastAsia="仿宋"/>
          <w:b w:val="0"/>
          <w:bCs w:val="0"/>
          <w:color w:val="auto"/>
          <w:highlight w:val="none"/>
        </w:rPr>
        <w:t>府性基金预算财政拨款“三公”经费支出决算表</w:t>
      </w:r>
      <w:bookmarkEnd w:id="71"/>
    </w:p>
    <w:p w14:paraId="0E56B098">
      <w:pPr>
        <w:pStyle w:val="4"/>
        <w:rPr>
          <w:rStyle w:val="25"/>
          <w:rFonts w:hint="eastAsia" w:ascii="仿宋" w:hAnsi="仿宋" w:eastAsia="仿宋"/>
          <w:b w:val="0"/>
          <w:bCs w:val="0"/>
          <w:color w:val="auto"/>
          <w:highlight w:val="none"/>
        </w:rPr>
      </w:pPr>
      <w:bookmarkStart w:id="72" w:name="_Toc15396631"/>
      <w:r>
        <w:rPr>
          <w:rStyle w:val="25"/>
          <w:rFonts w:hint="eastAsia" w:ascii="仿宋" w:hAnsi="仿宋" w:eastAsia="仿宋"/>
          <w:b w:val="0"/>
          <w:bCs w:val="0"/>
          <w:color w:val="auto"/>
          <w:highlight w:val="none"/>
        </w:rPr>
        <w:t>十三、</w:t>
      </w:r>
      <w:r>
        <w:rPr>
          <w:rFonts w:hint="eastAsia" w:ascii="仿宋" w:hAnsi="仿宋" w:eastAsia="仿宋"/>
          <w:b w:val="0"/>
          <w:color w:val="auto"/>
          <w:highlight w:val="none"/>
        </w:rPr>
        <w:t>国</w:t>
      </w:r>
      <w:r>
        <w:rPr>
          <w:rStyle w:val="25"/>
          <w:rFonts w:hint="eastAsia" w:ascii="仿宋" w:hAnsi="仿宋" w:eastAsia="仿宋"/>
          <w:b w:val="0"/>
          <w:bCs w:val="0"/>
          <w:color w:val="auto"/>
          <w:highlight w:val="none"/>
        </w:rPr>
        <w:t>有资本经营预算</w:t>
      </w:r>
      <w:r>
        <w:rPr>
          <w:rStyle w:val="25"/>
          <w:rFonts w:hint="eastAsia" w:ascii="仿宋" w:hAnsi="仿宋" w:eastAsia="仿宋"/>
          <w:b w:val="0"/>
          <w:bCs w:val="0"/>
          <w:color w:val="auto"/>
          <w:highlight w:val="none"/>
          <w:lang w:eastAsia="zh-CN"/>
        </w:rPr>
        <w:t>财政拨款收入</w:t>
      </w:r>
      <w:r>
        <w:rPr>
          <w:rStyle w:val="25"/>
          <w:rFonts w:hint="eastAsia" w:ascii="仿宋" w:hAnsi="仿宋" w:eastAsia="仿宋"/>
          <w:b w:val="0"/>
          <w:bCs w:val="0"/>
          <w:color w:val="auto"/>
          <w:highlight w:val="none"/>
        </w:rPr>
        <w:t>支出决算表</w:t>
      </w:r>
      <w:bookmarkEnd w:id="72"/>
    </w:p>
    <w:p w14:paraId="0DDD079D">
      <w:pPr>
        <w:rPr>
          <w:rStyle w:val="25"/>
          <w:rFonts w:hint="eastAsia" w:ascii="仿宋" w:hAnsi="仿宋" w:eastAsia="仿宋"/>
          <w:b w:val="0"/>
          <w:bCs w:val="0"/>
          <w:color w:val="auto"/>
          <w:highlight w:val="none"/>
          <w:lang w:eastAsia="zh-CN"/>
        </w:rPr>
      </w:pPr>
      <w:r>
        <w:rPr>
          <w:rStyle w:val="25"/>
          <w:rFonts w:hint="eastAsia" w:ascii="仿宋" w:hAnsi="仿宋" w:eastAsia="仿宋"/>
          <w:b w:val="0"/>
          <w:bCs w:val="0"/>
          <w:color w:val="auto"/>
          <w:highlight w:val="none"/>
          <w:lang w:eastAsia="zh-CN"/>
        </w:rPr>
        <w:t>十四、国有资本经营预算财政拨款支出决算表</w:t>
      </w:r>
    </w:p>
    <w:p w14:paraId="1E51BF86">
      <w:pPr>
        <w:pStyle w:val="2"/>
        <w:rPr>
          <w:rStyle w:val="25"/>
          <w:rFonts w:hint="eastAsia" w:ascii="仿宋" w:hAnsi="仿宋" w:eastAsia="仿宋"/>
          <w:b w:val="0"/>
          <w:bCs w:val="0"/>
          <w:color w:val="auto"/>
          <w:highlight w:val="none"/>
          <w:lang w:val="en-US" w:eastAsia="zh-CN" w:bidi="ar-SA"/>
        </w:rPr>
      </w:pPr>
      <w:r>
        <w:rPr>
          <w:rStyle w:val="25"/>
          <w:rFonts w:hint="eastAsia" w:ascii="仿宋" w:hAnsi="仿宋" w:eastAsia="仿宋"/>
          <w:b w:val="0"/>
          <w:bCs w:val="0"/>
          <w:color w:val="auto"/>
          <w:highlight w:val="none"/>
          <w:lang w:val="en-US" w:eastAsia="zh-CN" w:bidi="ar-SA"/>
        </w:rPr>
        <w:t>十五、机关运行经费、资产占用情况及政府采购支出信息表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微软雅黑">
    <w:altName w:val="黑体"/>
    <w:panose1 w:val="020B0503020204020204"/>
    <w:charset w:val="86"/>
    <w:family w:val="swiss"/>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6EB10855">
        <w:pPr>
          <w:pStyle w:val="8"/>
          <w:jc w:val="center"/>
        </w:pPr>
        <w:r>
          <w:fldChar w:fldCharType="begin"/>
        </w:r>
        <w:r>
          <w:instrText xml:space="preserve">PAGE   \* MERGEFORMAT</w:instrText>
        </w:r>
        <w:r>
          <w:fldChar w:fldCharType="separate"/>
        </w:r>
        <w:r>
          <w:rPr>
            <w:lang w:val="zh-CN"/>
          </w:rPr>
          <w:t>8</w:t>
        </w:r>
        <w:r>
          <w:fldChar w:fldCharType="end"/>
        </w:r>
      </w:p>
    </w:sdtContent>
  </w:sdt>
  <w:p w14:paraId="7ADA43EB">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0733F">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4D47C07"/>
    <w:multiLevelType w:val="singleLevel"/>
    <w:tmpl w:val="34D47C07"/>
    <w:lvl w:ilvl="0" w:tentative="0">
      <w:start w:val="2"/>
      <w:numFmt w:val="decimal"/>
      <w:lvlText w:val="%1."/>
      <w:lvlJc w:val="left"/>
      <w:pPr>
        <w:tabs>
          <w:tab w:val="left" w:pos="312"/>
        </w:tabs>
      </w:pPr>
    </w:lvl>
  </w:abstractNum>
  <w:abstractNum w:abstractNumId="4">
    <w:nsid w:val="3E794925"/>
    <w:multiLevelType w:val="singleLevel"/>
    <w:tmpl w:val="3E794925"/>
    <w:lvl w:ilvl="0" w:tentative="0">
      <w:start w:val="3"/>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DF79E4"/>
    <w:rsid w:val="066E0107"/>
    <w:rsid w:val="06E45C98"/>
    <w:rsid w:val="076D28D9"/>
    <w:rsid w:val="07996F6E"/>
    <w:rsid w:val="0A2032A3"/>
    <w:rsid w:val="0C14753C"/>
    <w:rsid w:val="101860EC"/>
    <w:rsid w:val="105F3982"/>
    <w:rsid w:val="10C055FF"/>
    <w:rsid w:val="118107EC"/>
    <w:rsid w:val="13D50BC4"/>
    <w:rsid w:val="167450BE"/>
    <w:rsid w:val="16BB723D"/>
    <w:rsid w:val="1BE8440E"/>
    <w:rsid w:val="1D155CEE"/>
    <w:rsid w:val="215B5523"/>
    <w:rsid w:val="23860B96"/>
    <w:rsid w:val="240371BF"/>
    <w:rsid w:val="29FD04D3"/>
    <w:rsid w:val="2C8A61B5"/>
    <w:rsid w:val="2DF04E50"/>
    <w:rsid w:val="319F7F4E"/>
    <w:rsid w:val="36AA5135"/>
    <w:rsid w:val="37E16F03"/>
    <w:rsid w:val="3AB42276"/>
    <w:rsid w:val="3D98207C"/>
    <w:rsid w:val="41833F44"/>
    <w:rsid w:val="44E268DA"/>
    <w:rsid w:val="45BB5E54"/>
    <w:rsid w:val="46C12CA4"/>
    <w:rsid w:val="4A627F82"/>
    <w:rsid w:val="4B37444C"/>
    <w:rsid w:val="4B4F25DA"/>
    <w:rsid w:val="4BE068DB"/>
    <w:rsid w:val="4D577224"/>
    <w:rsid w:val="4EAB630A"/>
    <w:rsid w:val="4ECE2238"/>
    <w:rsid w:val="5AF92295"/>
    <w:rsid w:val="5CD71FC4"/>
    <w:rsid w:val="5DDE479C"/>
    <w:rsid w:val="6C4A05C8"/>
    <w:rsid w:val="6E7E3605"/>
    <w:rsid w:val="6FF5CC65"/>
    <w:rsid w:val="715C0E4B"/>
    <w:rsid w:val="72734D90"/>
    <w:rsid w:val="73116E72"/>
    <w:rsid w:val="732A20A2"/>
    <w:rsid w:val="73AD73D5"/>
    <w:rsid w:val="73B6EB34"/>
    <w:rsid w:val="79EE5BA4"/>
    <w:rsid w:val="7A894339"/>
    <w:rsid w:val="7EEF11D3"/>
    <w:rsid w:val="7FA30C79"/>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2"/>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3"/>
    <w:qFormat/>
    <w:uiPriority w:val="9"/>
    <w:rPr>
      <w:rFonts w:ascii="Times New Roman" w:hAnsi="Times New Roman"/>
      <w:b/>
      <w:bCs/>
      <w:kern w:val="44"/>
      <w:sz w:val="44"/>
      <w:szCs w:val="44"/>
    </w:rPr>
  </w:style>
  <w:style w:type="character" w:customStyle="1" w:styleId="25">
    <w:name w:val="标题 2 Char"/>
    <w:basedOn w:val="13"/>
    <w:link w:val="4"/>
    <w:qFormat/>
    <w:uiPriority w:val="9"/>
    <w:rPr>
      <w:rFonts w:asciiTheme="majorHAnsi" w:hAnsiTheme="majorHAnsi" w:eastAsiaTheme="majorEastAsia" w:cstheme="majorBidi"/>
      <w:b/>
      <w:bCs/>
      <w:kern w:val="2"/>
      <w:sz w:val="32"/>
      <w:szCs w:val="32"/>
    </w:rPr>
  </w:style>
  <w:style w:type="paragraph" w:customStyle="1" w:styleId="26">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5"/>
    <w:qFormat/>
    <w:uiPriority w:val="9"/>
    <w:rPr>
      <w:rFonts w:ascii="Times New Roman" w:hAnsi="Times New Roman"/>
      <w:b/>
      <w:bCs/>
      <w:kern w:val="2"/>
      <w:sz w:val="32"/>
      <w:szCs w:val="32"/>
    </w:rPr>
  </w:style>
  <w:style w:type="paragraph" w:customStyle="1" w:styleId="29">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H:\123\&#22919;&#32852;\&#36130;&#25919;&#22270;&#34920;2022.xlsx"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H:\123\&#22919;&#32852;\&#36130;&#25919;&#22270;&#34920;2022.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H:\123\&#22919;&#32852;\&#36130;&#25919;&#22270;&#34920;2022.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H:\123\&#22919;&#32852;\&#36130;&#25919;&#22270;&#34920;2022.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H:\123\&#22919;&#32852;\&#36130;&#25919;&#22270;&#34920;2022.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H:\123\&#22919;&#32852;\&#36130;&#25919;&#22270;&#34920;2022.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H:\123\&#22919;&#32852;\&#36130;&#25919;&#22270;&#34920;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[财政图表2022.xlsx]Sheet1!$P$2</c:f>
              <c:strCache>
                <c:ptCount val="1"/>
                <c:pt idx="0">
                  <c:v>收入总计（万元）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[财政图表2022.xlsx]Sheet1!$Q$1:$R$1</c:f>
              <c:strCache>
                <c:ptCount val="2"/>
                <c:pt idx="0">
                  <c:v>2020年</c:v>
                </c:pt>
                <c:pt idx="1">
                  <c:v>2021年</c:v>
                </c:pt>
              </c:strCache>
            </c:strRef>
          </c:cat>
          <c:val>
            <c:numRef>
              <c:f>[财政图表2022.xlsx]Sheet1!$Q$2:$R$2</c:f>
              <c:numCache>
                <c:formatCode>General</c:formatCode>
                <c:ptCount val="2"/>
                <c:pt idx="0">
                  <c:v>151.34</c:v>
                </c:pt>
                <c:pt idx="1">
                  <c:v>123.08</c:v>
                </c:pt>
              </c:numCache>
            </c:numRef>
          </c:val>
        </c:ser>
        <c:ser>
          <c:idx val="1"/>
          <c:order val="1"/>
          <c:tx>
            <c:strRef>
              <c:f>[财政图表2022.xlsx]Sheet1!$P$3</c:f>
              <c:strCache>
                <c:ptCount val="1"/>
                <c:pt idx="0">
                  <c:v>支出总计（万元）</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[财政图表2022.xlsx]Sheet1!$Q$1:$R$1</c:f>
              <c:strCache>
                <c:ptCount val="2"/>
                <c:pt idx="0">
                  <c:v>2020年</c:v>
                </c:pt>
                <c:pt idx="1">
                  <c:v>2021年</c:v>
                </c:pt>
              </c:strCache>
            </c:strRef>
          </c:cat>
          <c:val>
            <c:numRef>
              <c:f>[财政图表2022.xlsx]Sheet1!$Q$3:$R$3</c:f>
              <c:numCache>
                <c:formatCode>General</c:formatCode>
                <c:ptCount val="2"/>
                <c:pt idx="0">
                  <c:v>151.34</c:v>
                </c:pt>
                <c:pt idx="1">
                  <c:v>123.08</c:v>
                </c:pt>
              </c:numCache>
            </c:numRef>
          </c:val>
        </c:ser>
        <c:dLbls>
          <c:showLegendKey val="0"/>
          <c:showVal val="1"/>
          <c:showCatName val="0"/>
          <c:showSerName val="0"/>
          <c:showPercent val="0"/>
          <c:showBubbleSize val="0"/>
        </c:dLbls>
        <c:gapWidth val="219"/>
        <c:overlap val="-27"/>
        <c:axId val="282230434"/>
        <c:axId val="420664162"/>
      </c:barChart>
      <c:catAx>
        <c:axId val="28223043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0664162"/>
        <c:crosses val="autoZero"/>
        <c:auto val="1"/>
        <c:lblAlgn val="ctr"/>
        <c:lblOffset val="100"/>
        <c:noMultiLvlLbl val="0"/>
      </c:catAx>
      <c:valAx>
        <c:axId val="42066416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223043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4df3b8d-f140-4fb6-85d7-4d69737f8d2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65000"/>
                    <a:lumOff val="35000"/>
                  </a:schemeClr>
                </a:solidFill>
                <a:latin typeface="微软雅黑" panose="020B0503020204020204" pitchFamily="2" charset="-122"/>
                <a:ea typeface="微软雅黑" panose="020B0503020204020204" pitchFamily="2" charset="-122"/>
                <a:cs typeface="+mn-cs"/>
              </a:defRPr>
            </a:pPr>
            <a:r>
              <a:t>收入决算结构图</a:t>
            </a:r>
          </a:p>
        </c:rich>
      </c:tx>
      <c:layout>
        <c:manualLayout>
          <c:xMode val="edge"/>
          <c:yMode val="edge"/>
          <c:x val="0.349861111111111"/>
          <c:y val="0.00694444444444444"/>
        </c:manualLayout>
      </c:layout>
      <c:overlay val="0"/>
      <c:spPr>
        <a:noFill/>
        <a:ln>
          <a:noFill/>
        </a:ln>
        <a:effectLst/>
      </c:spPr>
    </c:title>
    <c:autoTitleDeleted val="0"/>
    <c:plotArea>
      <c:layout>
        <c:manualLayout>
          <c:layoutTarget val="inner"/>
          <c:xMode val="edge"/>
          <c:yMode val="edge"/>
          <c:x val="0.308977682747561"/>
          <c:y val="0.185325602140946"/>
          <c:w val="0.387144193505279"/>
          <c:h val="0.64607493309545"/>
        </c:manualLayout>
      </c:layout>
      <c:pieChart>
        <c:varyColors val="1"/>
        <c:ser>
          <c:idx val="0"/>
          <c:order val="0"/>
          <c:spPr>
            <a:ln w="19050">
              <a:solidFill>
                <a:schemeClr val="bg1"/>
              </a:solidFill>
            </a:ln>
            <a:effectLst>
              <a:outerShdw blurRad="63500" sx="102000" sy="102000" algn="ctr" rotWithShape="0">
                <a:srgbClr val="384C7C">
                  <a:alpha val="18000"/>
                </a:srgbClr>
              </a:outerShdw>
            </a:effectLst>
          </c:spPr>
          <c:explosion val="0"/>
          <c:dPt>
            <c:idx val="0"/>
            <c:bubble3D val="0"/>
            <c:spPr>
              <a:solidFill>
                <a:srgbClr val="04CD9E"/>
              </a:solidFill>
              <a:ln w="19050">
                <a:solidFill>
                  <a:schemeClr val="bg1"/>
                </a:solidFill>
                <a:miter lim="800000"/>
              </a:ln>
              <a:effectLst>
                <a:outerShdw blurRad="63500" sx="102000" sy="102000" algn="ctr" rotWithShape="0">
                  <a:srgbClr val="384C7C">
                    <a:alpha val="18000"/>
                  </a:srgbClr>
                </a:outerShdw>
              </a:effectLst>
            </c:spPr>
          </c:dPt>
          <c:dPt>
            <c:idx val="1"/>
            <c:bubble3D val="0"/>
            <c:spPr>
              <a:solidFill>
                <a:srgbClr val="80E214"/>
              </a:solidFill>
              <a:ln w="22225">
                <a:solidFill>
                  <a:schemeClr val="bg1"/>
                </a:solidFill>
              </a:ln>
              <a:effectLst>
                <a:outerShdw blurRad="63500" sx="102000" sy="102000" algn="ctr" rotWithShape="0">
                  <a:srgbClr val="384C7C">
                    <a:alpha val="18000"/>
                  </a:srgbClr>
                </a:outerShdw>
              </a:effectLst>
            </c:spPr>
          </c:dPt>
          <c:dPt>
            <c:idx val="2"/>
            <c:bubble3D val="0"/>
            <c:spPr>
              <a:solidFill>
                <a:srgbClr val="119FBE"/>
              </a:solidFill>
              <a:ln w="19050">
                <a:solidFill>
                  <a:schemeClr val="bg1"/>
                </a:solidFill>
              </a:ln>
              <a:effectLst>
                <a:outerShdw blurRad="63500" sx="102000" sy="102000" algn="ctr" rotWithShape="0">
                  <a:srgbClr val="384C7C">
                    <a:alpha val="18000"/>
                  </a:srgbClr>
                </a:outerShdw>
              </a:effectLst>
            </c:spPr>
          </c:dPt>
          <c:dPt>
            <c:idx val="3"/>
            <c:bubble3D val="0"/>
            <c:spPr>
              <a:solidFill>
                <a:srgbClr val="EBC279"/>
              </a:solidFill>
              <a:ln w="19050">
                <a:solidFill>
                  <a:schemeClr val="bg1"/>
                </a:solidFill>
              </a:ln>
              <a:effectLst>
                <a:outerShdw blurRad="63500" sx="102000" sy="102000" algn="ctr" rotWithShape="0">
                  <a:srgbClr val="384C7C">
                    <a:alpha val="18000"/>
                  </a:srgbClr>
                </a:outerShdw>
              </a:effectLst>
            </c:spPr>
          </c:dPt>
          <c:dPt>
            <c:idx val="4"/>
            <c:bubble3D val="0"/>
            <c:spPr>
              <a:solidFill>
                <a:schemeClr val="accent2">
                  <a:shade val="92222"/>
                </a:schemeClr>
              </a:solidFill>
              <a:ln w="19050">
                <a:solidFill>
                  <a:schemeClr val="bg1"/>
                </a:solidFill>
              </a:ln>
              <a:effectLst>
                <a:outerShdw blurRad="63500" sx="102000" sy="102000" algn="ctr" rotWithShape="0">
                  <a:srgbClr val="384C7C">
                    <a:alpha val="18000"/>
                  </a:srgbClr>
                </a:outerShdw>
              </a:effectLst>
            </c:spPr>
          </c:dPt>
          <c:dPt>
            <c:idx val="5"/>
            <c:bubble3D val="0"/>
            <c:spPr>
              <a:solidFill>
                <a:schemeClr val="accent2">
                  <a:shade val="76667"/>
                </a:schemeClr>
              </a:solidFill>
              <a:ln w="19050">
                <a:solidFill>
                  <a:schemeClr val="bg1"/>
                </a:solidFill>
              </a:ln>
              <a:effectLst>
                <a:outerShdw blurRad="63500" sx="102000" sy="102000" algn="ctr" rotWithShape="0">
                  <a:srgbClr val="384C7C">
                    <a:alpha val="18000"/>
                  </a:srgbClr>
                </a:outerShdw>
              </a:effectLst>
            </c:spPr>
          </c:dPt>
          <c:dPt>
            <c:idx val="6"/>
            <c:bubble3D val="0"/>
            <c:spPr>
              <a:solidFill>
                <a:schemeClr val="accent2">
                  <a:shade val="61111"/>
                </a:schemeClr>
              </a:solidFill>
              <a:ln w="19050">
                <a:solidFill>
                  <a:schemeClr val="bg1"/>
                </a:solidFill>
              </a:ln>
              <a:effectLst>
                <a:outerShdw blurRad="63500" sx="102000" sy="102000" algn="ctr" rotWithShape="0">
                  <a:srgbClr val="384C7C">
                    <a:alpha val="18000"/>
                  </a:srgbClr>
                </a:outerShdw>
              </a:effectLst>
            </c:spPr>
          </c:dPt>
          <c:dPt>
            <c:idx val="7"/>
            <c:bubble3D val="0"/>
            <c:spPr>
              <a:solidFill>
                <a:schemeClr val="accent2">
                  <a:shade val="45556"/>
                </a:schemeClr>
              </a:solidFill>
              <a:ln w="19050">
                <a:solidFill>
                  <a:schemeClr val="bg1"/>
                </a:solidFill>
              </a:ln>
              <a:effectLst>
                <a:outerShdw blurRad="63500" sx="102000" sy="102000" algn="ctr" rotWithShape="0">
                  <a:srgbClr val="384C7C">
                    <a:alpha val="18000"/>
                  </a:srgbClr>
                </a:outerShdw>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bg1"/>
                      </a:solidFill>
                      <a:latin typeface="微软雅黑" panose="020B0503020204020204" pitchFamily="2" charset="-122"/>
                      <a:ea typeface="微软雅黑" panose="020B0503020204020204" pitchFamily="2" charset="-122"/>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bg1"/>
                      </a:solidFill>
                      <a:latin typeface="微软雅黑" panose="020B0503020204020204" pitchFamily="2" charset="-122"/>
                      <a:ea typeface="微软雅黑" panose="020B0503020204020204" pitchFamily="2" charset="-122"/>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bg1"/>
                      </a:solidFill>
                      <a:latin typeface="微软雅黑" panose="020B0503020204020204" pitchFamily="2" charset="-122"/>
                      <a:ea typeface="微软雅黑" panose="020B0503020204020204" pitchFamily="2" charset="-122"/>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bg1"/>
                      </a:solidFill>
                      <a:latin typeface="微软雅黑" panose="020B0503020204020204" pitchFamily="2" charset="-122"/>
                      <a:ea typeface="微软雅黑" panose="020B0503020204020204" pitchFamily="2" charset="-122"/>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4"/>
              <c:layout/>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bg1"/>
                      </a:solidFill>
                      <a:latin typeface="微软雅黑" panose="020B0503020204020204" pitchFamily="2" charset="-122"/>
                      <a:ea typeface="微软雅黑" panose="020B0503020204020204" pitchFamily="2" charset="-122"/>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5"/>
              <c:layout/>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bg1"/>
                      </a:solidFill>
                      <a:latin typeface="微软雅黑" panose="020B0503020204020204" pitchFamily="2" charset="-122"/>
                      <a:ea typeface="微软雅黑" panose="020B0503020204020204" pitchFamily="2" charset="-122"/>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bg1"/>
                    </a:solidFill>
                    <a:latin typeface="微软雅黑" panose="020B0503020204020204" pitchFamily="2" charset="-122"/>
                    <a:ea typeface="微软雅黑" panose="020B0503020204020204" pitchFamily="2" charset="-122"/>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[财政图表2020.xlsx]Sheet1!$A$4:$A$11</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[财政图表2020.xlsx]Sheet1!$C$4:$C$11</c:f>
              <c:numCache>
                <c:formatCode>General</c:formatCode>
                <c:ptCount val="8"/>
                <c:pt idx="0">
                  <c:v>100</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1"/>
        </c:dLbls>
        <c:firstSliceAng val="8"/>
      </c:pieChart>
      <c:spPr>
        <a:noFill/>
        <a:ln>
          <a:noFill/>
        </a:ln>
        <a:effectLst/>
      </c:spPr>
    </c:plotArea>
    <c:legend>
      <c:legendPos val="b"/>
      <c:layout>
        <c:manualLayout>
          <c:xMode val="edge"/>
          <c:yMode val="edge"/>
          <c:x val="0.130320890635232"/>
          <c:y val="0.742361684558216"/>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2" charset="-122"/>
              <a:ea typeface="微软雅黑" panose="020B0503020204020204" pitchFamily="2" charset="-122"/>
              <a:cs typeface="+mn-cs"/>
            </a:defRPr>
          </a:pPr>
        </a:p>
      </c:txPr>
    </c:legend>
    <c:plotVisOnly val="1"/>
    <c:dispBlanksAs val="gap"/>
    <c:showDLblsOverMax val="0"/>
    <c:extLst>
      <c:ext uri="{0b15fc19-7d7d-44ad-8c2d-2c3a37ce22c3}">
        <chartProps xmlns="https://web.wps.cn/et/2018/main" chartId="{063ce2e4-fb2a-43c9-b45f-be3509913976}"/>
      </c:ext>
    </c:extLst>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latin typeface="微软雅黑" panose="020B0503020204020204" pitchFamily="2" charset="-122"/>
          <a:ea typeface="微软雅黑" panose="020B0503020204020204" pitchFamily="2"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[财政图表2022.xlsx]Sheet1!$A$27:$A$31</c:f>
              <c:strCache>
                <c:ptCount val="5"/>
                <c:pt idx="0">
                  <c:v>基本支出</c:v>
                </c:pt>
                <c:pt idx="1">
                  <c:v>项目支出</c:v>
                </c:pt>
                <c:pt idx="2">
                  <c:v>上缴上级支出</c:v>
                </c:pt>
                <c:pt idx="3">
                  <c:v>经营支出</c:v>
                </c:pt>
                <c:pt idx="4">
                  <c:v>对附属单位补助支出</c:v>
                </c:pt>
              </c:strCache>
            </c:strRef>
          </c:cat>
          <c:val>
            <c:numRef>
              <c:f>[财政图表2022.xlsx]Sheet1!$C$27:$C$31</c:f>
              <c:numCache>
                <c:formatCode>0.00_ </c:formatCode>
                <c:ptCount val="5"/>
                <c:pt idx="0">
                  <c:v>95.0926226844329</c:v>
                </c:pt>
                <c:pt idx="1">
                  <c:v>4.90737731556711</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e0bf142-5227-44ca-b7d3-fe2e7195a47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p>
        </c:rich>
      </c:tx>
      <c:layout/>
      <c:overlay val="0"/>
      <c:spPr>
        <a:noFill/>
        <a:ln>
          <a:noFill/>
        </a:ln>
        <a:effectLst/>
      </c:spPr>
    </c:title>
    <c:autoTitleDeleted val="0"/>
    <c:plotArea>
      <c:layout>
        <c:manualLayout>
          <c:layoutTarget val="inner"/>
          <c:xMode val="edge"/>
          <c:yMode val="edge"/>
          <c:x val="0.101146496815287"/>
          <c:y val="0.18689876316995"/>
          <c:w val="0.894607218683652"/>
          <c:h val="0.615071003206596"/>
        </c:manualLayout>
      </c:layout>
      <c:barChart>
        <c:barDir val="col"/>
        <c:grouping val="clustered"/>
        <c:varyColors val="0"/>
        <c:ser>
          <c:idx val="0"/>
          <c:order val="0"/>
          <c:tx>
            <c:strRef>
              <c:f>[财政图表2022.xlsx]Sheet1!$P$24</c:f>
              <c:strCache>
                <c:ptCount val="1"/>
                <c:pt idx="0">
                  <c:v>财政拨款收入（万元）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[财政图表2022.xlsx]Sheet1!$Q$23:$R$23</c:f>
              <c:strCache>
                <c:ptCount val="2"/>
                <c:pt idx="0">
                  <c:v>2020年</c:v>
                </c:pt>
                <c:pt idx="1">
                  <c:v>2021年</c:v>
                </c:pt>
              </c:strCache>
            </c:strRef>
          </c:cat>
          <c:val>
            <c:numRef>
              <c:f>[财政图表2022.xlsx]Sheet1!$Q$24:$R$24</c:f>
              <c:numCache>
                <c:formatCode>General</c:formatCode>
                <c:ptCount val="2"/>
                <c:pt idx="0">
                  <c:v>151.34</c:v>
                </c:pt>
                <c:pt idx="1">
                  <c:v>123.08</c:v>
                </c:pt>
              </c:numCache>
            </c:numRef>
          </c:val>
        </c:ser>
        <c:ser>
          <c:idx val="1"/>
          <c:order val="1"/>
          <c:tx>
            <c:strRef>
              <c:f>[财政图表2022.xlsx]Sheet1!$P$25</c:f>
              <c:strCache>
                <c:ptCount val="1"/>
                <c:pt idx="0">
                  <c:v>财政拨款支出（万元）</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[财政图表2022.xlsx]Sheet1!$Q$23:$R$23</c:f>
              <c:strCache>
                <c:ptCount val="2"/>
                <c:pt idx="0">
                  <c:v>2020年</c:v>
                </c:pt>
                <c:pt idx="1">
                  <c:v>2021年</c:v>
                </c:pt>
              </c:strCache>
            </c:strRef>
          </c:cat>
          <c:val>
            <c:numRef>
              <c:f>[财政图表2022.xlsx]Sheet1!$Q$25:$R$25</c:f>
              <c:numCache>
                <c:formatCode>General</c:formatCode>
                <c:ptCount val="2"/>
                <c:pt idx="0">
                  <c:v>151.34</c:v>
                </c:pt>
                <c:pt idx="1">
                  <c:v>123.08</c:v>
                </c:pt>
              </c:numCache>
            </c:numRef>
          </c:val>
        </c:ser>
        <c:dLbls>
          <c:showLegendKey val="0"/>
          <c:showVal val="1"/>
          <c:showCatName val="0"/>
          <c:showSerName val="0"/>
          <c:showPercent val="0"/>
          <c:showBubbleSize val="0"/>
        </c:dLbls>
        <c:gapWidth val="219"/>
        <c:overlap val="-27"/>
        <c:axId val="988586205"/>
        <c:axId val="183708564"/>
      </c:barChart>
      <c:catAx>
        <c:axId val="98858620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3708564"/>
        <c:crosses val="autoZero"/>
        <c:auto val="1"/>
        <c:lblAlgn val="ctr"/>
        <c:lblOffset val="100"/>
        <c:noMultiLvlLbl val="0"/>
      </c:catAx>
      <c:valAx>
        <c:axId val="1837085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858620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bb7d756-96d1-4181-851f-5f96a5d26b7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一般公共预算财政拨款支出决算变动情况图</a:t>
            </a:r>
          </a:p>
        </c:rich>
      </c:tx>
      <c:layout/>
      <c:overlay val="0"/>
      <c:spPr>
        <a:noFill/>
        <a:ln>
          <a:noFill/>
        </a:ln>
        <a:effectLst/>
      </c:spPr>
    </c:title>
    <c:autoTitleDeleted val="0"/>
    <c:plotArea>
      <c:layout/>
      <c:barChart>
        <c:barDir val="col"/>
        <c:grouping val="clustered"/>
        <c:varyColors val="0"/>
        <c:ser>
          <c:idx val="0"/>
          <c:order val="0"/>
          <c:tx>
            <c:strRef>
              <c:f>[财政图表2022.xlsx]Sheet1!$P$46</c:f>
              <c:strCache>
                <c:ptCount val="1"/>
                <c:pt idx="0">
                  <c:v>一般公共预算财政拨款支出（万元）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[财政图表2022.xlsx]Sheet1!$Q$45:$R$45</c:f>
              <c:strCache>
                <c:ptCount val="2"/>
                <c:pt idx="0">
                  <c:v>2020年</c:v>
                </c:pt>
                <c:pt idx="1">
                  <c:v>2021年</c:v>
                </c:pt>
              </c:strCache>
            </c:strRef>
          </c:cat>
          <c:val>
            <c:numRef>
              <c:f>[财政图表2022.xlsx]Sheet1!$Q$46:$R$46</c:f>
              <c:numCache>
                <c:formatCode>General</c:formatCode>
                <c:ptCount val="2"/>
                <c:pt idx="0">
                  <c:v>151.34</c:v>
                </c:pt>
                <c:pt idx="1">
                  <c:v>123.08</c:v>
                </c:pt>
              </c:numCache>
            </c:numRef>
          </c:val>
        </c:ser>
        <c:ser>
          <c:idx val="1"/>
          <c:order val="1"/>
          <c:tx>
            <c:strRef>
              <c:f>[财政图表2022.xlsx]Sheet1!$P$47</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[财政图表2022.xlsx]Sheet1!$Q$45:$R$45</c:f>
              <c:strCache>
                <c:ptCount val="2"/>
                <c:pt idx="0">
                  <c:v>2020年</c:v>
                </c:pt>
                <c:pt idx="1">
                  <c:v>2021年</c:v>
                </c:pt>
              </c:strCache>
            </c:strRef>
          </c:cat>
          <c:val>
            <c:numRef>
              <c:f>[财政图表2020.xlsx]Sheet1!$Q$47:$R$47</c:f>
              <c:numCache>
                <c:formatCode>General</c:formatCode>
                <c:ptCount val="2"/>
              </c:numCache>
            </c:numRef>
          </c:val>
        </c:ser>
        <c:dLbls>
          <c:showLegendKey val="0"/>
          <c:showVal val="1"/>
          <c:showCatName val="0"/>
          <c:showSerName val="0"/>
          <c:showPercent val="0"/>
          <c:showBubbleSize val="0"/>
        </c:dLbls>
        <c:gapWidth val="219"/>
        <c:overlap val="-27"/>
        <c:axId val="961776052"/>
        <c:axId val="187570394"/>
      </c:barChart>
      <c:catAx>
        <c:axId val="9617760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7570394"/>
        <c:crosses val="autoZero"/>
        <c:auto val="1"/>
        <c:lblAlgn val="ctr"/>
        <c:lblOffset val="100"/>
        <c:noMultiLvlLbl val="0"/>
      </c:catAx>
      <c:valAx>
        <c:axId val="18757039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1776052"/>
        <c:crosses val="autoZero"/>
        <c:crossBetween val="between"/>
      </c:valAx>
      <c:spPr>
        <a:noFill/>
        <a:ln>
          <a:noFill/>
        </a:ln>
        <a:effectLst/>
      </c:spPr>
    </c:plotArea>
    <c:legend>
      <c:legendPos val="b"/>
      <c:layout>
        <c:manualLayout>
          <c:xMode val="edge"/>
          <c:yMode val="edge"/>
          <c:x val="0.263333333333333"/>
          <c:y val="0.895138888888889"/>
          <c:w val="0.43125"/>
          <c:h val="0.063194444444444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cf20052-4836-4a10-8964-b2b46cca190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[财政图表2022.xlsx]Sheet1!$A$42:$A$49</c:f>
              <c:strCache>
                <c:ptCount val="8"/>
                <c:pt idx="4">
                  <c:v>社会保障和就业（类）支出</c:v>
                </c:pt>
                <c:pt idx="5">
                  <c:v>卫生健康支出</c:v>
                </c:pt>
                <c:pt idx="6">
                  <c:v>住房保障支出</c:v>
                </c:pt>
                <c:pt idx="7">
                  <c:v>一般公共服务支出</c:v>
                </c:pt>
              </c:strCache>
            </c:strRef>
          </c:cat>
          <c:val>
            <c:numRef>
              <c:f>[财政图表2022.xlsx]Sheet1!$C$42:$C$49</c:f>
              <c:numCache>
                <c:formatCode>General</c:formatCode>
                <c:ptCount val="8"/>
                <c:pt idx="4">
                  <c:v>11.39</c:v>
                </c:pt>
                <c:pt idx="5">
                  <c:v>7.64</c:v>
                </c:pt>
                <c:pt idx="6">
                  <c:v>11.63</c:v>
                </c:pt>
                <c:pt idx="7">
                  <c:v>92.42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84f846a-128e-498d-a22b-39fd86d9380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rPr altLang="en-US"/>
              <a:t>经费财政拨款支出结构图</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[财政图表2022.xlsx]Sheet1!$A$61:$A$63</c:f>
              <c:strCache>
                <c:ptCount val="3"/>
                <c:pt idx="0">
                  <c:v>因公出国（境）费支出决算</c:v>
                </c:pt>
                <c:pt idx="1">
                  <c:v>公务用车购置及运行维护费支出决算</c:v>
                </c:pt>
                <c:pt idx="2">
                  <c:v>公务接待费支出决算</c:v>
                </c:pt>
              </c:strCache>
            </c:strRef>
          </c:cat>
          <c:val>
            <c:numRef>
              <c:f>[财政图表2022.xlsx]Sheet1!$C$61:$C$63</c:f>
              <c:numCache>
                <c:formatCode>General</c:formatCode>
                <c:ptCount val="3"/>
                <c:pt idx="0">
                  <c:v>0</c:v>
                </c:pt>
                <c:pt idx="1" c:formatCode="0.00_ ">
                  <c:v>0</c:v>
                </c:pt>
                <c:pt idx="2" c:formatCode="0.00_ ">
                  <c:v>100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29f9dfc-9c7f-4c4e-a242-22a89d8e18d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1299</Words>
  <Characters>7410</Characters>
  <Lines>61</Lines>
  <Paragraphs>17</Paragraphs>
  <TotalTime>0</TotalTime>
  <ScaleCrop>false</ScaleCrop>
  <LinksUpToDate>false</LinksUpToDate>
  <CharactersWithSpaces>8692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 回甘</cp:lastModifiedBy>
  <cp:lastPrinted>2022-08-08T17:11:00Z</cp:lastPrinted>
  <dcterms:modified xsi:type="dcterms:W3CDTF">2026-08-20T16:33:23Z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26B893DC9F47130DD3BB866A4B805A2B_42</vt:lpwstr>
  </property>
</Properties>
</file>