
<file path=[Content_Types].xml><?xml version="1.0" encoding="utf-8"?>
<Types xmlns="http://schemas.openxmlformats.org/package/2006/content-types">
  <Default Extension="xml" ContentType="application/xml"/>
  <Default Extension="xls" ContentType="application/vnd.ms-exce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31687D">
      <w:pPr>
        <w:spacing w:line="600" w:lineRule="exact"/>
        <w:jc w:val="center"/>
        <w:outlineLvl w:val="0"/>
        <w:rPr>
          <w:rFonts w:ascii="方正小标宋简体" w:hAnsi="宋体" w:eastAsia="方正小标宋简体"/>
          <w:color w:val="000000"/>
          <w:sz w:val="72"/>
          <w:szCs w:val="72"/>
        </w:rPr>
      </w:pPr>
      <w:bookmarkStart w:id="73" w:name="_GoBack"/>
      <w:bookmarkEnd w:id="73"/>
      <w:bookmarkStart w:id="0" w:name="_Toc15306267"/>
    </w:p>
    <w:p w14:paraId="71D2D53F">
      <w:pPr>
        <w:spacing w:line="600" w:lineRule="exact"/>
        <w:jc w:val="center"/>
        <w:outlineLvl w:val="0"/>
        <w:rPr>
          <w:rFonts w:ascii="方正小标宋简体" w:hAnsi="宋体" w:eastAsia="方正小标宋简体"/>
          <w:color w:val="000000"/>
          <w:sz w:val="72"/>
          <w:szCs w:val="72"/>
        </w:rPr>
      </w:pPr>
    </w:p>
    <w:p w14:paraId="5F667719">
      <w:pPr>
        <w:spacing w:line="600" w:lineRule="exact"/>
        <w:jc w:val="center"/>
        <w:outlineLvl w:val="0"/>
        <w:rPr>
          <w:rFonts w:ascii="方正小标宋简体" w:hAnsi="宋体" w:eastAsia="方正小标宋简体"/>
          <w:color w:val="000000"/>
          <w:sz w:val="72"/>
          <w:szCs w:val="72"/>
        </w:rPr>
      </w:pPr>
    </w:p>
    <w:p w14:paraId="60C83045">
      <w:pPr>
        <w:spacing w:line="600" w:lineRule="exact"/>
        <w:jc w:val="center"/>
        <w:outlineLvl w:val="0"/>
        <w:rPr>
          <w:rFonts w:ascii="方正小标宋简体" w:hAnsi="宋体" w:eastAsia="方正小标宋简体"/>
          <w:color w:val="000000"/>
          <w:sz w:val="72"/>
          <w:szCs w:val="72"/>
        </w:rPr>
      </w:pPr>
    </w:p>
    <w:p w14:paraId="1541688F">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475"/>
      <w:bookmarkStart w:id="2" w:name="_Toc15377193"/>
      <w:bookmarkStart w:id="3" w:name="_Toc15377425"/>
      <w:bookmarkStart w:id="4" w:name="_Toc15396597"/>
      <w:bookmarkStart w:id="5" w:name="_Toc15378441"/>
      <w:r>
        <w:rPr>
          <w:rFonts w:ascii="黑体" w:hAnsi="黑体" w:eastAsia="黑体"/>
          <w:color w:val="000000"/>
          <w:sz w:val="72"/>
          <w:szCs w:val="72"/>
        </w:rPr>
        <w:t>2019</w:t>
      </w:r>
      <w:r>
        <w:rPr>
          <w:rFonts w:hint="eastAsia" w:ascii="方正小标宋简体" w:hAnsi="宋体" w:eastAsia="方正小标宋简体"/>
          <w:color w:val="000000"/>
          <w:sz w:val="72"/>
          <w:szCs w:val="72"/>
        </w:rPr>
        <w:t>年度</w:t>
      </w:r>
      <w:bookmarkEnd w:id="1"/>
      <w:bookmarkEnd w:id="2"/>
      <w:bookmarkEnd w:id="3"/>
      <w:bookmarkEnd w:id="4"/>
      <w:bookmarkEnd w:id="5"/>
    </w:p>
    <w:p w14:paraId="1AD8239F">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7194"/>
      <w:bookmarkStart w:id="7" w:name="_Toc15378442"/>
      <w:bookmarkStart w:id="8" w:name="_Toc15396598"/>
      <w:bookmarkStart w:id="9" w:name="_Toc15396476"/>
      <w:bookmarkStart w:id="10" w:name="_Toc15377426"/>
      <w:r>
        <w:rPr>
          <w:rFonts w:hint="eastAsia" w:ascii="方正小标宋简体" w:hAnsi="宋体" w:eastAsia="方正小标宋简体"/>
          <w:color w:val="000000"/>
          <w:sz w:val="72"/>
          <w:szCs w:val="72"/>
        </w:rPr>
        <w:t>四川省米易县</w:t>
      </w:r>
      <w:bookmarkEnd w:id="0"/>
      <w:bookmarkStart w:id="11" w:name="_Toc15306268"/>
      <w:r>
        <w:rPr>
          <w:rFonts w:hint="eastAsia" w:ascii="方正小标宋简体" w:hAnsi="宋体" w:eastAsia="方正小标宋简体"/>
          <w:color w:val="000000"/>
          <w:sz w:val="72"/>
          <w:szCs w:val="72"/>
        </w:rPr>
        <w:t>农村工作委员会部门决算</w:t>
      </w:r>
      <w:bookmarkEnd w:id="6"/>
      <w:bookmarkEnd w:id="7"/>
      <w:bookmarkEnd w:id="8"/>
      <w:bookmarkEnd w:id="9"/>
      <w:bookmarkEnd w:id="10"/>
      <w:bookmarkEnd w:id="11"/>
    </w:p>
    <w:p w14:paraId="6C9850CF">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14:paraId="38CDEA39">
      <w:pPr>
        <w:widowControl/>
        <w:jc w:val="center"/>
        <w:rPr>
          <w:rFonts w:ascii="黑体" w:hAnsi="黑体" w:eastAsia="黑体"/>
          <w:sz w:val="28"/>
          <w:szCs w:val="28"/>
        </w:rPr>
      </w:pPr>
    </w:p>
    <w:p w14:paraId="19F1E48D">
      <w:pPr>
        <w:pStyle w:val="10"/>
      </w:pPr>
      <w:r>
        <w:rPr>
          <w:rFonts w:hint="eastAsia"/>
        </w:rPr>
        <w:t>公开时间：</w:t>
      </w:r>
      <w:r>
        <w:t>2020</w:t>
      </w:r>
      <w:r>
        <w:rPr>
          <w:rFonts w:hint="eastAsia"/>
        </w:rPr>
        <w:t>年</w:t>
      </w:r>
      <w:r>
        <w:t>9</w:t>
      </w:r>
      <w:r>
        <w:rPr>
          <w:rFonts w:hint="eastAsia"/>
        </w:rPr>
        <w:t>月</w:t>
      </w:r>
      <w:r>
        <w:t>3</w:t>
      </w:r>
      <w:r>
        <w:rPr>
          <w:rFonts w:hint="eastAsia"/>
        </w:rPr>
        <w:t>日</w:t>
      </w:r>
    </w:p>
    <w:p w14:paraId="272F3264"/>
    <w:p w14:paraId="086D2C74">
      <w:pPr>
        <w:pStyle w:val="10"/>
        <w:adjustRightInd w:val="0"/>
        <w:snapToGrid w:val="0"/>
        <w:spacing w:before="0" w:line="440" w:lineRule="exact"/>
        <w:jc w:val="left"/>
        <w:rPr>
          <w:sz w:val="24"/>
          <w:szCs w:val="24"/>
        </w:rPr>
      </w:pPr>
      <w:r>
        <w:rPr>
          <w:rFonts w:hint="eastAsia"/>
          <w:sz w:val="24"/>
        </w:rPr>
        <w:t>第一部分部门概况</w:t>
      </w:r>
    </w:p>
    <w:p w14:paraId="2B35B977">
      <w:pPr>
        <w:pStyle w:val="11"/>
        <w:adjustRightInd w:val="0"/>
        <w:snapToGrid w:val="0"/>
        <w:spacing w:line="440" w:lineRule="exact"/>
        <w:jc w:val="left"/>
        <w:rPr>
          <w:rFonts w:ascii="仿宋" w:hAnsi="仿宋" w:eastAsia="仿宋"/>
          <w:sz w:val="24"/>
        </w:rPr>
      </w:pPr>
      <w:r>
        <w:rPr>
          <w:rFonts w:hint="eastAsia"/>
          <w:sz w:val="24"/>
        </w:rPr>
        <w:t>一、基本职能及主要工作</w:t>
      </w:r>
    </w:p>
    <w:p w14:paraId="6C50F839">
      <w:pPr>
        <w:pStyle w:val="11"/>
        <w:adjustRightInd w:val="0"/>
        <w:snapToGrid w:val="0"/>
        <w:spacing w:line="440" w:lineRule="exact"/>
        <w:jc w:val="left"/>
        <w:rPr>
          <w:rFonts w:ascii="仿宋" w:hAnsi="仿宋" w:eastAsia="仿宋"/>
          <w:sz w:val="24"/>
        </w:rPr>
      </w:pPr>
      <w:r>
        <w:rPr>
          <w:rFonts w:hint="eastAsia"/>
          <w:sz w:val="24"/>
        </w:rPr>
        <w:t>二、机构设置</w:t>
      </w:r>
    </w:p>
    <w:p w14:paraId="1E8FCFAF">
      <w:pPr>
        <w:pStyle w:val="10"/>
        <w:adjustRightInd w:val="0"/>
        <w:snapToGrid w:val="0"/>
        <w:spacing w:before="0" w:line="440" w:lineRule="exact"/>
        <w:jc w:val="left"/>
        <w:rPr>
          <w:sz w:val="24"/>
          <w:szCs w:val="24"/>
        </w:rPr>
      </w:pPr>
      <w:r>
        <w:rPr>
          <w:rFonts w:hint="eastAsia"/>
          <w:sz w:val="24"/>
        </w:rPr>
        <w:t>第二部分度部门决算情况说明</w:t>
      </w:r>
    </w:p>
    <w:p w14:paraId="20916CC0">
      <w:pPr>
        <w:pStyle w:val="11"/>
        <w:adjustRightInd w:val="0"/>
        <w:snapToGrid w:val="0"/>
        <w:spacing w:line="440" w:lineRule="exact"/>
        <w:jc w:val="left"/>
        <w:rPr>
          <w:rFonts w:ascii="仿宋" w:hAnsi="仿宋" w:eastAsia="仿宋"/>
          <w:sz w:val="24"/>
        </w:rPr>
      </w:pPr>
      <w:r>
        <w:rPr>
          <w:rFonts w:hint="eastAsia"/>
          <w:sz w:val="24"/>
        </w:rPr>
        <w:t>一、收入支出决算总体情况说明</w:t>
      </w:r>
    </w:p>
    <w:p w14:paraId="16392C31">
      <w:pPr>
        <w:pStyle w:val="11"/>
        <w:adjustRightInd w:val="0"/>
        <w:snapToGrid w:val="0"/>
        <w:spacing w:line="440" w:lineRule="exact"/>
        <w:jc w:val="left"/>
        <w:rPr>
          <w:rFonts w:ascii="仿宋" w:hAnsi="仿宋" w:eastAsia="仿宋"/>
          <w:sz w:val="24"/>
        </w:rPr>
      </w:pPr>
      <w:r>
        <w:rPr>
          <w:rFonts w:hint="eastAsia"/>
          <w:sz w:val="24"/>
        </w:rPr>
        <w:t>二、收入决算情况说明</w:t>
      </w:r>
    </w:p>
    <w:p w14:paraId="5E6A2ECD">
      <w:pPr>
        <w:pStyle w:val="11"/>
        <w:adjustRightInd w:val="0"/>
        <w:snapToGrid w:val="0"/>
        <w:spacing w:line="440" w:lineRule="exact"/>
        <w:jc w:val="left"/>
        <w:rPr>
          <w:rFonts w:ascii="仿宋" w:hAnsi="仿宋" w:eastAsia="仿宋"/>
          <w:sz w:val="24"/>
        </w:rPr>
      </w:pPr>
      <w:r>
        <w:rPr>
          <w:rFonts w:hint="eastAsia"/>
          <w:sz w:val="24"/>
        </w:rPr>
        <w:t>三、支出决算情况说明</w:t>
      </w:r>
    </w:p>
    <w:p w14:paraId="1D5B64C2">
      <w:pPr>
        <w:pStyle w:val="11"/>
        <w:adjustRightInd w:val="0"/>
        <w:snapToGrid w:val="0"/>
        <w:spacing w:line="440" w:lineRule="exact"/>
        <w:jc w:val="left"/>
        <w:rPr>
          <w:rFonts w:ascii="仿宋" w:hAnsi="仿宋" w:eastAsia="仿宋"/>
          <w:sz w:val="24"/>
        </w:rPr>
      </w:pPr>
      <w:r>
        <w:rPr>
          <w:rFonts w:hint="eastAsia"/>
          <w:sz w:val="24"/>
        </w:rPr>
        <w:t>四、财政拨款收入支出决算总体情况说明</w:t>
      </w:r>
    </w:p>
    <w:p w14:paraId="11D4A068">
      <w:pPr>
        <w:pStyle w:val="11"/>
        <w:adjustRightInd w:val="0"/>
        <w:snapToGrid w:val="0"/>
        <w:spacing w:line="440" w:lineRule="exact"/>
        <w:jc w:val="left"/>
        <w:rPr>
          <w:rFonts w:ascii="仿宋" w:hAnsi="仿宋" w:eastAsia="仿宋"/>
          <w:sz w:val="24"/>
        </w:rPr>
      </w:pPr>
      <w:r>
        <w:rPr>
          <w:rFonts w:hint="eastAsia"/>
          <w:sz w:val="24"/>
        </w:rPr>
        <w:t>五、一般公共预算财政拨款支出决算情况说明</w:t>
      </w:r>
    </w:p>
    <w:p w14:paraId="68791A26">
      <w:pPr>
        <w:pStyle w:val="11"/>
        <w:adjustRightInd w:val="0"/>
        <w:snapToGrid w:val="0"/>
        <w:spacing w:line="440" w:lineRule="exact"/>
        <w:jc w:val="left"/>
        <w:rPr>
          <w:rFonts w:ascii="仿宋" w:hAnsi="仿宋" w:eastAsia="仿宋"/>
          <w:sz w:val="24"/>
        </w:rPr>
      </w:pPr>
      <w:r>
        <w:rPr>
          <w:rFonts w:hint="eastAsia"/>
          <w:sz w:val="24"/>
        </w:rPr>
        <w:t>六、一般公共预算财政拨款基本支出决算情况说明</w:t>
      </w:r>
    </w:p>
    <w:p w14:paraId="79A07EE8">
      <w:pPr>
        <w:pStyle w:val="11"/>
        <w:adjustRightInd w:val="0"/>
        <w:snapToGrid w:val="0"/>
        <w:spacing w:line="440" w:lineRule="exact"/>
        <w:jc w:val="left"/>
        <w:rPr>
          <w:rFonts w:ascii="仿宋" w:hAnsi="仿宋" w:eastAsia="仿宋"/>
          <w:sz w:val="24"/>
        </w:rPr>
      </w:pPr>
      <w:r>
        <w:rPr>
          <w:rFonts w:hint="eastAsia"/>
          <w:sz w:val="24"/>
        </w:rPr>
        <w:t>七、</w:t>
      </w:r>
      <w:r>
        <w:rPr>
          <w:sz w:val="24"/>
        </w:rPr>
        <w:t>“</w:t>
      </w:r>
      <w:r>
        <w:rPr>
          <w:rFonts w:hint="eastAsia"/>
          <w:sz w:val="24"/>
        </w:rPr>
        <w:t>三公”经费财政拨款支出决算情况说明</w:t>
      </w:r>
    </w:p>
    <w:p w14:paraId="218BEB6E">
      <w:pPr>
        <w:pStyle w:val="11"/>
        <w:adjustRightInd w:val="0"/>
        <w:snapToGrid w:val="0"/>
        <w:spacing w:line="440" w:lineRule="exact"/>
        <w:jc w:val="left"/>
        <w:rPr>
          <w:rFonts w:ascii="仿宋" w:hAnsi="仿宋" w:eastAsia="仿宋"/>
          <w:sz w:val="24"/>
        </w:rPr>
      </w:pPr>
      <w:r>
        <w:rPr>
          <w:rFonts w:hint="eastAsia"/>
          <w:sz w:val="24"/>
        </w:rPr>
        <w:t>八、政府性基金预算支出决算情况说明</w:t>
      </w:r>
    </w:p>
    <w:p w14:paraId="0A509138">
      <w:pPr>
        <w:pStyle w:val="11"/>
        <w:adjustRightInd w:val="0"/>
        <w:snapToGrid w:val="0"/>
        <w:spacing w:line="440" w:lineRule="exact"/>
        <w:ind w:leftChars="0"/>
        <w:jc w:val="left"/>
        <w:rPr>
          <w:rFonts w:ascii="仿宋" w:hAnsi="仿宋" w:eastAsia="仿宋"/>
          <w:sz w:val="24"/>
        </w:rPr>
      </w:pPr>
      <w:r>
        <w:rPr>
          <w:rFonts w:hint="eastAsia" w:ascii="仿宋" w:hAnsi="仿宋" w:eastAsia="仿宋"/>
          <w:sz w:val="24"/>
        </w:rPr>
        <w:t>九、</w:t>
      </w:r>
      <w:r>
        <w:rPr>
          <w:rFonts w:hint="eastAsia"/>
          <w:sz w:val="24"/>
        </w:rPr>
        <w:t>国有资本经营预算支出决算情况说明</w:t>
      </w:r>
    </w:p>
    <w:p w14:paraId="0F920362">
      <w:pPr>
        <w:adjustRightInd w:val="0"/>
        <w:snapToGrid w:val="0"/>
        <w:spacing w:line="440" w:lineRule="exact"/>
        <w:ind w:firstLine="480" w:firstLineChars="200"/>
        <w:jc w:val="left"/>
        <w:rPr>
          <w:rFonts w:ascii="仿宋" w:hAnsi="仿宋" w:eastAsia="仿宋"/>
          <w:sz w:val="24"/>
        </w:rPr>
      </w:pPr>
      <w:r>
        <w:rPr>
          <w:rStyle w:val="15"/>
          <w:rFonts w:hint="eastAsia" w:ascii="仿宋" w:hAnsi="仿宋" w:eastAsia="仿宋"/>
          <w:color w:val="000000"/>
          <w:sz w:val="24"/>
          <w:u w:val="none"/>
        </w:rPr>
        <w:t>十、</w:t>
      </w:r>
      <w:r>
        <w:rPr>
          <w:rFonts w:hint="eastAsia"/>
          <w:sz w:val="24"/>
        </w:rPr>
        <w:t>其他重要事项的情况说明</w:t>
      </w:r>
      <w:r>
        <w:rPr>
          <w:rFonts w:ascii="仿宋" w:hAnsi="仿宋" w:eastAsia="仿宋"/>
          <w:sz w:val="24"/>
        </w:rPr>
        <w:tab/>
      </w:r>
    </w:p>
    <w:p w14:paraId="29DFE822">
      <w:pPr>
        <w:pStyle w:val="10"/>
        <w:adjustRightInd w:val="0"/>
        <w:snapToGrid w:val="0"/>
        <w:spacing w:before="0" w:line="440" w:lineRule="exact"/>
        <w:jc w:val="left"/>
        <w:rPr>
          <w:sz w:val="24"/>
          <w:szCs w:val="24"/>
        </w:rPr>
      </w:pPr>
      <w:r>
        <w:rPr>
          <w:rFonts w:hint="eastAsia"/>
          <w:sz w:val="24"/>
        </w:rPr>
        <w:t>第三部分名词解释</w:t>
      </w:r>
    </w:p>
    <w:p w14:paraId="61D610A7">
      <w:pPr>
        <w:pStyle w:val="10"/>
        <w:adjustRightInd w:val="0"/>
        <w:snapToGrid w:val="0"/>
        <w:spacing w:before="0" w:line="440" w:lineRule="exact"/>
        <w:jc w:val="left"/>
        <w:rPr>
          <w:sz w:val="24"/>
          <w:szCs w:val="24"/>
        </w:rPr>
      </w:pPr>
      <w:r>
        <w:rPr>
          <w:rFonts w:hint="eastAsia"/>
          <w:sz w:val="24"/>
        </w:rPr>
        <w:t>第四部分附件</w:t>
      </w:r>
    </w:p>
    <w:p w14:paraId="2D39A56F">
      <w:pPr>
        <w:pStyle w:val="11"/>
        <w:adjustRightInd w:val="0"/>
        <w:snapToGrid w:val="0"/>
        <w:spacing w:line="440" w:lineRule="exact"/>
        <w:jc w:val="left"/>
        <w:rPr>
          <w:rFonts w:ascii="仿宋" w:hAnsi="仿宋" w:eastAsia="仿宋"/>
          <w:sz w:val="24"/>
        </w:rPr>
      </w:pPr>
      <w:r>
        <w:rPr>
          <w:rFonts w:hint="eastAsia"/>
          <w:sz w:val="24"/>
        </w:rPr>
        <w:t>附件</w:t>
      </w:r>
      <w:r>
        <w:rPr>
          <w:sz w:val="24"/>
        </w:rPr>
        <w:t>1</w:t>
      </w:r>
    </w:p>
    <w:p w14:paraId="41A193AB">
      <w:pPr>
        <w:pStyle w:val="11"/>
        <w:adjustRightInd w:val="0"/>
        <w:snapToGrid w:val="0"/>
        <w:spacing w:line="440" w:lineRule="exact"/>
        <w:jc w:val="left"/>
        <w:rPr>
          <w:rFonts w:ascii="仿宋" w:hAnsi="仿宋" w:eastAsia="仿宋"/>
          <w:sz w:val="24"/>
        </w:rPr>
      </w:pPr>
      <w:r>
        <w:rPr>
          <w:rFonts w:hint="eastAsia"/>
          <w:sz w:val="24"/>
        </w:rPr>
        <w:t>附件</w:t>
      </w:r>
      <w:r>
        <w:rPr>
          <w:sz w:val="24"/>
        </w:rPr>
        <w:t>2</w:t>
      </w:r>
    </w:p>
    <w:p w14:paraId="4FB6D196">
      <w:pPr>
        <w:pStyle w:val="10"/>
        <w:adjustRightInd w:val="0"/>
        <w:snapToGrid w:val="0"/>
        <w:spacing w:before="0" w:line="440" w:lineRule="exact"/>
        <w:jc w:val="left"/>
        <w:rPr>
          <w:sz w:val="24"/>
          <w:szCs w:val="24"/>
        </w:rPr>
      </w:pPr>
      <w:r>
        <w:rPr>
          <w:rFonts w:hint="eastAsia"/>
          <w:sz w:val="24"/>
        </w:rPr>
        <w:t>第五部分附表</w:t>
      </w:r>
    </w:p>
    <w:p w14:paraId="79B9B47D">
      <w:pPr>
        <w:pStyle w:val="11"/>
        <w:adjustRightInd w:val="0"/>
        <w:snapToGrid w:val="0"/>
        <w:spacing w:line="440" w:lineRule="exact"/>
        <w:jc w:val="left"/>
        <w:rPr>
          <w:rFonts w:ascii="仿宋" w:hAnsi="仿宋" w:eastAsia="仿宋"/>
          <w:sz w:val="24"/>
        </w:rPr>
      </w:pPr>
      <w:r>
        <w:rPr>
          <w:rFonts w:hint="eastAsia" w:ascii="仿宋" w:hAnsi="仿宋" w:eastAsia="仿宋"/>
          <w:sz w:val="24"/>
        </w:rPr>
        <w:t>一、</w:t>
      </w:r>
      <w:r>
        <w:rPr>
          <w:rFonts w:hint="eastAsia"/>
          <w:sz w:val="24"/>
        </w:rPr>
        <w:t>收入支出决算总表</w:t>
      </w:r>
    </w:p>
    <w:p w14:paraId="36F4E5D8">
      <w:pPr>
        <w:pStyle w:val="11"/>
        <w:adjustRightInd w:val="0"/>
        <w:snapToGrid w:val="0"/>
        <w:spacing w:line="440" w:lineRule="exact"/>
        <w:jc w:val="left"/>
        <w:rPr>
          <w:rFonts w:ascii="仿宋" w:hAnsi="仿宋" w:eastAsia="仿宋"/>
          <w:sz w:val="24"/>
        </w:rPr>
      </w:pPr>
      <w:r>
        <w:rPr>
          <w:rFonts w:hint="eastAsia" w:ascii="仿宋" w:hAnsi="仿宋" w:eastAsia="仿宋"/>
          <w:sz w:val="24"/>
        </w:rPr>
        <w:t>二、</w:t>
      </w:r>
      <w:r>
        <w:rPr>
          <w:rFonts w:hint="eastAsia"/>
          <w:sz w:val="24"/>
        </w:rPr>
        <w:t>收入</w:t>
      </w:r>
      <w:r>
        <w:rPr>
          <w:rFonts w:hint="eastAsia" w:ascii="仿宋" w:hAnsi="仿宋" w:eastAsia="仿宋"/>
          <w:sz w:val="24"/>
        </w:rPr>
        <w:t>决算</w:t>
      </w:r>
      <w:r>
        <w:rPr>
          <w:rFonts w:hint="eastAsia"/>
          <w:sz w:val="24"/>
        </w:rPr>
        <w:t>表</w:t>
      </w:r>
    </w:p>
    <w:p w14:paraId="2E17FE64">
      <w:pPr>
        <w:pStyle w:val="11"/>
        <w:adjustRightInd w:val="0"/>
        <w:snapToGrid w:val="0"/>
        <w:spacing w:line="440" w:lineRule="exact"/>
        <w:jc w:val="left"/>
        <w:rPr>
          <w:rFonts w:ascii="仿宋" w:hAnsi="仿宋" w:eastAsia="仿宋"/>
          <w:sz w:val="24"/>
        </w:rPr>
      </w:pPr>
      <w:r>
        <w:rPr>
          <w:rFonts w:hint="eastAsia" w:ascii="仿宋" w:hAnsi="仿宋" w:eastAsia="仿宋"/>
          <w:sz w:val="24"/>
        </w:rPr>
        <w:t>三、</w:t>
      </w:r>
      <w:r>
        <w:rPr>
          <w:rFonts w:hint="eastAsia"/>
          <w:sz w:val="24"/>
        </w:rPr>
        <w:t>支出</w:t>
      </w:r>
      <w:r>
        <w:rPr>
          <w:rFonts w:hint="eastAsia" w:ascii="仿宋" w:hAnsi="仿宋" w:eastAsia="仿宋"/>
          <w:sz w:val="24"/>
        </w:rPr>
        <w:t>决算</w:t>
      </w:r>
      <w:r>
        <w:rPr>
          <w:rFonts w:hint="eastAsia"/>
          <w:sz w:val="24"/>
        </w:rPr>
        <w:t>表</w:t>
      </w:r>
    </w:p>
    <w:p w14:paraId="1B51AFDD">
      <w:pPr>
        <w:pStyle w:val="11"/>
        <w:adjustRightInd w:val="0"/>
        <w:snapToGrid w:val="0"/>
        <w:spacing w:line="440" w:lineRule="exact"/>
        <w:jc w:val="left"/>
        <w:rPr>
          <w:rFonts w:ascii="仿宋" w:hAnsi="仿宋" w:eastAsia="仿宋"/>
          <w:sz w:val="24"/>
        </w:rPr>
      </w:pPr>
      <w:r>
        <w:rPr>
          <w:rFonts w:hint="eastAsia" w:ascii="仿宋" w:hAnsi="仿宋" w:eastAsia="仿宋"/>
          <w:sz w:val="24"/>
        </w:rPr>
        <w:t>四、</w:t>
      </w:r>
      <w:r>
        <w:rPr>
          <w:rFonts w:hint="eastAsia"/>
          <w:sz w:val="24"/>
        </w:rPr>
        <w:t>财政拨款收入支出决算总表</w:t>
      </w:r>
    </w:p>
    <w:p w14:paraId="2D83725A">
      <w:pPr>
        <w:pStyle w:val="11"/>
        <w:adjustRightInd w:val="0"/>
        <w:snapToGrid w:val="0"/>
        <w:spacing w:line="440" w:lineRule="exact"/>
        <w:jc w:val="left"/>
        <w:rPr>
          <w:rFonts w:ascii="仿宋" w:hAnsi="仿宋" w:eastAsia="仿宋"/>
          <w:sz w:val="24"/>
        </w:rPr>
      </w:pPr>
      <w:r>
        <w:rPr>
          <w:rFonts w:hint="eastAsia" w:ascii="仿宋" w:hAnsi="仿宋" w:eastAsia="仿宋"/>
          <w:sz w:val="24"/>
        </w:rPr>
        <w:t>五、财政拨款支出决算明细表</w:t>
      </w:r>
    </w:p>
    <w:p w14:paraId="18C91E7B">
      <w:pPr>
        <w:pStyle w:val="11"/>
        <w:adjustRightInd w:val="0"/>
        <w:snapToGrid w:val="0"/>
        <w:spacing w:line="440" w:lineRule="exact"/>
        <w:jc w:val="left"/>
        <w:rPr>
          <w:rFonts w:ascii="仿宋" w:hAnsi="仿宋" w:eastAsia="仿宋"/>
          <w:sz w:val="24"/>
        </w:rPr>
      </w:pPr>
      <w:r>
        <w:rPr>
          <w:rFonts w:hint="eastAsia" w:ascii="仿宋" w:hAnsi="仿宋" w:eastAsia="仿宋"/>
          <w:sz w:val="24"/>
        </w:rPr>
        <w:t>六、</w:t>
      </w:r>
      <w:r>
        <w:rPr>
          <w:rFonts w:hint="eastAsia"/>
          <w:sz w:val="24"/>
        </w:rPr>
        <w:t>一般公共预算财政拨款支出决算表</w:t>
      </w:r>
    </w:p>
    <w:p w14:paraId="044A807D">
      <w:pPr>
        <w:pStyle w:val="11"/>
        <w:adjustRightInd w:val="0"/>
        <w:snapToGrid w:val="0"/>
        <w:spacing w:line="440" w:lineRule="exact"/>
        <w:jc w:val="left"/>
        <w:rPr>
          <w:rFonts w:ascii="仿宋" w:hAnsi="仿宋" w:eastAsia="仿宋"/>
          <w:sz w:val="24"/>
        </w:rPr>
      </w:pPr>
      <w:r>
        <w:rPr>
          <w:rFonts w:hint="eastAsia" w:ascii="仿宋" w:hAnsi="仿宋" w:eastAsia="仿宋"/>
          <w:sz w:val="24"/>
        </w:rPr>
        <w:t>七、</w:t>
      </w:r>
      <w:r>
        <w:rPr>
          <w:rFonts w:hint="eastAsia"/>
          <w:sz w:val="24"/>
        </w:rPr>
        <w:t>一般公共预算财政拨款支出决算明细表</w:t>
      </w:r>
    </w:p>
    <w:p w14:paraId="1C892DFB">
      <w:pPr>
        <w:pStyle w:val="11"/>
        <w:adjustRightInd w:val="0"/>
        <w:snapToGrid w:val="0"/>
        <w:spacing w:line="440" w:lineRule="exact"/>
        <w:jc w:val="left"/>
        <w:rPr>
          <w:rFonts w:ascii="仿宋" w:hAnsi="仿宋" w:eastAsia="仿宋"/>
          <w:sz w:val="24"/>
        </w:rPr>
      </w:pPr>
      <w:r>
        <w:rPr>
          <w:rFonts w:hint="eastAsia" w:ascii="仿宋" w:hAnsi="仿宋" w:eastAsia="仿宋"/>
          <w:sz w:val="24"/>
        </w:rPr>
        <w:t>八、</w:t>
      </w:r>
      <w:r>
        <w:rPr>
          <w:rFonts w:hint="eastAsia"/>
          <w:sz w:val="24"/>
        </w:rPr>
        <w:t>一般公共预算财政拨款基本支出决算表</w:t>
      </w:r>
    </w:p>
    <w:p w14:paraId="75593FF8">
      <w:pPr>
        <w:pStyle w:val="11"/>
        <w:adjustRightInd w:val="0"/>
        <w:snapToGrid w:val="0"/>
        <w:spacing w:line="440" w:lineRule="exact"/>
        <w:jc w:val="left"/>
        <w:rPr>
          <w:rFonts w:ascii="仿宋" w:hAnsi="仿宋" w:eastAsia="仿宋"/>
          <w:sz w:val="24"/>
        </w:rPr>
      </w:pPr>
      <w:r>
        <w:rPr>
          <w:rFonts w:hint="eastAsia" w:ascii="仿宋" w:hAnsi="仿宋" w:eastAsia="仿宋"/>
          <w:sz w:val="24"/>
        </w:rPr>
        <w:t>九、</w:t>
      </w:r>
      <w:r>
        <w:rPr>
          <w:rFonts w:hint="eastAsia"/>
          <w:sz w:val="24"/>
        </w:rPr>
        <w:t>一般公共预算财政拨款项目支出决算表</w:t>
      </w:r>
    </w:p>
    <w:p w14:paraId="6172D216">
      <w:pPr>
        <w:pStyle w:val="11"/>
        <w:adjustRightInd w:val="0"/>
        <w:snapToGrid w:val="0"/>
        <w:spacing w:line="440" w:lineRule="exact"/>
        <w:jc w:val="left"/>
        <w:rPr>
          <w:rFonts w:ascii="仿宋" w:hAnsi="仿宋" w:eastAsia="仿宋"/>
          <w:sz w:val="24"/>
        </w:rPr>
      </w:pPr>
      <w:r>
        <w:rPr>
          <w:rFonts w:hint="eastAsia" w:ascii="仿宋" w:hAnsi="仿宋" w:eastAsia="仿宋"/>
          <w:sz w:val="24"/>
        </w:rPr>
        <w:t>十、</w:t>
      </w:r>
      <w:r>
        <w:rPr>
          <w:rFonts w:hint="eastAsia"/>
          <w:sz w:val="24"/>
        </w:rPr>
        <w:t>一般公共预算财政拨款“三公”经费支出决算表</w:t>
      </w:r>
    </w:p>
    <w:p w14:paraId="3F5EB4E1">
      <w:pPr>
        <w:pStyle w:val="11"/>
        <w:adjustRightInd w:val="0"/>
        <w:snapToGrid w:val="0"/>
        <w:spacing w:line="440" w:lineRule="exact"/>
        <w:jc w:val="left"/>
        <w:rPr>
          <w:rFonts w:ascii="仿宋" w:hAnsi="仿宋" w:eastAsia="仿宋"/>
          <w:sz w:val="24"/>
        </w:rPr>
      </w:pPr>
      <w:r>
        <w:rPr>
          <w:rFonts w:hint="eastAsia" w:ascii="仿宋" w:hAnsi="仿宋" w:eastAsia="仿宋"/>
          <w:sz w:val="24"/>
        </w:rPr>
        <w:t>十一、</w:t>
      </w:r>
      <w:r>
        <w:rPr>
          <w:rFonts w:hint="eastAsia"/>
          <w:sz w:val="24"/>
        </w:rPr>
        <w:t>政府性基金预算财政拨款收入支出决算表</w:t>
      </w:r>
    </w:p>
    <w:p w14:paraId="5EBCA3D3">
      <w:pPr>
        <w:pStyle w:val="11"/>
        <w:adjustRightInd w:val="0"/>
        <w:snapToGrid w:val="0"/>
        <w:spacing w:line="440" w:lineRule="exact"/>
        <w:jc w:val="left"/>
        <w:rPr>
          <w:rFonts w:ascii="仿宋" w:hAnsi="仿宋" w:eastAsia="仿宋"/>
          <w:sz w:val="24"/>
        </w:rPr>
      </w:pPr>
      <w:r>
        <w:rPr>
          <w:rFonts w:hint="eastAsia" w:ascii="仿宋" w:hAnsi="仿宋" w:eastAsia="仿宋"/>
          <w:sz w:val="24"/>
        </w:rPr>
        <w:t>十二、</w:t>
      </w:r>
      <w:r>
        <w:rPr>
          <w:rFonts w:hint="eastAsia"/>
          <w:sz w:val="24"/>
        </w:rPr>
        <w:t>政府性基金预算财政拨款“三公”经费支出决算表</w:t>
      </w:r>
    </w:p>
    <w:p w14:paraId="5E828569">
      <w:pPr>
        <w:pStyle w:val="11"/>
        <w:adjustRightInd w:val="0"/>
        <w:snapToGrid w:val="0"/>
        <w:spacing w:line="440" w:lineRule="exact"/>
        <w:jc w:val="left"/>
        <w:rPr>
          <w:rFonts w:ascii="仿宋" w:hAnsi="仿宋" w:eastAsia="仿宋"/>
          <w:sz w:val="24"/>
        </w:rPr>
      </w:pPr>
      <w:r>
        <w:rPr>
          <w:rFonts w:hint="eastAsia" w:ascii="仿宋" w:hAnsi="仿宋" w:eastAsia="仿宋"/>
          <w:sz w:val="24"/>
        </w:rPr>
        <w:t>十三、</w:t>
      </w:r>
      <w:r>
        <w:rPr>
          <w:rFonts w:hint="eastAsia"/>
          <w:sz w:val="24"/>
        </w:rPr>
        <w:t>国有资本经营预算支出决算表</w:t>
      </w:r>
    </w:p>
    <w:p w14:paraId="3C78DA5F">
      <w:pPr>
        <w:pStyle w:val="11"/>
        <w:adjustRightInd w:val="0"/>
        <w:snapToGrid w:val="0"/>
        <w:spacing w:line="440" w:lineRule="exact"/>
        <w:jc w:val="left"/>
        <w:rPr>
          <w:rFonts w:ascii="仿宋" w:hAnsi="仿宋" w:eastAsia="仿宋"/>
          <w:sz w:val="24"/>
        </w:rPr>
      </w:pPr>
      <w:r>
        <w:rPr>
          <w:rFonts w:hint="eastAsia" w:ascii="仿宋" w:hAnsi="仿宋" w:eastAsia="仿宋"/>
          <w:sz w:val="24"/>
        </w:rPr>
        <w:t>十四、机关运行经费、资产占用及政府采购支出信息表</w:t>
      </w:r>
    </w:p>
    <w:p w14:paraId="64F90936">
      <w:pPr>
        <w:pStyle w:val="11"/>
        <w:adjustRightInd w:val="0"/>
        <w:snapToGrid w:val="0"/>
        <w:spacing w:line="440" w:lineRule="exact"/>
        <w:jc w:val="left"/>
        <w:rPr>
          <w:rFonts w:ascii="仿宋" w:hAnsi="仿宋" w:eastAsia="仿宋"/>
          <w:sz w:val="24"/>
        </w:rPr>
      </w:pPr>
    </w:p>
    <w:p w14:paraId="1681024C">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14:paraId="6ABB6C45">
      <w:pPr>
        <w:pStyle w:val="2"/>
        <w:jc w:val="center"/>
        <w:rPr>
          <w:rStyle w:val="16"/>
          <w:rFonts w:ascii="黑体" w:hAnsi="黑体" w:eastAsia="黑体"/>
          <w:b/>
          <w:bCs w:val="0"/>
        </w:rPr>
      </w:pPr>
      <w:r>
        <w:rPr>
          <w:rFonts w:hint="eastAsia" w:ascii="黑体" w:hAnsi="黑体" w:eastAsia="黑体"/>
          <w:b w:val="0"/>
        </w:rPr>
        <w:t>第一部分</w:t>
      </w:r>
      <w:r>
        <w:rPr>
          <w:rStyle w:val="16"/>
          <w:rFonts w:hint="eastAsia" w:ascii="黑体" w:hAnsi="黑体" w:eastAsia="黑体"/>
          <w:b w:val="0"/>
          <w:bCs w:val="0"/>
        </w:rPr>
        <w:t>部门概况</w:t>
      </w:r>
      <w:bookmarkEnd w:id="12"/>
      <w:bookmarkEnd w:id="13"/>
    </w:p>
    <w:p w14:paraId="7DCE6928">
      <w:pPr>
        <w:widowControl/>
        <w:jc w:val="left"/>
        <w:rPr>
          <w:rFonts w:ascii="黑体" w:eastAsia="黑体"/>
          <w:color w:val="000000"/>
          <w:sz w:val="32"/>
          <w:szCs w:val="32"/>
        </w:rPr>
      </w:pPr>
    </w:p>
    <w:p w14:paraId="6604F649">
      <w:pPr>
        <w:pStyle w:val="3"/>
        <w:rPr>
          <w:rStyle w:val="17"/>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17"/>
          <w:rFonts w:hint="eastAsia" w:ascii="黑体" w:hAnsi="黑体" w:eastAsia="黑体"/>
          <w:b w:val="0"/>
          <w:bCs w:val="0"/>
        </w:rPr>
        <w:t>本职能及主要工作</w:t>
      </w:r>
      <w:bookmarkEnd w:id="14"/>
      <w:bookmarkEnd w:id="15"/>
    </w:p>
    <w:p w14:paraId="69F3D3D8">
      <w:pPr>
        <w:pStyle w:val="5"/>
        <w:adjustRightInd w:val="0"/>
        <w:snapToGrid w:val="0"/>
        <w:spacing w:before="93" w:line="600" w:lineRule="exact"/>
        <w:ind w:firstLine="672" w:firstLineChars="210"/>
        <w:outlineLvl w:val="2"/>
        <w:rPr>
          <w:rFonts w:ascii="方正仿宋简体" w:eastAsia="方正仿宋简体"/>
          <w:sz w:val="33"/>
          <w:szCs w:val="33"/>
        </w:rPr>
      </w:pPr>
      <w:bookmarkStart w:id="16" w:name="_Toc15377198"/>
      <w:bookmarkStart w:id="17" w:name="_Toc15378445"/>
      <w:r>
        <w:rPr>
          <w:rFonts w:hint="eastAsia" w:ascii="仿宋" w:hAnsi="仿宋" w:eastAsia="仿宋"/>
          <w:bCs/>
          <w:color w:val="000000"/>
          <w:sz w:val="32"/>
          <w:szCs w:val="32"/>
        </w:rPr>
        <w:t>（一）主要职能。</w:t>
      </w:r>
      <w:bookmarkEnd w:id="16"/>
      <w:bookmarkEnd w:id="17"/>
      <w:bookmarkStart w:id="18" w:name="_Toc15378446"/>
      <w:bookmarkStart w:id="19" w:name="_Toc15377199"/>
      <w:r>
        <w:rPr>
          <w:rFonts w:hint="eastAsia" w:ascii="方正仿宋简体" w:eastAsia="方正仿宋简体"/>
          <w:sz w:val="33"/>
          <w:szCs w:val="33"/>
        </w:rPr>
        <w:t>1.做好县委“三农”工作方针政策、决策部署基础工作，开展战略性、全局性、综合性问题的调查研究，起草指导“三农”工作的政策文件；牵头拟定全县农业和农村经济社会中长期发展战略规划，负责县级部门涉及农村重大经济政策文件的审核把关，协调有关部门组织对农村工作重大方针、政策的宣传；2.指导协调农村经济体制改革、农业产业化发展、农村劳务产业经济发展、农村市场体系建设、农村社会事业发展等工作，综合协调县级有关部门涉农工作；3.负责中央和省、市、县委农村改革发展方针、政策贯彻落实的督促检查，负责全县“三农”工作的督促检查，配合有关部门搞好对乡（镇）和县级农口部门目标任务完成情况的检查、考评；4.牵头推进全县新农村建设、农村全面小康建设工作，牵头负责全县新农村建设示范片推进工作，负责新农村建设示范片推进工作领导小组办公室的日常工作；5.完成县委交办的其他工作。</w:t>
      </w:r>
    </w:p>
    <w:p w14:paraId="640CEB5E">
      <w:pPr>
        <w:pStyle w:val="5"/>
        <w:adjustRightInd w:val="0"/>
        <w:snapToGrid w:val="0"/>
        <w:spacing w:before="93" w:line="600" w:lineRule="exact"/>
        <w:ind w:firstLine="672" w:firstLineChars="210"/>
        <w:outlineLvl w:val="2"/>
        <w:rPr>
          <w:rFonts w:ascii="方正仿宋_GBK" w:eastAsia="方正仿宋_GBK"/>
          <w:color w:val="000000"/>
          <w:sz w:val="33"/>
          <w:szCs w:val="33"/>
        </w:rPr>
      </w:pPr>
      <w:r>
        <w:rPr>
          <w:rFonts w:hint="eastAsia" w:ascii="仿宋" w:hAnsi="仿宋" w:eastAsia="仿宋"/>
          <w:bCs/>
          <w:color w:val="000000"/>
          <w:sz w:val="32"/>
          <w:szCs w:val="32"/>
        </w:rPr>
        <w:t>（二）</w:t>
      </w:r>
      <w:r>
        <w:rPr>
          <w:rFonts w:ascii="仿宋" w:hAnsi="仿宋" w:eastAsia="仿宋"/>
          <w:bCs/>
          <w:color w:val="000000"/>
          <w:sz w:val="32"/>
          <w:szCs w:val="32"/>
        </w:rPr>
        <w:t>2019</w:t>
      </w:r>
      <w:r>
        <w:rPr>
          <w:rFonts w:hint="eastAsia" w:ascii="仿宋" w:hAnsi="仿宋" w:eastAsia="仿宋"/>
          <w:bCs/>
          <w:color w:val="000000"/>
          <w:sz w:val="32"/>
          <w:szCs w:val="32"/>
        </w:rPr>
        <w:t>年重点工作完成情况。</w:t>
      </w:r>
      <w:bookmarkEnd w:id="18"/>
      <w:bookmarkEnd w:id="19"/>
      <w:r>
        <w:rPr>
          <w:rFonts w:eastAsia="方正仿宋_GBK"/>
          <w:sz w:val="33"/>
          <w:szCs w:val="33"/>
        </w:rPr>
        <w:t>201</w:t>
      </w:r>
      <w:r>
        <w:rPr>
          <w:rFonts w:hint="eastAsia" w:eastAsia="方正仿宋_GBK"/>
          <w:sz w:val="33"/>
          <w:szCs w:val="33"/>
          <w:lang w:val="en-US" w:eastAsia="zh-CN"/>
        </w:rPr>
        <w:t>9</w:t>
      </w:r>
      <w:r>
        <w:rPr>
          <w:rFonts w:hint="eastAsia" w:ascii="方正仿宋_GBK" w:eastAsia="方正仿宋_GBK"/>
          <w:sz w:val="33"/>
          <w:szCs w:val="33"/>
        </w:rPr>
        <w:t>年，我委在县委、县政府正确领导下，在市委农工委的关心下，</w:t>
      </w:r>
      <w:r>
        <w:rPr>
          <w:rFonts w:hint="eastAsia" w:ascii="方正仿宋_GBK" w:eastAsia="方正仿宋_GBK"/>
          <w:color w:val="000000"/>
          <w:sz w:val="33"/>
          <w:szCs w:val="33"/>
        </w:rPr>
        <w:t>认真贯彻落实中央</w:t>
      </w:r>
      <w:r>
        <w:rPr>
          <w:rFonts w:hint="eastAsia" w:eastAsia="方正仿宋_GBK"/>
          <w:sz w:val="33"/>
          <w:szCs w:val="33"/>
        </w:rPr>
        <w:t>1</w:t>
      </w:r>
      <w:r>
        <w:rPr>
          <w:rFonts w:hint="eastAsia" w:ascii="方正仿宋_GBK" w:eastAsia="方正仿宋_GBK"/>
          <w:color w:val="000000"/>
          <w:sz w:val="33"/>
          <w:szCs w:val="33"/>
        </w:rPr>
        <w:t>号和省委文件精神，认真履职尽责，切实抓好基础提升、脱贫攻坚、“四好村”创建、农民增收、幸福美丽新村建设、农业农村体制改革等工作</w:t>
      </w:r>
      <w:r>
        <w:rPr>
          <w:rFonts w:hint="eastAsia" w:ascii="方正仿宋_GBK" w:eastAsia="方正仿宋_GBK"/>
          <w:color w:val="000000"/>
          <w:sz w:val="33"/>
          <w:szCs w:val="33"/>
          <w:lang w:eastAsia="zh-CN"/>
        </w:rPr>
        <w:t>。</w:t>
      </w:r>
      <w:r>
        <w:rPr>
          <w:rFonts w:hint="eastAsia" w:ascii="方正仿宋_GBK" w:eastAsia="方正仿宋_GBK"/>
          <w:color w:val="000000"/>
          <w:sz w:val="33"/>
          <w:szCs w:val="33"/>
          <w:lang w:val="en-US" w:eastAsia="zh-CN"/>
        </w:rPr>
        <w:t>因机构改革，于2019年3月</w:t>
      </w:r>
      <w:bookmarkStart w:id="20" w:name="_Toc15396601"/>
      <w:bookmarkStart w:id="21" w:name="_Toc15377200"/>
      <w:r>
        <w:rPr>
          <w:rFonts w:hint="eastAsia" w:ascii="方正仿宋_GBK" w:eastAsia="方正仿宋_GBK"/>
          <w:color w:val="000000"/>
          <w:sz w:val="33"/>
          <w:szCs w:val="33"/>
          <w:lang w:val="en-US" w:eastAsia="zh-CN"/>
        </w:rPr>
        <w:t>机构撤销。</w:t>
      </w:r>
    </w:p>
    <w:p w14:paraId="7F6A618F">
      <w:pPr>
        <w:pStyle w:val="5"/>
        <w:adjustRightInd w:val="0"/>
        <w:snapToGrid w:val="0"/>
        <w:spacing w:before="93" w:line="600" w:lineRule="exact"/>
        <w:ind w:firstLine="672" w:firstLineChars="210"/>
        <w:outlineLvl w:val="2"/>
        <w:rPr>
          <w:rStyle w:val="17"/>
          <w:rFonts w:ascii="黑体" w:hAnsi="黑体" w:eastAsia="黑体"/>
          <w:b w:val="0"/>
          <w:bCs w:val="0"/>
        </w:rPr>
      </w:pPr>
      <w:r>
        <w:rPr>
          <w:rStyle w:val="17"/>
          <w:rFonts w:hint="eastAsia" w:ascii="黑体" w:hAnsi="黑体" w:eastAsia="黑体"/>
          <w:b w:val="0"/>
          <w:bCs w:val="0"/>
        </w:rPr>
        <w:t>二、机构设置</w:t>
      </w:r>
      <w:bookmarkEnd w:id="20"/>
      <w:bookmarkEnd w:id="21"/>
    </w:p>
    <w:p w14:paraId="3A2154D9">
      <w:pPr>
        <w:pStyle w:val="2"/>
        <w:ind w:right="440" w:firstLine="660" w:firstLineChars="200"/>
        <w:jc w:val="left"/>
        <w:rPr>
          <w:rStyle w:val="16"/>
          <w:rFonts w:ascii="黑体" w:hAnsi="黑体" w:eastAsia="黑体"/>
          <w:b w:val="0"/>
          <w:bCs w:val="0"/>
        </w:rPr>
      </w:pPr>
      <w:bookmarkStart w:id="22" w:name="_Toc15377204"/>
      <w:bookmarkStart w:id="23" w:name="_Toc15396602"/>
      <w:r>
        <w:rPr>
          <w:rFonts w:hint="eastAsia" w:ascii="方正仿宋_GBK" w:eastAsia="方正仿宋_GBK"/>
          <w:b w:val="0"/>
          <w:bCs w:val="0"/>
          <w:kern w:val="0"/>
          <w:sz w:val="33"/>
          <w:szCs w:val="33"/>
        </w:rPr>
        <w:t>县委农工委下属二级单位1个，米易县农业产业经济和市场信息服务中心，属于全额拨款事业单位，不是财务独立单位。</w:t>
      </w:r>
      <w:r>
        <w:rPr>
          <w:rFonts w:hint="eastAsia" w:ascii="方正仿宋_GBK" w:eastAsia="方正仿宋_GBK"/>
          <w:b w:val="0"/>
          <w:bCs w:val="0"/>
          <w:kern w:val="0"/>
          <w:sz w:val="33"/>
          <w:szCs w:val="33"/>
        </w:rPr>
        <w:br w:type="page"/>
      </w:r>
      <w:r>
        <w:rPr>
          <w:rFonts w:hint="eastAsia" w:ascii="黑体" w:hAnsi="黑体" w:eastAsia="黑体"/>
          <w:b w:val="0"/>
          <w:color w:val="000000"/>
        </w:rPr>
        <w:t>第二部分</w:t>
      </w:r>
      <w:r>
        <w:rPr>
          <w:rStyle w:val="16"/>
          <w:rFonts w:ascii="黑体" w:hAnsi="黑体" w:eastAsia="黑体"/>
          <w:b w:val="0"/>
          <w:bCs w:val="0"/>
        </w:rPr>
        <w:t>2019</w:t>
      </w:r>
      <w:r>
        <w:rPr>
          <w:rStyle w:val="16"/>
          <w:rFonts w:hint="eastAsia" w:ascii="黑体" w:hAnsi="黑体" w:eastAsia="黑体"/>
          <w:b w:val="0"/>
          <w:bCs w:val="0"/>
        </w:rPr>
        <w:t>年度部门决算情况说明</w:t>
      </w:r>
      <w:bookmarkEnd w:id="22"/>
      <w:bookmarkEnd w:id="23"/>
    </w:p>
    <w:p w14:paraId="16566630"/>
    <w:p w14:paraId="01B2594F">
      <w:pPr>
        <w:pStyle w:val="27"/>
        <w:numPr>
          <w:ilvl w:val="0"/>
          <w:numId w:val="1"/>
        </w:numPr>
        <w:spacing w:line="600" w:lineRule="exact"/>
        <w:ind w:firstLineChars="0"/>
        <w:outlineLvl w:val="1"/>
        <w:rPr>
          <w:rStyle w:val="17"/>
          <w:rFonts w:ascii="黑体" w:hAnsi="黑体" w:eastAsia="黑体"/>
          <w:b w:val="0"/>
        </w:rPr>
      </w:pPr>
      <w:bookmarkStart w:id="24" w:name="_Toc15396603"/>
      <w:bookmarkStart w:id="25" w:name="_Toc15377205"/>
      <w:r>
        <w:rPr>
          <w:rFonts w:hint="eastAsia" w:ascii="黑体" w:hAnsi="黑体" w:eastAsia="黑体"/>
          <w:color w:val="000000"/>
          <w:sz w:val="32"/>
          <w:szCs w:val="32"/>
        </w:rPr>
        <w:t>收</w:t>
      </w:r>
      <w:r>
        <w:rPr>
          <w:rStyle w:val="17"/>
          <w:rFonts w:hint="eastAsia" w:ascii="黑体" w:hAnsi="黑体" w:eastAsia="黑体"/>
          <w:b w:val="0"/>
        </w:rPr>
        <w:t>入支出决算总体情况说明</w:t>
      </w:r>
      <w:bookmarkEnd w:id="24"/>
      <w:bookmarkEnd w:id="25"/>
    </w:p>
    <w:p w14:paraId="02FCF5CD">
      <w:pPr>
        <w:spacing w:line="560" w:lineRule="exact"/>
        <w:ind w:firstLine="640" w:firstLineChars="200"/>
        <w:rPr>
          <w:rFonts w:ascii="仿宋_GB2312" w:eastAsia="仿宋_GB2312"/>
          <w:sz w:val="32"/>
          <w:szCs w:val="32"/>
        </w:rPr>
      </w:pPr>
      <w:r>
        <w:rPr>
          <w:rFonts w:hint="eastAsia" w:ascii="仿宋_GB2312" w:eastAsia="仿宋_GB2312"/>
          <w:sz w:val="32"/>
          <w:szCs w:val="32"/>
        </w:rPr>
        <w:t>2019年全年收入决算总额为69.76万元，其中：当年财政拨款收入69.76万元。与上年相比较减少423%，原因是机构改革后合并。</w:t>
      </w:r>
    </w:p>
    <w:p w14:paraId="43365B12">
      <w:pPr>
        <w:spacing w:line="560" w:lineRule="exact"/>
        <w:ind w:firstLine="640" w:firstLineChars="200"/>
        <w:rPr>
          <w:rFonts w:ascii="仿宋_GB2312" w:eastAsia="仿宋_GB2312"/>
          <w:sz w:val="32"/>
          <w:szCs w:val="32"/>
        </w:rPr>
      </w:pPr>
      <w:r>
        <w:rPr>
          <w:rFonts w:ascii="仿宋_GB2312" w:eastAsia="仿宋_GB2312"/>
          <w:color w:val="000000"/>
          <w:sz w:val="32"/>
          <w:szCs w:val="32"/>
        </w:rPr>
        <w:pict>
          <v:shape id="_x0000_s1026" o:spid="_x0000_s1026" o:spt="75" type="#_x0000_t75" style="position:absolute;left:0pt;margin-left:14.15pt;margin-top:138.55pt;height:200.3pt;width:366.75pt;z-index:251659264;mso-width-relative:page;mso-height-relative:page;" o:ole="t" filled="f" o:preferrelative="t" stroked="f" coordsize="21600,21600">
            <v:path/>
            <v:fill on="f" focussize="0,0"/>
            <v:stroke on="f" joinstyle="miter"/>
            <v:imagedata r:id="rId7" o:title=""/>
            <o:lock v:ext="edit" aspectratio="t"/>
          </v:shape>
          <o:OLEObject Type="Embed" ProgID="Excel.Chart.8" ShapeID="_x0000_s1026" DrawAspect="Content" ObjectID="_1468075725" r:id="rId6">
            <o:LockedField>false</o:LockedField>
          </o:OLEObject>
        </w:pict>
      </w:r>
      <w:r>
        <w:rPr>
          <w:rFonts w:hint="eastAsia" w:ascii="仿宋_GB2312" w:eastAsia="仿宋_GB2312"/>
          <w:sz w:val="32"/>
          <w:szCs w:val="32"/>
        </w:rPr>
        <w:t>2019年全年支出决算总额为104.76万元，其中：一般公共服务支出55.05万元，社会保障和就业5.14万元，卫生健康支出3.61，住房保障支出5.97万元，农林水支出35万元。与上年相比较减少516%，原因是机构改革后项目支出减少。</w:t>
      </w:r>
    </w:p>
    <w:p w14:paraId="2DF8CF61">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14:paraId="7C881E83">
      <w:pPr>
        <w:spacing w:line="600" w:lineRule="exact"/>
        <w:ind w:firstLine="640" w:firstLineChars="200"/>
        <w:jc w:val="left"/>
        <w:rPr>
          <w:rFonts w:ascii="仿宋_GB2312" w:eastAsia="仿宋_GB2312"/>
          <w:color w:val="000000"/>
          <w:sz w:val="32"/>
          <w:szCs w:val="32"/>
        </w:rPr>
      </w:pPr>
    </w:p>
    <w:p w14:paraId="68D0F995">
      <w:pPr>
        <w:pStyle w:val="27"/>
        <w:spacing w:line="600" w:lineRule="exact"/>
        <w:ind w:left="640" w:firstLine="0" w:firstLineChars="0"/>
        <w:outlineLvl w:val="1"/>
        <w:rPr>
          <w:rFonts w:ascii="黑体" w:hAnsi="黑体" w:eastAsia="黑体"/>
          <w:color w:val="000000"/>
          <w:sz w:val="32"/>
          <w:szCs w:val="32"/>
        </w:rPr>
      </w:pPr>
      <w:bookmarkStart w:id="26" w:name="_Toc15377206"/>
      <w:bookmarkStart w:id="27" w:name="_Toc15396604"/>
    </w:p>
    <w:p w14:paraId="37169803">
      <w:pPr>
        <w:pStyle w:val="27"/>
        <w:spacing w:line="600" w:lineRule="exact"/>
        <w:ind w:left="640" w:firstLine="0" w:firstLineChars="0"/>
        <w:outlineLvl w:val="1"/>
        <w:rPr>
          <w:rFonts w:ascii="黑体" w:hAnsi="黑体" w:eastAsia="黑体"/>
          <w:color w:val="000000"/>
          <w:sz w:val="32"/>
          <w:szCs w:val="32"/>
        </w:rPr>
      </w:pPr>
    </w:p>
    <w:p w14:paraId="1C1D9C67">
      <w:pPr>
        <w:pStyle w:val="27"/>
        <w:spacing w:line="600" w:lineRule="exact"/>
        <w:ind w:left="640" w:firstLine="0" w:firstLineChars="0"/>
        <w:outlineLvl w:val="1"/>
        <w:rPr>
          <w:rFonts w:ascii="黑体" w:hAnsi="黑体" w:eastAsia="黑体"/>
          <w:color w:val="000000"/>
          <w:sz w:val="32"/>
          <w:szCs w:val="32"/>
        </w:rPr>
      </w:pPr>
    </w:p>
    <w:p w14:paraId="38DC5941">
      <w:pPr>
        <w:pStyle w:val="27"/>
        <w:spacing w:line="600" w:lineRule="exact"/>
        <w:ind w:left="640" w:firstLine="0" w:firstLineChars="0"/>
        <w:outlineLvl w:val="1"/>
        <w:rPr>
          <w:rFonts w:ascii="黑体" w:hAnsi="黑体" w:eastAsia="黑体"/>
          <w:color w:val="000000"/>
          <w:sz w:val="32"/>
          <w:szCs w:val="32"/>
        </w:rPr>
      </w:pPr>
    </w:p>
    <w:p w14:paraId="27FC895D">
      <w:pPr>
        <w:pStyle w:val="27"/>
        <w:spacing w:line="600" w:lineRule="exact"/>
        <w:ind w:firstLine="0" w:firstLineChars="0"/>
        <w:outlineLvl w:val="1"/>
        <w:rPr>
          <w:rFonts w:ascii="黑体" w:hAnsi="黑体" w:eastAsia="黑体"/>
          <w:color w:val="000000"/>
          <w:sz w:val="32"/>
          <w:szCs w:val="32"/>
        </w:rPr>
      </w:pPr>
    </w:p>
    <w:p w14:paraId="6D6BB62A">
      <w:pPr>
        <w:pStyle w:val="27"/>
        <w:spacing w:line="600" w:lineRule="exact"/>
        <w:ind w:left="640" w:firstLine="0" w:firstLineChars="0"/>
        <w:outlineLvl w:val="1"/>
        <w:rPr>
          <w:rStyle w:val="17"/>
          <w:rFonts w:ascii="黑体" w:hAnsi="黑体" w:eastAsia="黑体"/>
          <w:b w:val="0"/>
        </w:rPr>
      </w:pPr>
      <w:r>
        <w:rPr>
          <w:rFonts w:hint="eastAsia" w:ascii="黑体" w:hAnsi="黑体" w:eastAsia="黑体"/>
          <w:color w:val="000000"/>
          <w:sz w:val="32"/>
          <w:szCs w:val="32"/>
        </w:rPr>
        <w:t>二、收</w:t>
      </w:r>
      <w:r>
        <w:rPr>
          <w:rStyle w:val="17"/>
          <w:rFonts w:hint="eastAsia" w:ascii="黑体" w:hAnsi="黑体" w:eastAsia="黑体"/>
          <w:b w:val="0"/>
        </w:rPr>
        <w:t>入决算情况说明</w:t>
      </w:r>
      <w:bookmarkEnd w:id="26"/>
      <w:bookmarkEnd w:id="27"/>
    </w:p>
    <w:p w14:paraId="6245D142">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年本年收入合计69.76万元，其中：一般公共预算财政拨款收入69.76万元，占45</w:t>
      </w:r>
      <w:r>
        <w:rPr>
          <w:rFonts w:ascii="仿宋" w:hAnsi="仿宋" w:eastAsia="仿宋"/>
          <w:color w:val="000000"/>
          <w:sz w:val="32"/>
          <w:szCs w:val="32"/>
        </w:rPr>
        <w:t>%</w:t>
      </w:r>
      <w:r>
        <w:rPr>
          <w:rFonts w:hint="eastAsia" w:ascii="仿宋" w:hAnsi="仿宋" w:eastAsia="仿宋"/>
          <w:color w:val="000000"/>
          <w:sz w:val="32"/>
          <w:szCs w:val="32"/>
        </w:rPr>
        <w:t>。</w:t>
      </w:r>
    </w:p>
    <w:p w14:paraId="772C0D9D">
      <w:pPr>
        <w:spacing w:line="600" w:lineRule="exact"/>
        <w:ind w:firstLine="640" w:firstLineChars="200"/>
        <w:outlineLvl w:val="1"/>
        <w:rPr>
          <w:rFonts w:ascii="仿宋" w:hAnsi="仿宋" w:eastAsia="仿宋"/>
          <w:color w:val="000000"/>
          <w:sz w:val="32"/>
          <w:szCs w:val="32"/>
        </w:rPr>
      </w:pPr>
    </w:p>
    <w:p w14:paraId="0D999DF1">
      <w:pPr>
        <w:spacing w:line="600" w:lineRule="exact"/>
        <w:ind w:firstLine="640" w:firstLineChars="200"/>
        <w:outlineLvl w:val="1"/>
        <w:rPr>
          <w:rFonts w:ascii="仿宋" w:hAnsi="仿宋" w:eastAsia="仿宋"/>
          <w:color w:val="000000"/>
          <w:sz w:val="32"/>
          <w:szCs w:val="32"/>
        </w:rPr>
      </w:pPr>
    </w:p>
    <w:p w14:paraId="147EB64B">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：收入决算结构图）（饼状图）</w:t>
      </w:r>
    </w:p>
    <w:p w14:paraId="5B32C4B3">
      <w:pPr>
        <w:spacing w:line="600" w:lineRule="exact"/>
        <w:ind w:firstLine="640" w:firstLineChars="200"/>
        <w:rPr>
          <w:rFonts w:ascii="仿宋_GB2312" w:eastAsia="仿宋_GB2312"/>
          <w:color w:val="FF0000"/>
          <w:sz w:val="32"/>
          <w:szCs w:val="32"/>
        </w:rPr>
      </w:pPr>
      <w:r>
        <w:rPr>
          <w:rFonts w:ascii="仿宋_GB2312" w:eastAsia="仿宋_GB2312"/>
          <w:color w:val="FF0000"/>
          <w:sz w:val="32"/>
          <w:szCs w:val="32"/>
        </w:rPr>
        <w:pict>
          <v:shape id="_x0000_s1027" o:spid="_x0000_s1027" o:spt="75" type="#_x0000_t75" style="position:absolute;left:0pt;margin-left:75.3pt;margin-top:13.55pt;height:169.15pt;width:213.7pt;z-index:251659264;mso-width-relative:page;mso-height-relative:page;" o:ole="t" filled="f" o:preferrelative="t" stroked="f" coordsize="21600,21600">
            <v:path/>
            <v:fill on="f" focussize="0,0"/>
            <v:stroke on="f" joinstyle="miter"/>
            <v:imagedata r:id="rId9" o:title=""/>
            <o:lock v:ext="edit" aspectratio="t"/>
          </v:shape>
          <o:OLEObject Type="Embed" ProgID="Excel.Chart.8" ShapeID="_x0000_s1027" DrawAspect="Content" ObjectID="_1468075726" r:id="rId8">
            <o:LockedField>false</o:LockedField>
          </o:OLEObject>
        </w:pict>
      </w:r>
    </w:p>
    <w:p w14:paraId="13DD67E6">
      <w:pPr>
        <w:spacing w:line="600" w:lineRule="exact"/>
        <w:ind w:firstLine="640" w:firstLineChars="200"/>
        <w:rPr>
          <w:rFonts w:ascii="仿宋_GB2312" w:eastAsia="仿宋_GB2312"/>
          <w:color w:val="FF0000"/>
          <w:sz w:val="32"/>
          <w:szCs w:val="32"/>
        </w:rPr>
      </w:pPr>
    </w:p>
    <w:p w14:paraId="3B71B5D6">
      <w:pPr>
        <w:spacing w:line="600" w:lineRule="exact"/>
        <w:ind w:firstLine="640" w:firstLineChars="200"/>
        <w:rPr>
          <w:rFonts w:ascii="仿宋_GB2312" w:eastAsia="仿宋_GB2312"/>
          <w:color w:val="FF0000"/>
          <w:sz w:val="32"/>
          <w:szCs w:val="32"/>
        </w:rPr>
      </w:pPr>
    </w:p>
    <w:p w14:paraId="3CCEC7B6">
      <w:pPr>
        <w:spacing w:line="600" w:lineRule="exact"/>
        <w:ind w:firstLine="640" w:firstLineChars="200"/>
        <w:rPr>
          <w:rFonts w:ascii="仿宋_GB2312" w:eastAsia="仿宋_GB2312"/>
          <w:color w:val="FF0000"/>
          <w:sz w:val="32"/>
          <w:szCs w:val="32"/>
        </w:rPr>
      </w:pPr>
    </w:p>
    <w:p w14:paraId="0C0E8792">
      <w:pPr>
        <w:spacing w:line="600" w:lineRule="exact"/>
        <w:ind w:firstLine="640" w:firstLineChars="200"/>
        <w:rPr>
          <w:rFonts w:ascii="仿宋_GB2312" w:eastAsia="仿宋_GB2312"/>
          <w:color w:val="FF0000"/>
          <w:sz w:val="32"/>
          <w:szCs w:val="32"/>
        </w:rPr>
      </w:pPr>
    </w:p>
    <w:p w14:paraId="60F6D946">
      <w:pPr>
        <w:spacing w:line="600" w:lineRule="exact"/>
        <w:ind w:firstLine="640" w:firstLineChars="200"/>
        <w:rPr>
          <w:rFonts w:ascii="仿宋_GB2312" w:eastAsia="仿宋_GB2312"/>
          <w:color w:val="FF0000"/>
          <w:sz w:val="32"/>
          <w:szCs w:val="32"/>
        </w:rPr>
      </w:pPr>
    </w:p>
    <w:p w14:paraId="7F00DD0C">
      <w:pPr>
        <w:pStyle w:val="27"/>
        <w:numPr>
          <w:ilvl w:val="0"/>
          <w:numId w:val="1"/>
        </w:numPr>
        <w:spacing w:line="600" w:lineRule="exact"/>
        <w:ind w:firstLineChars="0"/>
        <w:outlineLvl w:val="1"/>
        <w:rPr>
          <w:rStyle w:val="17"/>
          <w:rFonts w:ascii="黑体" w:hAnsi="黑体" w:eastAsia="黑体"/>
          <w:b w:val="0"/>
        </w:rPr>
      </w:pPr>
      <w:bookmarkStart w:id="28" w:name="_Toc15377207"/>
      <w:bookmarkStart w:id="29" w:name="_Toc15396605"/>
      <w:r>
        <w:rPr>
          <w:rFonts w:hint="eastAsia" w:ascii="黑体" w:hAnsi="黑体" w:eastAsia="黑体"/>
          <w:color w:val="000000"/>
          <w:sz w:val="32"/>
          <w:szCs w:val="32"/>
        </w:rPr>
        <w:t>支</w:t>
      </w:r>
      <w:r>
        <w:rPr>
          <w:rStyle w:val="17"/>
          <w:rFonts w:hint="eastAsia" w:ascii="黑体" w:hAnsi="黑体" w:eastAsia="黑体"/>
          <w:b w:val="0"/>
        </w:rPr>
        <w:t>出决算情况说明</w:t>
      </w:r>
      <w:bookmarkEnd w:id="28"/>
      <w:bookmarkEnd w:id="29"/>
    </w:p>
    <w:p w14:paraId="341990CD">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年本年支出合计</w:t>
      </w:r>
      <w:r>
        <w:rPr>
          <w:rFonts w:hint="eastAsia" w:ascii="仿宋_GB2312" w:eastAsia="仿宋_GB2312"/>
          <w:sz w:val="32"/>
          <w:szCs w:val="32"/>
        </w:rPr>
        <w:t>104.76</w:t>
      </w:r>
      <w:r>
        <w:rPr>
          <w:rFonts w:hint="eastAsia" w:ascii="仿宋" w:hAnsi="仿宋" w:eastAsia="仿宋"/>
          <w:color w:val="000000"/>
          <w:sz w:val="32"/>
          <w:szCs w:val="32"/>
        </w:rPr>
        <w:t>万元，其中：基本支出69.76万元，占67</w:t>
      </w:r>
      <w:r>
        <w:rPr>
          <w:rFonts w:ascii="仿宋" w:hAnsi="仿宋" w:eastAsia="仿宋"/>
          <w:color w:val="000000"/>
          <w:sz w:val="32"/>
          <w:szCs w:val="32"/>
        </w:rPr>
        <w:t>%</w:t>
      </w:r>
      <w:r>
        <w:rPr>
          <w:rFonts w:hint="eastAsia" w:ascii="仿宋" w:hAnsi="仿宋" w:eastAsia="仿宋"/>
          <w:color w:val="000000"/>
          <w:sz w:val="32"/>
          <w:szCs w:val="32"/>
        </w:rPr>
        <w:t>；项目支出35万元，占33</w:t>
      </w:r>
      <w:r>
        <w:rPr>
          <w:rFonts w:ascii="仿宋" w:hAnsi="仿宋" w:eastAsia="仿宋"/>
          <w:color w:val="000000"/>
          <w:sz w:val="32"/>
          <w:szCs w:val="32"/>
        </w:rPr>
        <w:t>%</w:t>
      </w:r>
      <w:r>
        <w:rPr>
          <w:rFonts w:hint="eastAsia" w:ascii="仿宋" w:hAnsi="仿宋" w:eastAsia="仿宋"/>
          <w:color w:val="000000"/>
          <w:sz w:val="32"/>
          <w:szCs w:val="32"/>
        </w:rPr>
        <w:t>。</w:t>
      </w:r>
    </w:p>
    <w:p w14:paraId="506658F8">
      <w:pPr>
        <w:spacing w:line="600" w:lineRule="exact"/>
        <w:ind w:firstLine="640" w:firstLineChars="200"/>
        <w:rPr>
          <w:rFonts w:ascii="仿宋" w:hAnsi="仿宋" w:eastAsia="仿宋"/>
          <w:color w:val="000000"/>
          <w:sz w:val="32"/>
          <w:szCs w:val="32"/>
        </w:rPr>
      </w:pPr>
      <w:r>
        <w:rPr>
          <w:rFonts w:ascii="仿宋_GB2312" w:eastAsia="仿宋_GB2312"/>
          <w:color w:val="FF0000"/>
          <w:sz w:val="32"/>
          <w:szCs w:val="32"/>
        </w:rPr>
        <w:pict>
          <v:shape id="_x0000_s1028" o:spid="_x0000_s1028" o:spt="75" type="#_x0000_t75" style="position:absolute;left:0pt;margin-left:3.75pt;margin-top:24.6pt;height:222.75pt;width:366.75pt;z-index:251659264;mso-width-relative:page;mso-height-relative:page;" o:ole="t" filled="f" o:preferrelative="t" stroked="f" coordsize="21600,21600">
            <v:path/>
            <v:fill on="f" focussize="0,0"/>
            <v:stroke on="f" joinstyle="miter"/>
            <v:imagedata r:id="rId11" o:title=""/>
            <o:lock v:ext="edit" aspectratio="t"/>
          </v:shape>
          <o:OLEObject Type="Embed" ProgID="Excel.Chart.8" ShapeID="_x0000_s1028" DrawAspect="Content" ObjectID="_1468075727" r:id="rId10">
            <o:LockedField>false</o:LockedField>
          </o:OLEObject>
        </w:pict>
      </w: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14:paraId="7ACF5D1A">
      <w:pPr>
        <w:spacing w:line="600" w:lineRule="exact"/>
        <w:ind w:firstLine="640" w:firstLineChars="200"/>
        <w:rPr>
          <w:rFonts w:ascii="仿宋_GB2312" w:eastAsia="仿宋_GB2312"/>
          <w:color w:val="FF0000"/>
          <w:sz w:val="32"/>
          <w:szCs w:val="32"/>
        </w:rPr>
      </w:pPr>
    </w:p>
    <w:p w14:paraId="4444E9C7">
      <w:pPr>
        <w:spacing w:line="600" w:lineRule="exact"/>
        <w:ind w:firstLine="640" w:firstLineChars="200"/>
        <w:rPr>
          <w:rFonts w:ascii="仿宋_GB2312" w:eastAsia="仿宋_GB2312"/>
          <w:color w:val="FF0000"/>
          <w:sz w:val="32"/>
          <w:szCs w:val="32"/>
        </w:rPr>
      </w:pPr>
    </w:p>
    <w:p w14:paraId="375CBA11">
      <w:pPr>
        <w:spacing w:line="600" w:lineRule="exact"/>
        <w:ind w:firstLine="640" w:firstLineChars="200"/>
        <w:rPr>
          <w:rFonts w:ascii="仿宋_GB2312" w:eastAsia="仿宋_GB2312"/>
          <w:color w:val="FF0000"/>
          <w:sz w:val="32"/>
          <w:szCs w:val="32"/>
        </w:rPr>
      </w:pPr>
    </w:p>
    <w:p w14:paraId="64A2CB71">
      <w:pPr>
        <w:spacing w:line="600" w:lineRule="exact"/>
        <w:ind w:firstLine="640" w:firstLineChars="200"/>
        <w:rPr>
          <w:rFonts w:ascii="仿宋_GB2312" w:eastAsia="仿宋_GB2312"/>
          <w:color w:val="FF0000"/>
          <w:sz w:val="32"/>
          <w:szCs w:val="32"/>
        </w:rPr>
      </w:pPr>
    </w:p>
    <w:p w14:paraId="7D6D350D">
      <w:pPr>
        <w:spacing w:line="600" w:lineRule="exact"/>
        <w:ind w:firstLine="640" w:firstLineChars="200"/>
        <w:rPr>
          <w:rFonts w:ascii="仿宋_GB2312" w:eastAsia="仿宋_GB2312"/>
          <w:color w:val="FF0000"/>
          <w:sz w:val="32"/>
          <w:szCs w:val="32"/>
        </w:rPr>
      </w:pPr>
    </w:p>
    <w:p w14:paraId="29DC5D60">
      <w:pPr>
        <w:spacing w:line="600" w:lineRule="exact"/>
        <w:ind w:firstLine="640" w:firstLineChars="200"/>
        <w:outlineLvl w:val="1"/>
        <w:rPr>
          <w:rFonts w:ascii="黑体" w:hAnsi="黑体" w:eastAsia="黑体"/>
          <w:color w:val="000000"/>
          <w:sz w:val="32"/>
          <w:szCs w:val="32"/>
        </w:rPr>
      </w:pPr>
      <w:bookmarkStart w:id="30" w:name="_Toc15377208"/>
      <w:bookmarkStart w:id="31" w:name="_Toc15396606"/>
    </w:p>
    <w:p w14:paraId="3B77CCC7">
      <w:pPr>
        <w:spacing w:line="600" w:lineRule="exact"/>
        <w:ind w:firstLine="640" w:firstLineChars="200"/>
        <w:outlineLvl w:val="1"/>
        <w:rPr>
          <w:rFonts w:ascii="黑体" w:hAnsi="黑体" w:eastAsia="黑体"/>
          <w:color w:val="000000"/>
          <w:sz w:val="32"/>
          <w:szCs w:val="32"/>
        </w:rPr>
      </w:pPr>
    </w:p>
    <w:p w14:paraId="5D2FAA5B">
      <w:pPr>
        <w:spacing w:line="600" w:lineRule="exact"/>
        <w:ind w:firstLine="640" w:firstLineChars="200"/>
        <w:outlineLvl w:val="1"/>
        <w:rPr>
          <w:rStyle w:val="17"/>
          <w:rFonts w:ascii="黑体" w:hAnsi="黑体" w:eastAsia="黑体"/>
          <w:b w:val="0"/>
        </w:rPr>
      </w:pPr>
      <w:r>
        <w:rPr>
          <w:rFonts w:hint="eastAsia" w:ascii="黑体" w:hAnsi="黑体" w:eastAsia="黑体"/>
          <w:color w:val="000000"/>
          <w:sz w:val="32"/>
          <w:szCs w:val="32"/>
        </w:rPr>
        <w:t>四、财</w:t>
      </w:r>
      <w:r>
        <w:rPr>
          <w:rStyle w:val="17"/>
          <w:rFonts w:hint="eastAsia" w:ascii="黑体" w:hAnsi="黑体" w:eastAsia="黑体"/>
          <w:b w:val="0"/>
        </w:rPr>
        <w:t>政拨款收入支出决算总体情况说明</w:t>
      </w:r>
      <w:bookmarkEnd w:id="30"/>
      <w:bookmarkEnd w:id="31"/>
    </w:p>
    <w:p w14:paraId="39A2F466">
      <w:pPr>
        <w:spacing w:line="56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9年财政拨款收入总计</w:t>
      </w:r>
      <w:r>
        <w:rPr>
          <w:rFonts w:hint="eastAsia" w:ascii="仿宋_GB2312" w:eastAsia="仿宋_GB2312"/>
          <w:sz w:val="32"/>
          <w:szCs w:val="32"/>
        </w:rPr>
        <w:t>69.76万元。与</w:t>
      </w:r>
      <w:r>
        <w:rPr>
          <w:rFonts w:ascii="仿宋_GB2312" w:eastAsia="仿宋_GB2312"/>
          <w:sz w:val="32"/>
          <w:szCs w:val="32"/>
        </w:rPr>
        <w:t>201</w:t>
      </w:r>
      <w:r>
        <w:rPr>
          <w:rFonts w:hint="eastAsia" w:ascii="仿宋_GB2312" w:eastAsia="仿宋_GB2312"/>
          <w:sz w:val="32"/>
          <w:szCs w:val="32"/>
        </w:rPr>
        <w:t>8年相比较减少423</w:t>
      </w:r>
      <w:r>
        <w:rPr>
          <w:rFonts w:ascii="仿宋_GB2312" w:eastAsia="仿宋_GB2312"/>
          <w:sz w:val="32"/>
          <w:szCs w:val="32"/>
        </w:rPr>
        <w:t>%</w:t>
      </w:r>
      <w:r>
        <w:rPr>
          <w:rFonts w:hint="eastAsia" w:ascii="仿宋_GB2312" w:eastAsia="仿宋_GB2312"/>
          <w:sz w:val="32"/>
          <w:szCs w:val="32"/>
        </w:rPr>
        <w:t>，原因是机构改革。</w:t>
      </w:r>
    </w:p>
    <w:p w14:paraId="65BD2FF7">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9年财政拨款支出总计</w:t>
      </w:r>
      <w:r>
        <w:rPr>
          <w:rFonts w:hint="eastAsia" w:ascii="仿宋_GB2312" w:eastAsia="仿宋_GB2312"/>
          <w:sz w:val="32"/>
          <w:szCs w:val="32"/>
        </w:rPr>
        <w:t>104.76万元</w:t>
      </w:r>
      <w:r>
        <w:rPr>
          <w:rFonts w:hint="eastAsia" w:ascii="仿宋" w:hAnsi="仿宋" w:eastAsia="仿宋"/>
          <w:color w:val="000000"/>
          <w:sz w:val="32"/>
          <w:szCs w:val="32"/>
        </w:rPr>
        <w:t>。</w:t>
      </w:r>
      <w:r>
        <w:rPr>
          <w:rFonts w:hint="eastAsia" w:ascii="仿宋_GB2312" w:eastAsia="仿宋_GB2312"/>
          <w:sz w:val="32"/>
          <w:szCs w:val="32"/>
        </w:rPr>
        <w:t>与</w:t>
      </w:r>
      <w:r>
        <w:rPr>
          <w:rFonts w:ascii="仿宋_GB2312" w:eastAsia="仿宋_GB2312"/>
          <w:sz w:val="32"/>
          <w:szCs w:val="32"/>
        </w:rPr>
        <w:t>201</w:t>
      </w:r>
      <w:r>
        <w:rPr>
          <w:rFonts w:hint="eastAsia" w:ascii="仿宋_GB2312" w:eastAsia="仿宋_GB2312"/>
          <w:sz w:val="32"/>
          <w:szCs w:val="32"/>
        </w:rPr>
        <w:t>8年相比较减少516</w:t>
      </w:r>
      <w:r>
        <w:rPr>
          <w:rFonts w:ascii="仿宋_GB2312" w:eastAsia="仿宋_GB2312"/>
          <w:sz w:val="32"/>
          <w:szCs w:val="32"/>
        </w:rPr>
        <w:t>%</w:t>
      </w:r>
      <w:r>
        <w:rPr>
          <w:rFonts w:hint="eastAsia" w:ascii="仿宋_GB2312" w:eastAsia="仿宋_GB2312"/>
          <w:sz w:val="32"/>
          <w:szCs w:val="32"/>
        </w:rPr>
        <w:t>，原因是机构改革。</w:t>
      </w:r>
    </w:p>
    <w:p w14:paraId="08898F08">
      <w:pPr>
        <w:spacing w:line="600" w:lineRule="exact"/>
        <w:ind w:firstLine="643" w:firstLineChars="200"/>
        <w:rPr>
          <w:rFonts w:ascii="仿宋" w:hAnsi="仿宋" w:eastAsia="仿宋"/>
          <w:color w:val="000000"/>
          <w:sz w:val="32"/>
          <w:szCs w:val="32"/>
        </w:rPr>
      </w:pPr>
      <w:r>
        <w:rPr>
          <w:rFonts w:ascii="仿宋" w:hAnsi="仿宋" w:eastAsia="仿宋"/>
          <w:b/>
          <w:color w:val="00B050"/>
          <w:sz w:val="32"/>
          <w:szCs w:val="32"/>
        </w:rPr>
        <w:pict>
          <v:shape id="_x0000_s1029" o:spid="_x0000_s1029" o:spt="75" type="#_x0000_t75" style="position:absolute;left:0pt;margin-left:37.15pt;margin-top:26.25pt;height:222.75pt;width:366.75pt;z-index:251659264;mso-width-relative:page;mso-height-relative:page;" o:ole="t" filled="f" o:preferrelative="t" stroked="f" coordsize="21600,21600">
            <v:path/>
            <v:fill on="f" focussize="0,0"/>
            <v:stroke on="f" joinstyle="miter"/>
            <v:imagedata r:id="rId13" o:title=""/>
            <o:lock v:ext="edit" aspectratio="t"/>
          </v:shape>
          <o:OLEObject Type="Embed" ProgID="Excel.Chart.8" ShapeID="_x0000_s1029" DrawAspect="Content" ObjectID="_1468075728" r:id="rId12">
            <o:LockedField>false</o:LockedField>
          </o:OLEObject>
        </w:pict>
      </w: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14:paraId="4C7A2A18">
      <w:pPr>
        <w:spacing w:line="600" w:lineRule="exact"/>
        <w:ind w:firstLine="640"/>
        <w:rPr>
          <w:rFonts w:ascii="仿宋" w:hAnsi="仿宋" w:eastAsia="仿宋"/>
          <w:b/>
          <w:color w:val="00B050"/>
          <w:sz w:val="32"/>
          <w:szCs w:val="32"/>
        </w:rPr>
      </w:pPr>
    </w:p>
    <w:p w14:paraId="13463062">
      <w:pPr>
        <w:spacing w:line="600" w:lineRule="exact"/>
        <w:ind w:firstLine="640"/>
        <w:rPr>
          <w:rFonts w:ascii="仿宋" w:hAnsi="仿宋" w:eastAsia="仿宋"/>
          <w:b/>
          <w:color w:val="00B050"/>
          <w:sz w:val="32"/>
          <w:szCs w:val="32"/>
        </w:rPr>
      </w:pPr>
    </w:p>
    <w:p w14:paraId="38B08B50">
      <w:pPr>
        <w:spacing w:line="600" w:lineRule="exact"/>
        <w:ind w:firstLine="640"/>
        <w:rPr>
          <w:rFonts w:ascii="仿宋" w:hAnsi="仿宋" w:eastAsia="仿宋"/>
          <w:b/>
          <w:color w:val="00B050"/>
          <w:sz w:val="32"/>
          <w:szCs w:val="32"/>
        </w:rPr>
      </w:pPr>
    </w:p>
    <w:p w14:paraId="239E86B0">
      <w:pPr>
        <w:spacing w:line="600" w:lineRule="exact"/>
        <w:ind w:firstLine="640"/>
        <w:rPr>
          <w:rFonts w:ascii="仿宋" w:hAnsi="仿宋" w:eastAsia="仿宋"/>
          <w:b/>
          <w:color w:val="00B050"/>
          <w:sz w:val="32"/>
          <w:szCs w:val="32"/>
        </w:rPr>
      </w:pPr>
    </w:p>
    <w:p w14:paraId="1F3540EF">
      <w:pPr>
        <w:spacing w:line="600" w:lineRule="exact"/>
        <w:ind w:firstLine="640"/>
        <w:rPr>
          <w:rFonts w:ascii="仿宋" w:hAnsi="仿宋" w:eastAsia="仿宋"/>
          <w:b/>
          <w:color w:val="00B050"/>
          <w:sz w:val="32"/>
          <w:szCs w:val="32"/>
        </w:rPr>
      </w:pPr>
    </w:p>
    <w:p w14:paraId="3E3FA2B6">
      <w:pPr>
        <w:spacing w:line="600" w:lineRule="exact"/>
        <w:ind w:firstLine="640"/>
        <w:rPr>
          <w:rFonts w:ascii="仿宋" w:hAnsi="仿宋" w:eastAsia="仿宋"/>
          <w:b/>
          <w:color w:val="00B050"/>
          <w:sz w:val="32"/>
          <w:szCs w:val="32"/>
        </w:rPr>
      </w:pPr>
    </w:p>
    <w:p w14:paraId="21CE6D52">
      <w:pPr>
        <w:spacing w:line="600" w:lineRule="exact"/>
        <w:ind w:firstLine="640"/>
        <w:rPr>
          <w:rFonts w:ascii="仿宋" w:hAnsi="仿宋" w:eastAsia="仿宋"/>
          <w:b/>
          <w:color w:val="00B050"/>
          <w:sz w:val="32"/>
          <w:szCs w:val="32"/>
        </w:rPr>
      </w:pPr>
    </w:p>
    <w:p w14:paraId="7E8C671C">
      <w:pPr>
        <w:spacing w:line="600" w:lineRule="exact"/>
        <w:ind w:firstLine="640" w:firstLineChars="200"/>
        <w:outlineLvl w:val="1"/>
        <w:rPr>
          <w:rStyle w:val="17"/>
          <w:rFonts w:ascii="黑体" w:hAnsi="黑体" w:eastAsia="黑体"/>
          <w:b w:val="0"/>
        </w:rPr>
      </w:pPr>
      <w:bookmarkStart w:id="32" w:name="_Toc15396607"/>
      <w:bookmarkStart w:id="33"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17"/>
          <w:rFonts w:hint="eastAsia" w:ascii="黑体" w:hAnsi="黑体" w:eastAsia="黑体"/>
          <w:b w:val="0"/>
        </w:rPr>
        <w:t>般公共预算财政拨款支出决算情况说明</w:t>
      </w:r>
      <w:bookmarkEnd w:id="32"/>
      <w:bookmarkEnd w:id="33"/>
    </w:p>
    <w:p w14:paraId="5B3422FC">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14:paraId="2BB1AB8C">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年一般公共预算财政拨款支出104.76万元，占本年支出合计的100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2018</w:t>
      </w:r>
      <w:r>
        <w:rPr>
          <w:rFonts w:hint="eastAsia" w:ascii="仿宋" w:hAnsi="仿宋" w:eastAsia="仿宋"/>
          <w:color w:val="000000"/>
          <w:sz w:val="32"/>
          <w:szCs w:val="32"/>
        </w:rPr>
        <w:t>年相比，一般公共预算财政拨款减少540.04万元，下降516</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_GB2312" w:eastAsia="仿宋_GB2312"/>
          <w:sz w:val="32"/>
          <w:szCs w:val="32"/>
        </w:rPr>
        <w:t>机构改革。</w:t>
      </w:r>
    </w:p>
    <w:p w14:paraId="232CC1D0">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pict>
          <v:shape id="_x0000_s1030" o:spid="_x0000_s1030" o:spt="75" type="#_x0000_t75" style="position:absolute;left:0pt;margin-left:32pt;margin-top:57.4pt;height:222.75pt;width:366.75pt;z-index:251659264;mso-width-relative:page;mso-height-relative:page;" o:ole="t" filled="f" o:preferrelative="t" stroked="f" coordsize="21600,21600">
            <v:path/>
            <v:fill on="f" focussize="0,0"/>
            <v:stroke on="f" joinstyle="miter"/>
            <v:imagedata r:id="rId15" o:title=""/>
            <o:lock v:ext="edit" aspectratio="t"/>
          </v:shape>
          <o:OLEObject Type="Embed" ProgID="Excel.Chart.8" ShapeID="_x0000_s1030" DrawAspect="Content" ObjectID="_1468075729" r:id="rId14">
            <o:LockedField>false</o:LockedField>
          </o:OLEObject>
        </w:pict>
      </w: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14:paraId="53125956">
      <w:pPr>
        <w:spacing w:line="600" w:lineRule="exact"/>
        <w:ind w:firstLine="640" w:firstLineChars="200"/>
        <w:rPr>
          <w:rFonts w:ascii="仿宋" w:hAnsi="仿宋" w:eastAsia="仿宋"/>
          <w:color w:val="000000"/>
          <w:sz w:val="32"/>
          <w:szCs w:val="32"/>
        </w:rPr>
      </w:pPr>
    </w:p>
    <w:p w14:paraId="17780F08">
      <w:pPr>
        <w:spacing w:line="600" w:lineRule="exact"/>
        <w:ind w:firstLine="643" w:firstLineChars="200"/>
        <w:outlineLvl w:val="2"/>
        <w:rPr>
          <w:rFonts w:ascii="仿宋" w:hAnsi="仿宋" w:eastAsia="仿宋"/>
          <w:b/>
          <w:color w:val="000000"/>
          <w:sz w:val="32"/>
          <w:szCs w:val="32"/>
        </w:rPr>
      </w:pPr>
      <w:bookmarkStart w:id="35" w:name="_Toc15377211"/>
    </w:p>
    <w:p w14:paraId="12E13780">
      <w:pPr>
        <w:spacing w:line="600" w:lineRule="exact"/>
        <w:ind w:firstLine="643" w:firstLineChars="200"/>
        <w:outlineLvl w:val="2"/>
        <w:rPr>
          <w:rFonts w:ascii="仿宋" w:hAnsi="仿宋" w:eastAsia="仿宋"/>
          <w:b/>
          <w:color w:val="000000"/>
          <w:sz w:val="32"/>
          <w:szCs w:val="32"/>
        </w:rPr>
      </w:pPr>
    </w:p>
    <w:p w14:paraId="4306DE3B">
      <w:pPr>
        <w:spacing w:line="600" w:lineRule="exact"/>
        <w:ind w:firstLine="643" w:firstLineChars="200"/>
        <w:outlineLvl w:val="2"/>
        <w:rPr>
          <w:rFonts w:ascii="仿宋" w:hAnsi="仿宋" w:eastAsia="仿宋"/>
          <w:b/>
          <w:color w:val="000000"/>
          <w:sz w:val="32"/>
          <w:szCs w:val="32"/>
        </w:rPr>
      </w:pPr>
    </w:p>
    <w:p w14:paraId="032B8248">
      <w:pPr>
        <w:spacing w:line="600" w:lineRule="exact"/>
        <w:ind w:firstLine="643" w:firstLineChars="200"/>
        <w:outlineLvl w:val="2"/>
        <w:rPr>
          <w:rFonts w:ascii="仿宋" w:hAnsi="仿宋" w:eastAsia="仿宋"/>
          <w:b/>
          <w:color w:val="000000"/>
          <w:sz w:val="32"/>
          <w:szCs w:val="32"/>
        </w:rPr>
      </w:pPr>
    </w:p>
    <w:p w14:paraId="2C4AF215">
      <w:pPr>
        <w:spacing w:line="600" w:lineRule="exact"/>
        <w:ind w:firstLine="643" w:firstLineChars="200"/>
        <w:outlineLvl w:val="2"/>
        <w:rPr>
          <w:rFonts w:ascii="仿宋" w:hAnsi="仿宋" w:eastAsia="仿宋"/>
          <w:b/>
          <w:color w:val="000000"/>
          <w:sz w:val="32"/>
          <w:szCs w:val="32"/>
        </w:rPr>
      </w:pPr>
    </w:p>
    <w:p w14:paraId="3A67D824">
      <w:pPr>
        <w:spacing w:line="600" w:lineRule="exact"/>
        <w:ind w:firstLine="643" w:firstLineChars="200"/>
        <w:outlineLvl w:val="2"/>
        <w:rPr>
          <w:rFonts w:ascii="仿宋" w:hAnsi="仿宋" w:eastAsia="仿宋"/>
          <w:b/>
          <w:color w:val="000000"/>
          <w:sz w:val="32"/>
          <w:szCs w:val="32"/>
        </w:rPr>
      </w:pPr>
    </w:p>
    <w:p w14:paraId="3FD82A8D">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35"/>
    </w:p>
    <w:p w14:paraId="43D9707E">
      <w:pPr>
        <w:spacing w:line="600" w:lineRule="exact"/>
        <w:ind w:firstLine="640"/>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年一般公共预算财政拨款支出104.76万元，主要用于以下方面</w:t>
      </w:r>
      <w:r>
        <w:rPr>
          <w:rFonts w:ascii="仿宋" w:hAnsi="仿宋" w:eastAsia="仿宋"/>
          <w:color w:val="000000"/>
          <w:sz w:val="32"/>
          <w:szCs w:val="32"/>
        </w:rPr>
        <w:t>:</w:t>
      </w:r>
      <w:r>
        <w:rPr>
          <w:rFonts w:hint="eastAsia" w:ascii="仿宋_GB2312" w:eastAsia="仿宋_GB2312"/>
          <w:sz w:val="32"/>
          <w:szCs w:val="32"/>
        </w:rPr>
        <w:t>一般公共服务支出55.05万元，占53%；社会保障和就业5.14万元，占5%；卫生健康支出3.61，占3%；住房保障支出5.97万元，占6%；农林水支出35万元，占33%。</w:t>
      </w:r>
    </w:p>
    <w:p w14:paraId="7AD52C2A">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14:paraId="13D4B956">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pict>
          <v:shape id="_x0000_s1031" o:spid="_x0000_s1031" o:spt="75" type="#_x0000_t75" style="position:absolute;left:0pt;margin-left:35.5pt;margin-top:0.9pt;height:222.75pt;width:366.75pt;z-index:251659264;mso-width-relative:page;mso-height-relative:page;" o:ole="t" filled="f" o:preferrelative="t" stroked="f" coordsize="21600,21600">
            <v:path/>
            <v:fill on="f" focussize="0,0"/>
            <v:stroke on="f" joinstyle="miter"/>
            <v:imagedata r:id="rId17" o:title=""/>
            <o:lock v:ext="edit" aspectratio="t"/>
          </v:shape>
          <o:OLEObject Type="Embed" ProgID="Excel.Chart.8" ShapeID="_x0000_s1031" DrawAspect="Content" ObjectID="_1468075730" r:id="rId16">
            <o:LockedField>false</o:LockedField>
          </o:OLEObject>
        </w:pict>
      </w:r>
    </w:p>
    <w:p w14:paraId="208FA30D">
      <w:pPr>
        <w:spacing w:line="600" w:lineRule="exact"/>
        <w:ind w:firstLine="640" w:firstLineChars="200"/>
        <w:rPr>
          <w:rFonts w:ascii="仿宋" w:hAnsi="仿宋" w:eastAsia="仿宋"/>
          <w:color w:val="000000"/>
          <w:sz w:val="32"/>
          <w:szCs w:val="32"/>
        </w:rPr>
      </w:pPr>
    </w:p>
    <w:p w14:paraId="34584727">
      <w:pPr>
        <w:spacing w:line="600" w:lineRule="exact"/>
        <w:ind w:firstLine="640" w:firstLineChars="200"/>
        <w:rPr>
          <w:rFonts w:ascii="仿宋" w:hAnsi="仿宋" w:eastAsia="仿宋"/>
          <w:color w:val="000000"/>
          <w:sz w:val="32"/>
          <w:szCs w:val="32"/>
        </w:rPr>
      </w:pPr>
    </w:p>
    <w:p w14:paraId="23F1B8DA">
      <w:pPr>
        <w:spacing w:line="600" w:lineRule="exact"/>
        <w:ind w:firstLine="640" w:firstLineChars="200"/>
        <w:rPr>
          <w:rFonts w:ascii="仿宋" w:hAnsi="仿宋" w:eastAsia="仿宋"/>
          <w:color w:val="000000"/>
          <w:sz w:val="32"/>
          <w:szCs w:val="32"/>
        </w:rPr>
      </w:pPr>
    </w:p>
    <w:p w14:paraId="57D09864">
      <w:pPr>
        <w:spacing w:line="600" w:lineRule="exact"/>
        <w:ind w:firstLine="640" w:firstLineChars="200"/>
        <w:rPr>
          <w:rFonts w:ascii="仿宋" w:hAnsi="仿宋" w:eastAsia="仿宋"/>
          <w:color w:val="000000"/>
          <w:sz w:val="32"/>
          <w:szCs w:val="32"/>
        </w:rPr>
      </w:pPr>
    </w:p>
    <w:p w14:paraId="377A31EE">
      <w:pPr>
        <w:spacing w:line="600" w:lineRule="exact"/>
        <w:ind w:firstLine="640" w:firstLineChars="200"/>
        <w:rPr>
          <w:rFonts w:ascii="仿宋" w:hAnsi="仿宋" w:eastAsia="仿宋"/>
          <w:color w:val="000000"/>
          <w:sz w:val="32"/>
          <w:szCs w:val="32"/>
        </w:rPr>
      </w:pPr>
    </w:p>
    <w:p w14:paraId="6B6D137C">
      <w:pPr>
        <w:spacing w:line="600" w:lineRule="exact"/>
        <w:ind w:firstLine="640" w:firstLineChars="200"/>
        <w:rPr>
          <w:rFonts w:ascii="仿宋" w:hAnsi="仿宋" w:eastAsia="仿宋"/>
          <w:color w:val="000000"/>
          <w:sz w:val="32"/>
          <w:szCs w:val="32"/>
        </w:rPr>
      </w:pPr>
    </w:p>
    <w:p w14:paraId="7EB5048F">
      <w:pPr>
        <w:spacing w:line="600" w:lineRule="exact"/>
        <w:ind w:firstLine="643" w:firstLineChars="200"/>
        <w:outlineLvl w:val="2"/>
        <w:rPr>
          <w:rFonts w:ascii="仿宋" w:hAnsi="仿宋" w:eastAsia="仿宋"/>
          <w:b/>
          <w:color w:val="000000"/>
          <w:sz w:val="32"/>
          <w:szCs w:val="32"/>
        </w:rPr>
      </w:pPr>
      <w:bookmarkStart w:id="36" w:name="_Toc15377212"/>
      <w:r>
        <w:rPr>
          <w:rFonts w:hint="eastAsia" w:ascii="仿宋" w:hAnsi="仿宋" w:eastAsia="仿宋"/>
          <w:b/>
          <w:color w:val="000000"/>
          <w:sz w:val="32"/>
          <w:szCs w:val="32"/>
        </w:rPr>
        <w:t>（三）一般公共预算财政拨款支出决算具体情况</w:t>
      </w:r>
      <w:bookmarkEnd w:id="36"/>
    </w:p>
    <w:p w14:paraId="02EACC8F">
      <w:pPr>
        <w:spacing w:line="600" w:lineRule="exact"/>
        <w:ind w:firstLine="643" w:firstLineChars="200"/>
        <w:outlineLvl w:val="2"/>
        <w:rPr>
          <w:rFonts w:ascii="仿宋" w:hAnsi="仿宋" w:eastAsia="仿宋"/>
          <w:color w:val="FF0000"/>
          <w:sz w:val="32"/>
          <w:szCs w:val="32"/>
        </w:rPr>
      </w:pPr>
      <w:bookmarkStart w:id="37" w:name="_Toc15377444"/>
      <w:bookmarkStart w:id="38" w:name="_Toc15378460"/>
      <w:bookmarkStart w:id="39" w:name="_Toc15377213"/>
      <w:r>
        <w:rPr>
          <w:rFonts w:ascii="仿宋" w:hAnsi="仿宋" w:eastAsia="仿宋"/>
          <w:b/>
          <w:color w:val="000000"/>
          <w:sz w:val="32"/>
          <w:szCs w:val="32"/>
        </w:rPr>
        <w:t>2019</w:t>
      </w:r>
      <w:r>
        <w:rPr>
          <w:rFonts w:hint="eastAsia" w:ascii="仿宋" w:hAnsi="仿宋" w:eastAsia="仿宋"/>
          <w:b/>
          <w:color w:val="000000"/>
          <w:sz w:val="32"/>
          <w:szCs w:val="32"/>
        </w:rPr>
        <w:t>年般公共预算支出决算数为104.76</w:t>
      </w:r>
      <w:r>
        <w:rPr>
          <w:rFonts w:hint="eastAsia" w:ascii="仿宋" w:hAnsi="仿宋" w:eastAsia="仿宋"/>
          <w:color w:val="000000"/>
          <w:sz w:val="32"/>
          <w:szCs w:val="32"/>
        </w:rPr>
        <w:t>，</w:t>
      </w:r>
      <w:r>
        <w:rPr>
          <w:rStyle w:val="14"/>
          <w:rFonts w:hint="eastAsia" w:ascii="仿宋" w:hAnsi="仿宋" w:eastAsia="仿宋"/>
          <w:bCs/>
          <w:color w:val="000000"/>
          <w:sz w:val="32"/>
          <w:szCs w:val="32"/>
        </w:rPr>
        <w:t>完成预算154</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。其中：</w:t>
      </w:r>
      <w:bookmarkEnd w:id="37"/>
      <w:bookmarkEnd w:id="38"/>
      <w:bookmarkEnd w:id="39"/>
    </w:p>
    <w:p w14:paraId="79D8FB90">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1.</w:t>
      </w:r>
      <w:r>
        <w:rPr>
          <w:rStyle w:val="14"/>
          <w:rFonts w:hint="eastAsia" w:ascii="仿宋" w:hAnsi="仿宋" w:eastAsia="仿宋"/>
          <w:bCs/>
          <w:color w:val="000000"/>
          <w:sz w:val="32"/>
          <w:szCs w:val="32"/>
        </w:rPr>
        <w:t>一般公共服务（类）20131（款）2013101（项）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Fonts w:hint="eastAsia" w:ascii="仿宋" w:hAnsi="仿宋" w:eastAsia="仿宋"/>
          <w:color w:val="000000"/>
          <w:sz w:val="32"/>
          <w:szCs w:val="32"/>
        </w:rPr>
        <w:t>17.31</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w:t>
      </w:r>
      <w:r>
        <w:rPr>
          <w:rStyle w:val="14"/>
          <w:rFonts w:hint="eastAsia" w:ascii="仿宋" w:hAnsi="仿宋" w:eastAsia="仿宋"/>
          <w:bCs/>
          <w:color w:val="000000"/>
          <w:sz w:val="32"/>
          <w:szCs w:val="32"/>
        </w:rPr>
        <w:t>2013102（项）</w:t>
      </w:r>
      <w:r>
        <w:rPr>
          <w:rStyle w:val="14"/>
          <w:rFonts w:hint="eastAsia" w:ascii="仿宋" w:hAnsi="仿宋" w:eastAsia="仿宋"/>
          <w:b w:val="0"/>
          <w:bCs/>
          <w:color w:val="000000"/>
          <w:sz w:val="32"/>
          <w:szCs w:val="32"/>
        </w:rPr>
        <w:t>支出决算为</w:t>
      </w:r>
      <w:r>
        <w:rPr>
          <w:rFonts w:hint="eastAsia" w:ascii="仿宋" w:hAnsi="仿宋" w:eastAsia="仿宋"/>
          <w:color w:val="000000"/>
          <w:sz w:val="32"/>
          <w:szCs w:val="32"/>
        </w:rPr>
        <w:t>37.74</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，决算数等于预算数；</w:t>
      </w:r>
      <w:r>
        <w:rPr>
          <w:rStyle w:val="14"/>
          <w:rFonts w:hint="eastAsia" w:ascii="仿宋" w:hAnsi="仿宋" w:eastAsia="仿宋"/>
          <w:bCs/>
          <w:color w:val="000000"/>
          <w:sz w:val="32"/>
          <w:szCs w:val="32"/>
        </w:rPr>
        <w:t>2013150（项）</w:t>
      </w:r>
      <w:r>
        <w:rPr>
          <w:rStyle w:val="14"/>
          <w:rFonts w:hint="eastAsia" w:ascii="仿宋" w:hAnsi="仿宋" w:eastAsia="仿宋"/>
          <w:b w:val="0"/>
          <w:bCs/>
          <w:color w:val="000000"/>
          <w:sz w:val="32"/>
          <w:szCs w:val="32"/>
        </w:rPr>
        <w:t>支出决算为</w:t>
      </w:r>
      <w:r>
        <w:rPr>
          <w:rFonts w:hint="eastAsia" w:ascii="仿宋" w:hAnsi="仿宋" w:eastAsia="仿宋"/>
          <w:color w:val="000000"/>
          <w:sz w:val="32"/>
          <w:szCs w:val="32"/>
        </w:rPr>
        <w:t>43.93</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Cs/>
          <w:color w:val="000000"/>
          <w:sz w:val="32"/>
          <w:szCs w:val="32"/>
        </w:rPr>
        <w:t>，</w:t>
      </w:r>
      <w:r>
        <w:rPr>
          <w:rStyle w:val="14"/>
          <w:rFonts w:hint="eastAsia" w:ascii="仿宋" w:hAnsi="仿宋" w:eastAsia="仿宋"/>
          <w:b w:val="0"/>
          <w:bCs/>
          <w:color w:val="000000"/>
          <w:sz w:val="32"/>
          <w:szCs w:val="32"/>
        </w:rPr>
        <w:t>决算数等于预算数。</w:t>
      </w:r>
    </w:p>
    <w:p w14:paraId="6F317F2A">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2.</w:t>
      </w:r>
      <w:r>
        <w:rPr>
          <w:rStyle w:val="14"/>
          <w:rFonts w:hint="eastAsia" w:ascii="仿宋" w:hAnsi="仿宋" w:eastAsia="仿宋"/>
          <w:bCs/>
          <w:color w:val="000000"/>
          <w:sz w:val="32"/>
          <w:szCs w:val="32"/>
        </w:rPr>
        <w:t>社会保障和就业（类）20805（款）2080505（项）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Fonts w:hint="eastAsia" w:ascii="仿宋_GB2312" w:eastAsia="仿宋_GB2312"/>
          <w:sz w:val="32"/>
          <w:szCs w:val="32"/>
        </w:rPr>
        <w:t>5.14</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，决算数等于预算数。</w:t>
      </w:r>
    </w:p>
    <w:p w14:paraId="5712D84B">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3.</w:t>
      </w:r>
      <w:r>
        <w:rPr>
          <w:rFonts w:hint="eastAsia" w:ascii="仿宋" w:hAnsi="仿宋" w:eastAsia="仿宋"/>
          <w:color w:val="000000"/>
          <w:sz w:val="32"/>
          <w:szCs w:val="32"/>
        </w:rPr>
        <w:t>住房保障</w:t>
      </w:r>
      <w:r>
        <w:rPr>
          <w:rStyle w:val="14"/>
          <w:rFonts w:hint="eastAsia" w:ascii="仿宋" w:hAnsi="仿宋" w:eastAsia="仿宋"/>
          <w:bCs/>
          <w:color w:val="000000"/>
          <w:sz w:val="32"/>
          <w:szCs w:val="32"/>
        </w:rPr>
        <w:t>（类）22102（款）2210201（项）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Fonts w:hint="eastAsia" w:ascii="仿宋" w:hAnsi="仿宋" w:eastAsia="仿宋"/>
          <w:color w:val="000000"/>
          <w:sz w:val="32"/>
          <w:szCs w:val="32"/>
        </w:rPr>
        <w:t>5.97</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100%</w:t>
      </w:r>
      <w:r>
        <w:rPr>
          <w:rStyle w:val="14"/>
          <w:rFonts w:hint="eastAsia" w:ascii="仿宋" w:hAnsi="仿宋" w:eastAsia="仿宋"/>
          <w:b w:val="0"/>
          <w:bCs/>
          <w:color w:val="000000"/>
          <w:sz w:val="32"/>
          <w:szCs w:val="32"/>
        </w:rPr>
        <w:t>，决算数等于预算数。</w:t>
      </w:r>
    </w:p>
    <w:p w14:paraId="5796738B">
      <w:pPr>
        <w:spacing w:line="600" w:lineRule="exact"/>
        <w:ind w:firstLine="643" w:firstLineChars="200"/>
        <w:rPr>
          <w:rFonts w:ascii="仿宋" w:hAnsi="仿宋" w:eastAsia="仿宋"/>
          <w:b/>
          <w:color w:val="000000"/>
          <w:sz w:val="32"/>
          <w:szCs w:val="32"/>
        </w:rPr>
      </w:pPr>
      <w:r>
        <w:rPr>
          <w:rStyle w:val="14"/>
          <w:rFonts w:hint="eastAsia" w:ascii="仿宋" w:hAnsi="仿宋" w:eastAsia="仿宋"/>
          <w:bCs/>
          <w:color w:val="000000"/>
          <w:sz w:val="32"/>
          <w:szCs w:val="32"/>
        </w:rPr>
        <w:t>4</w:t>
      </w:r>
      <w:r>
        <w:rPr>
          <w:rStyle w:val="14"/>
          <w:rFonts w:ascii="仿宋" w:hAnsi="仿宋" w:eastAsia="仿宋"/>
          <w:bCs/>
          <w:color w:val="000000"/>
          <w:sz w:val="32"/>
          <w:szCs w:val="32"/>
        </w:rPr>
        <w:t>.</w:t>
      </w:r>
      <w:r>
        <w:rPr>
          <w:rFonts w:hint="eastAsia" w:ascii="仿宋" w:hAnsi="仿宋" w:eastAsia="仿宋"/>
          <w:b/>
          <w:bCs/>
          <w:color w:val="000000"/>
          <w:sz w:val="32"/>
          <w:szCs w:val="32"/>
        </w:rPr>
        <w:t>卫生健康</w:t>
      </w:r>
      <w:r>
        <w:rPr>
          <w:rStyle w:val="14"/>
          <w:rFonts w:hint="eastAsia" w:ascii="仿宋" w:hAnsi="仿宋" w:eastAsia="仿宋"/>
          <w:bCs/>
          <w:color w:val="000000"/>
          <w:sz w:val="32"/>
          <w:szCs w:val="32"/>
        </w:rPr>
        <w:t>（类）21011（款）2101101（项）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支出决算为1.34万元，完成预算100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r>
        <w:rPr>
          <w:rStyle w:val="14"/>
          <w:rFonts w:hint="eastAsia" w:ascii="仿宋" w:hAnsi="仿宋" w:eastAsia="仿宋"/>
          <w:bCs/>
          <w:color w:val="000000"/>
          <w:sz w:val="32"/>
          <w:szCs w:val="32"/>
        </w:rPr>
        <w:t>2101102（项）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支出决算为2.27万元，完成预算100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，决算数等于预算数。</w:t>
      </w:r>
    </w:p>
    <w:p w14:paraId="0AD7E648">
      <w:pPr>
        <w:spacing w:line="600" w:lineRule="exact"/>
        <w:ind w:firstLine="640" w:firstLineChars="200"/>
        <w:rPr>
          <w:rFonts w:ascii="仿宋" w:hAnsi="仿宋" w:eastAsia="仿宋"/>
          <w:b/>
          <w:color w:val="000000"/>
          <w:sz w:val="32"/>
          <w:szCs w:val="32"/>
        </w:rPr>
      </w:pPr>
      <w:r>
        <w:rPr>
          <w:rFonts w:hint="eastAsia" w:ascii="仿宋_GB2312" w:eastAsia="仿宋_GB2312"/>
          <w:sz w:val="32"/>
          <w:szCs w:val="32"/>
        </w:rPr>
        <w:t>5.农林水</w:t>
      </w:r>
      <w:r>
        <w:rPr>
          <w:rStyle w:val="14"/>
          <w:rFonts w:hint="eastAsia" w:ascii="仿宋" w:hAnsi="仿宋" w:eastAsia="仿宋"/>
          <w:bCs/>
          <w:color w:val="000000"/>
          <w:sz w:val="32"/>
          <w:szCs w:val="32"/>
        </w:rPr>
        <w:t>（类）21301（款）2130124（项）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Fonts w:hint="eastAsia" w:ascii="仿宋" w:hAnsi="仿宋" w:eastAsia="仿宋"/>
          <w:color w:val="000000"/>
          <w:sz w:val="32"/>
          <w:szCs w:val="32"/>
        </w:rPr>
        <w:t>35</w:t>
      </w:r>
      <w:r>
        <w:rPr>
          <w:rStyle w:val="14"/>
          <w:rFonts w:hint="eastAsia" w:ascii="仿宋" w:hAnsi="仿宋" w:eastAsia="仿宋"/>
          <w:b w:val="0"/>
          <w:bCs/>
          <w:color w:val="000000"/>
          <w:sz w:val="32"/>
          <w:szCs w:val="32"/>
        </w:rPr>
        <w:t>万元，决算数大于预算数的主要原因是属于年初结转结余。</w:t>
      </w:r>
    </w:p>
    <w:p w14:paraId="0B0B63D8">
      <w:pPr>
        <w:tabs>
          <w:tab w:val="right" w:pos="8306"/>
        </w:tabs>
        <w:spacing w:line="600" w:lineRule="exact"/>
        <w:ind w:firstLine="640"/>
        <w:outlineLvl w:val="1"/>
        <w:rPr>
          <w:rStyle w:val="17"/>
        </w:rPr>
      </w:pPr>
      <w:bookmarkStart w:id="40" w:name="_Toc15377214"/>
      <w:bookmarkStart w:id="4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17"/>
          <w:rFonts w:hint="eastAsia" w:ascii="黑体" w:hAnsi="黑体" w:eastAsia="黑体"/>
          <w:b w:val="0"/>
        </w:rPr>
        <w:t>般公共预算财政拨款基本支出决算情况说明</w:t>
      </w:r>
      <w:bookmarkEnd w:id="40"/>
      <w:bookmarkEnd w:id="41"/>
      <w:r>
        <w:rPr>
          <w:rStyle w:val="17"/>
          <w:rFonts w:ascii="黑体" w:hAnsi="黑体" w:eastAsia="黑体"/>
          <w:b w:val="0"/>
        </w:rPr>
        <w:tab/>
      </w:r>
    </w:p>
    <w:p w14:paraId="34000745">
      <w:pPr>
        <w:spacing w:line="600" w:lineRule="exact"/>
        <w:ind w:firstLine="645"/>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一般公共预算财政拨款基本支出55.05万元，其中：人员经费53.4万元，主要包括：主要包括：基本工资、津贴补贴、奖金、绩效工资、机关事业单位基本养老保险缴费、职业年金缴费、其他社会保障缴费、其他工资福利支出、生活补助、奖励金、住房公积金、购房补贴、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日常公用经费1.66万元，主要包括：办公费、印刷费、水费、电费、邮电费、差旅费、培训费、劳务费、工会经费、福利费、其他交通费、其他商品和服务支出等。</w:t>
      </w:r>
    </w:p>
    <w:p w14:paraId="017A8386">
      <w:pPr>
        <w:spacing w:line="600" w:lineRule="exact"/>
        <w:ind w:firstLine="640"/>
        <w:outlineLvl w:val="1"/>
        <w:rPr>
          <w:rStyle w:val="17"/>
          <w:rFonts w:ascii="黑体" w:hAnsi="黑体" w:eastAsia="黑体"/>
          <w:b w:val="0"/>
        </w:rPr>
      </w:pPr>
      <w:bookmarkStart w:id="42" w:name="_Toc15377215"/>
      <w:bookmarkStart w:id="43" w:name="_Toc15396609"/>
      <w:r>
        <w:rPr>
          <w:rFonts w:hint="eastAsia" w:ascii="黑体" w:eastAsia="黑体"/>
          <w:color w:val="000000"/>
          <w:sz w:val="32"/>
          <w:szCs w:val="32"/>
        </w:rPr>
        <w:t>七、</w:t>
      </w:r>
      <w:r>
        <w:rPr>
          <w:rStyle w:val="17"/>
          <w:rFonts w:hint="eastAsia" w:ascii="黑体" w:hAnsi="黑体" w:eastAsia="黑体"/>
        </w:rPr>
        <w:t>“</w:t>
      </w:r>
      <w:r>
        <w:rPr>
          <w:rStyle w:val="17"/>
          <w:rFonts w:hint="eastAsia" w:ascii="黑体" w:hAnsi="黑体" w:eastAsia="黑体"/>
          <w:b w:val="0"/>
        </w:rPr>
        <w:t>三公”经费财政拨款支出决算情况说明</w:t>
      </w:r>
      <w:bookmarkEnd w:id="42"/>
      <w:bookmarkEnd w:id="43"/>
    </w:p>
    <w:p w14:paraId="5CA20068">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14:paraId="76E0EB63">
      <w:pPr>
        <w:spacing w:line="600" w:lineRule="exact"/>
        <w:ind w:firstLine="640"/>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年“三公”经费财政拨款支出决算为0万元，完成预算0</w:t>
      </w:r>
      <w:r>
        <w:rPr>
          <w:rFonts w:ascii="仿宋" w:hAnsi="仿宋" w:eastAsia="仿宋"/>
          <w:color w:val="000000"/>
          <w:sz w:val="32"/>
          <w:szCs w:val="32"/>
        </w:rPr>
        <w:t>%</w:t>
      </w:r>
      <w:r>
        <w:rPr>
          <w:rFonts w:hint="eastAsia" w:ascii="仿宋" w:hAnsi="仿宋" w:eastAsia="仿宋"/>
          <w:color w:val="000000"/>
          <w:sz w:val="32"/>
          <w:szCs w:val="32"/>
        </w:rPr>
        <w:t>，决算数小于预算数的主要原因是机构改革。</w:t>
      </w:r>
    </w:p>
    <w:p w14:paraId="4E623411">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14:paraId="46278E54">
      <w:pPr>
        <w:spacing w:line="600" w:lineRule="exact"/>
        <w:ind w:firstLine="640"/>
        <w:rPr>
          <w:rFonts w:ascii="仿宋" w:hAnsi="仿宋" w:eastAsia="仿宋"/>
          <w:color w:val="000000"/>
          <w:sz w:val="32"/>
          <w:szCs w:val="32"/>
        </w:rPr>
      </w:pPr>
      <w:r>
        <w:rPr>
          <w:rFonts w:ascii="仿宋" w:hAnsi="仿宋" w:eastAsia="仿宋"/>
          <w:color w:val="000000"/>
          <w:sz w:val="32"/>
          <w:szCs w:val="32"/>
        </w:rPr>
        <w:t>2019</w:t>
      </w:r>
      <w:r>
        <w:rPr>
          <w:rFonts w:hint="eastAsia" w:ascii="仿宋" w:hAnsi="仿宋" w:eastAsia="仿宋"/>
          <w:color w:val="000000"/>
          <w:sz w:val="32"/>
          <w:szCs w:val="32"/>
        </w:rPr>
        <w:t>年“三公”经费财政拨款支出决算为0元。</w:t>
      </w:r>
    </w:p>
    <w:p w14:paraId="36660454">
      <w:pPr>
        <w:spacing w:line="600" w:lineRule="exact"/>
        <w:ind w:firstLine="640"/>
        <w:outlineLvl w:val="1"/>
        <w:rPr>
          <w:rStyle w:val="17"/>
          <w:rFonts w:ascii="黑体" w:hAnsi="黑体" w:eastAsia="黑体"/>
        </w:rPr>
      </w:pPr>
      <w:bookmarkStart w:id="46" w:name="_Toc15377218"/>
      <w:bookmarkStart w:id="47" w:name="_Toc15396610"/>
      <w:r>
        <w:rPr>
          <w:rFonts w:hint="eastAsia" w:ascii="黑体" w:eastAsia="黑体"/>
          <w:color w:val="000000"/>
          <w:sz w:val="32"/>
          <w:szCs w:val="32"/>
        </w:rPr>
        <w:t>八、</w:t>
      </w:r>
      <w:r>
        <w:rPr>
          <w:rStyle w:val="17"/>
          <w:rFonts w:hint="eastAsia" w:ascii="黑体" w:hAnsi="黑体" w:eastAsia="黑体"/>
          <w:b w:val="0"/>
        </w:rPr>
        <w:t>政府性基金预算支出决算情况说明</w:t>
      </w:r>
      <w:bookmarkEnd w:id="46"/>
      <w:bookmarkEnd w:id="47"/>
    </w:p>
    <w:p w14:paraId="1E40ED1E">
      <w:pPr>
        <w:spacing w:line="600" w:lineRule="exact"/>
        <w:ind w:firstLine="640"/>
        <w:rPr>
          <w:rFonts w:ascii="仿宋_GB2312" w:eastAsia="仿宋_GB2312"/>
          <w:color w:val="00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年政府性基金预算拨款支出0万元。</w:t>
      </w:r>
    </w:p>
    <w:p w14:paraId="6B73BC52">
      <w:pPr>
        <w:numPr>
          <w:ilvl w:val="0"/>
          <w:numId w:val="2"/>
        </w:numPr>
        <w:spacing w:line="600" w:lineRule="exact"/>
        <w:ind w:firstLine="640"/>
        <w:outlineLvl w:val="1"/>
        <w:rPr>
          <w:rStyle w:val="17"/>
          <w:rFonts w:ascii="黑体" w:hAnsi="黑体" w:eastAsia="黑体"/>
          <w:b w:val="0"/>
        </w:rPr>
      </w:pPr>
      <w:bookmarkStart w:id="48" w:name="_Toc15396611"/>
      <w:bookmarkStart w:id="49" w:name="_Toc15377219"/>
      <w:r>
        <w:rPr>
          <w:rStyle w:val="17"/>
          <w:rFonts w:hint="eastAsia" w:ascii="黑体" w:hAnsi="黑体" w:eastAsia="黑体"/>
          <w:b w:val="0"/>
        </w:rPr>
        <w:t>国有资本经营预算支出决算情况说明</w:t>
      </w:r>
      <w:bookmarkEnd w:id="48"/>
      <w:bookmarkEnd w:id="49"/>
    </w:p>
    <w:p w14:paraId="04271B1B">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2019</w:t>
      </w:r>
      <w:r>
        <w:rPr>
          <w:rFonts w:hint="eastAsia" w:ascii="仿宋_GB2312" w:eastAsia="仿宋_GB2312"/>
          <w:color w:val="000000"/>
          <w:sz w:val="32"/>
          <w:szCs w:val="32"/>
        </w:rPr>
        <w:t>年国有资本经营预算拨款支出0万元。</w:t>
      </w:r>
    </w:p>
    <w:p w14:paraId="1A0EB8BB">
      <w:pPr>
        <w:spacing w:line="600" w:lineRule="exact"/>
        <w:ind w:firstLine="800" w:firstLineChars="250"/>
        <w:outlineLvl w:val="1"/>
        <w:rPr>
          <w:rStyle w:val="17"/>
          <w:rFonts w:ascii="黑体" w:hAnsi="黑体" w:eastAsia="黑体"/>
        </w:rPr>
      </w:pPr>
      <w:bookmarkStart w:id="50" w:name="_Toc15377221"/>
      <w:bookmarkStart w:id="51" w:name="_Toc15396612"/>
      <w:r>
        <w:rPr>
          <w:rFonts w:hint="eastAsia" w:ascii="黑体" w:hAnsi="黑体" w:eastAsia="黑体"/>
          <w:color w:val="000000"/>
          <w:sz w:val="32"/>
          <w:szCs w:val="32"/>
        </w:rPr>
        <w:t>十</w:t>
      </w:r>
      <w:r>
        <w:rPr>
          <w:rStyle w:val="17"/>
          <w:rFonts w:hint="eastAsia" w:ascii="黑体" w:hAnsi="黑体" w:eastAsia="黑体"/>
        </w:rPr>
        <w:t>、</w:t>
      </w:r>
      <w:r>
        <w:rPr>
          <w:rStyle w:val="17"/>
          <w:rFonts w:hint="eastAsia" w:ascii="黑体" w:hAnsi="黑体" w:eastAsia="黑体"/>
          <w:b w:val="0"/>
        </w:rPr>
        <w:t>其他重要事项的情况说明</w:t>
      </w:r>
      <w:bookmarkEnd w:id="50"/>
      <w:bookmarkEnd w:id="51"/>
    </w:p>
    <w:p w14:paraId="0593D680">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14:paraId="5507500C">
      <w:pPr>
        <w:spacing w:line="600" w:lineRule="exact"/>
        <w:ind w:firstLine="640" w:firstLineChars="200"/>
        <w:rPr>
          <w:rFonts w:ascii="仿宋" w:hAnsi="仿宋" w:eastAsia="仿宋"/>
          <w:b/>
          <w:color w:val="FF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年，县委农工委机关运行经费支出1.66万元，比</w:t>
      </w:r>
      <w:r>
        <w:rPr>
          <w:rFonts w:ascii="仿宋_GB2312" w:eastAsia="仿宋_GB2312"/>
          <w:color w:val="000000"/>
          <w:sz w:val="32"/>
          <w:szCs w:val="32"/>
        </w:rPr>
        <w:t>2018</w:t>
      </w:r>
      <w:r>
        <w:rPr>
          <w:rFonts w:hint="eastAsia" w:ascii="仿宋_GB2312" w:eastAsia="仿宋_GB2312"/>
          <w:color w:val="000000"/>
          <w:sz w:val="32"/>
          <w:szCs w:val="32"/>
        </w:rPr>
        <w:t>年减少8万元，下降482</w:t>
      </w:r>
      <w:r>
        <w:rPr>
          <w:rFonts w:ascii="仿宋_GB2312" w:eastAsia="仿宋_GB2312"/>
          <w:color w:val="000000"/>
          <w:sz w:val="32"/>
          <w:szCs w:val="32"/>
        </w:rPr>
        <w:t>%</w:t>
      </w:r>
      <w:r>
        <w:rPr>
          <w:rFonts w:hint="eastAsia" w:ascii="仿宋_GB2312" w:eastAsia="仿宋_GB2312"/>
          <w:color w:val="000000"/>
          <w:sz w:val="32"/>
          <w:szCs w:val="32"/>
        </w:rPr>
        <w:t>。主要原因是机构改革。</w:t>
      </w:r>
    </w:p>
    <w:p w14:paraId="50D7B6C5">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14:paraId="14DD1B5E">
      <w:pPr>
        <w:spacing w:line="600" w:lineRule="exact"/>
        <w:ind w:firstLine="640" w:firstLineChars="200"/>
        <w:rPr>
          <w:rFonts w:ascii="仿宋" w:hAnsi="仿宋" w:eastAsia="仿宋_GB2312"/>
          <w:b/>
          <w:color w:val="FF0000"/>
          <w:sz w:val="32"/>
          <w:szCs w:val="32"/>
        </w:rPr>
      </w:pPr>
      <w:r>
        <w:rPr>
          <w:rFonts w:ascii="仿宋_GB2312" w:eastAsia="仿宋_GB2312"/>
          <w:color w:val="000000"/>
          <w:sz w:val="32"/>
          <w:szCs w:val="32"/>
        </w:rPr>
        <w:t>2019</w:t>
      </w:r>
      <w:r>
        <w:rPr>
          <w:rFonts w:hint="eastAsia" w:ascii="仿宋_GB2312" w:eastAsia="仿宋_GB2312"/>
          <w:color w:val="000000"/>
          <w:sz w:val="32"/>
          <w:szCs w:val="32"/>
        </w:rPr>
        <w:t>年，县委农工委政府采购支出总额0万元。</w:t>
      </w:r>
    </w:p>
    <w:p w14:paraId="7FF94BD4">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14:paraId="325271D9">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2019</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日，县委农工委无公务车辆，无单价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p>
    <w:p w14:paraId="32456200">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14:paraId="6CB556A1">
      <w:pPr>
        <w:tabs>
          <w:tab w:val="left" w:pos="312"/>
        </w:tabs>
        <w:spacing w:line="580" w:lineRule="exact"/>
        <w:ind w:firstLine="640" w:firstLineChars="200"/>
        <w:rPr>
          <w:rFonts w:ascii="Calibri" w:hAnsi="Calibri" w:eastAsia="方正仿宋_GBK"/>
        </w:rPr>
      </w:pPr>
      <w:r>
        <w:rPr>
          <w:rFonts w:hint="eastAsia" w:ascii="方正仿宋_GBK" w:eastAsia="方正仿宋_GBK"/>
          <w:sz w:val="32"/>
          <w:szCs w:val="32"/>
        </w:rPr>
        <w:t>我委在县委、县政府的领导下，紧紧围绕省、市、县关于“三农”工作的决策部署，把握工作重点，完善工作机制，创新工作方法，稳步推进农业和农村体制改革，扎实推进幸福美丽新村建设，积极探索“一三产业互动”试点，强化惠农政策，增添农民增收措施，全面完成了各项工作任务，“三农”工作持续健康发展。幸福美丽新村建设、农民增收增速继续位居全市前列，农业和农村体制改革工作成效显著。通过一年的努力工作，全体干部职工切实转变工作作风，办事更积极，态度更热情，使广大群众和服务对象更满意，满意率达到百分之九十五以上。</w:t>
      </w:r>
    </w:p>
    <w:p w14:paraId="59A7EF10">
      <w:pPr>
        <w:spacing w:line="580" w:lineRule="exact"/>
        <w:ind w:firstLine="640" w:firstLineChars="200"/>
        <w:rPr>
          <w:rFonts w:ascii="方正小标宋简体" w:hAnsi="方正小标宋简体" w:eastAsia="方正小标宋简体" w:cs="方正小标宋简体"/>
          <w:sz w:val="44"/>
          <w:szCs w:val="44"/>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201</w:t>
      </w:r>
      <w:r>
        <w:rPr>
          <w:rFonts w:hint="eastAsia" w:ascii="仿宋_GB2312" w:hAnsi="仿宋_GB2312" w:eastAsia="仿宋_GB2312" w:cs="仿宋_GB2312"/>
          <w:sz w:val="32"/>
          <w:szCs w:val="32"/>
        </w:rPr>
        <w:t>9年部门整体支出绩效评价情况开展自评，</w:t>
      </w:r>
      <w:r>
        <w:rPr>
          <w:rFonts w:hint="eastAsia" w:ascii="方正仿宋_GBK" w:eastAsia="方正仿宋_GBK"/>
          <w:sz w:val="32"/>
          <w:szCs w:val="32"/>
        </w:rPr>
        <w:t>综合各项指标，我委财务管理健全规范，没有发生违法违规现象，我委2019年的部门整体支出绩效自我评价得到100分，自评结果：好。我委将在以后的工作中加强预算管理，严格控制各项经费的开支，提高经费的使用效率。</w:t>
      </w:r>
    </w:p>
    <w:p w14:paraId="5DA54560">
      <w:pPr>
        <w:widowControl/>
        <w:jc w:val="left"/>
        <w:rPr>
          <w:rFonts w:ascii="仿宋_GB2312" w:eastAsia="仿宋_GB2312"/>
          <w:b/>
          <w:color w:val="000000"/>
          <w:sz w:val="32"/>
          <w:szCs w:val="32"/>
        </w:rPr>
      </w:pPr>
    </w:p>
    <w:p w14:paraId="3424AE7D">
      <w:pPr>
        <w:numPr>
          <w:ilvl w:val="0"/>
          <w:numId w:val="3"/>
        </w:numPr>
        <w:spacing w:line="600" w:lineRule="exact"/>
        <w:ind w:firstLine="660" w:firstLineChars="150"/>
        <w:jc w:val="center"/>
        <w:outlineLvl w:val="0"/>
        <w:rPr>
          <w:rStyle w:val="16"/>
          <w:rFonts w:ascii="黑体" w:hAnsi="黑体" w:eastAsia="黑体"/>
          <w:b w:val="0"/>
        </w:rPr>
      </w:pPr>
      <w:bookmarkStart w:id="55" w:name="_Toc15396613"/>
      <w:bookmarkStart w:id="56" w:name="_Toc15377225"/>
      <w:r>
        <w:rPr>
          <w:rFonts w:hint="eastAsia" w:ascii="黑体" w:hAnsi="黑体" w:eastAsia="黑体"/>
          <w:color w:val="000000"/>
          <w:sz w:val="44"/>
          <w:szCs w:val="44"/>
        </w:rPr>
        <w:t>名</w:t>
      </w:r>
      <w:r>
        <w:rPr>
          <w:rStyle w:val="16"/>
          <w:rFonts w:hint="eastAsia" w:ascii="黑体" w:hAnsi="黑体" w:eastAsia="黑体"/>
          <w:b w:val="0"/>
        </w:rPr>
        <w:t>词解释</w:t>
      </w:r>
      <w:bookmarkEnd w:id="55"/>
      <w:bookmarkEnd w:id="56"/>
    </w:p>
    <w:p w14:paraId="393C95CE">
      <w:pPr>
        <w:spacing w:line="600" w:lineRule="exact"/>
        <w:jc w:val="left"/>
        <w:rPr>
          <w:rFonts w:ascii="宋体"/>
          <w:b/>
          <w:color w:val="000000"/>
          <w:sz w:val="44"/>
          <w:szCs w:val="44"/>
        </w:rPr>
      </w:pPr>
    </w:p>
    <w:p w14:paraId="6DB355DF">
      <w:pPr>
        <w:spacing w:line="600" w:lineRule="exact"/>
        <w:ind w:firstLine="640" w:firstLineChars="200"/>
        <w:rPr>
          <w:rFonts w:ascii="仿宋_GB2312" w:hAnsi="Calibri" w:eastAsia="仿宋_GB2312" w:cs="仿宋"/>
          <w:color w:val="000000"/>
          <w:kern w:val="0"/>
          <w:sz w:val="32"/>
          <w:szCs w:val="32"/>
        </w:rPr>
      </w:pPr>
      <w:bookmarkStart w:id="57" w:name="_Toc15396614"/>
      <w:bookmarkStart w:id="58" w:name="_Toc15377226"/>
      <w:r>
        <w:rPr>
          <w:rFonts w:hint="eastAsia" w:ascii="仿宋_GB2312" w:hAnsi="Calibri" w:eastAsia="仿宋_GB2312" w:cs="仿宋"/>
          <w:color w:val="000000"/>
          <w:kern w:val="0"/>
          <w:sz w:val="32"/>
          <w:szCs w:val="32"/>
        </w:rPr>
        <w:t>1、一般公共预算：</w:t>
      </w:r>
      <w:r>
        <w:rPr>
          <w:rFonts w:ascii="仿宋_GB2312" w:hAnsi="Calibri" w:eastAsia="仿宋_GB2312" w:cs="仿宋"/>
          <w:color w:val="000000"/>
          <w:kern w:val="0"/>
          <w:sz w:val="32"/>
          <w:szCs w:val="32"/>
        </w:rPr>
        <w:t>是对以税收为主体的财政收入，安排用于保障和改善民生、推动经济社会发展、维护国家安全、维持国家机构正常运转等方面的收支预算</w:t>
      </w:r>
      <w:r>
        <w:rPr>
          <w:rFonts w:hint="eastAsia" w:ascii="仿宋_GB2312" w:hAnsi="Calibri" w:eastAsia="仿宋_GB2312" w:cs="仿宋"/>
          <w:color w:val="000000"/>
          <w:kern w:val="0"/>
          <w:sz w:val="32"/>
          <w:szCs w:val="32"/>
        </w:rPr>
        <w:t>。</w:t>
      </w:r>
    </w:p>
    <w:p w14:paraId="2C8B3EE1">
      <w:pPr>
        <w:spacing w:line="6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2、财政拨款收入：指财政部门用一般预算收入安排的预算单位资金。</w:t>
      </w:r>
    </w:p>
    <w:p w14:paraId="04BA2809">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rPr>
        <w:t>3、三公经费：“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5AA43EF8">
      <w:pPr>
        <w:spacing w:line="6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4、基本支出：反映为保障机构正常运转、完成日常工作任务而发生的人员支出和公用支出。</w:t>
      </w:r>
    </w:p>
    <w:p w14:paraId="59ADE042">
      <w:pPr>
        <w:spacing w:line="600" w:lineRule="exact"/>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5、项目支出：反映行政单位为完成特定的工作任务或事业发展目标，在基本的预算支出以外，财政预算专款安排的支出。</w:t>
      </w:r>
    </w:p>
    <w:p w14:paraId="4C284AD5">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rPr>
        <w:t>6.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AFE6425">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7.年初结转和结余：指以前年度尚未完成、结转到本年按有关规定继续使用的资金。 </w:t>
      </w:r>
    </w:p>
    <w:p w14:paraId="19EC2FF9">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14:paraId="71D7B683">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9.农林水（类）05（款）04（项）农村基础设施建设：是指反映用于农村贫困地区乡村道路、住房、基本农田、水利设施、</w:t>
      </w:r>
      <w:r>
        <w:rPr>
          <w:rFonts w:hint="default" w:ascii="仿宋_GB2312" w:hAnsi="Calibri" w:eastAsia="仿宋_GB2312" w:cs="仿宋"/>
          <w:color w:val="000000"/>
          <w:kern w:val="0"/>
          <w:sz w:val="32"/>
          <w:szCs w:val="32"/>
          <w:lang w:val="en-US"/>
        </w:rPr>
        <w:t>人畜饮水</w:t>
      </w:r>
      <w:r>
        <w:rPr>
          <w:rFonts w:hint="eastAsia" w:ascii="仿宋_GB2312" w:hAnsi="Calibri" w:eastAsia="仿宋_GB2312" w:cs="仿宋"/>
          <w:color w:val="000000"/>
          <w:kern w:val="0"/>
          <w:sz w:val="32"/>
          <w:szCs w:val="32"/>
        </w:rPr>
        <w:t>、生态环境保护等生产生活条件改善方面的支出。</w:t>
      </w:r>
    </w:p>
    <w:p w14:paraId="63BBB4BF">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10、农林水（类）07（款）06（项）对村集体经济组织的补助：指反映农村税费改革后对村集体经济组织的补助支出。</w:t>
      </w:r>
    </w:p>
    <w:bookmarkEnd w:id="57"/>
    <w:bookmarkEnd w:id="58"/>
    <w:p w14:paraId="15A40BA9">
      <w:pPr>
        <w:spacing w:line="600" w:lineRule="exact"/>
        <w:jc w:val="center"/>
        <w:outlineLvl w:val="0"/>
        <w:rPr>
          <w:rFonts w:ascii="黑体" w:hAnsi="黑体" w:eastAsia="黑体"/>
          <w:color w:val="000000"/>
          <w:sz w:val="44"/>
          <w:szCs w:val="44"/>
        </w:rPr>
      </w:pPr>
    </w:p>
    <w:p w14:paraId="3A31E4F0">
      <w:pPr>
        <w:spacing w:line="600" w:lineRule="exact"/>
        <w:jc w:val="center"/>
        <w:outlineLvl w:val="0"/>
        <w:rPr>
          <w:rStyle w:val="16"/>
          <w:rFonts w:ascii="黑体" w:hAnsi="黑体" w:eastAsia="黑体"/>
          <w:b w:val="0"/>
        </w:rPr>
      </w:pPr>
      <w:r>
        <w:rPr>
          <w:rFonts w:hint="eastAsia" w:ascii="黑体" w:hAnsi="黑体" w:eastAsia="黑体"/>
          <w:color w:val="000000"/>
          <w:sz w:val="44"/>
          <w:szCs w:val="44"/>
        </w:rPr>
        <w:t>第</w:t>
      </w:r>
      <w:r>
        <w:rPr>
          <w:rStyle w:val="16"/>
          <w:rFonts w:hint="eastAsia" w:ascii="黑体" w:hAnsi="黑体" w:eastAsia="黑体"/>
          <w:b w:val="0"/>
        </w:rPr>
        <w:t>四部分附件</w:t>
      </w:r>
    </w:p>
    <w:p w14:paraId="65AFDA9B">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w:t>
      </w:r>
      <w:r>
        <w:rPr>
          <w:rFonts w:ascii="黑体" w:hAnsi="黑体" w:eastAsia="黑体" w:cs="黑体"/>
          <w:sz w:val="32"/>
          <w:szCs w:val="32"/>
        </w:rPr>
        <w:t>1</w:t>
      </w:r>
    </w:p>
    <w:p w14:paraId="68AEB18B">
      <w:pPr>
        <w:spacing w:line="580" w:lineRule="exact"/>
        <w:jc w:val="center"/>
        <w:rPr>
          <w:rFonts w:ascii="方正小标宋简体" w:hAnsi="方正小标宋简体" w:eastAsia="方正小标宋简体" w:cs="方正小标宋简体"/>
          <w:sz w:val="44"/>
          <w:szCs w:val="44"/>
        </w:rPr>
      </w:pPr>
    </w:p>
    <w:p w14:paraId="1C489C10">
      <w:pPr>
        <w:spacing w:line="600" w:lineRule="exact"/>
        <w:jc w:val="center"/>
        <w:rPr>
          <w:rFonts w:ascii="方正小标宋简体" w:hAnsi="宋体" w:eastAsia="方正小标宋简体"/>
          <w:color w:val="000000"/>
          <w:kern w:val="0"/>
          <w:sz w:val="40"/>
          <w:szCs w:val="44"/>
        </w:rPr>
      </w:pPr>
      <w:r>
        <w:rPr>
          <w:rFonts w:hint="eastAsia" w:ascii="方正小标宋简体" w:hAnsi="宋体" w:eastAsia="方正小标宋简体"/>
          <w:color w:val="000000"/>
          <w:kern w:val="0"/>
          <w:sz w:val="40"/>
          <w:szCs w:val="44"/>
        </w:rPr>
        <w:t>米易县委农工委</w:t>
      </w:r>
    </w:p>
    <w:p w14:paraId="040D12F7">
      <w:pPr>
        <w:spacing w:line="600" w:lineRule="exact"/>
        <w:jc w:val="center"/>
        <w:rPr>
          <w:rFonts w:ascii="方正小标宋简体" w:hAnsi="宋体" w:eastAsia="方正小标宋简体"/>
          <w:color w:val="000000"/>
          <w:kern w:val="0"/>
          <w:sz w:val="40"/>
          <w:szCs w:val="44"/>
          <w:lang w:val="zh-CN"/>
        </w:rPr>
      </w:pPr>
      <w:r>
        <w:rPr>
          <w:rFonts w:ascii="方正小标宋简体" w:hAnsi="宋体" w:eastAsia="方正小标宋简体"/>
          <w:color w:val="000000"/>
          <w:kern w:val="0"/>
          <w:sz w:val="40"/>
          <w:szCs w:val="44"/>
        </w:rPr>
        <w:t>2019</w:t>
      </w:r>
      <w:r>
        <w:rPr>
          <w:rFonts w:hint="eastAsia" w:ascii="方正小标宋简体" w:hAnsi="宋体" w:eastAsia="方正小标宋简体"/>
          <w:color w:val="000000"/>
          <w:kern w:val="0"/>
          <w:sz w:val="40"/>
          <w:szCs w:val="44"/>
        </w:rPr>
        <w:t>年部门</w:t>
      </w:r>
      <w:r>
        <w:rPr>
          <w:rFonts w:hint="eastAsia" w:ascii="方正小标宋简体" w:hAnsi="宋体" w:eastAsia="方正小标宋简体"/>
          <w:color w:val="000000"/>
          <w:kern w:val="0"/>
          <w:sz w:val="40"/>
          <w:szCs w:val="44"/>
          <w:lang w:val="zh-CN"/>
        </w:rPr>
        <w:t>整体支出绩效评价报告</w:t>
      </w:r>
    </w:p>
    <w:p w14:paraId="47D6C25F">
      <w:pPr>
        <w:widowControl/>
        <w:spacing w:line="580" w:lineRule="exact"/>
        <w:ind w:firstLine="640" w:firstLineChars="200"/>
        <w:contextualSpacing/>
        <w:rPr>
          <w:rFonts w:ascii="仿宋_GB2312" w:hAnsi="宋体" w:eastAsia="仿宋_GB2312"/>
          <w:sz w:val="32"/>
          <w:szCs w:val="32"/>
          <w:shd w:val="clear" w:color="auto" w:fill="FFFFFF"/>
        </w:rPr>
      </w:pPr>
    </w:p>
    <w:p w14:paraId="75E95032">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14:paraId="18AD8B3C">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14:paraId="2B4BC366">
      <w:pPr>
        <w:widowControl/>
        <w:adjustRightInd w:val="0"/>
        <w:snapToGrid w:val="0"/>
        <w:spacing w:line="580" w:lineRule="exact"/>
        <w:ind w:firstLine="640" w:firstLineChars="200"/>
        <w:contextualSpacing/>
        <w:jc w:val="left"/>
        <w:rPr>
          <w:rFonts w:ascii="方正仿宋_GBK" w:eastAsia="方正仿宋_GBK"/>
          <w:kern w:val="0"/>
          <w:sz w:val="33"/>
          <w:szCs w:val="33"/>
        </w:rPr>
      </w:pPr>
      <w:r>
        <w:rPr>
          <w:rFonts w:hint="eastAsia" w:ascii="仿宋_GB2312" w:hAnsi="宋体" w:eastAsia="仿宋_GB2312" w:cs="宋体"/>
          <w:color w:val="000000"/>
          <w:kern w:val="0"/>
          <w:sz w:val="32"/>
          <w:szCs w:val="32"/>
          <w:shd w:val="clear" w:color="auto" w:fill="FFFFFF"/>
          <w:lang w:val="zh-CN"/>
        </w:rPr>
        <w:t>（一）机构组成。</w:t>
      </w:r>
      <w:r>
        <w:rPr>
          <w:rFonts w:hint="eastAsia" w:ascii="方正仿宋_GBK" w:eastAsia="方正仿宋_GBK"/>
          <w:kern w:val="0"/>
          <w:sz w:val="33"/>
          <w:szCs w:val="33"/>
        </w:rPr>
        <w:t>县委农工委属于行政机关单位，下属二级单位1个，米易县农业产业经济和市场信息服务中心，属于全额拨款事业单位，不是财务独立单位。</w:t>
      </w:r>
    </w:p>
    <w:p w14:paraId="25D11619">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（二）机构职能。</w:t>
      </w:r>
      <w:r>
        <w:rPr>
          <w:rFonts w:hint="eastAsia" w:ascii="方正仿宋_GBK" w:eastAsia="方正仿宋_GBK"/>
          <w:sz w:val="32"/>
          <w:szCs w:val="32"/>
        </w:rPr>
        <w:t>1.为县委确定“三农”工作方针政策、作出决策部署作好基础工作，开展战略性、全局性、综合性问题的调查研究，起草县委指导“三农”工作的政策文件，牵头拟定全县农业和农村经济社会中长期发展战略规划，负责县级部门涉及农村重大经济政策文件的审核把关，协调有关部门组织对农村工作重大方针、政策的宣传；2.指导协调农村经济体制改革、农业产业化发展、农村劳务产业经济发展、农村市场体系建设、农村社会事业发展等工作，综合协调县级有关部门涉农工作；3.负责中央和省、市、县委农村改革发展方针、政策贯彻落实的督促检查，负责全县“三农”工作的督促检查，配合有关部门搞好对乡（镇）和县级农口部门目标任务完成情况的检查、考评；4.牵头推进全县新农村建设、农村建设全面小康工作，牵头负责全县新农村建设示范片推进工作，承担新农村建设示范片推进工作领导小组办公室的日常工作；5.完成县委交办的其他工作。</w:t>
      </w:r>
    </w:p>
    <w:p w14:paraId="25ED773C">
      <w:pPr>
        <w:spacing w:line="540"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（三）人员概况。</w:t>
      </w:r>
      <w:r>
        <w:rPr>
          <w:rFonts w:hint="eastAsia" w:ascii="方正仿宋_GBK" w:eastAsia="方正仿宋_GBK"/>
          <w:sz w:val="32"/>
          <w:szCs w:val="32"/>
        </w:rPr>
        <w:t>我委有编制数10名，其中行政编制3名，事业编制7名。在岗人员7人，其中行政人员3人，事业编制4人。2019年3月，因机构改革，县委农工委机构取消，人员全部并入县农业农村局。</w:t>
      </w:r>
    </w:p>
    <w:p w14:paraId="68FE4600">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14:paraId="71D01D3D">
      <w:pPr>
        <w:spacing w:line="600" w:lineRule="exact"/>
        <w:ind w:firstLine="640" w:firstLineChars="200"/>
        <w:outlineLvl w:val="1"/>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r>
        <w:rPr>
          <w:rFonts w:ascii="仿宋" w:hAnsi="仿宋" w:eastAsia="仿宋"/>
          <w:color w:val="000000"/>
          <w:sz w:val="32"/>
          <w:szCs w:val="32"/>
        </w:rPr>
        <w:t>2019</w:t>
      </w:r>
      <w:r>
        <w:rPr>
          <w:rFonts w:hint="eastAsia" w:ascii="仿宋" w:hAnsi="仿宋" w:eastAsia="仿宋"/>
          <w:color w:val="000000"/>
          <w:sz w:val="32"/>
          <w:szCs w:val="32"/>
        </w:rPr>
        <w:t>年财政资金收入合计69.76万元，其中：一般公共预算财政拨款收入69.76万元，占45</w:t>
      </w:r>
      <w:r>
        <w:rPr>
          <w:rFonts w:ascii="仿宋" w:hAnsi="仿宋" w:eastAsia="仿宋"/>
          <w:color w:val="000000"/>
          <w:sz w:val="32"/>
          <w:szCs w:val="32"/>
        </w:rPr>
        <w:t>%</w:t>
      </w:r>
      <w:r>
        <w:rPr>
          <w:rFonts w:hint="eastAsia" w:ascii="仿宋" w:hAnsi="仿宋" w:eastAsia="仿宋"/>
          <w:color w:val="000000"/>
          <w:sz w:val="32"/>
          <w:szCs w:val="32"/>
        </w:rPr>
        <w:t>。</w:t>
      </w:r>
    </w:p>
    <w:p w14:paraId="5F00CEFD">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（二）部门财政资金支出情况。</w:t>
      </w:r>
      <w:r>
        <w:rPr>
          <w:rFonts w:ascii="仿宋" w:hAnsi="仿宋" w:eastAsia="仿宋"/>
          <w:color w:val="000000"/>
          <w:sz w:val="32"/>
          <w:szCs w:val="32"/>
        </w:rPr>
        <w:t>2019</w:t>
      </w:r>
      <w:r>
        <w:rPr>
          <w:rFonts w:hint="eastAsia" w:ascii="仿宋" w:hAnsi="仿宋" w:eastAsia="仿宋"/>
          <w:color w:val="000000"/>
          <w:sz w:val="32"/>
          <w:szCs w:val="32"/>
        </w:rPr>
        <w:t>年财政资金支出合计</w:t>
      </w:r>
      <w:r>
        <w:rPr>
          <w:rFonts w:hint="eastAsia" w:ascii="仿宋_GB2312" w:eastAsia="仿宋_GB2312"/>
          <w:sz w:val="32"/>
          <w:szCs w:val="32"/>
        </w:rPr>
        <w:t>104.76</w:t>
      </w:r>
      <w:r>
        <w:rPr>
          <w:rFonts w:hint="eastAsia" w:ascii="仿宋" w:hAnsi="仿宋" w:eastAsia="仿宋"/>
          <w:color w:val="000000"/>
          <w:sz w:val="32"/>
          <w:szCs w:val="32"/>
        </w:rPr>
        <w:t>万元，其中：基本支出69.76万元，占67</w:t>
      </w:r>
      <w:r>
        <w:rPr>
          <w:rFonts w:ascii="仿宋" w:hAnsi="仿宋" w:eastAsia="仿宋"/>
          <w:color w:val="000000"/>
          <w:sz w:val="32"/>
          <w:szCs w:val="32"/>
        </w:rPr>
        <w:t>%</w:t>
      </w:r>
      <w:r>
        <w:rPr>
          <w:rFonts w:hint="eastAsia" w:ascii="仿宋" w:hAnsi="仿宋" w:eastAsia="仿宋"/>
          <w:color w:val="000000"/>
          <w:sz w:val="32"/>
          <w:szCs w:val="32"/>
        </w:rPr>
        <w:t>；项目支出35万元，占33</w:t>
      </w:r>
      <w:r>
        <w:rPr>
          <w:rFonts w:ascii="仿宋" w:hAnsi="仿宋" w:eastAsia="仿宋"/>
          <w:color w:val="000000"/>
          <w:sz w:val="32"/>
          <w:szCs w:val="32"/>
        </w:rPr>
        <w:t>%</w:t>
      </w:r>
      <w:r>
        <w:rPr>
          <w:rFonts w:hint="eastAsia" w:ascii="仿宋" w:hAnsi="仿宋" w:eastAsia="仿宋"/>
          <w:color w:val="000000"/>
          <w:sz w:val="32"/>
          <w:szCs w:val="32"/>
        </w:rPr>
        <w:t>。</w:t>
      </w:r>
    </w:p>
    <w:p w14:paraId="0337D392">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14:paraId="267B518E">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14:paraId="5F144C4C">
      <w:pPr>
        <w:spacing w:line="540" w:lineRule="exact"/>
        <w:ind w:firstLine="643" w:firstLineChars="200"/>
        <w:rPr>
          <w:rFonts w:ascii="方正仿宋_GBK" w:eastAsia="方正仿宋_GBK"/>
          <w:sz w:val="32"/>
          <w:szCs w:val="32"/>
        </w:rPr>
      </w:pPr>
      <w:r>
        <w:rPr>
          <w:rFonts w:hint="eastAsia" w:ascii="方正楷体_GBK" w:eastAsia="方正楷体_GBK"/>
          <w:b/>
          <w:sz w:val="32"/>
          <w:szCs w:val="32"/>
        </w:rPr>
        <w:t>1、预算编制情况。</w:t>
      </w:r>
      <w:r>
        <w:rPr>
          <w:rFonts w:hint="eastAsia" w:ascii="方正仿宋_GBK" w:eastAsia="方正仿宋_GBK"/>
          <w:sz w:val="32"/>
          <w:szCs w:val="32"/>
        </w:rPr>
        <w:t>2019年，我委严格按照预算规定编制预算，预算资金覆盖所有农工委工作的各个需求方面，“三公”经费预算没有超过上年预算安排，预算资金能保障单位正常运转需要，分配办法科学，考虑的因素必要合理，分配的结果合理，能基本保证人员经费支出和单位全年专项工作任务的完成。</w:t>
      </w:r>
    </w:p>
    <w:p w14:paraId="66F96AF9">
      <w:pPr>
        <w:spacing w:line="540" w:lineRule="exact"/>
        <w:ind w:firstLine="643" w:firstLineChars="200"/>
        <w:rPr>
          <w:rFonts w:ascii="方正仿宋_GBK" w:eastAsia="方正仿宋_GBK"/>
          <w:sz w:val="32"/>
          <w:szCs w:val="32"/>
        </w:rPr>
      </w:pPr>
      <w:r>
        <w:rPr>
          <w:rFonts w:hint="eastAsia" w:ascii="方正楷体_GBK" w:eastAsia="方正楷体_GBK"/>
          <w:b/>
          <w:sz w:val="32"/>
          <w:szCs w:val="32"/>
        </w:rPr>
        <w:t>2、执行管理情况。</w:t>
      </w:r>
      <w:r>
        <w:rPr>
          <w:rFonts w:hint="eastAsia" w:ascii="方正仿宋_GBK" w:eastAsia="方正仿宋_GBK"/>
          <w:sz w:val="32"/>
          <w:szCs w:val="32"/>
        </w:rPr>
        <w:t>从预算执行情况看，我委在保证机关正常工作需要的人员经费和公用经费的前提下，严格控制 “三公”经费支出和专项支出。各项支出遵照预算执行，确保支出与预算的对应衔接，着力提高预算执行力。我委在既有的制度办法基础上，进一步研究完善公务接待、公务用车配置使用和因公出国(境)等管理制度和审核程序，将“三公”经费严格纳入预算管理，严控 “三公”经费支出。从预算管理看，我委建立健全了《财务管理制度》等内部管理制度；按照要求统一公开部门预算和“三公”消费预算；从资产管理情况看，固定资产由办公室统一进行管理，并立章建制，做到帐帐、帐证、帐实相符，基本无闲置浪费现象。在资金使用上一直按照国家财经法规和我委财务管理制度规定以及有关专项资金管理办法的规定收支，资金拨付有完整的审批程序和手续，按照财经制度的有关要求，做到专款专用，专人保管，单张票据支出达到3000元及以上的，必须进行集体研究。单位分管领导对专项资金的使用进行全程监督，保证资金使用的合规性。资金使用无截留、挤占、挪用、虚列支出等情况。</w:t>
      </w:r>
    </w:p>
    <w:p w14:paraId="4F9227C4">
      <w:pPr>
        <w:widowControl/>
        <w:adjustRightInd w:val="0"/>
        <w:snapToGrid w:val="0"/>
        <w:spacing w:line="580" w:lineRule="exact"/>
        <w:ind w:firstLine="643" w:firstLineChars="200"/>
        <w:contextualSpacing/>
        <w:jc w:val="left"/>
        <w:rPr>
          <w:rFonts w:ascii="方正仿宋_GBK" w:eastAsia="方正仿宋_GBK"/>
          <w:sz w:val="32"/>
          <w:szCs w:val="32"/>
        </w:rPr>
      </w:pPr>
      <w:r>
        <w:rPr>
          <w:rFonts w:hint="eastAsia" w:ascii="方正楷体_GBK" w:eastAsia="方正楷体_GBK"/>
          <w:b/>
          <w:sz w:val="32"/>
          <w:szCs w:val="32"/>
        </w:rPr>
        <w:t>3、决算编制情况。</w:t>
      </w:r>
      <w:r>
        <w:rPr>
          <w:rFonts w:hint="eastAsia" w:ascii="方正仿宋_GBK" w:eastAsia="方正仿宋_GBK"/>
          <w:sz w:val="32"/>
          <w:szCs w:val="32"/>
        </w:rPr>
        <w:t>根据财政局关于做好2019年财务决算的要求，客观真实编制了2019年部门决算，2019年财政资金总支出为104.76万元，其中基本支出69.76万元，项目支出35万元。</w:t>
      </w:r>
    </w:p>
    <w:p w14:paraId="076A3663">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14:paraId="230E590D">
      <w:pPr>
        <w:spacing w:line="540" w:lineRule="exact"/>
        <w:ind w:firstLine="800" w:firstLineChars="250"/>
        <w:rPr>
          <w:rFonts w:ascii="方正仿宋_GBK" w:eastAsia="方正仿宋_GBK"/>
          <w:sz w:val="32"/>
          <w:szCs w:val="32"/>
        </w:rPr>
      </w:pPr>
      <w:r>
        <w:rPr>
          <w:rFonts w:hint="eastAsia" w:ascii="方正仿宋_GBK" w:eastAsia="方正仿宋_GBK"/>
          <w:sz w:val="32"/>
          <w:szCs w:val="32"/>
        </w:rPr>
        <w:t>2019年，我委在县委、县政府的领导下，紧紧围绕省、市、县关于“三农”工作的决策部署，认真践行“三严三实”要求，把握工作重点，完善工作机制，创新工作方法，稳步推进农业和农村体制改革，扎实推进幸福美丽新村建设，积极探索“一三产业互动”试点，强化惠农政策，增添农民增收措施，全面完成了各项工作任务，“三农”工作持续健康发展。幸福美丽新村建设、农民增收增速继续位居全市前列，农业和农村体制改革工作成效显著。通过一年的努力工作，全体干部职工切实转变工作作风，办事更积极，态度更热情，使广大群众和服务对象更满意，满意率达到百分之九十五以上。</w:t>
      </w:r>
    </w:p>
    <w:p w14:paraId="373D1987">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14:paraId="4E098B18">
      <w:pPr>
        <w:spacing w:line="540" w:lineRule="exact"/>
        <w:ind w:firstLine="643" w:firstLineChars="200"/>
        <w:rPr>
          <w:rFonts w:ascii="方正楷体_GBK" w:eastAsia="方正楷体_GBK"/>
          <w:b/>
          <w:sz w:val="32"/>
          <w:szCs w:val="32"/>
        </w:rPr>
      </w:pPr>
      <w:r>
        <w:rPr>
          <w:rFonts w:hint="eastAsia" w:ascii="方正楷体_GBK" w:eastAsia="方正楷体_GBK"/>
          <w:b/>
          <w:sz w:val="32"/>
          <w:szCs w:val="32"/>
        </w:rPr>
        <w:t>（一）评价结论</w:t>
      </w:r>
    </w:p>
    <w:p w14:paraId="783FB6AA">
      <w:pPr>
        <w:spacing w:line="540" w:lineRule="exact"/>
        <w:ind w:firstLine="640" w:firstLineChars="200"/>
        <w:rPr>
          <w:rFonts w:ascii="方正仿宋_GBK" w:eastAsia="方正仿宋_GBK"/>
          <w:sz w:val="32"/>
          <w:szCs w:val="32"/>
        </w:rPr>
      </w:pPr>
      <w:r>
        <w:rPr>
          <w:rFonts w:hint="eastAsia" w:ascii="方正仿宋_GBK" w:eastAsia="方正仿宋_GBK"/>
          <w:sz w:val="32"/>
          <w:szCs w:val="32"/>
        </w:rPr>
        <w:t>综合以上各项指标，财务管理健全规范，没有发生违法违规现象，我委2019年的部门整体支出绩效自我评价得到100分，自评结果：好。</w:t>
      </w:r>
    </w:p>
    <w:p w14:paraId="634C0E35">
      <w:pPr>
        <w:spacing w:line="540" w:lineRule="exact"/>
        <w:ind w:firstLine="643" w:firstLineChars="200"/>
        <w:rPr>
          <w:rFonts w:ascii="方正楷体_GBK" w:eastAsia="方正楷体_GBK"/>
          <w:b/>
          <w:sz w:val="32"/>
          <w:szCs w:val="32"/>
        </w:rPr>
      </w:pPr>
      <w:r>
        <w:rPr>
          <w:rFonts w:hint="eastAsia" w:ascii="方正楷体_GBK" w:eastAsia="方正楷体_GBK"/>
          <w:b/>
          <w:sz w:val="32"/>
          <w:szCs w:val="32"/>
        </w:rPr>
        <w:t>（二）存在问题</w:t>
      </w:r>
    </w:p>
    <w:p w14:paraId="65A4D2EC">
      <w:pPr>
        <w:spacing w:line="540" w:lineRule="exact"/>
        <w:ind w:firstLine="640" w:firstLineChars="200"/>
        <w:rPr>
          <w:rFonts w:ascii="方正仿宋_GBK" w:eastAsia="方正仿宋_GBK"/>
          <w:sz w:val="32"/>
          <w:szCs w:val="32"/>
        </w:rPr>
      </w:pPr>
      <w:r>
        <w:rPr>
          <w:rFonts w:hint="eastAsia" w:ascii="方正仿宋_GBK" w:eastAsia="方正仿宋_GBK"/>
          <w:sz w:val="32"/>
          <w:szCs w:val="32"/>
        </w:rPr>
        <w:t>配套资金落实难。由于我县财力十分紧张，县级财政无法按省级要求对相应的专项经费安排一定比例的配套经费，工作经费短缺，影响了工作的正常运转，束缚了工作进度。</w:t>
      </w:r>
    </w:p>
    <w:p w14:paraId="7951298F">
      <w:pPr>
        <w:spacing w:line="540" w:lineRule="exact"/>
        <w:rPr>
          <w:rFonts w:ascii="方正仿宋_GBK" w:eastAsia="方正仿宋_GBK"/>
          <w:sz w:val="32"/>
          <w:szCs w:val="32"/>
        </w:rPr>
      </w:pPr>
    </w:p>
    <w:p w14:paraId="4C19B76A">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p>
    <w:p w14:paraId="70FCA830">
      <w:pPr>
        <w:spacing w:line="580" w:lineRule="exact"/>
        <w:ind w:firstLine="640" w:firstLineChars="200"/>
        <w:rPr>
          <w:rFonts w:ascii="仿宋_GB2312" w:hAnsi="仿宋_GB2312" w:eastAsia="仿宋_GB2312" w:cs="仿宋_GB2312"/>
          <w:sz w:val="32"/>
          <w:szCs w:val="32"/>
        </w:rPr>
      </w:pPr>
    </w:p>
    <w:p w14:paraId="6752DC53">
      <w:pPr>
        <w:spacing w:line="580" w:lineRule="exact"/>
        <w:ind w:firstLine="640" w:firstLineChars="200"/>
        <w:rPr>
          <w:rFonts w:ascii="仿宋_GB2312" w:hAnsi="仿宋_GB2312" w:eastAsia="仿宋_GB2312" w:cs="仿宋_GB2312"/>
          <w:sz w:val="32"/>
          <w:szCs w:val="32"/>
        </w:rPr>
      </w:pPr>
    </w:p>
    <w:p w14:paraId="639F12F1">
      <w:pPr>
        <w:spacing w:line="580" w:lineRule="exact"/>
        <w:ind w:firstLine="640" w:firstLineChars="200"/>
        <w:rPr>
          <w:rFonts w:ascii="仿宋_GB2312" w:hAnsi="仿宋_GB2312" w:eastAsia="仿宋_GB2312" w:cs="仿宋_GB2312"/>
          <w:sz w:val="32"/>
          <w:szCs w:val="32"/>
        </w:rPr>
      </w:pPr>
    </w:p>
    <w:p w14:paraId="77C3F40D">
      <w:pPr>
        <w:spacing w:line="580" w:lineRule="exact"/>
        <w:ind w:firstLine="640" w:firstLineChars="200"/>
        <w:rPr>
          <w:rFonts w:ascii="仿宋_GB2312" w:hAnsi="仿宋_GB2312" w:eastAsia="仿宋_GB2312" w:cs="仿宋_GB2312"/>
          <w:sz w:val="32"/>
          <w:szCs w:val="32"/>
        </w:rPr>
      </w:pPr>
    </w:p>
    <w:p w14:paraId="033CFCBD">
      <w:pPr>
        <w:spacing w:line="580" w:lineRule="exact"/>
        <w:ind w:firstLine="640" w:firstLineChars="200"/>
        <w:rPr>
          <w:rFonts w:ascii="仿宋_GB2312" w:hAnsi="仿宋_GB2312" w:eastAsia="仿宋_GB2312" w:cs="仿宋_GB2312"/>
          <w:sz w:val="32"/>
          <w:szCs w:val="32"/>
        </w:rPr>
      </w:pPr>
    </w:p>
    <w:p w14:paraId="254257B0">
      <w:pPr>
        <w:spacing w:line="580" w:lineRule="exact"/>
        <w:ind w:firstLine="640" w:firstLineChars="200"/>
        <w:rPr>
          <w:rFonts w:ascii="仿宋_GB2312" w:hAnsi="仿宋_GB2312" w:eastAsia="仿宋_GB2312" w:cs="仿宋_GB2312"/>
          <w:sz w:val="32"/>
          <w:szCs w:val="32"/>
        </w:rPr>
      </w:pPr>
    </w:p>
    <w:p w14:paraId="1A7C40AE">
      <w:pPr>
        <w:spacing w:line="580" w:lineRule="exact"/>
        <w:rPr>
          <w:rFonts w:ascii="仿宋_GB2312" w:hAnsi="仿宋_GB2312" w:eastAsia="仿宋_GB2312" w:cs="仿宋_GB2312"/>
          <w:sz w:val="32"/>
          <w:szCs w:val="32"/>
        </w:rPr>
      </w:pPr>
    </w:p>
    <w:p w14:paraId="1C2E356F">
      <w:pPr>
        <w:spacing w:line="580" w:lineRule="exact"/>
        <w:rPr>
          <w:rFonts w:ascii="仿宋_GB2312" w:hAnsi="仿宋_GB2312" w:eastAsia="仿宋_GB2312" w:cs="仿宋_GB2312"/>
          <w:sz w:val="32"/>
          <w:szCs w:val="32"/>
        </w:rPr>
      </w:pPr>
      <w:r>
        <w:rPr>
          <w:rFonts w:hint="eastAsia" w:ascii="黑体" w:hAnsi="黑体" w:eastAsia="黑体" w:cs="黑体"/>
          <w:sz w:val="32"/>
          <w:szCs w:val="32"/>
        </w:rPr>
        <w:t>附件</w:t>
      </w:r>
      <w:r>
        <w:rPr>
          <w:rFonts w:ascii="黑体" w:hAnsi="黑体" w:eastAsia="黑体" w:cs="黑体"/>
          <w:sz w:val="32"/>
          <w:szCs w:val="32"/>
        </w:rPr>
        <w:t>2</w:t>
      </w:r>
    </w:p>
    <w:p w14:paraId="6FBB7358">
      <w:pPr>
        <w:spacing w:line="580" w:lineRule="exact"/>
        <w:ind w:firstLine="640" w:firstLineChars="200"/>
        <w:rPr>
          <w:rFonts w:ascii="仿宋_GB2312" w:hAnsi="仿宋_GB2312" w:eastAsia="仿宋_GB2312" w:cs="仿宋_GB2312"/>
          <w:sz w:val="32"/>
          <w:szCs w:val="32"/>
        </w:rPr>
      </w:pPr>
    </w:p>
    <w:p w14:paraId="6B2FE539">
      <w:pPr>
        <w:spacing w:line="600" w:lineRule="exact"/>
        <w:jc w:val="center"/>
        <w:rPr>
          <w:rFonts w:ascii="方正小标宋简体" w:hAnsi="宋体" w:eastAsia="方正小标宋简体"/>
          <w:color w:val="000000"/>
          <w:kern w:val="0"/>
          <w:sz w:val="44"/>
          <w:szCs w:val="44"/>
          <w:lang w:val="zh-CN"/>
        </w:rPr>
      </w:pPr>
      <w:r>
        <w:rPr>
          <w:rFonts w:hint="eastAsia" w:ascii="方正小标宋简体" w:hAnsi="宋体" w:eastAsia="方正小标宋简体"/>
          <w:color w:val="000000"/>
          <w:kern w:val="0"/>
          <w:sz w:val="44"/>
          <w:szCs w:val="44"/>
          <w:lang w:val="zh-CN"/>
        </w:rPr>
        <w:t>米易县苏儿莫地养殖专业合作社项目2</w:t>
      </w:r>
      <w:r>
        <w:rPr>
          <w:rFonts w:ascii="方正小标宋简体" w:hAnsi="宋体" w:eastAsia="方正小标宋简体"/>
          <w:color w:val="000000"/>
          <w:kern w:val="0"/>
          <w:sz w:val="44"/>
          <w:szCs w:val="44"/>
        </w:rPr>
        <w:t>019</w:t>
      </w:r>
      <w:r>
        <w:rPr>
          <w:rFonts w:hint="eastAsia" w:ascii="方正小标宋简体" w:hAnsi="宋体" w:eastAsia="方正小标宋简体"/>
          <w:color w:val="000000"/>
          <w:kern w:val="0"/>
          <w:sz w:val="44"/>
          <w:szCs w:val="44"/>
        </w:rPr>
        <w:t>年</w:t>
      </w:r>
      <w:r>
        <w:rPr>
          <w:rFonts w:hint="eastAsia" w:ascii="方正小标宋简体" w:hAnsi="宋体" w:eastAsia="方正小标宋简体"/>
          <w:color w:val="000000"/>
          <w:kern w:val="0"/>
          <w:sz w:val="44"/>
          <w:szCs w:val="44"/>
          <w:lang w:val="zh-CN"/>
        </w:rPr>
        <w:t>绩效评价报告</w:t>
      </w:r>
    </w:p>
    <w:p w14:paraId="669BAE32">
      <w:pPr>
        <w:spacing w:line="600" w:lineRule="exact"/>
        <w:rPr>
          <w:rFonts w:ascii="宋体"/>
          <w:sz w:val="32"/>
          <w:szCs w:val="32"/>
          <w:lang w:val="zh-CN"/>
        </w:rPr>
      </w:pPr>
    </w:p>
    <w:p w14:paraId="78F138AC">
      <w:pPr>
        <w:adjustRightInd w:val="0"/>
        <w:snapToGrid w:val="0"/>
        <w:spacing w:line="600" w:lineRule="exact"/>
        <w:ind w:firstLine="660" w:firstLineChars="200"/>
        <w:rPr>
          <w:rFonts w:ascii="方正仿宋简体" w:hAnsi="宋体" w:eastAsia="方正仿宋简体" w:cs="宋体"/>
          <w:kern w:val="0"/>
          <w:sz w:val="33"/>
          <w:szCs w:val="33"/>
        </w:rPr>
      </w:pPr>
      <w:r>
        <w:rPr>
          <w:rFonts w:hint="eastAsia" w:ascii="方正仿宋_GBK" w:eastAsia="方正仿宋_GBK"/>
          <w:sz w:val="33"/>
          <w:szCs w:val="33"/>
        </w:rPr>
        <w:t>按照川财农【2017】51号（米财资农【2017】66号），下达2017年省级财政农业改革创新科技示范奖补资金120万元，用于</w:t>
      </w:r>
      <w:r>
        <w:rPr>
          <w:rFonts w:hint="eastAsia" w:ascii="方正仿宋简体" w:hAnsi="宋体" w:eastAsia="方正仿宋简体" w:cs="宋体"/>
          <w:color w:val="000000"/>
          <w:kern w:val="0"/>
          <w:sz w:val="33"/>
          <w:szCs w:val="33"/>
        </w:rPr>
        <w:t>米易县苏儿莫地养殖专业合作社标准化养殖小区建设</w:t>
      </w:r>
      <w:r>
        <w:rPr>
          <w:rFonts w:hint="eastAsia" w:ascii="方正仿宋_GBK" w:eastAsia="方正仿宋_GBK"/>
          <w:sz w:val="33"/>
          <w:szCs w:val="33"/>
        </w:rPr>
        <w:t>。</w:t>
      </w:r>
      <w:r>
        <w:rPr>
          <w:rFonts w:hint="eastAsia" w:ascii="方正仿宋简体" w:hAnsi="宋体" w:eastAsia="方正仿宋简体" w:cs="宋体"/>
          <w:kern w:val="0"/>
          <w:sz w:val="33"/>
          <w:szCs w:val="33"/>
        </w:rPr>
        <w:t>项目建设内容包括新建圈舍1325平方米，其中：养殖房508平方米、运动场地817平方米，建设管理房103平方米，建设粪污处理设施、疫病防控体系，购置优质黑山羊种羊100只。</w:t>
      </w:r>
    </w:p>
    <w:p w14:paraId="7A0C77C2">
      <w:pPr>
        <w:adjustRightInd w:val="0"/>
        <w:snapToGrid w:val="0"/>
        <w:spacing w:line="600" w:lineRule="exact"/>
        <w:ind w:firstLine="660" w:firstLineChars="200"/>
        <w:rPr>
          <w:rFonts w:ascii="方正仿宋_GBK" w:eastAsia="方正仿宋_GBK"/>
          <w:sz w:val="33"/>
          <w:szCs w:val="33"/>
        </w:rPr>
      </w:pPr>
      <w:r>
        <w:rPr>
          <w:rFonts w:hint="eastAsia" w:ascii="方正仿宋_GBK" w:eastAsia="方正仿宋_GBK"/>
          <w:sz w:val="33"/>
          <w:szCs w:val="33"/>
        </w:rPr>
        <w:t>该项目于2017年开始建设，2018年项目建设完工，已拨付85万资金给专合社，2019年拨付的剩余35万属于2018年结转结余资金。</w:t>
      </w:r>
    </w:p>
    <w:p w14:paraId="70D111DF">
      <w:pPr>
        <w:widowControl/>
        <w:jc w:val="left"/>
        <w:rPr>
          <w:rStyle w:val="16"/>
          <w:rFonts w:ascii="黑体" w:hAnsi="黑体" w:eastAsia="黑体"/>
          <w:b w:val="0"/>
        </w:rPr>
      </w:pPr>
    </w:p>
    <w:p w14:paraId="2B33F8E5">
      <w:pPr>
        <w:spacing w:line="600" w:lineRule="exact"/>
        <w:jc w:val="center"/>
        <w:outlineLvl w:val="0"/>
        <w:rPr>
          <w:rStyle w:val="16"/>
          <w:rFonts w:ascii="黑体" w:hAnsi="黑体" w:eastAsia="黑体"/>
          <w:b w:val="0"/>
        </w:rPr>
      </w:pPr>
    </w:p>
    <w:p w14:paraId="230CB7F0">
      <w:pPr>
        <w:spacing w:line="600" w:lineRule="exact"/>
        <w:jc w:val="center"/>
        <w:outlineLvl w:val="0"/>
        <w:rPr>
          <w:rFonts w:ascii="黑体" w:hAnsi="黑体" w:eastAsia="黑体"/>
          <w:color w:val="000000"/>
          <w:sz w:val="44"/>
          <w:szCs w:val="44"/>
        </w:rPr>
      </w:pPr>
      <w:bookmarkStart w:id="59" w:name="_Toc15396618"/>
    </w:p>
    <w:p w14:paraId="22ED46B1">
      <w:pPr>
        <w:spacing w:line="600" w:lineRule="exact"/>
        <w:jc w:val="center"/>
        <w:outlineLvl w:val="0"/>
        <w:rPr>
          <w:rFonts w:ascii="黑体" w:hAnsi="黑体" w:eastAsia="黑体"/>
          <w:color w:val="000000"/>
          <w:sz w:val="44"/>
          <w:szCs w:val="44"/>
        </w:rPr>
      </w:pPr>
    </w:p>
    <w:p w14:paraId="62732CC4">
      <w:pPr>
        <w:spacing w:line="600" w:lineRule="exact"/>
        <w:jc w:val="center"/>
        <w:outlineLvl w:val="0"/>
        <w:rPr>
          <w:rFonts w:ascii="黑体" w:hAnsi="黑体" w:eastAsia="黑体"/>
          <w:color w:val="000000"/>
          <w:sz w:val="44"/>
          <w:szCs w:val="44"/>
        </w:rPr>
      </w:pPr>
    </w:p>
    <w:p w14:paraId="47B56357">
      <w:pPr>
        <w:spacing w:line="600" w:lineRule="exact"/>
        <w:jc w:val="center"/>
        <w:outlineLvl w:val="0"/>
        <w:rPr>
          <w:rFonts w:ascii="黑体" w:hAnsi="黑体" w:eastAsia="黑体"/>
          <w:color w:val="000000"/>
          <w:sz w:val="44"/>
          <w:szCs w:val="44"/>
        </w:rPr>
      </w:pPr>
    </w:p>
    <w:p w14:paraId="506C6155">
      <w:pPr>
        <w:spacing w:line="600" w:lineRule="exact"/>
        <w:jc w:val="center"/>
        <w:outlineLvl w:val="0"/>
        <w:rPr>
          <w:rFonts w:ascii="黑体" w:hAnsi="黑体" w:eastAsia="黑体"/>
          <w:color w:val="000000"/>
          <w:sz w:val="44"/>
          <w:szCs w:val="44"/>
        </w:rPr>
      </w:pPr>
    </w:p>
    <w:p w14:paraId="5C0C407C">
      <w:pPr>
        <w:spacing w:line="600" w:lineRule="exact"/>
        <w:jc w:val="center"/>
        <w:outlineLvl w:val="0"/>
        <w:rPr>
          <w:rFonts w:ascii="黑体" w:hAnsi="黑体" w:eastAsia="黑体"/>
          <w:color w:val="000000"/>
          <w:sz w:val="44"/>
          <w:szCs w:val="44"/>
        </w:rPr>
      </w:pPr>
    </w:p>
    <w:p w14:paraId="0E157035">
      <w:pPr>
        <w:spacing w:line="600" w:lineRule="exact"/>
        <w:jc w:val="center"/>
        <w:outlineLvl w:val="0"/>
        <w:rPr>
          <w:rStyle w:val="16"/>
          <w:rFonts w:ascii="黑体" w:hAnsi="黑体" w:eastAsia="黑体"/>
          <w:b w:val="0"/>
        </w:rPr>
      </w:pPr>
      <w:r>
        <w:rPr>
          <w:rFonts w:hint="eastAsia" w:ascii="黑体" w:hAnsi="黑体" w:eastAsia="黑体"/>
          <w:color w:val="000000"/>
          <w:sz w:val="44"/>
          <w:szCs w:val="44"/>
        </w:rPr>
        <w:t>第</w:t>
      </w:r>
      <w:r>
        <w:rPr>
          <w:rStyle w:val="16"/>
          <w:rFonts w:hint="eastAsia" w:ascii="黑体" w:hAnsi="黑体" w:eastAsia="黑体"/>
          <w:b w:val="0"/>
        </w:rPr>
        <w:t>五部分附表</w:t>
      </w:r>
      <w:bookmarkEnd w:id="59"/>
    </w:p>
    <w:p w14:paraId="0025B111">
      <w:pPr>
        <w:pStyle w:val="3"/>
        <w:rPr>
          <w:rFonts w:ascii="仿宋" w:hAnsi="仿宋" w:eastAsia="仿宋"/>
          <w:color w:val="000000"/>
        </w:rPr>
      </w:pPr>
      <w:bookmarkStart w:id="60" w:name="_Toc15396619"/>
      <w:r>
        <w:rPr>
          <w:rFonts w:hint="eastAsia" w:ascii="仿宋" w:hAnsi="仿宋" w:eastAsia="仿宋"/>
          <w:b w:val="0"/>
          <w:color w:val="000000"/>
        </w:rPr>
        <w:t>一、收</w:t>
      </w:r>
      <w:r>
        <w:rPr>
          <w:rStyle w:val="17"/>
          <w:rFonts w:hint="eastAsia" w:ascii="仿宋" w:hAnsi="仿宋" w:eastAsia="仿宋"/>
          <w:b w:val="0"/>
          <w:bCs w:val="0"/>
        </w:rPr>
        <w:t>入支出决算总表</w:t>
      </w:r>
      <w:bookmarkEnd w:id="60"/>
    </w:p>
    <w:p w14:paraId="662A7F51">
      <w:pPr>
        <w:pStyle w:val="3"/>
        <w:rPr>
          <w:rFonts w:ascii="仿宋" w:hAnsi="仿宋" w:eastAsia="仿宋"/>
          <w:color w:val="000000"/>
        </w:rPr>
      </w:pPr>
      <w:bookmarkStart w:id="61" w:name="_Toc15396620"/>
      <w:r>
        <w:rPr>
          <w:rFonts w:hint="eastAsia" w:ascii="仿宋" w:hAnsi="仿宋" w:eastAsia="仿宋"/>
          <w:b w:val="0"/>
          <w:color w:val="000000"/>
        </w:rPr>
        <w:t>二、收</w:t>
      </w:r>
      <w:r>
        <w:rPr>
          <w:rStyle w:val="17"/>
          <w:rFonts w:hint="eastAsia" w:ascii="仿宋" w:hAnsi="仿宋" w:eastAsia="仿宋"/>
          <w:b w:val="0"/>
          <w:bCs w:val="0"/>
        </w:rPr>
        <w:t>入决算表</w:t>
      </w:r>
      <w:bookmarkEnd w:id="61"/>
    </w:p>
    <w:p w14:paraId="7CA3B6AC">
      <w:pPr>
        <w:pStyle w:val="3"/>
        <w:rPr>
          <w:rFonts w:ascii="仿宋" w:hAnsi="仿宋" w:eastAsia="仿宋"/>
          <w:color w:val="000000"/>
        </w:rPr>
      </w:pPr>
      <w:bookmarkStart w:id="62" w:name="_Toc15396621"/>
      <w:r>
        <w:rPr>
          <w:rStyle w:val="17"/>
          <w:rFonts w:hint="eastAsia" w:ascii="仿宋" w:hAnsi="仿宋" w:eastAsia="仿宋"/>
          <w:b w:val="0"/>
          <w:bCs w:val="0"/>
        </w:rPr>
        <w:t>三、</w:t>
      </w:r>
      <w:r>
        <w:rPr>
          <w:rFonts w:hint="eastAsia" w:ascii="仿宋" w:hAnsi="仿宋" w:eastAsia="仿宋"/>
          <w:b w:val="0"/>
          <w:color w:val="000000"/>
        </w:rPr>
        <w:t>支</w:t>
      </w:r>
      <w:r>
        <w:rPr>
          <w:rStyle w:val="17"/>
          <w:rFonts w:hint="eastAsia" w:ascii="仿宋" w:hAnsi="仿宋" w:eastAsia="仿宋"/>
          <w:b w:val="0"/>
          <w:bCs w:val="0"/>
        </w:rPr>
        <w:t>出决算表</w:t>
      </w:r>
      <w:bookmarkEnd w:id="62"/>
    </w:p>
    <w:p w14:paraId="6E86897A">
      <w:pPr>
        <w:pStyle w:val="3"/>
        <w:rPr>
          <w:rFonts w:ascii="仿宋" w:hAnsi="仿宋" w:eastAsia="仿宋"/>
          <w:b w:val="0"/>
          <w:color w:val="000000"/>
        </w:rPr>
      </w:pPr>
      <w:bookmarkStart w:id="63" w:name="_Toc15396622"/>
      <w:r>
        <w:rPr>
          <w:rStyle w:val="17"/>
          <w:rFonts w:hint="eastAsia" w:ascii="仿宋" w:hAnsi="仿宋" w:eastAsia="仿宋"/>
          <w:b w:val="0"/>
          <w:bCs w:val="0"/>
        </w:rPr>
        <w:t>四、</w:t>
      </w:r>
      <w:r>
        <w:rPr>
          <w:rFonts w:hint="eastAsia" w:ascii="仿宋" w:hAnsi="仿宋" w:eastAsia="仿宋"/>
          <w:b w:val="0"/>
          <w:color w:val="000000"/>
        </w:rPr>
        <w:t>财</w:t>
      </w:r>
      <w:r>
        <w:rPr>
          <w:rStyle w:val="17"/>
          <w:rFonts w:hint="eastAsia" w:ascii="仿宋" w:hAnsi="仿宋" w:eastAsia="仿宋"/>
          <w:b w:val="0"/>
          <w:bCs w:val="0"/>
        </w:rPr>
        <w:t>政拨款收入支出决算总表</w:t>
      </w:r>
      <w:bookmarkEnd w:id="63"/>
    </w:p>
    <w:p w14:paraId="6EFC7502">
      <w:pPr>
        <w:pStyle w:val="3"/>
        <w:rPr>
          <w:rStyle w:val="17"/>
          <w:rFonts w:ascii="仿宋" w:hAnsi="仿宋" w:eastAsia="仿宋"/>
          <w:b w:val="0"/>
          <w:bCs w:val="0"/>
        </w:rPr>
      </w:pPr>
      <w:bookmarkStart w:id="64" w:name="_Toc15396623"/>
      <w:r>
        <w:rPr>
          <w:rStyle w:val="17"/>
          <w:rFonts w:hint="eastAsia" w:ascii="仿宋" w:hAnsi="仿宋" w:eastAsia="仿宋"/>
          <w:b w:val="0"/>
          <w:bCs w:val="0"/>
        </w:rPr>
        <w:t>五、</w:t>
      </w:r>
      <w:r>
        <w:rPr>
          <w:rFonts w:hint="eastAsia" w:ascii="仿宋" w:hAnsi="仿宋" w:eastAsia="仿宋"/>
          <w:b w:val="0"/>
          <w:color w:val="000000"/>
        </w:rPr>
        <w:t>财</w:t>
      </w:r>
      <w:r>
        <w:rPr>
          <w:rStyle w:val="17"/>
          <w:rFonts w:hint="eastAsia" w:ascii="仿宋" w:hAnsi="仿宋" w:eastAsia="仿宋"/>
          <w:b w:val="0"/>
          <w:bCs w:val="0"/>
        </w:rPr>
        <w:t>政拨款支出决算明细表</w:t>
      </w:r>
      <w:bookmarkEnd w:id="64"/>
      <w:bookmarkStart w:id="65" w:name="_Toc15396624"/>
    </w:p>
    <w:p w14:paraId="39560EB6">
      <w:pPr>
        <w:pStyle w:val="3"/>
        <w:rPr>
          <w:rFonts w:ascii="仿宋" w:hAnsi="仿宋" w:eastAsia="仿宋"/>
          <w:color w:val="000000"/>
        </w:rPr>
      </w:pPr>
      <w:r>
        <w:rPr>
          <w:rStyle w:val="17"/>
          <w:rFonts w:hint="eastAsia" w:ascii="仿宋" w:hAnsi="仿宋" w:eastAsia="仿宋"/>
          <w:b w:val="0"/>
          <w:bCs w:val="0"/>
        </w:rPr>
        <w:t>六、</w:t>
      </w:r>
      <w:r>
        <w:rPr>
          <w:rFonts w:hint="eastAsia" w:ascii="仿宋" w:hAnsi="仿宋" w:eastAsia="仿宋"/>
          <w:b w:val="0"/>
          <w:color w:val="000000"/>
        </w:rPr>
        <w:t>一</w:t>
      </w:r>
      <w:r>
        <w:rPr>
          <w:rStyle w:val="17"/>
          <w:rFonts w:hint="eastAsia" w:ascii="仿宋" w:hAnsi="仿宋" w:eastAsia="仿宋"/>
          <w:b w:val="0"/>
          <w:bCs w:val="0"/>
        </w:rPr>
        <w:t>般公共预算财政拨款支出决算表</w:t>
      </w:r>
      <w:bookmarkEnd w:id="65"/>
    </w:p>
    <w:p w14:paraId="4F8BE3FC">
      <w:pPr>
        <w:pStyle w:val="3"/>
        <w:rPr>
          <w:rFonts w:ascii="仿宋" w:hAnsi="仿宋" w:eastAsia="仿宋"/>
          <w:color w:val="000000"/>
        </w:rPr>
      </w:pPr>
      <w:bookmarkStart w:id="66" w:name="_Toc15396625"/>
      <w:r>
        <w:rPr>
          <w:rStyle w:val="17"/>
          <w:rFonts w:hint="eastAsia" w:ascii="仿宋" w:hAnsi="仿宋" w:eastAsia="仿宋"/>
          <w:b w:val="0"/>
          <w:bCs w:val="0"/>
        </w:rPr>
        <w:t>七、</w:t>
      </w:r>
      <w:r>
        <w:rPr>
          <w:rFonts w:hint="eastAsia" w:ascii="仿宋" w:hAnsi="仿宋" w:eastAsia="仿宋"/>
          <w:b w:val="0"/>
          <w:color w:val="000000"/>
        </w:rPr>
        <w:t>一</w:t>
      </w:r>
      <w:r>
        <w:rPr>
          <w:rStyle w:val="17"/>
          <w:rFonts w:hint="eastAsia" w:ascii="仿宋" w:hAnsi="仿宋" w:eastAsia="仿宋"/>
          <w:b w:val="0"/>
          <w:bCs w:val="0"/>
        </w:rPr>
        <w:t>般公共预算财政拨款支出决算明细表</w:t>
      </w:r>
      <w:bookmarkEnd w:id="66"/>
    </w:p>
    <w:p w14:paraId="40FBF9D2">
      <w:pPr>
        <w:pStyle w:val="3"/>
        <w:rPr>
          <w:rFonts w:ascii="仿宋" w:hAnsi="仿宋" w:eastAsia="仿宋"/>
          <w:color w:val="000000"/>
        </w:rPr>
      </w:pPr>
      <w:bookmarkStart w:id="67" w:name="_Toc15396626"/>
      <w:r>
        <w:rPr>
          <w:rStyle w:val="17"/>
          <w:rFonts w:hint="eastAsia" w:ascii="仿宋" w:hAnsi="仿宋" w:eastAsia="仿宋"/>
          <w:b w:val="0"/>
          <w:bCs w:val="0"/>
        </w:rPr>
        <w:t>八、</w:t>
      </w:r>
      <w:r>
        <w:rPr>
          <w:rFonts w:hint="eastAsia" w:ascii="仿宋" w:hAnsi="仿宋" w:eastAsia="仿宋"/>
          <w:b w:val="0"/>
          <w:color w:val="000000"/>
        </w:rPr>
        <w:t>一</w:t>
      </w:r>
      <w:r>
        <w:rPr>
          <w:rStyle w:val="17"/>
          <w:rFonts w:hint="eastAsia" w:ascii="仿宋" w:hAnsi="仿宋" w:eastAsia="仿宋"/>
          <w:b w:val="0"/>
          <w:bCs w:val="0"/>
        </w:rPr>
        <w:t>般公共预算财政拨款基本支出决算表</w:t>
      </w:r>
      <w:bookmarkEnd w:id="67"/>
    </w:p>
    <w:p w14:paraId="1D3E3ADC">
      <w:pPr>
        <w:pStyle w:val="3"/>
        <w:rPr>
          <w:rFonts w:ascii="仿宋" w:hAnsi="仿宋" w:eastAsia="仿宋"/>
          <w:color w:val="000000"/>
        </w:rPr>
      </w:pPr>
      <w:bookmarkStart w:id="68" w:name="_Toc15396627"/>
      <w:r>
        <w:rPr>
          <w:rStyle w:val="17"/>
          <w:rFonts w:hint="eastAsia" w:ascii="仿宋" w:hAnsi="仿宋" w:eastAsia="仿宋"/>
          <w:b w:val="0"/>
          <w:bCs w:val="0"/>
        </w:rPr>
        <w:t>九、</w:t>
      </w:r>
      <w:r>
        <w:rPr>
          <w:rFonts w:hint="eastAsia" w:ascii="仿宋" w:hAnsi="仿宋" w:eastAsia="仿宋"/>
          <w:b w:val="0"/>
          <w:color w:val="000000"/>
        </w:rPr>
        <w:t>一</w:t>
      </w:r>
      <w:r>
        <w:rPr>
          <w:rStyle w:val="17"/>
          <w:rFonts w:hint="eastAsia" w:ascii="仿宋" w:hAnsi="仿宋" w:eastAsia="仿宋"/>
          <w:b w:val="0"/>
          <w:bCs w:val="0"/>
        </w:rPr>
        <w:t>般公共预算财政拨款项目支出决算表</w:t>
      </w:r>
      <w:bookmarkEnd w:id="68"/>
    </w:p>
    <w:p w14:paraId="65952804">
      <w:pPr>
        <w:pStyle w:val="3"/>
        <w:rPr>
          <w:rFonts w:ascii="仿宋" w:hAnsi="仿宋" w:eastAsia="仿宋"/>
          <w:color w:val="000000"/>
        </w:rPr>
      </w:pPr>
      <w:bookmarkStart w:id="69" w:name="_Toc15396628"/>
      <w:r>
        <w:rPr>
          <w:rStyle w:val="17"/>
          <w:rFonts w:hint="eastAsia" w:ascii="仿宋" w:hAnsi="仿宋" w:eastAsia="仿宋"/>
          <w:b w:val="0"/>
          <w:bCs w:val="0"/>
        </w:rPr>
        <w:t>十、</w:t>
      </w:r>
      <w:r>
        <w:rPr>
          <w:rFonts w:hint="eastAsia" w:ascii="仿宋" w:hAnsi="仿宋" w:eastAsia="仿宋"/>
          <w:b w:val="0"/>
          <w:color w:val="000000"/>
        </w:rPr>
        <w:t>一</w:t>
      </w:r>
      <w:r>
        <w:rPr>
          <w:rStyle w:val="17"/>
          <w:rFonts w:hint="eastAsia" w:ascii="仿宋" w:hAnsi="仿宋" w:eastAsia="仿宋"/>
          <w:b w:val="0"/>
          <w:bCs w:val="0"/>
        </w:rPr>
        <w:t>般公共预算财政拨款“三公”经费支出决算表</w:t>
      </w:r>
      <w:bookmarkEnd w:id="69"/>
    </w:p>
    <w:p w14:paraId="62F0660F">
      <w:pPr>
        <w:pStyle w:val="3"/>
        <w:rPr>
          <w:rFonts w:ascii="仿宋" w:hAnsi="仿宋" w:eastAsia="仿宋"/>
          <w:color w:val="000000"/>
        </w:rPr>
      </w:pPr>
      <w:bookmarkStart w:id="70" w:name="_Toc15396629"/>
      <w:r>
        <w:rPr>
          <w:rStyle w:val="17"/>
          <w:rFonts w:hint="eastAsia" w:ascii="仿宋" w:hAnsi="仿宋" w:eastAsia="仿宋"/>
          <w:b w:val="0"/>
          <w:bCs w:val="0"/>
        </w:rPr>
        <w:t>十一、</w:t>
      </w:r>
      <w:r>
        <w:rPr>
          <w:rFonts w:hint="eastAsia" w:ascii="仿宋" w:hAnsi="仿宋" w:eastAsia="仿宋"/>
          <w:b w:val="0"/>
          <w:color w:val="000000"/>
        </w:rPr>
        <w:t>政</w:t>
      </w:r>
      <w:r>
        <w:rPr>
          <w:rStyle w:val="17"/>
          <w:rFonts w:hint="eastAsia" w:ascii="仿宋" w:hAnsi="仿宋" w:eastAsia="仿宋"/>
          <w:b w:val="0"/>
          <w:bCs w:val="0"/>
        </w:rPr>
        <w:t>府性基金预算财政拨款收入支出决算表</w:t>
      </w:r>
      <w:bookmarkEnd w:id="70"/>
    </w:p>
    <w:p w14:paraId="14E2DD0F">
      <w:pPr>
        <w:pStyle w:val="3"/>
        <w:rPr>
          <w:rFonts w:ascii="仿宋" w:hAnsi="仿宋" w:eastAsia="仿宋"/>
          <w:color w:val="000000"/>
        </w:rPr>
      </w:pPr>
      <w:bookmarkStart w:id="71" w:name="_Toc15396630"/>
      <w:r>
        <w:rPr>
          <w:rStyle w:val="17"/>
          <w:rFonts w:hint="eastAsia" w:ascii="仿宋" w:hAnsi="仿宋" w:eastAsia="仿宋"/>
          <w:b w:val="0"/>
          <w:bCs w:val="0"/>
        </w:rPr>
        <w:t>十二、</w:t>
      </w:r>
      <w:r>
        <w:rPr>
          <w:rFonts w:hint="eastAsia" w:ascii="仿宋" w:hAnsi="仿宋" w:eastAsia="仿宋"/>
          <w:b w:val="0"/>
          <w:color w:val="000000"/>
        </w:rPr>
        <w:t>政</w:t>
      </w:r>
      <w:r>
        <w:rPr>
          <w:rStyle w:val="17"/>
          <w:rFonts w:hint="eastAsia" w:ascii="仿宋" w:hAnsi="仿宋" w:eastAsia="仿宋"/>
          <w:b w:val="0"/>
          <w:bCs w:val="0"/>
        </w:rPr>
        <w:t>府性基金预算财政拨款“三公”经费支出决算表</w:t>
      </w:r>
      <w:bookmarkEnd w:id="71"/>
    </w:p>
    <w:p w14:paraId="73140296">
      <w:pPr>
        <w:pStyle w:val="3"/>
        <w:rPr>
          <w:rStyle w:val="17"/>
          <w:rFonts w:ascii="仿宋" w:hAnsi="仿宋" w:eastAsia="仿宋"/>
          <w:b w:val="0"/>
          <w:bCs w:val="0"/>
        </w:rPr>
      </w:pPr>
      <w:bookmarkStart w:id="72" w:name="_Toc15396631"/>
      <w:r>
        <w:rPr>
          <w:rStyle w:val="17"/>
          <w:rFonts w:hint="eastAsia" w:ascii="仿宋" w:hAnsi="仿宋" w:eastAsia="仿宋"/>
          <w:b w:val="0"/>
          <w:bCs w:val="0"/>
        </w:rPr>
        <w:t>十三、</w:t>
      </w:r>
      <w:r>
        <w:rPr>
          <w:rFonts w:hint="eastAsia" w:ascii="仿宋" w:hAnsi="仿宋" w:eastAsia="仿宋"/>
          <w:b w:val="0"/>
          <w:color w:val="000000"/>
        </w:rPr>
        <w:t>国</w:t>
      </w:r>
      <w:r>
        <w:rPr>
          <w:rStyle w:val="17"/>
          <w:rFonts w:hint="eastAsia" w:ascii="仿宋" w:hAnsi="仿宋" w:eastAsia="仿宋"/>
          <w:b w:val="0"/>
          <w:bCs w:val="0"/>
        </w:rPr>
        <w:t>有资本经营预算支出决算表</w:t>
      </w:r>
      <w:bookmarkEnd w:id="72"/>
    </w:p>
    <w:p w14:paraId="2F1DB3BB">
      <w:pPr>
        <w:pStyle w:val="3"/>
        <w:rPr>
          <w:rStyle w:val="17"/>
          <w:rFonts w:ascii="仿宋" w:hAnsi="仿宋" w:eastAsia="仿宋"/>
          <w:b w:val="0"/>
          <w:bCs w:val="0"/>
        </w:rPr>
      </w:pPr>
      <w:r>
        <w:rPr>
          <w:rStyle w:val="17"/>
          <w:rFonts w:hint="eastAsia" w:ascii="仿宋" w:hAnsi="仿宋" w:eastAsia="仿宋"/>
          <w:b w:val="0"/>
          <w:bCs w:val="0"/>
        </w:rPr>
        <w:t>十四、机关运行经费、资产占用及政府采购支出信息表</w:t>
      </w:r>
    </w:p>
    <w:p w14:paraId="64989E57">
      <w:pPr>
        <w:pStyle w:val="3"/>
        <w:rPr>
          <w:rStyle w:val="17"/>
          <w:rFonts w:ascii="仿宋" w:hAnsi="仿宋" w:eastAsia="仿宋"/>
          <w:b w:val="0"/>
          <w:bCs w:val="0"/>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Cambria">
    <w:altName w:val="FreeSerif"/>
    <w:panose1 w:val="02040503050406030204"/>
    <w:charset w:val="00"/>
    <w:family w:val="roman"/>
    <w:pitch w:val="default"/>
    <w:sig w:usb0="00000000" w:usb1="00000000" w:usb2="00000000" w:usb3="00000000" w:csb0="0000019F" w:csb1="00000000"/>
  </w:font>
  <w:font w:name="FreeSerif">
    <w:panose1 w:val="02020603050405020304"/>
    <w:charset w:val="00"/>
    <w:family w:val="auto"/>
    <w:pitch w:val="default"/>
    <w:sig w:usb0="E59FAFFF" w:usb1="C200FDFF" w:usb2="43501B29" w:usb3="04000043" w:csb0="600101FF" w:csb1="FF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方正小标宋_GBK"/>
    <w:panose1 w:val="02010601030101010101"/>
    <w:charset w:val="86"/>
    <w:family w:val="script"/>
    <w:pitch w:val="default"/>
    <w:sig w:usb0="00000000" w:usb1="00000000" w:usb2="00000010" w:usb3="00000000" w:csb0="00040000" w:csb1="00000000"/>
  </w:font>
  <w:font w:name="方正小标宋_GBK">
    <w:panose1 w:val="02000000000000000000"/>
    <w:charset w:val="86"/>
    <w:family w:val="auto"/>
    <w:pitch w:val="default"/>
    <w:sig w:usb0="A00002BF" w:usb1="38CF7CFA" w:usb2="00082016" w:usb3="00000000" w:csb0="00040001" w:csb1="00000000"/>
  </w:font>
  <w:font w:name="方正仿宋简体">
    <w:altName w:val="仿宋"/>
    <w:panose1 w:val="02010601030101010101"/>
    <w:charset w:val="86"/>
    <w:family w:val="script"/>
    <w:pitch w:val="default"/>
    <w:sig w:usb0="00000000" w:usb1="00000000" w:usb2="00000010" w:usb3="00000000" w:csb0="00040000" w:csb1="00000000"/>
  </w:font>
  <w:font w:name="方正仿宋_GBK">
    <w:panose1 w:val="02000000000000000000"/>
    <w:charset w:val="86"/>
    <w:family w:val="script"/>
    <w:pitch w:val="default"/>
    <w:sig w:usb0="A00002BF" w:usb1="38CF7CFA" w:usb2="00082016" w:usb3="00000000" w:csb0="00040001" w:csb1="00000000"/>
  </w:font>
  <w:font w:name="方正楷体_GBK">
    <w:panose1 w:val="02000000000000000000"/>
    <w:charset w:val="86"/>
    <w:family w:val="script"/>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FD760">
    <w:pPr>
      <w:pStyle w:val="8"/>
      <w:jc w:val="center"/>
    </w:pPr>
    <w:r>
      <w:rPr>
        <w:lang w:val="en-US"/>
      </w:rPr>
      <w:fldChar w:fldCharType="begin"/>
    </w:r>
    <w:r>
      <w:instrText xml:space="preserve">PAGE   \* MERGEFORMAT</w:instrText>
    </w:r>
    <w:r>
      <w:rPr>
        <w:lang w:val="en-US"/>
      </w:rPr>
      <w:fldChar w:fldCharType="separate"/>
    </w:r>
    <w:r>
      <w:rPr>
        <w:lang w:val="zh-CN"/>
      </w:rPr>
      <w:t>12</w:t>
    </w:r>
    <w:r>
      <w:rPr>
        <w:lang w:val="zh-CN"/>
      </w:rPr>
      <w:fldChar w:fldCharType="end"/>
    </w:r>
  </w:p>
  <w:p w14:paraId="282D56E7">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715E57">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NotTrackMoves/>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361C"/>
    <w:rsid w:val="000222C6"/>
    <w:rsid w:val="0002549F"/>
    <w:rsid w:val="000468DB"/>
    <w:rsid w:val="0006487A"/>
    <w:rsid w:val="00065F8F"/>
    <w:rsid w:val="00070A43"/>
    <w:rsid w:val="00074689"/>
    <w:rsid w:val="000768F2"/>
    <w:rsid w:val="0009184B"/>
    <w:rsid w:val="00094236"/>
    <w:rsid w:val="0009593C"/>
    <w:rsid w:val="00097322"/>
    <w:rsid w:val="000A6A92"/>
    <w:rsid w:val="000B047F"/>
    <w:rsid w:val="000B5923"/>
    <w:rsid w:val="000B5A48"/>
    <w:rsid w:val="000B6FF3"/>
    <w:rsid w:val="000C3467"/>
    <w:rsid w:val="000C3CA6"/>
    <w:rsid w:val="000C3CAA"/>
    <w:rsid w:val="000D1267"/>
    <w:rsid w:val="000D1D50"/>
    <w:rsid w:val="000D5782"/>
    <w:rsid w:val="000E6613"/>
    <w:rsid w:val="000E7119"/>
    <w:rsid w:val="00114E9B"/>
    <w:rsid w:val="00142216"/>
    <w:rsid w:val="00144D6A"/>
    <w:rsid w:val="0014729F"/>
    <w:rsid w:val="0015399D"/>
    <w:rsid w:val="00157BAB"/>
    <w:rsid w:val="001654D1"/>
    <w:rsid w:val="00174518"/>
    <w:rsid w:val="0018106D"/>
    <w:rsid w:val="001877A7"/>
    <w:rsid w:val="00191536"/>
    <w:rsid w:val="00196687"/>
    <w:rsid w:val="001A77E2"/>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D3207"/>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2AEE"/>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74EE"/>
    <w:rsid w:val="007F1991"/>
    <w:rsid w:val="007F2C2F"/>
    <w:rsid w:val="007F55FC"/>
    <w:rsid w:val="007F5665"/>
    <w:rsid w:val="00800112"/>
    <w:rsid w:val="00813348"/>
    <w:rsid w:val="008253BB"/>
    <w:rsid w:val="00833962"/>
    <w:rsid w:val="008342C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955F7"/>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87F45"/>
    <w:rsid w:val="00A91760"/>
    <w:rsid w:val="00A93B00"/>
    <w:rsid w:val="00A93C21"/>
    <w:rsid w:val="00A970A7"/>
    <w:rsid w:val="00AB64C9"/>
    <w:rsid w:val="00AC3C6A"/>
    <w:rsid w:val="00AC5480"/>
    <w:rsid w:val="00AD0F83"/>
    <w:rsid w:val="00AD5620"/>
    <w:rsid w:val="00AD656B"/>
    <w:rsid w:val="00AD7C1B"/>
    <w:rsid w:val="00AE16BA"/>
    <w:rsid w:val="00AE1EBE"/>
    <w:rsid w:val="00B022D9"/>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1767"/>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00293"/>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1201D"/>
    <w:rsid w:val="00E331A1"/>
    <w:rsid w:val="00E33202"/>
    <w:rsid w:val="00E336A9"/>
    <w:rsid w:val="00E472B1"/>
    <w:rsid w:val="00E50624"/>
    <w:rsid w:val="00E568DF"/>
    <w:rsid w:val="00E64269"/>
    <w:rsid w:val="00E66797"/>
    <w:rsid w:val="00E82267"/>
    <w:rsid w:val="00E853CE"/>
    <w:rsid w:val="00E867B6"/>
    <w:rsid w:val="00E87F08"/>
    <w:rsid w:val="00EA010F"/>
    <w:rsid w:val="00EA2429"/>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C7EA0"/>
    <w:rsid w:val="00FD3CC1"/>
    <w:rsid w:val="00FE444F"/>
    <w:rsid w:val="00FF1E02"/>
    <w:rsid w:val="00FF30B4"/>
    <w:rsid w:val="02DE78A1"/>
    <w:rsid w:val="05591C26"/>
    <w:rsid w:val="06283A25"/>
    <w:rsid w:val="0A256A0A"/>
    <w:rsid w:val="0E637EFF"/>
    <w:rsid w:val="10C055FF"/>
    <w:rsid w:val="159B106D"/>
    <w:rsid w:val="16BB723D"/>
    <w:rsid w:val="186528D1"/>
    <w:rsid w:val="18FD7CA6"/>
    <w:rsid w:val="192F5E7C"/>
    <w:rsid w:val="1D622EFC"/>
    <w:rsid w:val="1FD857EF"/>
    <w:rsid w:val="240371BF"/>
    <w:rsid w:val="26773693"/>
    <w:rsid w:val="2802168E"/>
    <w:rsid w:val="29FD04D3"/>
    <w:rsid w:val="2D5F21BB"/>
    <w:rsid w:val="2E860366"/>
    <w:rsid w:val="319F7F4E"/>
    <w:rsid w:val="3CF02566"/>
    <w:rsid w:val="48F10C0C"/>
    <w:rsid w:val="4C7F2A0A"/>
    <w:rsid w:val="4ECE2238"/>
    <w:rsid w:val="4F9E3EF2"/>
    <w:rsid w:val="51FE0EDC"/>
    <w:rsid w:val="54B416C6"/>
    <w:rsid w:val="69530CEC"/>
    <w:rsid w:val="70B24319"/>
    <w:rsid w:val="72734D90"/>
    <w:rsid w:val="783A46BF"/>
    <w:rsid w:val="7B375CA6"/>
    <w:rsid w:val="7FBA2AC8"/>
    <w:rsid w:val="F7B790FF"/>
  </w:rsids>
  <m:mathPr>
    <m:mathFont m:val="Cambria Math"/>
    <m:brkBin m:val="before"/>
    <m:brkBinSub m:val="--"/>
    <m:smallFrac m:val="1"/>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qFormat="1" w:unhideWhenUsed="0" w:uiPriority="99" w:semiHidden="0" w:name="toc 2"/>
    <w:lsdException w:qFormat="1" w:unhideWhenUsed="0" w:uiPriority="99" w:semiHidden="0" w:name="toc 3"/>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20" w:semiHidden="0" w:name="Emphasis" w:locked="1"/>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7"/>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18"/>
    <w:qFormat/>
    <w:uiPriority w:val="9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5"/>
    <w:qFormat/>
    <w:uiPriority w:val="99"/>
    <w:pPr>
      <w:spacing w:beforeLines="30"/>
    </w:pPr>
    <w:rPr>
      <w:rFonts w:ascii="仿宋_GB2312" w:eastAsia="仿宋_GB2312"/>
      <w:kern w:val="0"/>
      <w:sz w:val="24"/>
      <w:szCs w:val="20"/>
    </w:rPr>
  </w:style>
  <w:style w:type="paragraph" w:styleId="6">
    <w:name w:val="toc 3"/>
    <w:basedOn w:val="1"/>
    <w:next w:val="1"/>
    <w:qFormat/>
    <w:uiPriority w:val="99"/>
    <w:pPr>
      <w:tabs>
        <w:tab w:val="right" w:leader="dot" w:pos="8296"/>
      </w:tabs>
      <w:ind w:left="840" w:leftChars="400"/>
    </w:pPr>
  </w:style>
  <w:style w:type="paragraph" w:styleId="7">
    <w:name w:val="Balloon Text"/>
    <w:basedOn w:val="1"/>
    <w:link w:val="20"/>
    <w:semiHidden/>
    <w:qFormat/>
    <w:uiPriority w:val="99"/>
    <w:rPr>
      <w:sz w:val="18"/>
      <w:szCs w:val="18"/>
    </w:rPr>
  </w:style>
  <w:style w:type="paragraph" w:styleId="8">
    <w:name w:val="footer"/>
    <w:basedOn w:val="1"/>
    <w:link w:val="24"/>
    <w:qFormat/>
    <w:uiPriority w:val="99"/>
    <w:pPr>
      <w:tabs>
        <w:tab w:val="center" w:pos="4153"/>
        <w:tab w:val="right" w:pos="8306"/>
      </w:tabs>
      <w:snapToGrid w:val="0"/>
      <w:jc w:val="left"/>
    </w:pPr>
    <w:rPr>
      <w:kern w:val="0"/>
      <w:sz w:val="18"/>
      <w:szCs w:val="20"/>
    </w:rPr>
  </w:style>
  <w:style w:type="paragraph" w:styleId="9">
    <w:name w:val="header"/>
    <w:basedOn w:val="1"/>
    <w:link w:val="23"/>
    <w:semiHidden/>
    <w:qFormat/>
    <w:uiPriority w:val="99"/>
    <w:pPr>
      <w:pBdr>
        <w:bottom w:val="single" w:color="auto" w:sz="6" w:space="1"/>
      </w:pBdr>
      <w:tabs>
        <w:tab w:val="center" w:pos="4153"/>
        <w:tab w:val="right" w:pos="8306"/>
      </w:tabs>
      <w:snapToGrid w:val="0"/>
      <w:jc w:val="center"/>
    </w:pPr>
    <w:rPr>
      <w:kern w:val="0"/>
      <w:sz w:val="18"/>
      <w:szCs w:val="20"/>
    </w:rPr>
  </w:style>
  <w:style w:type="paragraph" w:styleId="10">
    <w:name w:val="toc 1"/>
    <w:basedOn w:val="1"/>
    <w:next w:val="1"/>
    <w:qFormat/>
    <w:uiPriority w:val="99"/>
    <w:pPr>
      <w:tabs>
        <w:tab w:val="right" w:leader="dot" w:pos="8296"/>
      </w:tabs>
      <w:spacing w:before="93"/>
      <w:jc w:val="center"/>
    </w:pPr>
    <w:rPr>
      <w:rFonts w:ascii="仿宋" w:hAnsi="仿宋" w:eastAsia="仿宋"/>
      <w:sz w:val="28"/>
      <w:szCs w:val="28"/>
    </w:rPr>
  </w:style>
  <w:style w:type="paragraph" w:styleId="11">
    <w:name w:val="toc 2"/>
    <w:basedOn w:val="1"/>
    <w:next w:val="1"/>
    <w:qFormat/>
    <w:uiPriority w:val="99"/>
    <w:pPr>
      <w:tabs>
        <w:tab w:val="right" w:leader="dot" w:pos="8296"/>
      </w:tabs>
      <w:ind w:left="420" w:leftChars="200"/>
    </w:pPr>
  </w:style>
  <w:style w:type="character" w:styleId="14">
    <w:name w:val="Strong"/>
    <w:basedOn w:val="13"/>
    <w:qFormat/>
    <w:uiPriority w:val="99"/>
    <w:rPr>
      <w:rFonts w:cs="Times New Roman"/>
      <w:b/>
    </w:rPr>
  </w:style>
  <w:style w:type="character" w:styleId="15">
    <w:name w:val="Hyperlink"/>
    <w:basedOn w:val="13"/>
    <w:qFormat/>
    <w:uiPriority w:val="99"/>
    <w:rPr>
      <w:rFonts w:cs="Times New Roman"/>
      <w:color w:val="0000FF"/>
      <w:u w:val="single"/>
    </w:rPr>
  </w:style>
  <w:style w:type="character" w:customStyle="1" w:styleId="16">
    <w:name w:val="标题 1 Char"/>
    <w:basedOn w:val="13"/>
    <w:link w:val="2"/>
    <w:qFormat/>
    <w:locked/>
    <w:uiPriority w:val="99"/>
    <w:rPr>
      <w:rFonts w:ascii="Times New Roman" w:hAnsi="Times New Roman" w:cs="Times New Roman"/>
      <w:b/>
      <w:bCs/>
      <w:kern w:val="44"/>
      <w:sz w:val="44"/>
      <w:szCs w:val="44"/>
    </w:rPr>
  </w:style>
  <w:style w:type="character" w:customStyle="1" w:styleId="17">
    <w:name w:val="标题 2 Char"/>
    <w:basedOn w:val="13"/>
    <w:link w:val="3"/>
    <w:qFormat/>
    <w:locked/>
    <w:uiPriority w:val="99"/>
    <w:rPr>
      <w:rFonts w:ascii="Cambria" w:hAnsi="Cambria" w:eastAsia="宋体" w:cs="Times New Roman"/>
      <w:b/>
      <w:bCs/>
      <w:kern w:val="2"/>
      <w:sz w:val="32"/>
      <w:szCs w:val="32"/>
    </w:rPr>
  </w:style>
  <w:style w:type="character" w:customStyle="1" w:styleId="18">
    <w:name w:val="标题 3 Char"/>
    <w:basedOn w:val="13"/>
    <w:link w:val="4"/>
    <w:qFormat/>
    <w:locked/>
    <w:uiPriority w:val="99"/>
    <w:rPr>
      <w:rFonts w:ascii="Times New Roman" w:hAnsi="Times New Roman" w:cs="Times New Roman"/>
      <w:b/>
      <w:bCs/>
      <w:kern w:val="2"/>
      <w:sz w:val="32"/>
      <w:szCs w:val="32"/>
    </w:rPr>
  </w:style>
  <w:style w:type="character" w:customStyle="1" w:styleId="19">
    <w:name w:val="Body Text Char"/>
    <w:basedOn w:val="13"/>
    <w:link w:val="5"/>
    <w:semiHidden/>
    <w:qFormat/>
    <w:locked/>
    <w:uiPriority w:val="99"/>
    <w:rPr>
      <w:rFonts w:ascii="Times New Roman" w:hAnsi="Times New Roman" w:cs="Times New Roman"/>
      <w:sz w:val="24"/>
      <w:szCs w:val="24"/>
    </w:rPr>
  </w:style>
  <w:style w:type="character" w:customStyle="1" w:styleId="20">
    <w:name w:val="批注框文本 Char"/>
    <w:basedOn w:val="13"/>
    <w:link w:val="7"/>
    <w:semiHidden/>
    <w:qFormat/>
    <w:locked/>
    <w:uiPriority w:val="99"/>
    <w:rPr>
      <w:rFonts w:ascii="Times New Roman" w:hAnsi="Times New Roman" w:cs="Times New Roman"/>
      <w:kern w:val="2"/>
      <w:sz w:val="18"/>
      <w:szCs w:val="18"/>
    </w:rPr>
  </w:style>
  <w:style w:type="character" w:customStyle="1" w:styleId="21">
    <w:name w:val="Footer Char"/>
    <w:basedOn w:val="13"/>
    <w:link w:val="8"/>
    <w:semiHidden/>
    <w:qFormat/>
    <w:locked/>
    <w:uiPriority w:val="99"/>
    <w:rPr>
      <w:rFonts w:ascii="Times New Roman" w:hAnsi="Times New Roman" w:cs="Times New Roman"/>
      <w:sz w:val="18"/>
      <w:szCs w:val="18"/>
    </w:rPr>
  </w:style>
  <w:style w:type="character" w:customStyle="1" w:styleId="22">
    <w:name w:val="Header Char"/>
    <w:basedOn w:val="13"/>
    <w:link w:val="9"/>
    <w:semiHidden/>
    <w:qFormat/>
    <w:locked/>
    <w:uiPriority w:val="99"/>
    <w:rPr>
      <w:rFonts w:ascii="Times New Roman" w:hAnsi="Times New Roman" w:cs="Times New Roman"/>
      <w:sz w:val="18"/>
      <w:szCs w:val="18"/>
    </w:rPr>
  </w:style>
  <w:style w:type="character" w:customStyle="1" w:styleId="23">
    <w:name w:val="页眉 Char"/>
    <w:link w:val="9"/>
    <w:semiHidden/>
    <w:qFormat/>
    <w:locked/>
    <w:uiPriority w:val="99"/>
    <w:rPr>
      <w:sz w:val="18"/>
    </w:rPr>
  </w:style>
  <w:style w:type="character" w:customStyle="1" w:styleId="24">
    <w:name w:val="页脚 Char"/>
    <w:link w:val="8"/>
    <w:qFormat/>
    <w:locked/>
    <w:uiPriority w:val="99"/>
    <w:rPr>
      <w:sz w:val="18"/>
    </w:rPr>
  </w:style>
  <w:style w:type="character" w:customStyle="1" w:styleId="25">
    <w:name w:val="正文文本 Char"/>
    <w:link w:val="5"/>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99"/>
    <w:pPr>
      <w:ind w:firstLine="420" w:firstLineChars="200"/>
    </w:pPr>
  </w:style>
  <w:style w:type="paragraph" w:customStyle="1" w:styleId="28">
    <w:name w:val="TOC 标题1"/>
    <w:basedOn w:val="2"/>
    <w:next w:val="1"/>
    <w:qFormat/>
    <w:uiPriority w:val="99"/>
    <w:pPr>
      <w:widowControl/>
      <w:spacing w:before="480" w:after="0" w:line="276" w:lineRule="auto"/>
      <w:jc w:val="left"/>
      <w:outlineLvl w:val="9"/>
    </w:pPr>
    <w:rPr>
      <w:rFonts w:ascii="Cambria" w:hAnsi="Cambria"/>
      <w:color w:val="365F91"/>
      <w:kern w:val="0"/>
      <w:sz w:val="28"/>
      <w:szCs w:val="28"/>
    </w:rPr>
  </w:style>
  <w:style w:type="paragraph" w:customStyle="1" w:styleId="29">
    <w:name w:val="TOC 标题2"/>
    <w:basedOn w:val="2"/>
    <w:next w:val="1"/>
    <w:qFormat/>
    <w:uiPriority w:val="99"/>
    <w:pPr>
      <w:widowControl/>
      <w:spacing w:before="480" w:after="0" w:line="276" w:lineRule="auto"/>
      <w:jc w:val="left"/>
      <w:outlineLvl w:val="9"/>
    </w:pPr>
    <w:rPr>
      <w:rFonts w:ascii="Cambria" w:hAnsi="Cambria"/>
      <w:color w:val="365F91"/>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Workbook2.xls"/><Relationship Id="rId7" Type="http://schemas.openxmlformats.org/officeDocument/2006/relationships/image" Target="media/image1.emf"/><Relationship Id="rId6" Type="http://schemas.openxmlformats.org/officeDocument/2006/relationships/oleObject" Target="embeddings/Workbook1.xls"/><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6.emf"/><Relationship Id="rId16" Type="http://schemas.openxmlformats.org/officeDocument/2006/relationships/oleObject" Target="embeddings/Workbook6.xls"/><Relationship Id="rId15" Type="http://schemas.openxmlformats.org/officeDocument/2006/relationships/image" Target="media/image5.emf"/><Relationship Id="rId14" Type="http://schemas.openxmlformats.org/officeDocument/2006/relationships/oleObject" Target="embeddings/Workbook5.xls"/><Relationship Id="rId13" Type="http://schemas.openxmlformats.org/officeDocument/2006/relationships/image" Target="media/image4.emf"/><Relationship Id="rId12" Type="http://schemas.openxmlformats.org/officeDocument/2006/relationships/oleObject" Target="embeddings/Workbook4.xls"/><Relationship Id="rId11" Type="http://schemas.openxmlformats.org/officeDocument/2006/relationships/image" Target="media/image3.emf"/><Relationship Id="rId10" Type="http://schemas.openxmlformats.org/officeDocument/2006/relationships/oleObject" Target="embeddings/Workbook3.xls"/><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27"/>
    <customShpInfo spid="_x0000_s1028"/>
    <customShpInfo spid="_x0000_s1029"/>
    <customShpInfo spid="_x0000_s1030"/>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19</Pages>
  <Words>1015</Words>
  <Characters>5786</Characters>
  <Lines>48</Lines>
  <Paragraphs>13</Paragraphs>
  <TotalTime>3</TotalTime>
  <ScaleCrop>false</ScaleCrop>
  <LinksUpToDate>false</LinksUpToDate>
  <CharactersWithSpaces>6788</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2020-08-04T09:49:00Z</dcterms:created>
  <dc:creator>曹颖</dc:creator>
  <cp:lastModifiedBy> 回甘</cp:lastModifiedBy>
  <cp:lastPrinted>2020-07-23T10:58:00Z</cp:lastPrinted>
  <dcterms:modified xsi:type="dcterms:W3CDTF">2026-08-20T16:19:48Z</dcterms:modified>
  <dc:title>四川省***</dc:title>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5594E97DBDC2DD1CA4B8866A6018B658_42</vt:lpwstr>
  </property>
</Properties>
</file>