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4734E">
      <w:pPr>
        <w:spacing w:line="600" w:lineRule="exact"/>
        <w:jc w:val="center"/>
        <w:outlineLvl w:val="0"/>
        <w:rPr>
          <w:rFonts w:hint="eastAsia" w:ascii="方正小标宋简体" w:hAnsi="宋体" w:eastAsia="方正小标宋简体"/>
          <w:color w:val="000000"/>
          <w:sz w:val="72"/>
          <w:szCs w:val="72"/>
        </w:rPr>
      </w:pPr>
      <w:bookmarkStart w:id="52" w:name="_GoBack"/>
      <w:bookmarkEnd w:id="52"/>
      <w:bookmarkStart w:id="0" w:name="_Toc15306267"/>
    </w:p>
    <w:p w14:paraId="2973C1F2">
      <w:pPr>
        <w:spacing w:line="600" w:lineRule="exact"/>
        <w:jc w:val="center"/>
        <w:outlineLvl w:val="0"/>
        <w:rPr>
          <w:rFonts w:ascii="方正小标宋简体" w:hAnsi="宋体" w:eastAsia="方正小标宋简体"/>
          <w:color w:val="000000"/>
          <w:sz w:val="72"/>
          <w:szCs w:val="72"/>
        </w:rPr>
      </w:pPr>
    </w:p>
    <w:p w14:paraId="7205E734">
      <w:pPr>
        <w:spacing w:line="600" w:lineRule="exact"/>
        <w:jc w:val="center"/>
        <w:outlineLvl w:val="0"/>
        <w:rPr>
          <w:rFonts w:ascii="方正小标宋简体" w:hAnsi="宋体" w:eastAsia="方正小标宋简体"/>
          <w:color w:val="000000"/>
          <w:sz w:val="72"/>
          <w:szCs w:val="72"/>
        </w:rPr>
      </w:pPr>
    </w:p>
    <w:p w14:paraId="2A23F49C">
      <w:pPr>
        <w:spacing w:line="600" w:lineRule="exact"/>
        <w:jc w:val="center"/>
        <w:outlineLvl w:val="0"/>
        <w:rPr>
          <w:rFonts w:ascii="方正小标宋简体" w:hAnsi="宋体" w:eastAsia="方正小标宋简体"/>
          <w:color w:val="000000"/>
          <w:sz w:val="72"/>
          <w:szCs w:val="72"/>
        </w:rPr>
      </w:pPr>
    </w:p>
    <w:p w14:paraId="2B73FC9C">
      <w:pPr>
        <w:spacing w:line="600" w:lineRule="exact"/>
        <w:jc w:val="center"/>
        <w:outlineLvl w:val="0"/>
        <w:rPr>
          <w:rFonts w:ascii="方正小标宋简体" w:hAnsi="宋体" w:eastAsia="方正小标宋简体"/>
          <w:color w:val="000000"/>
          <w:sz w:val="72"/>
          <w:szCs w:val="72"/>
        </w:rPr>
      </w:pPr>
    </w:p>
    <w:p w14:paraId="304C82E2">
      <w:pPr>
        <w:spacing w:line="600" w:lineRule="exact"/>
        <w:jc w:val="center"/>
        <w:outlineLvl w:val="0"/>
        <w:rPr>
          <w:rFonts w:ascii="方正小标宋简体" w:hAnsi="宋体" w:eastAsia="方正小标宋简体"/>
          <w:color w:val="000000"/>
          <w:sz w:val="72"/>
          <w:szCs w:val="72"/>
        </w:rPr>
      </w:pPr>
    </w:p>
    <w:p w14:paraId="2205AD25">
      <w:pPr>
        <w:spacing w:line="600" w:lineRule="exact"/>
        <w:jc w:val="center"/>
        <w:outlineLvl w:val="0"/>
        <w:rPr>
          <w:rFonts w:ascii="方正小标宋简体" w:hAnsi="宋体" w:eastAsia="方正小标宋简体"/>
          <w:color w:val="000000"/>
          <w:sz w:val="72"/>
          <w:szCs w:val="72"/>
        </w:rPr>
      </w:pPr>
    </w:p>
    <w:p w14:paraId="6DAB6811">
      <w:pPr>
        <w:adjustRightInd w:val="0"/>
        <w:snapToGrid w:val="0"/>
        <w:spacing w:line="360" w:lineRule="auto"/>
        <w:jc w:val="center"/>
        <w:outlineLvl w:val="0"/>
        <w:rPr>
          <w:rFonts w:ascii="方正小标宋简体" w:hAnsi="宋体" w:eastAsia="方正小标宋简体"/>
          <w:color w:val="000000"/>
          <w:sz w:val="52"/>
          <w:szCs w:val="52"/>
        </w:rPr>
      </w:pPr>
      <w:bookmarkStart w:id="1" w:name="_Toc15396476"/>
      <w:bookmarkStart w:id="2" w:name="_Toc15377194"/>
      <w:bookmarkStart w:id="3" w:name="_Toc15396598"/>
      <w:bookmarkStart w:id="4" w:name="_Toc15377426"/>
      <w:bookmarkStart w:id="5" w:name="_Toc15378442"/>
      <w:r>
        <w:rPr>
          <w:rFonts w:hint="eastAsia" w:ascii="方正小标宋简体" w:hAnsi="宋体" w:eastAsia="方正小标宋简体"/>
          <w:color w:val="000000"/>
          <w:sz w:val="52"/>
          <w:szCs w:val="52"/>
        </w:rPr>
        <w:t>米易县</w:t>
      </w:r>
      <w:bookmarkEnd w:id="0"/>
      <w:bookmarkStart w:id="6" w:name="_Toc15306268"/>
      <w:r>
        <w:rPr>
          <w:rFonts w:hint="eastAsia" w:ascii="方正小标宋简体" w:hAnsi="宋体" w:eastAsia="方正小标宋简体"/>
          <w:color w:val="000000"/>
          <w:sz w:val="52"/>
          <w:szCs w:val="52"/>
        </w:rPr>
        <w:t>行政审批局</w:t>
      </w:r>
    </w:p>
    <w:p w14:paraId="7C85147F">
      <w:pPr>
        <w:adjustRightInd w:val="0"/>
        <w:snapToGrid w:val="0"/>
        <w:spacing w:line="360" w:lineRule="auto"/>
        <w:jc w:val="center"/>
        <w:outlineLvl w:val="0"/>
        <w:rPr>
          <w:rFonts w:ascii="方正小标宋简体" w:hAnsi="宋体" w:eastAsia="方正小标宋简体"/>
          <w:color w:val="000000"/>
          <w:sz w:val="52"/>
          <w:szCs w:val="52"/>
        </w:rPr>
      </w:pPr>
      <w:r>
        <w:rPr>
          <w:rFonts w:ascii="方正小标宋简体" w:hAnsi="宋体" w:eastAsia="方正小标宋简体"/>
          <w:color w:val="000000"/>
          <w:sz w:val="52"/>
          <w:szCs w:val="52"/>
        </w:rPr>
        <w:t>20</w:t>
      </w:r>
      <w:r>
        <w:rPr>
          <w:rFonts w:hint="eastAsia" w:ascii="方正小标宋简体" w:hAnsi="宋体" w:eastAsia="方正小标宋简体"/>
          <w:color w:val="000000"/>
          <w:sz w:val="52"/>
          <w:szCs w:val="52"/>
        </w:rPr>
        <w:t>20年度部门决算</w:t>
      </w:r>
      <w:bookmarkEnd w:id="1"/>
      <w:bookmarkEnd w:id="2"/>
      <w:bookmarkEnd w:id="3"/>
      <w:bookmarkEnd w:id="4"/>
      <w:bookmarkEnd w:id="5"/>
      <w:bookmarkEnd w:id="6"/>
      <w:r>
        <w:rPr>
          <w:rFonts w:hint="eastAsia" w:ascii="方正小标宋简体" w:hAnsi="宋体" w:eastAsia="方正小标宋简体"/>
          <w:color w:val="000000"/>
          <w:sz w:val="52"/>
          <w:szCs w:val="52"/>
        </w:rPr>
        <w:t>编制说明</w:t>
      </w:r>
    </w:p>
    <w:p w14:paraId="4F6BC286">
      <w:pPr>
        <w:widowControl/>
        <w:jc w:val="center"/>
        <w:rPr>
          <w:rFonts w:ascii="方正小标宋简体" w:hAnsi="宋体" w:eastAsia="方正小标宋简体"/>
          <w:sz w:val="36"/>
          <w:szCs w:val="36"/>
        </w:rPr>
      </w:pPr>
    </w:p>
    <w:p w14:paraId="268FE721">
      <w:pPr>
        <w:widowControl/>
        <w:tabs>
          <w:tab w:val="left" w:pos="2615"/>
        </w:tabs>
        <w:rPr>
          <w:rFonts w:ascii="方正小标宋简体" w:hAnsi="宋体" w:eastAsia="方正小标宋简体"/>
          <w:sz w:val="36"/>
          <w:szCs w:val="36"/>
        </w:rPr>
      </w:pPr>
      <w:r>
        <w:rPr>
          <w:rFonts w:ascii="方正小标宋简体" w:hAnsi="宋体" w:eastAsia="方正小标宋简体"/>
          <w:sz w:val="36"/>
          <w:szCs w:val="36"/>
        </w:rPr>
        <w:tab/>
      </w:r>
    </w:p>
    <w:p w14:paraId="14E7327D">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 录</w:t>
      </w:r>
    </w:p>
    <w:p w14:paraId="3DF894FF">
      <w:pPr>
        <w:pStyle w:val="10"/>
        <w:rPr>
          <w:rFonts w:ascii="仿宋_GB2312" w:eastAsia="仿宋_GB2312"/>
          <w:sz w:val="30"/>
          <w:szCs w:val="30"/>
        </w:rPr>
      </w:pPr>
      <w:r>
        <w:rPr>
          <w:rFonts w:hint="eastAsia" w:ascii="仿宋_GB2312" w:eastAsia="仿宋_GB2312"/>
          <w:sz w:val="30"/>
          <w:szCs w:val="30"/>
        </w:rPr>
        <w:t>公开时间：2021年10月25日</w:t>
      </w:r>
    </w:p>
    <w:p w14:paraId="27CAF731">
      <w:pPr>
        <w:pStyle w:val="10"/>
        <w:rPr>
          <w:rStyle w:val="15"/>
          <w:rFonts w:ascii="仿宋_GB2312" w:eastAsia="仿宋_GB2312"/>
          <w:color w:val="auto"/>
          <w:sz w:val="30"/>
          <w:szCs w:val="30"/>
          <w:u w:val="none"/>
        </w:rPr>
      </w:pPr>
      <w:r>
        <w:fldChar w:fldCharType="begin"/>
      </w:r>
      <w:r>
        <w:instrText xml:space="preserve"> HYPERLINK \l "_Toc47519989" </w:instrText>
      </w:r>
      <w:r>
        <w:fldChar w:fldCharType="separate"/>
      </w:r>
      <w:r>
        <w:rPr>
          <w:rStyle w:val="15"/>
          <w:rFonts w:hint="eastAsia" w:ascii="仿宋_GB2312" w:eastAsia="仿宋_GB2312"/>
          <w:color w:val="auto"/>
          <w:sz w:val="30"/>
          <w:szCs w:val="30"/>
          <w:u w:val="none"/>
        </w:rPr>
        <w:t>第一部分 部门概况</w:t>
      </w:r>
      <w:r>
        <w:rPr>
          <w:rStyle w:val="15"/>
          <w:rFonts w:hint="eastAsia" w:ascii="仿宋_GB2312" w:eastAsia="仿宋_GB2312"/>
          <w:color w:val="auto"/>
          <w:sz w:val="30"/>
          <w:szCs w:val="30"/>
          <w:u w:val="none"/>
        </w:rPr>
        <w:tab/>
      </w:r>
      <w:r>
        <w:rPr>
          <w:rStyle w:val="15"/>
          <w:rFonts w:hint="eastAsia" w:ascii="仿宋_GB2312" w:eastAsia="仿宋_GB2312"/>
          <w:color w:val="auto"/>
          <w:sz w:val="30"/>
          <w:szCs w:val="30"/>
          <w:u w:val="none"/>
        </w:rPr>
        <w:t>1</w:t>
      </w:r>
      <w:r>
        <w:rPr>
          <w:rStyle w:val="15"/>
          <w:rFonts w:hint="eastAsia" w:ascii="仿宋_GB2312" w:eastAsia="仿宋_GB2312"/>
          <w:color w:val="auto"/>
          <w:sz w:val="30"/>
          <w:szCs w:val="30"/>
          <w:u w:val="none"/>
        </w:rPr>
        <w:fldChar w:fldCharType="end"/>
      </w:r>
    </w:p>
    <w:p w14:paraId="74455F75">
      <w:pPr>
        <w:pStyle w:val="10"/>
        <w:rPr>
          <w:rStyle w:val="15"/>
          <w:rFonts w:ascii="仿宋_GB2312" w:eastAsia="仿宋_GB2312"/>
          <w:color w:val="auto"/>
          <w:sz w:val="30"/>
          <w:szCs w:val="30"/>
          <w:u w:val="none"/>
        </w:rPr>
      </w:pPr>
      <w:r>
        <w:fldChar w:fldCharType="begin"/>
      </w:r>
      <w:r>
        <w:instrText xml:space="preserve"> HYPERLINK \l "_Toc47519990" </w:instrText>
      </w:r>
      <w:r>
        <w:fldChar w:fldCharType="separate"/>
      </w:r>
      <w:r>
        <w:rPr>
          <w:rStyle w:val="15"/>
          <w:rFonts w:hint="eastAsia" w:ascii="仿宋_GB2312" w:eastAsia="仿宋_GB2312"/>
          <w:color w:val="auto"/>
          <w:sz w:val="30"/>
          <w:szCs w:val="30"/>
          <w:u w:val="none"/>
        </w:rPr>
        <w:t>一、基本职能及主要工作</w:t>
      </w:r>
      <w:r>
        <w:rPr>
          <w:rStyle w:val="15"/>
          <w:rFonts w:hint="eastAsia" w:ascii="仿宋_GB2312" w:eastAsia="仿宋_GB2312"/>
          <w:color w:val="auto"/>
          <w:sz w:val="30"/>
          <w:szCs w:val="30"/>
          <w:u w:val="none"/>
        </w:rPr>
        <w:tab/>
      </w:r>
      <w:r>
        <w:rPr>
          <w:rStyle w:val="15"/>
          <w:rFonts w:hint="eastAsia" w:ascii="仿宋_GB2312" w:eastAsia="仿宋_GB2312"/>
          <w:color w:val="auto"/>
          <w:sz w:val="30"/>
          <w:szCs w:val="30"/>
          <w:u w:val="none"/>
        </w:rPr>
        <w:t>1</w:t>
      </w:r>
      <w:r>
        <w:rPr>
          <w:rStyle w:val="15"/>
          <w:rFonts w:hint="eastAsia" w:ascii="仿宋_GB2312" w:eastAsia="仿宋_GB2312"/>
          <w:color w:val="auto"/>
          <w:sz w:val="30"/>
          <w:szCs w:val="30"/>
          <w:u w:val="none"/>
        </w:rPr>
        <w:fldChar w:fldCharType="end"/>
      </w:r>
    </w:p>
    <w:p w14:paraId="39F471D0">
      <w:pPr>
        <w:pStyle w:val="10"/>
        <w:rPr>
          <w:rStyle w:val="15"/>
          <w:rFonts w:ascii="仿宋_GB2312" w:eastAsia="仿宋_GB2312"/>
          <w:color w:val="auto"/>
          <w:sz w:val="30"/>
          <w:szCs w:val="30"/>
          <w:u w:val="none"/>
        </w:rPr>
      </w:pPr>
      <w:r>
        <w:fldChar w:fldCharType="begin"/>
      </w:r>
      <w:r>
        <w:instrText xml:space="preserve"> HYPERLINK \l "_Toc47519991" </w:instrText>
      </w:r>
      <w:r>
        <w:fldChar w:fldCharType="separate"/>
      </w:r>
      <w:r>
        <w:rPr>
          <w:rStyle w:val="15"/>
          <w:rFonts w:hint="eastAsia" w:ascii="仿宋_GB2312" w:eastAsia="仿宋_GB2312"/>
          <w:color w:val="auto"/>
          <w:sz w:val="30"/>
          <w:szCs w:val="30"/>
          <w:u w:val="none"/>
        </w:rPr>
        <w:t>二、单位基本情况</w:t>
      </w:r>
      <w:r>
        <w:rPr>
          <w:rStyle w:val="15"/>
          <w:rFonts w:hint="eastAsia" w:ascii="仿宋_GB2312" w:eastAsia="仿宋_GB2312"/>
          <w:color w:val="auto"/>
          <w:sz w:val="30"/>
          <w:szCs w:val="30"/>
          <w:u w:val="none"/>
        </w:rPr>
        <w:tab/>
      </w:r>
      <w:r>
        <w:rPr>
          <w:rStyle w:val="15"/>
          <w:rFonts w:hint="eastAsia" w:ascii="仿宋_GB2312" w:eastAsia="仿宋_GB2312"/>
          <w:color w:val="auto"/>
          <w:sz w:val="30"/>
          <w:szCs w:val="30"/>
          <w:u w:val="none"/>
        </w:rPr>
        <w:t>8</w:t>
      </w:r>
      <w:r>
        <w:rPr>
          <w:rStyle w:val="15"/>
          <w:rFonts w:hint="eastAsia" w:ascii="仿宋_GB2312" w:eastAsia="仿宋_GB2312"/>
          <w:color w:val="auto"/>
          <w:sz w:val="30"/>
          <w:szCs w:val="30"/>
          <w:u w:val="none"/>
        </w:rPr>
        <w:fldChar w:fldCharType="end"/>
      </w:r>
    </w:p>
    <w:p w14:paraId="5C671423">
      <w:pPr>
        <w:pStyle w:val="10"/>
        <w:rPr>
          <w:rStyle w:val="15"/>
          <w:rFonts w:ascii="仿宋_GB2312" w:eastAsia="仿宋_GB2312"/>
          <w:color w:val="auto"/>
          <w:sz w:val="30"/>
          <w:szCs w:val="30"/>
          <w:u w:val="none"/>
        </w:rPr>
      </w:pPr>
      <w:r>
        <w:fldChar w:fldCharType="begin"/>
      </w:r>
      <w:r>
        <w:instrText xml:space="preserve"> HYPERLINK \l "_Toc47519992" </w:instrText>
      </w:r>
      <w:r>
        <w:fldChar w:fldCharType="separate"/>
      </w:r>
      <w:r>
        <w:rPr>
          <w:rStyle w:val="15"/>
          <w:rFonts w:hint="eastAsia" w:ascii="仿宋_GB2312" w:eastAsia="仿宋_GB2312"/>
          <w:color w:val="auto"/>
          <w:sz w:val="30"/>
          <w:szCs w:val="30"/>
          <w:u w:val="none"/>
        </w:rPr>
        <w:t>第二部分2020年度部门决算情况说明</w:t>
      </w:r>
      <w:r>
        <w:rPr>
          <w:rStyle w:val="15"/>
          <w:rFonts w:hint="eastAsia" w:ascii="仿宋_GB2312" w:eastAsia="仿宋_GB2312"/>
          <w:color w:val="auto"/>
          <w:sz w:val="30"/>
          <w:szCs w:val="30"/>
          <w:u w:val="none"/>
        </w:rPr>
        <w:tab/>
      </w:r>
      <w:r>
        <w:rPr>
          <w:rStyle w:val="15"/>
          <w:rFonts w:hint="eastAsia" w:ascii="仿宋_GB2312" w:eastAsia="仿宋_GB2312"/>
          <w:color w:val="auto"/>
          <w:sz w:val="30"/>
          <w:szCs w:val="30"/>
          <w:u w:val="none"/>
        </w:rPr>
        <w:t>9</w:t>
      </w:r>
      <w:r>
        <w:rPr>
          <w:rStyle w:val="15"/>
          <w:rFonts w:hint="eastAsia" w:ascii="仿宋_GB2312" w:eastAsia="仿宋_GB2312"/>
          <w:color w:val="auto"/>
          <w:sz w:val="30"/>
          <w:szCs w:val="30"/>
          <w:u w:val="none"/>
        </w:rPr>
        <w:fldChar w:fldCharType="end"/>
      </w:r>
    </w:p>
    <w:p w14:paraId="3270BB9E">
      <w:pPr>
        <w:pStyle w:val="10"/>
        <w:rPr>
          <w:rStyle w:val="15"/>
          <w:rFonts w:ascii="仿宋_GB2312" w:eastAsia="仿宋_GB2312"/>
          <w:color w:val="auto"/>
          <w:sz w:val="30"/>
          <w:szCs w:val="30"/>
          <w:u w:val="none"/>
        </w:rPr>
      </w:pPr>
      <w:r>
        <w:fldChar w:fldCharType="begin"/>
      </w:r>
      <w:r>
        <w:instrText xml:space="preserve"> HYPERLINK \l "_Toc47519994" </w:instrText>
      </w:r>
      <w:r>
        <w:fldChar w:fldCharType="separate"/>
      </w:r>
      <w:r>
        <w:rPr>
          <w:rStyle w:val="15"/>
          <w:rFonts w:hint="eastAsia" w:ascii="仿宋_GB2312" w:eastAsia="仿宋_GB2312"/>
          <w:color w:val="auto"/>
          <w:sz w:val="30"/>
          <w:szCs w:val="30"/>
          <w:u w:val="none"/>
        </w:rPr>
        <w:t>一、收入支出决算总体情况说明</w:t>
      </w:r>
      <w:r>
        <w:rPr>
          <w:rStyle w:val="15"/>
          <w:rFonts w:hint="eastAsia" w:ascii="仿宋_GB2312" w:eastAsia="仿宋_GB2312"/>
          <w:color w:val="auto"/>
          <w:sz w:val="30"/>
          <w:szCs w:val="30"/>
          <w:u w:val="none"/>
        </w:rPr>
        <w:tab/>
      </w:r>
      <w:r>
        <w:rPr>
          <w:rStyle w:val="15"/>
          <w:rFonts w:hint="eastAsia" w:ascii="仿宋_GB2312" w:eastAsia="仿宋_GB2312"/>
          <w:color w:val="auto"/>
          <w:sz w:val="30"/>
          <w:szCs w:val="30"/>
          <w:u w:val="none"/>
        </w:rPr>
        <w:t>9</w:t>
      </w:r>
      <w:r>
        <w:rPr>
          <w:rStyle w:val="15"/>
          <w:rFonts w:hint="eastAsia" w:ascii="仿宋_GB2312" w:eastAsia="仿宋_GB2312"/>
          <w:color w:val="auto"/>
          <w:sz w:val="30"/>
          <w:szCs w:val="30"/>
          <w:u w:val="none"/>
        </w:rPr>
        <w:fldChar w:fldCharType="end"/>
      </w:r>
    </w:p>
    <w:p w14:paraId="48E6BA2F">
      <w:pPr>
        <w:pStyle w:val="10"/>
        <w:rPr>
          <w:rStyle w:val="15"/>
          <w:rFonts w:ascii="仿宋_GB2312" w:eastAsia="仿宋_GB2312"/>
          <w:color w:val="auto"/>
          <w:sz w:val="30"/>
          <w:szCs w:val="30"/>
          <w:u w:val="none"/>
        </w:rPr>
      </w:pPr>
      <w:r>
        <w:fldChar w:fldCharType="begin"/>
      </w:r>
      <w:r>
        <w:instrText xml:space="preserve"> HYPERLINK \l "_Toc47519995" </w:instrText>
      </w:r>
      <w:r>
        <w:fldChar w:fldCharType="separate"/>
      </w:r>
      <w:r>
        <w:rPr>
          <w:rStyle w:val="15"/>
          <w:rFonts w:hint="eastAsia" w:ascii="仿宋_GB2312" w:eastAsia="仿宋_GB2312"/>
          <w:color w:val="auto"/>
          <w:sz w:val="30"/>
          <w:szCs w:val="30"/>
          <w:u w:val="none"/>
        </w:rPr>
        <w:t>二、收入决算情况说明</w:t>
      </w:r>
      <w:r>
        <w:rPr>
          <w:rStyle w:val="15"/>
          <w:rFonts w:hint="eastAsia" w:ascii="仿宋_GB2312" w:eastAsia="仿宋_GB2312"/>
          <w:color w:val="auto"/>
          <w:sz w:val="30"/>
          <w:szCs w:val="30"/>
          <w:u w:val="none"/>
        </w:rPr>
        <w:tab/>
      </w:r>
      <w:r>
        <w:rPr>
          <w:rStyle w:val="15"/>
          <w:rFonts w:hint="eastAsia" w:ascii="仿宋_GB2312" w:eastAsia="仿宋_GB2312"/>
          <w:color w:val="auto"/>
          <w:sz w:val="30"/>
          <w:szCs w:val="30"/>
          <w:u w:val="none"/>
        </w:rPr>
        <w:t>10</w:t>
      </w:r>
      <w:r>
        <w:rPr>
          <w:rStyle w:val="15"/>
          <w:rFonts w:hint="eastAsia" w:ascii="仿宋_GB2312" w:eastAsia="仿宋_GB2312"/>
          <w:color w:val="auto"/>
          <w:sz w:val="30"/>
          <w:szCs w:val="30"/>
          <w:u w:val="none"/>
        </w:rPr>
        <w:fldChar w:fldCharType="end"/>
      </w:r>
    </w:p>
    <w:p w14:paraId="0E71ADDD">
      <w:pPr>
        <w:pStyle w:val="10"/>
        <w:rPr>
          <w:rStyle w:val="15"/>
          <w:rFonts w:ascii="仿宋_GB2312" w:eastAsia="仿宋_GB2312"/>
          <w:color w:val="auto"/>
          <w:sz w:val="30"/>
          <w:szCs w:val="30"/>
          <w:u w:val="none"/>
        </w:rPr>
      </w:pPr>
      <w:r>
        <w:fldChar w:fldCharType="begin"/>
      </w:r>
      <w:r>
        <w:instrText xml:space="preserve"> HYPERLINK \l "_Toc47519997" </w:instrText>
      </w:r>
      <w:r>
        <w:fldChar w:fldCharType="separate"/>
      </w:r>
      <w:r>
        <w:rPr>
          <w:rStyle w:val="15"/>
          <w:rFonts w:hint="eastAsia" w:ascii="仿宋_GB2312" w:eastAsia="仿宋_GB2312"/>
          <w:color w:val="auto"/>
          <w:sz w:val="30"/>
          <w:szCs w:val="30"/>
          <w:u w:val="none"/>
        </w:rPr>
        <w:t>三、支出决算情况说明</w:t>
      </w:r>
      <w:r>
        <w:rPr>
          <w:rStyle w:val="15"/>
          <w:rFonts w:hint="eastAsia" w:ascii="仿宋_GB2312" w:eastAsia="仿宋_GB2312"/>
          <w:color w:val="auto"/>
          <w:sz w:val="30"/>
          <w:szCs w:val="30"/>
          <w:u w:val="none"/>
        </w:rPr>
        <w:tab/>
      </w:r>
      <w:r>
        <w:rPr>
          <w:rStyle w:val="15"/>
          <w:rFonts w:hint="eastAsia" w:ascii="仿宋_GB2312" w:eastAsia="仿宋_GB2312"/>
          <w:color w:val="auto"/>
          <w:sz w:val="30"/>
          <w:szCs w:val="30"/>
          <w:u w:val="none"/>
        </w:rPr>
        <w:t>10</w:t>
      </w:r>
      <w:r>
        <w:rPr>
          <w:rStyle w:val="15"/>
          <w:rFonts w:hint="eastAsia" w:ascii="仿宋_GB2312" w:eastAsia="仿宋_GB2312"/>
          <w:color w:val="auto"/>
          <w:sz w:val="30"/>
          <w:szCs w:val="30"/>
          <w:u w:val="none"/>
        </w:rPr>
        <w:fldChar w:fldCharType="end"/>
      </w:r>
    </w:p>
    <w:p w14:paraId="755156E7">
      <w:pPr>
        <w:pStyle w:val="10"/>
        <w:rPr>
          <w:rStyle w:val="15"/>
          <w:rFonts w:ascii="仿宋_GB2312" w:eastAsia="仿宋_GB2312"/>
          <w:color w:val="auto"/>
          <w:sz w:val="30"/>
          <w:szCs w:val="30"/>
          <w:u w:val="none"/>
        </w:rPr>
      </w:pPr>
      <w:r>
        <w:fldChar w:fldCharType="begin"/>
      </w:r>
      <w:r>
        <w:instrText xml:space="preserve"> HYPERLINK \l "_Toc47519998" </w:instrText>
      </w:r>
      <w:r>
        <w:fldChar w:fldCharType="separate"/>
      </w:r>
      <w:r>
        <w:rPr>
          <w:rStyle w:val="15"/>
          <w:rFonts w:hint="eastAsia" w:ascii="仿宋_GB2312" w:eastAsia="仿宋_GB2312"/>
          <w:color w:val="auto"/>
          <w:sz w:val="30"/>
          <w:szCs w:val="30"/>
          <w:u w:val="none"/>
        </w:rPr>
        <w:t>四、财政拨款收入支出决算总体情况说明</w:t>
      </w:r>
      <w:r>
        <w:rPr>
          <w:rStyle w:val="15"/>
          <w:rFonts w:hint="eastAsia" w:ascii="仿宋_GB2312" w:eastAsia="仿宋_GB2312"/>
          <w:color w:val="auto"/>
          <w:sz w:val="30"/>
          <w:szCs w:val="30"/>
          <w:u w:val="none"/>
        </w:rPr>
        <w:tab/>
      </w:r>
      <w:r>
        <w:rPr>
          <w:rStyle w:val="15"/>
          <w:rFonts w:hint="eastAsia" w:ascii="仿宋_GB2312" w:eastAsia="仿宋_GB2312"/>
          <w:color w:val="auto"/>
          <w:sz w:val="30"/>
          <w:szCs w:val="30"/>
          <w:u w:val="none"/>
        </w:rPr>
        <w:t>11</w:t>
      </w:r>
      <w:r>
        <w:rPr>
          <w:rStyle w:val="15"/>
          <w:rFonts w:hint="eastAsia" w:ascii="仿宋_GB2312" w:eastAsia="仿宋_GB2312"/>
          <w:color w:val="auto"/>
          <w:sz w:val="30"/>
          <w:szCs w:val="30"/>
          <w:u w:val="none"/>
        </w:rPr>
        <w:fldChar w:fldCharType="end"/>
      </w:r>
    </w:p>
    <w:p w14:paraId="6A30ACAE">
      <w:pPr>
        <w:pStyle w:val="10"/>
        <w:rPr>
          <w:rStyle w:val="15"/>
          <w:rFonts w:ascii="仿宋_GB2312" w:eastAsia="仿宋_GB2312"/>
          <w:color w:val="auto"/>
          <w:sz w:val="30"/>
          <w:szCs w:val="30"/>
          <w:u w:val="none"/>
        </w:rPr>
      </w:pPr>
      <w:r>
        <w:fldChar w:fldCharType="begin"/>
      </w:r>
      <w:r>
        <w:instrText xml:space="preserve"> HYPERLINK \l "_Toc47519999" </w:instrText>
      </w:r>
      <w:r>
        <w:fldChar w:fldCharType="separate"/>
      </w:r>
      <w:r>
        <w:rPr>
          <w:rStyle w:val="15"/>
          <w:rFonts w:hint="eastAsia" w:ascii="仿宋_GB2312" w:eastAsia="仿宋_GB2312"/>
          <w:color w:val="auto"/>
          <w:sz w:val="30"/>
          <w:szCs w:val="30"/>
          <w:u w:val="none"/>
        </w:rPr>
        <w:t>五、一般公共预算财政拨款支出决算情况说明</w:t>
      </w:r>
      <w:r>
        <w:rPr>
          <w:rStyle w:val="15"/>
          <w:rFonts w:hint="eastAsia" w:ascii="仿宋_GB2312" w:eastAsia="仿宋_GB2312"/>
          <w:color w:val="auto"/>
          <w:sz w:val="30"/>
          <w:szCs w:val="30"/>
          <w:u w:val="none"/>
        </w:rPr>
        <w:tab/>
      </w:r>
      <w:r>
        <w:rPr>
          <w:rStyle w:val="15"/>
          <w:rFonts w:hint="eastAsia" w:ascii="仿宋_GB2312" w:eastAsia="仿宋_GB2312"/>
          <w:color w:val="auto"/>
          <w:sz w:val="30"/>
          <w:szCs w:val="30"/>
          <w:u w:val="none"/>
        </w:rPr>
        <w:fldChar w:fldCharType="end"/>
      </w:r>
      <w:r>
        <w:rPr>
          <w:rFonts w:hint="eastAsia" w:ascii="仿宋_GB2312" w:eastAsia="仿宋_GB2312"/>
          <w:sz w:val="30"/>
          <w:szCs w:val="30"/>
        </w:rPr>
        <w:t>11</w:t>
      </w:r>
    </w:p>
    <w:p w14:paraId="7F3D7164">
      <w:pPr>
        <w:pStyle w:val="10"/>
        <w:rPr>
          <w:rStyle w:val="15"/>
          <w:rFonts w:ascii="仿宋_GB2312" w:eastAsia="仿宋_GB2312"/>
          <w:color w:val="auto"/>
          <w:sz w:val="30"/>
          <w:szCs w:val="30"/>
          <w:u w:val="none"/>
        </w:rPr>
      </w:pPr>
      <w:r>
        <w:fldChar w:fldCharType="begin"/>
      </w:r>
      <w:r>
        <w:instrText xml:space="preserve"> HYPERLINK \l "_Toc47520000" </w:instrText>
      </w:r>
      <w:r>
        <w:fldChar w:fldCharType="separate"/>
      </w:r>
      <w:r>
        <w:rPr>
          <w:rStyle w:val="15"/>
          <w:rFonts w:hint="eastAsia" w:ascii="仿宋_GB2312" w:eastAsia="仿宋_GB2312"/>
          <w:color w:val="auto"/>
          <w:sz w:val="30"/>
          <w:szCs w:val="30"/>
          <w:u w:val="none"/>
        </w:rPr>
        <w:t>六、一般公共预算财政拨款基本支出决算情况说明</w:t>
      </w:r>
      <w:r>
        <w:rPr>
          <w:rStyle w:val="15"/>
          <w:rFonts w:hint="eastAsia" w:ascii="仿宋_GB2312" w:eastAsia="仿宋_GB2312"/>
          <w:color w:val="auto"/>
          <w:sz w:val="30"/>
          <w:szCs w:val="30"/>
          <w:u w:val="none"/>
        </w:rPr>
        <w:tab/>
      </w:r>
      <w:r>
        <w:rPr>
          <w:rStyle w:val="15"/>
          <w:rFonts w:hint="eastAsia" w:ascii="仿宋_GB2312" w:eastAsia="仿宋_GB2312"/>
          <w:color w:val="auto"/>
          <w:sz w:val="30"/>
          <w:szCs w:val="30"/>
          <w:u w:val="none"/>
        </w:rPr>
        <w:fldChar w:fldCharType="end"/>
      </w:r>
      <w:r>
        <w:rPr>
          <w:rFonts w:hint="eastAsia" w:ascii="仿宋_GB2312" w:eastAsia="仿宋_GB2312"/>
          <w:sz w:val="30"/>
          <w:szCs w:val="30"/>
        </w:rPr>
        <w:t>13</w:t>
      </w:r>
    </w:p>
    <w:p w14:paraId="37D3DB2F">
      <w:pPr>
        <w:pStyle w:val="10"/>
        <w:jc w:val="both"/>
        <w:rPr>
          <w:rFonts w:ascii="仿宋_GB2312" w:eastAsia="仿宋_GB2312"/>
          <w:sz w:val="30"/>
          <w:szCs w:val="30"/>
        </w:rPr>
      </w:pPr>
      <w:r>
        <w:rPr>
          <w:rStyle w:val="15"/>
          <w:rFonts w:hint="eastAsia" w:ascii="仿宋_GB2312" w:eastAsia="仿宋_GB2312"/>
          <w:color w:val="auto"/>
          <w:sz w:val="30"/>
          <w:szCs w:val="30"/>
          <w:u w:val="none"/>
        </w:rPr>
        <w:t>七、一般公共预算财政拨款“三公”经费支出决算情况说明... 13</w:t>
      </w:r>
    </w:p>
    <w:p w14:paraId="16D56B46">
      <w:pPr>
        <w:pStyle w:val="10"/>
        <w:jc w:val="both"/>
        <w:rPr>
          <w:rStyle w:val="15"/>
          <w:rFonts w:ascii="仿宋_GB2312" w:eastAsia="仿宋_GB2312"/>
          <w:color w:val="auto"/>
          <w:sz w:val="30"/>
          <w:szCs w:val="30"/>
          <w:u w:val="none"/>
        </w:rPr>
      </w:pPr>
      <w:r>
        <w:rPr>
          <w:rStyle w:val="15"/>
          <w:rFonts w:hint="eastAsia" w:ascii="仿宋_GB2312" w:eastAsia="仿宋_GB2312"/>
          <w:color w:val="auto"/>
          <w:sz w:val="30"/>
          <w:szCs w:val="30"/>
          <w:u w:val="none"/>
        </w:rPr>
        <w:t>八、政府性基金预算财政拨款收入支出情况说明............15</w:t>
      </w:r>
    </w:p>
    <w:p w14:paraId="5F653670">
      <w:pPr>
        <w:rPr>
          <w:rFonts w:ascii="仿宋_GB2312" w:eastAsia="仿宋_GB2312"/>
          <w:sz w:val="30"/>
          <w:szCs w:val="30"/>
        </w:rPr>
      </w:pPr>
      <w:r>
        <w:rPr>
          <w:rFonts w:hint="eastAsia" w:ascii="仿宋_GB2312" w:eastAsia="仿宋_GB2312"/>
          <w:sz w:val="30"/>
          <w:szCs w:val="30"/>
        </w:rPr>
        <w:t>九、国有资本经营预算支出决算情况说明</w:t>
      </w:r>
      <w:r>
        <w:rPr>
          <w:rStyle w:val="15"/>
          <w:rFonts w:hint="eastAsia" w:ascii="仿宋_GB2312" w:eastAsia="仿宋_GB2312"/>
          <w:color w:val="auto"/>
          <w:sz w:val="30"/>
          <w:szCs w:val="30"/>
          <w:u w:val="none"/>
        </w:rPr>
        <w:t>...........       15</w:t>
      </w:r>
      <w:r>
        <w:rPr>
          <w:rFonts w:hint="eastAsia" w:ascii="仿宋_GB2312" w:eastAsia="仿宋_GB2312"/>
          <w:sz w:val="30"/>
          <w:szCs w:val="30"/>
        </w:rPr>
        <w:t xml:space="preserve">                 </w:t>
      </w:r>
    </w:p>
    <w:p w14:paraId="0409559A">
      <w:pPr>
        <w:pStyle w:val="10"/>
        <w:jc w:val="both"/>
        <w:rPr>
          <w:rStyle w:val="15"/>
          <w:rFonts w:ascii="仿宋_GB2312" w:eastAsia="仿宋_GB2312"/>
          <w:color w:val="auto"/>
          <w:sz w:val="30"/>
          <w:szCs w:val="30"/>
          <w:u w:val="none"/>
        </w:rPr>
      </w:pPr>
      <w:r>
        <w:rPr>
          <w:rStyle w:val="15"/>
          <w:rFonts w:hint="eastAsia" w:ascii="仿宋_GB2312" w:eastAsia="仿宋_GB2312"/>
          <w:color w:val="auto"/>
          <w:sz w:val="30"/>
          <w:szCs w:val="30"/>
          <w:u w:val="none"/>
        </w:rPr>
        <w:t>十、其他重要事项的情况说明</w:t>
      </w:r>
      <w:r>
        <w:rPr>
          <w:rStyle w:val="15"/>
          <w:rFonts w:hint="eastAsia" w:ascii="仿宋_GB2312" w:eastAsia="仿宋_GB2312"/>
          <w:color w:val="auto"/>
          <w:sz w:val="30"/>
          <w:szCs w:val="30"/>
          <w:u w:val="none"/>
        </w:rPr>
        <w:tab/>
      </w:r>
      <w:r>
        <w:rPr>
          <w:rStyle w:val="15"/>
          <w:rFonts w:hint="eastAsia" w:ascii="仿宋_GB2312" w:eastAsia="仿宋_GB2312"/>
          <w:color w:val="auto"/>
          <w:sz w:val="30"/>
          <w:szCs w:val="30"/>
          <w:u w:val="none"/>
        </w:rPr>
        <w:t xml:space="preserve">  15        </w:t>
      </w:r>
    </w:p>
    <w:p w14:paraId="377DDB56">
      <w:pPr>
        <w:pStyle w:val="10"/>
        <w:rPr>
          <w:rStyle w:val="15"/>
          <w:rFonts w:ascii="仿宋_GB2312" w:eastAsia="仿宋_GB2312"/>
          <w:color w:val="auto"/>
          <w:sz w:val="30"/>
          <w:szCs w:val="30"/>
          <w:u w:val="none"/>
        </w:rPr>
      </w:pPr>
      <w:r>
        <w:fldChar w:fldCharType="begin"/>
      </w:r>
      <w:r>
        <w:instrText xml:space="preserve"> HYPERLINK \l "_Toc47520001" </w:instrText>
      </w:r>
      <w:r>
        <w:fldChar w:fldCharType="separate"/>
      </w:r>
      <w:r>
        <w:rPr>
          <w:rStyle w:val="15"/>
          <w:rFonts w:hint="eastAsia" w:ascii="仿宋_GB2312" w:eastAsia="仿宋_GB2312"/>
          <w:color w:val="auto"/>
          <w:sz w:val="30"/>
          <w:szCs w:val="30"/>
          <w:u w:val="none"/>
        </w:rPr>
        <w:t>第三部分 名词解释</w:t>
      </w:r>
      <w:r>
        <w:rPr>
          <w:rStyle w:val="15"/>
          <w:rFonts w:hint="eastAsia" w:ascii="仿宋_GB2312" w:eastAsia="仿宋_GB2312"/>
          <w:color w:val="auto"/>
          <w:sz w:val="30"/>
          <w:szCs w:val="30"/>
          <w:u w:val="none"/>
        </w:rPr>
        <w:tab/>
      </w:r>
      <w:r>
        <w:rPr>
          <w:rStyle w:val="15"/>
          <w:rFonts w:hint="eastAsia" w:ascii="仿宋_GB2312" w:eastAsia="仿宋_GB2312"/>
          <w:color w:val="auto"/>
          <w:sz w:val="30"/>
          <w:szCs w:val="30"/>
          <w:u w:val="none"/>
        </w:rPr>
        <w:t>21</w:t>
      </w:r>
      <w:r>
        <w:rPr>
          <w:rStyle w:val="15"/>
          <w:rFonts w:hint="eastAsia" w:ascii="仿宋_GB2312" w:eastAsia="仿宋_GB2312"/>
          <w:color w:val="auto"/>
          <w:sz w:val="30"/>
          <w:szCs w:val="30"/>
          <w:u w:val="none"/>
        </w:rPr>
        <w:fldChar w:fldCharType="end"/>
      </w:r>
    </w:p>
    <w:p w14:paraId="6FE5D770">
      <w:pPr>
        <w:pStyle w:val="10"/>
        <w:rPr>
          <w:rFonts w:ascii="仿宋_GB2312" w:eastAsia="仿宋_GB2312"/>
          <w:sz w:val="30"/>
          <w:szCs w:val="30"/>
        </w:rPr>
      </w:pPr>
      <w:r>
        <w:fldChar w:fldCharType="begin"/>
      </w:r>
      <w:r>
        <w:instrText xml:space="preserve"> HYPERLINK \l "_Toc47520002" </w:instrText>
      </w:r>
      <w:r>
        <w:fldChar w:fldCharType="separate"/>
      </w:r>
      <w:r>
        <w:rPr>
          <w:rStyle w:val="15"/>
          <w:rFonts w:hint="eastAsia" w:ascii="仿宋_GB2312" w:eastAsia="仿宋_GB2312"/>
          <w:color w:val="auto"/>
          <w:sz w:val="30"/>
          <w:szCs w:val="30"/>
          <w:u w:val="none"/>
        </w:rPr>
        <w:t>第四部分 附件1、附件2</w:t>
      </w:r>
      <w:r>
        <w:rPr>
          <w:rStyle w:val="15"/>
          <w:rFonts w:hint="eastAsia" w:ascii="仿宋_GB2312" w:eastAsia="仿宋_GB2312"/>
          <w:color w:val="auto"/>
          <w:sz w:val="30"/>
          <w:szCs w:val="30"/>
          <w:u w:val="none"/>
        </w:rPr>
        <w:tab/>
      </w:r>
      <w:r>
        <w:rPr>
          <w:rStyle w:val="15"/>
          <w:rFonts w:hint="eastAsia" w:ascii="仿宋_GB2312" w:eastAsia="仿宋_GB2312"/>
          <w:color w:val="auto"/>
          <w:sz w:val="30"/>
          <w:szCs w:val="30"/>
          <w:u w:val="none"/>
        </w:rPr>
        <w:t>23</w:t>
      </w:r>
      <w:r>
        <w:rPr>
          <w:rStyle w:val="15"/>
          <w:rFonts w:hint="eastAsia" w:ascii="仿宋_GB2312" w:eastAsia="仿宋_GB2312"/>
          <w:color w:val="auto"/>
          <w:sz w:val="30"/>
          <w:szCs w:val="30"/>
          <w:u w:val="none"/>
        </w:rPr>
        <w:fldChar w:fldCharType="end"/>
      </w:r>
    </w:p>
    <w:p w14:paraId="63A1F483">
      <w:pPr>
        <w:pStyle w:val="10"/>
        <w:rPr>
          <w:rFonts w:ascii="仿宋_GB2312" w:eastAsia="仿宋_GB2312"/>
          <w:sz w:val="30"/>
          <w:szCs w:val="30"/>
        </w:rPr>
      </w:pPr>
      <w:r>
        <w:fldChar w:fldCharType="begin"/>
      </w:r>
      <w:r>
        <w:instrText xml:space="preserve"> HYPERLINK \l "_Toc47520002" </w:instrText>
      </w:r>
      <w:r>
        <w:fldChar w:fldCharType="separate"/>
      </w:r>
      <w:r>
        <w:rPr>
          <w:rStyle w:val="15"/>
          <w:rFonts w:hint="eastAsia" w:ascii="仿宋_GB2312" w:eastAsia="仿宋_GB2312"/>
          <w:color w:val="auto"/>
          <w:sz w:val="30"/>
          <w:szCs w:val="30"/>
          <w:u w:val="none"/>
        </w:rPr>
        <w:t>第五部分 附表</w:t>
      </w:r>
      <w:r>
        <w:rPr>
          <w:rStyle w:val="15"/>
          <w:rFonts w:hint="eastAsia" w:ascii="仿宋_GB2312" w:eastAsia="仿宋_GB2312"/>
          <w:color w:val="auto"/>
          <w:sz w:val="30"/>
          <w:szCs w:val="30"/>
          <w:u w:val="none"/>
        </w:rPr>
        <w:tab/>
      </w:r>
      <w:r>
        <w:rPr>
          <w:rStyle w:val="15"/>
          <w:rFonts w:hint="eastAsia" w:ascii="仿宋_GB2312" w:eastAsia="仿宋_GB2312"/>
          <w:color w:val="auto"/>
          <w:sz w:val="30"/>
          <w:szCs w:val="30"/>
          <w:u w:val="none"/>
        </w:rPr>
        <w:t>34</w:t>
      </w:r>
      <w:r>
        <w:rPr>
          <w:rStyle w:val="15"/>
          <w:rFonts w:hint="eastAsia" w:ascii="仿宋_GB2312" w:eastAsia="仿宋_GB2312"/>
          <w:color w:val="auto"/>
          <w:sz w:val="30"/>
          <w:szCs w:val="30"/>
          <w:u w:val="none"/>
        </w:rPr>
        <w:fldChar w:fldCharType="end"/>
      </w:r>
    </w:p>
    <w:p w14:paraId="63B668EC">
      <w:pPr>
        <w:rPr>
          <w:rFonts w:ascii="仿宋_GB2312" w:eastAsia="仿宋_GB2312"/>
          <w:sz w:val="30"/>
          <w:szCs w:val="30"/>
        </w:rPr>
      </w:pPr>
    </w:p>
    <w:p w14:paraId="75AB89C3">
      <w:pPr>
        <w:pStyle w:val="10"/>
        <w:jc w:val="both"/>
        <w:rPr>
          <w:rStyle w:val="15"/>
          <w:rFonts w:ascii="仿宋_GB2312" w:eastAsia="仿宋_GB2312"/>
          <w:color w:val="auto"/>
          <w:sz w:val="30"/>
          <w:szCs w:val="30"/>
          <w:u w:val="none"/>
        </w:rPr>
      </w:pPr>
      <w:r>
        <w:fldChar w:fldCharType="begin"/>
      </w:r>
      <w:r>
        <w:instrText xml:space="preserve"> HYPERLINK \l "_Toc47520003" </w:instrText>
      </w:r>
      <w:r>
        <w:fldChar w:fldCharType="separate"/>
      </w:r>
      <w:r>
        <w:rPr>
          <w:rStyle w:val="15"/>
          <w:rFonts w:hint="eastAsia" w:ascii="仿宋_GB2312" w:eastAsia="仿宋_GB2312"/>
          <w:color w:val="auto"/>
          <w:sz w:val="30"/>
          <w:szCs w:val="30"/>
          <w:u w:val="none"/>
        </w:rPr>
        <w:t>一、收入支出决算总表附件</w:t>
      </w:r>
      <w:r>
        <w:rPr>
          <w:rStyle w:val="15"/>
          <w:rFonts w:hint="eastAsia" w:ascii="仿宋_GB2312" w:eastAsia="仿宋_GB2312"/>
          <w:color w:val="auto"/>
          <w:sz w:val="30"/>
          <w:szCs w:val="30"/>
          <w:u w:val="none"/>
        </w:rPr>
        <w:fldChar w:fldCharType="end"/>
      </w:r>
    </w:p>
    <w:p w14:paraId="32A373B5">
      <w:pPr>
        <w:pStyle w:val="10"/>
        <w:jc w:val="both"/>
        <w:rPr>
          <w:rStyle w:val="15"/>
          <w:rFonts w:ascii="仿宋_GB2312" w:eastAsia="仿宋_GB2312"/>
          <w:color w:val="auto"/>
          <w:sz w:val="30"/>
          <w:szCs w:val="30"/>
          <w:u w:val="none"/>
        </w:rPr>
      </w:pPr>
      <w:r>
        <w:fldChar w:fldCharType="begin"/>
      </w:r>
      <w:r>
        <w:instrText xml:space="preserve"> HYPERLINK \l "_Toc47520004" </w:instrText>
      </w:r>
      <w:r>
        <w:fldChar w:fldCharType="separate"/>
      </w:r>
      <w:r>
        <w:rPr>
          <w:rStyle w:val="15"/>
          <w:rFonts w:hint="eastAsia" w:ascii="仿宋_GB2312" w:eastAsia="仿宋_GB2312"/>
          <w:color w:val="auto"/>
          <w:sz w:val="30"/>
          <w:szCs w:val="30"/>
          <w:u w:val="none"/>
        </w:rPr>
        <w:t>二、收入决算表</w:t>
      </w:r>
      <w:r>
        <w:rPr>
          <w:rStyle w:val="15"/>
          <w:rFonts w:hint="eastAsia" w:ascii="仿宋_GB2312" w:eastAsia="仿宋_GB2312"/>
          <w:color w:val="auto"/>
          <w:sz w:val="30"/>
          <w:szCs w:val="30"/>
          <w:u w:val="none"/>
        </w:rPr>
        <w:fldChar w:fldCharType="end"/>
      </w:r>
    </w:p>
    <w:p w14:paraId="3F624F83">
      <w:pPr>
        <w:pStyle w:val="10"/>
        <w:jc w:val="both"/>
        <w:rPr>
          <w:rStyle w:val="15"/>
          <w:rFonts w:ascii="仿宋_GB2312" w:eastAsia="仿宋_GB2312"/>
          <w:color w:val="auto"/>
          <w:sz w:val="30"/>
          <w:szCs w:val="30"/>
          <w:u w:val="none"/>
        </w:rPr>
      </w:pPr>
      <w:r>
        <w:fldChar w:fldCharType="begin"/>
      </w:r>
      <w:r>
        <w:instrText xml:space="preserve"> HYPERLINK \l "_Toc47520005" </w:instrText>
      </w:r>
      <w:r>
        <w:fldChar w:fldCharType="separate"/>
      </w:r>
      <w:r>
        <w:rPr>
          <w:rStyle w:val="15"/>
          <w:rFonts w:hint="eastAsia" w:ascii="仿宋_GB2312" w:eastAsia="仿宋_GB2312"/>
          <w:color w:val="auto"/>
          <w:sz w:val="30"/>
          <w:szCs w:val="30"/>
          <w:u w:val="none"/>
        </w:rPr>
        <w:t>三、支出决算表</w:t>
      </w:r>
      <w:r>
        <w:rPr>
          <w:rStyle w:val="15"/>
          <w:rFonts w:hint="eastAsia" w:ascii="仿宋_GB2312" w:eastAsia="仿宋_GB2312"/>
          <w:color w:val="auto"/>
          <w:sz w:val="30"/>
          <w:szCs w:val="30"/>
          <w:u w:val="none"/>
        </w:rPr>
        <w:fldChar w:fldCharType="end"/>
      </w:r>
    </w:p>
    <w:p w14:paraId="0D0CD5B6">
      <w:pPr>
        <w:pStyle w:val="10"/>
        <w:jc w:val="both"/>
        <w:rPr>
          <w:rFonts w:ascii="仿宋_GB2312" w:eastAsia="仿宋_GB2312"/>
          <w:sz w:val="30"/>
          <w:szCs w:val="30"/>
        </w:rPr>
      </w:pPr>
      <w:r>
        <w:fldChar w:fldCharType="begin"/>
      </w:r>
      <w:r>
        <w:instrText xml:space="preserve"> HYPERLINK \l "_Toc47520006" </w:instrText>
      </w:r>
      <w:r>
        <w:fldChar w:fldCharType="separate"/>
      </w:r>
      <w:r>
        <w:rPr>
          <w:rStyle w:val="15"/>
          <w:rFonts w:hint="eastAsia" w:ascii="仿宋_GB2312" w:eastAsia="仿宋_GB2312"/>
          <w:color w:val="auto"/>
          <w:sz w:val="30"/>
          <w:szCs w:val="30"/>
          <w:u w:val="none"/>
        </w:rPr>
        <w:t>四、财政拨款收入支出决算总表</w:t>
      </w:r>
      <w:r>
        <w:rPr>
          <w:rStyle w:val="15"/>
          <w:rFonts w:hint="eastAsia" w:ascii="仿宋_GB2312" w:eastAsia="仿宋_GB2312"/>
          <w:color w:val="auto"/>
          <w:sz w:val="30"/>
          <w:szCs w:val="30"/>
          <w:u w:val="none"/>
        </w:rPr>
        <w:fldChar w:fldCharType="end"/>
      </w:r>
    </w:p>
    <w:p w14:paraId="3D45A9B8">
      <w:pPr>
        <w:pStyle w:val="10"/>
        <w:jc w:val="both"/>
        <w:rPr>
          <w:rFonts w:ascii="仿宋_GB2312" w:eastAsia="仿宋_GB2312"/>
          <w:sz w:val="30"/>
          <w:szCs w:val="30"/>
        </w:rPr>
      </w:pPr>
      <w:r>
        <w:fldChar w:fldCharType="begin"/>
      </w:r>
      <w:r>
        <w:instrText xml:space="preserve"> HYPERLINK \l "_Toc47520007" </w:instrText>
      </w:r>
      <w:r>
        <w:fldChar w:fldCharType="separate"/>
      </w:r>
      <w:r>
        <w:rPr>
          <w:rStyle w:val="15"/>
          <w:rFonts w:hint="eastAsia" w:ascii="仿宋_GB2312" w:eastAsia="仿宋_GB2312"/>
          <w:color w:val="auto"/>
          <w:sz w:val="30"/>
          <w:szCs w:val="30"/>
          <w:u w:val="none"/>
        </w:rPr>
        <w:t>五、财政拨款支出决算明细表</w:t>
      </w:r>
      <w:r>
        <w:rPr>
          <w:rStyle w:val="15"/>
          <w:rFonts w:hint="eastAsia" w:ascii="仿宋_GB2312" w:eastAsia="仿宋_GB2312"/>
          <w:color w:val="auto"/>
          <w:sz w:val="30"/>
          <w:szCs w:val="30"/>
          <w:u w:val="none"/>
        </w:rPr>
        <w:fldChar w:fldCharType="end"/>
      </w:r>
    </w:p>
    <w:p w14:paraId="43215512">
      <w:pPr>
        <w:pStyle w:val="10"/>
        <w:jc w:val="both"/>
        <w:rPr>
          <w:rFonts w:ascii="仿宋_GB2312" w:eastAsia="仿宋_GB2312"/>
          <w:sz w:val="30"/>
          <w:szCs w:val="30"/>
        </w:rPr>
      </w:pPr>
      <w:r>
        <w:fldChar w:fldCharType="begin"/>
      </w:r>
      <w:r>
        <w:instrText xml:space="preserve"> HYPERLINK \l "_Toc47520007" </w:instrText>
      </w:r>
      <w:r>
        <w:fldChar w:fldCharType="separate"/>
      </w:r>
      <w:r>
        <w:rPr>
          <w:rStyle w:val="15"/>
          <w:rFonts w:hint="eastAsia" w:ascii="仿宋_GB2312" w:eastAsia="仿宋_GB2312"/>
          <w:color w:val="auto"/>
          <w:sz w:val="30"/>
          <w:szCs w:val="30"/>
          <w:u w:val="none"/>
        </w:rPr>
        <w:t>六、一般公共预算财政拨款支出决算表</w:t>
      </w:r>
      <w:r>
        <w:rPr>
          <w:rStyle w:val="15"/>
          <w:rFonts w:hint="eastAsia" w:ascii="仿宋_GB2312" w:eastAsia="仿宋_GB2312"/>
          <w:color w:val="auto"/>
          <w:sz w:val="30"/>
          <w:szCs w:val="30"/>
          <w:u w:val="none"/>
        </w:rPr>
        <w:fldChar w:fldCharType="end"/>
      </w:r>
    </w:p>
    <w:p w14:paraId="11ECC583">
      <w:pPr>
        <w:pStyle w:val="10"/>
        <w:jc w:val="both"/>
        <w:rPr>
          <w:rFonts w:ascii="仿宋_GB2312" w:eastAsia="仿宋_GB2312"/>
          <w:sz w:val="30"/>
          <w:szCs w:val="30"/>
        </w:rPr>
      </w:pPr>
      <w:r>
        <w:fldChar w:fldCharType="begin"/>
      </w:r>
      <w:r>
        <w:instrText xml:space="preserve"> HYPERLINK \l "_Toc47520007" </w:instrText>
      </w:r>
      <w:r>
        <w:fldChar w:fldCharType="separate"/>
      </w:r>
      <w:r>
        <w:rPr>
          <w:rStyle w:val="15"/>
          <w:rFonts w:hint="eastAsia" w:ascii="仿宋_GB2312" w:eastAsia="仿宋_GB2312"/>
          <w:color w:val="auto"/>
          <w:sz w:val="30"/>
          <w:szCs w:val="30"/>
          <w:u w:val="none"/>
        </w:rPr>
        <w:t>七、一般公共预算财政拨款支出决算明细表</w:t>
      </w:r>
      <w:r>
        <w:rPr>
          <w:rStyle w:val="15"/>
          <w:rFonts w:hint="eastAsia" w:ascii="仿宋_GB2312" w:eastAsia="仿宋_GB2312"/>
          <w:color w:val="auto"/>
          <w:sz w:val="30"/>
          <w:szCs w:val="30"/>
          <w:u w:val="none"/>
        </w:rPr>
        <w:fldChar w:fldCharType="end"/>
      </w:r>
    </w:p>
    <w:p w14:paraId="41F0D926">
      <w:pPr>
        <w:pStyle w:val="10"/>
        <w:jc w:val="both"/>
        <w:rPr>
          <w:rFonts w:ascii="仿宋_GB2312" w:eastAsia="仿宋_GB2312"/>
          <w:sz w:val="30"/>
          <w:szCs w:val="30"/>
        </w:rPr>
      </w:pPr>
      <w:r>
        <w:fldChar w:fldCharType="begin"/>
      </w:r>
      <w:r>
        <w:instrText xml:space="preserve"> HYPERLINK \l "_Toc47520008" </w:instrText>
      </w:r>
      <w:r>
        <w:fldChar w:fldCharType="separate"/>
      </w:r>
      <w:r>
        <w:rPr>
          <w:rStyle w:val="15"/>
          <w:rFonts w:hint="eastAsia" w:ascii="仿宋_GB2312" w:eastAsia="仿宋_GB2312"/>
          <w:color w:val="auto"/>
          <w:sz w:val="30"/>
          <w:szCs w:val="30"/>
          <w:u w:val="none"/>
        </w:rPr>
        <w:t>八、一般公共预算财政拨款基本支出决算表</w:t>
      </w:r>
      <w:r>
        <w:rPr>
          <w:rStyle w:val="15"/>
          <w:rFonts w:hint="eastAsia" w:ascii="仿宋_GB2312" w:eastAsia="仿宋_GB2312"/>
          <w:color w:val="auto"/>
          <w:sz w:val="30"/>
          <w:szCs w:val="30"/>
          <w:u w:val="none"/>
        </w:rPr>
        <w:fldChar w:fldCharType="end"/>
      </w:r>
    </w:p>
    <w:p w14:paraId="6DAF7600">
      <w:pPr>
        <w:pStyle w:val="10"/>
        <w:jc w:val="both"/>
        <w:rPr>
          <w:rFonts w:ascii="仿宋_GB2312" w:eastAsia="仿宋_GB2312"/>
          <w:sz w:val="30"/>
          <w:szCs w:val="30"/>
        </w:rPr>
      </w:pPr>
      <w:r>
        <w:fldChar w:fldCharType="begin"/>
      </w:r>
      <w:r>
        <w:instrText xml:space="preserve"> HYPERLINK \l "_Toc47520008" </w:instrText>
      </w:r>
      <w:r>
        <w:fldChar w:fldCharType="separate"/>
      </w:r>
      <w:r>
        <w:rPr>
          <w:rStyle w:val="15"/>
          <w:rFonts w:hint="eastAsia" w:ascii="仿宋_GB2312" w:eastAsia="仿宋_GB2312"/>
          <w:color w:val="auto"/>
          <w:sz w:val="30"/>
          <w:szCs w:val="30"/>
          <w:u w:val="none"/>
        </w:rPr>
        <w:t>九、一般公共预算财政拨款项目支出决算表</w:t>
      </w:r>
      <w:r>
        <w:rPr>
          <w:rStyle w:val="15"/>
          <w:rFonts w:hint="eastAsia" w:ascii="仿宋_GB2312" w:eastAsia="仿宋_GB2312"/>
          <w:color w:val="auto"/>
          <w:sz w:val="30"/>
          <w:szCs w:val="30"/>
          <w:u w:val="none"/>
        </w:rPr>
        <w:fldChar w:fldCharType="end"/>
      </w:r>
    </w:p>
    <w:p w14:paraId="15C184F4">
      <w:pPr>
        <w:pStyle w:val="10"/>
        <w:jc w:val="both"/>
        <w:rPr>
          <w:rStyle w:val="15"/>
          <w:rFonts w:ascii="仿宋_GB2312" w:eastAsia="仿宋_GB2312"/>
          <w:color w:val="auto"/>
          <w:sz w:val="30"/>
          <w:szCs w:val="30"/>
          <w:u w:val="none"/>
        </w:rPr>
      </w:pPr>
      <w:r>
        <w:fldChar w:fldCharType="begin"/>
      </w:r>
      <w:r>
        <w:instrText xml:space="preserve"> HYPERLINK \l "_Toc47520009" </w:instrText>
      </w:r>
      <w:r>
        <w:fldChar w:fldCharType="separate"/>
      </w:r>
      <w:r>
        <w:rPr>
          <w:rStyle w:val="15"/>
          <w:rFonts w:hint="eastAsia" w:ascii="仿宋_GB2312" w:eastAsia="仿宋_GB2312"/>
          <w:color w:val="auto"/>
          <w:sz w:val="30"/>
          <w:szCs w:val="30"/>
          <w:u w:val="none"/>
        </w:rPr>
        <w:t>十、一般公共预算财政拨款“三公”经费支出决算表</w:t>
      </w:r>
      <w:r>
        <w:rPr>
          <w:rStyle w:val="15"/>
          <w:rFonts w:hint="eastAsia" w:ascii="仿宋_GB2312" w:eastAsia="仿宋_GB2312"/>
          <w:color w:val="auto"/>
          <w:sz w:val="30"/>
          <w:szCs w:val="30"/>
          <w:u w:val="none"/>
        </w:rPr>
        <w:fldChar w:fldCharType="end"/>
      </w:r>
    </w:p>
    <w:p w14:paraId="227D9C75">
      <w:pPr>
        <w:pStyle w:val="10"/>
        <w:jc w:val="both"/>
        <w:rPr>
          <w:rFonts w:ascii="仿宋_GB2312" w:eastAsia="仿宋_GB2312"/>
          <w:sz w:val="30"/>
          <w:szCs w:val="30"/>
        </w:rPr>
      </w:pPr>
      <w:r>
        <w:fldChar w:fldCharType="begin"/>
      </w:r>
      <w:r>
        <w:instrText xml:space="preserve"> HYPERLINK \l "_Toc47520010" </w:instrText>
      </w:r>
      <w:r>
        <w:fldChar w:fldCharType="separate"/>
      </w:r>
      <w:r>
        <w:rPr>
          <w:rStyle w:val="15"/>
          <w:rFonts w:hint="eastAsia" w:ascii="仿宋_GB2312" w:eastAsia="仿宋_GB2312"/>
          <w:color w:val="auto"/>
          <w:sz w:val="30"/>
          <w:szCs w:val="30"/>
          <w:u w:val="none"/>
        </w:rPr>
        <w:t>十一、政府性基金预算财政拨款收入支出决算表</w:t>
      </w:r>
      <w:r>
        <w:rPr>
          <w:rStyle w:val="15"/>
          <w:rFonts w:hint="eastAsia" w:ascii="仿宋_GB2312" w:eastAsia="仿宋_GB2312"/>
          <w:color w:val="auto"/>
          <w:sz w:val="30"/>
          <w:szCs w:val="30"/>
          <w:u w:val="none"/>
        </w:rPr>
        <w:fldChar w:fldCharType="end"/>
      </w:r>
    </w:p>
    <w:p w14:paraId="5D36FED5">
      <w:pPr>
        <w:pStyle w:val="10"/>
        <w:jc w:val="both"/>
        <w:rPr>
          <w:rFonts w:ascii="仿宋_GB2312" w:eastAsia="仿宋_GB2312"/>
          <w:sz w:val="30"/>
          <w:szCs w:val="30"/>
        </w:rPr>
      </w:pPr>
      <w:r>
        <w:fldChar w:fldCharType="begin"/>
      </w:r>
      <w:r>
        <w:instrText xml:space="preserve"> HYPERLINK \l "_Toc47520009" </w:instrText>
      </w:r>
      <w:r>
        <w:fldChar w:fldCharType="separate"/>
      </w:r>
      <w:r>
        <w:rPr>
          <w:rStyle w:val="15"/>
          <w:rFonts w:hint="eastAsia" w:ascii="仿宋_GB2312" w:eastAsia="仿宋_GB2312"/>
          <w:color w:val="auto"/>
          <w:sz w:val="30"/>
          <w:szCs w:val="30"/>
          <w:u w:val="none"/>
        </w:rPr>
        <w:t>十二、政府性基金预算财政拨款“三公”经费支出决算表</w:t>
      </w:r>
      <w:r>
        <w:rPr>
          <w:rStyle w:val="15"/>
          <w:rFonts w:hint="eastAsia" w:ascii="仿宋_GB2312" w:eastAsia="仿宋_GB2312"/>
          <w:color w:val="auto"/>
          <w:sz w:val="30"/>
          <w:szCs w:val="30"/>
          <w:u w:val="none"/>
        </w:rPr>
        <w:fldChar w:fldCharType="end"/>
      </w:r>
    </w:p>
    <w:p w14:paraId="1CA4F42C">
      <w:pPr>
        <w:pStyle w:val="10"/>
        <w:jc w:val="both"/>
        <w:rPr>
          <w:rFonts w:ascii="仿宋_GB2312" w:eastAsia="仿宋_GB2312"/>
          <w:sz w:val="30"/>
          <w:szCs w:val="30"/>
        </w:rPr>
      </w:pPr>
      <w:r>
        <w:fldChar w:fldCharType="begin"/>
      </w:r>
      <w:r>
        <w:instrText xml:space="preserve"> HYPERLINK \l "_Toc47520009" </w:instrText>
      </w:r>
      <w:r>
        <w:fldChar w:fldCharType="separate"/>
      </w:r>
      <w:r>
        <w:rPr>
          <w:rStyle w:val="15"/>
          <w:rFonts w:hint="eastAsia" w:ascii="仿宋_GB2312" w:eastAsia="仿宋_GB2312"/>
          <w:color w:val="auto"/>
          <w:sz w:val="30"/>
          <w:szCs w:val="30"/>
          <w:u w:val="none"/>
        </w:rPr>
        <w:t>十三、国有资本经营预算财政拨款收入支出决算表</w:t>
      </w:r>
      <w:r>
        <w:rPr>
          <w:rStyle w:val="15"/>
          <w:rFonts w:hint="eastAsia" w:ascii="仿宋_GB2312" w:eastAsia="仿宋_GB2312"/>
          <w:color w:val="auto"/>
          <w:sz w:val="30"/>
          <w:szCs w:val="30"/>
          <w:u w:val="none"/>
        </w:rPr>
        <w:fldChar w:fldCharType="end"/>
      </w:r>
    </w:p>
    <w:p w14:paraId="0ABCA10A">
      <w:pPr>
        <w:pStyle w:val="10"/>
        <w:jc w:val="both"/>
        <w:rPr>
          <w:rFonts w:ascii="仿宋_GB2312" w:eastAsia="仿宋_GB2312"/>
          <w:sz w:val="30"/>
          <w:szCs w:val="30"/>
        </w:rPr>
      </w:pPr>
      <w:r>
        <w:fldChar w:fldCharType="begin"/>
      </w:r>
      <w:r>
        <w:instrText xml:space="preserve"> HYPERLINK \l "_Toc47520009" </w:instrText>
      </w:r>
      <w:r>
        <w:fldChar w:fldCharType="separate"/>
      </w:r>
      <w:r>
        <w:rPr>
          <w:rStyle w:val="15"/>
          <w:rFonts w:hint="eastAsia" w:ascii="仿宋_GB2312" w:eastAsia="仿宋_GB2312"/>
          <w:color w:val="auto"/>
          <w:sz w:val="30"/>
          <w:szCs w:val="30"/>
          <w:u w:val="none"/>
        </w:rPr>
        <w:t>十四、国有资本经营预算财政拨款支出决算表</w:t>
      </w:r>
      <w:r>
        <w:rPr>
          <w:rStyle w:val="15"/>
          <w:rFonts w:hint="eastAsia" w:ascii="仿宋_GB2312" w:eastAsia="仿宋_GB2312"/>
          <w:color w:val="auto"/>
          <w:sz w:val="30"/>
          <w:szCs w:val="30"/>
          <w:u w:val="none"/>
        </w:rPr>
        <w:fldChar w:fldCharType="end"/>
      </w:r>
    </w:p>
    <w:p w14:paraId="4901F164">
      <w:pPr>
        <w:adjustRightInd w:val="0"/>
        <w:snapToGrid w:val="0"/>
        <w:spacing w:line="560" w:lineRule="exact"/>
        <w:rPr>
          <w:rFonts w:ascii="仿宋_GB2312" w:eastAsia="仿宋_GB2312"/>
          <w:color w:val="000000"/>
          <w:sz w:val="30"/>
          <w:szCs w:val="30"/>
        </w:rPr>
      </w:pPr>
      <w:r>
        <w:fldChar w:fldCharType="begin"/>
      </w:r>
      <w:r>
        <w:instrText xml:space="preserve"> HYPERLINK \l "_Toc47520009" </w:instrText>
      </w:r>
      <w:r>
        <w:fldChar w:fldCharType="separate"/>
      </w:r>
      <w:r>
        <w:rPr>
          <w:rStyle w:val="15"/>
          <w:rFonts w:hint="eastAsia" w:ascii="仿宋_GB2312" w:eastAsia="仿宋_GB2312"/>
          <w:color w:val="auto"/>
          <w:sz w:val="30"/>
          <w:szCs w:val="30"/>
          <w:u w:val="none"/>
        </w:rPr>
        <w:t>十五、</w:t>
      </w:r>
      <w:r>
        <w:rPr>
          <w:rFonts w:hint="eastAsia" w:ascii="仿宋_GB2312" w:hAnsi="黑体" w:eastAsia="仿宋_GB2312"/>
          <w:bCs/>
          <w:kern w:val="44"/>
          <w:sz w:val="30"/>
          <w:szCs w:val="30"/>
        </w:rPr>
        <w:t>机关运行经费、资产占用情况及政府采购支出信息表</w:t>
      </w:r>
      <w:r>
        <w:rPr>
          <w:rStyle w:val="15"/>
          <w:rFonts w:hint="eastAsia" w:ascii="仿宋_GB2312" w:eastAsia="仿宋_GB2312"/>
          <w:color w:val="auto"/>
          <w:sz w:val="30"/>
          <w:szCs w:val="30"/>
          <w:u w:val="none"/>
        </w:rPr>
        <w:tab/>
      </w:r>
      <w:r>
        <w:rPr>
          <w:rStyle w:val="15"/>
          <w:rFonts w:hint="eastAsia" w:ascii="仿宋_GB2312" w:eastAsia="仿宋_GB2312"/>
          <w:color w:val="auto"/>
          <w:sz w:val="30"/>
          <w:szCs w:val="30"/>
          <w:u w:val="none"/>
        </w:rPr>
        <w:t xml:space="preserve">                 </w:t>
      </w:r>
      <w:r>
        <w:rPr>
          <w:rStyle w:val="15"/>
          <w:rFonts w:hint="eastAsia" w:ascii="仿宋_GB2312" w:eastAsia="仿宋_GB2312"/>
          <w:color w:val="auto"/>
          <w:sz w:val="30"/>
          <w:szCs w:val="30"/>
          <w:u w:val="none"/>
        </w:rPr>
        <w:fldChar w:fldCharType="end"/>
      </w:r>
    </w:p>
    <w:p w14:paraId="182D6CCE">
      <w:pPr>
        <w:widowControl/>
        <w:jc w:val="left"/>
        <w:rPr>
          <w:rFonts w:ascii="仿宋_GB2312" w:hAnsi="黑体" w:eastAsia="仿宋_GB2312"/>
          <w:bCs/>
          <w:kern w:val="44"/>
          <w:sz w:val="28"/>
          <w:szCs w:val="28"/>
        </w:rPr>
      </w:pPr>
      <w:bookmarkStart w:id="7" w:name="_Toc15377196"/>
      <w:bookmarkStart w:id="8" w:name="_Toc15396599"/>
    </w:p>
    <w:p w14:paraId="0EF5403E">
      <w:pPr>
        <w:widowControl/>
        <w:jc w:val="left"/>
        <w:rPr>
          <w:rFonts w:ascii="黑体" w:hAnsi="黑体" w:eastAsia="黑体"/>
          <w:bCs/>
          <w:kern w:val="44"/>
          <w:sz w:val="44"/>
          <w:szCs w:val="44"/>
        </w:rPr>
      </w:pPr>
    </w:p>
    <w:p w14:paraId="31B9C48A">
      <w:pPr>
        <w:pStyle w:val="2"/>
        <w:adjustRightInd w:val="0"/>
        <w:snapToGrid w:val="0"/>
        <w:spacing w:before="0" w:after="0" w:line="560" w:lineRule="exact"/>
        <w:ind w:firstLine="880" w:firstLineChars="200"/>
        <w:jc w:val="center"/>
        <w:rPr>
          <w:rStyle w:val="16"/>
          <w:rFonts w:ascii="方正小标宋简体" w:hAnsi="方正小标宋简体" w:eastAsia="方正小标宋简体" w:cs="方正小标宋简体"/>
          <w:b/>
          <w:bCs w:val="0"/>
        </w:rPr>
      </w:pPr>
      <w:r>
        <w:rPr>
          <w:rFonts w:hint="eastAsia" w:ascii="方正小标宋简体" w:hAnsi="方正小标宋简体" w:eastAsia="方正小标宋简体" w:cs="方正小标宋简体"/>
          <w:b w:val="0"/>
        </w:rPr>
        <w:t xml:space="preserve">第一部分  </w:t>
      </w:r>
      <w:r>
        <w:rPr>
          <w:rStyle w:val="16"/>
          <w:rFonts w:hint="eastAsia" w:ascii="方正小标宋简体" w:hAnsi="方正小标宋简体" w:eastAsia="方正小标宋简体" w:cs="方正小标宋简体"/>
          <w:b w:val="0"/>
          <w:bCs w:val="0"/>
        </w:rPr>
        <w:t>部门概况</w:t>
      </w:r>
      <w:bookmarkEnd w:id="7"/>
      <w:bookmarkEnd w:id="8"/>
    </w:p>
    <w:p w14:paraId="55469DCA">
      <w:pPr>
        <w:pStyle w:val="3"/>
        <w:adjustRightInd w:val="0"/>
        <w:snapToGrid w:val="0"/>
        <w:spacing w:before="0" w:after="0" w:line="560" w:lineRule="exact"/>
        <w:ind w:firstLine="640" w:firstLineChars="200"/>
        <w:rPr>
          <w:rFonts w:ascii="Times New Roman" w:hAnsi="Times New Roman" w:eastAsia="仿宋_GB2312"/>
          <w:b w:val="0"/>
          <w:color w:val="000000"/>
        </w:rPr>
      </w:pPr>
      <w:bookmarkStart w:id="9" w:name="_Toc15377197"/>
      <w:bookmarkStart w:id="10" w:name="_Toc15396600"/>
    </w:p>
    <w:p w14:paraId="28CFE80B">
      <w:pPr>
        <w:pStyle w:val="3"/>
        <w:adjustRightInd w:val="0"/>
        <w:snapToGrid w:val="0"/>
        <w:spacing w:before="0" w:after="0" w:line="560" w:lineRule="exact"/>
        <w:ind w:firstLine="640" w:firstLineChars="200"/>
        <w:rPr>
          <w:rStyle w:val="17"/>
          <w:rFonts w:ascii="黑体" w:hAnsi="黑体" w:eastAsia="黑体" w:cs="黑体"/>
          <w:b w:val="0"/>
          <w:bCs w:val="0"/>
        </w:rPr>
      </w:pPr>
      <w:r>
        <w:rPr>
          <w:rFonts w:hint="eastAsia" w:ascii="黑体" w:hAnsi="黑体" w:eastAsia="黑体" w:cs="黑体"/>
          <w:b w:val="0"/>
          <w:color w:val="000000"/>
        </w:rPr>
        <w:t>一、基</w:t>
      </w:r>
      <w:r>
        <w:rPr>
          <w:rStyle w:val="17"/>
          <w:rFonts w:hint="eastAsia" w:ascii="黑体" w:hAnsi="黑体" w:eastAsia="黑体" w:cs="黑体"/>
          <w:b w:val="0"/>
          <w:bCs w:val="0"/>
        </w:rPr>
        <w:t>本职能及主要工作</w:t>
      </w:r>
      <w:bookmarkEnd w:id="9"/>
      <w:bookmarkEnd w:id="10"/>
    </w:p>
    <w:p w14:paraId="13FC1902">
      <w:pPr>
        <w:adjustRightInd w:val="0"/>
        <w:snapToGrid w:val="0"/>
        <w:spacing w:line="560" w:lineRule="exact"/>
        <w:ind w:firstLine="643" w:firstLineChars="200"/>
        <w:outlineLvl w:val="1"/>
        <w:rPr>
          <w:rStyle w:val="17"/>
          <w:rFonts w:ascii="楷体" w:hAnsi="楷体" w:eastAsia="楷体" w:cs="楷体"/>
          <w:bCs w:val="0"/>
        </w:rPr>
      </w:pPr>
      <w:bookmarkStart w:id="11" w:name="_Toc15378445"/>
      <w:bookmarkStart w:id="12" w:name="_Toc15377198"/>
      <w:r>
        <w:rPr>
          <w:rStyle w:val="17"/>
          <w:rFonts w:hint="eastAsia" w:ascii="楷体" w:hAnsi="楷体" w:eastAsia="楷体" w:cs="楷体"/>
          <w:bCs w:val="0"/>
        </w:rPr>
        <w:t>（一）</w:t>
      </w:r>
      <w:bookmarkEnd w:id="11"/>
      <w:bookmarkEnd w:id="12"/>
      <w:r>
        <w:rPr>
          <w:rStyle w:val="17"/>
          <w:rFonts w:hint="eastAsia" w:ascii="楷体" w:hAnsi="楷体" w:eastAsia="楷体" w:cs="楷体"/>
          <w:bCs w:val="0"/>
        </w:rPr>
        <w:t>基本职能。</w:t>
      </w:r>
    </w:p>
    <w:p w14:paraId="185A9054">
      <w:pPr>
        <w:pStyle w:val="5"/>
        <w:adjustRightInd w:val="0"/>
        <w:snapToGrid w:val="0"/>
        <w:spacing w:beforeLines="0" w:line="560" w:lineRule="exact"/>
        <w:ind w:firstLine="640" w:firstLineChars="200"/>
        <w:outlineLvl w:val="2"/>
        <w:rPr>
          <w:rFonts w:ascii="Times New Roman"/>
          <w:sz w:val="32"/>
          <w:szCs w:val="32"/>
        </w:rPr>
      </w:pPr>
      <w:r>
        <w:rPr>
          <w:rFonts w:hint="eastAsia" w:ascii="Times New Roman"/>
          <w:sz w:val="32"/>
          <w:szCs w:val="32"/>
        </w:rPr>
        <w:t>1.组织拟订全县政务服务、行政审批制度改革发展规划、政策和措施并组织、指导实施。</w:t>
      </w:r>
    </w:p>
    <w:p w14:paraId="1419DBB4">
      <w:pPr>
        <w:pStyle w:val="5"/>
        <w:adjustRightInd w:val="0"/>
        <w:snapToGrid w:val="0"/>
        <w:spacing w:beforeLines="0" w:line="560" w:lineRule="exact"/>
        <w:ind w:firstLine="640" w:firstLineChars="200"/>
        <w:outlineLvl w:val="2"/>
        <w:rPr>
          <w:rFonts w:ascii="Times New Roman"/>
          <w:sz w:val="32"/>
          <w:szCs w:val="32"/>
        </w:rPr>
      </w:pPr>
      <w:r>
        <w:rPr>
          <w:rFonts w:hint="eastAsia" w:ascii="Times New Roman"/>
          <w:sz w:val="32"/>
          <w:szCs w:val="32"/>
        </w:rPr>
        <w:t>2.负责政务服务管理工作。指导、协调并推进全县政务服务体系建设。指导、协调和监督县级部门（单位）政务服务工作。指导、监督四川省一体化政务服务平台米易站点等网络平台建设和运行工作。对乡镇便民服务机构进行业务指导。</w:t>
      </w:r>
    </w:p>
    <w:p w14:paraId="10E7DB7A">
      <w:pPr>
        <w:pStyle w:val="5"/>
        <w:adjustRightInd w:val="0"/>
        <w:snapToGrid w:val="0"/>
        <w:spacing w:beforeLines="0" w:line="560" w:lineRule="exact"/>
        <w:ind w:firstLine="640" w:firstLineChars="200"/>
        <w:outlineLvl w:val="2"/>
        <w:rPr>
          <w:rFonts w:ascii="Times New Roman"/>
          <w:sz w:val="32"/>
          <w:szCs w:val="32"/>
        </w:rPr>
      </w:pPr>
      <w:r>
        <w:rPr>
          <w:rFonts w:hint="eastAsia" w:ascii="Times New Roman"/>
          <w:sz w:val="32"/>
          <w:szCs w:val="32"/>
        </w:rPr>
        <w:t>3.负责指导、协调、监督并推进全县深化行政审批制度改革工作。</w:t>
      </w:r>
    </w:p>
    <w:p w14:paraId="6E34EEF2">
      <w:pPr>
        <w:pStyle w:val="5"/>
        <w:adjustRightInd w:val="0"/>
        <w:snapToGrid w:val="0"/>
        <w:spacing w:beforeLines="0" w:line="560" w:lineRule="exact"/>
        <w:ind w:firstLine="640" w:firstLineChars="200"/>
        <w:outlineLvl w:val="2"/>
        <w:rPr>
          <w:rFonts w:ascii="Times New Roman"/>
          <w:sz w:val="32"/>
          <w:szCs w:val="32"/>
        </w:rPr>
      </w:pPr>
      <w:r>
        <w:rPr>
          <w:rFonts w:hint="eastAsia" w:ascii="Times New Roman"/>
          <w:sz w:val="32"/>
          <w:szCs w:val="32"/>
        </w:rPr>
        <w:t>4.牵头负责公共资源交易服务管理工作。</w:t>
      </w:r>
    </w:p>
    <w:p w14:paraId="59C968DF">
      <w:pPr>
        <w:pStyle w:val="5"/>
        <w:adjustRightInd w:val="0"/>
        <w:snapToGrid w:val="0"/>
        <w:spacing w:beforeLines="0" w:line="560" w:lineRule="exact"/>
        <w:ind w:firstLine="640" w:firstLineChars="200"/>
        <w:outlineLvl w:val="2"/>
        <w:rPr>
          <w:rFonts w:ascii="Times New Roman"/>
          <w:sz w:val="32"/>
          <w:szCs w:val="32"/>
        </w:rPr>
      </w:pPr>
      <w:r>
        <w:rPr>
          <w:rFonts w:hint="eastAsia" w:ascii="Times New Roman"/>
          <w:sz w:val="32"/>
          <w:szCs w:val="32"/>
        </w:rPr>
        <w:t>5.指导、协调、监督、考核进驻部门（单位）的政务服务工作，审核进驻政务服务事项，对部门（单位）独立设置的办事大厅进行业务指导和监督。</w:t>
      </w:r>
    </w:p>
    <w:p w14:paraId="2AF1C2B1">
      <w:pPr>
        <w:pStyle w:val="5"/>
        <w:adjustRightInd w:val="0"/>
        <w:snapToGrid w:val="0"/>
        <w:spacing w:beforeLines="0" w:line="560" w:lineRule="exact"/>
        <w:ind w:firstLine="640" w:firstLineChars="200"/>
        <w:outlineLvl w:val="2"/>
        <w:rPr>
          <w:rFonts w:ascii="Times New Roman"/>
          <w:sz w:val="32"/>
          <w:szCs w:val="32"/>
        </w:rPr>
      </w:pPr>
      <w:r>
        <w:rPr>
          <w:rFonts w:hint="eastAsia" w:ascii="Times New Roman"/>
          <w:sz w:val="32"/>
          <w:szCs w:val="32"/>
        </w:rPr>
        <w:t>6.按照省、市、县部署和要求，推进相对集中行政许可权改革，规范行政审批行为。</w:t>
      </w:r>
    </w:p>
    <w:p w14:paraId="45103A9A">
      <w:pPr>
        <w:pStyle w:val="5"/>
        <w:adjustRightInd w:val="0"/>
        <w:snapToGrid w:val="0"/>
        <w:spacing w:beforeLines="0" w:line="560" w:lineRule="exact"/>
        <w:ind w:firstLine="640" w:firstLineChars="200"/>
        <w:outlineLvl w:val="2"/>
        <w:rPr>
          <w:rFonts w:ascii="Times New Roman"/>
          <w:sz w:val="32"/>
          <w:szCs w:val="32"/>
        </w:rPr>
      </w:pPr>
      <w:r>
        <w:rPr>
          <w:rFonts w:hint="eastAsia" w:ascii="Times New Roman"/>
          <w:sz w:val="32"/>
          <w:szCs w:val="32"/>
        </w:rPr>
        <w:t>7.负责职责范围的安全生产和职业健康、生态环境保护、审批服务便民化等工作。</w:t>
      </w:r>
    </w:p>
    <w:p w14:paraId="2C884ECE">
      <w:pPr>
        <w:pStyle w:val="5"/>
        <w:tabs>
          <w:tab w:val="left" w:pos="6713"/>
        </w:tabs>
        <w:adjustRightInd w:val="0"/>
        <w:snapToGrid w:val="0"/>
        <w:spacing w:beforeLines="0" w:line="560" w:lineRule="exact"/>
        <w:ind w:firstLine="640" w:firstLineChars="200"/>
        <w:outlineLvl w:val="2"/>
        <w:rPr>
          <w:rFonts w:ascii="Times New Roman"/>
          <w:bCs/>
          <w:color w:val="000000"/>
          <w:sz w:val="32"/>
          <w:szCs w:val="32"/>
        </w:rPr>
      </w:pPr>
      <w:r>
        <w:rPr>
          <w:rFonts w:hint="eastAsia" w:ascii="Times New Roman"/>
          <w:sz w:val="32"/>
          <w:szCs w:val="32"/>
        </w:rPr>
        <w:t>8.完成县委、县政府交办的其他任务。</w:t>
      </w:r>
      <w:r>
        <w:rPr>
          <w:rFonts w:ascii="Times New Roman"/>
          <w:sz w:val="32"/>
          <w:szCs w:val="32"/>
        </w:rPr>
        <w:tab/>
      </w:r>
    </w:p>
    <w:p w14:paraId="0DA099BE">
      <w:pPr>
        <w:adjustRightInd w:val="0"/>
        <w:snapToGrid w:val="0"/>
        <w:spacing w:line="560" w:lineRule="exact"/>
        <w:ind w:firstLine="643" w:firstLineChars="200"/>
        <w:outlineLvl w:val="1"/>
        <w:rPr>
          <w:rStyle w:val="17"/>
          <w:rFonts w:ascii="楷体" w:hAnsi="楷体" w:eastAsia="楷体" w:cs="楷体"/>
          <w:bCs w:val="0"/>
        </w:rPr>
      </w:pPr>
      <w:bookmarkStart w:id="13" w:name="_Toc15378446"/>
      <w:bookmarkStart w:id="14" w:name="_Toc15377199"/>
      <w:r>
        <w:rPr>
          <w:rStyle w:val="17"/>
          <w:rFonts w:hint="eastAsia" w:ascii="楷体" w:hAnsi="楷体" w:eastAsia="楷体" w:cs="楷体"/>
          <w:bCs w:val="0"/>
        </w:rPr>
        <w:t>（二）2020年重点工作完成情况。</w:t>
      </w:r>
      <w:bookmarkEnd w:id="13"/>
      <w:bookmarkEnd w:id="14"/>
    </w:p>
    <w:p w14:paraId="57F6A986">
      <w:pPr>
        <w:adjustRightInd w:val="0"/>
        <w:snapToGrid w:val="0"/>
        <w:spacing w:line="576" w:lineRule="exact"/>
        <w:ind w:firstLine="643" w:firstLineChars="200"/>
        <w:rPr>
          <w:rFonts w:ascii="仿宋_GB2312" w:eastAsia="仿宋_GB2312"/>
          <w:b/>
          <w:sz w:val="32"/>
          <w:szCs w:val="32"/>
        </w:rPr>
      </w:pPr>
      <w:r>
        <w:rPr>
          <w:rFonts w:hint="eastAsia" w:ascii="仿宋_GB2312" w:eastAsia="仿宋_GB2312"/>
          <w:b/>
          <w:sz w:val="32"/>
          <w:szCs w:val="32"/>
        </w:rPr>
        <w:t>1.重点工作完成情况</w:t>
      </w:r>
    </w:p>
    <w:p w14:paraId="39D72D65">
      <w:pPr>
        <w:adjustRightInd w:val="0"/>
        <w:snapToGrid w:val="0"/>
        <w:spacing w:line="576" w:lineRule="exact"/>
        <w:ind w:firstLine="643" w:firstLineChars="200"/>
        <w:rPr>
          <w:rFonts w:ascii="仿宋_GB2312" w:eastAsia="仿宋_GB2312"/>
          <w:sz w:val="32"/>
          <w:szCs w:val="32"/>
        </w:rPr>
      </w:pPr>
      <w:r>
        <w:rPr>
          <w:rFonts w:hint="eastAsia" w:ascii="仿宋_GB2312" w:eastAsia="仿宋_GB2312"/>
          <w:b/>
          <w:sz w:val="32"/>
          <w:szCs w:val="32"/>
        </w:rPr>
        <w:t>（1）规范运行一体化平台。</w:t>
      </w:r>
      <w:r>
        <w:rPr>
          <w:rFonts w:hint="eastAsia" w:ascii="仿宋_GB2312" w:eastAsia="仿宋_GB2312"/>
          <w:sz w:val="32"/>
          <w:szCs w:val="32"/>
        </w:rPr>
        <w:t>根据机构改革和政务服务事项取消、调整和下放情况，动态调整一体化平台权力清单，完善政务服务事项办事指南。组织县级部门进行一体化平台（3.0版）事项管理系统事项认领，并对认领事项进行编辑、上报、审核。安排专人每天查看一体化平台，督促落实按时办结制，规范了一体化平台运行。今年以来，11个乡镇共接受申请93940件，受理93940件，办结93940件，按时办结率100%；31个县级部门共接受申请111327件，受理111327件，办结111327件，按时办结率100%，其中线上11246件，线下100081件。</w:t>
      </w:r>
    </w:p>
    <w:p w14:paraId="1083A935">
      <w:pPr>
        <w:adjustRightInd w:val="0"/>
        <w:snapToGrid w:val="0"/>
        <w:spacing w:line="576" w:lineRule="exact"/>
        <w:ind w:firstLine="643" w:firstLineChars="200"/>
        <w:rPr>
          <w:rFonts w:ascii="仿宋_GB2312" w:eastAsia="仿宋_GB2312"/>
          <w:sz w:val="32"/>
          <w:szCs w:val="32"/>
        </w:rPr>
      </w:pPr>
      <w:r>
        <w:rPr>
          <w:rFonts w:hint="eastAsia" w:ascii="仿宋_GB2312" w:eastAsia="仿宋_GB2312"/>
          <w:b/>
          <w:sz w:val="32"/>
          <w:szCs w:val="32"/>
        </w:rPr>
        <w:t>（2）深化“最多跑一次”改革。</w:t>
      </w:r>
      <w:r>
        <w:rPr>
          <w:rFonts w:hint="eastAsia" w:ascii="仿宋_GB2312" w:eastAsia="仿宋_GB2312"/>
          <w:sz w:val="32"/>
          <w:szCs w:val="32"/>
        </w:rPr>
        <w:t>利用网上办事平台、邮政收送件、自助取件等渠道，深化“最多跑一次”改革，进一步压减审批承诺时限，缩减跑路次数。今年以来，已实现行政许可承诺提速70%，依申请类政务服务事项100%可网上办理，100%“最多跑一次”。</w:t>
      </w:r>
    </w:p>
    <w:p w14:paraId="7799D877">
      <w:pPr>
        <w:adjustRightInd w:val="0"/>
        <w:snapToGrid w:val="0"/>
        <w:spacing w:line="576" w:lineRule="exact"/>
        <w:ind w:firstLine="643" w:firstLineChars="200"/>
        <w:rPr>
          <w:rFonts w:ascii="仿宋_GB2312" w:eastAsia="仿宋_GB2312"/>
          <w:sz w:val="32"/>
          <w:szCs w:val="32"/>
        </w:rPr>
      </w:pPr>
      <w:r>
        <w:rPr>
          <w:rFonts w:hint="eastAsia" w:ascii="仿宋_GB2312" w:eastAsia="仿宋_GB2312"/>
          <w:b/>
          <w:sz w:val="32"/>
          <w:szCs w:val="32"/>
        </w:rPr>
        <w:t>（3）推进工程建设项目审批制度改革。</w:t>
      </w:r>
      <w:r>
        <w:rPr>
          <w:rFonts w:hint="eastAsia" w:ascii="仿宋_GB2312" w:eastAsia="仿宋_GB2312"/>
          <w:sz w:val="32"/>
          <w:szCs w:val="32"/>
        </w:rPr>
        <w:t>承接市级下放相关审批权限，规范审批事项，精简审批环节，分类制定审批流程，合理划分审批阶段，规范制定各阶段的办事指南和申报表格，设立工程建设项目审批综合服务窗口，全面实行线上申报。今年以来，已将工程建设项目从立项到竣工验收审批时间压缩至90个工作日以内。</w:t>
      </w:r>
    </w:p>
    <w:p w14:paraId="5688E696">
      <w:pPr>
        <w:adjustRightInd w:val="0"/>
        <w:snapToGrid w:val="0"/>
        <w:spacing w:line="576" w:lineRule="exact"/>
        <w:ind w:firstLine="643" w:firstLineChars="200"/>
        <w:rPr>
          <w:rFonts w:ascii="仿宋_GB2312" w:eastAsia="仿宋_GB2312"/>
          <w:sz w:val="32"/>
          <w:szCs w:val="32"/>
        </w:rPr>
      </w:pPr>
      <w:r>
        <w:rPr>
          <w:rFonts w:hint="eastAsia" w:ascii="仿宋_GB2312" w:eastAsia="仿宋_GB2312"/>
          <w:b/>
          <w:sz w:val="32"/>
          <w:szCs w:val="32"/>
        </w:rPr>
        <w:t>（4）实行容缺受理和告知承诺制审批。</w:t>
      </w:r>
      <w:r>
        <w:rPr>
          <w:rFonts w:hint="eastAsia" w:ascii="仿宋_GB2312" w:eastAsia="仿宋_GB2312"/>
          <w:sz w:val="32"/>
          <w:szCs w:val="32"/>
        </w:rPr>
        <w:t>做实容缺受理制和告知承诺制，既能“容缺材料”，又能“承诺即办”，最大限度缩短审批期限，为企业群众办事提供更多便利。今年以来，已为企业群众提供容缺受理服务348次，告知承诺服务216次。</w:t>
      </w:r>
    </w:p>
    <w:p w14:paraId="420C269B">
      <w:pPr>
        <w:adjustRightInd w:val="0"/>
        <w:snapToGrid w:val="0"/>
        <w:spacing w:line="576" w:lineRule="exact"/>
        <w:ind w:firstLine="643" w:firstLineChars="200"/>
        <w:rPr>
          <w:rFonts w:ascii="仿宋_GB2312" w:eastAsia="仿宋_GB2312"/>
          <w:sz w:val="32"/>
          <w:szCs w:val="32"/>
        </w:rPr>
      </w:pPr>
      <w:r>
        <w:rPr>
          <w:rFonts w:hint="eastAsia" w:ascii="仿宋_GB2312" w:eastAsia="仿宋_GB2312"/>
          <w:b/>
          <w:sz w:val="32"/>
          <w:szCs w:val="32"/>
        </w:rPr>
        <w:t>（5）强化网上政务服务能力。</w:t>
      </w:r>
      <w:r>
        <w:rPr>
          <w:rFonts w:hint="eastAsia" w:ascii="仿宋_GB2312" w:eastAsia="仿宋_GB2312"/>
          <w:sz w:val="32"/>
          <w:szCs w:val="32"/>
        </w:rPr>
        <w:t>全面优化四川政务服务网米易旗舰店，提供与企业联系紧密的高频事项办事链接，并以办成一件事“最多跑一次”为目标，对需跨层级、跨部门办理的关联事项及其流程、材料进行全面整合简化，明确办理地点和咨询电话，切实提高了网上服务能力。今年以来，已整合推出100余个主题式“一件事”服务事项。</w:t>
      </w:r>
    </w:p>
    <w:p w14:paraId="129F51DD">
      <w:pPr>
        <w:adjustRightInd w:val="0"/>
        <w:snapToGrid w:val="0"/>
        <w:spacing w:line="576" w:lineRule="exact"/>
        <w:ind w:firstLine="643" w:firstLineChars="200"/>
        <w:rPr>
          <w:rFonts w:ascii="仿宋_GB2312" w:eastAsia="仿宋_GB2312"/>
          <w:sz w:val="32"/>
          <w:szCs w:val="32"/>
        </w:rPr>
      </w:pPr>
      <w:r>
        <w:rPr>
          <w:rFonts w:hint="eastAsia" w:ascii="仿宋_GB2312" w:eastAsia="仿宋_GB2312"/>
          <w:b/>
          <w:sz w:val="32"/>
          <w:szCs w:val="32"/>
        </w:rPr>
        <w:t>（6）推进分类综合窗口改造。</w:t>
      </w:r>
      <w:r>
        <w:rPr>
          <w:rFonts w:hint="eastAsia" w:ascii="仿宋_GB2312" w:eastAsia="仿宋_GB2312"/>
          <w:sz w:val="32"/>
          <w:szCs w:val="32"/>
        </w:rPr>
        <w:t>拓宽县政务服务大厅服务范围，依申请类政务服务事项实现“应进必进”。全面推行“前台综合受理、后台分类审批、统一窗口出件”的审批服务模式，在医疗保障、社会保障、不动产登记等与企业和群众联系紧密的重点领域整合设置综合受理窗口，政务服务事项实现“一窗分类受理”比例达80%以上。</w:t>
      </w:r>
    </w:p>
    <w:p w14:paraId="189914BF">
      <w:pPr>
        <w:adjustRightInd w:val="0"/>
        <w:snapToGrid w:val="0"/>
        <w:spacing w:line="576" w:lineRule="exact"/>
        <w:ind w:firstLine="643" w:firstLineChars="200"/>
        <w:rPr>
          <w:rFonts w:ascii="仿宋_GB2312" w:eastAsia="仿宋_GB2312"/>
          <w:sz w:val="32"/>
          <w:szCs w:val="32"/>
        </w:rPr>
      </w:pPr>
      <w:r>
        <w:rPr>
          <w:rFonts w:hint="eastAsia" w:ascii="仿宋_GB2312" w:eastAsia="仿宋_GB2312"/>
          <w:b/>
          <w:sz w:val="32"/>
          <w:szCs w:val="32"/>
        </w:rPr>
        <w:t>（7）运用“好差评”提升政务服务效能。</w:t>
      </w:r>
      <w:r>
        <w:rPr>
          <w:rFonts w:hint="eastAsia" w:ascii="仿宋_GB2312" w:eastAsia="仿宋_GB2312"/>
          <w:sz w:val="32"/>
          <w:szCs w:val="32"/>
        </w:rPr>
        <w:t>建立政务服务“好差评”制度，采取“群众评价为主、暗访调查为辅”的方式开展政务服务“好差评”综合评价。在政务大厅和11个乡镇便民服务中心安装“好差评”评价装置45台，通过四川政务服务网、天府通办APP、现场评价仪等多个方式对政务服务质量进行评价，切实做到服务绩效由群众来评判。今年以来，我县政务服务好评率达100%。</w:t>
      </w:r>
    </w:p>
    <w:p w14:paraId="2E1E1CAB">
      <w:pPr>
        <w:adjustRightInd w:val="0"/>
        <w:snapToGrid w:val="0"/>
        <w:spacing w:line="576" w:lineRule="exact"/>
        <w:ind w:firstLine="643" w:firstLineChars="200"/>
        <w:rPr>
          <w:rFonts w:ascii="仿宋_GB2312" w:eastAsia="仿宋_GB2312"/>
          <w:sz w:val="32"/>
          <w:szCs w:val="32"/>
        </w:rPr>
      </w:pPr>
      <w:r>
        <w:rPr>
          <w:rFonts w:hint="eastAsia" w:ascii="仿宋_GB2312" w:eastAsia="仿宋_GB2312"/>
          <w:b/>
          <w:sz w:val="32"/>
          <w:szCs w:val="32"/>
        </w:rPr>
        <w:t>（8）强化镇村便民服务体系建设。</w:t>
      </w:r>
      <w:r>
        <w:rPr>
          <w:rFonts w:hint="eastAsia" w:ascii="仿宋_GB2312" w:eastAsia="仿宋_GB2312"/>
          <w:sz w:val="32"/>
          <w:szCs w:val="32"/>
        </w:rPr>
        <w:t>结合乡镇区划和村级建制调整，统一乡镇服务事项目录，将与群众生活密切相关的政务服务事项纳入乡镇便民服务中心办理。积极探索政务服务事项向乡镇、村（社区）延伸，为群众提供“家门口”的政务服务，将公安局、人社局等17个部门的106项政务服务事项下沉到乡镇、村（社区）办理。目前，乡镇在办政务服务事项181项，便民服务中心入驻政务服务事项174项，进驻率96%，其余事项在派出所、市场监管所等派出机构办理。</w:t>
      </w:r>
    </w:p>
    <w:p w14:paraId="05E7560B">
      <w:pPr>
        <w:adjustRightInd w:val="0"/>
        <w:snapToGrid w:val="0"/>
        <w:spacing w:line="576" w:lineRule="exact"/>
        <w:ind w:firstLine="643" w:firstLineChars="200"/>
        <w:rPr>
          <w:rFonts w:ascii="仿宋_GB2312" w:eastAsia="仿宋_GB2312"/>
          <w:sz w:val="32"/>
          <w:szCs w:val="32"/>
        </w:rPr>
      </w:pPr>
      <w:r>
        <w:rPr>
          <w:rFonts w:hint="eastAsia" w:ascii="仿宋_GB2312" w:eastAsia="仿宋_GB2312"/>
          <w:b/>
          <w:sz w:val="32"/>
          <w:szCs w:val="32"/>
        </w:rPr>
        <w:t>（9）提升企业获取惠企政策便捷度。</w:t>
      </w:r>
      <w:r>
        <w:rPr>
          <w:rFonts w:hint="eastAsia" w:ascii="仿宋_GB2312" w:eastAsia="仿宋_GB2312"/>
          <w:sz w:val="32"/>
          <w:szCs w:val="32"/>
        </w:rPr>
        <w:t>组织清理县级惠企政策清单，招聘2名工作人员组建惠企政策综合咨询服务窗口，汇集中央、省、市、县出台的政府补贴、政府奖励、税收优惠、资质认定等各类惠企政策，建立惠企政策“统一发布、统一咨询”服务机制，全面提升县域企业享受惠企政策的比例。</w:t>
      </w:r>
    </w:p>
    <w:p w14:paraId="40D20498">
      <w:pPr>
        <w:adjustRightInd w:val="0"/>
        <w:snapToGrid w:val="0"/>
        <w:spacing w:line="576" w:lineRule="exact"/>
        <w:ind w:firstLine="643" w:firstLineChars="200"/>
        <w:rPr>
          <w:rFonts w:ascii="仿宋_GB2312" w:eastAsia="仿宋_GB2312"/>
          <w:b/>
          <w:sz w:val="32"/>
          <w:szCs w:val="32"/>
        </w:rPr>
      </w:pPr>
      <w:r>
        <w:rPr>
          <w:rFonts w:hint="eastAsia" w:ascii="仿宋_GB2312" w:eastAsia="仿宋_GB2312"/>
          <w:b/>
          <w:sz w:val="32"/>
          <w:szCs w:val="32"/>
        </w:rPr>
        <w:t>2.工作特色亮点</w:t>
      </w:r>
    </w:p>
    <w:p w14:paraId="67C124C2">
      <w:pPr>
        <w:adjustRightInd w:val="0"/>
        <w:snapToGrid w:val="0"/>
        <w:spacing w:line="576" w:lineRule="exact"/>
        <w:ind w:firstLine="643" w:firstLineChars="200"/>
        <w:rPr>
          <w:rFonts w:ascii="仿宋_GB2312" w:eastAsia="仿宋_GB2312"/>
          <w:sz w:val="32"/>
          <w:szCs w:val="32"/>
        </w:rPr>
      </w:pPr>
      <w:r>
        <w:rPr>
          <w:rFonts w:hint="eastAsia" w:ascii="仿宋_GB2312" w:eastAsia="仿宋_GB2312"/>
          <w:b/>
          <w:sz w:val="32"/>
          <w:szCs w:val="32"/>
        </w:rPr>
        <w:t>（1）创新举措服务企业群众。</w:t>
      </w:r>
      <w:r>
        <w:rPr>
          <w:rFonts w:hint="eastAsia" w:ascii="仿宋_GB2312" w:eastAsia="仿宋_GB2312"/>
          <w:sz w:val="32"/>
          <w:szCs w:val="32"/>
        </w:rPr>
        <w:t>建成“企业群众办事网上全响应平台”，实现无差别受理企业群众提出的除信访诉求外的各种问题咨询与办事需求，并对开办企业、个体工商户的申请，落实专人全程指导。通过集中统一受理和分派，严格落实限时办结制，做到件件有回音，事事有着落。自3月10日建成以来，全响应平台已受理467件，其中问题咨询398件，网上办证69件。</w:t>
      </w:r>
    </w:p>
    <w:p w14:paraId="69C41ABB">
      <w:pPr>
        <w:ind w:firstLine="643" w:firstLineChars="200"/>
        <w:rPr>
          <w:rFonts w:ascii="仿宋_GB2312" w:eastAsia="仿宋_GB2312"/>
          <w:sz w:val="32"/>
          <w:szCs w:val="32"/>
        </w:rPr>
      </w:pPr>
      <w:r>
        <w:rPr>
          <w:rFonts w:hint="eastAsia" w:ascii="仿宋_GB2312" w:eastAsia="仿宋_GB2312"/>
          <w:b/>
          <w:sz w:val="32"/>
          <w:szCs w:val="32"/>
        </w:rPr>
        <w:t>（2）推出证明网上开具服务。</w:t>
      </w:r>
      <w:r>
        <w:rPr>
          <w:rFonts w:hint="eastAsia" w:ascii="仿宋_GB2312" w:eastAsia="仿宋_GB2312"/>
          <w:sz w:val="32"/>
          <w:szCs w:val="32"/>
        </w:rPr>
        <w:t>针对基层群众开具纸质证明跑路多、耗时长的难题，开发具有审签功能的“易政管”办公系统平台，办事群众只需通过微信号按操作指南提交相应电子资料，审签平台将自动推送给乡镇、村（社区）、组的相关人员审签，群众无需多处找人签字盖章，足不出户零成本就能办理电子证明。目前，经营住所证明、结婚入户申请、购房入户申请、出生入户申请、用电申请等9个证明（申请）事项实现全流程网上开具，原来需要三四天才能开好的纸质证明，现在开网上证明只需要半天，比开具纸质证至少提速80%以上。截至目前，已开具网上证明477件，其中70%的在1小时内完成所有审签流程。</w:t>
      </w:r>
    </w:p>
    <w:p w14:paraId="53E3B1F1">
      <w:pPr>
        <w:adjustRightInd w:val="0"/>
        <w:snapToGrid w:val="0"/>
        <w:spacing w:line="576" w:lineRule="exact"/>
        <w:ind w:firstLine="643" w:firstLineChars="200"/>
        <w:rPr>
          <w:rFonts w:ascii="仿宋_GB2312" w:eastAsia="仿宋_GB2312"/>
          <w:sz w:val="32"/>
          <w:szCs w:val="32"/>
        </w:rPr>
      </w:pPr>
      <w:r>
        <w:rPr>
          <w:rFonts w:hint="eastAsia" w:ascii="仿宋_GB2312" w:eastAsia="仿宋_GB2312"/>
          <w:b/>
          <w:sz w:val="32"/>
          <w:szCs w:val="32"/>
        </w:rPr>
        <w:t>（3）开发政务数据共享功能。</w:t>
      </w:r>
      <w:r>
        <w:rPr>
          <w:rFonts w:hint="eastAsia" w:ascii="仿宋_GB2312" w:eastAsia="仿宋_GB2312"/>
          <w:sz w:val="32"/>
          <w:szCs w:val="32"/>
        </w:rPr>
        <w:t>在“易政管”办公管理系统上开发政务数据互联共享功能，各乡镇、县级各部门定期更新本单位产生的数据，并授权给相关单位便于随时随地查阅调用，实现对政务数据的动态管理和部门间、人员间互联共享，为政务管理和行政决策提供大数据参考。</w:t>
      </w:r>
    </w:p>
    <w:p w14:paraId="0FF383CF">
      <w:pPr>
        <w:adjustRightInd w:val="0"/>
        <w:snapToGrid w:val="0"/>
        <w:spacing w:line="576" w:lineRule="exact"/>
        <w:ind w:firstLine="643" w:firstLineChars="200"/>
        <w:rPr>
          <w:rFonts w:ascii="仿宋_GB2312" w:eastAsia="仿宋_GB2312"/>
          <w:sz w:val="32"/>
          <w:szCs w:val="32"/>
        </w:rPr>
      </w:pPr>
      <w:r>
        <w:rPr>
          <w:rFonts w:hint="eastAsia" w:ascii="仿宋_GB2312" w:eastAsia="仿宋_GB2312"/>
          <w:b/>
          <w:sz w:val="32"/>
          <w:szCs w:val="32"/>
        </w:rPr>
        <w:t>（4）提供“亲民便民”政务服务。</w:t>
      </w:r>
      <w:r>
        <w:rPr>
          <w:rFonts w:hint="eastAsia" w:ascii="仿宋_GB2312" w:eastAsia="仿宋_GB2312"/>
          <w:sz w:val="32"/>
          <w:szCs w:val="32"/>
        </w:rPr>
        <w:t>常规性开展上门服务、延时服务、帮办代办服务，法定节假日和新冠肺炎疫情防控期间实行预约服务，政务大厅设立“少数民族服务岗”提供翻译服务，为重大项目开辟绿色通道，为有特殊办事需求的企业群众提供便捷、高效、规范、有序的政务服务，将服务时间覆盖到365天，延伸到8小时外。今年以来，开展延时服务634人次，节假日预约服务256人次，帮办代办服务93人次。</w:t>
      </w:r>
    </w:p>
    <w:p w14:paraId="0CB4C380">
      <w:pPr>
        <w:pStyle w:val="3"/>
        <w:adjustRightInd w:val="0"/>
        <w:snapToGrid w:val="0"/>
        <w:spacing w:before="0" w:after="0" w:line="560" w:lineRule="exact"/>
        <w:ind w:firstLine="640" w:firstLineChars="200"/>
        <w:rPr>
          <w:rFonts w:ascii="黑体" w:hAnsi="黑体" w:eastAsia="黑体" w:cs="黑体"/>
          <w:b w:val="0"/>
          <w:color w:val="000000"/>
        </w:rPr>
      </w:pPr>
      <w:bookmarkStart w:id="15" w:name="_Toc15377200"/>
      <w:bookmarkStart w:id="16" w:name="_Toc15396601"/>
      <w:r>
        <w:rPr>
          <w:rFonts w:hint="eastAsia" w:ascii="黑体" w:hAnsi="黑体" w:eastAsia="黑体" w:cs="黑体"/>
          <w:b w:val="0"/>
          <w:color w:val="000000"/>
        </w:rPr>
        <w:t>二、</w:t>
      </w:r>
      <w:bookmarkEnd w:id="15"/>
      <w:bookmarkEnd w:id="16"/>
      <w:r>
        <w:rPr>
          <w:rFonts w:hint="eastAsia" w:ascii="黑体" w:eastAsia="黑体"/>
        </w:rPr>
        <w:t>单位基本情况</w:t>
      </w:r>
    </w:p>
    <w:p w14:paraId="3F033E98">
      <w:pPr>
        <w:adjustRightInd w:val="0"/>
        <w:snapToGrid w:val="0"/>
        <w:spacing w:line="560" w:lineRule="exact"/>
        <w:ind w:firstLine="643" w:firstLineChars="200"/>
        <w:rPr>
          <w:rFonts w:ascii="仿宋_GB2312" w:hAnsi="方正仿宋简体" w:eastAsia="仿宋_GB2312" w:cs="方正仿宋简体"/>
          <w:b/>
          <w:sz w:val="32"/>
          <w:szCs w:val="32"/>
        </w:rPr>
      </w:pPr>
      <w:r>
        <w:rPr>
          <w:rFonts w:hint="eastAsia" w:ascii="仿宋_GB2312" w:hAnsi="方正仿宋简体" w:eastAsia="仿宋_GB2312" w:cs="方正仿宋简体"/>
          <w:b/>
          <w:sz w:val="32"/>
          <w:szCs w:val="32"/>
        </w:rPr>
        <w:t>（一）机构组成</w:t>
      </w:r>
      <w:r>
        <w:rPr>
          <w:rFonts w:hint="eastAsia" w:ascii="仿宋_GB2312" w:eastAsia="仿宋_GB2312"/>
          <w:sz w:val="32"/>
          <w:szCs w:val="32"/>
        </w:rPr>
        <w:t>。</w:t>
      </w:r>
    </w:p>
    <w:p w14:paraId="37BE1565">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据米委办法【2019】24号文件，米易县行政审批局是</w:t>
      </w:r>
      <w:r>
        <w:rPr>
          <w:rFonts w:hint="eastAsia" w:ascii="仿宋_GB2312" w:eastAsia="仿宋_GB2312" w:cs="方正仿宋_GBK"/>
          <w:sz w:val="32"/>
          <w:szCs w:val="32"/>
        </w:rPr>
        <w:t>2019年米易县机构改革时，整合原</w:t>
      </w:r>
      <w:r>
        <w:rPr>
          <w:rFonts w:hint="eastAsia" w:ascii="仿宋_GB2312" w:eastAsia="仿宋_GB2312"/>
          <w:sz w:val="32"/>
          <w:szCs w:val="32"/>
        </w:rPr>
        <w:t>米易县人民</w:t>
      </w:r>
      <w:r>
        <w:rPr>
          <w:rFonts w:hint="eastAsia" w:ascii="仿宋_GB2312" w:eastAsia="仿宋_GB2312" w:cs="方正仿宋_GBK"/>
          <w:sz w:val="32"/>
          <w:szCs w:val="32"/>
        </w:rPr>
        <w:t>政府政务服务中心的职责和相关机构深化行政审批制度改革职责、行政审批职责组建的</w:t>
      </w:r>
      <w:r>
        <w:rPr>
          <w:rFonts w:hint="eastAsia" w:ascii="仿宋_GB2312" w:eastAsia="仿宋_GB2312"/>
          <w:sz w:val="32"/>
          <w:szCs w:val="32"/>
        </w:rPr>
        <w:t>，为米易县人民政府正科级工作部门，内设办公室、政务服务管理股、网管监督股、商事登记审批股、投资项目审批股、涉农事务审批股、综合业务审批股，下属事业单位米易县政务服务中心。</w:t>
      </w:r>
    </w:p>
    <w:p w14:paraId="34E8C561">
      <w:pPr>
        <w:adjustRightInd w:val="0"/>
        <w:snapToGrid w:val="0"/>
        <w:spacing w:line="560" w:lineRule="exact"/>
        <w:ind w:firstLine="643" w:firstLineChars="200"/>
        <w:rPr>
          <w:rFonts w:ascii="仿宋_GB2312" w:hAnsi="方正仿宋简体" w:eastAsia="仿宋_GB2312" w:cs="方正仿宋简体"/>
          <w:b/>
          <w:sz w:val="32"/>
          <w:szCs w:val="32"/>
        </w:rPr>
      </w:pPr>
      <w:bookmarkStart w:id="17" w:name="_Toc15396602"/>
      <w:bookmarkStart w:id="18" w:name="_Toc15377204"/>
      <w:r>
        <w:rPr>
          <w:rFonts w:hint="eastAsia" w:ascii="仿宋_GB2312" w:hAnsi="方正仿宋简体" w:eastAsia="仿宋_GB2312" w:cs="方正仿宋简体"/>
          <w:b/>
          <w:sz w:val="32"/>
          <w:szCs w:val="32"/>
        </w:rPr>
        <w:t>（二）人员情况</w:t>
      </w:r>
      <w:r>
        <w:rPr>
          <w:rFonts w:hint="eastAsia" w:ascii="仿宋_GB2312" w:eastAsia="仿宋_GB2312"/>
          <w:sz w:val="32"/>
          <w:szCs w:val="32"/>
        </w:rPr>
        <w:t>。</w:t>
      </w:r>
    </w:p>
    <w:p w14:paraId="18916B38">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color w:val="000000"/>
          <w:sz w:val="32"/>
          <w:szCs w:val="32"/>
        </w:rPr>
        <w:t>县行政审批局行政编制15名。其中，局长1名，副局长3名，内设机构领导职数7名。机关后勤事业编制1名。现实有在编在岗行政人员8名，</w:t>
      </w:r>
      <w:r>
        <w:rPr>
          <w:rFonts w:hint="eastAsia" w:ascii="仿宋_GB2312" w:eastAsia="仿宋_GB2312"/>
          <w:sz w:val="32"/>
          <w:szCs w:val="32"/>
        </w:rPr>
        <w:t>其中：局长</w:t>
      </w:r>
      <w:r>
        <w:rPr>
          <w:rFonts w:hint="eastAsia" w:ascii="仿宋_GB2312" w:eastAsia="仿宋_GB2312"/>
          <w:color w:val="000000"/>
          <w:sz w:val="32"/>
          <w:szCs w:val="32"/>
        </w:rPr>
        <w:t>1名</w:t>
      </w:r>
      <w:r>
        <w:rPr>
          <w:rFonts w:hint="eastAsia" w:ascii="仿宋_GB2312" w:eastAsia="仿宋_GB2312"/>
          <w:sz w:val="32"/>
          <w:szCs w:val="32"/>
        </w:rPr>
        <w:t>，副局长3名，四级调研员2名，四级主任科员</w:t>
      </w:r>
      <w:r>
        <w:rPr>
          <w:rFonts w:hint="eastAsia" w:ascii="仿宋_GB2312" w:eastAsia="仿宋_GB2312"/>
          <w:color w:val="000000"/>
          <w:sz w:val="32"/>
          <w:szCs w:val="32"/>
        </w:rPr>
        <w:t>1名</w:t>
      </w:r>
      <w:r>
        <w:rPr>
          <w:rFonts w:hint="eastAsia" w:ascii="仿宋_GB2312" w:eastAsia="仿宋_GB2312"/>
          <w:sz w:val="32"/>
          <w:szCs w:val="32"/>
        </w:rPr>
        <w:t>，一级科员</w:t>
      </w:r>
      <w:r>
        <w:rPr>
          <w:rFonts w:hint="eastAsia" w:ascii="仿宋_GB2312" w:eastAsia="仿宋_GB2312"/>
          <w:color w:val="000000"/>
          <w:sz w:val="32"/>
          <w:szCs w:val="32"/>
        </w:rPr>
        <w:t>1名</w:t>
      </w:r>
      <w:r>
        <w:rPr>
          <w:rFonts w:hint="eastAsia" w:ascii="仿宋_GB2312" w:eastAsia="仿宋_GB2312"/>
          <w:sz w:val="32"/>
          <w:szCs w:val="32"/>
        </w:rPr>
        <w:t>。</w:t>
      </w:r>
    </w:p>
    <w:p w14:paraId="48920447">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2.据米编发【2019】</w:t>
      </w:r>
      <w:r>
        <w:rPr>
          <w:rFonts w:hint="eastAsia" w:ascii="仿宋_GB2312" w:eastAsia="仿宋_GB2312"/>
          <w:color w:val="000000"/>
          <w:sz w:val="32"/>
          <w:szCs w:val="32"/>
        </w:rPr>
        <w:t>45号文件，将</w:t>
      </w:r>
      <w:r>
        <w:rPr>
          <w:rFonts w:hint="eastAsia" w:ascii="仿宋_GB2312" w:eastAsia="仿宋_GB2312"/>
          <w:sz w:val="32"/>
          <w:szCs w:val="32"/>
        </w:rPr>
        <w:t>米编发【2012】37号文件，同意成立的财政全额拨款事业单位米易县政务服务指导中心更名为米易县政务服务中心，事业编制10名。现实有在编在岗事业人员9名，管理八级1人，管理九级8人。</w:t>
      </w:r>
    </w:p>
    <w:p w14:paraId="3D1781D4">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3.编外临聘咨询台工作人员2名。政府购买服务惠企窗口2名。</w:t>
      </w:r>
    </w:p>
    <w:p w14:paraId="7FC78A63">
      <w:pPr>
        <w:adjustRightInd w:val="0"/>
        <w:snapToGrid w:val="0"/>
        <w:spacing w:line="560" w:lineRule="exact"/>
        <w:ind w:firstLine="640" w:firstLineChars="200"/>
        <w:rPr>
          <w:rFonts w:ascii="仿宋_GB2312" w:eastAsia="仿宋_GB2312"/>
          <w:sz w:val="32"/>
          <w:szCs w:val="32"/>
        </w:rPr>
      </w:pPr>
    </w:p>
    <w:p w14:paraId="0D1D6B14">
      <w:pPr>
        <w:pStyle w:val="2"/>
        <w:adjustRightInd w:val="0"/>
        <w:snapToGrid w:val="0"/>
        <w:spacing w:before="0" w:after="0" w:line="560" w:lineRule="exact"/>
        <w:ind w:firstLine="880" w:firstLineChars="200"/>
        <w:jc w:val="center"/>
        <w:rPr>
          <w:rStyle w:val="16"/>
          <w:rFonts w:ascii="黑体" w:hAnsi="黑体" w:eastAsia="黑体" w:cs="黑体"/>
          <w:b w:val="0"/>
          <w:bCs w:val="0"/>
        </w:rPr>
      </w:pPr>
      <w:r>
        <w:rPr>
          <w:rFonts w:hint="eastAsia" w:ascii="黑体" w:hAnsi="黑体" w:eastAsia="黑体" w:cs="黑体"/>
          <w:b w:val="0"/>
          <w:color w:val="000000"/>
        </w:rPr>
        <w:t xml:space="preserve">第二部分 </w:t>
      </w:r>
      <w:r>
        <w:rPr>
          <w:rStyle w:val="16"/>
          <w:rFonts w:hint="eastAsia" w:ascii="黑体" w:hAnsi="黑体" w:eastAsia="黑体" w:cs="黑体"/>
          <w:b w:val="0"/>
          <w:bCs w:val="0"/>
        </w:rPr>
        <w:t>2020年度部门决算情况说明</w:t>
      </w:r>
      <w:bookmarkEnd w:id="17"/>
      <w:bookmarkEnd w:id="18"/>
    </w:p>
    <w:p w14:paraId="220AAF30">
      <w:pPr>
        <w:adjustRightInd w:val="0"/>
        <w:snapToGrid w:val="0"/>
        <w:spacing w:line="560" w:lineRule="exact"/>
        <w:ind w:firstLine="640" w:firstLineChars="200"/>
        <w:rPr>
          <w:rFonts w:eastAsia="仿宋_GB2312"/>
          <w:sz w:val="32"/>
          <w:szCs w:val="32"/>
        </w:rPr>
      </w:pPr>
    </w:p>
    <w:p w14:paraId="5B8EFF99">
      <w:pPr>
        <w:adjustRightInd w:val="0"/>
        <w:snapToGrid w:val="0"/>
        <w:spacing w:line="560" w:lineRule="exact"/>
        <w:ind w:firstLine="643" w:firstLineChars="200"/>
        <w:outlineLvl w:val="1"/>
        <w:rPr>
          <w:rStyle w:val="17"/>
          <w:rFonts w:ascii="楷体" w:hAnsi="楷体" w:eastAsia="楷体" w:cs="楷体"/>
          <w:bCs w:val="0"/>
        </w:rPr>
      </w:pPr>
      <w:r>
        <w:rPr>
          <w:rStyle w:val="17"/>
          <w:rFonts w:hint="eastAsia" w:ascii="楷体" w:hAnsi="楷体" w:eastAsia="楷体" w:cs="楷体"/>
          <w:bCs w:val="0"/>
        </w:rPr>
        <w:t>一、收入支出决算总体情况说明。</w:t>
      </w:r>
    </w:p>
    <w:p w14:paraId="5A74B063">
      <w:pPr>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2020年度收入442.03万元、支出442.03万元。与2019年度相比，收入增加48.70万元，增加12.4%，支出增加48.70万元，增加12.4%。主要变动原因是2020年度人员增加。</w:t>
      </w:r>
    </w:p>
    <w:p w14:paraId="09D03732">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pict>
          <v:shape id="_x0000_s1026" o:spid="_x0000_s1026" o:spt="75" type="#_x0000_t75" style="position:absolute;left:0pt;margin-left:31.75pt;margin-top:4.9pt;height:163.8pt;width:244.8pt;z-index:251659264;mso-width-relative:page;mso-height-relative:page;" o:ole="t" filled="f" o:preferrelative="t" stroked="f" coordsize="21600,21600">
            <v:path/>
            <v:fill on="f" focussize="0,0"/>
            <v:stroke on="f" joinstyle="miter"/>
            <v:imagedata r:id="rId8" o:title=""/>
            <o:lock v:ext="edit" aspectratio="t"/>
          </v:shape>
          <o:OLEObject Type="Embed" ProgID="MSGraph.Chart.8" ShapeID="_x0000_s1026" DrawAspect="Content" ObjectID="_1468075725" r:id="rId7">
            <o:LockedField>false</o:LockedField>
          </o:OLEObject>
        </w:pict>
      </w:r>
    </w:p>
    <w:p w14:paraId="5E5386AE">
      <w:pPr>
        <w:adjustRightInd w:val="0"/>
        <w:snapToGrid w:val="0"/>
        <w:spacing w:line="560" w:lineRule="exact"/>
        <w:ind w:firstLine="640" w:firstLineChars="200"/>
        <w:rPr>
          <w:rFonts w:eastAsia="仿宋_GB2312"/>
          <w:color w:val="000000"/>
          <w:sz w:val="32"/>
          <w:szCs w:val="32"/>
        </w:rPr>
      </w:pPr>
    </w:p>
    <w:p w14:paraId="1A1B21B3">
      <w:pPr>
        <w:adjustRightInd w:val="0"/>
        <w:snapToGrid w:val="0"/>
        <w:spacing w:line="560" w:lineRule="exact"/>
        <w:ind w:firstLine="640" w:firstLineChars="200"/>
        <w:rPr>
          <w:rFonts w:eastAsia="仿宋_GB2312"/>
          <w:color w:val="000000"/>
          <w:sz w:val="32"/>
          <w:szCs w:val="32"/>
        </w:rPr>
      </w:pPr>
    </w:p>
    <w:p w14:paraId="2BB6473B">
      <w:pPr>
        <w:adjustRightInd w:val="0"/>
        <w:snapToGrid w:val="0"/>
        <w:spacing w:line="560" w:lineRule="exact"/>
        <w:ind w:firstLine="640" w:firstLineChars="200"/>
        <w:rPr>
          <w:rFonts w:eastAsia="仿宋_GB2312"/>
          <w:color w:val="000000"/>
          <w:sz w:val="32"/>
          <w:szCs w:val="32"/>
        </w:rPr>
      </w:pPr>
    </w:p>
    <w:p w14:paraId="12A9A3D6">
      <w:pPr>
        <w:adjustRightInd w:val="0"/>
        <w:snapToGrid w:val="0"/>
        <w:spacing w:line="560" w:lineRule="exact"/>
        <w:ind w:firstLine="640" w:firstLineChars="200"/>
        <w:rPr>
          <w:rFonts w:eastAsia="仿宋_GB2312"/>
          <w:color w:val="000000"/>
          <w:sz w:val="32"/>
          <w:szCs w:val="32"/>
        </w:rPr>
      </w:pPr>
    </w:p>
    <w:p w14:paraId="210F81B3">
      <w:pPr>
        <w:adjustRightInd w:val="0"/>
        <w:snapToGrid w:val="0"/>
        <w:spacing w:line="560" w:lineRule="exact"/>
        <w:ind w:firstLine="643" w:firstLineChars="200"/>
        <w:outlineLvl w:val="1"/>
        <w:rPr>
          <w:rStyle w:val="17"/>
          <w:rFonts w:ascii="楷体" w:hAnsi="楷体" w:eastAsia="楷体" w:cs="楷体"/>
          <w:bCs w:val="0"/>
        </w:rPr>
      </w:pPr>
      <w:bookmarkStart w:id="19" w:name="_Toc15396604"/>
      <w:bookmarkStart w:id="20" w:name="_Toc15377206"/>
      <w:r>
        <w:rPr>
          <w:rStyle w:val="17"/>
          <w:rFonts w:hint="eastAsia" w:ascii="楷体" w:hAnsi="楷体" w:eastAsia="楷体" w:cs="楷体"/>
          <w:bCs w:val="0"/>
        </w:rPr>
        <w:t>二、收入决算情况说明</w:t>
      </w:r>
      <w:bookmarkEnd w:id="19"/>
      <w:bookmarkEnd w:id="20"/>
      <w:r>
        <w:rPr>
          <w:rStyle w:val="17"/>
          <w:rFonts w:hint="eastAsia" w:ascii="楷体" w:hAnsi="楷体" w:eastAsia="楷体" w:cs="楷体"/>
          <w:bCs w:val="0"/>
        </w:rPr>
        <w:t>。</w:t>
      </w:r>
    </w:p>
    <w:p w14:paraId="40991BA9">
      <w:pPr>
        <w:adjustRightInd w:val="0"/>
        <w:snapToGrid w:val="0"/>
        <w:spacing w:line="560" w:lineRule="exact"/>
        <w:ind w:firstLine="640" w:firstLineChars="200"/>
        <w:outlineLvl w:val="1"/>
        <w:rPr>
          <w:rFonts w:eastAsia="仿宋_GB2312"/>
          <w:color w:val="000000"/>
          <w:sz w:val="32"/>
          <w:szCs w:val="32"/>
        </w:rPr>
      </w:pPr>
      <w:r>
        <w:rPr>
          <w:rFonts w:hint="eastAsia" w:eastAsia="仿宋_GB2312"/>
          <w:color w:val="000000"/>
          <w:sz w:val="32"/>
          <w:szCs w:val="32"/>
        </w:rPr>
        <w:t>2020年度本年收入合计442.03元，其中：一般公共预算财政拨款收入442.03万元，占100%。</w:t>
      </w:r>
    </w:p>
    <w:p w14:paraId="24F7F621">
      <w:pPr>
        <w:adjustRightInd w:val="0"/>
        <w:snapToGrid w:val="0"/>
        <w:spacing w:line="560" w:lineRule="exact"/>
        <w:ind w:firstLine="640" w:firstLineChars="200"/>
        <w:outlineLvl w:val="1"/>
        <w:rPr>
          <w:rFonts w:eastAsia="仿宋_GB2312"/>
          <w:color w:val="000000"/>
          <w:sz w:val="32"/>
          <w:szCs w:val="32"/>
        </w:rPr>
      </w:pPr>
      <w:r>
        <w:rPr>
          <w:rFonts w:eastAsia="仿宋_GB2312"/>
          <w:color w:val="000000"/>
          <w:sz w:val="32"/>
          <w:szCs w:val="32"/>
        </w:rPr>
        <w:pict>
          <v:shape id="_x0000_s1027" o:spid="_x0000_s1027" o:spt="75" type="#_x0000_t75" style="position:absolute;left:0pt;margin-left:22.25pt;margin-top:2.3pt;height:180.8pt;width:236.05pt;z-index:251659264;mso-width-relative:page;mso-height-relative:page;" o:ole="t" filled="f" o:preferrelative="t" stroked="f" coordsize="21600,21600">
            <v:path/>
            <v:fill on="f" focussize="0,0"/>
            <v:stroke on="f" joinstyle="miter"/>
            <v:imagedata r:id="rId10" o:title=""/>
            <o:lock v:ext="edit" aspectratio="t"/>
          </v:shape>
          <o:OLEObject Type="Embed" ProgID="MSGraph.Chart.8" ShapeID="_x0000_s1027" DrawAspect="Content" ObjectID="_1468075726" r:id="rId9">
            <o:LockedField>false</o:LockedField>
          </o:OLEObject>
        </w:pict>
      </w:r>
    </w:p>
    <w:p w14:paraId="609FBEFB">
      <w:pPr>
        <w:adjustRightInd w:val="0"/>
        <w:snapToGrid w:val="0"/>
        <w:spacing w:line="560" w:lineRule="exact"/>
        <w:ind w:firstLine="640" w:firstLineChars="200"/>
        <w:outlineLvl w:val="1"/>
        <w:rPr>
          <w:rFonts w:eastAsia="仿宋_GB2312"/>
          <w:color w:val="000000"/>
          <w:sz w:val="32"/>
          <w:szCs w:val="32"/>
        </w:rPr>
      </w:pPr>
    </w:p>
    <w:p w14:paraId="5154BE11">
      <w:pPr>
        <w:adjustRightInd w:val="0"/>
        <w:snapToGrid w:val="0"/>
        <w:spacing w:line="560" w:lineRule="exact"/>
        <w:ind w:firstLine="640" w:firstLineChars="200"/>
        <w:outlineLvl w:val="1"/>
        <w:rPr>
          <w:rFonts w:eastAsia="仿宋_GB2312"/>
          <w:color w:val="000000"/>
          <w:sz w:val="32"/>
          <w:szCs w:val="32"/>
        </w:rPr>
      </w:pPr>
    </w:p>
    <w:p w14:paraId="2328318B">
      <w:pPr>
        <w:adjustRightInd w:val="0"/>
        <w:snapToGrid w:val="0"/>
        <w:spacing w:line="560" w:lineRule="exact"/>
        <w:ind w:firstLine="640" w:firstLineChars="200"/>
        <w:outlineLvl w:val="1"/>
        <w:rPr>
          <w:rFonts w:eastAsia="仿宋_GB2312"/>
          <w:color w:val="000000"/>
          <w:sz w:val="32"/>
          <w:szCs w:val="32"/>
        </w:rPr>
      </w:pPr>
    </w:p>
    <w:p w14:paraId="1905D86D">
      <w:pPr>
        <w:adjustRightInd w:val="0"/>
        <w:snapToGrid w:val="0"/>
        <w:spacing w:line="560" w:lineRule="exact"/>
        <w:ind w:firstLine="643" w:firstLineChars="200"/>
        <w:outlineLvl w:val="1"/>
        <w:rPr>
          <w:rStyle w:val="17"/>
          <w:rFonts w:ascii="楷体" w:hAnsi="楷体" w:eastAsia="楷体" w:cs="楷体"/>
          <w:bCs w:val="0"/>
        </w:rPr>
      </w:pPr>
      <w:bookmarkStart w:id="21" w:name="_Toc15396605"/>
      <w:bookmarkStart w:id="22" w:name="_Toc15377207"/>
    </w:p>
    <w:p w14:paraId="61E5DBB3">
      <w:pPr>
        <w:adjustRightInd w:val="0"/>
        <w:snapToGrid w:val="0"/>
        <w:spacing w:line="560" w:lineRule="exact"/>
        <w:ind w:firstLine="643" w:firstLineChars="200"/>
        <w:outlineLvl w:val="1"/>
        <w:rPr>
          <w:rStyle w:val="17"/>
          <w:rFonts w:ascii="楷体" w:hAnsi="楷体" w:eastAsia="楷体" w:cs="楷体"/>
          <w:bCs w:val="0"/>
        </w:rPr>
      </w:pPr>
    </w:p>
    <w:p w14:paraId="7645F6E1">
      <w:pPr>
        <w:adjustRightInd w:val="0"/>
        <w:snapToGrid w:val="0"/>
        <w:spacing w:line="560" w:lineRule="exact"/>
        <w:ind w:firstLine="643" w:firstLineChars="200"/>
        <w:outlineLvl w:val="1"/>
        <w:rPr>
          <w:rStyle w:val="17"/>
          <w:rFonts w:ascii="楷体" w:hAnsi="楷体" w:eastAsia="楷体" w:cs="楷体"/>
          <w:bCs w:val="0"/>
        </w:rPr>
      </w:pPr>
      <w:r>
        <w:rPr>
          <w:rStyle w:val="17"/>
          <w:rFonts w:hint="eastAsia" w:ascii="楷体" w:hAnsi="楷体" w:eastAsia="楷体" w:cs="楷体"/>
          <w:bCs w:val="0"/>
        </w:rPr>
        <w:t>三、支出决算情况说明</w:t>
      </w:r>
      <w:bookmarkEnd w:id="21"/>
      <w:bookmarkEnd w:id="22"/>
      <w:r>
        <w:rPr>
          <w:rStyle w:val="17"/>
          <w:rFonts w:hint="eastAsia" w:ascii="楷体" w:hAnsi="楷体" w:eastAsia="楷体" w:cs="楷体"/>
          <w:bCs w:val="0"/>
        </w:rPr>
        <w:t>。</w:t>
      </w:r>
    </w:p>
    <w:p w14:paraId="1186CD52">
      <w:pPr>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2020年度本年支出合计442.03万元，其中：基本支出272.29万元，占61.6%；项目支出169.74万元，占38.4%。</w:t>
      </w:r>
    </w:p>
    <w:p w14:paraId="2B49FDED">
      <w:pPr>
        <w:adjustRightInd w:val="0"/>
        <w:snapToGrid w:val="0"/>
        <w:spacing w:line="560" w:lineRule="exact"/>
        <w:rPr>
          <w:rFonts w:eastAsia="仿宋_GB2312"/>
          <w:color w:val="000000"/>
          <w:sz w:val="32"/>
          <w:szCs w:val="32"/>
        </w:rPr>
      </w:pPr>
    </w:p>
    <w:p w14:paraId="7AB1CDEE">
      <w:pPr>
        <w:adjustRightInd w:val="0"/>
        <w:snapToGrid w:val="0"/>
        <w:spacing w:line="560" w:lineRule="exact"/>
        <w:ind w:firstLine="643" w:firstLineChars="200"/>
        <w:outlineLvl w:val="1"/>
        <w:rPr>
          <w:rStyle w:val="17"/>
          <w:rFonts w:ascii="楷体" w:hAnsi="楷体" w:eastAsia="楷体" w:cs="楷体"/>
          <w:bCs w:val="0"/>
        </w:rPr>
      </w:pPr>
      <w:bookmarkStart w:id="23" w:name="_Toc15377208"/>
      <w:bookmarkStart w:id="24" w:name="_Toc15396606"/>
      <w:r>
        <w:rPr>
          <w:rFonts w:ascii="楷体" w:hAnsi="楷体" w:eastAsia="楷体" w:cs="楷体"/>
          <w:b/>
          <w:sz w:val="32"/>
          <w:szCs w:val="32"/>
        </w:rPr>
        <w:pict>
          <v:shape id="_x0000_s1038" o:spid="_x0000_s1038" o:spt="75" type="#_x0000_t75" style="position:absolute;left:0pt;margin-left:47.65pt;margin-top:-1.7pt;height:192.55pt;width:250.3pt;z-index:251659264;mso-width-relative:page;mso-height-relative:page;" o:ole="t" filled="f" o:preferrelative="t" stroked="f" coordsize="21600,21600">
            <v:path/>
            <v:fill on="f" focussize="0,0"/>
            <v:stroke on="f" joinstyle="miter"/>
            <v:imagedata r:id="rId12" o:title=""/>
            <o:lock v:ext="edit" aspectratio="t"/>
          </v:shape>
          <o:OLEObject Type="Embed" ProgID="MSGraph.Chart.8" ShapeID="_x0000_s1038" DrawAspect="Content" ObjectID="_1468075727" r:id="rId11">
            <o:LockedField>false</o:LockedField>
          </o:OLEObject>
        </w:pict>
      </w:r>
    </w:p>
    <w:p w14:paraId="399F7320">
      <w:pPr>
        <w:adjustRightInd w:val="0"/>
        <w:snapToGrid w:val="0"/>
        <w:spacing w:line="560" w:lineRule="exact"/>
        <w:ind w:firstLine="643" w:firstLineChars="200"/>
        <w:outlineLvl w:val="1"/>
        <w:rPr>
          <w:rStyle w:val="17"/>
          <w:rFonts w:ascii="楷体" w:hAnsi="楷体" w:eastAsia="楷体" w:cs="楷体"/>
          <w:bCs w:val="0"/>
        </w:rPr>
      </w:pPr>
    </w:p>
    <w:p w14:paraId="3C6C3982">
      <w:pPr>
        <w:adjustRightInd w:val="0"/>
        <w:snapToGrid w:val="0"/>
        <w:spacing w:line="560" w:lineRule="exact"/>
        <w:ind w:firstLine="643" w:firstLineChars="200"/>
        <w:outlineLvl w:val="1"/>
        <w:rPr>
          <w:rStyle w:val="17"/>
          <w:rFonts w:ascii="楷体" w:hAnsi="楷体" w:eastAsia="楷体" w:cs="楷体"/>
          <w:bCs w:val="0"/>
        </w:rPr>
      </w:pPr>
    </w:p>
    <w:p w14:paraId="5D432CCD">
      <w:pPr>
        <w:adjustRightInd w:val="0"/>
        <w:snapToGrid w:val="0"/>
        <w:spacing w:line="560" w:lineRule="exact"/>
        <w:ind w:firstLine="643" w:firstLineChars="200"/>
        <w:outlineLvl w:val="1"/>
        <w:rPr>
          <w:rStyle w:val="17"/>
          <w:rFonts w:ascii="楷体" w:hAnsi="楷体" w:eastAsia="楷体" w:cs="楷体"/>
          <w:bCs w:val="0"/>
        </w:rPr>
      </w:pPr>
    </w:p>
    <w:p w14:paraId="15E91C73">
      <w:pPr>
        <w:adjustRightInd w:val="0"/>
        <w:snapToGrid w:val="0"/>
        <w:spacing w:line="560" w:lineRule="exact"/>
        <w:ind w:firstLine="643" w:firstLineChars="200"/>
        <w:outlineLvl w:val="1"/>
        <w:rPr>
          <w:rStyle w:val="17"/>
          <w:rFonts w:ascii="楷体" w:hAnsi="楷体" w:eastAsia="楷体" w:cs="楷体"/>
          <w:bCs w:val="0"/>
        </w:rPr>
      </w:pPr>
    </w:p>
    <w:p w14:paraId="6D5E946B">
      <w:pPr>
        <w:adjustRightInd w:val="0"/>
        <w:snapToGrid w:val="0"/>
        <w:spacing w:line="560" w:lineRule="exact"/>
        <w:ind w:firstLine="643" w:firstLineChars="200"/>
        <w:outlineLvl w:val="1"/>
        <w:rPr>
          <w:rStyle w:val="17"/>
          <w:rFonts w:ascii="楷体" w:hAnsi="楷体" w:eastAsia="楷体" w:cs="楷体"/>
          <w:bCs w:val="0"/>
        </w:rPr>
      </w:pPr>
    </w:p>
    <w:p w14:paraId="69082CB4">
      <w:pPr>
        <w:adjustRightInd w:val="0"/>
        <w:snapToGrid w:val="0"/>
        <w:spacing w:line="560" w:lineRule="exact"/>
        <w:ind w:firstLine="643" w:firstLineChars="200"/>
        <w:outlineLvl w:val="1"/>
        <w:rPr>
          <w:rStyle w:val="17"/>
          <w:rFonts w:ascii="楷体" w:hAnsi="楷体" w:eastAsia="楷体" w:cs="楷体"/>
          <w:bCs w:val="0"/>
        </w:rPr>
      </w:pPr>
      <w:r>
        <w:rPr>
          <w:rStyle w:val="17"/>
          <w:rFonts w:hint="eastAsia" w:ascii="楷体" w:hAnsi="楷体" w:eastAsia="楷体" w:cs="楷体"/>
          <w:bCs w:val="0"/>
        </w:rPr>
        <w:t>四、财政拨款收入支出决算总体情况说明</w:t>
      </w:r>
      <w:bookmarkEnd w:id="23"/>
      <w:bookmarkEnd w:id="24"/>
      <w:r>
        <w:rPr>
          <w:rStyle w:val="17"/>
          <w:rFonts w:hint="eastAsia" w:ascii="楷体" w:hAnsi="楷体" w:eastAsia="楷体" w:cs="楷体"/>
          <w:bCs w:val="0"/>
        </w:rPr>
        <w:t>。</w:t>
      </w:r>
    </w:p>
    <w:p w14:paraId="5FAA3A01">
      <w:pPr>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2020年度财政拨款收入442.03万元、财政拨款支出442.03万元。与2019年度相比，财政拨款收入增加48.70万元，增加12.4%，财政拨款支出与本年度年初预算数相比增加99.07万元，增加28.9%。增加主要原因是人员调入和项目增加。</w:t>
      </w:r>
    </w:p>
    <w:p w14:paraId="2A6D3AC8">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pict>
          <v:shape id="_x0000_s1031" o:spid="_x0000_s1031" o:spt="75" type="#_x0000_t75" style="position:absolute;left:0pt;margin-left:31.85pt;margin-top:8.4pt;height:144.1pt;width:215.3pt;z-index:251659264;mso-width-relative:page;mso-height-relative:page;" o:ole="t" filled="f" o:preferrelative="t" stroked="f" coordsize="21600,21600">
            <v:path/>
            <v:fill on="f" focussize="0,0"/>
            <v:stroke on="f" joinstyle="miter"/>
            <v:imagedata r:id="rId14" o:title=""/>
            <o:lock v:ext="edit" aspectratio="t"/>
          </v:shape>
          <o:OLEObject Type="Embed" ProgID="MSGraph.Chart.8" ShapeID="_x0000_s1031" DrawAspect="Content" ObjectID="_1468075728" r:id="rId13">
            <o:LockedField>false</o:LockedField>
          </o:OLEObject>
        </w:pict>
      </w:r>
    </w:p>
    <w:p w14:paraId="7DAA6ED6">
      <w:pPr>
        <w:adjustRightInd w:val="0"/>
        <w:snapToGrid w:val="0"/>
        <w:spacing w:line="560" w:lineRule="exact"/>
        <w:ind w:firstLine="640" w:firstLineChars="200"/>
        <w:rPr>
          <w:rFonts w:eastAsia="仿宋_GB2312"/>
          <w:color w:val="000000"/>
          <w:sz w:val="32"/>
          <w:szCs w:val="32"/>
        </w:rPr>
      </w:pPr>
    </w:p>
    <w:p w14:paraId="57F4E6C8">
      <w:pPr>
        <w:adjustRightInd w:val="0"/>
        <w:snapToGrid w:val="0"/>
        <w:spacing w:line="560" w:lineRule="exact"/>
        <w:ind w:firstLine="640" w:firstLineChars="200"/>
        <w:rPr>
          <w:rFonts w:eastAsia="仿宋_GB2312"/>
          <w:color w:val="000000"/>
          <w:sz w:val="32"/>
          <w:szCs w:val="32"/>
        </w:rPr>
      </w:pPr>
    </w:p>
    <w:p w14:paraId="7B376763">
      <w:pPr>
        <w:adjustRightInd w:val="0"/>
        <w:snapToGrid w:val="0"/>
        <w:spacing w:line="560" w:lineRule="exact"/>
        <w:ind w:firstLine="640" w:firstLineChars="200"/>
        <w:rPr>
          <w:rFonts w:eastAsia="仿宋_GB2312"/>
          <w:color w:val="000000"/>
          <w:sz w:val="32"/>
          <w:szCs w:val="32"/>
        </w:rPr>
      </w:pPr>
    </w:p>
    <w:p w14:paraId="220042B7">
      <w:pPr>
        <w:adjustRightInd w:val="0"/>
        <w:snapToGrid w:val="0"/>
        <w:spacing w:line="560" w:lineRule="exact"/>
        <w:ind w:firstLine="640" w:firstLineChars="200"/>
        <w:rPr>
          <w:rFonts w:eastAsia="仿宋_GB2312"/>
          <w:color w:val="000000"/>
          <w:sz w:val="32"/>
          <w:szCs w:val="32"/>
        </w:rPr>
      </w:pPr>
    </w:p>
    <w:p w14:paraId="226D4B7C">
      <w:pPr>
        <w:adjustRightInd w:val="0"/>
        <w:snapToGrid w:val="0"/>
        <w:spacing w:line="560" w:lineRule="exact"/>
        <w:ind w:firstLine="640" w:firstLineChars="200"/>
        <w:rPr>
          <w:rFonts w:eastAsia="仿宋_GB2312"/>
          <w:color w:val="000000"/>
          <w:sz w:val="32"/>
          <w:szCs w:val="32"/>
        </w:rPr>
      </w:pPr>
    </w:p>
    <w:p w14:paraId="20E695E6">
      <w:pPr>
        <w:adjustRightInd w:val="0"/>
        <w:snapToGrid w:val="0"/>
        <w:spacing w:line="560" w:lineRule="exact"/>
        <w:ind w:firstLine="643" w:firstLineChars="200"/>
        <w:outlineLvl w:val="1"/>
        <w:rPr>
          <w:rStyle w:val="17"/>
          <w:rFonts w:ascii="楷体" w:hAnsi="楷体" w:eastAsia="楷体" w:cs="楷体"/>
          <w:bCs w:val="0"/>
        </w:rPr>
      </w:pPr>
      <w:bookmarkStart w:id="25" w:name="_Toc15377209"/>
      <w:bookmarkStart w:id="26" w:name="_Toc15396607"/>
      <w:r>
        <w:rPr>
          <w:rStyle w:val="17"/>
          <w:rFonts w:hint="eastAsia" w:ascii="楷体" w:hAnsi="楷体" w:eastAsia="楷体" w:cs="楷体"/>
          <w:bCs w:val="0"/>
        </w:rPr>
        <w:t>五、一般公共预算财政拨款支出决算情况说明</w:t>
      </w:r>
      <w:bookmarkEnd w:id="25"/>
      <w:bookmarkEnd w:id="26"/>
      <w:r>
        <w:rPr>
          <w:rStyle w:val="17"/>
          <w:rFonts w:hint="eastAsia" w:ascii="楷体" w:hAnsi="楷体" w:eastAsia="楷体" w:cs="楷体"/>
          <w:bCs w:val="0"/>
        </w:rPr>
        <w:t>。</w:t>
      </w:r>
    </w:p>
    <w:p w14:paraId="4C1AA366">
      <w:pPr>
        <w:adjustRightInd w:val="0"/>
        <w:snapToGrid w:val="0"/>
        <w:spacing w:line="560" w:lineRule="exact"/>
        <w:ind w:firstLine="643" w:firstLineChars="200"/>
        <w:outlineLvl w:val="2"/>
        <w:rPr>
          <w:rFonts w:eastAsia="仿宋_GB2312"/>
          <w:b/>
          <w:color w:val="000000"/>
          <w:sz w:val="32"/>
          <w:szCs w:val="32"/>
        </w:rPr>
      </w:pPr>
      <w:bookmarkStart w:id="27" w:name="_Toc15377210"/>
      <w:r>
        <w:rPr>
          <w:rFonts w:hint="eastAsia" w:eastAsia="仿宋_GB2312"/>
          <w:b/>
          <w:color w:val="000000"/>
          <w:sz w:val="32"/>
          <w:szCs w:val="32"/>
        </w:rPr>
        <w:t>（一）一般公共预算财政拨款支出决算总体情况</w:t>
      </w:r>
      <w:bookmarkEnd w:id="27"/>
      <w:r>
        <w:rPr>
          <w:rFonts w:hint="eastAsia" w:eastAsia="仿宋_GB2312"/>
          <w:b/>
          <w:color w:val="000000"/>
          <w:sz w:val="32"/>
          <w:szCs w:val="32"/>
        </w:rPr>
        <w:t>。</w:t>
      </w:r>
    </w:p>
    <w:p w14:paraId="7616FB09">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pict>
          <v:shape id="_x0000_s1032" o:spid="_x0000_s1032" o:spt="75" type="#_x0000_t75" style="position:absolute;left:0pt;margin-left:31.75pt;margin-top:93.3pt;height:169.95pt;width:246.45pt;z-index:251659264;mso-width-relative:page;mso-height-relative:page;" o:ole="t" filled="f" o:preferrelative="t" stroked="f" coordsize="21600,21600">
            <v:path/>
            <v:fill on="f" focussize="0,0"/>
            <v:stroke on="f" joinstyle="miter"/>
            <v:imagedata r:id="rId16" o:title=""/>
            <o:lock v:ext="edit" aspectratio="t"/>
          </v:shape>
          <o:OLEObject Type="Embed" ProgID="MSGraph.Chart.8" ShapeID="_x0000_s1032" DrawAspect="Content" ObjectID="_1468075729" r:id="rId15">
            <o:LockedField>false</o:LockedField>
          </o:OLEObject>
        </w:pict>
      </w:r>
      <w:r>
        <w:rPr>
          <w:rFonts w:hint="eastAsia" w:eastAsia="仿宋_GB2312"/>
          <w:color w:val="000000"/>
          <w:sz w:val="32"/>
          <w:szCs w:val="32"/>
        </w:rPr>
        <w:t>2020年度一般公共预算财政拨款支出442.03万元，占本年支出合计的100%。与本年度年初预算数相比增加99.07万元，增加28.9%，增加主要原因是人员调入和项目增加。</w:t>
      </w:r>
    </w:p>
    <w:p w14:paraId="5DCEE532">
      <w:pPr>
        <w:adjustRightInd w:val="0"/>
        <w:snapToGrid w:val="0"/>
        <w:spacing w:line="560" w:lineRule="exact"/>
        <w:ind w:firstLine="640" w:firstLineChars="200"/>
        <w:rPr>
          <w:rFonts w:eastAsia="仿宋_GB2312"/>
          <w:color w:val="000000"/>
          <w:sz w:val="32"/>
          <w:szCs w:val="32"/>
        </w:rPr>
      </w:pPr>
    </w:p>
    <w:p w14:paraId="20BD691E">
      <w:pPr>
        <w:adjustRightInd w:val="0"/>
        <w:snapToGrid w:val="0"/>
        <w:spacing w:line="560" w:lineRule="exact"/>
        <w:ind w:firstLine="640" w:firstLineChars="200"/>
        <w:rPr>
          <w:rFonts w:eastAsia="仿宋_GB2312"/>
          <w:color w:val="000000"/>
          <w:sz w:val="32"/>
          <w:szCs w:val="32"/>
        </w:rPr>
      </w:pPr>
    </w:p>
    <w:p w14:paraId="52AB8A97">
      <w:pPr>
        <w:adjustRightInd w:val="0"/>
        <w:snapToGrid w:val="0"/>
        <w:spacing w:line="560" w:lineRule="exact"/>
        <w:ind w:firstLine="640" w:firstLineChars="200"/>
        <w:rPr>
          <w:rFonts w:eastAsia="仿宋_GB2312"/>
          <w:color w:val="000000"/>
          <w:sz w:val="32"/>
          <w:szCs w:val="32"/>
        </w:rPr>
      </w:pPr>
    </w:p>
    <w:p w14:paraId="7F3219AD">
      <w:pPr>
        <w:adjustRightInd w:val="0"/>
        <w:snapToGrid w:val="0"/>
        <w:spacing w:line="560" w:lineRule="exact"/>
        <w:ind w:firstLine="640" w:firstLineChars="200"/>
        <w:rPr>
          <w:rFonts w:eastAsia="仿宋_GB2312"/>
          <w:color w:val="000000"/>
          <w:sz w:val="32"/>
          <w:szCs w:val="32"/>
        </w:rPr>
      </w:pPr>
    </w:p>
    <w:p w14:paraId="54F59881">
      <w:pPr>
        <w:spacing w:line="600" w:lineRule="exact"/>
        <w:rPr>
          <w:rFonts w:ascii="仿宋" w:hAnsi="仿宋" w:eastAsia="仿宋"/>
          <w:color w:val="FF0000"/>
          <w:sz w:val="32"/>
          <w:szCs w:val="32"/>
        </w:rPr>
      </w:pPr>
    </w:p>
    <w:p w14:paraId="2D9C7A5C">
      <w:pPr>
        <w:adjustRightInd w:val="0"/>
        <w:snapToGrid w:val="0"/>
        <w:spacing w:line="560" w:lineRule="exact"/>
        <w:ind w:firstLine="640" w:firstLineChars="200"/>
        <w:rPr>
          <w:rFonts w:eastAsia="仿宋_GB2312"/>
          <w:color w:val="000000"/>
          <w:sz w:val="32"/>
          <w:szCs w:val="32"/>
        </w:rPr>
      </w:pPr>
    </w:p>
    <w:p w14:paraId="6151BF2A">
      <w:pPr>
        <w:adjustRightInd w:val="0"/>
        <w:snapToGrid w:val="0"/>
        <w:spacing w:line="560" w:lineRule="exact"/>
        <w:ind w:firstLine="643" w:firstLineChars="200"/>
        <w:outlineLvl w:val="2"/>
        <w:rPr>
          <w:rFonts w:eastAsia="仿宋_GB2312"/>
          <w:b/>
          <w:color w:val="000000"/>
          <w:sz w:val="32"/>
          <w:szCs w:val="32"/>
        </w:rPr>
      </w:pPr>
      <w:bookmarkStart w:id="28" w:name="_Toc15377211"/>
      <w:r>
        <w:rPr>
          <w:rFonts w:hint="eastAsia" w:eastAsia="仿宋_GB2312"/>
          <w:b/>
          <w:color w:val="000000"/>
          <w:sz w:val="32"/>
          <w:szCs w:val="32"/>
        </w:rPr>
        <w:t>（二）一般公共预算财政拨款支出决算结构情况</w:t>
      </w:r>
      <w:bookmarkEnd w:id="28"/>
      <w:r>
        <w:rPr>
          <w:rFonts w:hint="eastAsia" w:eastAsia="仿宋_GB2312"/>
          <w:b/>
          <w:color w:val="000000"/>
          <w:sz w:val="32"/>
          <w:szCs w:val="32"/>
        </w:rPr>
        <w:t>。</w:t>
      </w:r>
    </w:p>
    <w:p w14:paraId="1B1EE826">
      <w:pPr>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2020年度一般公共预算财政拨款支出442.03万元，主要用于以下方面:一般公共服务支出382.32万元，占86.5%；社会保障和就业支出18.82万元，占4.3%；卫生健康支出</w:t>
      </w:r>
      <w:r>
        <w:rPr>
          <w:rFonts w:hint="eastAsia" w:eastAsia="仿宋_GB2312"/>
          <w:sz w:val="32"/>
          <w:szCs w:val="32"/>
        </w:rPr>
        <w:t>16.00</w:t>
      </w:r>
      <w:r>
        <w:rPr>
          <w:rFonts w:hint="eastAsia" w:eastAsia="仿宋_GB2312"/>
          <w:color w:val="000000"/>
          <w:sz w:val="32"/>
          <w:szCs w:val="32"/>
        </w:rPr>
        <w:t>万元，占3.6%；住房保障支出24.89万元，占5.6%。</w:t>
      </w:r>
    </w:p>
    <w:p w14:paraId="77CDE6A6">
      <w:pPr>
        <w:adjustRightInd w:val="0"/>
        <w:snapToGrid w:val="0"/>
        <w:spacing w:line="560" w:lineRule="exact"/>
        <w:ind w:firstLine="640" w:firstLineChars="200"/>
        <w:rPr>
          <w:rFonts w:eastAsia="仿宋_GB2312"/>
          <w:color w:val="000000"/>
          <w:sz w:val="32"/>
          <w:szCs w:val="32"/>
        </w:rPr>
      </w:pPr>
    </w:p>
    <w:p w14:paraId="5115C639">
      <w:pPr>
        <w:adjustRightInd w:val="0"/>
        <w:snapToGrid w:val="0"/>
        <w:spacing w:line="560" w:lineRule="exact"/>
        <w:ind w:firstLine="640" w:firstLineChars="200"/>
        <w:rPr>
          <w:rFonts w:eastAsia="仿宋_GB2312"/>
          <w:color w:val="000000"/>
          <w:sz w:val="32"/>
          <w:szCs w:val="32"/>
        </w:rPr>
      </w:pPr>
    </w:p>
    <w:p w14:paraId="45FBC22B">
      <w:pPr>
        <w:adjustRightInd w:val="0"/>
        <w:snapToGrid w:val="0"/>
        <w:spacing w:line="560" w:lineRule="exact"/>
        <w:ind w:firstLine="640" w:firstLineChars="200"/>
        <w:rPr>
          <w:rFonts w:eastAsia="仿宋_GB2312"/>
          <w:color w:val="000000"/>
          <w:sz w:val="32"/>
          <w:szCs w:val="32"/>
        </w:rPr>
      </w:pPr>
    </w:p>
    <w:p w14:paraId="5EB9C928">
      <w:pPr>
        <w:adjustRightInd w:val="0"/>
        <w:snapToGrid w:val="0"/>
        <w:spacing w:line="560" w:lineRule="exact"/>
        <w:ind w:firstLine="640" w:firstLineChars="200"/>
        <w:rPr>
          <w:rFonts w:eastAsia="仿宋_GB2312"/>
          <w:color w:val="000000"/>
          <w:sz w:val="32"/>
          <w:szCs w:val="32"/>
        </w:rPr>
      </w:pPr>
    </w:p>
    <w:p w14:paraId="201D982B">
      <w:pPr>
        <w:adjustRightInd w:val="0"/>
        <w:snapToGrid w:val="0"/>
        <w:spacing w:line="560" w:lineRule="exact"/>
        <w:ind w:firstLine="640" w:firstLineChars="200"/>
        <w:rPr>
          <w:rFonts w:eastAsia="仿宋_GB2312"/>
          <w:color w:val="000000"/>
          <w:sz w:val="32"/>
          <w:szCs w:val="32"/>
        </w:rPr>
      </w:pPr>
    </w:p>
    <w:p w14:paraId="539B5F5D">
      <w:pPr>
        <w:adjustRightInd w:val="0"/>
        <w:snapToGrid w:val="0"/>
        <w:spacing w:line="560" w:lineRule="exact"/>
        <w:ind w:firstLine="640" w:firstLineChars="200"/>
        <w:rPr>
          <w:rFonts w:eastAsia="仿宋_GB2312"/>
          <w:color w:val="000000"/>
          <w:sz w:val="32"/>
          <w:szCs w:val="32"/>
        </w:rPr>
      </w:pPr>
    </w:p>
    <w:p w14:paraId="4BCA26EE">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pict>
          <v:shape id="_x0000_s1033" o:spid="_x0000_s1033" o:spt="75" type="#_x0000_t75" style="position:absolute;left:0pt;margin-left:31.75pt;margin-top:-130.4pt;height:163.2pt;width:243.5pt;z-index:251659264;mso-width-relative:page;mso-height-relative:page;" o:ole="t" filled="f" o:preferrelative="t" stroked="f" coordsize="21600,21600">
            <v:path/>
            <v:fill on="f" focussize="0,0"/>
            <v:stroke on="f" joinstyle="miter"/>
            <v:imagedata r:id="rId18" o:title=""/>
            <o:lock v:ext="edit" aspectratio="t"/>
          </v:shape>
          <o:OLEObject Type="Embed" ProgID="MSGraph.Chart.8" ShapeID="_x0000_s1033" DrawAspect="Content" ObjectID="_1468075730" r:id="rId17">
            <o:LockedField>false</o:LockedField>
          </o:OLEObject>
        </w:pict>
      </w:r>
    </w:p>
    <w:p w14:paraId="1DFEE0E0">
      <w:pPr>
        <w:adjustRightInd w:val="0"/>
        <w:snapToGrid w:val="0"/>
        <w:spacing w:line="560" w:lineRule="exact"/>
        <w:ind w:firstLine="643" w:firstLineChars="200"/>
        <w:outlineLvl w:val="2"/>
        <w:rPr>
          <w:rFonts w:eastAsia="仿宋_GB2312"/>
          <w:b/>
          <w:color w:val="000000"/>
          <w:sz w:val="32"/>
          <w:szCs w:val="32"/>
        </w:rPr>
      </w:pPr>
      <w:bookmarkStart w:id="29" w:name="_Toc15377212"/>
      <w:r>
        <w:rPr>
          <w:rFonts w:hint="eastAsia" w:eastAsia="仿宋_GB2312"/>
          <w:b/>
          <w:color w:val="000000"/>
          <w:sz w:val="32"/>
          <w:szCs w:val="32"/>
        </w:rPr>
        <w:t>（三）一般公共预算财政拨款支出决算具体情况</w:t>
      </w:r>
      <w:bookmarkEnd w:id="29"/>
      <w:r>
        <w:rPr>
          <w:rFonts w:hint="eastAsia" w:eastAsia="仿宋_GB2312"/>
          <w:b/>
          <w:color w:val="000000"/>
          <w:sz w:val="32"/>
          <w:szCs w:val="32"/>
        </w:rPr>
        <w:t>。</w:t>
      </w:r>
    </w:p>
    <w:p w14:paraId="5F3E6FED">
      <w:pPr>
        <w:adjustRightInd w:val="0"/>
        <w:snapToGrid w:val="0"/>
        <w:spacing w:line="560" w:lineRule="exact"/>
        <w:ind w:firstLine="640" w:firstLineChars="200"/>
        <w:outlineLvl w:val="2"/>
        <w:rPr>
          <w:rFonts w:eastAsia="仿宋_GB2312"/>
          <w:color w:val="FF0000"/>
          <w:sz w:val="32"/>
          <w:szCs w:val="32"/>
        </w:rPr>
      </w:pPr>
      <w:bookmarkStart w:id="30" w:name="_Toc15378460"/>
      <w:bookmarkStart w:id="31" w:name="_Toc15377213"/>
      <w:bookmarkStart w:id="32" w:name="_Toc15377444"/>
      <w:r>
        <w:rPr>
          <w:rFonts w:hint="eastAsia" w:eastAsia="仿宋_GB2312"/>
          <w:color w:val="000000"/>
          <w:sz w:val="32"/>
          <w:szCs w:val="32"/>
        </w:rPr>
        <w:t>2020年度一般公共预算支出决算数为442.03万元，</w:t>
      </w:r>
      <w:r>
        <w:rPr>
          <w:rStyle w:val="14"/>
          <w:rFonts w:hint="eastAsia" w:eastAsia="仿宋_GB2312"/>
          <w:b w:val="0"/>
          <w:bCs/>
          <w:color w:val="000000"/>
          <w:sz w:val="32"/>
          <w:szCs w:val="32"/>
        </w:rPr>
        <w:t>完成预算</w:t>
      </w:r>
      <w:r>
        <w:rPr>
          <w:rStyle w:val="14"/>
          <w:rFonts w:hint="eastAsia" w:eastAsia="仿宋_GB2312"/>
          <w:b w:val="0"/>
          <w:bCs/>
          <w:sz w:val="32"/>
          <w:szCs w:val="32"/>
        </w:rPr>
        <w:t>100</w:t>
      </w:r>
      <w:r>
        <w:rPr>
          <w:rStyle w:val="14"/>
          <w:rFonts w:hint="eastAsia" w:eastAsia="仿宋_GB2312"/>
          <w:b w:val="0"/>
          <w:bCs/>
          <w:color w:val="000000"/>
          <w:sz w:val="32"/>
          <w:szCs w:val="32"/>
        </w:rPr>
        <w:t>%。其中：</w:t>
      </w:r>
      <w:bookmarkEnd w:id="30"/>
      <w:bookmarkEnd w:id="31"/>
      <w:bookmarkEnd w:id="32"/>
    </w:p>
    <w:p w14:paraId="1F724BA7">
      <w:pPr>
        <w:adjustRightInd w:val="0"/>
        <w:snapToGrid w:val="0"/>
        <w:spacing w:line="560" w:lineRule="exact"/>
        <w:ind w:firstLine="640" w:firstLineChars="200"/>
        <w:rPr>
          <w:rFonts w:eastAsia="仿宋_GB2312"/>
          <w:sz w:val="32"/>
          <w:szCs w:val="32"/>
        </w:rPr>
      </w:pPr>
      <w:r>
        <w:rPr>
          <w:rStyle w:val="14"/>
          <w:rFonts w:hint="eastAsia" w:eastAsia="仿宋_GB2312"/>
          <w:b w:val="0"/>
          <w:bCs/>
          <w:color w:val="000000"/>
          <w:sz w:val="32"/>
          <w:szCs w:val="32"/>
        </w:rPr>
        <w:t>1、一般公共服务：支出决算为382.32万元，完成预算100%。其中行政运行（类）201（款）03（项）01:支出决算为102.47万元，</w:t>
      </w:r>
      <w:r>
        <w:rPr>
          <w:rStyle w:val="14"/>
          <w:rFonts w:hint="eastAsia" w:eastAsia="仿宋_GB2312"/>
          <w:b w:val="0"/>
          <w:bCs/>
          <w:sz w:val="32"/>
          <w:szCs w:val="32"/>
        </w:rPr>
        <w:t>完成预算100%，决算数等于预算数；政务公开审批（类）201（款）03（项）06:支出决算为168.88万元，完成预算100%，决算数等于预算数；事业运行（类）201（款）03（项）50:支出决算为110.97万元，完成预算100%，决算数等于预算数。</w:t>
      </w:r>
    </w:p>
    <w:p w14:paraId="73A88383">
      <w:pPr>
        <w:adjustRightInd w:val="0"/>
        <w:snapToGrid w:val="0"/>
        <w:spacing w:line="560" w:lineRule="exact"/>
        <w:ind w:firstLine="640" w:firstLineChars="200"/>
        <w:rPr>
          <w:rStyle w:val="14"/>
          <w:rFonts w:eastAsia="仿宋_GB2312"/>
          <w:b w:val="0"/>
          <w:bCs/>
          <w:sz w:val="32"/>
          <w:szCs w:val="32"/>
        </w:rPr>
      </w:pPr>
      <w:r>
        <w:rPr>
          <w:rStyle w:val="14"/>
          <w:rFonts w:hint="eastAsia" w:eastAsia="仿宋_GB2312"/>
          <w:b w:val="0"/>
          <w:bCs/>
          <w:sz w:val="32"/>
          <w:szCs w:val="32"/>
        </w:rPr>
        <w:t>2、社会保障和就业（类）208（款）05（项）05:支出决算为18.82万元，完成预算100%，决算数等于预算数。</w:t>
      </w:r>
    </w:p>
    <w:p w14:paraId="32752C8E">
      <w:pPr>
        <w:adjustRightInd w:val="0"/>
        <w:snapToGrid w:val="0"/>
        <w:spacing w:line="560" w:lineRule="exact"/>
        <w:ind w:firstLine="640" w:firstLineChars="200"/>
        <w:rPr>
          <w:rStyle w:val="14"/>
          <w:rFonts w:eastAsia="仿宋_GB2312"/>
          <w:b w:val="0"/>
          <w:bCs/>
          <w:sz w:val="32"/>
          <w:szCs w:val="32"/>
        </w:rPr>
      </w:pPr>
      <w:r>
        <w:rPr>
          <w:rStyle w:val="14"/>
          <w:rFonts w:hint="eastAsia" w:eastAsia="仿宋_GB2312"/>
          <w:b w:val="0"/>
          <w:bCs/>
          <w:sz w:val="32"/>
          <w:szCs w:val="32"/>
        </w:rPr>
        <w:t>3、卫生健康支出（类）16.00万元，其中：210（款）11（项）01:支出决算为7.10万元，完成预算100%，决算数等于预算数；210（款）11（项）02:支出决算为6.79万元，完成预算100%，决算数等于预算数；210（款）11（项）03:支出决算为1.26万元，完成预算100%，决算数等于预算数；210（款）99（项）01:支出决算为0.86万元，完成预算100%，决算数等于预算数。</w:t>
      </w:r>
    </w:p>
    <w:p w14:paraId="310CC86F">
      <w:pPr>
        <w:adjustRightInd w:val="0"/>
        <w:snapToGrid w:val="0"/>
        <w:spacing w:line="560" w:lineRule="exact"/>
        <w:ind w:firstLine="640" w:firstLineChars="200"/>
        <w:rPr>
          <w:rFonts w:eastAsia="仿宋_GB2312"/>
          <w:b/>
          <w:sz w:val="32"/>
          <w:szCs w:val="32"/>
        </w:rPr>
      </w:pPr>
      <w:r>
        <w:rPr>
          <w:rStyle w:val="14"/>
          <w:rFonts w:hint="eastAsia" w:eastAsia="仿宋_GB2312"/>
          <w:b w:val="0"/>
          <w:bCs/>
          <w:sz w:val="32"/>
          <w:szCs w:val="32"/>
        </w:rPr>
        <w:t>4、住房保障（类）221（款）02（项）01:支出决算为24.89万元，完成预算100%，决算数等于预算数。</w:t>
      </w:r>
    </w:p>
    <w:p w14:paraId="13F1C3A2">
      <w:pPr>
        <w:adjustRightInd w:val="0"/>
        <w:snapToGrid w:val="0"/>
        <w:spacing w:line="560" w:lineRule="exact"/>
        <w:ind w:firstLine="643" w:firstLineChars="200"/>
        <w:outlineLvl w:val="1"/>
        <w:rPr>
          <w:rStyle w:val="17"/>
          <w:rFonts w:ascii="楷体" w:hAnsi="楷体" w:eastAsia="楷体" w:cs="楷体"/>
          <w:bCs w:val="0"/>
        </w:rPr>
      </w:pPr>
      <w:bookmarkStart w:id="33" w:name="_Toc15396608"/>
      <w:bookmarkStart w:id="34" w:name="_Toc15377214"/>
      <w:r>
        <w:rPr>
          <w:rStyle w:val="17"/>
          <w:rFonts w:hint="eastAsia" w:ascii="楷体" w:hAnsi="楷体" w:eastAsia="楷体" w:cs="楷体"/>
          <w:bCs w:val="0"/>
        </w:rPr>
        <w:t>六、一般公共预算财政拨款基本支出决算情况说明</w:t>
      </w:r>
      <w:bookmarkEnd w:id="33"/>
      <w:bookmarkEnd w:id="34"/>
      <w:r>
        <w:rPr>
          <w:rStyle w:val="17"/>
          <w:rFonts w:hint="eastAsia" w:ascii="楷体" w:hAnsi="楷体" w:eastAsia="楷体" w:cs="楷体"/>
          <w:bCs w:val="0"/>
        </w:rPr>
        <w:t>。</w:t>
      </w:r>
    </w:p>
    <w:p w14:paraId="65FB2379">
      <w:pPr>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2020年度一般公共预算财政拨款基本支出272.29万元，其中：</w:t>
      </w:r>
    </w:p>
    <w:p w14:paraId="1510A143">
      <w:pPr>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人员经费253.66万元，主要包括：基本工资、津贴补贴、奖金、绩效工资、机关事业单位基本养老保险缴费、职工基本医疗保险缴费、公务员医疗补助缴费、其他社会保障缴费、住房公积金、其他工资福利支出、对个人和家庭的补助、奖励金等。</w:t>
      </w:r>
      <w:r>
        <w:rPr>
          <w:rFonts w:hint="eastAsia" w:eastAsia="仿宋_GB2312"/>
          <w:color w:val="000000"/>
          <w:sz w:val="32"/>
          <w:szCs w:val="32"/>
        </w:rPr>
        <w:br w:type="textWrapping"/>
      </w:r>
      <w:r>
        <w:rPr>
          <w:rFonts w:hint="eastAsia" w:eastAsia="仿宋_GB2312"/>
          <w:color w:val="000000"/>
          <w:sz w:val="32"/>
          <w:szCs w:val="32"/>
        </w:rPr>
        <w:t>　　公用经费18.63万元，主要包括：办公费、水费、邮电费、差旅费、维修（护）费、公务接待费、福利费、其他交通费、其他商品和服务支出等。</w:t>
      </w:r>
    </w:p>
    <w:p w14:paraId="586C3026">
      <w:pPr>
        <w:adjustRightInd w:val="0"/>
        <w:snapToGrid w:val="0"/>
        <w:spacing w:line="560" w:lineRule="exact"/>
        <w:ind w:firstLine="643" w:firstLineChars="200"/>
        <w:outlineLvl w:val="1"/>
        <w:rPr>
          <w:rStyle w:val="17"/>
          <w:rFonts w:ascii="楷体" w:hAnsi="楷体" w:eastAsia="楷体" w:cs="楷体"/>
          <w:bCs w:val="0"/>
        </w:rPr>
      </w:pPr>
      <w:bookmarkStart w:id="35" w:name="_Toc15377215"/>
      <w:bookmarkStart w:id="36" w:name="_Toc15396609"/>
      <w:r>
        <w:rPr>
          <w:rStyle w:val="17"/>
          <w:rFonts w:hint="eastAsia" w:ascii="楷体" w:hAnsi="楷体" w:eastAsia="楷体" w:cs="楷体"/>
          <w:bCs w:val="0"/>
        </w:rPr>
        <w:t>七、一般公共预算财政拨款“三公”经费支出决算情况说明</w:t>
      </w:r>
      <w:bookmarkEnd w:id="35"/>
      <w:bookmarkEnd w:id="36"/>
      <w:r>
        <w:rPr>
          <w:rStyle w:val="17"/>
          <w:rFonts w:hint="eastAsia" w:ascii="楷体" w:hAnsi="楷体" w:eastAsia="楷体" w:cs="楷体"/>
          <w:bCs w:val="0"/>
        </w:rPr>
        <w:t>。</w:t>
      </w:r>
    </w:p>
    <w:p w14:paraId="226715A7">
      <w:pPr>
        <w:adjustRightInd w:val="0"/>
        <w:snapToGrid w:val="0"/>
        <w:spacing w:line="560" w:lineRule="exact"/>
        <w:ind w:firstLine="643" w:firstLineChars="200"/>
        <w:outlineLvl w:val="2"/>
        <w:rPr>
          <w:rFonts w:eastAsia="仿宋_GB2312"/>
          <w:b/>
          <w:bCs/>
          <w:color w:val="000000"/>
          <w:sz w:val="32"/>
          <w:szCs w:val="32"/>
        </w:rPr>
      </w:pPr>
      <w:bookmarkStart w:id="37" w:name="_Toc15377216"/>
      <w:r>
        <w:rPr>
          <w:rFonts w:hint="eastAsia" w:eastAsia="仿宋_GB2312"/>
          <w:b/>
          <w:bCs/>
          <w:color w:val="000000"/>
          <w:sz w:val="32"/>
          <w:szCs w:val="32"/>
        </w:rPr>
        <w:t>（一）“三公”经费财政拨款支出决算总体情况说明</w:t>
      </w:r>
      <w:bookmarkEnd w:id="37"/>
      <w:r>
        <w:rPr>
          <w:rFonts w:hint="eastAsia" w:eastAsia="仿宋_GB2312"/>
          <w:b/>
          <w:bCs/>
          <w:color w:val="000000"/>
          <w:sz w:val="32"/>
          <w:szCs w:val="32"/>
        </w:rPr>
        <w:t>。</w:t>
      </w:r>
    </w:p>
    <w:p w14:paraId="280B6234">
      <w:pPr>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2020年度“三公”经费财政拨款支出决算为0.39万元，完成预算</w:t>
      </w:r>
      <w:r>
        <w:rPr>
          <w:rFonts w:hint="eastAsia" w:eastAsia="仿宋_GB2312"/>
          <w:sz w:val="32"/>
          <w:szCs w:val="32"/>
        </w:rPr>
        <w:t>26.0%，</w:t>
      </w:r>
      <w:r>
        <w:rPr>
          <w:rFonts w:hint="eastAsia" w:eastAsia="仿宋_GB2312"/>
          <w:color w:val="000000"/>
          <w:sz w:val="32"/>
          <w:szCs w:val="32"/>
        </w:rPr>
        <w:t>决算数小于预算数的主要原因一是厉行节约，减少开支；二是工作交流、业务活动开展较2019年有所减少。</w:t>
      </w:r>
    </w:p>
    <w:p w14:paraId="329C3642">
      <w:pPr>
        <w:adjustRightInd w:val="0"/>
        <w:snapToGrid w:val="0"/>
        <w:spacing w:line="560" w:lineRule="exact"/>
        <w:ind w:firstLine="643" w:firstLineChars="200"/>
        <w:outlineLvl w:val="2"/>
        <w:rPr>
          <w:rFonts w:eastAsia="仿宋_GB2312"/>
          <w:b/>
          <w:bCs/>
          <w:color w:val="000000"/>
          <w:sz w:val="32"/>
          <w:szCs w:val="32"/>
        </w:rPr>
      </w:pPr>
      <w:bookmarkStart w:id="38" w:name="_Toc15377217"/>
      <w:r>
        <w:rPr>
          <w:rFonts w:hint="eastAsia" w:eastAsia="仿宋_GB2312"/>
          <w:b/>
          <w:bCs/>
          <w:color w:val="000000"/>
          <w:sz w:val="32"/>
          <w:szCs w:val="32"/>
        </w:rPr>
        <w:t>（二）“三公”经费财政拨款支出决算具体情况说明</w:t>
      </w:r>
      <w:bookmarkEnd w:id="38"/>
      <w:r>
        <w:rPr>
          <w:rFonts w:hint="eastAsia" w:eastAsia="仿宋_GB2312"/>
          <w:b/>
          <w:bCs/>
          <w:color w:val="000000"/>
          <w:sz w:val="32"/>
          <w:szCs w:val="32"/>
        </w:rPr>
        <w:t>。</w:t>
      </w:r>
    </w:p>
    <w:p w14:paraId="6EA33EA3">
      <w:pPr>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2020年度“三公”经费财政拨款支出决算中，因公出国（境）费支出决算0万元，占0%；公务用车购置及运行维护费支出决算0万元，占0%；公务接待费支出决算0.39万元，占</w:t>
      </w:r>
      <w:r>
        <w:rPr>
          <w:rFonts w:hint="eastAsia" w:eastAsia="仿宋_GB2312"/>
          <w:sz w:val="32"/>
          <w:szCs w:val="32"/>
        </w:rPr>
        <w:t>100</w:t>
      </w:r>
      <w:r>
        <w:rPr>
          <w:rFonts w:hint="eastAsia" w:eastAsia="仿宋_GB2312"/>
          <w:color w:val="000000"/>
          <w:sz w:val="32"/>
          <w:szCs w:val="32"/>
        </w:rPr>
        <w:t>%。具体情况如下：</w:t>
      </w:r>
      <w:r>
        <w:rPr>
          <w:rFonts w:eastAsia="仿宋_GB2312"/>
          <w:color w:val="000000"/>
          <w:sz w:val="32"/>
          <w:szCs w:val="32"/>
        </w:rPr>
        <w:pict>
          <v:shape id="_x0000_s1041" o:spid="_x0000_s1041" o:spt="75" type="#_x0000_t75" style="position:absolute;left:0pt;margin-left:-30.7pt;margin-top:121.2pt;height:191.05pt;width:482.75pt;z-index:251659264;mso-width-relative:page;mso-height-relative:page;" o:ole="t" filled="f" o:preferrelative="t" stroked="f" coordsize="21600,21600">
            <v:path/>
            <v:fill on="f" focussize="0,0"/>
            <v:stroke on="f" joinstyle="miter"/>
            <v:imagedata r:id="rId20" o:title=""/>
            <o:lock v:ext="edit" aspectratio="t"/>
          </v:shape>
          <o:OLEObject Type="Embed" ProgID="MSGraph.Chart.8" ShapeID="_x0000_s1041" DrawAspect="Content" ObjectID="_1468075731" r:id="rId19">
            <o:LockedField>false</o:LockedField>
          </o:OLEObject>
        </w:pict>
      </w:r>
      <w:r>
        <w:rPr>
          <w:rFonts w:eastAsia="仿宋_GB2312"/>
          <w:color w:val="000000"/>
          <w:sz w:val="32"/>
          <w:szCs w:val="32"/>
        </w:rPr>
        <w:pict>
          <v:shape id="_x0000_s1034" o:spid="_x0000_s1034" o:spt="75" type="#_x0000_t75" style="position:absolute;left:0pt;margin-left:-30.7pt;margin-top:17.05pt;height:152.3pt;width:229.3pt;z-index:251659264;mso-width-relative:page;mso-height-relative:page;" o:ole="t" filled="f" o:preferrelative="t" stroked="f" coordsize="21600,21600">
            <v:path/>
            <v:fill on="f" focussize="0,0"/>
            <v:stroke on="f" joinstyle="miter"/>
            <v:imagedata r:id="rId22" o:title=""/>
            <o:lock v:ext="edit" aspectratio="t"/>
          </v:shape>
          <o:OLEObject Type="Embed" ProgID="MSGraph.Chart.8" ShapeID="_x0000_s1034" DrawAspect="Content" ObjectID="_1468075732" r:id="rId21">
            <o:LockedField>false</o:LockedField>
          </o:OLEObject>
        </w:pict>
      </w:r>
    </w:p>
    <w:p w14:paraId="798C7B9F">
      <w:pPr>
        <w:adjustRightInd w:val="0"/>
        <w:snapToGrid w:val="0"/>
        <w:spacing w:line="560" w:lineRule="exact"/>
        <w:ind w:firstLine="640" w:firstLineChars="200"/>
        <w:rPr>
          <w:rFonts w:eastAsia="仿宋_GB2312"/>
          <w:color w:val="000000"/>
          <w:sz w:val="32"/>
          <w:szCs w:val="32"/>
        </w:rPr>
      </w:pPr>
    </w:p>
    <w:p w14:paraId="14CBA94E">
      <w:pPr>
        <w:adjustRightInd w:val="0"/>
        <w:snapToGrid w:val="0"/>
        <w:spacing w:line="560" w:lineRule="exact"/>
        <w:ind w:firstLine="640" w:firstLineChars="200"/>
        <w:rPr>
          <w:rFonts w:eastAsia="仿宋_GB2312"/>
          <w:color w:val="000000"/>
          <w:sz w:val="32"/>
          <w:szCs w:val="32"/>
        </w:rPr>
      </w:pPr>
    </w:p>
    <w:p w14:paraId="104DFC07">
      <w:pPr>
        <w:adjustRightInd w:val="0"/>
        <w:snapToGrid w:val="0"/>
        <w:spacing w:line="560" w:lineRule="exact"/>
        <w:ind w:firstLine="640" w:firstLineChars="200"/>
        <w:rPr>
          <w:rFonts w:eastAsia="仿宋_GB2312"/>
          <w:color w:val="000000"/>
          <w:sz w:val="32"/>
          <w:szCs w:val="32"/>
        </w:rPr>
      </w:pPr>
    </w:p>
    <w:p w14:paraId="5FA3531A">
      <w:pPr>
        <w:adjustRightInd w:val="0"/>
        <w:snapToGrid w:val="0"/>
        <w:spacing w:line="560" w:lineRule="exact"/>
        <w:ind w:firstLine="640" w:firstLineChars="200"/>
        <w:rPr>
          <w:rFonts w:eastAsia="仿宋_GB2312"/>
          <w:color w:val="000000"/>
          <w:sz w:val="32"/>
          <w:szCs w:val="32"/>
        </w:rPr>
      </w:pPr>
    </w:p>
    <w:p w14:paraId="533AD597">
      <w:pPr>
        <w:adjustRightInd w:val="0"/>
        <w:snapToGrid w:val="0"/>
        <w:spacing w:line="560" w:lineRule="exact"/>
        <w:ind w:firstLine="640" w:firstLineChars="200"/>
        <w:rPr>
          <w:rFonts w:eastAsia="仿宋_GB2312"/>
          <w:color w:val="000000"/>
          <w:sz w:val="32"/>
          <w:szCs w:val="32"/>
        </w:rPr>
      </w:pPr>
    </w:p>
    <w:p w14:paraId="7C647BA7">
      <w:pPr>
        <w:adjustRightInd w:val="0"/>
        <w:snapToGrid w:val="0"/>
        <w:spacing w:line="560" w:lineRule="exact"/>
        <w:ind w:firstLine="640" w:firstLineChars="200"/>
        <w:rPr>
          <w:rFonts w:eastAsia="仿宋_GB2312"/>
          <w:color w:val="000000"/>
          <w:sz w:val="32"/>
          <w:szCs w:val="32"/>
        </w:rPr>
      </w:pPr>
    </w:p>
    <w:p w14:paraId="6B9642DF">
      <w:pPr>
        <w:adjustRightInd w:val="0"/>
        <w:snapToGrid w:val="0"/>
        <w:spacing w:line="560" w:lineRule="exact"/>
        <w:rPr>
          <w:rFonts w:eastAsia="仿宋_GB2312"/>
          <w:color w:val="000000"/>
          <w:sz w:val="32"/>
          <w:szCs w:val="32"/>
        </w:rPr>
      </w:pPr>
    </w:p>
    <w:p w14:paraId="0636BFB6">
      <w:pPr>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1、因公出国（境）经费支出0万元</w:t>
      </w:r>
      <w:r>
        <w:rPr>
          <w:rStyle w:val="14"/>
          <w:rFonts w:hint="eastAsia" w:eastAsia="仿宋_GB2312"/>
          <w:bCs/>
          <w:color w:val="000000"/>
          <w:sz w:val="32"/>
          <w:szCs w:val="32"/>
        </w:rPr>
        <w:t>。</w:t>
      </w:r>
      <w:r>
        <w:rPr>
          <w:rFonts w:hint="eastAsia" w:eastAsia="仿宋_GB2312"/>
          <w:color w:val="000000"/>
          <w:sz w:val="32"/>
          <w:szCs w:val="32"/>
        </w:rPr>
        <w:t>全年安排因公出国（境）团组0次，出国（境）0人。因公出国（境）支出决算与2019年持平。</w:t>
      </w:r>
    </w:p>
    <w:p w14:paraId="059267E9">
      <w:pPr>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2、公务用车购置及运行维护费支出0万元</w:t>
      </w:r>
      <w:r>
        <w:rPr>
          <w:rStyle w:val="14"/>
          <w:rFonts w:hint="eastAsia" w:eastAsia="仿宋_GB2312"/>
          <w:bCs/>
          <w:color w:val="000000"/>
          <w:sz w:val="32"/>
          <w:szCs w:val="32"/>
        </w:rPr>
        <w:t>。</w:t>
      </w:r>
      <w:r>
        <w:rPr>
          <w:rFonts w:hint="eastAsia" w:eastAsia="仿宋_GB2312"/>
          <w:color w:val="000000"/>
          <w:sz w:val="32"/>
          <w:szCs w:val="32"/>
        </w:rPr>
        <w:t>截止2016年12月底，由于公务用车改革，我单位已无公务用车。</w:t>
      </w:r>
    </w:p>
    <w:p w14:paraId="4F754276">
      <w:pPr>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3、公务接待费支出0.39万元，</w:t>
      </w:r>
      <w:r>
        <w:rPr>
          <w:rFonts w:hint="eastAsia" w:eastAsia="仿宋_GB2312"/>
          <w:sz w:val="32"/>
          <w:szCs w:val="32"/>
        </w:rPr>
        <w:t>主要用于开展业务活动交流开支的公务接待费，国内公务接待3批次，</w:t>
      </w:r>
      <w:r>
        <w:rPr>
          <w:rStyle w:val="14"/>
          <w:rFonts w:hint="eastAsia" w:eastAsia="仿宋_GB2312"/>
          <w:b w:val="0"/>
          <w:color w:val="000000"/>
          <w:sz w:val="32"/>
          <w:szCs w:val="32"/>
        </w:rPr>
        <w:t>完成预算</w:t>
      </w:r>
      <w:r>
        <w:rPr>
          <w:rFonts w:hint="eastAsia" w:eastAsia="仿宋_GB2312"/>
          <w:color w:val="000000"/>
          <w:sz w:val="32"/>
          <w:szCs w:val="32"/>
        </w:rPr>
        <w:t>26.0%</w:t>
      </w:r>
      <w:r>
        <w:rPr>
          <w:rStyle w:val="14"/>
          <w:rFonts w:hint="eastAsia" w:eastAsia="仿宋_GB2312"/>
          <w:b w:val="0"/>
          <w:color w:val="000000"/>
          <w:sz w:val="32"/>
          <w:szCs w:val="32"/>
        </w:rPr>
        <w:t>。</w:t>
      </w:r>
      <w:r>
        <w:rPr>
          <w:rFonts w:hint="eastAsia" w:eastAsia="仿宋_GB2312"/>
          <w:color w:val="000000"/>
          <w:sz w:val="32"/>
          <w:szCs w:val="32"/>
        </w:rPr>
        <w:t>公务接待费支出决算比2019年减少0.02</w:t>
      </w:r>
      <w:r>
        <w:rPr>
          <w:rStyle w:val="14"/>
          <w:rFonts w:hint="eastAsia" w:eastAsia="仿宋_GB2312"/>
          <w:b w:val="0"/>
          <w:color w:val="000000"/>
          <w:sz w:val="32"/>
          <w:szCs w:val="32"/>
        </w:rPr>
        <w:t>完成预算</w:t>
      </w:r>
      <w:r>
        <w:rPr>
          <w:rFonts w:hint="eastAsia" w:eastAsia="仿宋_GB2312"/>
          <w:color w:val="000000"/>
          <w:sz w:val="32"/>
          <w:szCs w:val="32"/>
        </w:rPr>
        <w:t>26.0%</w:t>
      </w:r>
      <w:r>
        <w:rPr>
          <w:rStyle w:val="14"/>
          <w:rFonts w:hint="eastAsia" w:eastAsia="仿宋_GB2312"/>
          <w:b w:val="0"/>
          <w:color w:val="000000"/>
          <w:sz w:val="32"/>
          <w:szCs w:val="32"/>
        </w:rPr>
        <w:t>。</w:t>
      </w:r>
      <w:r>
        <w:rPr>
          <w:rFonts w:hint="eastAsia" w:eastAsia="仿宋_GB2312"/>
          <w:color w:val="000000"/>
          <w:sz w:val="32"/>
          <w:szCs w:val="32"/>
        </w:rPr>
        <w:t>公务接待费支出决算比2019年减少0.02万元</w:t>
      </w:r>
      <w:r>
        <w:rPr>
          <w:rFonts w:hint="eastAsia" w:eastAsia="仿宋_GB2312"/>
          <w:sz w:val="32"/>
          <w:szCs w:val="32"/>
        </w:rPr>
        <w:t>，减少5%。</w:t>
      </w:r>
      <w:r>
        <w:rPr>
          <w:rFonts w:hint="eastAsia" w:eastAsia="仿宋_GB2312"/>
          <w:color w:val="000000"/>
          <w:sz w:val="32"/>
          <w:szCs w:val="32"/>
        </w:rPr>
        <w:t>主要原因一是厉行节约，减少开支；二是</w:t>
      </w:r>
      <w:bookmarkStart w:id="39" w:name="_Toc15396610"/>
      <w:bookmarkStart w:id="40" w:name="_Toc15377218"/>
      <w:r>
        <w:rPr>
          <w:rFonts w:hint="eastAsia" w:eastAsia="仿宋_GB2312"/>
          <w:sz w:val="32"/>
          <w:szCs w:val="32"/>
        </w:rPr>
        <w:t>接待批次及人数</w:t>
      </w:r>
      <w:r>
        <w:rPr>
          <w:rFonts w:hint="eastAsia" w:eastAsia="仿宋_GB2312"/>
          <w:color w:val="000000"/>
          <w:sz w:val="32"/>
          <w:szCs w:val="32"/>
        </w:rPr>
        <w:t>减少。</w:t>
      </w:r>
    </w:p>
    <w:p w14:paraId="2796CF5E">
      <w:pPr>
        <w:adjustRightInd w:val="0"/>
        <w:snapToGrid w:val="0"/>
        <w:spacing w:line="560" w:lineRule="exact"/>
        <w:ind w:firstLine="643" w:firstLineChars="200"/>
        <w:rPr>
          <w:rStyle w:val="17"/>
          <w:rFonts w:ascii="楷体" w:hAnsi="楷体" w:eastAsia="楷体" w:cs="楷体"/>
          <w:bCs w:val="0"/>
        </w:rPr>
      </w:pPr>
      <w:r>
        <w:rPr>
          <w:rStyle w:val="17"/>
          <w:rFonts w:hint="eastAsia" w:ascii="楷体" w:hAnsi="楷体" w:eastAsia="楷体" w:cs="楷体"/>
          <w:bCs w:val="0"/>
        </w:rPr>
        <w:t>八、政府性基金预算财政拨款收入支出决算情况说明</w:t>
      </w:r>
      <w:bookmarkEnd w:id="39"/>
      <w:bookmarkEnd w:id="40"/>
      <w:r>
        <w:rPr>
          <w:rStyle w:val="17"/>
          <w:rFonts w:hint="eastAsia" w:ascii="楷体" w:hAnsi="楷体" w:eastAsia="楷体" w:cs="楷体"/>
          <w:bCs w:val="0"/>
        </w:rPr>
        <w:t>。</w:t>
      </w:r>
    </w:p>
    <w:p w14:paraId="4915F4F7">
      <w:pPr>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2020年度政府性基金预算拨款支出0万元。</w:t>
      </w:r>
    </w:p>
    <w:p w14:paraId="1E7F632D">
      <w:pPr>
        <w:numPr>
          <w:ilvl w:val="0"/>
          <w:numId w:val="1"/>
        </w:numPr>
        <w:spacing w:line="600" w:lineRule="exact"/>
        <w:ind w:firstLine="640"/>
        <w:outlineLvl w:val="1"/>
        <w:rPr>
          <w:rStyle w:val="17"/>
          <w:rFonts w:ascii="黑体" w:hAnsi="黑体" w:eastAsia="黑体"/>
          <w:b w:val="0"/>
        </w:rPr>
      </w:pPr>
      <w:bookmarkStart w:id="41" w:name="_Toc15377219"/>
      <w:bookmarkStart w:id="42" w:name="_Toc15396611"/>
      <w:r>
        <w:rPr>
          <w:rStyle w:val="17"/>
          <w:rFonts w:hint="eastAsia" w:ascii="黑体" w:hAnsi="黑体" w:eastAsia="黑体"/>
        </w:rPr>
        <w:t>国有资本经营预算支出决算情况说明</w:t>
      </w:r>
      <w:bookmarkEnd w:id="41"/>
      <w:bookmarkEnd w:id="42"/>
    </w:p>
    <w:p w14:paraId="3D65D190">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20年度国有资本经营预算拨款支出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14:paraId="4DDCADEA">
      <w:pPr>
        <w:pStyle w:val="3"/>
        <w:adjustRightInd w:val="0"/>
        <w:snapToGrid w:val="0"/>
        <w:spacing w:before="0" w:after="0" w:line="560" w:lineRule="exact"/>
        <w:ind w:firstLine="640" w:firstLineChars="200"/>
        <w:rPr>
          <w:rFonts w:ascii="黑体" w:hAnsi="黑体" w:eastAsia="黑体" w:cs="黑体"/>
          <w:b w:val="0"/>
          <w:color w:val="000000"/>
        </w:rPr>
      </w:pPr>
      <w:bookmarkStart w:id="43" w:name="_Toc15396612"/>
      <w:bookmarkStart w:id="44" w:name="_Toc15377221"/>
      <w:r>
        <w:rPr>
          <w:rFonts w:hint="eastAsia" w:ascii="黑体" w:hAnsi="黑体" w:eastAsia="黑体" w:cs="黑体"/>
          <w:b w:val="0"/>
          <w:color w:val="000000"/>
        </w:rPr>
        <w:t>十、其他重要事项的情况说明</w:t>
      </w:r>
      <w:bookmarkEnd w:id="43"/>
      <w:bookmarkEnd w:id="44"/>
    </w:p>
    <w:p w14:paraId="010B35FD">
      <w:pPr>
        <w:adjustRightInd w:val="0"/>
        <w:snapToGrid w:val="0"/>
        <w:spacing w:line="560" w:lineRule="exact"/>
        <w:ind w:firstLine="643" w:firstLineChars="200"/>
        <w:outlineLvl w:val="1"/>
        <w:rPr>
          <w:rStyle w:val="17"/>
          <w:rFonts w:ascii="楷体" w:hAnsi="楷体" w:eastAsia="楷体" w:cs="楷体"/>
          <w:bCs w:val="0"/>
        </w:rPr>
      </w:pPr>
      <w:r>
        <w:rPr>
          <w:rStyle w:val="17"/>
          <w:rFonts w:hint="eastAsia" w:ascii="楷体" w:hAnsi="楷体" w:eastAsia="楷体" w:cs="楷体"/>
          <w:bCs w:val="0"/>
        </w:rPr>
        <w:t>（一）关于“三公”经费支出说明。</w:t>
      </w:r>
    </w:p>
    <w:p w14:paraId="1D1A4F1D">
      <w:pPr>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2020年度“三公”经费财政拨款支出，因公出国（境）费支出决算0万元；公务用车购置及运行维护费支出决算0万元；公务接待费支出决算0.39万元,比2019年减少0.02万元，</w:t>
      </w:r>
      <w:r>
        <w:rPr>
          <w:rFonts w:hint="eastAsia" w:eastAsia="仿宋_GB2312"/>
          <w:sz w:val="32"/>
          <w:szCs w:val="32"/>
        </w:rPr>
        <w:t>减少5%,主要原因一是厉行节约，减少开支,二是接待批次及人数</w:t>
      </w:r>
      <w:r>
        <w:rPr>
          <w:rFonts w:hint="eastAsia" w:eastAsia="仿宋_GB2312"/>
          <w:color w:val="000000"/>
          <w:sz w:val="32"/>
          <w:szCs w:val="32"/>
        </w:rPr>
        <w:t>减少。</w:t>
      </w:r>
    </w:p>
    <w:p w14:paraId="7ECDED4D">
      <w:pPr>
        <w:adjustRightInd w:val="0"/>
        <w:snapToGrid w:val="0"/>
        <w:spacing w:line="560" w:lineRule="exact"/>
        <w:ind w:firstLine="643" w:firstLineChars="200"/>
        <w:outlineLvl w:val="1"/>
        <w:rPr>
          <w:rStyle w:val="17"/>
          <w:rFonts w:ascii="楷体" w:hAnsi="楷体" w:eastAsia="楷体" w:cs="楷体"/>
          <w:bCs w:val="0"/>
        </w:rPr>
      </w:pPr>
      <w:bookmarkStart w:id="45" w:name="_Toc15377222"/>
      <w:r>
        <w:rPr>
          <w:rStyle w:val="17"/>
          <w:rFonts w:hint="eastAsia" w:ascii="楷体" w:hAnsi="楷体" w:eastAsia="楷体" w:cs="楷体"/>
          <w:bCs w:val="0"/>
        </w:rPr>
        <w:t>（二）关于机关运行经费支出</w:t>
      </w:r>
      <w:bookmarkEnd w:id="45"/>
      <w:r>
        <w:rPr>
          <w:rStyle w:val="17"/>
          <w:rFonts w:hint="eastAsia" w:ascii="楷体" w:hAnsi="楷体" w:eastAsia="楷体" w:cs="楷体"/>
          <w:bCs w:val="0"/>
        </w:rPr>
        <w:t>说明。</w:t>
      </w:r>
    </w:p>
    <w:p w14:paraId="7751A727">
      <w:pPr>
        <w:adjustRightInd w:val="0"/>
        <w:snapToGrid w:val="0"/>
        <w:spacing w:line="560" w:lineRule="exact"/>
        <w:ind w:firstLine="640" w:firstLineChars="200"/>
        <w:rPr>
          <w:rFonts w:eastAsia="仿宋_GB2312"/>
          <w:sz w:val="32"/>
          <w:szCs w:val="32"/>
        </w:rPr>
      </w:pPr>
      <w:r>
        <w:rPr>
          <w:rFonts w:hint="eastAsia" w:eastAsia="仿宋_GB2312"/>
          <w:color w:val="000000"/>
          <w:sz w:val="32"/>
          <w:szCs w:val="32"/>
        </w:rPr>
        <w:t>2020年度，机关运行经费支出18.63万元，与2019年持平</w:t>
      </w:r>
      <w:r>
        <w:rPr>
          <w:rFonts w:hint="eastAsia" w:eastAsia="仿宋_GB2312"/>
          <w:sz w:val="32"/>
          <w:szCs w:val="32"/>
        </w:rPr>
        <w:t>。</w:t>
      </w:r>
    </w:p>
    <w:p w14:paraId="79A17400">
      <w:pPr>
        <w:adjustRightInd w:val="0"/>
        <w:snapToGrid w:val="0"/>
        <w:spacing w:line="560" w:lineRule="exact"/>
        <w:ind w:firstLine="643" w:firstLineChars="200"/>
        <w:outlineLvl w:val="1"/>
        <w:rPr>
          <w:rStyle w:val="17"/>
          <w:rFonts w:ascii="楷体" w:hAnsi="楷体" w:eastAsia="楷体" w:cs="楷体"/>
          <w:bCs w:val="0"/>
        </w:rPr>
      </w:pPr>
      <w:bookmarkStart w:id="46" w:name="_Toc15377223"/>
      <w:r>
        <w:rPr>
          <w:rStyle w:val="17"/>
          <w:rFonts w:hint="eastAsia" w:ascii="楷体" w:hAnsi="楷体" w:eastAsia="楷体" w:cs="楷体"/>
          <w:bCs w:val="0"/>
        </w:rPr>
        <w:t>（三）关于政府采购支出</w:t>
      </w:r>
      <w:bookmarkEnd w:id="46"/>
      <w:r>
        <w:rPr>
          <w:rStyle w:val="17"/>
          <w:rFonts w:hint="eastAsia" w:ascii="楷体" w:hAnsi="楷体" w:eastAsia="楷体" w:cs="楷体"/>
          <w:bCs w:val="0"/>
        </w:rPr>
        <w:t>说明。</w:t>
      </w:r>
    </w:p>
    <w:p w14:paraId="1C9950D5">
      <w:pPr>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2020年度，行政审批局政府采购支出总额23.26万元。</w:t>
      </w:r>
    </w:p>
    <w:p w14:paraId="67666978">
      <w:pPr>
        <w:adjustRightInd w:val="0"/>
        <w:snapToGrid w:val="0"/>
        <w:spacing w:line="560" w:lineRule="exact"/>
        <w:ind w:firstLine="643" w:firstLineChars="200"/>
        <w:outlineLvl w:val="1"/>
        <w:rPr>
          <w:rStyle w:val="17"/>
          <w:rFonts w:ascii="楷体" w:hAnsi="楷体" w:eastAsia="楷体" w:cs="楷体"/>
          <w:bCs w:val="0"/>
        </w:rPr>
      </w:pPr>
      <w:bookmarkStart w:id="47" w:name="_Toc15377224"/>
      <w:r>
        <w:rPr>
          <w:rStyle w:val="17"/>
          <w:rFonts w:hint="eastAsia" w:ascii="楷体" w:hAnsi="楷体" w:eastAsia="楷体" w:cs="楷体"/>
          <w:bCs w:val="0"/>
        </w:rPr>
        <w:t>（四）关于国有资产占用情况</w:t>
      </w:r>
      <w:bookmarkEnd w:id="47"/>
      <w:r>
        <w:rPr>
          <w:rStyle w:val="17"/>
          <w:rFonts w:hint="eastAsia" w:ascii="楷体" w:hAnsi="楷体" w:eastAsia="楷体" w:cs="楷体"/>
          <w:bCs w:val="0"/>
        </w:rPr>
        <w:t>说明。</w:t>
      </w:r>
    </w:p>
    <w:p w14:paraId="589A9CE5">
      <w:pPr>
        <w:autoSpaceDE w:val="0"/>
        <w:autoSpaceDN w:val="0"/>
        <w:adjustRightInd w:val="0"/>
        <w:snapToGrid w:val="0"/>
        <w:spacing w:line="560" w:lineRule="exact"/>
        <w:ind w:firstLine="640" w:firstLineChars="200"/>
        <w:jc w:val="left"/>
        <w:rPr>
          <w:rFonts w:eastAsia="仿宋_GB2312"/>
          <w:color w:val="000000"/>
          <w:sz w:val="32"/>
          <w:szCs w:val="32"/>
        </w:rPr>
      </w:pPr>
      <w:r>
        <w:rPr>
          <w:rFonts w:hint="eastAsia" w:eastAsia="仿宋_GB2312"/>
          <w:color w:val="000000"/>
          <w:sz w:val="32"/>
          <w:szCs w:val="32"/>
        </w:rPr>
        <w:t>截至2020年12月31日，单价50万元以上通用设备1套。</w:t>
      </w:r>
    </w:p>
    <w:p w14:paraId="14C3239D">
      <w:pPr>
        <w:adjustRightInd w:val="0"/>
        <w:snapToGrid w:val="0"/>
        <w:spacing w:line="560" w:lineRule="exact"/>
        <w:ind w:firstLine="643" w:firstLineChars="200"/>
        <w:outlineLvl w:val="1"/>
        <w:rPr>
          <w:rStyle w:val="17"/>
          <w:rFonts w:ascii="楷体" w:hAnsi="楷体" w:eastAsia="楷体" w:cs="楷体"/>
          <w:bCs w:val="0"/>
        </w:rPr>
      </w:pPr>
      <w:r>
        <w:rPr>
          <w:rStyle w:val="17"/>
          <w:rFonts w:hint="eastAsia" w:ascii="楷体" w:hAnsi="楷体" w:eastAsia="楷体" w:cs="楷体"/>
          <w:bCs w:val="0"/>
        </w:rPr>
        <w:t>（五）关于2020年度预算绩效情况说明。</w:t>
      </w:r>
    </w:p>
    <w:p w14:paraId="675C8C25">
      <w:pPr>
        <w:adjustRightInd w:val="0"/>
        <w:snapToGrid w:val="0"/>
        <w:spacing w:line="560" w:lineRule="exact"/>
        <w:ind w:firstLine="643" w:firstLineChars="200"/>
        <w:rPr>
          <w:rFonts w:eastAsia="仿宋_GB2312" w:cs="楷体_GB2312"/>
          <w:b/>
          <w:bCs/>
          <w:sz w:val="32"/>
          <w:szCs w:val="32"/>
        </w:rPr>
      </w:pPr>
      <w:r>
        <w:rPr>
          <w:rFonts w:hint="eastAsia" w:eastAsia="仿宋_GB2312" w:cs="楷体_GB2312"/>
          <w:b/>
          <w:bCs/>
          <w:sz w:val="32"/>
          <w:szCs w:val="32"/>
        </w:rPr>
        <w:t>1.预算绩效管理工作开展情况。</w:t>
      </w:r>
    </w:p>
    <w:p w14:paraId="1B50A8D3">
      <w:pPr>
        <w:adjustRightInd w:val="0"/>
        <w:snapToGrid w:val="0"/>
        <w:spacing w:line="560" w:lineRule="exact"/>
        <w:ind w:firstLine="640" w:firstLineChars="200"/>
        <w:rPr>
          <w:rFonts w:eastAsia="仿宋_GB2312" w:cs="仿宋_GB2312"/>
          <w:sz w:val="32"/>
          <w:szCs w:val="32"/>
        </w:rPr>
      </w:pPr>
      <w:r>
        <w:rPr>
          <w:rFonts w:hint="eastAsia" w:eastAsia="仿宋_GB2312" w:cs="仿宋_GB2312"/>
          <w:sz w:val="32"/>
          <w:szCs w:val="32"/>
        </w:rPr>
        <w:t>根据预算绩效管理要求，本部门在年初预算编制阶段，组织对临聘人员经费、大厅基本运转经费、午餐补助经费等绩效目标开展了预算事前绩效评估，对3个项目编制了绩效目标，预算执行过程中，选取3个项目开展绩效监控，年终执行完毕后，对3个项目开展了绩效目标完成情况梳理填报。</w:t>
      </w:r>
    </w:p>
    <w:p w14:paraId="4CD2A475">
      <w:pPr>
        <w:adjustRightInd w:val="0"/>
        <w:snapToGrid w:val="0"/>
        <w:spacing w:line="560" w:lineRule="exact"/>
        <w:ind w:firstLine="640" w:firstLineChars="200"/>
        <w:rPr>
          <w:rFonts w:eastAsia="仿宋_GB2312" w:cs="仿宋_GB2312"/>
          <w:sz w:val="32"/>
          <w:szCs w:val="32"/>
        </w:rPr>
      </w:pPr>
      <w:r>
        <w:rPr>
          <w:rFonts w:hint="eastAsia" w:eastAsia="仿宋_GB2312" w:cs="仿宋_GB2312"/>
          <w:sz w:val="32"/>
          <w:szCs w:val="32"/>
        </w:rPr>
        <w:t>本部门按要求对2020年部门整体支出开展绩效自评，从评价情况来看，临聘人员经费项目完成支付了2020年度2名编外临聘人员的工资及单位部分“五险一金”，确保了大厅咨询服务工作正常运转；大厅基本运转经费项目完成支付2020年度大厅基本运转</w:t>
      </w:r>
      <w:r>
        <w:rPr>
          <w:rFonts w:hint="eastAsia" w:eastAsia="仿宋_GB2312" w:cs="仿宋_GB2312"/>
          <w:sz w:val="32"/>
          <w:szCs w:val="32"/>
          <w:lang w:eastAsia="zh-CN"/>
        </w:rPr>
        <w:t>所</w:t>
      </w:r>
      <w:r>
        <w:rPr>
          <w:rFonts w:hint="eastAsia" w:eastAsia="仿宋_GB2312" w:cs="仿宋_GB2312"/>
          <w:sz w:val="32"/>
          <w:szCs w:val="32"/>
        </w:rPr>
        <w:t>产生的相关费用，确保了大厅日常工作正常运转；</w:t>
      </w:r>
      <w:r>
        <w:rPr>
          <w:rFonts w:hint="eastAsia" w:eastAsia="仿宋_GB2312"/>
          <w:sz w:val="32"/>
          <w:szCs w:val="32"/>
        </w:rPr>
        <w:t>午餐补助经费项目完成支付了</w:t>
      </w:r>
      <w:r>
        <w:rPr>
          <w:rFonts w:eastAsia="仿宋_GB2312"/>
          <w:sz w:val="32"/>
          <w:szCs w:val="32"/>
        </w:rPr>
        <w:t>20</w:t>
      </w:r>
      <w:r>
        <w:rPr>
          <w:rFonts w:hint="eastAsia" w:eastAsia="仿宋_GB2312"/>
          <w:sz w:val="32"/>
          <w:szCs w:val="32"/>
        </w:rPr>
        <w:t>20年度大厅及相关部门158余人因中午休息时间短，不能回家吃午餐，县政府给予批准的午餐补助，严格按日考核、月积累按标准发放，确保人员及金额不重不漏，更快捷、更方便服务办事群众，展现政府的良好形象。</w:t>
      </w:r>
    </w:p>
    <w:p w14:paraId="7A2159C4">
      <w:pPr>
        <w:adjustRightInd w:val="0"/>
        <w:snapToGrid w:val="0"/>
        <w:spacing w:line="560" w:lineRule="exact"/>
        <w:ind w:left="210" w:leftChars="100" w:firstLine="321" w:firstLineChars="100"/>
        <w:rPr>
          <w:rFonts w:eastAsia="仿宋_GB2312" w:cs="仿宋_GB2312"/>
          <w:sz w:val="32"/>
          <w:szCs w:val="32"/>
        </w:rPr>
      </w:pPr>
      <w:r>
        <w:rPr>
          <w:rFonts w:hint="eastAsia" w:eastAsia="仿宋_GB2312"/>
          <w:b/>
          <w:bCs/>
          <w:color w:val="000000"/>
          <w:sz w:val="32"/>
          <w:szCs w:val="32"/>
        </w:rPr>
        <w:t>2.项目绩效目标完成情况。</w:t>
      </w:r>
      <w:r>
        <w:rPr>
          <w:rFonts w:hint="eastAsia" w:eastAsia="仿宋_GB2312"/>
          <w:b/>
          <w:bCs/>
          <w:color w:val="000000"/>
          <w:sz w:val="32"/>
          <w:szCs w:val="32"/>
        </w:rPr>
        <w:br w:type="textWrapping"/>
      </w:r>
      <w:r>
        <w:rPr>
          <w:rFonts w:hint="eastAsia" w:eastAsia="仿宋_GB2312" w:cs="仿宋_GB2312"/>
          <w:sz w:val="32"/>
          <w:szCs w:val="32"/>
        </w:rPr>
        <w:t>本部门在2020年度部门决算中反映“临聘人员经费项目”、“大厅基本运转经费项目”、物业管理费项目3个项目绩效目标实际完成情况。</w:t>
      </w:r>
    </w:p>
    <w:p w14:paraId="1D1462BE">
      <w:pPr>
        <w:adjustRightInd w:val="0"/>
        <w:snapToGrid w:val="0"/>
        <w:spacing w:line="560" w:lineRule="exact"/>
        <w:ind w:firstLine="640" w:firstLineChars="200"/>
        <w:rPr>
          <w:rFonts w:eastAsia="仿宋_GB2312" w:cs="仿宋_GB2312"/>
          <w:sz w:val="32"/>
          <w:szCs w:val="32"/>
        </w:rPr>
      </w:pPr>
      <w:r>
        <w:rPr>
          <w:rFonts w:hint="eastAsia" w:eastAsia="仿宋_GB2312" w:cs="仿宋_GB2312"/>
          <w:sz w:val="32"/>
          <w:szCs w:val="32"/>
        </w:rPr>
        <w:t>（1）临聘人员经费项目绩效目标完成情况综述。项目全年预算数8.68万元，执行数为7.65万元，完成预算的88.14%。通过项目实施，保障了2020年度2名编外临聘人员的工资及单位部分“五险一金”，确保了大厅咨询服务工作正常运转。</w:t>
      </w:r>
    </w:p>
    <w:p w14:paraId="5519619C">
      <w:pPr>
        <w:adjustRightInd w:val="0"/>
        <w:snapToGrid w:val="0"/>
        <w:spacing w:line="560" w:lineRule="exact"/>
        <w:ind w:firstLine="640" w:firstLineChars="200"/>
        <w:rPr>
          <w:rFonts w:eastAsia="仿宋_GB2312" w:cs="仿宋_GB2312"/>
          <w:sz w:val="32"/>
          <w:szCs w:val="32"/>
        </w:rPr>
      </w:pPr>
      <w:r>
        <w:rPr>
          <w:rFonts w:hint="eastAsia" w:eastAsia="仿宋_GB2312" w:cs="仿宋_GB2312"/>
          <w:sz w:val="32"/>
          <w:szCs w:val="32"/>
        </w:rPr>
        <w:t>（2）大厅基本运转经费项目绩效目标完成情况综述。项目全年预算数50.00万元，执行数为44.19万元，完成预算的88.38%。通过项目实施，保障完成支付2020年度大厅基本运转所产生的相关费用，确保了大厅日常工作正常运转。</w:t>
      </w:r>
    </w:p>
    <w:p w14:paraId="6D044F36">
      <w:pPr>
        <w:adjustRightInd w:val="0"/>
        <w:snapToGrid w:val="0"/>
        <w:spacing w:line="560" w:lineRule="exact"/>
        <w:ind w:firstLine="640" w:firstLineChars="200"/>
        <w:rPr>
          <w:rFonts w:eastAsia="仿宋_GB2312" w:cs="仿宋_GB2312"/>
          <w:sz w:val="32"/>
          <w:szCs w:val="32"/>
        </w:rPr>
      </w:pPr>
      <w:r>
        <w:rPr>
          <w:rFonts w:hint="eastAsia" w:eastAsia="仿宋_GB2312" w:cs="仿宋_GB2312"/>
          <w:sz w:val="32"/>
          <w:szCs w:val="32"/>
        </w:rPr>
        <w:t>（3）午餐补助经费项目绩效目标完成情况综述。项目全年预算数</w:t>
      </w:r>
      <w:r>
        <w:rPr>
          <w:rFonts w:eastAsia="仿宋_GB2312" w:cs="仿宋_GB2312"/>
          <w:sz w:val="32"/>
          <w:szCs w:val="32"/>
        </w:rPr>
        <w:t>100</w:t>
      </w:r>
      <w:r>
        <w:rPr>
          <w:rFonts w:hint="eastAsia" w:eastAsia="仿宋_GB2312" w:cs="仿宋_GB2312"/>
          <w:sz w:val="32"/>
          <w:szCs w:val="32"/>
        </w:rPr>
        <w:t>万元，执行数为84.64万元，完成预算的84.64</w:t>
      </w:r>
      <w:r>
        <w:rPr>
          <w:rFonts w:eastAsia="仿宋_GB2312" w:cs="仿宋_GB2312"/>
          <w:sz w:val="32"/>
          <w:szCs w:val="32"/>
        </w:rPr>
        <w:t>%</w:t>
      </w:r>
      <w:r>
        <w:rPr>
          <w:rFonts w:hint="eastAsia" w:eastAsia="仿宋_GB2312" w:cs="仿宋_GB2312"/>
          <w:sz w:val="32"/>
          <w:szCs w:val="32"/>
        </w:rPr>
        <w:t>。通过项目实施，保障了</w:t>
      </w:r>
      <w:r>
        <w:rPr>
          <w:rFonts w:hint="eastAsia" w:eastAsia="仿宋_GB2312"/>
          <w:sz w:val="32"/>
          <w:szCs w:val="32"/>
        </w:rPr>
        <w:t>因中午休息时间短，工作人员不能回家吃午餐，县政府给予批准的午餐补助，严格按日考核、月积累按标准发放，确保人员及金额不重不漏，更快捷、更方便服务办事群众，展现政府的良好形象。</w:t>
      </w:r>
    </w:p>
    <w:p w14:paraId="6C1E2065">
      <w:pPr>
        <w:adjustRightInd w:val="0"/>
        <w:snapToGrid w:val="0"/>
        <w:spacing w:line="560" w:lineRule="exact"/>
        <w:ind w:firstLine="640" w:firstLineChars="200"/>
        <w:rPr>
          <w:rFonts w:eastAsia="仿宋_GB2312" w:cs="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645"/>
        <w:gridCol w:w="1112"/>
        <w:gridCol w:w="1025"/>
        <w:gridCol w:w="2392"/>
        <w:gridCol w:w="2394"/>
        <w:gridCol w:w="2392"/>
      </w:tblGrid>
      <w:tr w14:paraId="18CACD2D">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38F51381">
            <w:pPr>
              <w:pStyle w:val="26"/>
              <w:widowControl/>
              <w:spacing w:line="440" w:lineRule="exact"/>
              <w:ind w:left="4015" w:leftChars="1310" w:hanging="1264" w:hangingChars="395"/>
              <w:textAlignment w:val="center"/>
              <w:rPr>
                <w:rFonts w:ascii="方正小标宋简体" w:hAnsi="方正小标宋简体" w:eastAsia="方正小标宋简体" w:cs="方正小标宋简体"/>
                <w:color w:val="000000"/>
                <w:sz w:val="30"/>
                <w:szCs w:val="30"/>
              </w:rPr>
            </w:pPr>
            <w:r>
              <w:rPr>
                <w:rFonts w:hint="eastAsia" w:ascii="方正小标宋简体" w:hAnsi="方正小标宋简体" w:eastAsia="方正小标宋简体" w:cs="方正小标宋简体"/>
                <w:bCs/>
                <w:color w:val="000000"/>
                <w:kern w:val="0"/>
                <w:sz w:val="32"/>
                <w:szCs w:val="32"/>
              </w:rPr>
              <w:t>项目支出绩效目标完成情况表</w:t>
            </w:r>
            <w:r>
              <w:rPr>
                <w:rFonts w:hint="eastAsia" w:ascii="方正小标宋简体" w:hAnsi="方正小标宋简体" w:eastAsia="方正小标宋简体" w:cs="方正小标宋简体"/>
                <w:b/>
                <w:bCs/>
                <w:color w:val="000000"/>
                <w:kern w:val="0"/>
                <w:sz w:val="32"/>
                <w:szCs w:val="32"/>
              </w:rPr>
              <w:br w:type="textWrapping"/>
            </w:r>
            <w:r>
              <w:rPr>
                <w:rFonts w:hint="eastAsia" w:ascii="方正小标宋简体" w:hAnsi="方正小标宋简体" w:eastAsia="方正小标宋简体" w:cs="方正小标宋简体"/>
                <w:color w:val="000000"/>
                <w:kern w:val="0"/>
                <w:sz w:val="32"/>
                <w:szCs w:val="32"/>
              </w:rPr>
              <w:t>(2020年度)</w:t>
            </w:r>
          </w:p>
        </w:tc>
      </w:tr>
      <w:tr w14:paraId="2A063E6A">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16992E">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E30073">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临聘人员经费</w:t>
            </w:r>
          </w:p>
        </w:tc>
      </w:tr>
      <w:tr w14:paraId="2DFC196B">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842FA9">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9773D5">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米易县行政审批局</w:t>
            </w:r>
          </w:p>
        </w:tc>
      </w:tr>
      <w:tr w14:paraId="0CE9622D">
        <w:tblPrEx>
          <w:tblCellMar>
            <w:top w:w="0" w:type="dxa"/>
            <w:left w:w="0" w:type="dxa"/>
            <w:bottom w:w="0" w:type="dxa"/>
            <w:right w:w="0" w:type="dxa"/>
          </w:tblCellMar>
        </w:tblPrEx>
        <w:trPr>
          <w:trHeight w:val="276" w:hRule="atLeast"/>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818B21">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预算执行情况(万元)</w:t>
            </w:r>
          </w:p>
        </w:tc>
        <w:tc>
          <w:tcPr>
            <w:tcW w:w="21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F3D206">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DD4164">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8.68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C4E4C5">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20E859">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7.65</w:t>
            </w:r>
          </w:p>
        </w:tc>
      </w:tr>
      <w:tr w14:paraId="4B3A8525">
        <w:tblPrEx>
          <w:tblCellMar>
            <w:top w:w="0" w:type="dxa"/>
            <w:left w:w="0" w:type="dxa"/>
            <w:bottom w:w="0" w:type="dxa"/>
            <w:right w:w="0" w:type="dxa"/>
          </w:tblCellMar>
        </w:tblPrEx>
        <w:trPr>
          <w:trHeight w:val="276"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01284AFA">
            <w:pPr>
              <w:widowControl/>
              <w:spacing w:line="440" w:lineRule="exact"/>
              <w:jc w:val="left"/>
              <w:rPr>
                <w:rFonts w:ascii="仿宋_GB2312" w:eastAsia="仿宋_GB2312" w:cs="宋体"/>
                <w:color w:val="000000"/>
                <w:sz w:val="30"/>
                <w:szCs w:val="30"/>
              </w:rPr>
            </w:pPr>
          </w:p>
        </w:tc>
        <w:tc>
          <w:tcPr>
            <w:tcW w:w="21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1C5E3D">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其中</w:t>
            </w:r>
            <w:r>
              <w:rPr>
                <w:rFonts w:hint="eastAsia" w:ascii="仿宋_GB2312" w:eastAsia="仿宋_GB2312" w:cs="宋体"/>
                <w:color w:val="000000"/>
                <w:kern w:val="0"/>
                <w:sz w:val="30"/>
                <w:szCs w:val="30"/>
              </w:rPr>
              <w:t>-</w:t>
            </w:r>
            <w:r>
              <w:rPr>
                <w:rFonts w:hint="eastAsia" w:ascii="仿宋_GB2312" w:hAnsi="宋体" w:eastAsia="仿宋_GB2312" w:cs="宋体"/>
                <w:color w:val="000000"/>
                <w:kern w:val="0"/>
                <w:sz w:val="30"/>
                <w:szCs w:val="30"/>
              </w:rPr>
              <w:t>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E66A85">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8.68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F4A719">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其中</w:t>
            </w:r>
            <w:r>
              <w:rPr>
                <w:rFonts w:hint="eastAsia" w:ascii="仿宋_GB2312" w:eastAsia="仿宋_GB2312" w:cs="宋体"/>
                <w:color w:val="000000"/>
                <w:kern w:val="0"/>
                <w:sz w:val="30"/>
                <w:szCs w:val="30"/>
              </w:rPr>
              <w:t>-</w:t>
            </w:r>
            <w:r>
              <w:rPr>
                <w:rFonts w:hint="eastAsia" w:ascii="仿宋_GB2312" w:hAnsi="宋体" w:eastAsia="仿宋_GB2312" w:cs="宋体"/>
                <w:color w:val="000000"/>
                <w:kern w:val="0"/>
                <w:sz w:val="30"/>
                <w:szCs w:val="30"/>
              </w:rPr>
              <w:t>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DE0675">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7.65</w:t>
            </w:r>
          </w:p>
        </w:tc>
      </w:tr>
      <w:tr w14:paraId="391AEF13">
        <w:tblPrEx>
          <w:tblCellMar>
            <w:top w:w="0" w:type="dxa"/>
            <w:left w:w="0" w:type="dxa"/>
            <w:bottom w:w="0" w:type="dxa"/>
            <w:right w:w="0" w:type="dxa"/>
          </w:tblCellMar>
        </w:tblPrEx>
        <w:trPr>
          <w:trHeight w:val="1511"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33F10750">
            <w:pPr>
              <w:widowControl/>
              <w:spacing w:line="440" w:lineRule="exact"/>
              <w:jc w:val="left"/>
              <w:rPr>
                <w:rFonts w:ascii="仿宋_GB2312" w:eastAsia="仿宋_GB2312" w:cs="宋体"/>
                <w:color w:val="000000"/>
                <w:sz w:val="30"/>
                <w:szCs w:val="30"/>
              </w:rPr>
            </w:pPr>
          </w:p>
        </w:tc>
        <w:tc>
          <w:tcPr>
            <w:tcW w:w="21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819F60">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A8424D">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kern w:val="0"/>
                <w:sz w:val="30"/>
                <w:szCs w:val="30"/>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0A8B14">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9738B2">
            <w:pPr>
              <w:spacing w:line="440" w:lineRule="exact"/>
              <w:jc w:val="center"/>
              <w:rPr>
                <w:rFonts w:ascii="仿宋_GB2312" w:eastAsia="仿宋_GB2312" w:cs="宋体"/>
                <w:color w:val="000000"/>
                <w:sz w:val="30"/>
                <w:szCs w:val="30"/>
              </w:rPr>
            </w:pPr>
            <w:r>
              <w:rPr>
                <w:rFonts w:hint="eastAsia" w:ascii="仿宋_GB2312" w:eastAsia="仿宋_GB2312" w:cs="宋体"/>
                <w:color w:val="000000"/>
                <w:sz w:val="30"/>
                <w:szCs w:val="30"/>
              </w:rPr>
              <w:t>0</w:t>
            </w:r>
          </w:p>
        </w:tc>
      </w:tr>
      <w:tr w14:paraId="79DC35D0">
        <w:tblPrEx>
          <w:tblCellMar>
            <w:top w:w="0" w:type="dxa"/>
            <w:left w:w="0" w:type="dxa"/>
            <w:bottom w:w="0" w:type="dxa"/>
            <w:right w:w="0" w:type="dxa"/>
          </w:tblCellMar>
        </w:tblPrEx>
        <w:trPr>
          <w:trHeight w:val="276" w:hRule="atLeast"/>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16274A">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年度目标完成情况</w:t>
            </w:r>
          </w:p>
        </w:tc>
        <w:tc>
          <w:tcPr>
            <w:tcW w:w="452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1C62EE">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536EF7">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实际完成目标</w:t>
            </w:r>
          </w:p>
        </w:tc>
      </w:tr>
      <w:tr w14:paraId="212FFA76">
        <w:tblPrEx>
          <w:tblCellMar>
            <w:top w:w="0" w:type="dxa"/>
            <w:left w:w="0" w:type="dxa"/>
            <w:bottom w:w="0" w:type="dxa"/>
            <w:right w:w="0" w:type="dxa"/>
          </w:tblCellMar>
        </w:tblPrEx>
        <w:trPr>
          <w:trHeight w:val="1159"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3711977E">
            <w:pPr>
              <w:widowControl/>
              <w:spacing w:line="440" w:lineRule="exact"/>
              <w:jc w:val="left"/>
              <w:rPr>
                <w:rFonts w:ascii="仿宋_GB2312" w:eastAsia="仿宋_GB2312" w:cs="宋体"/>
                <w:color w:val="000000"/>
                <w:sz w:val="30"/>
                <w:szCs w:val="30"/>
              </w:rPr>
            </w:pPr>
          </w:p>
        </w:tc>
        <w:tc>
          <w:tcPr>
            <w:tcW w:w="452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5F68E7">
            <w:pPr>
              <w:widowControl/>
              <w:spacing w:line="440" w:lineRule="exact"/>
              <w:jc w:val="center"/>
              <w:textAlignment w:val="center"/>
              <w:rPr>
                <w:rFonts w:ascii="仿宋_GB2312" w:eastAsia="仿宋_GB2312" w:cs="宋体"/>
                <w:sz w:val="30"/>
                <w:szCs w:val="30"/>
              </w:rPr>
            </w:pPr>
            <w:r>
              <w:rPr>
                <w:rFonts w:hint="eastAsia" w:ascii="仿宋_GB2312" w:hAnsi="仿宋_GB2312" w:eastAsia="仿宋_GB2312" w:cs="仿宋_GB2312"/>
                <w:sz w:val="30"/>
                <w:szCs w:val="30"/>
              </w:rPr>
              <w:t>完成支付2020年度2名编外临聘人员的工资及单位部分“五险一金”，确保大厅咨询服务工作正常运转。</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A19FA2">
            <w:pPr>
              <w:widowControl/>
              <w:spacing w:line="440" w:lineRule="exact"/>
              <w:jc w:val="center"/>
              <w:textAlignment w:val="center"/>
              <w:rPr>
                <w:rFonts w:ascii="仿宋_GB2312" w:eastAsia="仿宋_GB2312" w:cs="宋体"/>
                <w:color w:val="000000"/>
                <w:sz w:val="30"/>
                <w:szCs w:val="30"/>
              </w:rPr>
            </w:pPr>
            <w:r>
              <w:rPr>
                <w:rFonts w:hint="eastAsia" w:ascii="仿宋_GB2312" w:hAnsi="仿宋_GB2312" w:eastAsia="仿宋_GB2312" w:cs="仿宋_GB2312"/>
                <w:sz w:val="30"/>
                <w:szCs w:val="30"/>
              </w:rPr>
              <w:t>完成支付了2020年度2名编外临聘人员的工资及单位部分“五险一金”，确保了大厅咨询服务工作正常运转。</w:t>
            </w:r>
          </w:p>
        </w:tc>
      </w:tr>
      <w:tr w14:paraId="70E1A44A">
        <w:tblPrEx>
          <w:tblCellMar>
            <w:top w:w="0" w:type="dxa"/>
            <w:left w:w="0" w:type="dxa"/>
            <w:bottom w:w="0" w:type="dxa"/>
            <w:right w:w="0" w:type="dxa"/>
          </w:tblCellMar>
        </w:tblPrEx>
        <w:trPr>
          <w:trHeight w:val="1042" w:hRule="atLeast"/>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67CDC8">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sz w:val="30"/>
                <w:szCs w:val="30"/>
              </w:rPr>
              <w:t>绩效指标完成情况</w:t>
            </w: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78C721">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A34196">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3C9B74">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75AC0F">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48B909">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实际完成指标值(包含数字及文字描述)</w:t>
            </w:r>
          </w:p>
        </w:tc>
      </w:tr>
      <w:tr w14:paraId="420428FD">
        <w:tblPrEx>
          <w:tblCellMar>
            <w:top w:w="0" w:type="dxa"/>
            <w:left w:w="0" w:type="dxa"/>
            <w:bottom w:w="0" w:type="dxa"/>
            <w:right w:w="0" w:type="dxa"/>
          </w:tblCellMar>
        </w:tblPrEx>
        <w:trPr>
          <w:trHeight w:val="953"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5052E65D">
            <w:pPr>
              <w:widowControl/>
              <w:spacing w:line="440" w:lineRule="exact"/>
              <w:jc w:val="left"/>
              <w:rPr>
                <w:rFonts w:ascii="仿宋_GB2312" w:eastAsia="仿宋_GB2312" w:cs="宋体"/>
                <w:color w:val="000000"/>
                <w:sz w:val="30"/>
                <w:szCs w:val="30"/>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98AF45">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6F4715">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1E733A">
            <w:pPr>
              <w:spacing w:line="440" w:lineRule="exact"/>
              <w:rPr>
                <w:rFonts w:ascii="仿宋_GB2312" w:eastAsia="仿宋_GB2312" w:cs="宋体"/>
                <w:sz w:val="30"/>
                <w:szCs w:val="30"/>
              </w:rPr>
            </w:pPr>
            <w:r>
              <w:rPr>
                <w:rFonts w:hint="eastAsia" w:ascii="仿宋_GB2312" w:eastAsia="仿宋_GB2312"/>
                <w:sz w:val="30"/>
                <w:szCs w:val="30"/>
              </w:rPr>
              <w:t>编外合同制用工人数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F763FB">
            <w:pPr>
              <w:spacing w:line="440" w:lineRule="exact"/>
              <w:rPr>
                <w:rFonts w:ascii="仿宋_GB2312" w:eastAsia="仿宋_GB2312" w:cs="宋体"/>
                <w:sz w:val="30"/>
                <w:szCs w:val="30"/>
              </w:rPr>
            </w:pPr>
            <w:r>
              <w:rPr>
                <w:rFonts w:hint="eastAsia" w:ascii="仿宋_GB2312" w:eastAsia="仿宋_GB2312"/>
                <w:sz w:val="30"/>
                <w:szCs w:val="30"/>
              </w:rPr>
              <w:t>2020年1月-12月2人工资及单位部分“五险一金”。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524116">
            <w:pPr>
              <w:spacing w:line="440" w:lineRule="exact"/>
              <w:rPr>
                <w:rFonts w:ascii="仿宋_GB2312" w:eastAsia="仿宋_GB2312" w:cs="宋体"/>
                <w:sz w:val="30"/>
                <w:szCs w:val="30"/>
              </w:rPr>
            </w:pPr>
            <w:r>
              <w:rPr>
                <w:rFonts w:hint="eastAsia" w:ascii="仿宋_GB2312" w:eastAsia="仿宋_GB2312"/>
                <w:sz w:val="30"/>
                <w:szCs w:val="30"/>
              </w:rPr>
              <w:t>2020年1月-12月2人工资及单位部分“五险一金”。</w:t>
            </w:r>
          </w:p>
        </w:tc>
      </w:tr>
      <w:tr w14:paraId="4E970535">
        <w:tblPrEx>
          <w:tblCellMar>
            <w:top w:w="0" w:type="dxa"/>
            <w:left w:w="0" w:type="dxa"/>
            <w:bottom w:w="0" w:type="dxa"/>
            <w:right w:w="0" w:type="dxa"/>
          </w:tblCellMar>
        </w:tblPrEx>
        <w:trPr>
          <w:trHeight w:val="1297"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4C292131">
            <w:pPr>
              <w:widowControl/>
              <w:spacing w:line="440" w:lineRule="exact"/>
              <w:jc w:val="left"/>
              <w:rPr>
                <w:rFonts w:ascii="仿宋_GB2312" w:eastAsia="仿宋_GB2312" w:cs="宋体"/>
                <w:color w:val="000000"/>
                <w:sz w:val="30"/>
                <w:szCs w:val="30"/>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AEE2A7">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824DFD">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C0F745">
            <w:pPr>
              <w:spacing w:line="440" w:lineRule="exact"/>
              <w:rPr>
                <w:rFonts w:ascii="仿宋_GB2312" w:eastAsia="仿宋_GB2312" w:cs="宋体"/>
                <w:sz w:val="30"/>
                <w:szCs w:val="30"/>
              </w:rPr>
            </w:pPr>
            <w:r>
              <w:rPr>
                <w:rFonts w:hint="eastAsia" w:ascii="仿宋_GB2312" w:eastAsia="仿宋_GB2312"/>
                <w:sz w:val="30"/>
                <w:szCs w:val="30"/>
              </w:rPr>
              <w:t>保证政务服务大厅咨询工作正常开展。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4E7389">
            <w:pPr>
              <w:spacing w:line="440" w:lineRule="exact"/>
              <w:jc w:val="center"/>
              <w:rPr>
                <w:rFonts w:ascii="仿宋_GB2312" w:eastAsia="仿宋_GB2312" w:cs="宋体"/>
                <w:sz w:val="30"/>
                <w:szCs w:val="30"/>
              </w:rPr>
            </w:pPr>
            <w:r>
              <w:rPr>
                <w:rFonts w:hint="eastAsia" w:ascii="仿宋_GB2312" w:eastAsia="仿宋_GB2312"/>
                <w:sz w:val="30"/>
                <w:szCs w:val="30"/>
              </w:rPr>
              <w:t>辅助完成单位报刊收发等工作。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ED8F2C">
            <w:pPr>
              <w:spacing w:line="440" w:lineRule="exact"/>
              <w:jc w:val="center"/>
              <w:rPr>
                <w:rFonts w:ascii="仿宋_GB2312" w:eastAsia="仿宋_GB2312" w:cs="宋体"/>
                <w:sz w:val="30"/>
                <w:szCs w:val="30"/>
              </w:rPr>
            </w:pPr>
            <w:r>
              <w:rPr>
                <w:rFonts w:hint="eastAsia" w:ascii="仿宋_GB2312" w:eastAsia="仿宋_GB2312"/>
                <w:sz w:val="30"/>
                <w:szCs w:val="30"/>
              </w:rPr>
              <w:t>　辅助完成单位报刊收发等工作。</w:t>
            </w:r>
          </w:p>
        </w:tc>
      </w:tr>
      <w:tr w14:paraId="613FF500">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4A694547">
            <w:pPr>
              <w:widowControl/>
              <w:spacing w:line="440" w:lineRule="exact"/>
              <w:jc w:val="left"/>
              <w:rPr>
                <w:rFonts w:ascii="仿宋_GB2312" w:eastAsia="仿宋_GB2312" w:cs="宋体"/>
                <w:color w:val="000000"/>
                <w:sz w:val="30"/>
                <w:szCs w:val="30"/>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006AAC">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F34806">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2C0A0D">
            <w:pPr>
              <w:spacing w:line="440" w:lineRule="exact"/>
              <w:rPr>
                <w:rFonts w:ascii="仿宋_GB2312" w:eastAsia="仿宋_GB2312" w:cs="宋体"/>
                <w:sz w:val="30"/>
                <w:szCs w:val="30"/>
              </w:rPr>
            </w:pPr>
            <w:r>
              <w:rPr>
                <w:rFonts w:hint="eastAsia" w:ascii="仿宋_GB2312" w:eastAsia="仿宋_GB2312"/>
                <w:sz w:val="30"/>
                <w:szCs w:val="30"/>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05985D">
            <w:pPr>
              <w:spacing w:line="440" w:lineRule="exact"/>
              <w:jc w:val="center"/>
              <w:rPr>
                <w:rFonts w:ascii="仿宋_GB2312" w:eastAsia="仿宋_GB2312" w:cs="宋体"/>
                <w:sz w:val="30"/>
                <w:szCs w:val="30"/>
              </w:rPr>
            </w:pPr>
            <w:r>
              <w:rPr>
                <w:rFonts w:hint="eastAsia" w:ascii="仿宋_GB2312" w:eastAsia="仿宋_GB2312"/>
                <w:sz w:val="30"/>
                <w:szCs w:val="30"/>
              </w:rPr>
              <w:t>2020年12月31日前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41BD94">
            <w:pPr>
              <w:spacing w:line="440" w:lineRule="exact"/>
              <w:jc w:val="center"/>
              <w:rPr>
                <w:rFonts w:ascii="仿宋_GB2312" w:eastAsia="仿宋_GB2312" w:cs="宋体"/>
                <w:sz w:val="30"/>
                <w:szCs w:val="30"/>
              </w:rPr>
            </w:pPr>
            <w:r>
              <w:rPr>
                <w:rFonts w:hint="eastAsia" w:ascii="仿宋_GB2312" w:eastAsia="仿宋_GB2312"/>
                <w:sz w:val="30"/>
                <w:szCs w:val="30"/>
              </w:rPr>
              <w:t>2020年12月31日前</w:t>
            </w:r>
          </w:p>
        </w:tc>
      </w:tr>
      <w:tr w14:paraId="1D408635">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297AFF3C">
            <w:pPr>
              <w:widowControl/>
              <w:spacing w:line="440" w:lineRule="exact"/>
              <w:jc w:val="left"/>
              <w:rPr>
                <w:rFonts w:ascii="仿宋_GB2312" w:eastAsia="仿宋_GB2312" w:cs="宋体"/>
                <w:color w:val="000000"/>
                <w:sz w:val="30"/>
                <w:szCs w:val="30"/>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096F07">
            <w:pPr>
              <w:widowControl/>
              <w:spacing w:line="440" w:lineRule="exact"/>
              <w:jc w:val="center"/>
              <w:textAlignment w:val="center"/>
              <w:rPr>
                <w:rFonts w:ascii="仿宋_GB2312" w:eastAsia="仿宋_GB2312" w:cs="宋体"/>
                <w:color w:val="000000"/>
                <w:kern w:val="0"/>
                <w:sz w:val="30"/>
                <w:szCs w:val="30"/>
              </w:rPr>
            </w:pPr>
            <w:r>
              <w:rPr>
                <w:rFonts w:hint="eastAsia" w:ascii="仿宋_GB2312" w:hAnsi="宋体" w:eastAsia="仿宋_GB2312" w:cs="宋体"/>
                <w:color w:val="000000"/>
                <w:kern w:val="0"/>
                <w:sz w:val="30"/>
                <w:szCs w:val="30"/>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D2AD76">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34E6F7">
            <w:pPr>
              <w:spacing w:line="440" w:lineRule="exact"/>
              <w:rPr>
                <w:rFonts w:ascii="仿宋_GB2312" w:eastAsia="仿宋_GB2312" w:cs="宋体"/>
                <w:sz w:val="30"/>
                <w:szCs w:val="30"/>
              </w:rPr>
            </w:pPr>
            <w:r>
              <w:rPr>
                <w:rFonts w:hint="eastAsia" w:ascii="仿宋_GB2312" w:eastAsia="仿宋_GB2312"/>
                <w:sz w:val="30"/>
                <w:szCs w:val="30"/>
              </w:rPr>
              <w:t>2020年度2名编外临聘人员的工资及单位部分“五险一金”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74966B">
            <w:pPr>
              <w:spacing w:line="440" w:lineRule="exact"/>
              <w:rPr>
                <w:rFonts w:ascii="仿宋_GB2312" w:eastAsia="仿宋_GB2312" w:cs="宋体"/>
                <w:sz w:val="30"/>
                <w:szCs w:val="30"/>
              </w:rPr>
            </w:pPr>
            <w:r>
              <w:rPr>
                <w:rFonts w:hint="eastAsia" w:ascii="仿宋_GB2312" w:eastAsia="仿宋_GB2312"/>
                <w:sz w:val="30"/>
                <w:szCs w:val="30"/>
              </w:rPr>
              <w:t>按照文件批复支付2020年度2名编外临聘人员的工资及单位部分“五险一金”。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A4169A">
            <w:pPr>
              <w:spacing w:line="440" w:lineRule="exact"/>
              <w:rPr>
                <w:rFonts w:ascii="仿宋_GB2312" w:eastAsia="仿宋_GB2312" w:cs="宋体"/>
                <w:sz w:val="30"/>
                <w:szCs w:val="30"/>
              </w:rPr>
            </w:pPr>
            <w:r>
              <w:rPr>
                <w:rFonts w:hint="eastAsia" w:ascii="仿宋_GB2312" w:eastAsia="仿宋_GB2312"/>
                <w:sz w:val="30"/>
                <w:szCs w:val="30"/>
              </w:rPr>
              <w:t>按照文件批复支付2020年度2名编外临聘人员的工资及单位部分“五险一金”合计7.65万元。</w:t>
            </w:r>
          </w:p>
        </w:tc>
      </w:tr>
      <w:tr w14:paraId="70F1D7E6">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2DAD2729">
            <w:pPr>
              <w:widowControl/>
              <w:spacing w:line="440" w:lineRule="exact"/>
              <w:jc w:val="left"/>
              <w:rPr>
                <w:rFonts w:ascii="仿宋_GB2312" w:eastAsia="仿宋_GB2312" w:cs="宋体"/>
                <w:color w:val="000000"/>
                <w:sz w:val="30"/>
                <w:szCs w:val="30"/>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3B55EA">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F6C76A">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95D21E">
            <w:pPr>
              <w:spacing w:line="440" w:lineRule="exact"/>
              <w:rPr>
                <w:rFonts w:ascii="仿宋_GB2312" w:eastAsia="仿宋_GB2312" w:cs="宋体"/>
                <w:sz w:val="30"/>
                <w:szCs w:val="30"/>
              </w:rPr>
            </w:pPr>
            <w:r>
              <w:rPr>
                <w:rFonts w:hint="eastAsia" w:ascii="仿宋_GB2312" w:eastAsia="仿宋_GB2312"/>
                <w:sz w:val="30"/>
                <w:szCs w:val="30"/>
              </w:rPr>
              <w:t>对咨询工作的促进作用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07CF10">
            <w:pPr>
              <w:spacing w:line="440" w:lineRule="exact"/>
              <w:rPr>
                <w:rFonts w:ascii="仿宋_GB2312" w:eastAsia="仿宋_GB2312" w:cs="宋体"/>
                <w:sz w:val="30"/>
                <w:szCs w:val="30"/>
              </w:rPr>
            </w:pPr>
            <w:r>
              <w:rPr>
                <w:rFonts w:hint="eastAsia" w:ascii="仿宋_GB2312" w:eastAsia="仿宋_GB2312"/>
                <w:sz w:val="30"/>
                <w:szCs w:val="30"/>
              </w:rPr>
              <w:t>为办事群众提供便捷、优质的咨询服务，展现政府的良好形象。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7E1B22">
            <w:pPr>
              <w:spacing w:line="440" w:lineRule="exact"/>
              <w:rPr>
                <w:rFonts w:ascii="仿宋_GB2312" w:eastAsia="仿宋_GB2312" w:cs="宋体"/>
                <w:sz w:val="30"/>
                <w:szCs w:val="30"/>
              </w:rPr>
            </w:pPr>
            <w:r>
              <w:rPr>
                <w:rFonts w:hint="eastAsia" w:ascii="仿宋_GB2312" w:eastAsia="仿宋_GB2312"/>
                <w:sz w:val="30"/>
                <w:szCs w:val="30"/>
              </w:rPr>
              <w:t>为办事群众提供便捷、优质的咨询服务，展现政府的良好形象。</w:t>
            </w:r>
          </w:p>
        </w:tc>
      </w:tr>
      <w:tr w14:paraId="27EB3098">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78DA19F4">
            <w:pPr>
              <w:widowControl/>
              <w:spacing w:line="440" w:lineRule="exact"/>
              <w:jc w:val="left"/>
              <w:rPr>
                <w:rFonts w:ascii="仿宋_GB2312" w:eastAsia="仿宋_GB2312" w:cs="宋体"/>
                <w:color w:val="000000"/>
                <w:sz w:val="30"/>
                <w:szCs w:val="30"/>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F56589">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C6634D">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20280E">
            <w:pPr>
              <w:spacing w:line="440" w:lineRule="exact"/>
              <w:jc w:val="center"/>
              <w:rPr>
                <w:rFonts w:ascii="仿宋_GB2312" w:eastAsia="仿宋_GB2312" w:cs="宋体"/>
                <w:sz w:val="30"/>
                <w:szCs w:val="30"/>
              </w:rPr>
            </w:pPr>
            <w:r>
              <w:rPr>
                <w:rFonts w:hint="eastAsia" w:ascii="仿宋_GB2312" w:eastAsia="仿宋_GB2312"/>
                <w:sz w:val="30"/>
                <w:szCs w:val="30"/>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425651">
            <w:pPr>
              <w:spacing w:line="440" w:lineRule="exact"/>
              <w:jc w:val="center"/>
              <w:rPr>
                <w:rFonts w:ascii="仿宋_GB2312" w:eastAsia="仿宋_GB2312" w:cs="宋体"/>
                <w:sz w:val="30"/>
                <w:szCs w:val="30"/>
              </w:rPr>
            </w:pPr>
            <w:r>
              <w:rPr>
                <w:rFonts w:hint="eastAsia" w:ascii="仿宋_GB2312" w:eastAsia="仿宋_GB2312"/>
                <w:sz w:val="30"/>
                <w:szCs w:val="30"/>
              </w:rPr>
              <w:t>95%及以上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6CFA2C">
            <w:pPr>
              <w:spacing w:line="440" w:lineRule="exact"/>
              <w:jc w:val="center"/>
              <w:rPr>
                <w:rFonts w:ascii="仿宋_GB2312" w:eastAsia="仿宋_GB2312" w:cs="宋体"/>
                <w:sz w:val="30"/>
                <w:szCs w:val="30"/>
              </w:rPr>
            </w:pPr>
            <w:r>
              <w:rPr>
                <w:rFonts w:hint="eastAsia" w:ascii="仿宋_GB2312" w:eastAsia="仿宋_GB2312"/>
                <w:sz w:val="30"/>
                <w:szCs w:val="30"/>
              </w:rPr>
              <w:t>95%及以上</w:t>
            </w:r>
          </w:p>
        </w:tc>
      </w:tr>
    </w:tbl>
    <w:p w14:paraId="0684B695">
      <w:pPr>
        <w:tabs>
          <w:tab w:val="left" w:pos="312"/>
        </w:tabs>
        <w:spacing w:line="440" w:lineRule="exact"/>
        <w:rPr>
          <w:rFonts w:ascii="仿宋_GB2312" w:hAnsi="仿宋_GB2312" w:eastAsia="仿宋_GB2312" w:cs="仿宋_GB2312"/>
          <w:sz w:val="30"/>
          <w:szCs w:val="30"/>
        </w:rPr>
      </w:pPr>
    </w:p>
    <w:p w14:paraId="5F0223B1">
      <w:pPr>
        <w:tabs>
          <w:tab w:val="left" w:pos="312"/>
        </w:tabs>
        <w:spacing w:line="440" w:lineRule="exact"/>
        <w:rPr>
          <w:rFonts w:ascii="仿宋_GB2312" w:hAnsi="仿宋_GB2312" w:eastAsia="仿宋_GB2312" w:cs="仿宋_GB2312"/>
          <w:sz w:val="30"/>
          <w:szCs w:val="30"/>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645"/>
        <w:gridCol w:w="1112"/>
        <w:gridCol w:w="1025"/>
        <w:gridCol w:w="2392"/>
        <w:gridCol w:w="2394"/>
        <w:gridCol w:w="2392"/>
      </w:tblGrid>
      <w:tr w14:paraId="23DCB1D9">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2E2C533C">
            <w:pPr>
              <w:pStyle w:val="26"/>
              <w:widowControl/>
              <w:spacing w:line="440" w:lineRule="exact"/>
              <w:ind w:left="4015" w:leftChars="1310" w:hanging="1264" w:hangingChars="395"/>
              <w:textAlignment w:val="center"/>
              <w:rPr>
                <w:rFonts w:ascii="仿宋_GB2312" w:eastAsia="仿宋_GB2312" w:cs="宋体"/>
                <w:color w:val="000000"/>
                <w:sz w:val="30"/>
                <w:szCs w:val="30"/>
              </w:rPr>
            </w:pPr>
            <w:r>
              <w:rPr>
                <w:rFonts w:hint="eastAsia" w:ascii="方正小标宋简体" w:hAnsi="方正小标宋简体" w:eastAsia="方正小标宋简体" w:cs="方正小标宋简体"/>
                <w:bCs/>
                <w:color w:val="000000"/>
                <w:kern w:val="0"/>
                <w:sz w:val="32"/>
                <w:szCs w:val="32"/>
              </w:rPr>
              <w:t>项目支出绩效目标完成情况表</w:t>
            </w:r>
            <w:r>
              <w:rPr>
                <w:rFonts w:hint="eastAsia" w:ascii="方正小标宋简体" w:hAnsi="方正小标宋简体" w:eastAsia="方正小标宋简体" w:cs="方正小标宋简体"/>
                <w:b/>
                <w:bCs/>
                <w:color w:val="000000"/>
                <w:kern w:val="0"/>
                <w:sz w:val="32"/>
                <w:szCs w:val="32"/>
              </w:rPr>
              <w:br w:type="textWrapping"/>
            </w:r>
            <w:r>
              <w:rPr>
                <w:rFonts w:hint="eastAsia" w:ascii="方正小标宋简体" w:hAnsi="方正小标宋简体" w:eastAsia="方正小标宋简体" w:cs="方正小标宋简体"/>
                <w:color w:val="000000"/>
                <w:kern w:val="0"/>
                <w:sz w:val="32"/>
                <w:szCs w:val="32"/>
              </w:rPr>
              <w:t>(2020年度)</w:t>
            </w:r>
          </w:p>
        </w:tc>
      </w:tr>
      <w:tr w14:paraId="238099A6">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221C5B">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3D0AA0">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大厅基本运转经费</w:t>
            </w:r>
          </w:p>
        </w:tc>
      </w:tr>
      <w:tr w14:paraId="45577366">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B27220">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90F0CE">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米易县行政审批局</w:t>
            </w:r>
          </w:p>
        </w:tc>
      </w:tr>
      <w:tr w14:paraId="50F16E42">
        <w:tblPrEx>
          <w:tblCellMar>
            <w:top w:w="0" w:type="dxa"/>
            <w:left w:w="0" w:type="dxa"/>
            <w:bottom w:w="0" w:type="dxa"/>
            <w:right w:w="0" w:type="dxa"/>
          </w:tblCellMar>
        </w:tblPrEx>
        <w:trPr>
          <w:trHeight w:val="276" w:hRule="atLeast"/>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DAE852">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预算执行情况(万元)</w:t>
            </w:r>
          </w:p>
        </w:tc>
        <w:tc>
          <w:tcPr>
            <w:tcW w:w="21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D18FAE">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E19CD7">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50.00</w:t>
            </w:r>
            <w:r>
              <w:rPr>
                <w:rFonts w:ascii="仿宋_GB2312" w:eastAsia="仿宋_GB2312" w:cs="宋体"/>
                <w:color w:val="000000"/>
                <w:sz w:val="30"/>
                <w:szCs w:val="30"/>
              </w:rPr>
              <w:t xml:space="preserve">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711107">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1AACE6">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44.19</w:t>
            </w:r>
          </w:p>
        </w:tc>
      </w:tr>
      <w:tr w14:paraId="50AE86AF">
        <w:tblPrEx>
          <w:tblCellMar>
            <w:top w:w="0" w:type="dxa"/>
            <w:left w:w="0" w:type="dxa"/>
            <w:bottom w:w="0" w:type="dxa"/>
            <w:right w:w="0" w:type="dxa"/>
          </w:tblCellMar>
        </w:tblPrEx>
        <w:trPr>
          <w:trHeight w:val="276"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68CA79BF">
            <w:pPr>
              <w:widowControl/>
              <w:spacing w:line="440" w:lineRule="exact"/>
              <w:jc w:val="left"/>
              <w:rPr>
                <w:rFonts w:ascii="仿宋_GB2312" w:eastAsia="仿宋_GB2312" w:cs="宋体"/>
                <w:color w:val="000000"/>
                <w:sz w:val="30"/>
                <w:szCs w:val="30"/>
              </w:rPr>
            </w:pPr>
          </w:p>
        </w:tc>
        <w:tc>
          <w:tcPr>
            <w:tcW w:w="21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B1AB06">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其中</w:t>
            </w:r>
            <w:r>
              <w:rPr>
                <w:rFonts w:hint="eastAsia" w:ascii="仿宋_GB2312" w:eastAsia="仿宋_GB2312" w:cs="宋体"/>
                <w:color w:val="000000"/>
                <w:kern w:val="0"/>
                <w:sz w:val="30"/>
                <w:szCs w:val="30"/>
              </w:rPr>
              <w:t>-</w:t>
            </w:r>
            <w:r>
              <w:rPr>
                <w:rFonts w:hint="eastAsia" w:ascii="仿宋_GB2312" w:hAnsi="宋体" w:eastAsia="仿宋_GB2312" w:cs="宋体"/>
                <w:color w:val="000000"/>
                <w:kern w:val="0"/>
                <w:sz w:val="30"/>
                <w:szCs w:val="30"/>
              </w:rPr>
              <w:t>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C412FA">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50.00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CC8D20">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其中</w:t>
            </w:r>
            <w:r>
              <w:rPr>
                <w:rFonts w:hint="eastAsia" w:ascii="仿宋_GB2312" w:eastAsia="仿宋_GB2312" w:cs="宋体"/>
                <w:color w:val="000000"/>
                <w:kern w:val="0"/>
                <w:sz w:val="30"/>
                <w:szCs w:val="30"/>
              </w:rPr>
              <w:t>-</w:t>
            </w:r>
            <w:r>
              <w:rPr>
                <w:rFonts w:hint="eastAsia" w:ascii="仿宋_GB2312" w:hAnsi="宋体" w:eastAsia="仿宋_GB2312" w:cs="宋体"/>
                <w:color w:val="000000"/>
                <w:kern w:val="0"/>
                <w:sz w:val="30"/>
                <w:szCs w:val="30"/>
              </w:rPr>
              <w:t>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89AA4D">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44.19</w:t>
            </w:r>
          </w:p>
        </w:tc>
      </w:tr>
      <w:tr w14:paraId="0BAF33D1">
        <w:tblPrEx>
          <w:tblCellMar>
            <w:top w:w="0" w:type="dxa"/>
            <w:left w:w="0" w:type="dxa"/>
            <w:bottom w:w="0" w:type="dxa"/>
            <w:right w:w="0" w:type="dxa"/>
          </w:tblCellMar>
        </w:tblPrEx>
        <w:trPr>
          <w:trHeight w:val="1511"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43CC8F8C">
            <w:pPr>
              <w:widowControl/>
              <w:spacing w:line="440" w:lineRule="exact"/>
              <w:jc w:val="left"/>
              <w:rPr>
                <w:rFonts w:ascii="仿宋_GB2312" w:eastAsia="仿宋_GB2312" w:cs="宋体"/>
                <w:color w:val="000000"/>
                <w:sz w:val="30"/>
                <w:szCs w:val="30"/>
              </w:rPr>
            </w:pPr>
          </w:p>
        </w:tc>
        <w:tc>
          <w:tcPr>
            <w:tcW w:w="21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40B182">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3572CF">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kern w:val="0"/>
                <w:sz w:val="30"/>
                <w:szCs w:val="30"/>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712076">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2F3423">
            <w:pPr>
              <w:spacing w:line="440" w:lineRule="exact"/>
              <w:jc w:val="center"/>
              <w:rPr>
                <w:rFonts w:ascii="仿宋_GB2312" w:eastAsia="仿宋_GB2312" w:cs="宋体"/>
                <w:color w:val="000000"/>
                <w:sz w:val="30"/>
                <w:szCs w:val="30"/>
              </w:rPr>
            </w:pPr>
            <w:r>
              <w:rPr>
                <w:rFonts w:hint="eastAsia" w:ascii="仿宋_GB2312" w:eastAsia="仿宋_GB2312" w:cs="宋体"/>
                <w:color w:val="000000"/>
                <w:sz w:val="30"/>
                <w:szCs w:val="30"/>
              </w:rPr>
              <w:t>0</w:t>
            </w:r>
          </w:p>
        </w:tc>
      </w:tr>
      <w:tr w14:paraId="2116E442">
        <w:tblPrEx>
          <w:tblCellMar>
            <w:top w:w="0" w:type="dxa"/>
            <w:left w:w="0" w:type="dxa"/>
            <w:bottom w:w="0" w:type="dxa"/>
            <w:right w:w="0" w:type="dxa"/>
          </w:tblCellMar>
        </w:tblPrEx>
        <w:trPr>
          <w:trHeight w:val="276" w:hRule="atLeast"/>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330D1A">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年度目标完成情况</w:t>
            </w:r>
          </w:p>
        </w:tc>
        <w:tc>
          <w:tcPr>
            <w:tcW w:w="452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B17FFC">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B33260">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实际完成目标</w:t>
            </w:r>
          </w:p>
        </w:tc>
      </w:tr>
      <w:tr w14:paraId="7998CF6F">
        <w:tblPrEx>
          <w:tblCellMar>
            <w:top w:w="0" w:type="dxa"/>
            <w:left w:w="0" w:type="dxa"/>
            <w:bottom w:w="0" w:type="dxa"/>
            <w:right w:w="0" w:type="dxa"/>
          </w:tblCellMar>
        </w:tblPrEx>
        <w:trPr>
          <w:trHeight w:val="1159"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4A40B757">
            <w:pPr>
              <w:widowControl/>
              <w:spacing w:line="440" w:lineRule="exact"/>
              <w:jc w:val="left"/>
              <w:rPr>
                <w:rFonts w:ascii="仿宋_GB2312" w:eastAsia="仿宋_GB2312" w:cs="宋体"/>
                <w:color w:val="000000"/>
                <w:sz w:val="30"/>
                <w:szCs w:val="30"/>
              </w:rPr>
            </w:pPr>
          </w:p>
        </w:tc>
        <w:tc>
          <w:tcPr>
            <w:tcW w:w="452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14:paraId="00486A35">
            <w:pPr>
              <w:spacing w:line="440" w:lineRule="exact"/>
              <w:rPr>
                <w:rFonts w:ascii="仿宋_GB2312" w:eastAsia="仿宋_GB2312" w:cs="宋体"/>
                <w:sz w:val="30"/>
                <w:szCs w:val="30"/>
              </w:rPr>
            </w:pPr>
            <w:r>
              <w:rPr>
                <w:rFonts w:hint="eastAsia" w:ascii="仿宋_GB2312" w:eastAsia="仿宋_GB2312"/>
                <w:sz w:val="30"/>
                <w:szCs w:val="30"/>
              </w:rPr>
              <w:t>完成支付2020年度大厅基本运转所产生的相关费用，确保大厅日常工作正常运转。</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0379AE">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sz w:val="30"/>
                <w:szCs w:val="30"/>
              </w:rPr>
              <w:t>完成支付了2020年度大厅基本运转所产生的相关费用，确保了大厅日常工作正常运转。</w:t>
            </w:r>
          </w:p>
        </w:tc>
      </w:tr>
      <w:tr w14:paraId="2E88ABAE">
        <w:tblPrEx>
          <w:tblCellMar>
            <w:top w:w="0" w:type="dxa"/>
            <w:left w:w="0" w:type="dxa"/>
            <w:bottom w:w="0" w:type="dxa"/>
            <w:right w:w="0" w:type="dxa"/>
          </w:tblCellMar>
        </w:tblPrEx>
        <w:trPr>
          <w:trHeight w:val="1042" w:hRule="atLeast"/>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7CB4A8">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sz w:val="30"/>
                <w:szCs w:val="30"/>
              </w:rPr>
              <w:t>绩效指标完成情况</w:t>
            </w: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802BB3">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60E310">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41AE25">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C9FA62">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B7FB47">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实际完成指标值(包含数字及文字描述)</w:t>
            </w:r>
          </w:p>
        </w:tc>
      </w:tr>
      <w:tr w14:paraId="4C523A4C">
        <w:tblPrEx>
          <w:tblCellMar>
            <w:top w:w="0" w:type="dxa"/>
            <w:left w:w="0" w:type="dxa"/>
            <w:bottom w:w="0" w:type="dxa"/>
            <w:right w:w="0" w:type="dxa"/>
          </w:tblCellMar>
        </w:tblPrEx>
        <w:trPr>
          <w:trHeight w:val="953"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5C335D00">
            <w:pPr>
              <w:widowControl/>
              <w:spacing w:line="440" w:lineRule="exact"/>
              <w:jc w:val="left"/>
              <w:rPr>
                <w:rFonts w:ascii="仿宋_GB2312" w:eastAsia="仿宋_GB2312" w:cs="宋体"/>
                <w:color w:val="000000"/>
                <w:sz w:val="30"/>
                <w:szCs w:val="30"/>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B66F5E">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BDAB29">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D477ED">
            <w:pPr>
              <w:spacing w:line="440" w:lineRule="exact"/>
              <w:rPr>
                <w:rFonts w:ascii="仿宋_GB2312" w:eastAsia="仿宋_GB2312" w:cs="宋体"/>
                <w:sz w:val="30"/>
                <w:szCs w:val="30"/>
              </w:rPr>
            </w:pPr>
            <w:r>
              <w:rPr>
                <w:rFonts w:hint="eastAsia" w:ascii="仿宋_GB2312" w:eastAsia="仿宋_GB2312"/>
                <w:sz w:val="30"/>
                <w:szCs w:val="30"/>
              </w:rPr>
              <w:t>完成支付2020年度大厅基本运转所产生的相关费用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1F7882">
            <w:pPr>
              <w:spacing w:line="440" w:lineRule="exact"/>
              <w:jc w:val="center"/>
              <w:rPr>
                <w:rFonts w:ascii="仿宋_GB2312" w:eastAsia="仿宋_GB2312" w:cs="宋体"/>
                <w:sz w:val="30"/>
                <w:szCs w:val="30"/>
              </w:rPr>
            </w:pPr>
            <w:r>
              <w:rPr>
                <w:rFonts w:hint="eastAsia" w:ascii="仿宋_GB2312" w:eastAsia="仿宋_GB2312"/>
                <w:sz w:val="30"/>
                <w:szCs w:val="30"/>
              </w:rPr>
              <w:t>2020年1月-12月大厅基本运转产生费用44.19万元。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6C8708">
            <w:pPr>
              <w:spacing w:line="440" w:lineRule="exact"/>
              <w:jc w:val="center"/>
              <w:rPr>
                <w:rFonts w:ascii="仿宋_GB2312" w:eastAsia="仿宋_GB2312" w:cs="宋体"/>
                <w:sz w:val="30"/>
                <w:szCs w:val="30"/>
              </w:rPr>
            </w:pPr>
            <w:r>
              <w:rPr>
                <w:rFonts w:hint="eastAsia" w:ascii="仿宋_GB2312" w:eastAsia="仿宋_GB2312"/>
                <w:sz w:val="30"/>
                <w:szCs w:val="30"/>
              </w:rPr>
              <w:t>2020年1月-12月大厅基本运转产生费用44.19万元。</w:t>
            </w:r>
          </w:p>
        </w:tc>
      </w:tr>
      <w:tr w14:paraId="531C3926">
        <w:tblPrEx>
          <w:tblCellMar>
            <w:top w:w="0" w:type="dxa"/>
            <w:left w:w="0" w:type="dxa"/>
            <w:bottom w:w="0" w:type="dxa"/>
            <w:right w:w="0" w:type="dxa"/>
          </w:tblCellMar>
        </w:tblPrEx>
        <w:trPr>
          <w:trHeight w:val="1297"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7729E552">
            <w:pPr>
              <w:widowControl/>
              <w:spacing w:line="440" w:lineRule="exact"/>
              <w:jc w:val="left"/>
              <w:rPr>
                <w:rFonts w:ascii="仿宋_GB2312" w:eastAsia="仿宋_GB2312" w:cs="宋体"/>
                <w:color w:val="000000"/>
                <w:sz w:val="30"/>
                <w:szCs w:val="30"/>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B2C6EC">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E347E9">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7B0A82">
            <w:pPr>
              <w:spacing w:line="440" w:lineRule="exact"/>
              <w:rPr>
                <w:rFonts w:ascii="仿宋_GB2312" w:eastAsia="仿宋_GB2312" w:cs="宋体"/>
                <w:sz w:val="30"/>
                <w:szCs w:val="30"/>
              </w:rPr>
            </w:pPr>
            <w:r>
              <w:rPr>
                <w:rFonts w:hint="eastAsia" w:ascii="仿宋_GB2312" w:eastAsia="仿宋_GB2312"/>
                <w:sz w:val="30"/>
                <w:szCs w:val="30"/>
              </w:rPr>
              <w:t>大厅基本运转工作完成率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6BD347">
            <w:pPr>
              <w:spacing w:line="440" w:lineRule="exact"/>
              <w:jc w:val="center"/>
              <w:rPr>
                <w:rFonts w:ascii="仿宋_GB2312" w:eastAsia="仿宋_GB2312" w:cs="宋体"/>
                <w:sz w:val="30"/>
                <w:szCs w:val="30"/>
              </w:rPr>
            </w:pPr>
            <w:r>
              <w:rPr>
                <w:rFonts w:hint="eastAsia" w:ascii="仿宋_GB2312" w:eastAsia="仿宋_GB2312"/>
                <w:sz w:val="30"/>
                <w:szCs w:val="3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8E1BCD">
            <w:pPr>
              <w:spacing w:line="440" w:lineRule="exact"/>
              <w:jc w:val="center"/>
              <w:rPr>
                <w:rFonts w:ascii="仿宋_GB2312" w:eastAsia="仿宋_GB2312" w:cs="宋体"/>
                <w:sz w:val="30"/>
                <w:szCs w:val="30"/>
              </w:rPr>
            </w:pPr>
            <w:r>
              <w:rPr>
                <w:rFonts w:hint="eastAsia" w:ascii="仿宋_GB2312" w:eastAsia="仿宋_GB2312"/>
                <w:sz w:val="30"/>
                <w:szCs w:val="30"/>
              </w:rPr>
              <w:t>100%</w:t>
            </w:r>
          </w:p>
        </w:tc>
      </w:tr>
      <w:tr w14:paraId="38FF5710">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5DB70C6B">
            <w:pPr>
              <w:widowControl/>
              <w:spacing w:line="440" w:lineRule="exact"/>
              <w:jc w:val="left"/>
              <w:rPr>
                <w:rFonts w:ascii="仿宋_GB2312" w:eastAsia="仿宋_GB2312" w:cs="宋体"/>
                <w:color w:val="000000"/>
                <w:sz w:val="30"/>
                <w:szCs w:val="30"/>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4042EF">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5248AA">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846F19">
            <w:pPr>
              <w:spacing w:line="440" w:lineRule="exact"/>
              <w:rPr>
                <w:rFonts w:ascii="仿宋_GB2312" w:eastAsia="仿宋_GB2312" w:cs="宋体"/>
                <w:sz w:val="30"/>
                <w:szCs w:val="30"/>
              </w:rPr>
            </w:pPr>
            <w:r>
              <w:rPr>
                <w:rFonts w:hint="eastAsia" w:ascii="仿宋_GB2312" w:eastAsia="仿宋_GB2312"/>
                <w:sz w:val="30"/>
                <w:szCs w:val="30"/>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4290B5">
            <w:pPr>
              <w:spacing w:line="440" w:lineRule="exact"/>
              <w:jc w:val="center"/>
              <w:rPr>
                <w:rFonts w:ascii="仿宋_GB2312" w:eastAsia="仿宋_GB2312" w:cs="宋体"/>
                <w:sz w:val="30"/>
                <w:szCs w:val="30"/>
              </w:rPr>
            </w:pPr>
            <w:r>
              <w:rPr>
                <w:rFonts w:hint="eastAsia" w:ascii="仿宋_GB2312" w:eastAsia="仿宋_GB2312"/>
                <w:sz w:val="30"/>
                <w:szCs w:val="30"/>
              </w:rPr>
              <w:t>2020年12月31日前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FFC6E9">
            <w:pPr>
              <w:spacing w:line="440" w:lineRule="exact"/>
              <w:jc w:val="center"/>
              <w:rPr>
                <w:rFonts w:ascii="仿宋_GB2312" w:eastAsia="仿宋_GB2312" w:cs="宋体"/>
                <w:sz w:val="30"/>
                <w:szCs w:val="30"/>
              </w:rPr>
            </w:pPr>
            <w:r>
              <w:rPr>
                <w:rFonts w:hint="eastAsia" w:ascii="仿宋_GB2312" w:eastAsia="仿宋_GB2312"/>
                <w:sz w:val="30"/>
                <w:szCs w:val="30"/>
              </w:rPr>
              <w:t>2020年12月31日前</w:t>
            </w:r>
          </w:p>
        </w:tc>
      </w:tr>
      <w:tr w14:paraId="192CEB01">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4166E960">
            <w:pPr>
              <w:widowControl/>
              <w:spacing w:line="440" w:lineRule="exact"/>
              <w:jc w:val="left"/>
              <w:rPr>
                <w:rFonts w:ascii="仿宋_GB2312" w:eastAsia="仿宋_GB2312" w:cs="宋体"/>
                <w:color w:val="000000"/>
                <w:sz w:val="30"/>
                <w:szCs w:val="30"/>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AADFBD">
            <w:pPr>
              <w:widowControl/>
              <w:spacing w:line="440" w:lineRule="exact"/>
              <w:jc w:val="center"/>
              <w:textAlignment w:val="center"/>
              <w:rPr>
                <w:rFonts w:ascii="仿宋_GB2312" w:eastAsia="仿宋_GB2312" w:cs="宋体"/>
                <w:color w:val="000000"/>
                <w:kern w:val="0"/>
                <w:sz w:val="30"/>
                <w:szCs w:val="30"/>
              </w:rPr>
            </w:pPr>
            <w:r>
              <w:rPr>
                <w:rFonts w:hint="eastAsia" w:ascii="仿宋_GB2312" w:hAnsi="宋体" w:eastAsia="仿宋_GB2312" w:cs="宋体"/>
                <w:color w:val="000000"/>
                <w:kern w:val="0"/>
                <w:sz w:val="30"/>
                <w:szCs w:val="30"/>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09B81C">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909448">
            <w:pPr>
              <w:spacing w:line="440" w:lineRule="exact"/>
              <w:rPr>
                <w:rFonts w:ascii="仿宋_GB2312" w:eastAsia="仿宋_GB2312" w:cs="宋体"/>
                <w:sz w:val="30"/>
                <w:szCs w:val="30"/>
              </w:rPr>
            </w:pPr>
            <w:r>
              <w:rPr>
                <w:rFonts w:hint="eastAsia" w:ascii="仿宋_GB2312" w:eastAsia="仿宋_GB2312"/>
                <w:sz w:val="30"/>
                <w:szCs w:val="30"/>
              </w:rPr>
              <w:t>2020年度大厅基本运转所产生的相关费用。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E05F07">
            <w:pPr>
              <w:spacing w:line="440" w:lineRule="exact"/>
              <w:jc w:val="center"/>
              <w:rPr>
                <w:rFonts w:ascii="仿宋_GB2312" w:eastAsia="仿宋_GB2312" w:cs="宋体"/>
                <w:sz w:val="30"/>
                <w:szCs w:val="30"/>
              </w:rPr>
            </w:pPr>
            <w:r>
              <w:rPr>
                <w:rFonts w:hint="eastAsia" w:ascii="仿宋_GB2312" w:eastAsia="仿宋_GB2312"/>
                <w:sz w:val="30"/>
                <w:szCs w:val="30"/>
              </w:rPr>
              <w:t>2020年度大厅基本运转所产生的相关费用44.19万元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DC4A89">
            <w:pPr>
              <w:spacing w:line="440" w:lineRule="exact"/>
              <w:jc w:val="center"/>
              <w:rPr>
                <w:rFonts w:ascii="仿宋_GB2312" w:eastAsia="仿宋_GB2312" w:cs="宋体"/>
                <w:sz w:val="30"/>
                <w:szCs w:val="30"/>
              </w:rPr>
            </w:pPr>
            <w:r>
              <w:rPr>
                <w:rFonts w:hint="eastAsia" w:ascii="仿宋_GB2312" w:eastAsia="仿宋_GB2312"/>
                <w:sz w:val="30"/>
                <w:szCs w:val="30"/>
              </w:rPr>
              <w:t>2020年度大厅基本运转所产生的相关费用44.19万元</w:t>
            </w:r>
          </w:p>
        </w:tc>
      </w:tr>
      <w:tr w14:paraId="06474B87">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185D6B1A">
            <w:pPr>
              <w:widowControl/>
              <w:spacing w:line="440" w:lineRule="exact"/>
              <w:jc w:val="left"/>
              <w:rPr>
                <w:rFonts w:ascii="仿宋_GB2312" w:eastAsia="仿宋_GB2312" w:cs="宋体"/>
                <w:color w:val="000000"/>
                <w:sz w:val="30"/>
                <w:szCs w:val="30"/>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0F2783">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1AABEE">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31A0D8">
            <w:pPr>
              <w:spacing w:line="440" w:lineRule="exact"/>
              <w:rPr>
                <w:rFonts w:ascii="仿宋_GB2312" w:eastAsia="仿宋_GB2312" w:cs="宋体"/>
                <w:sz w:val="30"/>
                <w:szCs w:val="30"/>
              </w:rPr>
            </w:pPr>
            <w:r>
              <w:rPr>
                <w:rFonts w:hint="eastAsia" w:ascii="仿宋_GB2312" w:eastAsia="仿宋_GB2312"/>
                <w:sz w:val="30"/>
                <w:szCs w:val="30"/>
              </w:rPr>
              <w:t>对工作的促进作用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28688E">
            <w:pPr>
              <w:spacing w:line="440" w:lineRule="exact"/>
              <w:rPr>
                <w:rFonts w:ascii="仿宋_GB2312" w:eastAsia="仿宋_GB2312" w:cs="宋体"/>
                <w:sz w:val="30"/>
                <w:szCs w:val="30"/>
              </w:rPr>
            </w:pPr>
            <w:r>
              <w:rPr>
                <w:rFonts w:hint="eastAsia" w:ascii="仿宋_GB2312" w:eastAsia="仿宋_GB2312"/>
                <w:sz w:val="30"/>
                <w:szCs w:val="30"/>
              </w:rPr>
              <w:t>为办事群众提供便捷、规范、廉洁、高效的政务服务，展现政府的良好形象。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EB1E8D">
            <w:pPr>
              <w:spacing w:line="440" w:lineRule="exact"/>
              <w:rPr>
                <w:rFonts w:ascii="仿宋_GB2312" w:eastAsia="仿宋_GB2312" w:cs="宋体"/>
                <w:sz w:val="30"/>
                <w:szCs w:val="30"/>
              </w:rPr>
            </w:pPr>
            <w:r>
              <w:rPr>
                <w:rFonts w:hint="eastAsia" w:ascii="仿宋_GB2312" w:eastAsia="仿宋_GB2312"/>
                <w:sz w:val="30"/>
                <w:szCs w:val="30"/>
              </w:rPr>
              <w:t>为办事群众提供便捷、规范、廉洁、高效的政务服务，展现政府的良好形象。</w:t>
            </w:r>
          </w:p>
        </w:tc>
      </w:tr>
      <w:tr w14:paraId="634811D4">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3CF5A758">
            <w:pPr>
              <w:widowControl/>
              <w:spacing w:line="440" w:lineRule="exact"/>
              <w:jc w:val="left"/>
              <w:rPr>
                <w:rFonts w:ascii="仿宋_GB2312" w:eastAsia="仿宋_GB2312" w:cs="宋体"/>
                <w:color w:val="000000"/>
                <w:sz w:val="30"/>
                <w:szCs w:val="30"/>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64DBF2">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F97E93">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C4B250">
            <w:pPr>
              <w:spacing w:line="440" w:lineRule="exact"/>
              <w:jc w:val="center"/>
              <w:rPr>
                <w:rFonts w:ascii="仿宋_GB2312" w:eastAsia="仿宋_GB2312" w:cs="宋体"/>
                <w:sz w:val="30"/>
                <w:szCs w:val="30"/>
              </w:rPr>
            </w:pPr>
            <w:r>
              <w:rPr>
                <w:rFonts w:hint="eastAsia" w:ascii="仿宋_GB2312" w:eastAsia="仿宋_GB2312"/>
                <w:sz w:val="30"/>
                <w:szCs w:val="30"/>
              </w:rPr>
              <w:t>办事群众满意度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082EAA">
            <w:pPr>
              <w:spacing w:line="440" w:lineRule="exact"/>
              <w:jc w:val="center"/>
              <w:rPr>
                <w:rFonts w:ascii="仿宋_GB2312" w:eastAsia="仿宋_GB2312" w:cs="宋体"/>
                <w:sz w:val="30"/>
                <w:szCs w:val="30"/>
              </w:rPr>
            </w:pPr>
            <w:r>
              <w:rPr>
                <w:rFonts w:hint="eastAsia" w:ascii="仿宋_GB2312" w:eastAsia="仿宋_GB2312"/>
                <w:sz w:val="30"/>
                <w:szCs w:val="30"/>
              </w:rPr>
              <w:t>96%及以上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C420D8">
            <w:pPr>
              <w:spacing w:line="440" w:lineRule="exact"/>
              <w:jc w:val="center"/>
              <w:rPr>
                <w:rFonts w:ascii="仿宋_GB2312" w:eastAsia="仿宋_GB2312" w:cs="宋体"/>
                <w:sz w:val="30"/>
                <w:szCs w:val="30"/>
              </w:rPr>
            </w:pPr>
            <w:r>
              <w:rPr>
                <w:rFonts w:hint="eastAsia" w:ascii="仿宋_GB2312" w:eastAsia="仿宋_GB2312"/>
                <w:sz w:val="30"/>
                <w:szCs w:val="30"/>
              </w:rPr>
              <w:t>96%及以上</w:t>
            </w:r>
          </w:p>
        </w:tc>
      </w:tr>
      <w:tr w14:paraId="366B5D00">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2B2AFFBD">
            <w:pPr>
              <w:pStyle w:val="26"/>
              <w:widowControl/>
              <w:spacing w:line="440" w:lineRule="exact"/>
              <w:ind w:left="3936" w:leftChars="1310" w:hanging="1185" w:hangingChars="395"/>
              <w:textAlignment w:val="center"/>
              <w:rPr>
                <w:rFonts w:ascii="仿宋_GB2312" w:hAnsi="黑体" w:eastAsia="仿宋_GB2312" w:cs="宋体"/>
                <w:bCs/>
                <w:color w:val="000000"/>
                <w:kern w:val="0"/>
                <w:sz w:val="30"/>
                <w:szCs w:val="30"/>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9960"/>
            </w:tblGrid>
            <w:tr w14:paraId="7010AEED">
              <w:tblPrEx>
                <w:tblCellMar>
                  <w:top w:w="0" w:type="dxa"/>
                  <w:left w:w="0" w:type="dxa"/>
                  <w:bottom w:w="0" w:type="dxa"/>
                  <w:right w:w="0" w:type="dxa"/>
                </w:tblCellMar>
              </w:tblPrEx>
              <w:trPr>
                <w:trHeight w:val="1034" w:hRule="atLeast"/>
              </w:trPr>
              <w:tc>
                <w:tcPr>
                  <w:tcW w:w="9960" w:type="dxa"/>
                  <w:tcMar>
                    <w:top w:w="15" w:type="dxa"/>
                    <w:left w:w="15" w:type="dxa"/>
                    <w:bottom w:w="0" w:type="dxa"/>
                    <w:right w:w="15" w:type="dxa"/>
                  </w:tcMar>
                  <w:vAlign w:val="center"/>
                </w:tcPr>
                <w:p w14:paraId="7F49B6C6">
                  <w:pPr>
                    <w:pStyle w:val="26"/>
                    <w:widowControl/>
                    <w:spacing w:before="93" w:line="440" w:lineRule="exact"/>
                    <w:ind w:left="3936" w:leftChars="1310" w:hanging="1185" w:hangingChars="395"/>
                    <w:textAlignment w:val="center"/>
                    <w:rPr>
                      <w:rFonts w:ascii="仿宋_GB2312" w:eastAsia="仿宋_GB2312" w:cs="宋体"/>
                      <w:color w:val="000000"/>
                      <w:sz w:val="30"/>
                      <w:szCs w:val="30"/>
                    </w:rPr>
                  </w:pPr>
                </w:p>
              </w:tc>
            </w:tr>
          </w:tbl>
          <w:p w14:paraId="6EDF7126">
            <w:pPr>
              <w:pStyle w:val="26"/>
              <w:widowControl/>
              <w:spacing w:line="440" w:lineRule="exact"/>
              <w:ind w:firstLine="0" w:firstLineChars="0"/>
              <w:textAlignment w:val="center"/>
              <w:rPr>
                <w:rFonts w:ascii="仿宋_GB2312" w:hAnsi="黑体" w:eastAsia="仿宋_GB2312" w:cs="宋体"/>
                <w:bCs/>
                <w:color w:val="000000"/>
                <w:kern w:val="0"/>
                <w:sz w:val="30"/>
                <w:szCs w:val="30"/>
              </w:rPr>
            </w:pPr>
          </w:p>
          <w:p w14:paraId="236C2AA5">
            <w:pPr>
              <w:pStyle w:val="26"/>
              <w:widowControl/>
              <w:spacing w:line="440" w:lineRule="exact"/>
              <w:ind w:left="4015" w:leftChars="1310" w:hanging="1264" w:hangingChars="395"/>
              <w:textAlignment w:val="center"/>
              <w:rPr>
                <w:rFonts w:ascii="仿宋_GB2312" w:eastAsia="仿宋_GB2312" w:cs="宋体"/>
                <w:color w:val="000000"/>
                <w:sz w:val="30"/>
                <w:szCs w:val="30"/>
              </w:rPr>
            </w:pPr>
            <w:r>
              <w:rPr>
                <w:rFonts w:hint="eastAsia" w:ascii="方正小标宋简体" w:hAnsi="方正小标宋简体" w:eastAsia="方正小标宋简体" w:cs="方正小标宋简体"/>
                <w:bCs/>
                <w:color w:val="000000"/>
                <w:kern w:val="0"/>
                <w:sz w:val="32"/>
                <w:szCs w:val="32"/>
              </w:rPr>
              <w:t>项目支出绩效目标完成情况表</w:t>
            </w:r>
            <w:r>
              <w:rPr>
                <w:rFonts w:hint="eastAsia" w:ascii="方正小标宋简体" w:hAnsi="方正小标宋简体" w:eastAsia="方正小标宋简体" w:cs="方正小标宋简体"/>
                <w:b/>
                <w:bCs/>
                <w:color w:val="000000"/>
                <w:kern w:val="0"/>
                <w:sz w:val="32"/>
                <w:szCs w:val="32"/>
              </w:rPr>
              <w:br w:type="textWrapping"/>
            </w:r>
            <w:r>
              <w:rPr>
                <w:rFonts w:hint="eastAsia" w:ascii="方正小标宋简体" w:hAnsi="方正小标宋简体" w:eastAsia="方正小标宋简体" w:cs="方正小标宋简体"/>
                <w:color w:val="000000"/>
                <w:kern w:val="0"/>
                <w:sz w:val="32"/>
                <w:szCs w:val="32"/>
              </w:rPr>
              <w:t>(2020年度)</w:t>
            </w:r>
          </w:p>
        </w:tc>
      </w:tr>
      <w:tr w14:paraId="3F6212ED">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1D5A1A">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9B51E4">
            <w:pPr>
              <w:widowControl/>
              <w:spacing w:line="440" w:lineRule="exact"/>
              <w:jc w:val="center"/>
              <w:textAlignment w:val="center"/>
              <w:rPr>
                <w:rFonts w:ascii="仿宋_GB2312" w:eastAsia="仿宋_GB2312" w:cs="宋体"/>
                <w:color w:val="FF0000"/>
                <w:sz w:val="30"/>
                <w:szCs w:val="30"/>
              </w:rPr>
            </w:pPr>
            <w:r>
              <w:rPr>
                <w:rFonts w:hint="eastAsia" w:ascii="仿宋_GB2312" w:eastAsia="仿宋_GB2312" w:cs="宋体"/>
                <w:color w:val="000000"/>
                <w:sz w:val="30"/>
                <w:szCs w:val="30"/>
              </w:rPr>
              <w:t>午餐补助经费</w:t>
            </w:r>
          </w:p>
        </w:tc>
      </w:tr>
      <w:tr w14:paraId="11362B57">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6E2EFD">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6DE16F">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米易县行政审批局</w:t>
            </w:r>
          </w:p>
        </w:tc>
      </w:tr>
      <w:tr w14:paraId="1E073E52">
        <w:tblPrEx>
          <w:tblCellMar>
            <w:top w:w="0" w:type="dxa"/>
            <w:left w:w="0" w:type="dxa"/>
            <w:bottom w:w="0" w:type="dxa"/>
            <w:right w:w="0" w:type="dxa"/>
          </w:tblCellMar>
        </w:tblPrEx>
        <w:trPr>
          <w:trHeight w:val="276" w:hRule="atLeast"/>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3A90D8">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预算执行情况(万元)</w:t>
            </w:r>
          </w:p>
        </w:tc>
        <w:tc>
          <w:tcPr>
            <w:tcW w:w="21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F1DBCD">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230F7E">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100.00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EE8398">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3F8D21">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84.64</w:t>
            </w:r>
          </w:p>
        </w:tc>
      </w:tr>
      <w:tr w14:paraId="04106AF4">
        <w:tblPrEx>
          <w:tblCellMar>
            <w:top w:w="0" w:type="dxa"/>
            <w:left w:w="0" w:type="dxa"/>
            <w:bottom w:w="0" w:type="dxa"/>
            <w:right w:w="0" w:type="dxa"/>
          </w:tblCellMar>
        </w:tblPrEx>
        <w:trPr>
          <w:trHeight w:val="276"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5D476878">
            <w:pPr>
              <w:widowControl/>
              <w:spacing w:line="440" w:lineRule="exact"/>
              <w:jc w:val="left"/>
              <w:rPr>
                <w:rFonts w:ascii="仿宋_GB2312" w:eastAsia="仿宋_GB2312" w:cs="宋体"/>
                <w:color w:val="000000"/>
                <w:sz w:val="30"/>
                <w:szCs w:val="30"/>
              </w:rPr>
            </w:pPr>
          </w:p>
        </w:tc>
        <w:tc>
          <w:tcPr>
            <w:tcW w:w="21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1720DF">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其中</w:t>
            </w:r>
            <w:r>
              <w:rPr>
                <w:rFonts w:hint="eastAsia" w:ascii="仿宋_GB2312" w:eastAsia="仿宋_GB2312" w:cs="宋体"/>
                <w:color w:val="000000"/>
                <w:kern w:val="0"/>
                <w:sz w:val="30"/>
                <w:szCs w:val="30"/>
              </w:rPr>
              <w:t>-</w:t>
            </w:r>
            <w:r>
              <w:rPr>
                <w:rFonts w:hint="eastAsia" w:ascii="仿宋_GB2312" w:hAnsi="宋体" w:eastAsia="仿宋_GB2312" w:cs="宋体"/>
                <w:color w:val="000000"/>
                <w:kern w:val="0"/>
                <w:sz w:val="30"/>
                <w:szCs w:val="30"/>
              </w:rPr>
              <w:t>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3126AA">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100.00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57DD0C">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其中</w:t>
            </w:r>
            <w:r>
              <w:rPr>
                <w:rFonts w:hint="eastAsia" w:ascii="仿宋_GB2312" w:eastAsia="仿宋_GB2312" w:cs="宋体"/>
                <w:color w:val="000000"/>
                <w:kern w:val="0"/>
                <w:sz w:val="30"/>
                <w:szCs w:val="30"/>
              </w:rPr>
              <w:t>-</w:t>
            </w:r>
            <w:r>
              <w:rPr>
                <w:rFonts w:hint="eastAsia" w:ascii="仿宋_GB2312" w:hAnsi="宋体" w:eastAsia="仿宋_GB2312" w:cs="宋体"/>
                <w:color w:val="000000"/>
                <w:kern w:val="0"/>
                <w:sz w:val="30"/>
                <w:szCs w:val="30"/>
              </w:rPr>
              <w:t>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7844E9">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84.64</w:t>
            </w:r>
          </w:p>
        </w:tc>
      </w:tr>
      <w:tr w14:paraId="2658CA4C">
        <w:tblPrEx>
          <w:tblCellMar>
            <w:top w:w="0" w:type="dxa"/>
            <w:left w:w="0" w:type="dxa"/>
            <w:bottom w:w="0" w:type="dxa"/>
            <w:right w:w="0" w:type="dxa"/>
          </w:tblCellMar>
        </w:tblPrEx>
        <w:trPr>
          <w:trHeight w:val="1511"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7951EEA6">
            <w:pPr>
              <w:widowControl/>
              <w:spacing w:line="440" w:lineRule="exact"/>
              <w:jc w:val="left"/>
              <w:rPr>
                <w:rFonts w:ascii="仿宋_GB2312" w:eastAsia="仿宋_GB2312" w:cs="宋体"/>
                <w:color w:val="000000"/>
                <w:sz w:val="30"/>
                <w:szCs w:val="30"/>
              </w:rPr>
            </w:pPr>
          </w:p>
        </w:tc>
        <w:tc>
          <w:tcPr>
            <w:tcW w:w="21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90CFCA">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8D4D79">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kern w:val="0"/>
                <w:sz w:val="30"/>
                <w:szCs w:val="30"/>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E92161">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277079">
            <w:pPr>
              <w:spacing w:line="440" w:lineRule="exact"/>
              <w:jc w:val="center"/>
              <w:rPr>
                <w:rFonts w:ascii="仿宋_GB2312" w:eastAsia="仿宋_GB2312" w:cs="宋体"/>
                <w:color w:val="000000"/>
                <w:sz w:val="30"/>
                <w:szCs w:val="30"/>
              </w:rPr>
            </w:pPr>
            <w:r>
              <w:rPr>
                <w:rFonts w:hint="eastAsia" w:ascii="仿宋_GB2312" w:eastAsia="仿宋_GB2312" w:cs="宋体"/>
                <w:color w:val="000000"/>
                <w:sz w:val="30"/>
                <w:szCs w:val="30"/>
              </w:rPr>
              <w:t>0</w:t>
            </w:r>
          </w:p>
        </w:tc>
      </w:tr>
      <w:tr w14:paraId="4070EBFD">
        <w:tblPrEx>
          <w:tblCellMar>
            <w:top w:w="0" w:type="dxa"/>
            <w:left w:w="0" w:type="dxa"/>
            <w:bottom w:w="0" w:type="dxa"/>
            <w:right w:w="0" w:type="dxa"/>
          </w:tblCellMar>
        </w:tblPrEx>
        <w:trPr>
          <w:trHeight w:val="276" w:hRule="atLeast"/>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0D95E4">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年度目标完成情况</w:t>
            </w:r>
          </w:p>
        </w:tc>
        <w:tc>
          <w:tcPr>
            <w:tcW w:w="452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16BB94">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4B5985">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实际完成目标</w:t>
            </w:r>
          </w:p>
        </w:tc>
      </w:tr>
      <w:tr w14:paraId="71543CFB">
        <w:tblPrEx>
          <w:tblCellMar>
            <w:top w:w="0" w:type="dxa"/>
            <w:left w:w="0" w:type="dxa"/>
            <w:bottom w:w="0" w:type="dxa"/>
            <w:right w:w="0" w:type="dxa"/>
          </w:tblCellMar>
        </w:tblPrEx>
        <w:trPr>
          <w:trHeight w:val="1159"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715224C0">
            <w:pPr>
              <w:widowControl/>
              <w:spacing w:line="440" w:lineRule="exact"/>
              <w:jc w:val="left"/>
              <w:rPr>
                <w:rFonts w:ascii="仿宋_GB2312" w:eastAsia="仿宋_GB2312" w:cs="宋体"/>
                <w:color w:val="000000"/>
                <w:sz w:val="30"/>
                <w:szCs w:val="30"/>
              </w:rPr>
            </w:pPr>
          </w:p>
        </w:tc>
        <w:tc>
          <w:tcPr>
            <w:tcW w:w="452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14:paraId="2DDD0E8D">
            <w:pPr>
              <w:spacing w:line="440" w:lineRule="exact"/>
              <w:rPr>
                <w:rFonts w:ascii="仿宋_GB2312" w:eastAsia="仿宋_GB2312" w:cs="宋体"/>
                <w:sz w:val="30"/>
                <w:szCs w:val="30"/>
              </w:rPr>
            </w:pPr>
            <w:r>
              <w:rPr>
                <w:rFonts w:hint="eastAsia" w:ascii="仿宋_GB2312" w:eastAsia="仿宋_GB2312"/>
                <w:sz w:val="30"/>
                <w:szCs w:val="30"/>
              </w:rPr>
              <w:t>完成支付2020年度大厅及相关部门158余人因中午休息时间短，不能回家吃午餐，县政府给予批准的午餐补助，严格按日考核、月积累按标准发放，确保人员及金额不重不漏。</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FB7870">
            <w:pPr>
              <w:widowControl/>
              <w:spacing w:line="440" w:lineRule="exact"/>
              <w:jc w:val="left"/>
              <w:textAlignment w:val="center"/>
              <w:rPr>
                <w:rFonts w:ascii="仿宋_GB2312" w:eastAsia="仿宋_GB2312" w:cs="宋体"/>
                <w:color w:val="000000"/>
                <w:sz w:val="30"/>
                <w:szCs w:val="30"/>
              </w:rPr>
            </w:pPr>
            <w:r>
              <w:rPr>
                <w:rFonts w:hint="eastAsia" w:ascii="仿宋_GB2312" w:eastAsia="仿宋_GB2312"/>
                <w:sz w:val="30"/>
                <w:szCs w:val="30"/>
              </w:rPr>
              <w:t>完成支付了2020年度大厅及相关部门158余人因中午休息时间短，不能回家吃午餐，县政府给予批准的午餐补助，严格按日考核、月积累按标准发放合计80.64万元。</w:t>
            </w:r>
          </w:p>
        </w:tc>
      </w:tr>
      <w:tr w14:paraId="5F19601C">
        <w:tblPrEx>
          <w:tblCellMar>
            <w:top w:w="0" w:type="dxa"/>
            <w:left w:w="0" w:type="dxa"/>
            <w:bottom w:w="0" w:type="dxa"/>
            <w:right w:w="0" w:type="dxa"/>
          </w:tblCellMar>
        </w:tblPrEx>
        <w:trPr>
          <w:trHeight w:val="1042" w:hRule="atLeast"/>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76245E">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sz w:val="30"/>
                <w:szCs w:val="30"/>
              </w:rPr>
              <w:t>绩效指标完成情况</w:t>
            </w: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17A81E">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7620CC">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AAEA48">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D2598B">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7A73A9">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实际完成指标值(包含数字及文字描述)</w:t>
            </w:r>
          </w:p>
        </w:tc>
      </w:tr>
      <w:tr w14:paraId="1D043C97">
        <w:tblPrEx>
          <w:tblCellMar>
            <w:top w:w="0" w:type="dxa"/>
            <w:left w:w="0" w:type="dxa"/>
            <w:bottom w:w="0" w:type="dxa"/>
            <w:right w:w="0" w:type="dxa"/>
          </w:tblCellMar>
        </w:tblPrEx>
        <w:trPr>
          <w:trHeight w:val="953"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7222539F">
            <w:pPr>
              <w:widowControl/>
              <w:spacing w:line="440" w:lineRule="exact"/>
              <w:jc w:val="left"/>
              <w:rPr>
                <w:rFonts w:ascii="仿宋_GB2312" w:eastAsia="仿宋_GB2312" w:cs="宋体"/>
                <w:color w:val="000000"/>
                <w:sz w:val="30"/>
                <w:szCs w:val="30"/>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7045E2">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BE56CD">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ECCF9E">
            <w:pPr>
              <w:spacing w:line="440" w:lineRule="exact"/>
              <w:rPr>
                <w:rFonts w:ascii="仿宋_GB2312" w:eastAsia="仿宋_GB2312" w:cs="宋体"/>
                <w:sz w:val="30"/>
                <w:szCs w:val="30"/>
              </w:rPr>
            </w:pPr>
            <w:r>
              <w:rPr>
                <w:rFonts w:hint="eastAsia" w:ascii="仿宋_GB2312" w:eastAsia="仿宋_GB2312"/>
                <w:sz w:val="30"/>
                <w:szCs w:val="30"/>
              </w:rPr>
              <w:t>完成2020年度严格考核后的午餐经费金额的结算。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04DF7F">
            <w:pPr>
              <w:spacing w:line="440" w:lineRule="exact"/>
              <w:jc w:val="left"/>
              <w:rPr>
                <w:rFonts w:ascii="仿宋_GB2312" w:eastAsia="仿宋_GB2312" w:cs="宋体"/>
                <w:sz w:val="30"/>
                <w:szCs w:val="30"/>
              </w:rPr>
            </w:pPr>
            <w:r>
              <w:rPr>
                <w:rFonts w:hint="eastAsia" w:ascii="仿宋_GB2312" w:eastAsia="仿宋_GB2312"/>
                <w:sz w:val="30"/>
                <w:szCs w:val="30"/>
              </w:rPr>
              <w:t>预计全年100万元。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21C13C">
            <w:pPr>
              <w:spacing w:line="440" w:lineRule="exact"/>
              <w:jc w:val="center"/>
              <w:rPr>
                <w:rFonts w:ascii="仿宋_GB2312" w:eastAsia="仿宋_GB2312" w:cs="宋体"/>
                <w:sz w:val="30"/>
                <w:szCs w:val="30"/>
              </w:rPr>
            </w:pPr>
            <w:r>
              <w:rPr>
                <w:rFonts w:hint="eastAsia" w:ascii="仿宋_GB2312" w:eastAsia="仿宋_GB2312"/>
                <w:sz w:val="30"/>
                <w:szCs w:val="30"/>
              </w:rPr>
              <w:t>全年实际支付84.64万元。</w:t>
            </w:r>
          </w:p>
        </w:tc>
      </w:tr>
      <w:tr w14:paraId="168352E6">
        <w:tblPrEx>
          <w:tblCellMar>
            <w:top w:w="0" w:type="dxa"/>
            <w:left w:w="0" w:type="dxa"/>
            <w:bottom w:w="0" w:type="dxa"/>
            <w:right w:w="0" w:type="dxa"/>
          </w:tblCellMar>
        </w:tblPrEx>
        <w:trPr>
          <w:trHeight w:val="1297"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72209171">
            <w:pPr>
              <w:widowControl/>
              <w:spacing w:line="440" w:lineRule="exact"/>
              <w:jc w:val="left"/>
              <w:rPr>
                <w:rFonts w:ascii="仿宋_GB2312" w:eastAsia="仿宋_GB2312" w:cs="宋体"/>
                <w:color w:val="000000"/>
                <w:sz w:val="30"/>
                <w:szCs w:val="30"/>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79F0B7">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D26675">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CF0C48">
            <w:pPr>
              <w:spacing w:line="440" w:lineRule="exact"/>
              <w:rPr>
                <w:rFonts w:ascii="仿宋_GB2312" w:eastAsia="仿宋_GB2312" w:cs="宋体"/>
                <w:sz w:val="30"/>
                <w:szCs w:val="30"/>
              </w:rPr>
            </w:pPr>
            <w:r>
              <w:rPr>
                <w:rFonts w:hint="eastAsia" w:ascii="仿宋_GB2312" w:eastAsia="仿宋_GB2312"/>
                <w:sz w:val="30"/>
                <w:szCs w:val="30"/>
              </w:rPr>
              <w:t>午餐严格考核发放率。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7E1382">
            <w:pPr>
              <w:spacing w:line="440" w:lineRule="exact"/>
              <w:jc w:val="center"/>
              <w:rPr>
                <w:rFonts w:ascii="仿宋_GB2312" w:eastAsia="仿宋_GB2312" w:cs="宋体"/>
                <w:sz w:val="30"/>
                <w:szCs w:val="30"/>
              </w:rPr>
            </w:pPr>
            <w:r>
              <w:rPr>
                <w:rFonts w:hint="eastAsia" w:ascii="仿宋_GB2312" w:eastAsia="仿宋_GB2312"/>
                <w:sz w:val="30"/>
                <w:szCs w:val="3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E176D0">
            <w:pPr>
              <w:spacing w:line="440" w:lineRule="exact"/>
              <w:jc w:val="center"/>
              <w:rPr>
                <w:rFonts w:ascii="仿宋_GB2312" w:eastAsia="仿宋_GB2312" w:cs="宋体"/>
                <w:sz w:val="30"/>
                <w:szCs w:val="30"/>
              </w:rPr>
            </w:pPr>
            <w:r>
              <w:rPr>
                <w:rFonts w:hint="eastAsia" w:ascii="仿宋_GB2312" w:eastAsia="仿宋_GB2312"/>
                <w:sz w:val="30"/>
                <w:szCs w:val="30"/>
              </w:rPr>
              <w:t>100%</w:t>
            </w:r>
          </w:p>
        </w:tc>
      </w:tr>
      <w:tr w14:paraId="417AFA62">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682CE54C">
            <w:pPr>
              <w:widowControl/>
              <w:spacing w:line="440" w:lineRule="exact"/>
              <w:jc w:val="left"/>
              <w:rPr>
                <w:rFonts w:ascii="仿宋_GB2312" w:eastAsia="仿宋_GB2312" w:cs="宋体"/>
                <w:color w:val="000000"/>
                <w:sz w:val="30"/>
                <w:szCs w:val="30"/>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D87679">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6FE0A4">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FC8D99">
            <w:pPr>
              <w:spacing w:line="440" w:lineRule="exact"/>
              <w:rPr>
                <w:rFonts w:ascii="仿宋_GB2312" w:eastAsia="仿宋_GB2312" w:cs="宋体"/>
                <w:sz w:val="30"/>
                <w:szCs w:val="30"/>
              </w:rPr>
            </w:pPr>
            <w:r>
              <w:rPr>
                <w:rFonts w:hint="eastAsia" w:ascii="仿宋_GB2312" w:eastAsia="仿宋_GB2312"/>
                <w:sz w:val="30"/>
                <w:szCs w:val="30"/>
              </w:rPr>
              <w:t>完成支付结算时间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2357DE">
            <w:pPr>
              <w:spacing w:line="440" w:lineRule="exact"/>
              <w:jc w:val="center"/>
              <w:rPr>
                <w:rFonts w:ascii="仿宋_GB2312" w:eastAsia="仿宋_GB2312" w:cs="宋体"/>
                <w:sz w:val="30"/>
                <w:szCs w:val="30"/>
              </w:rPr>
            </w:pPr>
            <w:r>
              <w:rPr>
                <w:rFonts w:hint="eastAsia" w:ascii="仿宋_GB2312" w:eastAsia="仿宋_GB2312"/>
                <w:sz w:val="30"/>
                <w:szCs w:val="30"/>
              </w:rPr>
              <w:t>2020年12月31日前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49213D">
            <w:pPr>
              <w:spacing w:line="440" w:lineRule="exact"/>
              <w:jc w:val="center"/>
              <w:rPr>
                <w:rFonts w:ascii="仿宋_GB2312" w:eastAsia="仿宋_GB2312" w:cs="宋体"/>
                <w:sz w:val="30"/>
                <w:szCs w:val="30"/>
              </w:rPr>
            </w:pPr>
            <w:r>
              <w:rPr>
                <w:rFonts w:hint="eastAsia" w:ascii="仿宋_GB2312" w:eastAsia="仿宋_GB2312"/>
                <w:sz w:val="30"/>
                <w:szCs w:val="30"/>
              </w:rPr>
              <w:t>2020年12月31日前</w:t>
            </w:r>
          </w:p>
        </w:tc>
      </w:tr>
      <w:tr w14:paraId="11F19BAC">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582DE15C">
            <w:pPr>
              <w:widowControl/>
              <w:spacing w:line="440" w:lineRule="exact"/>
              <w:jc w:val="left"/>
              <w:rPr>
                <w:rFonts w:ascii="仿宋_GB2312" w:eastAsia="仿宋_GB2312" w:cs="宋体"/>
                <w:color w:val="000000"/>
                <w:sz w:val="30"/>
                <w:szCs w:val="30"/>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F097BB">
            <w:pPr>
              <w:widowControl/>
              <w:spacing w:line="440" w:lineRule="exact"/>
              <w:jc w:val="center"/>
              <w:textAlignment w:val="center"/>
              <w:rPr>
                <w:rFonts w:ascii="仿宋_GB2312" w:eastAsia="仿宋_GB2312" w:cs="宋体"/>
                <w:color w:val="000000"/>
                <w:kern w:val="0"/>
                <w:sz w:val="30"/>
                <w:szCs w:val="30"/>
              </w:rPr>
            </w:pPr>
            <w:r>
              <w:rPr>
                <w:rFonts w:hint="eastAsia" w:ascii="仿宋_GB2312" w:hAnsi="宋体" w:eastAsia="仿宋_GB2312" w:cs="宋体"/>
                <w:color w:val="000000"/>
                <w:kern w:val="0"/>
                <w:sz w:val="30"/>
                <w:szCs w:val="30"/>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E24A95">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971BC5">
            <w:pPr>
              <w:spacing w:line="440" w:lineRule="exact"/>
              <w:rPr>
                <w:rFonts w:ascii="仿宋_GB2312" w:eastAsia="仿宋_GB2312" w:cs="宋体"/>
                <w:sz w:val="30"/>
                <w:szCs w:val="30"/>
              </w:rPr>
            </w:pPr>
            <w:r>
              <w:rPr>
                <w:rFonts w:hint="eastAsia" w:ascii="仿宋_GB2312" w:eastAsia="仿宋_GB2312"/>
                <w:sz w:val="30"/>
                <w:szCs w:val="30"/>
              </w:rPr>
              <w:t>2020年度严格考核后的午餐补助金额。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5FCD92">
            <w:pPr>
              <w:spacing w:line="440" w:lineRule="exact"/>
              <w:jc w:val="center"/>
              <w:rPr>
                <w:rFonts w:ascii="仿宋_GB2312" w:eastAsia="仿宋_GB2312" w:cs="宋体"/>
                <w:sz w:val="30"/>
                <w:szCs w:val="30"/>
              </w:rPr>
            </w:pPr>
            <w:r>
              <w:rPr>
                <w:rFonts w:hint="eastAsia" w:ascii="仿宋_GB2312" w:eastAsia="仿宋_GB2312"/>
                <w:sz w:val="30"/>
                <w:szCs w:val="30"/>
              </w:rPr>
              <w:t>预计全年合计100万元。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12F92D">
            <w:pPr>
              <w:spacing w:line="440" w:lineRule="exact"/>
              <w:jc w:val="center"/>
              <w:rPr>
                <w:rFonts w:ascii="仿宋_GB2312" w:eastAsia="仿宋_GB2312" w:cs="宋体"/>
                <w:sz w:val="30"/>
                <w:szCs w:val="30"/>
              </w:rPr>
            </w:pPr>
            <w:r>
              <w:rPr>
                <w:rFonts w:hint="eastAsia" w:ascii="仿宋_GB2312" w:eastAsia="仿宋_GB2312"/>
                <w:sz w:val="30"/>
                <w:szCs w:val="30"/>
              </w:rPr>
              <w:t>全年实际支付80.64万元。</w:t>
            </w:r>
          </w:p>
        </w:tc>
      </w:tr>
      <w:tr w14:paraId="1B46FFE9">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6B00AA33">
            <w:pPr>
              <w:widowControl/>
              <w:spacing w:line="440" w:lineRule="exact"/>
              <w:jc w:val="left"/>
              <w:rPr>
                <w:rFonts w:ascii="仿宋_GB2312" w:eastAsia="仿宋_GB2312" w:cs="宋体"/>
                <w:color w:val="000000"/>
                <w:sz w:val="30"/>
                <w:szCs w:val="30"/>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647E63">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E7FFED">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3BB966">
            <w:pPr>
              <w:spacing w:line="440" w:lineRule="exact"/>
              <w:rPr>
                <w:rFonts w:ascii="仿宋_GB2312" w:eastAsia="仿宋_GB2312" w:cs="宋体"/>
                <w:sz w:val="30"/>
                <w:szCs w:val="30"/>
              </w:rPr>
            </w:pPr>
            <w:r>
              <w:rPr>
                <w:rFonts w:hint="eastAsia" w:ascii="仿宋_GB2312" w:eastAsia="仿宋_GB2312"/>
                <w:sz w:val="30"/>
                <w:szCs w:val="30"/>
              </w:rPr>
              <w:t>更快捷、更方便服务办事群众，展现政府的良好形象。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B2935F">
            <w:pPr>
              <w:spacing w:line="440" w:lineRule="exact"/>
              <w:rPr>
                <w:rFonts w:ascii="仿宋_GB2312" w:eastAsia="仿宋_GB2312" w:cs="宋体"/>
                <w:sz w:val="30"/>
                <w:szCs w:val="30"/>
              </w:rPr>
            </w:pPr>
            <w:r>
              <w:rPr>
                <w:rFonts w:hint="eastAsia" w:ascii="仿宋_GB2312" w:eastAsia="仿宋_GB2312"/>
                <w:sz w:val="30"/>
                <w:szCs w:val="30"/>
              </w:rPr>
              <w:t>更快捷、更方便服务办事群众，展现政府的良好形象。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57B665">
            <w:pPr>
              <w:spacing w:line="440" w:lineRule="exact"/>
              <w:rPr>
                <w:rFonts w:ascii="仿宋_GB2312" w:eastAsia="仿宋_GB2312" w:cs="宋体"/>
                <w:sz w:val="30"/>
                <w:szCs w:val="30"/>
              </w:rPr>
            </w:pPr>
            <w:r>
              <w:rPr>
                <w:rFonts w:hint="eastAsia" w:ascii="仿宋_GB2312" w:eastAsia="仿宋_GB2312"/>
                <w:sz w:val="30"/>
                <w:szCs w:val="30"/>
              </w:rPr>
              <w:t>更快捷、更方便服务办事群众，展现政府的良好形象。</w:t>
            </w:r>
          </w:p>
        </w:tc>
      </w:tr>
      <w:tr w14:paraId="41350549">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14:paraId="759A6111">
            <w:pPr>
              <w:widowControl/>
              <w:spacing w:line="440" w:lineRule="exact"/>
              <w:jc w:val="left"/>
              <w:rPr>
                <w:rFonts w:ascii="仿宋_GB2312" w:eastAsia="仿宋_GB2312" w:cs="宋体"/>
                <w:color w:val="000000"/>
                <w:sz w:val="30"/>
                <w:szCs w:val="30"/>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12F637">
            <w:pPr>
              <w:widowControl/>
              <w:spacing w:line="440" w:lineRule="exact"/>
              <w:jc w:val="center"/>
              <w:textAlignment w:val="center"/>
              <w:rPr>
                <w:rFonts w:ascii="仿宋_GB2312" w:eastAsia="仿宋_GB2312" w:cs="宋体"/>
                <w:color w:val="000000"/>
                <w:sz w:val="30"/>
                <w:szCs w:val="30"/>
              </w:rPr>
            </w:pPr>
            <w:r>
              <w:rPr>
                <w:rFonts w:hint="eastAsia" w:ascii="仿宋_GB2312" w:hAnsi="宋体" w:eastAsia="仿宋_GB2312" w:cs="宋体"/>
                <w:color w:val="000000"/>
                <w:kern w:val="0"/>
                <w:sz w:val="30"/>
                <w:szCs w:val="30"/>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7B4651">
            <w:pPr>
              <w:widowControl/>
              <w:spacing w:line="440" w:lineRule="exact"/>
              <w:jc w:val="center"/>
              <w:textAlignment w:val="center"/>
              <w:rPr>
                <w:rFonts w:ascii="仿宋_GB2312" w:eastAsia="仿宋_GB2312" w:cs="宋体"/>
                <w:color w:val="000000"/>
                <w:sz w:val="30"/>
                <w:szCs w:val="30"/>
              </w:rPr>
            </w:pPr>
            <w:r>
              <w:rPr>
                <w:rFonts w:hint="eastAsia" w:ascii="仿宋_GB2312" w:eastAsia="仿宋_GB2312" w:cs="宋体"/>
                <w:color w:val="000000"/>
                <w:sz w:val="30"/>
                <w:szCs w:val="30"/>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3AF128">
            <w:pPr>
              <w:spacing w:line="440" w:lineRule="exact"/>
              <w:jc w:val="center"/>
              <w:rPr>
                <w:rFonts w:ascii="仿宋_GB2312" w:eastAsia="仿宋_GB2312" w:cs="宋体"/>
                <w:sz w:val="30"/>
                <w:szCs w:val="30"/>
              </w:rPr>
            </w:pPr>
            <w:r>
              <w:rPr>
                <w:rFonts w:hint="eastAsia" w:ascii="仿宋_GB2312" w:eastAsia="仿宋_GB2312"/>
                <w:sz w:val="30"/>
                <w:szCs w:val="30"/>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E54027">
            <w:pPr>
              <w:spacing w:line="440" w:lineRule="exact"/>
              <w:jc w:val="center"/>
              <w:rPr>
                <w:rFonts w:ascii="仿宋_GB2312" w:eastAsia="仿宋_GB2312" w:cs="宋体"/>
                <w:sz w:val="30"/>
                <w:szCs w:val="30"/>
              </w:rPr>
            </w:pPr>
            <w:r>
              <w:rPr>
                <w:rFonts w:hint="eastAsia" w:ascii="仿宋_GB2312" w:eastAsia="仿宋_GB2312"/>
                <w:sz w:val="30"/>
                <w:szCs w:val="30"/>
              </w:rPr>
              <w:t>95%及以上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E6F73E">
            <w:pPr>
              <w:spacing w:line="440" w:lineRule="exact"/>
              <w:jc w:val="center"/>
              <w:rPr>
                <w:rFonts w:ascii="仿宋_GB2312" w:eastAsia="仿宋_GB2312" w:cs="宋体"/>
                <w:sz w:val="30"/>
                <w:szCs w:val="30"/>
              </w:rPr>
            </w:pPr>
            <w:r>
              <w:rPr>
                <w:rFonts w:hint="eastAsia" w:ascii="仿宋_GB2312" w:eastAsia="仿宋_GB2312"/>
                <w:sz w:val="30"/>
                <w:szCs w:val="30"/>
              </w:rPr>
              <w:t>95%及以上</w:t>
            </w:r>
          </w:p>
        </w:tc>
      </w:tr>
    </w:tbl>
    <w:p w14:paraId="36103CB6">
      <w:pPr>
        <w:spacing w:line="580" w:lineRule="exact"/>
        <w:rPr>
          <w:rFonts w:ascii="仿宋" w:hAnsi="仿宋" w:eastAsia="仿宋" w:cs="仿宋_GB2312"/>
          <w:color w:val="000000"/>
          <w:sz w:val="32"/>
          <w:szCs w:val="32"/>
        </w:rPr>
      </w:pPr>
      <w:r>
        <w:rPr>
          <w:rFonts w:hint="eastAsia" w:ascii="仿宋" w:hAnsi="仿宋" w:eastAsia="仿宋" w:cs="楷体_GB2312"/>
          <w:b/>
          <w:bCs/>
          <w:color w:val="000000"/>
          <w:sz w:val="32"/>
          <w:szCs w:val="32"/>
        </w:rPr>
        <w:t>3.部门开展绩效评价结果。</w:t>
      </w:r>
    </w:p>
    <w:p w14:paraId="12B8DCD9">
      <w:pPr>
        <w:spacing w:line="580" w:lineRule="exact"/>
        <w:ind w:firstLine="640" w:firstLineChars="200"/>
        <w:rPr>
          <w:rFonts w:hAnsi="仿宋_GB2312" w:eastAsia="仿宋_GB2312"/>
          <w:color w:val="000000"/>
          <w:sz w:val="32"/>
          <w:szCs w:val="32"/>
        </w:rPr>
      </w:pPr>
      <w:r>
        <w:rPr>
          <w:rFonts w:hint="eastAsia" w:hAnsi="仿宋_GB2312" w:eastAsia="仿宋_GB2312"/>
          <w:color w:val="000000"/>
          <w:sz w:val="32"/>
          <w:szCs w:val="32"/>
        </w:rPr>
        <w:t>本部门按要求对</w:t>
      </w:r>
      <w:r>
        <w:rPr>
          <w:rFonts w:eastAsia="仿宋_GB2312"/>
          <w:color w:val="000000"/>
          <w:sz w:val="32"/>
          <w:szCs w:val="32"/>
        </w:rPr>
        <w:t>20</w:t>
      </w:r>
      <w:r>
        <w:rPr>
          <w:rFonts w:hint="eastAsia" w:eastAsia="仿宋_GB2312"/>
          <w:color w:val="000000"/>
          <w:sz w:val="32"/>
          <w:szCs w:val="32"/>
        </w:rPr>
        <w:t>20</w:t>
      </w:r>
      <w:r>
        <w:rPr>
          <w:rFonts w:hint="eastAsia" w:hAnsi="仿宋_GB2312" w:eastAsia="仿宋_GB2312"/>
          <w:color w:val="000000"/>
          <w:sz w:val="32"/>
          <w:szCs w:val="32"/>
        </w:rPr>
        <w:t>年度部门整体</w:t>
      </w:r>
      <w:r>
        <w:rPr>
          <w:rFonts w:hint="eastAsia" w:hAnsi="仿宋_GB2312" w:eastAsia="仿宋_GB2312"/>
          <w:sz w:val="32"/>
          <w:szCs w:val="32"/>
        </w:rPr>
        <w:t>支出</w:t>
      </w:r>
      <w:r>
        <w:rPr>
          <w:rFonts w:hint="eastAsia" w:hAnsi="仿宋_GB2312" w:eastAsia="仿宋_GB2312"/>
          <w:color w:val="000000"/>
          <w:sz w:val="32"/>
          <w:szCs w:val="32"/>
        </w:rPr>
        <w:t>绩效评价情况开展自评，《</w:t>
      </w:r>
      <w:r>
        <w:rPr>
          <w:rFonts w:hint="eastAsia" w:eastAsia="仿宋_GB2312"/>
          <w:color w:val="000000"/>
          <w:sz w:val="32"/>
          <w:szCs w:val="32"/>
        </w:rPr>
        <w:t>米易县行政审批局</w:t>
      </w:r>
      <w:r>
        <w:rPr>
          <w:rFonts w:eastAsia="仿宋_GB2312"/>
          <w:color w:val="000000"/>
          <w:sz w:val="32"/>
          <w:szCs w:val="32"/>
        </w:rPr>
        <w:t>20</w:t>
      </w:r>
      <w:r>
        <w:rPr>
          <w:rFonts w:hint="eastAsia" w:eastAsia="仿宋_GB2312"/>
          <w:color w:val="000000"/>
          <w:sz w:val="32"/>
          <w:szCs w:val="32"/>
        </w:rPr>
        <w:t>20</w:t>
      </w:r>
      <w:r>
        <w:rPr>
          <w:rFonts w:hint="eastAsia" w:hAnsi="仿宋_GB2312" w:eastAsia="仿宋_GB2312"/>
          <w:color w:val="000000"/>
          <w:sz w:val="32"/>
          <w:szCs w:val="32"/>
        </w:rPr>
        <w:t>年部门整体绩效评价报告》见附件1，《</w:t>
      </w:r>
      <w:r>
        <w:rPr>
          <w:rFonts w:hint="eastAsia" w:eastAsia="仿宋_GB2312"/>
          <w:color w:val="000000"/>
          <w:sz w:val="32"/>
          <w:szCs w:val="32"/>
        </w:rPr>
        <w:t>米易县行政审批局</w:t>
      </w:r>
      <w:r>
        <w:rPr>
          <w:rFonts w:eastAsia="仿宋_GB2312"/>
          <w:color w:val="000000"/>
          <w:sz w:val="32"/>
          <w:szCs w:val="32"/>
        </w:rPr>
        <w:t>20</w:t>
      </w:r>
      <w:r>
        <w:rPr>
          <w:rFonts w:hint="eastAsia" w:eastAsia="仿宋_GB2312"/>
          <w:color w:val="000000"/>
          <w:sz w:val="32"/>
          <w:szCs w:val="32"/>
        </w:rPr>
        <w:t>20</w:t>
      </w:r>
      <w:r>
        <w:rPr>
          <w:rFonts w:hint="eastAsia" w:hAnsi="仿宋_GB2312" w:eastAsia="仿宋_GB2312"/>
          <w:color w:val="000000"/>
          <w:sz w:val="32"/>
          <w:szCs w:val="32"/>
        </w:rPr>
        <w:t>年部门项目支出绩效自评报告》见附件2。</w:t>
      </w:r>
    </w:p>
    <w:p w14:paraId="0981F2DE">
      <w:pPr>
        <w:spacing w:line="580" w:lineRule="exact"/>
        <w:ind w:firstLine="640" w:firstLineChars="200"/>
        <w:rPr>
          <w:rFonts w:eastAsia="仿宋_GB2312"/>
          <w:color w:val="000000"/>
          <w:sz w:val="32"/>
          <w:szCs w:val="32"/>
        </w:rPr>
      </w:pPr>
    </w:p>
    <w:p w14:paraId="3A6313F3">
      <w:pPr>
        <w:widowControl/>
        <w:jc w:val="left"/>
        <w:rPr>
          <w:rFonts w:ascii="仿宋_GB2312" w:eastAsia="仿宋_GB2312"/>
          <w:b/>
          <w:color w:val="000000"/>
          <w:sz w:val="32"/>
          <w:szCs w:val="32"/>
        </w:rPr>
      </w:pPr>
    </w:p>
    <w:p w14:paraId="0425CF74">
      <w:pPr>
        <w:spacing w:line="600" w:lineRule="exact"/>
        <w:jc w:val="center"/>
        <w:outlineLvl w:val="0"/>
        <w:rPr>
          <w:rStyle w:val="16"/>
          <w:rFonts w:ascii="方正小标宋简体" w:hAnsi="方正小标宋简体" w:eastAsia="方正小标宋简体" w:cs="方正小标宋简体"/>
          <w:b w:val="0"/>
        </w:rPr>
      </w:pPr>
      <w:bookmarkStart w:id="48" w:name="_Toc15396613"/>
      <w:bookmarkStart w:id="49" w:name="_Toc15377225"/>
      <w:r>
        <w:rPr>
          <w:rFonts w:hint="eastAsia" w:ascii="方正小标宋简体" w:hAnsi="方正小标宋简体" w:eastAsia="方正小标宋简体" w:cs="方正小标宋简体"/>
          <w:b/>
          <w:sz w:val="44"/>
          <w:szCs w:val="44"/>
        </w:rPr>
        <w:t>第三部分 名</w:t>
      </w:r>
      <w:r>
        <w:rPr>
          <w:rStyle w:val="16"/>
          <w:rFonts w:hint="eastAsia" w:ascii="方正小标宋简体" w:hAnsi="方正小标宋简体" w:eastAsia="方正小标宋简体" w:cs="方正小标宋简体"/>
          <w:b w:val="0"/>
        </w:rPr>
        <w:t>词解释</w:t>
      </w:r>
      <w:bookmarkEnd w:id="48"/>
      <w:bookmarkEnd w:id="49"/>
    </w:p>
    <w:p w14:paraId="0D78366C">
      <w:pPr>
        <w:spacing w:line="600" w:lineRule="exact"/>
        <w:jc w:val="left"/>
        <w:rPr>
          <w:rFonts w:ascii="仿宋_GB2312" w:eastAsia="仿宋_GB2312"/>
          <w:b/>
          <w:sz w:val="32"/>
          <w:szCs w:val="32"/>
        </w:rPr>
      </w:pPr>
    </w:p>
    <w:p w14:paraId="01224C70">
      <w:pPr>
        <w:pStyle w:val="25"/>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1.财政拨款收入：指单位从同级财政部门取得的财政预算资金。</w:t>
      </w:r>
    </w:p>
    <w:p w14:paraId="62791D80">
      <w:pPr>
        <w:pStyle w:val="25"/>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2.事业收入：指事业单位开展专业业务活动及辅助活动取得的收入。</w:t>
      </w:r>
    </w:p>
    <w:p w14:paraId="74EF39AC">
      <w:pPr>
        <w:pStyle w:val="25"/>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3.其他收入：指单位取得的除上述收入以外的各项收入。</w:t>
      </w:r>
    </w:p>
    <w:p w14:paraId="6B640AC9">
      <w:pPr>
        <w:pStyle w:val="25"/>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4.年初结转和结余：指以前年度尚未完成、结转到本年按有关规定继续使用的资金。</w:t>
      </w:r>
    </w:p>
    <w:p w14:paraId="23598B6F">
      <w:pPr>
        <w:pStyle w:val="25"/>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5.年末结转和结余：指单位按有关规定结转到下年或以后年度继续使用的资金。</w:t>
      </w:r>
    </w:p>
    <w:p w14:paraId="133BE146">
      <w:pPr>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6.一般公共服务</w:t>
      </w:r>
      <w:r>
        <w:rPr>
          <w:rStyle w:val="14"/>
          <w:rFonts w:hint="eastAsia" w:eastAsia="仿宋_GB2312"/>
          <w:bCs/>
          <w:color w:val="000000"/>
          <w:sz w:val="32"/>
          <w:szCs w:val="32"/>
        </w:rPr>
        <w:t>（</w:t>
      </w:r>
      <w:r>
        <w:rPr>
          <w:rStyle w:val="14"/>
          <w:rFonts w:hint="eastAsia" w:eastAsia="仿宋_GB2312"/>
          <w:b w:val="0"/>
          <w:bCs/>
          <w:color w:val="000000"/>
          <w:sz w:val="32"/>
          <w:szCs w:val="32"/>
        </w:rPr>
        <w:t>类）201（款）03（项）01:</w:t>
      </w:r>
      <w:r>
        <w:rPr>
          <w:rFonts w:hint="eastAsia" w:eastAsia="仿宋_GB2312"/>
          <w:color w:val="000000"/>
          <w:sz w:val="32"/>
          <w:szCs w:val="32"/>
        </w:rPr>
        <w:t>指行政运行。</w:t>
      </w:r>
    </w:p>
    <w:p w14:paraId="350AB50A">
      <w:pPr>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7.社会保障和就业</w:t>
      </w:r>
      <w:r>
        <w:rPr>
          <w:rStyle w:val="14"/>
          <w:rFonts w:hint="eastAsia" w:eastAsia="仿宋_GB2312"/>
          <w:b w:val="0"/>
          <w:bCs/>
          <w:sz w:val="32"/>
          <w:szCs w:val="32"/>
        </w:rPr>
        <w:t>（类）208（款）05（项）05：</w:t>
      </w:r>
      <w:r>
        <w:rPr>
          <w:rFonts w:hint="eastAsia" w:eastAsia="仿宋_GB2312"/>
          <w:color w:val="000000"/>
          <w:sz w:val="32"/>
          <w:szCs w:val="32"/>
        </w:rPr>
        <w:t>指机关事业单位基本养老保险缴费支出。</w:t>
      </w:r>
    </w:p>
    <w:p w14:paraId="7F7D1C59">
      <w:pPr>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8.住房保障</w:t>
      </w:r>
      <w:r>
        <w:rPr>
          <w:rStyle w:val="14"/>
          <w:rFonts w:hint="eastAsia" w:eastAsia="仿宋_GB2312"/>
          <w:b w:val="0"/>
          <w:bCs/>
          <w:sz w:val="32"/>
          <w:szCs w:val="32"/>
        </w:rPr>
        <w:t>（类）221（款）02（项）01</w:t>
      </w:r>
      <w:r>
        <w:rPr>
          <w:rFonts w:hint="eastAsia" w:eastAsia="仿宋_GB2312"/>
          <w:color w:val="000000"/>
          <w:sz w:val="32"/>
          <w:szCs w:val="32"/>
        </w:rPr>
        <w:t>：指住房公积金。</w:t>
      </w:r>
    </w:p>
    <w:p w14:paraId="619922F6">
      <w:pPr>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9.基本支出：指为保障机构正常运转、完成日常工作任务而发生的人员支出和公用支出。人员支出主要包括：基本工资（30101）、津贴补贴（30102）、奖金（30103）、绩效工资（30107）、机关事业单位基本养老保险缴费（30108）、职工基本医疗保险缴费（30110）、公务员医疗补助缴费（30111）、其他社会保障缴费（30112）、住房公积金（30113）、其他工资福利支出（30199）、生活补助（30305）、奖励金（30309）等；公用支出主要包括：办公费（30201）、水费（30205）、邮电费（30207）、差旅费（30211）、租赁费（30214）、培训费（30216）、公务接待费（30217）、福利费（30229）、其他交通费（30239）、其他商品和服务支出（30299）等。</w:t>
      </w:r>
    </w:p>
    <w:p w14:paraId="4554F6A2">
      <w:pPr>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10.项目支出：指在基本支出之外为完成特定行政任务和事业发展目标所发生的支出，主要包括：一般公共服务支出-政府办公厅（室）及相关机构事务-政务公开审批（2010306）。</w:t>
      </w:r>
    </w:p>
    <w:p w14:paraId="520801A4">
      <w:pPr>
        <w:pStyle w:val="25"/>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46059F2">
      <w:pPr>
        <w:adjustRightInd w:val="0"/>
        <w:snapToGrid w:val="0"/>
        <w:spacing w:line="560" w:lineRule="exact"/>
        <w:ind w:firstLine="640" w:firstLineChars="200"/>
        <w:rPr>
          <w:rFonts w:eastAsia="仿宋_GB2312"/>
          <w:sz w:val="32"/>
          <w:szCs w:val="32"/>
        </w:rPr>
      </w:pPr>
      <w:r>
        <w:rPr>
          <w:rFonts w:hint="eastAsia" w:eastAsia="仿宋_GB2312"/>
          <w:sz w:val="32"/>
          <w:szCs w:val="32"/>
        </w:rPr>
        <w:t>12.机关运行经费：为保障行政单位（含参照公务员法管理的事业单位）运行用于购买货物和服务的各项资金，</w:t>
      </w:r>
      <w:r>
        <w:rPr>
          <w:rFonts w:hint="eastAsia" w:eastAsia="仿宋_GB2312"/>
          <w:color w:val="000000"/>
          <w:sz w:val="32"/>
          <w:szCs w:val="32"/>
        </w:rPr>
        <w:t>办公费（30201）、水费（30205）、邮电费（30207）、差旅费（30211）、租赁费（30214）、培训费（30216）、公务接待费（30217）、福利费（30229）、其他交通费（30239）、其他商品和服务支出（30299）等。</w:t>
      </w:r>
    </w:p>
    <w:p w14:paraId="62307C84">
      <w:pPr>
        <w:adjustRightInd w:val="0"/>
        <w:snapToGrid w:val="0"/>
        <w:spacing w:line="560" w:lineRule="exact"/>
        <w:ind w:firstLine="640" w:firstLineChars="200"/>
        <w:outlineLvl w:val="0"/>
        <w:rPr>
          <w:rFonts w:eastAsia="仿宋_GB2312"/>
          <w:color w:val="000000"/>
          <w:sz w:val="32"/>
          <w:szCs w:val="32"/>
        </w:rPr>
      </w:pPr>
      <w:bookmarkStart w:id="50" w:name="_Toc47520002"/>
    </w:p>
    <w:p w14:paraId="75BCAC71">
      <w:pPr>
        <w:adjustRightInd w:val="0"/>
        <w:snapToGrid w:val="0"/>
        <w:spacing w:line="560" w:lineRule="exact"/>
        <w:ind w:firstLine="640" w:firstLineChars="200"/>
        <w:outlineLvl w:val="0"/>
        <w:rPr>
          <w:rFonts w:eastAsia="仿宋_GB2312"/>
          <w:color w:val="000000"/>
          <w:sz w:val="32"/>
          <w:szCs w:val="32"/>
        </w:rPr>
      </w:pPr>
    </w:p>
    <w:p w14:paraId="58792516">
      <w:pPr>
        <w:adjustRightInd w:val="0"/>
        <w:snapToGrid w:val="0"/>
        <w:spacing w:line="560" w:lineRule="exact"/>
        <w:jc w:val="center"/>
        <w:outlineLvl w:val="0"/>
        <w:rPr>
          <w:rStyle w:val="16"/>
          <w:rFonts w:ascii="方正小标宋简体" w:hAnsi="方正小标宋简体" w:eastAsia="方正小标宋简体" w:cs="方正小标宋简体"/>
          <w:b w:val="0"/>
          <w:color w:val="000000"/>
        </w:rPr>
      </w:pPr>
      <w:r>
        <w:rPr>
          <w:rFonts w:hint="eastAsia" w:ascii="方正小标宋简体" w:hAnsi="方正小标宋简体" w:eastAsia="方正小标宋简体" w:cs="方正小标宋简体"/>
          <w:color w:val="000000"/>
          <w:sz w:val="44"/>
          <w:szCs w:val="44"/>
        </w:rPr>
        <w:t>第</w:t>
      </w:r>
      <w:r>
        <w:rPr>
          <w:rStyle w:val="16"/>
          <w:rFonts w:hint="eastAsia" w:ascii="方正小标宋简体" w:hAnsi="方正小标宋简体" w:eastAsia="方正小标宋简体" w:cs="方正小标宋简体"/>
          <w:b w:val="0"/>
          <w:color w:val="000000"/>
        </w:rPr>
        <w:t xml:space="preserve">四部分 </w:t>
      </w:r>
      <w:bookmarkEnd w:id="50"/>
      <w:r>
        <w:rPr>
          <w:rStyle w:val="16"/>
          <w:rFonts w:hint="eastAsia" w:ascii="方正小标宋简体" w:hAnsi="方正小标宋简体" w:eastAsia="方正小标宋简体" w:cs="方正小标宋简体"/>
          <w:b w:val="0"/>
          <w:color w:val="000000"/>
        </w:rPr>
        <w:t>附件</w:t>
      </w:r>
    </w:p>
    <w:p w14:paraId="5767F7A7">
      <w:pPr>
        <w:adjustRightInd w:val="0"/>
        <w:snapToGrid w:val="0"/>
        <w:spacing w:line="560" w:lineRule="exact"/>
        <w:ind w:firstLine="640" w:firstLineChars="200"/>
        <w:jc w:val="center"/>
        <w:outlineLvl w:val="0"/>
        <w:rPr>
          <w:rStyle w:val="16"/>
          <w:rFonts w:eastAsia="仿宋_GB2312" w:cs="方正小标宋简体"/>
          <w:b w:val="0"/>
          <w:color w:val="FF0000"/>
          <w:sz w:val="32"/>
        </w:rPr>
      </w:pPr>
    </w:p>
    <w:p w14:paraId="33EE6DBF">
      <w:pPr>
        <w:adjustRightInd w:val="0"/>
        <w:snapToGrid w:val="0"/>
        <w:spacing w:line="560" w:lineRule="exact"/>
        <w:ind w:firstLine="640" w:firstLineChars="200"/>
        <w:rPr>
          <w:rFonts w:eastAsia="仿宋_GB2312"/>
          <w:sz w:val="32"/>
        </w:rPr>
      </w:pPr>
      <w:r>
        <w:rPr>
          <w:rFonts w:hint="eastAsia" w:eastAsia="仿宋_GB2312"/>
          <w:sz w:val="32"/>
        </w:rPr>
        <w:t>附件1</w:t>
      </w:r>
    </w:p>
    <w:p w14:paraId="40527BAC">
      <w:pPr>
        <w:adjustRightInd w:val="0"/>
        <w:snapToGrid w:val="0"/>
        <w:spacing w:line="560" w:lineRule="exact"/>
        <w:ind w:firstLine="723" w:firstLineChars="200"/>
        <w:jc w:val="center"/>
        <w:rPr>
          <w:rFonts w:eastAsia="仿宋_GB2312"/>
          <w:b/>
          <w:sz w:val="36"/>
          <w:szCs w:val="36"/>
        </w:rPr>
      </w:pPr>
      <w:r>
        <w:rPr>
          <w:rFonts w:hint="eastAsia" w:eastAsia="仿宋_GB2312"/>
          <w:b/>
          <w:sz w:val="36"/>
          <w:szCs w:val="36"/>
        </w:rPr>
        <w:t>米易县行政审批局</w:t>
      </w:r>
    </w:p>
    <w:p w14:paraId="484182B3">
      <w:pPr>
        <w:adjustRightInd w:val="0"/>
        <w:snapToGrid w:val="0"/>
        <w:spacing w:line="560" w:lineRule="exact"/>
        <w:ind w:firstLine="723" w:firstLineChars="200"/>
        <w:jc w:val="center"/>
        <w:rPr>
          <w:rFonts w:eastAsia="仿宋_GB2312"/>
          <w:b/>
          <w:sz w:val="36"/>
          <w:szCs w:val="36"/>
        </w:rPr>
      </w:pPr>
      <w:r>
        <w:rPr>
          <w:rFonts w:hint="eastAsia" w:eastAsia="仿宋_GB2312"/>
          <w:b/>
          <w:sz w:val="36"/>
          <w:szCs w:val="36"/>
        </w:rPr>
        <w:t>2020年部门整体支出绩效自评报告</w:t>
      </w:r>
    </w:p>
    <w:p w14:paraId="59D79B57">
      <w:pPr>
        <w:adjustRightInd w:val="0"/>
        <w:snapToGrid w:val="0"/>
        <w:spacing w:line="560" w:lineRule="exact"/>
        <w:ind w:firstLine="723" w:firstLineChars="200"/>
        <w:jc w:val="center"/>
        <w:rPr>
          <w:rFonts w:eastAsia="仿宋_GB2312"/>
          <w:b/>
          <w:sz w:val="36"/>
          <w:szCs w:val="36"/>
        </w:rPr>
      </w:pPr>
    </w:p>
    <w:p w14:paraId="22C29E2D">
      <w:pPr>
        <w:pStyle w:val="3"/>
        <w:adjustRightInd w:val="0"/>
        <w:snapToGrid w:val="0"/>
        <w:spacing w:before="0" w:after="0" w:line="560" w:lineRule="exact"/>
        <w:ind w:firstLine="640" w:firstLineChars="200"/>
        <w:rPr>
          <w:rStyle w:val="17"/>
          <w:rFonts w:ascii="黑体" w:hAnsi="黑体" w:eastAsia="黑体" w:cs="黑体"/>
          <w:b w:val="0"/>
          <w:bCs w:val="0"/>
        </w:rPr>
      </w:pPr>
      <w:r>
        <w:rPr>
          <w:rFonts w:hint="eastAsia" w:ascii="黑体" w:hAnsi="黑体" w:eastAsia="黑体" w:cs="黑体"/>
          <w:b w:val="0"/>
          <w:color w:val="000000"/>
        </w:rPr>
        <w:t>一、基本</w:t>
      </w:r>
      <w:r>
        <w:rPr>
          <w:rStyle w:val="17"/>
          <w:rFonts w:hint="eastAsia" w:ascii="黑体" w:hAnsi="黑体" w:eastAsia="黑体" w:cs="黑体"/>
          <w:b w:val="0"/>
          <w:bCs w:val="0"/>
        </w:rPr>
        <w:t>职能及基本情况</w:t>
      </w:r>
    </w:p>
    <w:p w14:paraId="0ADFC6A5">
      <w:pPr>
        <w:adjustRightInd w:val="0"/>
        <w:snapToGrid w:val="0"/>
        <w:spacing w:line="560" w:lineRule="exact"/>
        <w:ind w:firstLine="643" w:firstLineChars="200"/>
        <w:outlineLvl w:val="1"/>
        <w:rPr>
          <w:rStyle w:val="17"/>
          <w:rFonts w:ascii="楷体" w:hAnsi="楷体" w:eastAsia="楷体" w:cs="楷体"/>
          <w:bCs w:val="0"/>
        </w:rPr>
      </w:pPr>
      <w:r>
        <w:rPr>
          <w:rStyle w:val="17"/>
          <w:rFonts w:hint="eastAsia" w:ascii="楷体" w:hAnsi="楷体" w:eastAsia="楷体" w:cs="楷体"/>
          <w:bCs w:val="0"/>
        </w:rPr>
        <w:t>（一）主要职能。</w:t>
      </w:r>
    </w:p>
    <w:p w14:paraId="51AFB6B4">
      <w:pPr>
        <w:pStyle w:val="5"/>
        <w:adjustRightInd w:val="0"/>
        <w:snapToGrid w:val="0"/>
        <w:spacing w:beforeLines="0" w:line="560" w:lineRule="exact"/>
        <w:ind w:firstLine="640" w:firstLineChars="200"/>
        <w:outlineLvl w:val="2"/>
        <w:rPr>
          <w:rFonts w:ascii="Times New Roman"/>
          <w:sz w:val="32"/>
          <w:szCs w:val="32"/>
        </w:rPr>
      </w:pPr>
      <w:r>
        <w:rPr>
          <w:rFonts w:hint="eastAsia" w:ascii="Times New Roman"/>
          <w:sz w:val="32"/>
          <w:szCs w:val="32"/>
        </w:rPr>
        <w:t>1.组织拟订全县政务服务、行政审批制度改革发展规划、政策和措施并组织、指导实施。</w:t>
      </w:r>
    </w:p>
    <w:p w14:paraId="00CA49E4">
      <w:pPr>
        <w:pStyle w:val="5"/>
        <w:adjustRightInd w:val="0"/>
        <w:snapToGrid w:val="0"/>
        <w:spacing w:beforeLines="0" w:line="560" w:lineRule="exact"/>
        <w:ind w:firstLine="640" w:firstLineChars="200"/>
        <w:outlineLvl w:val="2"/>
        <w:rPr>
          <w:rFonts w:ascii="Times New Roman"/>
          <w:sz w:val="32"/>
          <w:szCs w:val="32"/>
        </w:rPr>
      </w:pPr>
      <w:r>
        <w:rPr>
          <w:rFonts w:hint="eastAsia" w:ascii="Times New Roman"/>
          <w:sz w:val="32"/>
          <w:szCs w:val="32"/>
        </w:rPr>
        <w:t>2.负责政务服务管理工作。指导、协调并推进全县政务服务体系建设。指导、协调和监督县级部门（单位）政务服务工作。指导、监督四川省一体化政务服务平台米易站点等网络平台建设和运行工作。对乡镇便民服务机构进行业务指导。</w:t>
      </w:r>
    </w:p>
    <w:p w14:paraId="2CD57790">
      <w:pPr>
        <w:pStyle w:val="5"/>
        <w:adjustRightInd w:val="0"/>
        <w:snapToGrid w:val="0"/>
        <w:spacing w:beforeLines="0" w:line="560" w:lineRule="exact"/>
        <w:ind w:firstLine="640" w:firstLineChars="200"/>
        <w:outlineLvl w:val="2"/>
        <w:rPr>
          <w:rFonts w:ascii="Times New Roman"/>
          <w:sz w:val="32"/>
          <w:szCs w:val="32"/>
        </w:rPr>
      </w:pPr>
      <w:r>
        <w:rPr>
          <w:rFonts w:hint="eastAsia" w:ascii="Times New Roman"/>
          <w:sz w:val="32"/>
          <w:szCs w:val="32"/>
        </w:rPr>
        <w:t>3.负责指导、协调、监督并推进全县深化行政审批制度改革工作。</w:t>
      </w:r>
    </w:p>
    <w:p w14:paraId="47ED9430">
      <w:pPr>
        <w:pStyle w:val="5"/>
        <w:adjustRightInd w:val="0"/>
        <w:snapToGrid w:val="0"/>
        <w:spacing w:beforeLines="0" w:line="560" w:lineRule="exact"/>
        <w:ind w:firstLine="640" w:firstLineChars="200"/>
        <w:outlineLvl w:val="2"/>
        <w:rPr>
          <w:rFonts w:ascii="Times New Roman"/>
          <w:sz w:val="32"/>
          <w:szCs w:val="32"/>
        </w:rPr>
      </w:pPr>
      <w:r>
        <w:rPr>
          <w:rFonts w:hint="eastAsia" w:ascii="Times New Roman"/>
          <w:sz w:val="32"/>
          <w:szCs w:val="32"/>
        </w:rPr>
        <w:t>4.牵头负责公共资源交易服务管理工作。</w:t>
      </w:r>
    </w:p>
    <w:p w14:paraId="3A5646F3">
      <w:pPr>
        <w:pStyle w:val="5"/>
        <w:adjustRightInd w:val="0"/>
        <w:snapToGrid w:val="0"/>
        <w:spacing w:beforeLines="0" w:line="560" w:lineRule="exact"/>
        <w:ind w:firstLine="640" w:firstLineChars="200"/>
        <w:outlineLvl w:val="2"/>
        <w:rPr>
          <w:rFonts w:ascii="Times New Roman"/>
          <w:sz w:val="32"/>
          <w:szCs w:val="32"/>
        </w:rPr>
      </w:pPr>
      <w:r>
        <w:rPr>
          <w:rFonts w:hint="eastAsia" w:ascii="Times New Roman"/>
          <w:sz w:val="32"/>
          <w:szCs w:val="32"/>
        </w:rPr>
        <w:t>5.指导、协调、监督、考核进驻部门（单位）的政务服务工作，审核进驻政务服务事项，对部门（单位）独立设置的办事大厅进行业务指导和监督。</w:t>
      </w:r>
    </w:p>
    <w:p w14:paraId="6D5EA2BA">
      <w:pPr>
        <w:pStyle w:val="5"/>
        <w:adjustRightInd w:val="0"/>
        <w:snapToGrid w:val="0"/>
        <w:spacing w:beforeLines="0" w:line="560" w:lineRule="exact"/>
        <w:ind w:firstLine="640" w:firstLineChars="200"/>
        <w:outlineLvl w:val="2"/>
        <w:rPr>
          <w:rFonts w:ascii="Times New Roman"/>
          <w:sz w:val="32"/>
          <w:szCs w:val="32"/>
        </w:rPr>
      </w:pPr>
      <w:r>
        <w:rPr>
          <w:rFonts w:hint="eastAsia" w:ascii="Times New Roman"/>
          <w:sz w:val="32"/>
          <w:szCs w:val="32"/>
        </w:rPr>
        <w:t>6.按照省、市、县部署和要求，推进相对集中行政许可权改革，规范行政审批行为。</w:t>
      </w:r>
    </w:p>
    <w:p w14:paraId="65763509">
      <w:pPr>
        <w:pStyle w:val="5"/>
        <w:adjustRightInd w:val="0"/>
        <w:snapToGrid w:val="0"/>
        <w:spacing w:beforeLines="0" w:line="560" w:lineRule="exact"/>
        <w:ind w:firstLine="640" w:firstLineChars="200"/>
        <w:outlineLvl w:val="2"/>
        <w:rPr>
          <w:rFonts w:ascii="Times New Roman"/>
          <w:sz w:val="32"/>
          <w:szCs w:val="32"/>
        </w:rPr>
      </w:pPr>
      <w:r>
        <w:rPr>
          <w:rFonts w:hint="eastAsia" w:ascii="Times New Roman"/>
          <w:sz w:val="32"/>
          <w:szCs w:val="32"/>
        </w:rPr>
        <w:t>7.负责职责范围的安全生产和职业健康、生态环境保护、审批服务便民化等工作。</w:t>
      </w:r>
    </w:p>
    <w:p w14:paraId="1DE313D6">
      <w:pPr>
        <w:adjustRightInd w:val="0"/>
        <w:snapToGrid w:val="0"/>
        <w:spacing w:line="560" w:lineRule="exact"/>
        <w:ind w:firstLine="640" w:firstLineChars="200"/>
        <w:rPr>
          <w:sz w:val="32"/>
          <w:szCs w:val="32"/>
        </w:rPr>
      </w:pPr>
      <w:r>
        <w:rPr>
          <w:rFonts w:hint="eastAsia"/>
          <w:sz w:val="32"/>
          <w:szCs w:val="32"/>
        </w:rPr>
        <w:t>8.完成县委、县政府交办的其他任务。</w:t>
      </w:r>
    </w:p>
    <w:p w14:paraId="2F081F09">
      <w:pPr>
        <w:adjustRightInd w:val="0"/>
        <w:snapToGrid w:val="0"/>
        <w:spacing w:line="560" w:lineRule="exact"/>
        <w:ind w:firstLine="643" w:firstLineChars="200"/>
        <w:rPr>
          <w:rFonts w:ascii="仿宋_GB2312" w:hAnsi="方正仿宋简体" w:eastAsia="仿宋_GB2312" w:cs="方正仿宋简体"/>
          <w:b/>
          <w:sz w:val="32"/>
          <w:szCs w:val="32"/>
        </w:rPr>
      </w:pPr>
      <w:r>
        <w:rPr>
          <w:rFonts w:hint="eastAsia" w:ascii="仿宋_GB2312" w:hAnsi="方正仿宋简体" w:eastAsia="仿宋_GB2312" w:cs="方正仿宋简体"/>
          <w:b/>
          <w:sz w:val="32"/>
          <w:szCs w:val="32"/>
        </w:rPr>
        <w:t>（二）机构组成</w:t>
      </w:r>
      <w:r>
        <w:rPr>
          <w:rFonts w:hint="eastAsia" w:ascii="仿宋_GB2312" w:eastAsia="仿宋_GB2312"/>
          <w:sz w:val="32"/>
          <w:szCs w:val="32"/>
        </w:rPr>
        <w:t>。</w:t>
      </w:r>
    </w:p>
    <w:p w14:paraId="031C4BDB">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据米委办法【2019】24号文件，米易县行政审批局是</w:t>
      </w:r>
      <w:r>
        <w:rPr>
          <w:rFonts w:hint="eastAsia" w:ascii="仿宋_GB2312" w:eastAsia="仿宋_GB2312" w:cs="方正仿宋_GBK"/>
          <w:sz w:val="32"/>
          <w:szCs w:val="32"/>
        </w:rPr>
        <w:t>2019年米易县机构改革时，整合原</w:t>
      </w:r>
      <w:r>
        <w:rPr>
          <w:rFonts w:hint="eastAsia" w:ascii="仿宋_GB2312" w:eastAsia="仿宋_GB2312"/>
          <w:sz w:val="32"/>
          <w:szCs w:val="32"/>
        </w:rPr>
        <w:t>米易县人民</w:t>
      </w:r>
      <w:r>
        <w:rPr>
          <w:rFonts w:hint="eastAsia" w:ascii="仿宋_GB2312" w:eastAsia="仿宋_GB2312" w:cs="方正仿宋_GBK"/>
          <w:sz w:val="32"/>
          <w:szCs w:val="32"/>
        </w:rPr>
        <w:t>政府政务服务中心的职责和相关机构深化行政审批制度改革职责、行政审批职责组建的</w:t>
      </w:r>
      <w:r>
        <w:rPr>
          <w:rFonts w:hint="eastAsia" w:ascii="仿宋_GB2312" w:eastAsia="仿宋_GB2312"/>
          <w:sz w:val="32"/>
          <w:szCs w:val="32"/>
        </w:rPr>
        <w:t>，为米易县人民政府正科级工作部门，内设办公室、政务服务管理股、网管监督股、商事登记审批股、投资项目审批股、涉农事务审批股、综合业务审批股，下属事业单位米易县政务服务中心。</w:t>
      </w:r>
    </w:p>
    <w:p w14:paraId="7CF7518B">
      <w:pPr>
        <w:adjustRightInd w:val="0"/>
        <w:snapToGrid w:val="0"/>
        <w:spacing w:line="560" w:lineRule="exact"/>
        <w:ind w:firstLine="643" w:firstLineChars="200"/>
        <w:rPr>
          <w:rFonts w:ascii="仿宋_GB2312" w:hAnsi="方正仿宋简体" w:eastAsia="仿宋_GB2312" w:cs="方正仿宋简体"/>
          <w:b/>
          <w:sz w:val="32"/>
          <w:szCs w:val="32"/>
        </w:rPr>
      </w:pPr>
      <w:r>
        <w:rPr>
          <w:rFonts w:hint="eastAsia" w:ascii="仿宋_GB2312" w:hAnsi="方正仿宋简体" w:eastAsia="仿宋_GB2312" w:cs="方正仿宋简体"/>
          <w:b/>
          <w:sz w:val="32"/>
          <w:szCs w:val="32"/>
        </w:rPr>
        <w:t>（三）人员情况</w:t>
      </w:r>
      <w:r>
        <w:rPr>
          <w:rFonts w:hint="eastAsia" w:ascii="仿宋_GB2312" w:eastAsia="仿宋_GB2312"/>
          <w:sz w:val="32"/>
          <w:szCs w:val="32"/>
        </w:rPr>
        <w:t>。</w:t>
      </w:r>
    </w:p>
    <w:p w14:paraId="5403E11E">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color w:val="000000"/>
          <w:sz w:val="32"/>
          <w:szCs w:val="32"/>
        </w:rPr>
        <w:t>县行政审批局行政编制15名。其中，局长1名，副局长3名，内设机构领导职数7名。机关后勤事业编制1名。现实有在编在岗行政人员8名，</w:t>
      </w:r>
      <w:r>
        <w:rPr>
          <w:rFonts w:hint="eastAsia" w:ascii="仿宋_GB2312" w:eastAsia="仿宋_GB2312"/>
          <w:sz w:val="32"/>
          <w:szCs w:val="32"/>
        </w:rPr>
        <w:t>其中：局长</w:t>
      </w:r>
      <w:r>
        <w:rPr>
          <w:rFonts w:hint="eastAsia" w:ascii="仿宋_GB2312" w:eastAsia="仿宋_GB2312"/>
          <w:color w:val="000000"/>
          <w:sz w:val="32"/>
          <w:szCs w:val="32"/>
        </w:rPr>
        <w:t>1名</w:t>
      </w:r>
      <w:r>
        <w:rPr>
          <w:rFonts w:hint="eastAsia" w:ascii="仿宋_GB2312" w:eastAsia="仿宋_GB2312"/>
          <w:sz w:val="32"/>
          <w:szCs w:val="32"/>
        </w:rPr>
        <w:t>，副局长3名，四级调研员2名，四级主任科员</w:t>
      </w:r>
      <w:r>
        <w:rPr>
          <w:rFonts w:hint="eastAsia" w:ascii="仿宋_GB2312" w:eastAsia="仿宋_GB2312"/>
          <w:color w:val="000000"/>
          <w:sz w:val="32"/>
          <w:szCs w:val="32"/>
        </w:rPr>
        <w:t>1名</w:t>
      </w:r>
      <w:r>
        <w:rPr>
          <w:rFonts w:hint="eastAsia" w:ascii="仿宋_GB2312" w:eastAsia="仿宋_GB2312"/>
          <w:sz w:val="32"/>
          <w:szCs w:val="32"/>
        </w:rPr>
        <w:t>，一级科员</w:t>
      </w:r>
      <w:r>
        <w:rPr>
          <w:rFonts w:hint="eastAsia" w:ascii="仿宋_GB2312" w:eastAsia="仿宋_GB2312"/>
          <w:color w:val="000000"/>
          <w:sz w:val="32"/>
          <w:szCs w:val="32"/>
        </w:rPr>
        <w:t>1名</w:t>
      </w:r>
      <w:r>
        <w:rPr>
          <w:rFonts w:hint="eastAsia" w:ascii="仿宋_GB2312" w:eastAsia="仿宋_GB2312"/>
          <w:sz w:val="32"/>
          <w:szCs w:val="32"/>
        </w:rPr>
        <w:t>。</w:t>
      </w:r>
    </w:p>
    <w:p w14:paraId="5024128B">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2.据米编发【2019】</w:t>
      </w:r>
      <w:r>
        <w:rPr>
          <w:rFonts w:hint="eastAsia" w:ascii="仿宋_GB2312" w:eastAsia="仿宋_GB2312"/>
          <w:color w:val="000000"/>
          <w:sz w:val="32"/>
          <w:szCs w:val="32"/>
        </w:rPr>
        <w:t>45号文件，将</w:t>
      </w:r>
      <w:r>
        <w:rPr>
          <w:rFonts w:hint="eastAsia" w:ascii="仿宋_GB2312" w:eastAsia="仿宋_GB2312"/>
          <w:sz w:val="32"/>
          <w:szCs w:val="32"/>
        </w:rPr>
        <w:t>米编发【2012】37号文件，同意成立的财政全额拨款事业单位米易县政务服务指导中心更名为米易县政务服务中心，事业编制10名。现实有在编在岗事业人员9名，管理八级1人，管理九级8人。</w:t>
      </w:r>
    </w:p>
    <w:p w14:paraId="015BDF9A">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3.编外临聘咨询台工作人员2名。政府购买服务惠企窗口2名。</w:t>
      </w:r>
    </w:p>
    <w:p w14:paraId="4412132C">
      <w:pPr>
        <w:adjustRightInd w:val="0"/>
        <w:snapToGrid w:val="0"/>
        <w:spacing w:line="560" w:lineRule="exact"/>
        <w:ind w:firstLine="643" w:firstLineChars="200"/>
        <w:rPr>
          <w:rFonts w:ascii="仿宋_GB2312" w:eastAsia="仿宋_GB2312"/>
          <w:b/>
          <w:sz w:val="32"/>
          <w:szCs w:val="32"/>
        </w:rPr>
      </w:pPr>
      <w:bookmarkStart w:id="51" w:name="_Toc15396617"/>
      <w:r>
        <w:rPr>
          <w:rFonts w:hint="eastAsia" w:ascii="仿宋_GB2312" w:eastAsia="仿宋_GB2312"/>
          <w:b/>
          <w:sz w:val="32"/>
          <w:szCs w:val="32"/>
        </w:rPr>
        <w:t>二、评价工作开展情况</w:t>
      </w:r>
    </w:p>
    <w:p w14:paraId="6D0A5758">
      <w:pPr>
        <w:snapToGrid w:val="0"/>
        <w:spacing w:line="560" w:lineRule="exact"/>
        <w:ind w:firstLine="620" w:firstLineChars="194"/>
        <w:rPr>
          <w:rFonts w:ascii="仿宋_GB2312" w:eastAsia="仿宋_GB2312"/>
          <w:sz w:val="32"/>
          <w:szCs w:val="32"/>
        </w:rPr>
      </w:pPr>
      <w:r>
        <w:rPr>
          <w:rFonts w:hint="eastAsia" w:ascii="仿宋_GB2312" w:eastAsia="仿宋_GB2312"/>
          <w:sz w:val="32"/>
          <w:szCs w:val="32"/>
        </w:rPr>
        <w:t>我局高度重视此次绩效评价工作，按照文件要求，及时成立了工作小组，明确了分管领导、牵头股室和具体负责人、绩效评价组工作成员，负责组织、协调2020部门预算整体绩效自评和重点项目支出绩效自评工作。绩效评价工作小组对单位的全年部门支出和重点项目支出进行了整体梳理、分类整理、审查和分析，综合评议形成评价结论。</w:t>
      </w:r>
    </w:p>
    <w:p w14:paraId="05266DAE">
      <w:pPr>
        <w:spacing w:line="560" w:lineRule="exact"/>
        <w:ind w:firstLine="643" w:firstLineChars="200"/>
        <w:rPr>
          <w:rFonts w:ascii="仿宋_GB2312" w:eastAsia="仿宋_GB2312"/>
          <w:b/>
          <w:sz w:val="32"/>
          <w:szCs w:val="32"/>
        </w:rPr>
      </w:pPr>
      <w:r>
        <w:rPr>
          <w:rFonts w:hint="eastAsia" w:ascii="仿宋_GB2312" w:eastAsia="仿宋_GB2312"/>
          <w:b/>
          <w:sz w:val="32"/>
          <w:szCs w:val="32"/>
        </w:rPr>
        <w:t>三、部门资金基本情况</w:t>
      </w:r>
    </w:p>
    <w:p w14:paraId="48CE9912">
      <w:pPr>
        <w:spacing w:line="560" w:lineRule="exact"/>
        <w:ind w:firstLine="643" w:firstLineChars="200"/>
        <w:rPr>
          <w:rFonts w:ascii="仿宋_GB2312" w:eastAsia="仿宋_GB2312"/>
          <w:b/>
          <w:sz w:val="32"/>
          <w:szCs w:val="32"/>
        </w:rPr>
      </w:pPr>
      <w:r>
        <w:rPr>
          <w:rFonts w:hint="eastAsia" w:ascii="仿宋_GB2312" w:eastAsia="仿宋_GB2312"/>
          <w:b/>
          <w:sz w:val="32"/>
          <w:szCs w:val="32"/>
        </w:rPr>
        <w:t>（一）部门财政资金收入情况</w:t>
      </w:r>
    </w:p>
    <w:p w14:paraId="2395BDF8">
      <w:pPr>
        <w:spacing w:line="560" w:lineRule="exact"/>
        <w:ind w:firstLine="640" w:firstLineChars="200"/>
        <w:rPr>
          <w:rFonts w:ascii="仿宋_GB2312" w:eastAsia="仿宋_GB2312"/>
          <w:sz w:val="32"/>
          <w:szCs w:val="32"/>
        </w:rPr>
      </w:pPr>
      <w:r>
        <w:rPr>
          <w:rFonts w:hint="eastAsia" w:ascii="仿宋_GB2312" w:eastAsia="仿宋_GB2312"/>
          <w:sz w:val="32"/>
          <w:szCs w:val="32"/>
        </w:rPr>
        <w:t>2020年度年初预算拨款收入342.96万元</w:t>
      </w:r>
      <w:r>
        <w:rPr>
          <w:rFonts w:hint="eastAsia" w:ascii="仿宋_GB2312" w:eastAsia="仿宋_GB2312"/>
          <w:color w:val="000000"/>
          <w:sz w:val="32"/>
          <w:szCs w:val="32"/>
        </w:rPr>
        <w:t>，</w:t>
      </w:r>
      <w:r>
        <w:rPr>
          <w:rFonts w:hint="eastAsia" w:ascii="仿宋_GB2312" w:eastAsia="仿宋_GB2312"/>
          <w:sz w:val="32"/>
          <w:szCs w:val="32"/>
        </w:rPr>
        <w:t>决算拨款收入442.03万元。</w:t>
      </w:r>
    </w:p>
    <w:p w14:paraId="69918880">
      <w:pPr>
        <w:spacing w:line="560" w:lineRule="exact"/>
        <w:ind w:firstLine="643" w:firstLineChars="200"/>
        <w:rPr>
          <w:rFonts w:ascii="仿宋_GB2312" w:eastAsia="仿宋_GB2312"/>
          <w:b/>
          <w:sz w:val="32"/>
          <w:szCs w:val="32"/>
        </w:rPr>
      </w:pPr>
      <w:r>
        <w:rPr>
          <w:rFonts w:hint="eastAsia" w:ascii="仿宋_GB2312" w:eastAsia="仿宋_GB2312"/>
          <w:b/>
          <w:sz w:val="32"/>
          <w:szCs w:val="32"/>
        </w:rPr>
        <w:t>（二）部门财政资金支出情况</w:t>
      </w:r>
    </w:p>
    <w:p w14:paraId="4E14D80F">
      <w:pPr>
        <w:spacing w:line="560" w:lineRule="exact"/>
        <w:ind w:firstLine="640" w:firstLineChars="200"/>
        <w:rPr>
          <w:rFonts w:ascii="仿宋_GB2312" w:eastAsia="仿宋_GB2312"/>
          <w:sz w:val="32"/>
          <w:szCs w:val="32"/>
        </w:rPr>
      </w:pPr>
      <w:r>
        <w:rPr>
          <w:rFonts w:hint="eastAsia" w:ascii="仿宋_GB2312" w:eastAsia="仿宋_GB2312"/>
          <w:sz w:val="32"/>
          <w:szCs w:val="32"/>
        </w:rPr>
        <w:t>2020年度年初预算拨款支出342.96万元，决算拨款支出442.03万元，其中：基本支出272.29万元，项目支出169.74万元。</w:t>
      </w:r>
    </w:p>
    <w:p w14:paraId="7F860F7E">
      <w:pPr>
        <w:spacing w:line="560" w:lineRule="exact"/>
        <w:ind w:firstLine="643" w:firstLineChars="200"/>
        <w:rPr>
          <w:rFonts w:ascii="仿宋_GB2312" w:eastAsia="仿宋_GB2312"/>
          <w:b/>
          <w:sz w:val="32"/>
          <w:szCs w:val="32"/>
        </w:rPr>
      </w:pPr>
      <w:r>
        <w:rPr>
          <w:rFonts w:hint="eastAsia" w:ascii="仿宋_GB2312" w:eastAsia="仿宋_GB2312"/>
          <w:b/>
          <w:sz w:val="32"/>
          <w:szCs w:val="32"/>
        </w:rPr>
        <w:t>（三）结转和结余情况</w:t>
      </w:r>
    </w:p>
    <w:p w14:paraId="6880EAB8">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2020年末我局</w:t>
      </w:r>
      <w:r>
        <w:rPr>
          <w:rFonts w:hint="eastAsia" w:ascii="仿宋_GB2312" w:hAnsi="仿宋_GB2312" w:eastAsia="仿宋_GB2312"/>
          <w:sz w:val="32"/>
          <w:szCs w:val="32"/>
        </w:rPr>
        <w:t>无结转和结余。</w:t>
      </w:r>
    </w:p>
    <w:p w14:paraId="676F905B">
      <w:pPr>
        <w:spacing w:line="560" w:lineRule="exact"/>
        <w:ind w:firstLine="643" w:firstLineChars="200"/>
        <w:rPr>
          <w:rFonts w:ascii="仿宋_GB2312" w:eastAsia="仿宋_GB2312"/>
          <w:b/>
          <w:sz w:val="32"/>
          <w:szCs w:val="32"/>
        </w:rPr>
      </w:pPr>
      <w:r>
        <w:rPr>
          <w:rFonts w:hint="eastAsia" w:ascii="仿宋_GB2312" w:eastAsia="仿宋_GB2312"/>
          <w:b/>
          <w:sz w:val="32"/>
          <w:szCs w:val="32"/>
        </w:rPr>
        <w:t>四、部门财政支出管理情况</w:t>
      </w:r>
    </w:p>
    <w:p w14:paraId="64F13E76">
      <w:pPr>
        <w:spacing w:line="560" w:lineRule="exact"/>
        <w:ind w:firstLine="643" w:firstLineChars="200"/>
        <w:rPr>
          <w:rFonts w:ascii="仿宋_GB2312" w:eastAsia="仿宋_GB2312"/>
          <w:b/>
          <w:sz w:val="32"/>
          <w:szCs w:val="32"/>
        </w:rPr>
      </w:pPr>
      <w:r>
        <w:rPr>
          <w:rFonts w:hint="eastAsia" w:ascii="仿宋_GB2312" w:eastAsia="仿宋_GB2312"/>
          <w:b/>
          <w:sz w:val="32"/>
          <w:szCs w:val="32"/>
        </w:rPr>
        <w:t>（一）专项资金分配情况</w:t>
      </w:r>
    </w:p>
    <w:p w14:paraId="22F251F8">
      <w:pPr>
        <w:spacing w:line="560" w:lineRule="exact"/>
        <w:ind w:firstLine="640" w:firstLineChars="200"/>
        <w:rPr>
          <w:rFonts w:ascii="仿宋_GB2312" w:hAnsi="Calibri" w:eastAsia="仿宋_GB2312"/>
          <w:sz w:val="32"/>
          <w:szCs w:val="32"/>
        </w:rPr>
      </w:pPr>
      <w:r>
        <w:rPr>
          <w:rFonts w:hint="eastAsia" w:ascii="仿宋_GB2312" w:eastAsia="仿宋_GB2312"/>
          <w:sz w:val="32"/>
          <w:szCs w:val="32"/>
        </w:rPr>
        <w:t>2020年项目支出169.74万元，资金支付及时准确到位，完成年初预算目标。其中</w:t>
      </w:r>
      <w:r>
        <w:rPr>
          <w:rFonts w:hint="eastAsia" w:ascii="仿宋_GB2312" w:hAnsi="黑体" w:eastAsia="仿宋_GB2312"/>
          <w:sz w:val="32"/>
          <w:szCs w:val="32"/>
        </w:rPr>
        <w:t>大厅基本运转经费44.19万元，临聘人员经费</w:t>
      </w:r>
      <w:r>
        <w:rPr>
          <w:rFonts w:hint="eastAsia" w:ascii="仿宋_GB2312" w:eastAsia="仿宋_GB2312"/>
          <w:sz w:val="32"/>
          <w:szCs w:val="32"/>
        </w:rPr>
        <w:t>7.65万元，午餐</w:t>
      </w:r>
      <w:r>
        <w:rPr>
          <w:rFonts w:hint="eastAsia" w:ascii="仿宋_GB2312" w:hAnsi="黑体" w:eastAsia="仿宋_GB2312"/>
          <w:sz w:val="32"/>
          <w:szCs w:val="32"/>
        </w:rPr>
        <w:t>经费</w:t>
      </w:r>
      <w:r>
        <w:rPr>
          <w:rFonts w:hint="eastAsia" w:ascii="仿宋_GB2312" w:eastAsia="仿宋_GB2312"/>
          <w:sz w:val="32"/>
          <w:szCs w:val="32"/>
        </w:rPr>
        <w:t>84.64万元。</w:t>
      </w:r>
      <w:r>
        <w:rPr>
          <w:rFonts w:hint="eastAsia" w:ascii="仿宋_GB2312" w:hAnsi="Calibri" w:eastAsia="仿宋_GB2312"/>
          <w:sz w:val="32"/>
          <w:szCs w:val="32"/>
        </w:rPr>
        <w:t>无绩效目标偏差情况。</w:t>
      </w:r>
    </w:p>
    <w:p w14:paraId="5CF62007">
      <w:pPr>
        <w:spacing w:line="560" w:lineRule="exact"/>
        <w:ind w:firstLine="643" w:firstLineChars="200"/>
        <w:rPr>
          <w:rFonts w:ascii="仿宋_GB2312" w:eastAsia="仿宋_GB2312"/>
          <w:b/>
          <w:sz w:val="32"/>
          <w:szCs w:val="32"/>
        </w:rPr>
      </w:pPr>
      <w:r>
        <w:rPr>
          <w:rFonts w:hint="eastAsia" w:ascii="仿宋_GB2312" w:eastAsia="仿宋_GB2312"/>
          <w:b/>
          <w:sz w:val="32"/>
          <w:szCs w:val="32"/>
        </w:rPr>
        <w:t>（二）资产管理</w:t>
      </w:r>
    </w:p>
    <w:p w14:paraId="361287A8">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资产管理严格遵守相关制度规定，现金支付不超过1000元的限额标准，不允许大额现金支出，属公务卡强制结算目录内的支出原则上使用公务卡结算。单位固定资产专人负责资产实物管理登记，财务人员依托“四川省资产管理信息系统”对固定资产及无形资产进行财务管理登记，按时上报月报、年报，单位资产定期盘点清查，保证账实相符。</w:t>
      </w:r>
    </w:p>
    <w:p w14:paraId="48C8F43D">
      <w:pPr>
        <w:spacing w:line="560" w:lineRule="exact"/>
        <w:ind w:firstLine="643" w:firstLineChars="200"/>
        <w:rPr>
          <w:rFonts w:ascii="仿宋_GB2312" w:eastAsia="仿宋_GB2312"/>
          <w:b/>
          <w:sz w:val="32"/>
          <w:szCs w:val="32"/>
        </w:rPr>
      </w:pPr>
      <w:r>
        <w:rPr>
          <w:rFonts w:hint="eastAsia" w:ascii="仿宋_GB2312" w:eastAsia="仿宋_GB2312"/>
          <w:b/>
          <w:sz w:val="32"/>
          <w:szCs w:val="32"/>
        </w:rPr>
        <w:t>（三）内控制度管理</w:t>
      </w:r>
    </w:p>
    <w:p w14:paraId="11EBE8E3">
      <w:pPr>
        <w:spacing w:line="560" w:lineRule="exact"/>
        <w:ind w:firstLine="803" w:firstLineChars="250"/>
        <w:rPr>
          <w:rFonts w:ascii="仿宋_GB2312" w:eastAsia="仿宋_GB2312"/>
          <w:b/>
          <w:sz w:val="32"/>
          <w:szCs w:val="32"/>
        </w:rPr>
      </w:pPr>
      <w:r>
        <w:rPr>
          <w:rFonts w:hint="eastAsia" w:ascii="仿宋_GB2312" w:eastAsia="仿宋_GB2312"/>
          <w:b/>
          <w:sz w:val="32"/>
          <w:szCs w:val="32"/>
        </w:rPr>
        <w:t>1.内控制度的设置及执行情况</w:t>
      </w:r>
    </w:p>
    <w:p w14:paraId="7AEAB19E">
      <w:pPr>
        <w:widowControl/>
        <w:adjustRightInd w:val="0"/>
        <w:snapToGrid w:val="0"/>
        <w:spacing w:line="560" w:lineRule="exact"/>
        <w:ind w:firstLine="620" w:firstLineChars="194"/>
        <w:jc w:val="left"/>
        <w:rPr>
          <w:rFonts w:ascii="仿宋_GB2312" w:eastAsia="仿宋_GB2312"/>
          <w:sz w:val="32"/>
          <w:szCs w:val="32"/>
        </w:rPr>
      </w:pPr>
      <w:r>
        <w:rPr>
          <w:rFonts w:hint="eastAsia" w:ascii="仿宋_GB2312" w:eastAsia="仿宋_GB2312"/>
          <w:sz w:val="32"/>
          <w:szCs w:val="32"/>
        </w:rPr>
        <w:t>2018年我局在三方机构的协助下完善和修订了单位内部控制体系，印发了《米易县人民政府政务服务中心内部控制工作手册</w:t>
      </w:r>
      <w:r>
        <w:rPr>
          <w:rFonts w:hint="default" w:ascii="仿宋_GB2312" w:eastAsia="仿宋_GB2312"/>
          <w:sz w:val="32"/>
          <w:szCs w:val="32"/>
          <w:lang w:val="en-US"/>
        </w:rPr>
        <w:t>（试行）》</w:t>
      </w:r>
      <w:r>
        <w:rPr>
          <w:rFonts w:hint="eastAsia" w:ascii="仿宋_GB2312" w:eastAsia="仿宋_GB2312"/>
          <w:sz w:val="32"/>
          <w:szCs w:val="32"/>
        </w:rPr>
        <w:t>，制定了工作流程图和主要业务活动风险防控表。针对预（决）算管理、经费收支管理、资金管理、政府采购管理、合同管理以及资产管理等各方面制定了相应的管理制度，修订相关实施办法。</w:t>
      </w:r>
    </w:p>
    <w:p w14:paraId="04C5E200">
      <w:pPr>
        <w:spacing w:line="560" w:lineRule="exact"/>
        <w:ind w:firstLine="643" w:firstLineChars="200"/>
        <w:rPr>
          <w:rFonts w:ascii="仿宋_GB2312" w:eastAsia="仿宋_GB2312"/>
          <w:b/>
          <w:sz w:val="32"/>
          <w:szCs w:val="32"/>
        </w:rPr>
      </w:pPr>
      <w:r>
        <w:rPr>
          <w:rFonts w:hint="eastAsia" w:ascii="仿宋_GB2312" w:eastAsia="仿宋_GB2312"/>
          <w:b/>
          <w:sz w:val="32"/>
          <w:szCs w:val="32"/>
        </w:rPr>
        <w:t>2.部门内部控制的执行</w:t>
      </w:r>
    </w:p>
    <w:p w14:paraId="474B9A2E">
      <w:pPr>
        <w:spacing w:line="560" w:lineRule="exact"/>
        <w:ind w:firstLine="640" w:firstLineChars="200"/>
        <w:rPr>
          <w:rFonts w:ascii="仿宋_GB2312" w:eastAsia="仿宋_GB2312"/>
          <w:sz w:val="32"/>
          <w:szCs w:val="32"/>
        </w:rPr>
      </w:pPr>
      <w:r>
        <w:rPr>
          <w:rFonts w:hint="eastAsia" w:ascii="仿宋_GB2312" w:eastAsia="仿宋_GB2312"/>
          <w:sz w:val="32"/>
          <w:szCs w:val="32"/>
        </w:rPr>
        <w:t>我局严格执行单位内部控制制度，建立了单位层面的内控运行制约机制，构建单位的内部控制体系，梳理了单位主要业务工作流程、查找了风险点，拟定风险防范措施，修订了相关实施办法，做到经济业务管理规范有序，内控管理职责清晰，提高单位人员工作效率，实现内部管理的规范化、法治化和信息化。</w:t>
      </w:r>
    </w:p>
    <w:p w14:paraId="6782046F">
      <w:pPr>
        <w:spacing w:line="560" w:lineRule="exact"/>
        <w:ind w:firstLine="643" w:firstLineChars="200"/>
        <w:rPr>
          <w:rFonts w:ascii="仿宋_GB2312" w:eastAsia="仿宋_GB2312"/>
          <w:b/>
          <w:sz w:val="32"/>
          <w:szCs w:val="32"/>
        </w:rPr>
      </w:pPr>
      <w:r>
        <w:rPr>
          <w:rFonts w:hint="eastAsia" w:ascii="仿宋_GB2312" w:eastAsia="仿宋_GB2312"/>
          <w:b/>
          <w:sz w:val="32"/>
          <w:szCs w:val="32"/>
        </w:rPr>
        <w:t>（四）信息公开</w:t>
      </w:r>
    </w:p>
    <w:p w14:paraId="6289B14E">
      <w:pPr>
        <w:spacing w:line="560" w:lineRule="exact"/>
        <w:ind w:firstLine="640" w:firstLineChars="200"/>
        <w:rPr>
          <w:rFonts w:ascii="仿宋_GB2312" w:eastAsia="仿宋_GB2312" w:cs="仿宋_GB2312-WinCharSetFFFF-H"/>
          <w:kern w:val="0"/>
          <w:sz w:val="32"/>
          <w:szCs w:val="32"/>
        </w:rPr>
      </w:pPr>
      <w:r>
        <w:rPr>
          <w:rFonts w:hint="eastAsia" w:ascii="仿宋_GB2312" w:hAnsi="宋体" w:eastAsia="仿宋_GB2312"/>
          <w:sz w:val="32"/>
          <w:szCs w:val="32"/>
        </w:rPr>
        <w:t>我局在</w:t>
      </w:r>
      <w:r>
        <w:rPr>
          <w:rFonts w:hint="eastAsia" w:ascii="仿宋_GB2312" w:eastAsia="仿宋_GB2312"/>
          <w:sz w:val="32"/>
          <w:szCs w:val="32"/>
        </w:rPr>
        <w:t>2020年度规定时间内完整地将2020</w:t>
      </w:r>
      <w:r>
        <w:rPr>
          <w:rFonts w:hint="eastAsia" w:ascii="仿宋_GB2312" w:hAnsi="宋体" w:eastAsia="仿宋_GB2312"/>
          <w:sz w:val="32"/>
          <w:szCs w:val="32"/>
        </w:rPr>
        <w:t>年部门预算准确地公开在“攀枝花市米易县人民政府－信算公开－财政信息－财政预决算－部门预决算栏目”。</w:t>
      </w:r>
      <w:r>
        <w:rPr>
          <w:rFonts w:hint="eastAsia" w:ascii="仿宋_GB2312" w:eastAsia="仿宋_GB2312" w:cs="楷体_GB2312-WinCharSetFFFF-H"/>
          <w:kern w:val="0"/>
          <w:sz w:val="32"/>
          <w:szCs w:val="32"/>
        </w:rPr>
        <w:t>我单位</w:t>
      </w:r>
      <w:r>
        <w:rPr>
          <w:rFonts w:hint="eastAsia" w:ascii="仿宋_GB2312" w:eastAsia="仿宋_GB2312" w:cs="仿宋_GB2312-WinCharSetFFFF-H"/>
          <w:kern w:val="0"/>
          <w:sz w:val="32"/>
          <w:szCs w:val="32"/>
        </w:rPr>
        <w:t>严格按照《财政部关于印发</w:t>
      </w:r>
      <w:r>
        <w:rPr>
          <w:rFonts w:hint="eastAsia" w:ascii="仿宋_GB2312" w:eastAsia="仿宋_GB2312" w:cs="TimesNewRoman"/>
          <w:kern w:val="0"/>
          <w:sz w:val="32"/>
          <w:szCs w:val="32"/>
        </w:rPr>
        <w:t>&lt;</w:t>
      </w:r>
      <w:r>
        <w:rPr>
          <w:rFonts w:hint="eastAsia" w:ascii="仿宋_GB2312" w:eastAsia="仿宋_GB2312" w:cs="仿宋_GB2312-WinCharSetFFFF-H"/>
          <w:kern w:val="0"/>
          <w:sz w:val="32"/>
          <w:szCs w:val="32"/>
        </w:rPr>
        <w:t>地方预决算公开操作规程</w:t>
      </w:r>
      <w:r>
        <w:rPr>
          <w:rFonts w:hint="eastAsia" w:ascii="仿宋_GB2312" w:eastAsia="仿宋_GB2312" w:cs="TimesNewRoman"/>
          <w:kern w:val="0"/>
          <w:sz w:val="32"/>
          <w:szCs w:val="32"/>
        </w:rPr>
        <w:t>&gt;</w:t>
      </w:r>
      <w:r>
        <w:rPr>
          <w:rFonts w:hint="eastAsia" w:ascii="仿宋_GB2312" w:eastAsia="仿宋_GB2312" w:cs="仿宋_GB2312-WinCharSetFFFF-H"/>
          <w:kern w:val="0"/>
          <w:sz w:val="32"/>
          <w:szCs w:val="32"/>
        </w:rPr>
        <w:t>的通知》（财预</w:t>
      </w:r>
      <w:r>
        <w:rPr>
          <w:rFonts w:hint="eastAsia" w:ascii="仿宋_GB2312" w:eastAsia="仿宋_GB2312"/>
          <w:sz w:val="32"/>
          <w:szCs w:val="32"/>
        </w:rPr>
        <w:t>〔2016〕143 号</w:t>
      </w:r>
      <w:r>
        <w:rPr>
          <w:rFonts w:hint="eastAsia" w:ascii="仿宋_GB2312" w:eastAsia="仿宋_GB2312" w:cs="仿宋_GB2312-WinCharSetFFFF-H"/>
          <w:kern w:val="0"/>
          <w:sz w:val="32"/>
          <w:szCs w:val="32"/>
        </w:rPr>
        <w:t>）等有关规定细化公开内容，公开表格齐全，公开科目到规定级次，公开内容详细，包含相关说明等信息。</w:t>
      </w:r>
    </w:p>
    <w:p w14:paraId="56D219F7">
      <w:pPr>
        <w:spacing w:line="560" w:lineRule="exact"/>
        <w:ind w:firstLine="643" w:firstLineChars="200"/>
        <w:rPr>
          <w:rFonts w:ascii="仿宋_GB2312" w:eastAsia="仿宋_GB2312"/>
          <w:b/>
          <w:sz w:val="32"/>
          <w:szCs w:val="32"/>
        </w:rPr>
      </w:pPr>
      <w:r>
        <w:rPr>
          <w:rFonts w:hint="eastAsia" w:ascii="仿宋_GB2312" w:eastAsia="仿宋_GB2312"/>
          <w:b/>
          <w:sz w:val="32"/>
          <w:szCs w:val="32"/>
        </w:rPr>
        <w:t>（五）绩效监控。</w:t>
      </w:r>
    </w:p>
    <w:p w14:paraId="706CD7A4">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640" w:firstLineChars="200"/>
        <w:rPr>
          <w:rFonts w:ascii="仿宋_GB2312" w:eastAsia="仿宋_GB2312"/>
          <w:sz w:val="32"/>
          <w:szCs w:val="32"/>
        </w:rPr>
      </w:pPr>
      <w:r>
        <w:rPr>
          <w:rFonts w:hint="eastAsia" w:ascii="仿宋_GB2312" w:eastAsia="仿宋_GB2312"/>
          <w:sz w:val="32"/>
          <w:szCs w:val="32"/>
        </w:rPr>
        <w:t>为了进一步强化事中绩效监控，加强项目和资金执行进度，提高财政资金使用效益，优化资金使用结构。我局根据《米易县财政局关于开展2020年度事中绩效监控工作的通知》（米财预〔2020〕142号）文件要求开展了2020年1-8月预算绩效事中监控，对2020年度预算的总体情况、批复情况、1-8月的预算执行情况、1-8月绩效目标完成情况进行了全面评价和运行监控分析，保证了2020年度预算全面按计划有序执行。</w:t>
      </w:r>
    </w:p>
    <w:p w14:paraId="361D81EB">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643" w:firstLineChars="200"/>
        <w:rPr>
          <w:rFonts w:ascii="仿宋_GB2312" w:eastAsia="仿宋_GB2312"/>
          <w:sz w:val="32"/>
          <w:szCs w:val="32"/>
        </w:rPr>
      </w:pPr>
      <w:r>
        <w:rPr>
          <w:rFonts w:hint="eastAsia" w:ascii="仿宋_GB2312" w:eastAsia="仿宋_GB2312"/>
          <w:b/>
          <w:sz w:val="32"/>
          <w:szCs w:val="32"/>
        </w:rPr>
        <w:t>（六）部门绩效情况</w:t>
      </w:r>
    </w:p>
    <w:p w14:paraId="43D34A9E">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803" w:firstLineChars="250"/>
        <w:rPr>
          <w:rFonts w:ascii="仿宋_GB2312" w:eastAsia="仿宋_GB2312"/>
          <w:b/>
          <w:sz w:val="32"/>
          <w:szCs w:val="32"/>
        </w:rPr>
      </w:pPr>
      <w:r>
        <w:rPr>
          <w:rFonts w:hint="eastAsia" w:ascii="仿宋_GB2312" w:eastAsia="仿宋_GB2312"/>
          <w:b/>
          <w:sz w:val="32"/>
          <w:szCs w:val="32"/>
        </w:rPr>
        <w:t>1.总体绩效</w:t>
      </w:r>
    </w:p>
    <w:p w14:paraId="5840BB34">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800" w:firstLineChars="250"/>
        <w:rPr>
          <w:rFonts w:ascii="仿宋_GB2312" w:eastAsia="仿宋_GB2312"/>
          <w:b/>
          <w:sz w:val="32"/>
          <w:szCs w:val="32"/>
        </w:rPr>
      </w:pPr>
      <w:r>
        <w:rPr>
          <w:rFonts w:hint="eastAsia" w:ascii="仿宋_GB2312" w:hAnsi="仿宋" w:eastAsia="仿宋_GB2312"/>
          <w:kern w:val="0"/>
          <w:sz w:val="32"/>
          <w:szCs w:val="32"/>
        </w:rPr>
        <w:t>2020年，我局在县委、县政府的正确领导下，以提高政务服务管理服务各项工作，较好地完成了目标任务。</w:t>
      </w:r>
    </w:p>
    <w:p w14:paraId="3A256847">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640" w:firstLineChars="200"/>
        <w:rPr>
          <w:rFonts w:ascii="仿宋_GB2312" w:eastAsia="仿宋_GB2312"/>
          <w:b/>
          <w:sz w:val="32"/>
          <w:szCs w:val="32"/>
        </w:rPr>
      </w:pPr>
      <w:r>
        <w:rPr>
          <w:rFonts w:hint="eastAsia" w:ascii="仿宋_GB2312" w:eastAsia="仿宋_GB2312"/>
          <w:sz w:val="32"/>
          <w:szCs w:val="32"/>
        </w:rPr>
        <w:t>严格按照县级部门预算编制通知和有关要求，按时完成2020年预算编制工作，并按时提交部门预算，预算编制全面、科学。2020年绩效目标填报，严格按照县财政局的要求认真完成。</w:t>
      </w:r>
    </w:p>
    <w:p w14:paraId="457364BE">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640" w:firstLineChars="200"/>
        <w:rPr>
          <w:rFonts w:ascii="仿宋_GB2312" w:eastAsia="仿宋_GB2312"/>
          <w:b/>
          <w:sz w:val="32"/>
          <w:szCs w:val="32"/>
        </w:rPr>
      </w:pPr>
      <w:r>
        <w:rPr>
          <w:rFonts w:hint="eastAsia" w:ascii="仿宋_GB2312" w:eastAsia="仿宋_GB2312"/>
          <w:sz w:val="32"/>
          <w:szCs w:val="32"/>
        </w:rPr>
        <w:t>我局2020年全年执行进度达到本部门执行进度。</w:t>
      </w:r>
      <w:r>
        <w:rPr>
          <w:rFonts w:hint="eastAsia" w:ascii="仿宋_GB2312" w:hAnsi="仿宋" w:eastAsia="仿宋_GB2312"/>
          <w:kern w:val="0"/>
          <w:sz w:val="32"/>
          <w:szCs w:val="32"/>
        </w:rPr>
        <w:t>我局财务管理制度健全，执行制度严格合规，会计核算符合相关规定，资金专款专用，资金支付依据和开支标准合法合规，严格执行政府采购。</w:t>
      </w:r>
    </w:p>
    <w:p w14:paraId="5DE49D8F">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643" w:firstLineChars="200"/>
        <w:rPr>
          <w:rFonts w:ascii="仿宋_GB2312" w:eastAsia="仿宋_GB2312"/>
          <w:sz w:val="32"/>
          <w:szCs w:val="32"/>
        </w:rPr>
      </w:pPr>
      <w:r>
        <w:rPr>
          <w:rFonts w:hint="eastAsia" w:ascii="仿宋_GB2312" w:eastAsia="仿宋_GB2312"/>
          <w:b/>
          <w:sz w:val="32"/>
          <w:szCs w:val="32"/>
        </w:rPr>
        <w:t>2.主要目标绩效完成情况</w:t>
      </w:r>
    </w:p>
    <w:p w14:paraId="50B08014">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320" w:firstLineChars="100"/>
        <w:rPr>
          <w:rFonts w:ascii="仿宋_GB2312" w:eastAsia="仿宋_GB2312"/>
          <w:sz w:val="32"/>
          <w:szCs w:val="32"/>
        </w:rPr>
      </w:pPr>
      <w:r>
        <w:rPr>
          <w:rFonts w:hint="eastAsia" w:ascii="仿宋_GB2312" w:eastAsia="仿宋_GB2312"/>
          <w:sz w:val="32"/>
          <w:szCs w:val="32"/>
        </w:rPr>
        <w:t>（1）行政运转保障</w:t>
      </w:r>
    </w:p>
    <w:p w14:paraId="71266F54">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640" w:firstLineChars="200"/>
        <w:rPr>
          <w:rFonts w:ascii="仿宋_GB2312" w:eastAsia="仿宋_GB2312"/>
          <w:sz w:val="32"/>
          <w:szCs w:val="32"/>
        </w:rPr>
      </w:pPr>
      <w:r>
        <w:rPr>
          <w:rFonts w:hint="eastAsia" w:ascii="仿宋_GB2312" w:eastAsia="仿宋_GB2312"/>
          <w:sz w:val="32"/>
          <w:szCs w:val="32"/>
        </w:rPr>
        <w:t>我局2020年部门支出与年初预算基本一致，达到预期绩效目标。2020年度决算拨款支出442.03万元，其中：基本支出272.29万元，项目支出169.74万元。年初预算拨款支出和年末决算拨款支出差异主要原因是2020年5月起调入人员经费划入及大厅工作人员午餐经费作为财政股室预留经费下拨等。部门决算公共预算财政拨款收入442.03万元，财政决算公共财政支出442.03万元，本年无结转和结余。</w:t>
      </w:r>
    </w:p>
    <w:p w14:paraId="47F22F68">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640" w:firstLineChars="200"/>
        <w:rPr>
          <w:rFonts w:ascii="仿宋_GB2312" w:eastAsia="仿宋_GB2312"/>
          <w:sz w:val="32"/>
          <w:szCs w:val="32"/>
        </w:rPr>
      </w:pPr>
      <w:r>
        <w:rPr>
          <w:rFonts w:hint="eastAsia" w:ascii="仿宋_GB2312" w:eastAsia="仿宋_GB2312"/>
          <w:sz w:val="32"/>
          <w:szCs w:val="32"/>
        </w:rPr>
        <w:t>（2）机关厉行节约</w:t>
      </w:r>
    </w:p>
    <w:p w14:paraId="3F66EA5A">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640" w:firstLineChars="200"/>
        <w:rPr>
          <w:rFonts w:ascii="仿宋_GB2312" w:eastAsia="仿宋_GB2312"/>
          <w:sz w:val="32"/>
          <w:szCs w:val="32"/>
        </w:rPr>
      </w:pPr>
      <w:r>
        <w:rPr>
          <w:rFonts w:hint="eastAsia" w:ascii="仿宋_GB2312" w:eastAsia="仿宋_GB2312"/>
          <w:sz w:val="32"/>
          <w:szCs w:val="32"/>
        </w:rPr>
        <w:t>我局2020年因公出国（境）费用0元，公务接待费0.39万元，公务用车购置及运行维护费0元,截至2016年12月底，由于公务用车改革，我单位已无公务用车。</w:t>
      </w:r>
    </w:p>
    <w:p w14:paraId="3CBCBAFF">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640" w:firstLineChars="200"/>
        <w:rPr>
          <w:rFonts w:ascii="仿宋_GB2312" w:eastAsia="仿宋_GB2312"/>
          <w:sz w:val="32"/>
          <w:szCs w:val="32"/>
        </w:rPr>
      </w:pPr>
      <w:r>
        <w:rPr>
          <w:rFonts w:hint="eastAsia" w:ascii="仿宋_GB2312" w:eastAsia="仿宋_GB2312"/>
          <w:sz w:val="32"/>
          <w:szCs w:val="32"/>
        </w:rPr>
        <w:t>（3）机关节能降耗</w:t>
      </w:r>
    </w:p>
    <w:p w14:paraId="035969E8">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640" w:firstLineChars="200"/>
        <w:rPr>
          <w:rFonts w:ascii="仿宋_GB2312" w:eastAsia="仿宋_GB2312"/>
          <w:sz w:val="32"/>
          <w:szCs w:val="32"/>
        </w:rPr>
      </w:pPr>
      <w:r>
        <w:rPr>
          <w:rFonts w:hint="eastAsia" w:ascii="仿宋_GB2312" w:eastAsia="仿宋_GB2312"/>
          <w:sz w:val="32"/>
          <w:szCs w:val="32"/>
        </w:rPr>
        <w:t>我局办公区属集中办公区，使用的能耗有水、电，要求职工节约用水用电，做到人走关电，用水节流。其费用的结算及支付均由机关事务服务中心统一办理。</w:t>
      </w:r>
    </w:p>
    <w:p w14:paraId="7D279916">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640" w:firstLineChars="200"/>
        <w:rPr>
          <w:rFonts w:ascii="仿宋_GB2312" w:eastAsia="仿宋_GB2312"/>
          <w:sz w:val="32"/>
          <w:szCs w:val="32"/>
        </w:rPr>
      </w:pPr>
      <w:r>
        <w:rPr>
          <w:rFonts w:hint="eastAsia" w:ascii="仿宋_GB2312" w:hAnsi="楷体" w:eastAsia="仿宋_GB2312" w:cs="宋体"/>
          <w:kern w:val="0"/>
          <w:sz w:val="32"/>
          <w:szCs w:val="32"/>
          <w:lang w:val="zh-CN"/>
        </w:rPr>
        <w:t>（4）专项预算项目支出绩效</w:t>
      </w:r>
    </w:p>
    <w:p w14:paraId="13AB1985">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640" w:firstLineChars="200"/>
        <w:rPr>
          <w:rFonts w:ascii="仿宋_GB2312" w:eastAsia="仿宋_GB2312"/>
          <w:sz w:val="32"/>
          <w:szCs w:val="32"/>
        </w:rPr>
      </w:pPr>
      <w:r>
        <w:rPr>
          <w:rFonts w:hint="eastAsia" w:ascii="仿宋_GB2312" w:eastAsia="仿宋_GB2312"/>
          <w:sz w:val="32"/>
          <w:szCs w:val="32"/>
        </w:rPr>
        <w:t>2020年项目支出169.74万元，资金支付及时准确到位，完成年初预算目标。其中</w:t>
      </w:r>
      <w:r>
        <w:rPr>
          <w:rFonts w:hint="eastAsia" w:ascii="仿宋_GB2312" w:hAnsi="黑体" w:eastAsia="仿宋_GB2312"/>
          <w:sz w:val="32"/>
          <w:szCs w:val="32"/>
        </w:rPr>
        <w:t>大厅基本运转经费44.19万元，临聘人员经费</w:t>
      </w:r>
      <w:r>
        <w:rPr>
          <w:rFonts w:hint="eastAsia" w:ascii="仿宋_GB2312" w:eastAsia="仿宋_GB2312"/>
          <w:sz w:val="32"/>
          <w:szCs w:val="32"/>
        </w:rPr>
        <w:t>7.65万元，午餐</w:t>
      </w:r>
      <w:r>
        <w:rPr>
          <w:rFonts w:hint="eastAsia" w:ascii="仿宋_GB2312" w:hAnsi="黑体" w:eastAsia="仿宋_GB2312"/>
          <w:sz w:val="32"/>
          <w:szCs w:val="32"/>
        </w:rPr>
        <w:t>经费</w:t>
      </w:r>
      <w:r>
        <w:rPr>
          <w:rFonts w:hint="eastAsia" w:ascii="仿宋_GB2312" w:eastAsia="仿宋_GB2312"/>
          <w:sz w:val="32"/>
          <w:szCs w:val="32"/>
        </w:rPr>
        <w:t>84.64万元。</w:t>
      </w:r>
      <w:r>
        <w:rPr>
          <w:rFonts w:hint="eastAsia" w:ascii="仿宋_GB2312" w:hAnsi="Calibri" w:eastAsia="仿宋_GB2312"/>
          <w:sz w:val="32"/>
          <w:szCs w:val="32"/>
        </w:rPr>
        <w:t>无绩效目标偏差情况。</w:t>
      </w:r>
    </w:p>
    <w:p w14:paraId="3E3FDD8D">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643" w:firstLineChars="200"/>
        <w:rPr>
          <w:rFonts w:ascii="仿宋_GB2312" w:eastAsia="仿宋_GB2312"/>
          <w:sz w:val="32"/>
          <w:szCs w:val="32"/>
        </w:rPr>
      </w:pPr>
      <w:r>
        <w:rPr>
          <w:rFonts w:hint="eastAsia" w:ascii="仿宋_GB2312" w:eastAsia="仿宋_GB2312"/>
          <w:b/>
          <w:sz w:val="32"/>
          <w:szCs w:val="32"/>
        </w:rPr>
        <w:t>五、评价结论及建议</w:t>
      </w:r>
    </w:p>
    <w:p w14:paraId="5EAC762B">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643" w:firstLineChars="200"/>
        <w:rPr>
          <w:rFonts w:ascii="仿宋_GB2312" w:eastAsia="仿宋_GB2312"/>
          <w:sz w:val="32"/>
          <w:szCs w:val="32"/>
        </w:rPr>
      </w:pPr>
      <w:r>
        <w:rPr>
          <w:rFonts w:hint="eastAsia" w:ascii="仿宋_GB2312" w:eastAsia="仿宋_GB2312"/>
          <w:b/>
          <w:sz w:val="32"/>
          <w:szCs w:val="32"/>
        </w:rPr>
        <w:t>（一）评价结论</w:t>
      </w:r>
    </w:p>
    <w:p w14:paraId="0B62CEA1">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640" w:firstLineChars="200"/>
        <w:rPr>
          <w:rFonts w:ascii="仿宋_GB2312" w:eastAsia="仿宋_GB2312"/>
          <w:sz w:val="32"/>
          <w:szCs w:val="32"/>
        </w:rPr>
      </w:pPr>
      <w:r>
        <w:rPr>
          <w:rFonts w:hint="eastAsia" w:ascii="仿宋_GB2312" w:eastAsia="仿宋_GB2312"/>
          <w:sz w:val="32"/>
          <w:szCs w:val="32"/>
        </w:rPr>
        <w:t>按照国家政策法规规定，结合本部门的实际情况，建立健全了财务管理制度和约束机制，依法、有效地使用财政资金，提高财政资金使用效率，合理分配人、财、物，完成了部门职能目标，实现了较高的工作效率和支出绩效，全年部门预算整体绩效自评得91分。</w:t>
      </w:r>
      <w:r>
        <w:rPr>
          <w:rFonts w:hint="eastAsia" w:ascii="仿宋_GB2312" w:hAnsi="Helvetica" w:eastAsia="仿宋_GB2312" w:cs="Helvetica"/>
          <w:sz w:val="32"/>
          <w:szCs w:val="32"/>
        </w:rPr>
        <w:t>整体上完成了年初设定的绩效目标，保障了各项工作的正常运转。</w:t>
      </w:r>
    </w:p>
    <w:p w14:paraId="1329E41A">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643" w:firstLineChars="200"/>
        <w:rPr>
          <w:rFonts w:ascii="仿宋_GB2312" w:eastAsia="仿宋_GB2312"/>
          <w:sz w:val="32"/>
          <w:szCs w:val="32"/>
        </w:rPr>
      </w:pPr>
      <w:r>
        <w:rPr>
          <w:rFonts w:hint="eastAsia" w:ascii="仿宋_GB2312" w:eastAsia="仿宋_GB2312"/>
          <w:b/>
          <w:sz w:val="32"/>
          <w:szCs w:val="32"/>
        </w:rPr>
        <w:t>（二）存在问题：</w:t>
      </w:r>
    </w:p>
    <w:p w14:paraId="478342FF">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640" w:firstLineChars="200"/>
        <w:rPr>
          <w:rFonts w:ascii="仿宋_GB2312" w:eastAsia="仿宋_GB2312"/>
          <w:sz w:val="32"/>
          <w:szCs w:val="32"/>
        </w:rPr>
      </w:pPr>
      <w:r>
        <w:rPr>
          <w:rFonts w:hint="eastAsia" w:ascii="仿宋_GB2312" w:hAnsi="仿宋_GB2312" w:eastAsia="仿宋_GB2312" w:cs="仿宋_GB2312"/>
          <w:bCs/>
          <w:kern w:val="0"/>
          <w:sz w:val="32"/>
          <w:szCs w:val="32"/>
        </w:rPr>
        <w:t>预算管理不够精细，需</w:t>
      </w:r>
      <w:r>
        <w:rPr>
          <w:rFonts w:hint="eastAsia" w:ascii="仿宋_GB2312" w:hAnsi="仿宋_GB2312" w:eastAsia="仿宋_GB2312" w:cs="仿宋_GB2312"/>
          <w:kern w:val="0"/>
          <w:sz w:val="32"/>
          <w:szCs w:val="32"/>
        </w:rPr>
        <w:t>加强局内设机构的协调联动，并加强与财政部门的沟通和协调，确保预算资金的及时下达。</w:t>
      </w:r>
    </w:p>
    <w:p w14:paraId="67F6CC3E">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643" w:firstLineChars="200"/>
        <w:rPr>
          <w:rFonts w:ascii="仿宋_GB2312" w:eastAsia="仿宋_GB2312"/>
          <w:sz w:val="32"/>
          <w:szCs w:val="32"/>
        </w:rPr>
      </w:pPr>
      <w:r>
        <w:rPr>
          <w:rFonts w:hint="eastAsia" w:ascii="仿宋_GB2312" w:eastAsia="仿宋_GB2312"/>
          <w:b/>
          <w:sz w:val="32"/>
          <w:szCs w:val="32"/>
        </w:rPr>
        <w:t>（三）改进建议</w:t>
      </w:r>
    </w:p>
    <w:p w14:paraId="65583AA0">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640" w:firstLineChars="200"/>
        <w:rPr>
          <w:rFonts w:ascii="仿宋_GB2312" w:eastAsia="仿宋_GB2312"/>
          <w:sz w:val="32"/>
          <w:szCs w:val="32"/>
        </w:rPr>
      </w:pPr>
      <w:r>
        <w:rPr>
          <w:rFonts w:hint="eastAsia" w:ascii="仿宋_GB2312" w:eastAsia="仿宋_GB2312"/>
          <w:sz w:val="32"/>
          <w:szCs w:val="32"/>
        </w:rPr>
        <w:t>1.遵循先有预算、后有支出的原则，加强财务管理和内部控制监督制度。严禁超预算和无预算安排支出，严格开支范围和标准，严格支出报销审核，凡是超范围、超标准的费用，一概不予报销。</w:t>
      </w:r>
    </w:p>
    <w:p w14:paraId="34DBFEB9">
      <w:pPr>
        <w:pBdr>
          <w:top w:val="single" w:color="FFFFFF" w:sz="4" w:space="0"/>
          <w:left w:val="single" w:color="FFFFFF" w:sz="4" w:space="31"/>
          <w:bottom w:val="single" w:color="FFFFFF" w:sz="4" w:space="31"/>
          <w:right w:val="single" w:color="FFFFFF" w:sz="4" w:space="7"/>
        </w:pBdr>
        <w:adjustRightInd w:val="0"/>
        <w:snapToGrid w:val="0"/>
        <w:spacing w:line="560" w:lineRule="exact"/>
        <w:ind w:right="23" w:rightChars="11" w:firstLine="640" w:firstLineChars="200"/>
        <w:rPr>
          <w:rFonts w:ascii="仿宋_GB2312" w:eastAsia="仿宋_GB2312"/>
          <w:sz w:val="32"/>
          <w:szCs w:val="32"/>
        </w:rPr>
      </w:pPr>
      <w:r>
        <w:rPr>
          <w:rFonts w:hint="eastAsia" w:ascii="仿宋_GB2312" w:eastAsia="仿宋_GB2312"/>
          <w:sz w:val="32"/>
          <w:szCs w:val="32"/>
        </w:rPr>
        <w:t>2.预算编制和预算管理还需进一步细化和加强，严禁超预算和无预算安排支出，严格开支范围和标准，严格审核各项经费的支出，提高资金使用效率。</w:t>
      </w:r>
    </w:p>
    <w:p w14:paraId="67FC2CB6">
      <w:pPr>
        <w:widowControl/>
        <w:jc w:val="left"/>
        <w:rPr>
          <w:rStyle w:val="16"/>
          <w:rFonts w:ascii="仿宋" w:hAnsi="仿宋" w:eastAsia="仿宋"/>
          <w:sz w:val="32"/>
          <w:szCs w:val="32"/>
        </w:rPr>
      </w:pPr>
    </w:p>
    <w:p w14:paraId="5F62E60B">
      <w:pPr>
        <w:widowControl/>
        <w:jc w:val="left"/>
        <w:rPr>
          <w:rStyle w:val="16"/>
          <w:rFonts w:ascii="仿宋" w:hAnsi="仿宋" w:eastAsia="仿宋"/>
          <w:b w:val="0"/>
          <w:sz w:val="32"/>
          <w:szCs w:val="32"/>
        </w:rPr>
      </w:pPr>
      <w:r>
        <w:rPr>
          <w:rStyle w:val="16"/>
          <w:rFonts w:hint="eastAsia" w:ascii="仿宋" w:hAnsi="仿宋" w:eastAsia="仿宋"/>
          <w:b w:val="0"/>
          <w:sz w:val="32"/>
          <w:szCs w:val="32"/>
        </w:rPr>
        <w:t>附件</w:t>
      </w:r>
      <w:r>
        <w:rPr>
          <w:rStyle w:val="16"/>
          <w:rFonts w:ascii="仿宋" w:hAnsi="仿宋" w:eastAsia="仿宋"/>
          <w:b w:val="0"/>
          <w:sz w:val="32"/>
          <w:szCs w:val="32"/>
        </w:rPr>
        <w:t>2</w:t>
      </w:r>
      <w:bookmarkEnd w:id="51"/>
    </w:p>
    <w:p w14:paraId="4D4AB19E">
      <w:pPr>
        <w:adjustRightInd w:val="0"/>
        <w:snapToGrid w:val="0"/>
        <w:spacing w:line="560" w:lineRule="exact"/>
        <w:ind w:firstLine="723" w:firstLineChars="200"/>
        <w:jc w:val="center"/>
        <w:rPr>
          <w:rFonts w:eastAsia="仿宋_GB2312"/>
          <w:b/>
          <w:sz w:val="36"/>
          <w:szCs w:val="36"/>
        </w:rPr>
      </w:pPr>
      <w:r>
        <w:rPr>
          <w:rFonts w:hint="eastAsia" w:eastAsia="仿宋_GB2312"/>
          <w:b/>
          <w:sz w:val="36"/>
          <w:szCs w:val="36"/>
        </w:rPr>
        <w:t>米易县行政审批局</w:t>
      </w:r>
    </w:p>
    <w:p w14:paraId="3455C238">
      <w:pPr>
        <w:adjustRightInd w:val="0"/>
        <w:snapToGrid w:val="0"/>
        <w:spacing w:line="560" w:lineRule="exact"/>
        <w:ind w:firstLine="723" w:firstLineChars="200"/>
        <w:jc w:val="center"/>
        <w:rPr>
          <w:rFonts w:eastAsia="仿宋_GB2312"/>
          <w:b/>
          <w:sz w:val="36"/>
          <w:szCs w:val="36"/>
        </w:rPr>
      </w:pPr>
      <w:r>
        <w:rPr>
          <w:rFonts w:hint="eastAsia" w:eastAsia="仿宋_GB2312"/>
          <w:b/>
          <w:sz w:val="36"/>
          <w:szCs w:val="36"/>
        </w:rPr>
        <w:t>2020年部门项目支出绩效自评报告</w:t>
      </w:r>
    </w:p>
    <w:p w14:paraId="769B309B">
      <w:pPr>
        <w:spacing w:line="580" w:lineRule="exact"/>
        <w:ind w:firstLine="640" w:firstLineChars="200"/>
        <w:rPr>
          <w:rFonts w:ascii="仿宋_GB2312" w:hAnsi="仿宋_GB2312" w:eastAsia="仿宋_GB2312" w:cs="仿宋_GB2312"/>
          <w:sz w:val="32"/>
          <w:szCs w:val="32"/>
        </w:rPr>
      </w:pPr>
    </w:p>
    <w:p w14:paraId="2055B3C9">
      <w:pPr>
        <w:numPr>
          <w:ilvl w:val="0"/>
          <w:numId w:val="2"/>
        </w:numPr>
        <w:spacing w:line="580" w:lineRule="exact"/>
        <w:rPr>
          <w:rFonts w:ascii="仿宋" w:hAnsi="仿宋" w:eastAsia="仿宋" w:cs="仿宋_GB2312"/>
          <w:sz w:val="32"/>
          <w:szCs w:val="32"/>
        </w:rPr>
      </w:pPr>
      <w:r>
        <w:rPr>
          <w:rFonts w:hint="eastAsia" w:ascii="仿宋" w:hAnsi="仿宋" w:eastAsia="仿宋" w:cs="仿宋_GB2312"/>
          <w:sz w:val="32"/>
          <w:szCs w:val="32"/>
        </w:rPr>
        <w:t>单位基本情况</w:t>
      </w:r>
    </w:p>
    <w:p w14:paraId="2FCF1680">
      <w:pPr>
        <w:numPr>
          <w:ilvl w:val="0"/>
          <w:numId w:val="3"/>
        </w:numPr>
        <w:spacing w:line="580" w:lineRule="exact"/>
        <w:rPr>
          <w:rFonts w:ascii="仿宋" w:hAnsi="仿宋" w:eastAsia="仿宋" w:cs="仿宋_GB2312"/>
          <w:sz w:val="32"/>
          <w:szCs w:val="32"/>
        </w:rPr>
      </w:pPr>
      <w:r>
        <w:rPr>
          <w:rFonts w:hint="eastAsia" w:ascii="仿宋" w:hAnsi="仿宋" w:eastAsia="仿宋" w:cs="仿宋_GB2312"/>
          <w:sz w:val="32"/>
          <w:szCs w:val="32"/>
        </w:rPr>
        <w:t>机构组成</w:t>
      </w:r>
    </w:p>
    <w:p w14:paraId="6219138B">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据米委办法【2019】24号文件，米易县行政审批局是</w:t>
      </w:r>
      <w:r>
        <w:rPr>
          <w:rFonts w:hint="eastAsia" w:ascii="仿宋_GB2312" w:eastAsia="仿宋_GB2312" w:cs="方正仿宋_GBK"/>
          <w:sz w:val="32"/>
          <w:szCs w:val="32"/>
        </w:rPr>
        <w:t>2019年米易县机构改革时，整合原</w:t>
      </w:r>
      <w:r>
        <w:rPr>
          <w:rFonts w:hint="eastAsia" w:ascii="仿宋_GB2312" w:eastAsia="仿宋_GB2312"/>
          <w:sz w:val="32"/>
          <w:szCs w:val="32"/>
        </w:rPr>
        <w:t>米易县人民</w:t>
      </w:r>
      <w:r>
        <w:rPr>
          <w:rFonts w:hint="eastAsia" w:ascii="仿宋_GB2312" w:eastAsia="仿宋_GB2312" w:cs="方正仿宋_GBK"/>
          <w:sz w:val="32"/>
          <w:szCs w:val="32"/>
        </w:rPr>
        <w:t>政府政务服务中心的职责和相关机构深化行政审批制度改革职责、行政审批职责组建的</w:t>
      </w:r>
      <w:r>
        <w:rPr>
          <w:rFonts w:hint="eastAsia" w:ascii="仿宋_GB2312" w:eastAsia="仿宋_GB2312"/>
          <w:sz w:val="32"/>
          <w:szCs w:val="32"/>
        </w:rPr>
        <w:t>，为米易县人民政府正科级工作部门，内设办公室、政务服务管理股、网管监督股、商事登记审批股、投资项目审批股、涉农事务审批股、综合业务审批股，下属事业单位米易县政务服务中心。</w:t>
      </w:r>
    </w:p>
    <w:p w14:paraId="4FF0525F">
      <w:pPr>
        <w:numPr>
          <w:ilvl w:val="0"/>
          <w:numId w:val="3"/>
        </w:numPr>
        <w:spacing w:line="580" w:lineRule="exact"/>
        <w:rPr>
          <w:rFonts w:ascii="仿宋" w:hAnsi="仿宋" w:eastAsia="仿宋" w:cs="仿宋_GB2312"/>
          <w:sz w:val="32"/>
          <w:szCs w:val="32"/>
        </w:rPr>
      </w:pPr>
      <w:r>
        <w:rPr>
          <w:rFonts w:hint="eastAsia" w:ascii="仿宋" w:hAnsi="仿宋" w:eastAsia="仿宋" w:cs="仿宋_GB2312"/>
          <w:sz w:val="32"/>
          <w:szCs w:val="32"/>
        </w:rPr>
        <w:t>人员情况</w:t>
      </w:r>
    </w:p>
    <w:p w14:paraId="6B77C15A">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color w:val="000000"/>
          <w:sz w:val="32"/>
          <w:szCs w:val="32"/>
        </w:rPr>
        <w:t>县行政审批局行政编制15名。其中，局长1名，副局长3名，内设机构领导职数7名。机关后勤事业编制1名。现实有在编在岗行政人员8名，</w:t>
      </w:r>
      <w:r>
        <w:rPr>
          <w:rFonts w:hint="eastAsia" w:ascii="仿宋_GB2312" w:eastAsia="仿宋_GB2312"/>
          <w:sz w:val="32"/>
          <w:szCs w:val="32"/>
        </w:rPr>
        <w:t>其中：局长</w:t>
      </w:r>
      <w:r>
        <w:rPr>
          <w:rFonts w:hint="eastAsia" w:ascii="仿宋_GB2312" w:eastAsia="仿宋_GB2312"/>
          <w:color w:val="000000"/>
          <w:sz w:val="32"/>
          <w:szCs w:val="32"/>
        </w:rPr>
        <w:t>1名</w:t>
      </w:r>
      <w:r>
        <w:rPr>
          <w:rFonts w:hint="eastAsia" w:ascii="仿宋_GB2312" w:eastAsia="仿宋_GB2312"/>
          <w:sz w:val="32"/>
          <w:szCs w:val="32"/>
        </w:rPr>
        <w:t>，副局长3名，四级调研员2名，四级主任科员</w:t>
      </w:r>
      <w:r>
        <w:rPr>
          <w:rFonts w:hint="eastAsia" w:ascii="仿宋_GB2312" w:eastAsia="仿宋_GB2312"/>
          <w:color w:val="000000"/>
          <w:sz w:val="32"/>
          <w:szCs w:val="32"/>
        </w:rPr>
        <w:t>1名</w:t>
      </w:r>
      <w:r>
        <w:rPr>
          <w:rFonts w:hint="eastAsia" w:ascii="仿宋_GB2312" w:eastAsia="仿宋_GB2312"/>
          <w:sz w:val="32"/>
          <w:szCs w:val="32"/>
        </w:rPr>
        <w:t>，一级科员</w:t>
      </w:r>
      <w:r>
        <w:rPr>
          <w:rFonts w:hint="eastAsia" w:ascii="仿宋_GB2312" w:eastAsia="仿宋_GB2312"/>
          <w:color w:val="000000"/>
          <w:sz w:val="32"/>
          <w:szCs w:val="32"/>
        </w:rPr>
        <w:t>1名</w:t>
      </w:r>
      <w:r>
        <w:rPr>
          <w:rFonts w:hint="eastAsia" w:ascii="仿宋_GB2312" w:eastAsia="仿宋_GB2312"/>
          <w:sz w:val="32"/>
          <w:szCs w:val="32"/>
        </w:rPr>
        <w:t>。</w:t>
      </w:r>
    </w:p>
    <w:p w14:paraId="37DBDB94">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2.据米编发【2019】</w:t>
      </w:r>
      <w:r>
        <w:rPr>
          <w:rFonts w:hint="eastAsia" w:ascii="仿宋_GB2312" w:eastAsia="仿宋_GB2312"/>
          <w:color w:val="000000"/>
          <w:sz w:val="32"/>
          <w:szCs w:val="32"/>
        </w:rPr>
        <w:t>45号文件，将</w:t>
      </w:r>
      <w:r>
        <w:rPr>
          <w:rFonts w:hint="eastAsia" w:ascii="仿宋_GB2312" w:eastAsia="仿宋_GB2312"/>
          <w:sz w:val="32"/>
          <w:szCs w:val="32"/>
        </w:rPr>
        <w:t>米编发【2012】37号文件，同意成立的财政全额拨款事业单位米易县政务服务指导中心更名为米易县政务服务中心，事业编制10名。现实有在编在岗事业人员9名，管理八级1人，管理九级8人。</w:t>
      </w:r>
    </w:p>
    <w:p w14:paraId="6321F55A">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3.编外临聘咨询台工作人员2名。政府购买服务惠企窗口2名。</w:t>
      </w:r>
    </w:p>
    <w:p w14:paraId="7D49D057">
      <w:pPr>
        <w:spacing w:line="580" w:lineRule="exact"/>
        <w:ind w:left="640"/>
        <w:rPr>
          <w:rFonts w:ascii="仿宋" w:hAnsi="仿宋" w:eastAsia="仿宋" w:cs="仿宋_GB2312"/>
          <w:sz w:val="32"/>
          <w:szCs w:val="32"/>
        </w:rPr>
      </w:pPr>
      <w:r>
        <w:rPr>
          <w:rFonts w:hint="eastAsia" w:ascii="仿宋" w:hAnsi="仿宋" w:eastAsia="仿宋" w:cs="仿宋_GB2312"/>
          <w:sz w:val="32"/>
          <w:szCs w:val="32"/>
        </w:rPr>
        <w:t>二、评价工作开展及项目情况</w:t>
      </w:r>
    </w:p>
    <w:p w14:paraId="4F0E25F2">
      <w:pPr>
        <w:adjustRightInd w:val="0"/>
        <w:snapToGrid w:val="0"/>
        <w:spacing w:line="560" w:lineRule="exact"/>
        <w:ind w:left="210" w:leftChars="100" w:firstLine="640" w:firstLineChars="200"/>
        <w:rPr>
          <w:rFonts w:eastAsia="仿宋_GB2312" w:cs="仿宋_GB2312"/>
          <w:sz w:val="32"/>
          <w:szCs w:val="32"/>
        </w:rPr>
      </w:pPr>
      <w:r>
        <w:rPr>
          <w:rFonts w:hint="eastAsia" w:eastAsia="仿宋_GB2312" w:cs="仿宋_GB2312"/>
          <w:sz w:val="32"/>
          <w:szCs w:val="32"/>
        </w:rPr>
        <w:t>本部门在2020年度部门决算中反映临聘人员经费项目、大厅基本运转经费项目、午餐补助经费项目3个项目绩效目标实际完成情况。</w:t>
      </w:r>
    </w:p>
    <w:p w14:paraId="3EA79A55">
      <w:pPr>
        <w:adjustRightInd w:val="0"/>
        <w:snapToGrid w:val="0"/>
        <w:spacing w:line="560" w:lineRule="exact"/>
        <w:ind w:firstLine="640" w:firstLineChars="200"/>
        <w:rPr>
          <w:rFonts w:eastAsia="仿宋_GB2312" w:cs="仿宋_GB2312"/>
          <w:sz w:val="32"/>
          <w:szCs w:val="32"/>
        </w:rPr>
      </w:pPr>
      <w:r>
        <w:rPr>
          <w:rFonts w:hint="eastAsia" w:eastAsia="仿宋_GB2312" w:cs="仿宋_GB2312"/>
          <w:sz w:val="32"/>
          <w:szCs w:val="32"/>
        </w:rPr>
        <w:t>1.临聘人员经费项目绩效目标完成情况综述。项目全年预算数8.67万元，执行数为7.65万元，完成预算的88.24%。通过项目实施，保障了2020年度2名编外临聘人员的工资及单位部分“五险一金”，确保了大厅咨询服务工作正常运转。</w:t>
      </w:r>
    </w:p>
    <w:p w14:paraId="20E96725">
      <w:pPr>
        <w:adjustRightInd w:val="0"/>
        <w:snapToGrid w:val="0"/>
        <w:spacing w:line="560" w:lineRule="exact"/>
        <w:ind w:firstLine="640" w:firstLineChars="200"/>
        <w:rPr>
          <w:rFonts w:eastAsia="仿宋_GB2312" w:cs="仿宋_GB2312"/>
          <w:sz w:val="32"/>
          <w:szCs w:val="32"/>
        </w:rPr>
      </w:pPr>
      <w:r>
        <w:rPr>
          <w:rFonts w:hint="eastAsia" w:eastAsia="仿宋_GB2312" w:cs="仿宋_GB2312"/>
          <w:sz w:val="32"/>
          <w:szCs w:val="32"/>
        </w:rPr>
        <w:t>2.大厅基本运转经费项目绩效目标完成情况综述。项目全年预算数50万元，执行数为44.19万元，完成预算的88.38%。通过项目实施，保障完成支付2020年度大厅基本运转</w:t>
      </w:r>
      <w:r>
        <w:rPr>
          <w:rFonts w:hint="eastAsia" w:eastAsia="仿宋_GB2312" w:cs="仿宋_GB2312"/>
          <w:sz w:val="32"/>
          <w:szCs w:val="32"/>
          <w:lang w:eastAsia="zh-CN"/>
        </w:rPr>
        <w:t>所</w:t>
      </w:r>
      <w:r>
        <w:rPr>
          <w:rFonts w:hint="eastAsia" w:eastAsia="仿宋_GB2312" w:cs="仿宋_GB2312"/>
          <w:sz w:val="32"/>
          <w:szCs w:val="32"/>
        </w:rPr>
        <w:t>产生的相关费用，确保了大厅日常工作正常运转。</w:t>
      </w:r>
    </w:p>
    <w:p w14:paraId="22C5ED68">
      <w:pPr>
        <w:tabs>
          <w:tab w:val="left" w:pos="312"/>
        </w:tabs>
        <w:spacing w:line="580" w:lineRule="exact"/>
        <w:ind w:firstLine="640" w:firstLineChars="200"/>
        <w:rPr>
          <w:rFonts w:ascii="仿宋_GB2312" w:hAnsi="仿宋_GB2312" w:eastAsia="仿宋_GB2312" w:cs="仿宋_GB2312"/>
          <w:sz w:val="32"/>
          <w:szCs w:val="32"/>
        </w:rPr>
      </w:pPr>
      <w:r>
        <w:rPr>
          <w:rFonts w:hint="eastAsia" w:eastAsia="仿宋_GB2312" w:cs="仿宋_GB2312"/>
          <w:sz w:val="32"/>
          <w:szCs w:val="32"/>
        </w:rPr>
        <w:t>3.午餐补助经费项目绩效目标完成情况综述。项目全年预算数100万元，执行数为84.64万元，完成预算的84.64%。通过项目实施，保障了</w:t>
      </w:r>
      <w:r>
        <w:rPr>
          <w:rFonts w:hint="eastAsia" w:eastAsia="仿宋_GB2312"/>
          <w:sz w:val="32"/>
          <w:szCs w:val="32"/>
        </w:rPr>
        <w:t>因中午休息时间短，工作人员不能回家吃午餐，县政府给予批准的午餐补助，严格按日考核、月积累按标准发放，确保人员及金额不重不漏，更快捷、更方便服务办事群众，展现政府的良好形象。</w:t>
      </w:r>
    </w:p>
    <w:p w14:paraId="4EF67501">
      <w:pPr>
        <w:ind w:firstLine="640" w:firstLineChars="200"/>
        <w:rPr>
          <w:rFonts w:ascii="仿宋_GB2312" w:eastAsia="仿宋_GB2312"/>
          <w:sz w:val="32"/>
          <w:szCs w:val="32"/>
        </w:rPr>
      </w:pPr>
      <w:r>
        <w:rPr>
          <w:rFonts w:hint="eastAsia" w:ascii="仿宋" w:hAnsi="仿宋" w:eastAsia="仿宋" w:cs="仿宋_GB2312"/>
          <w:sz w:val="32"/>
          <w:szCs w:val="32"/>
        </w:rPr>
        <w:t>三、评价结论及绩效分析</w:t>
      </w:r>
    </w:p>
    <w:p w14:paraId="61E3E294">
      <w:pPr>
        <w:autoSpaceDE w:val="0"/>
        <w:autoSpaceDN w:val="0"/>
        <w:adjustRightInd w:val="0"/>
        <w:spacing w:line="550" w:lineRule="exact"/>
        <w:ind w:firstLine="640" w:firstLineChars="200"/>
        <w:jc w:val="left"/>
        <w:rPr>
          <w:rFonts w:ascii="仿宋_GB2312" w:eastAsia="仿宋_GB2312" w:cs="仿宋_GB2312"/>
          <w:kern w:val="0"/>
          <w:sz w:val="32"/>
          <w:szCs w:val="32"/>
        </w:rPr>
      </w:pPr>
      <w:r>
        <w:rPr>
          <w:rFonts w:hint="eastAsia" w:ascii="仿宋" w:hAnsi="仿宋" w:eastAsia="仿宋" w:cs="仿宋_GB2312"/>
          <w:sz w:val="32"/>
          <w:szCs w:val="32"/>
        </w:rPr>
        <w:t>（一）</w:t>
      </w:r>
      <w:r>
        <w:rPr>
          <w:rFonts w:hint="eastAsia" w:ascii="仿宋_GB2312" w:eastAsia="仿宋_GB2312" w:cs="仿宋_GB2312"/>
          <w:kern w:val="0"/>
          <w:sz w:val="32"/>
          <w:szCs w:val="32"/>
        </w:rPr>
        <w:t>项目资金通过年初预算，根据支出需要严格按照合同申请资金及支出单据按期支出。</w:t>
      </w:r>
    </w:p>
    <w:p w14:paraId="799728D3">
      <w:pPr>
        <w:autoSpaceDE w:val="0"/>
        <w:autoSpaceDN w:val="0"/>
        <w:adjustRightInd w:val="0"/>
        <w:spacing w:line="55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单位制定了内控制度，严格按照制度支付各笔款项。</w:t>
      </w:r>
    </w:p>
    <w:p w14:paraId="7AE88D3B">
      <w:pPr>
        <w:autoSpaceDE w:val="0"/>
        <w:autoSpaceDN w:val="0"/>
        <w:adjustRightInd w:val="0"/>
        <w:spacing w:line="55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资金分配的原则：严格按照财经纪律，按照工作开展进度和要求付款，本着节约、量化的方式进行列支。综合考虑就是保证各个项目工作正常运行。</w:t>
      </w:r>
    </w:p>
    <w:p w14:paraId="6AB69151">
      <w:pPr>
        <w:tabs>
          <w:tab w:val="left" w:pos="312"/>
        </w:tabs>
        <w:spacing w:line="580" w:lineRule="exact"/>
        <w:ind w:firstLine="640" w:firstLineChars="200"/>
        <w:rPr>
          <w:rFonts w:ascii="仿宋_GB2312" w:hAnsi="仿宋_GB2312" w:eastAsia="仿宋_GB2312" w:cs="仿宋_GB2312"/>
          <w:sz w:val="32"/>
          <w:szCs w:val="32"/>
        </w:rPr>
      </w:pPr>
      <w:r>
        <w:rPr>
          <w:rFonts w:hint="eastAsia" w:hAnsi="仿宋" w:eastAsia="仿宋"/>
          <w:sz w:val="32"/>
          <w:szCs w:val="32"/>
        </w:rPr>
        <w:t>项目绩效评价总体结论。</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20年项目包括临聘人员经费，保障了</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20年度</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名编外临聘人员的工资及单位部分“五险一金”，确保了大厅咨询服务工作正常运转；大厅基本运转经费、午餐补助经费等项目保障完成支付</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20年度大厅基本运转</w:t>
      </w:r>
      <w:r>
        <w:rPr>
          <w:rFonts w:hint="eastAsia" w:ascii="仿宋_GB2312" w:hAnsi="仿宋_GB2312" w:eastAsia="仿宋_GB2312" w:cs="仿宋_GB2312"/>
          <w:sz w:val="32"/>
          <w:szCs w:val="32"/>
          <w:lang w:eastAsia="zh-CN"/>
        </w:rPr>
        <w:t>所</w:t>
      </w:r>
      <w:r>
        <w:rPr>
          <w:rFonts w:hint="eastAsia" w:ascii="仿宋_GB2312" w:hAnsi="仿宋_GB2312" w:eastAsia="仿宋_GB2312" w:cs="仿宋_GB2312"/>
          <w:sz w:val="32"/>
          <w:szCs w:val="32"/>
        </w:rPr>
        <w:t>产生的相关费用，确保了大厅日常工作正常运转。</w:t>
      </w:r>
    </w:p>
    <w:p w14:paraId="3438FC9B">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（二）绩效分析</w:t>
      </w:r>
    </w:p>
    <w:p w14:paraId="4FB05327">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1</w:t>
      </w:r>
      <w:r>
        <w:rPr>
          <w:rFonts w:hint="eastAsia" w:ascii="仿宋" w:hAnsi="仿宋" w:eastAsia="仿宋" w:cs="仿宋_GB2312"/>
          <w:sz w:val="32"/>
          <w:szCs w:val="32"/>
        </w:rPr>
        <w:t>、项目决策</w:t>
      </w:r>
    </w:p>
    <w:p w14:paraId="36B44B99">
      <w:pPr>
        <w:autoSpaceDE w:val="0"/>
        <w:autoSpaceDN w:val="0"/>
        <w:adjustRightInd w:val="0"/>
        <w:spacing w:line="550" w:lineRule="exact"/>
        <w:ind w:firstLine="320" w:firstLineChars="100"/>
        <w:jc w:val="left"/>
        <w:rPr>
          <w:rFonts w:ascii="仿宋_GB2312" w:eastAsia="仿宋_GB2312" w:cs="仿宋_GB2312"/>
          <w:kern w:val="0"/>
          <w:sz w:val="32"/>
          <w:szCs w:val="32"/>
        </w:rPr>
      </w:pPr>
      <w:r>
        <w:rPr>
          <w:rFonts w:hint="eastAsia" w:ascii="仿宋_GB2312" w:eastAsia="仿宋_GB2312" w:cs="仿宋_GB2312"/>
          <w:kern w:val="0"/>
          <w:sz w:val="32"/>
          <w:szCs w:val="32"/>
        </w:rPr>
        <w:t>年初通过预算上报的项目在规定时限内得以全面完成并取得显著的成效，充分肯定了该项目的合理性。</w:t>
      </w:r>
    </w:p>
    <w:p w14:paraId="6FAA880B">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2</w:t>
      </w:r>
      <w:r>
        <w:rPr>
          <w:rFonts w:hint="eastAsia" w:ascii="仿宋" w:hAnsi="仿宋" w:eastAsia="仿宋" w:cs="仿宋_GB2312"/>
          <w:sz w:val="32"/>
          <w:szCs w:val="32"/>
        </w:rPr>
        <w:t>、项目管理</w:t>
      </w:r>
    </w:p>
    <w:p w14:paraId="463FFB42">
      <w:pPr>
        <w:autoSpaceDE w:val="0"/>
        <w:autoSpaceDN w:val="0"/>
        <w:adjustRightInd w:val="0"/>
        <w:spacing w:line="550" w:lineRule="exact"/>
        <w:ind w:firstLine="608" w:firstLineChars="200"/>
        <w:jc w:val="left"/>
        <w:rPr>
          <w:rFonts w:ascii="仿宋_GB2312" w:eastAsia="仿宋_GB2312" w:cs="仿宋_GB2312"/>
          <w:spacing w:val="-8"/>
          <w:kern w:val="0"/>
          <w:sz w:val="32"/>
          <w:szCs w:val="32"/>
        </w:rPr>
      </w:pPr>
      <w:r>
        <w:rPr>
          <w:rFonts w:ascii="仿宋_GB2312" w:eastAsia="仿宋_GB2312" w:cs="仿宋_GB2312"/>
          <w:spacing w:val="-8"/>
          <w:kern w:val="0"/>
          <w:sz w:val="32"/>
          <w:szCs w:val="32"/>
        </w:rPr>
        <w:t>20</w:t>
      </w:r>
      <w:r>
        <w:rPr>
          <w:rFonts w:hint="eastAsia" w:ascii="仿宋_GB2312" w:eastAsia="仿宋_GB2312" w:cs="仿宋_GB2312"/>
          <w:spacing w:val="-8"/>
          <w:kern w:val="0"/>
          <w:sz w:val="32"/>
          <w:szCs w:val="32"/>
        </w:rPr>
        <w:t>20年项目资金由我局年初作预算，财政对资金进行审核、批复下达，有力保证项目工作有序开展，按照时间节点每季度及时、准确地拨付资金，与预算相符。</w:t>
      </w:r>
    </w:p>
    <w:p w14:paraId="16A049B9">
      <w:pPr>
        <w:autoSpaceDE w:val="0"/>
        <w:autoSpaceDN w:val="0"/>
        <w:adjustRightInd w:val="0"/>
        <w:spacing w:line="55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我局制定了财务管理制度，严格参照执行，账务处理及时，会计核算规范。</w:t>
      </w:r>
    </w:p>
    <w:p w14:paraId="31F0D02A">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3</w:t>
      </w:r>
      <w:r>
        <w:rPr>
          <w:rFonts w:hint="eastAsia" w:ascii="仿宋" w:hAnsi="仿宋" w:eastAsia="仿宋" w:cs="仿宋_GB2312"/>
          <w:sz w:val="32"/>
          <w:szCs w:val="32"/>
        </w:rPr>
        <w:t>、项目绩效</w:t>
      </w:r>
    </w:p>
    <w:p w14:paraId="2ED853C8">
      <w:pPr>
        <w:autoSpaceDE w:val="0"/>
        <w:autoSpaceDN w:val="0"/>
        <w:adjustRightInd w:val="0"/>
        <w:spacing w:line="550" w:lineRule="exact"/>
        <w:ind w:firstLine="640" w:firstLineChars="200"/>
        <w:jc w:val="left"/>
        <w:rPr>
          <w:rFonts w:ascii="仿宋_GB2312" w:eastAsia="仿宋_GB2312" w:cs="仿宋_GB2312"/>
          <w:kern w:val="0"/>
          <w:sz w:val="32"/>
          <w:szCs w:val="32"/>
        </w:rPr>
      </w:pPr>
      <w:r>
        <w:rPr>
          <w:rFonts w:hint="eastAsia" w:ascii="仿宋_GB2312" w:hAnsi="仿宋" w:eastAsia="仿宋_GB2312"/>
          <w:sz w:val="32"/>
          <w:szCs w:val="32"/>
        </w:rPr>
        <w:t>项目目标完成情况按照数量、质量、时效、成本等进行自评，项目社会效益情况受益群体满意度均合理、有效</w:t>
      </w:r>
      <w:r>
        <w:rPr>
          <w:rFonts w:hint="eastAsia" w:hAnsi="仿宋" w:eastAsia="仿宋"/>
          <w:sz w:val="32"/>
          <w:szCs w:val="32"/>
        </w:rPr>
        <w:t>。</w:t>
      </w:r>
      <w:r>
        <w:rPr>
          <w:rFonts w:hint="eastAsia" w:ascii="仿宋_GB2312" w:eastAsia="仿宋_GB2312" w:cs="仿宋_GB2312"/>
          <w:kern w:val="0"/>
          <w:sz w:val="32"/>
          <w:szCs w:val="32"/>
        </w:rPr>
        <w:t>通过项目实施前后社会宣传效应对比，肯定了项目实施的及时、有效。</w:t>
      </w:r>
    </w:p>
    <w:p w14:paraId="5108CCD9">
      <w:pPr>
        <w:ind w:firstLine="480" w:firstLineChars="150"/>
        <w:rPr>
          <w:rFonts w:ascii="仿宋_GB2312" w:eastAsia="仿宋_GB2312"/>
          <w:sz w:val="32"/>
          <w:szCs w:val="32"/>
        </w:rPr>
      </w:pPr>
      <w:r>
        <w:rPr>
          <w:rFonts w:hint="eastAsia" w:ascii="仿宋_GB2312" w:eastAsia="仿宋_GB2312" w:cs="仿宋_GB2312"/>
          <w:kern w:val="0"/>
          <w:sz w:val="32"/>
          <w:szCs w:val="32"/>
        </w:rPr>
        <w:t>通过</w:t>
      </w:r>
      <w:r>
        <w:rPr>
          <w:rFonts w:ascii="仿宋_GB2312" w:eastAsia="仿宋_GB2312" w:cs="仿宋_GB2312"/>
          <w:kern w:val="0"/>
          <w:sz w:val="32"/>
          <w:szCs w:val="32"/>
        </w:rPr>
        <w:t>20</w:t>
      </w:r>
      <w:r>
        <w:rPr>
          <w:rFonts w:hint="eastAsia" w:ascii="仿宋_GB2312" w:eastAsia="仿宋_GB2312" w:cs="仿宋_GB2312"/>
          <w:kern w:val="0"/>
          <w:sz w:val="32"/>
          <w:szCs w:val="32"/>
        </w:rPr>
        <w:t>20年临聘人员经费、大厅运行经费、午餐补助经费等项目的保障，利用按照年初目标顺利完成，政务大厅水、电、办公耗材等费用及时支付，日常运行得以保障，为办事群众提供便捷、规范、廉洁、高效的政务服务，展现了政府的良好形象。</w:t>
      </w:r>
    </w:p>
    <w:p w14:paraId="5F7CFB30">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四、存在主要问题</w:t>
      </w:r>
    </w:p>
    <w:p w14:paraId="46A44230">
      <w:pPr>
        <w:ind w:firstLine="640" w:firstLineChars="200"/>
        <w:rPr>
          <w:rFonts w:ascii="仿宋_GB2312" w:eastAsia="仿宋_GB2312"/>
          <w:sz w:val="32"/>
          <w:szCs w:val="32"/>
        </w:rPr>
      </w:pPr>
      <w:r>
        <w:rPr>
          <w:rFonts w:hint="eastAsia" w:ascii="仿宋_GB2312" w:eastAsia="仿宋_GB2312"/>
          <w:sz w:val="32"/>
          <w:szCs w:val="32"/>
        </w:rPr>
        <w:t>绩效评价未纳入财政管理全过程，与预算编制、执行相结合的工作机制和部门协调机制尚未建立。</w:t>
      </w:r>
    </w:p>
    <w:p w14:paraId="5C21A26C">
      <w:pPr>
        <w:numPr>
          <w:ilvl w:val="0"/>
          <w:numId w:val="4"/>
        </w:numPr>
        <w:spacing w:line="580" w:lineRule="exact"/>
        <w:rPr>
          <w:rFonts w:ascii="仿宋" w:hAnsi="仿宋" w:eastAsia="仿宋" w:cs="仿宋_GB2312"/>
          <w:sz w:val="32"/>
          <w:szCs w:val="32"/>
        </w:rPr>
      </w:pPr>
      <w:r>
        <w:rPr>
          <w:rFonts w:hint="eastAsia" w:ascii="仿宋" w:hAnsi="仿宋" w:eastAsia="仿宋" w:cs="仿宋_GB2312"/>
          <w:sz w:val="32"/>
          <w:szCs w:val="32"/>
        </w:rPr>
        <w:t>相关措施建议</w:t>
      </w:r>
    </w:p>
    <w:p w14:paraId="5875B274">
      <w:pPr>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遵循先有预算、后有支出的原则，加强财务管理和内部控制监督制度。严禁超预算和无预算安排支出，严格开支范围和标准，严格支出报销审核，凡是超范围、超标准的费用，一概不予报销。</w:t>
      </w:r>
    </w:p>
    <w:p w14:paraId="56E7D465">
      <w:pPr>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预算编制和预算管理还需进一步细化和加强，严禁超预算和无预算安排支出，严格开支范围和标准，严格审核各项经费的支出，提高资金使用效率。</w:t>
      </w:r>
    </w:p>
    <w:p w14:paraId="19515E5B">
      <w:pPr>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严格控制“三公”经费，认真贯彻落实中央、省委省政府和市委市政府及县委县政府相关规定，严格“三公”经费支出的审核和审批，合理压缩“三公”经费支出。</w:t>
      </w:r>
    </w:p>
    <w:p w14:paraId="397DC13C">
      <w:pPr>
        <w:adjustRightInd w:val="0"/>
        <w:snapToGrid w:val="0"/>
        <w:spacing w:line="560" w:lineRule="exact"/>
        <w:ind w:firstLine="640" w:firstLineChars="200"/>
        <w:rPr>
          <w:rFonts w:eastAsia="仿宋_GB2312"/>
          <w:sz w:val="32"/>
        </w:rPr>
      </w:pPr>
    </w:p>
    <w:p w14:paraId="18A4563C">
      <w:pPr>
        <w:adjustRightInd w:val="0"/>
        <w:snapToGrid w:val="0"/>
        <w:spacing w:line="560" w:lineRule="exact"/>
        <w:ind w:firstLine="640" w:firstLineChars="200"/>
        <w:rPr>
          <w:rFonts w:eastAsia="仿宋_GB2312"/>
          <w:sz w:val="32"/>
        </w:rPr>
      </w:pPr>
    </w:p>
    <w:p w14:paraId="206FB0F3">
      <w:pPr>
        <w:adjustRightInd w:val="0"/>
        <w:snapToGrid w:val="0"/>
        <w:spacing w:line="560" w:lineRule="exact"/>
        <w:jc w:val="center"/>
        <w:outlineLvl w:val="0"/>
        <w:rPr>
          <w:rStyle w:val="16"/>
          <w:rFonts w:ascii="方正小标宋简体" w:hAnsi="方正小标宋简体" w:eastAsia="方正小标宋简体" w:cs="方正小标宋简体"/>
          <w:b w:val="0"/>
        </w:rPr>
      </w:pPr>
      <w:r>
        <w:rPr>
          <w:rFonts w:hint="eastAsia" w:ascii="方正小标宋简体" w:hAnsi="方正小标宋简体" w:eastAsia="方正小标宋简体" w:cs="方正小标宋简体"/>
          <w:color w:val="000000"/>
          <w:sz w:val="44"/>
          <w:szCs w:val="44"/>
        </w:rPr>
        <w:t>第</w:t>
      </w:r>
      <w:r>
        <w:rPr>
          <w:rStyle w:val="16"/>
          <w:rFonts w:hint="eastAsia" w:ascii="方正小标宋简体" w:hAnsi="方正小标宋简体" w:eastAsia="方正小标宋简体" w:cs="方正小标宋简体"/>
          <w:b w:val="0"/>
        </w:rPr>
        <w:t>五部分 附表</w:t>
      </w:r>
    </w:p>
    <w:p w14:paraId="1ED1F3D2">
      <w:pPr>
        <w:adjustRightInd w:val="0"/>
        <w:snapToGrid w:val="0"/>
        <w:spacing w:line="560" w:lineRule="exact"/>
        <w:jc w:val="center"/>
        <w:outlineLvl w:val="0"/>
        <w:rPr>
          <w:rStyle w:val="16"/>
          <w:rFonts w:ascii="方正小标宋简体" w:hAnsi="方正小标宋简体" w:eastAsia="方正小标宋简体" w:cs="方正小标宋简体"/>
          <w:b w:val="0"/>
        </w:rPr>
      </w:pPr>
      <w:r>
        <w:rPr>
          <w:rFonts w:hint="eastAsia" w:eastAsia="仿宋_GB2312"/>
          <w:sz w:val="32"/>
        </w:rPr>
        <w:t>（2020年度决算公开表）</w:t>
      </w:r>
    </w:p>
    <w:p w14:paraId="2488E86C">
      <w:pPr>
        <w:pStyle w:val="10"/>
        <w:jc w:val="both"/>
      </w:pPr>
      <w:r>
        <w:fldChar w:fldCharType="begin"/>
      </w:r>
      <w:r>
        <w:instrText xml:space="preserve"> HYPERLINK \l "_Toc47520003" </w:instrText>
      </w:r>
      <w:r>
        <w:fldChar w:fldCharType="separate"/>
      </w:r>
      <w:r>
        <w:rPr>
          <w:rStyle w:val="15"/>
          <w:rFonts w:hint="eastAsia" w:ascii="仿宋_GB2312" w:eastAsia="仿宋_GB2312"/>
          <w:color w:val="auto"/>
          <w:u w:val="none"/>
        </w:rPr>
        <w:t>一、收入支出决算总表</w:t>
      </w:r>
      <w:r>
        <w:rPr>
          <w:rStyle w:val="15"/>
          <w:rFonts w:hint="eastAsia" w:ascii="仿宋_GB2312" w:eastAsia="仿宋_GB2312"/>
          <w:color w:val="auto"/>
          <w:u w:val="none"/>
        </w:rPr>
        <w:fldChar w:fldCharType="end"/>
      </w:r>
    </w:p>
    <w:p w14:paraId="5316C95C">
      <w:pPr>
        <w:pStyle w:val="10"/>
        <w:jc w:val="both"/>
        <w:rPr>
          <w:rStyle w:val="15"/>
          <w:rFonts w:ascii="仿宋_GB2312" w:eastAsia="仿宋_GB2312"/>
          <w:color w:val="auto"/>
          <w:u w:val="none"/>
        </w:rPr>
      </w:pPr>
      <w:r>
        <w:fldChar w:fldCharType="begin"/>
      </w:r>
      <w:r>
        <w:instrText xml:space="preserve"> HYPERLINK \l "_Toc47520004" </w:instrText>
      </w:r>
      <w:r>
        <w:fldChar w:fldCharType="separate"/>
      </w:r>
      <w:r>
        <w:rPr>
          <w:rStyle w:val="15"/>
          <w:rFonts w:hint="eastAsia" w:ascii="仿宋_GB2312" w:eastAsia="仿宋_GB2312"/>
          <w:color w:val="auto"/>
          <w:u w:val="none"/>
        </w:rPr>
        <w:t>二、收入决算表</w:t>
      </w:r>
      <w:r>
        <w:rPr>
          <w:rStyle w:val="15"/>
          <w:rFonts w:hint="eastAsia" w:ascii="仿宋_GB2312" w:eastAsia="仿宋_GB2312"/>
          <w:color w:val="auto"/>
          <w:u w:val="none"/>
        </w:rPr>
        <w:fldChar w:fldCharType="end"/>
      </w:r>
    </w:p>
    <w:p w14:paraId="048AF223">
      <w:pPr>
        <w:pStyle w:val="10"/>
        <w:jc w:val="both"/>
        <w:rPr>
          <w:rStyle w:val="15"/>
          <w:rFonts w:ascii="仿宋_GB2312" w:eastAsia="仿宋_GB2312"/>
          <w:color w:val="auto"/>
          <w:u w:val="none"/>
        </w:rPr>
      </w:pPr>
      <w:r>
        <w:fldChar w:fldCharType="begin"/>
      </w:r>
      <w:r>
        <w:instrText xml:space="preserve"> HYPERLINK \l "_Toc47520005" </w:instrText>
      </w:r>
      <w:r>
        <w:fldChar w:fldCharType="separate"/>
      </w:r>
      <w:r>
        <w:rPr>
          <w:rStyle w:val="15"/>
          <w:rFonts w:hint="eastAsia" w:ascii="仿宋_GB2312" w:eastAsia="仿宋_GB2312"/>
          <w:color w:val="auto"/>
          <w:u w:val="none"/>
        </w:rPr>
        <w:t>三、支出决算表</w:t>
      </w:r>
      <w:r>
        <w:rPr>
          <w:rStyle w:val="15"/>
          <w:rFonts w:hint="eastAsia" w:ascii="仿宋_GB2312" w:eastAsia="仿宋_GB2312"/>
          <w:color w:val="auto"/>
          <w:u w:val="none"/>
        </w:rPr>
        <w:fldChar w:fldCharType="end"/>
      </w:r>
    </w:p>
    <w:p w14:paraId="2210DAE4">
      <w:pPr>
        <w:pStyle w:val="10"/>
        <w:jc w:val="both"/>
      </w:pPr>
      <w:r>
        <w:fldChar w:fldCharType="begin"/>
      </w:r>
      <w:r>
        <w:instrText xml:space="preserve"> HYPERLINK \l "_Toc47520006" </w:instrText>
      </w:r>
      <w:r>
        <w:fldChar w:fldCharType="separate"/>
      </w:r>
      <w:r>
        <w:rPr>
          <w:rStyle w:val="15"/>
          <w:rFonts w:hint="eastAsia" w:ascii="仿宋_GB2312" w:eastAsia="仿宋_GB2312"/>
          <w:color w:val="auto"/>
          <w:u w:val="none"/>
        </w:rPr>
        <w:t>四、财政拨款收入支出决算总表</w:t>
      </w:r>
      <w:r>
        <w:rPr>
          <w:rStyle w:val="15"/>
          <w:rFonts w:hint="eastAsia" w:ascii="仿宋_GB2312" w:eastAsia="仿宋_GB2312"/>
          <w:color w:val="auto"/>
          <w:u w:val="none"/>
        </w:rPr>
        <w:fldChar w:fldCharType="end"/>
      </w:r>
    </w:p>
    <w:p w14:paraId="4B44D278">
      <w:pPr>
        <w:pStyle w:val="10"/>
        <w:jc w:val="both"/>
        <w:rPr>
          <w:rFonts w:ascii="仿宋_GB2312" w:eastAsia="仿宋_GB2312"/>
        </w:rPr>
      </w:pPr>
      <w:r>
        <w:fldChar w:fldCharType="begin"/>
      </w:r>
      <w:r>
        <w:instrText xml:space="preserve"> HYPERLINK \l "_Toc47520007" </w:instrText>
      </w:r>
      <w:r>
        <w:fldChar w:fldCharType="separate"/>
      </w:r>
      <w:r>
        <w:rPr>
          <w:rStyle w:val="15"/>
          <w:rFonts w:hint="eastAsia" w:ascii="仿宋_GB2312" w:eastAsia="仿宋_GB2312"/>
          <w:color w:val="auto"/>
          <w:u w:val="none"/>
        </w:rPr>
        <w:t>五、财政拨款支出决算明细表</w:t>
      </w:r>
      <w:r>
        <w:rPr>
          <w:rStyle w:val="15"/>
          <w:rFonts w:hint="eastAsia" w:ascii="仿宋_GB2312" w:eastAsia="仿宋_GB2312"/>
          <w:color w:val="auto"/>
          <w:u w:val="none"/>
        </w:rPr>
        <w:fldChar w:fldCharType="end"/>
      </w:r>
    </w:p>
    <w:p w14:paraId="5AA4579D">
      <w:pPr>
        <w:pStyle w:val="10"/>
        <w:jc w:val="both"/>
      </w:pPr>
      <w:r>
        <w:fldChar w:fldCharType="begin"/>
      </w:r>
      <w:r>
        <w:instrText xml:space="preserve"> HYPERLINK \l "_Toc47520007" </w:instrText>
      </w:r>
      <w:r>
        <w:fldChar w:fldCharType="separate"/>
      </w:r>
      <w:r>
        <w:rPr>
          <w:rStyle w:val="15"/>
          <w:rFonts w:hint="eastAsia" w:ascii="仿宋_GB2312" w:eastAsia="仿宋_GB2312"/>
          <w:color w:val="auto"/>
          <w:u w:val="none"/>
        </w:rPr>
        <w:t>六、一般公共预算财政拨款支出决算表</w:t>
      </w:r>
      <w:r>
        <w:rPr>
          <w:rStyle w:val="15"/>
          <w:rFonts w:hint="eastAsia" w:ascii="仿宋_GB2312" w:eastAsia="仿宋_GB2312"/>
          <w:color w:val="auto"/>
          <w:u w:val="none"/>
        </w:rPr>
        <w:fldChar w:fldCharType="end"/>
      </w:r>
    </w:p>
    <w:p w14:paraId="6041F7D1">
      <w:pPr>
        <w:pStyle w:val="10"/>
        <w:jc w:val="both"/>
      </w:pPr>
      <w:r>
        <w:fldChar w:fldCharType="begin"/>
      </w:r>
      <w:r>
        <w:instrText xml:space="preserve"> HYPERLINK \l "_Toc47520007" </w:instrText>
      </w:r>
      <w:r>
        <w:fldChar w:fldCharType="separate"/>
      </w:r>
      <w:r>
        <w:rPr>
          <w:rStyle w:val="15"/>
          <w:rFonts w:hint="eastAsia" w:ascii="仿宋_GB2312" w:eastAsia="仿宋_GB2312"/>
          <w:color w:val="auto"/>
          <w:u w:val="none"/>
        </w:rPr>
        <w:t>七、一般公共预算财政拨款支出决算明细表</w:t>
      </w:r>
      <w:r>
        <w:rPr>
          <w:rStyle w:val="15"/>
          <w:rFonts w:hint="eastAsia" w:ascii="仿宋_GB2312" w:eastAsia="仿宋_GB2312"/>
          <w:color w:val="auto"/>
          <w:u w:val="none"/>
        </w:rPr>
        <w:fldChar w:fldCharType="end"/>
      </w:r>
    </w:p>
    <w:p w14:paraId="41923089">
      <w:pPr>
        <w:pStyle w:val="10"/>
        <w:jc w:val="both"/>
      </w:pPr>
      <w:r>
        <w:fldChar w:fldCharType="begin"/>
      </w:r>
      <w:r>
        <w:instrText xml:space="preserve"> HYPERLINK \l "_Toc47520008" </w:instrText>
      </w:r>
      <w:r>
        <w:fldChar w:fldCharType="separate"/>
      </w:r>
      <w:r>
        <w:rPr>
          <w:rStyle w:val="15"/>
          <w:rFonts w:hint="eastAsia" w:ascii="仿宋_GB2312" w:eastAsia="仿宋_GB2312"/>
          <w:color w:val="auto"/>
          <w:u w:val="none"/>
        </w:rPr>
        <w:t>八、一般公共预算财政拨款基本支出决算表</w:t>
      </w:r>
      <w:r>
        <w:rPr>
          <w:rStyle w:val="15"/>
          <w:rFonts w:hint="eastAsia" w:ascii="仿宋_GB2312" w:eastAsia="仿宋_GB2312"/>
          <w:color w:val="auto"/>
          <w:u w:val="none"/>
        </w:rPr>
        <w:fldChar w:fldCharType="end"/>
      </w:r>
    </w:p>
    <w:p w14:paraId="66655AF5">
      <w:pPr>
        <w:pStyle w:val="10"/>
        <w:jc w:val="both"/>
      </w:pPr>
      <w:r>
        <w:fldChar w:fldCharType="begin"/>
      </w:r>
      <w:r>
        <w:instrText xml:space="preserve"> HYPERLINK \l "_Toc47520008" </w:instrText>
      </w:r>
      <w:r>
        <w:fldChar w:fldCharType="separate"/>
      </w:r>
      <w:r>
        <w:rPr>
          <w:rStyle w:val="15"/>
          <w:rFonts w:hint="eastAsia" w:ascii="仿宋_GB2312" w:eastAsia="仿宋_GB2312"/>
          <w:color w:val="auto"/>
          <w:u w:val="none"/>
        </w:rPr>
        <w:t>九、一般公共预算财政拨款项目支出决算表</w:t>
      </w:r>
      <w:r>
        <w:rPr>
          <w:rStyle w:val="15"/>
          <w:rFonts w:hint="eastAsia" w:ascii="仿宋_GB2312" w:eastAsia="仿宋_GB2312"/>
          <w:color w:val="auto"/>
          <w:u w:val="none"/>
        </w:rPr>
        <w:fldChar w:fldCharType="end"/>
      </w:r>
    </w:p>
    <w:p w14:paraId="65310E2A">
      <w:pPr>
        <w:pStyle w:val="10"/>
        <w:jc w:val="both"/>
        <w:rPr>
          <w:rStyle w:val="15"/>
          <w:rFonts w:ascii="仿宋_GB2312" w:eastAsia="仿宋_GB2312"/>
          <w:color w:val="auto"/>
          <w:u w:val="none"/>
        </w:rPr>
      </w:pPr>
      <w:r>
        <w:fldChar w:fldCharType="begin"/>
      </w:r>
      <w:r>
        <w:instrText xml:space="preserve"> HYPERLINK \l "_Toc47520009" </w:instrText>
      </w:r>
      <w:r>
        <w:fldChar w:fldCharType="separate"/>
      </w:r>
      <w:r>
        <w:rPr>
          <w:rStyle w:val="15"/>
          <w:rFonts w:hint="eastAsia" w:ascii="仿宋_GB2312" w:eastAsia="仿宋_GB2312"/>
          <w:color w:val="auto"/>
          <w:u w:val="none"/>
        </w:rPr>
        <w:t>十、一般公共预算财政拨款“三公”经费支出决算表</w:t>
      </w:r>
      <w:r>
        <w:rPr>
          <w:rStyle w:val="15"/>
          <w:rFonts w:hint="eastAsia" w:ascii="仿宋_GB2312" w:eastAsia="仿宋_GB2312"/>
          <w:color w:val="auto"/>
          <w:u w:val="none"/>
        </w:rPr>
        <w:fldChar w:fldCharType="end"/>
      </w:r>
    </w:p>
    <w:p w14:paraId="41E871CF">
      <w:pPr>
        <w:pStyle w:val="10"/>
        <w:jc w:val="both"/>
      </w:pPr>
      <w:r>
        <w:fldChar w:fldCharType="begin"/>
      </w:r>
      <w:r>
        <w:instrText xml:space="preserve"> HYPERLINK \l "_Toc47520010" </w:instrText>
      </w:r>
      <w:r>
        <w:fldChar w:fldCharType="separate"/>
      </w:r>
      <w:r>
        <w:rPr>
          <w:rStyle w:val="15"/>
          <w:rFonts w:hint="eastAsia" w:ascii="仿宋_GB2312" w:eastAsia="仿宋_GB2312"/>
          <w:color w:val="auto"/>
          <w:u w:val="none"/>
        </w:rPr>
        <w:t>十一、政府性基金预算财政拨款收入支出决算表</w:t>
      </w:r>
      <w:r>
        <w:rPr>
          <w:rStyle w:val="15"/>
          <w:rFonts w:hint="eastAsia" w:ascii="仿宋_GB2312" w:eastAsia="仿宋_GB2312"/>
          <w:color w:val="auto"/>
          <w:u w:val="none"/>
        </w:rPr>
        <w:fldChar w:fldCharType="end"/>
      </w:r>
    </w:p>
    <w:p w14:paraId="457E2605">
      <w:pPr>
        <w:pStyle w:val="10"/>
        <w:jc w:val="both"/>
      </w:pPr>
      <w:r>
        <w:fldChar w:fldCharType="begin"/>
      </w:r>
      <w:r>
        <w:instrText xml:space="preserve"> HYPERLINK \l "_Toc47520009" </w:instrText>
      </w:r>
      <w:r>
        <w:fldChar w:fldCharType="separate"/>
      </w:r>
      <w:r>
        <w:rPr>
          <w:rStyle w:val="15"/>
          <w:rFonts w:hint="eastAsia" w:ascii="仿宋_GB2312" w:eastAsia="仿宋_GB2312"/>
          <w:color w:val="auto"/>
          <w:u w:val="none"/>
        </w:rPr>
        <w:t>十二、政府性基金预算财政拨款“三公”经费支出决算表</w:t>
      </w:r>
      <w:r>
        <w:rPr>
          <w:rStyle w:val="15"/>
          <w:rFonts w:hint="eastAsia" w:ascii="仿宋_GB2312" w:eastAsia="仿宋_GB2312"/>
          <w:color w:val="auto"/>
          <w:u w:val="none"/>
        </w:rPr>
        <w:fldChar w:fldCharType="end"/>
      </w:r>
    </w:p>
    <w:p w14:paraId="35CC2EB3">
      <w:pPr>
        <w:pStyle w:val="10"/>
        <w:jc w:val="both"/>
      </w:pPr>
      <w:r>
        <w:fldChar w:fldCharType="begin"/>
      </w:r>
      <w:r>
        <w:instrText xml:space="preserve"> HYPERLINK \l "_Toc47520009" </w:instrText>
      </w:r>
      <w:r>
        <w:fldChar w:fldCharType="separate"/>
      </w:r>
      <w:r>
        <w:rPr>
          <w:rStyle w:val="15"/>
          <w:rFonts w:hint="eastAsia" w:ascii="仿宋_GB2312" w:eastAsia="仿宋_GB2312"/>
          <w:color w:val="auto"/>
          <w:u w:val="none"/>
        </w:rPr>
        <w:t>十三、国有资本经营预算财政拨款收入支出决算表</w:t>
      </w:r>
      <w:r>
        <w:rPr>
          <w:rStyle w:val="15"/>
          <w:rFonts w:hint="eastAsia" w:ascii="仿宋_GB2312" w:eastAsia="仿宋_GB2312"/>
          <w:color w:val="auto"/>
          <w:u w:val="none"/>
        </w:rPr>
        <w:fldChar w:fldCharType="end"/>
      </w:r>
    </w:p>
    <w:p w14:paraId="21B07DED">
      <w:pPr>
        <w:pStyle w:val="10"/>
        <w:jc w:val="both"/>
      </w:pPr>
      <w:r>
        <w:fldChar w:fldCharType="begin"/>
      </w:r>
      <w:r>
        <w:instrText xml:space="preserve"> HYPERLINK \l "_Toc47520009" </w:instrText>
      </w:r>
      <w:r>
        <w:fldChar w:fldCharType="separate"/>
      </w:r>
      <w:r>
        <w:rPr>
          <w:rStyle w:val="15"/>
          <w:rFonts w:hint="eastAsia" w:ascii="仿宋_GB2312" w:eastAsia="仿宋_GB2312"/>
          <w:color w:val="auto"/>
          <w:u w:val="none"/>
        </w:rPr>
        <w:t>十四、国有资本经营预算财政拨款支出决算表</w:t>
      </w:r>
      <w:r>
        <w:rPr>
          <w:rStyle w:val="15"/>
          <w:rFonts w:hint="eastAsia" w:ascii="仿宋_GB2312" w:eastAsia="仿宋_GB2312"/>
          <w:color w:val="auto"/>
          <w:u w:val="none"/>
        </w:rPr>
        <w:fldChar w:fldCharType="end"/>
      </w:r>
    </w:p>
    <w:p w14:paraId="0FEF9625">
      <w:pPr>
        <w:adjustRightInd w:val="0"/>
        <w:snapToGrid w:val="0"/>
        <w:spacing w:line="560" w:lineRule="exact"/>
        <w:rPr>
          <w:rFonts w:eastAsia="仿宋_GB2312"/>
          <w:color w:val="000000"/>
          <w:sz w:val="30"/>
          <w:szCs w:val="30"/>
        </w:rPr>
      </w:pPr>
      <w:r>
        <w:fldChar w:fldCharType="begin"/>
      </w:r>
      <w:r>
        <w:instrText xml:space="preserve"> HYPERLINK \l "_Toc47520009" </w:instrText>
      </w:r>
      <w:r>
        <w:fldChar w:fldCharType="separate"/>
      </w:r>
      <w:r>
        <w:rPr>
          <w:rStyle w:val="15"/>
          <w:rFonts w:hint="eastAsia" w:ascii="仿宋_GB2312" w:eastAsia="仿宋_GB2312"/>
          <w:color w:val="auto"/>
          <w:sz w:val="30"/>
          <w:szCs w:val="30"/>
          <w:u w:val="none"/>
        </w:rPr>
        <w:t>十五、</w:t>
      </w:r>
      <w:r>
        <w:rPr>
          <w:rFonts w:hint="eastAsia" w:ascii="仿宋_GB2312" w:hAnsi="黑体" w:eastAsia="仿宋_GB2312"/>
          <w:bCs/>
          <w:kern w:val="44"/>
          <w:sz w:val="30"/>
          <w:szCs w:val="30"/>
        </w:rPr>
        <w:t>机关运行经费、资产占用情况及政府采购支出信息表</w:t>
      </w:r>
      <w:r>
        <w:rPr>
          <w:rStyle w:val="15"/>
          <w:rFonts w:hint="eastAsia" w:ascii="仿宋_GB2312" w:eastAsia="仿宋_GB2312"/>
          <w:color w:val="auto"/>
          <w:sz w:val="30"/>
          <w:szCs w:val="30"/>
          <w:u w:val="none"/>
        </w:rPr>
        <w:tab/>
      </w:r>
      <w:r>
        <w:rPr>
          <w:rStyle w:val="15"/>
          <w:rFonts w:hint="eastAsia" w:ascii="仿宋_GB2312" w:eastAsia="仿宋_GB2312"/>
          <w:color w:val="auto"/>
          <w:sz w:val="30"/>
          <w:szCs w:val="30"/>
          <w:u w:val="none"/>
        </w:rPr>
        <w:t xml:space="preserve">                 </w:t>
      </w:r>
      <w:r>
        <w:rPr>
          <w:rStyle w:val="15"/>
          <w:rFonts w:hint="eastAsia" w:ascii="仿宋_GB2312" w:eastAsia="仿宋_GB2312"/>
          <w:color w:val="auto"/>
          <w:sz w:val="30"/>
          <w:szCs w:val="30"/>
          <w:u w:val="none"/>
        </w:rPr>
        <w:fldChar w:fldCharType="end"/>
      </w:r>
    </w:p>
    <w:p w14:paraId="28B2BED5">
      <w:pPr>
        <w:widowControl/>
        <w:jc w:val="left"/>
        <w:rPr>
          <w:rFonts w:ascii="仿宋_GB2312" w:hAnsi="黑体" w:eastAsia="仿宋_GB2312"/>
          <w:bCs/>
          <w:kern w:val="44"/>
          <w:sz w:val="30"/>
          <w:szCs w:val="30"/>
        </w:rPr>
        <w:sectPr>
          <w:headerReference r:id="rId3" w:type="default"/>
          <w:pgSz w:w="11906" w:h="16838"/>
          <w:pgMar w:top="1440" w:right="1800" w:bottom="1440" w:left="1800" w:header="851" w:footer="992" w:gutter="0"/>
          <w:pgNumType w:fmt="numberInDash" w:start="1"/>
          <w:cols w:space="425" w:num="1"/>
          <w:titlePg/>
          <w:docGrid w:type="lines" w:linePitch="312" w:charSpace="0"/>
        </w:sectPr>
      </w:pPr>
      <w:r>
        <w:rPr>
          <w:rFonts w:hint="eastAsia" w:ascii="仿宋_GB2312" w:hAnsi="黑体" w:eastAsia="仿宋_GB2312"/>
          <w:bCs/>
          <w:kern w:val="44"/>
          <w:sz w:val="30"/>
          <w:szCs w:val="30"/>
        </w:rPr>
        <w:t xml:space="preserve">  </w:t>
      </w:r>
    </w:p>
    <w:p w14:paraId="3F1A0075">
      <w:pPr>
        <w:adjustRightInd w:val="0"/>
        <w:snapToGrid w:val="0"/>
        <w:spacing w:line="560" w:lineRule="exact"/>
        <w:rPr>
          <w:rFonts w:eastAsia="仿宋_GB2312"/>
          <w:color w:val="000000"/>
          <w:sz w:val="30"/>
          <w:szCs w:val="30"/>
        </w:rPr>
      </w:pPr>
    </w:p>
    <w:sectPr>
      <w:footerReference r:id="rId4" w:type="default"/>
      <w:footerReference r:id="rId5" w:type="even"/>
      <w:pgSz w:w="11906" w:h="16838"/>
      <w:pgMar w:top="1440" w:right="1800" w:bottom="1440" w:left="1800" w:header="851" w:footer="992" w:gutter="0"/>
      <w:pgNumType w:fmt="numberInDash"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altName w:val="Ubuntu Light"/>
    <w:panose1 w:val="020B0604030504040204"/>
    <w:charset w:val="00"/>
    <w:family w:val="swiss"/>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方正小标宋简体">
    <w:altName w:val="方正小标宋_GBK"/>
    <w:panose1 w:val="02010601030101010101"/>
    <w:charset w:val="86"/>
    <w:family w:val="script"/>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楷体">
    <w:panose1 w:val="02010609060101010101"/>
    <w:charset w:val="86"/>
    <w:family w:val="modern"/>
    <w:pitch w:val="default"/>
    <w:sig w:usb0="800002BF" w:usb1="38CF7CFA" w:usb2="00000016" w:usb3="00000000" w:csb0="00040001" w:csb1="00000000"/>
  </w:font>
  <w:font w:name="方正仿宋简体">
    <w:altName w:val="仿宋"/>
    <w:panose1 w:val="02010601030101010101"/>
    <w:charset w:val="86"/>
    <w:family w:val="script"/>
    <w:pitch w:val="default"/>
    <w:sig w:usb0="00000000" w:usb1="0000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_GB2312-WinCharSetFFFF-H">
    <w:altName w:val="仿宋"/>
    <w:panose1 w:val="00000000000000000000"/>
    <w:charset w:val="86"/>
    <w:family w:val="auto"/>
    <w:pitch w:val="default"/>
    <w:sig w:usb0="00000000" w:usb1="00000000" w:usb2="00000010" w:usb3="00000000" w:csb0="00040000" w:csb1="00000000"/>
  </w:font>
  <w:font w:name="楷体_GB2312-WinCharSetFFFF-H">
    <w:altName w:val="楷体"/>
    <w:panose1 w:val="00000000000000000000"/>
    <w:charset w:val="86"/>
    <w:family w:val="auto"/>
    <w:pitch w:val="default"/>
    <w:sig w:usb0="00000000" w:usb1="00000000" w:usb2="00000010" w:usb3="00000000" w:csb0="00040000" w:csb1="00000000"/>
  </w:font>
  <w:font w:name="TimesNewRoman">
    <w:altName w:val="Times New Roman"/>
    <w:panose1 w:val="00000000000000000000"/>
    <w:charset w:val="00"/>
    <w:family w:val="roman"/>
    <w:pitch w:val="default"/>
    <w:sig w:usb0="00000000" w:usb1="00000000" w:usb2="00000010" w:usb3="00000000" w:csb0="00040000" w:csb1="00000000"/>
  </w:font>
  <w:font w:name="Helvetica">
    <w:altName w:val="Liberation Sans"/>
    <w:panose1 w:val="020B0604020202020204"/>
    <w:charset w:val="00"/>
    <w:family w:val="swiss"/>
    <w:pitch w:val="default"/>
    <w:sig w:usb0="00000000" w:usb1="00000000" w:usb2="00000000" w:usb3="00000000" w:csb0="00000001" w:csb1="00000000"/>
  </w:font>
  <w:font w:name="Liberation Sans">
    <w:panose1 w:val="020B06040202020202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8D3F2">
    <w:pPr>
      <w:pStyle w:val="8"/>
    </w:pPr>
    <w:r>
      <w:pict>
        <v:shape id="_x0000_s2056" o:spid="_x0000_s2056" o:spt="202" type="#_x0000_t202" style="position:absolute;left:0pt;margin-left:380.4pt;margin-top:-12pt;height:144pt;width:144pt;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31BA464C">
                <w:pPr>
                  <w:pStyle w:val="8"/>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5F258">
    <w:pPr>
      <w:pStyle w:val="8"/>
    </w:pPr>
    <w:r>
      <w:pict>
        <v:shape id="_x0000_s2057" o:spid="_x0000_s2057" o:spt="202" type="#_x0000_t202" style="position:absolute;left:0pt;margin-left:0pt;margin-top:-10.8pt;height:144pt;width:144pt;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744175D3">
                <w:pPr>
                  <w:pStyle w:val="8"/>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- 34 -</w:t>
                </w:r>
                <w:r>
                  <w:rPr>
                    <w:rFonts w:hint="eastAsia" w:ascii="宋体" w:hAnsi="宋体" w:cs="宋体"/>
                    <w:sz w:val="28"/>
                    <w:szCs w:val="2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3E9CB">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2">
    <w:nsid w:val="629E156B"/>
    <w:multiLevelType w:val="multilevel"/>
    <w:tmpl w:val="629E156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2A55DA"/>
    <w:multiLevelType w:val="multilevel"/>
    <w:tmpl w:val="772A55DA"/>
    <w:lvl w:ilvl="0" w:tentative="0">
      <w:start w:val="1"/>
      <w:numFmt w:val="japaneseCounting"/>
      <w:lvlText w:val="（%1）"/>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NotTrackMoves/>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mU5MjUwMGNkYzNmNGJhY2MwZTU0OTk3Njc0OGMzOWMifQ=="/>
  </w:docVars>
  <w:rsids>
    <w:rsidRoot w:val="00F1361C"/>
    <w:rsid w:val="00000EE0"/>
    <w:rsid w:val="000033F9"/>
    <w:rsid w:val="00003B3D"/>
    <w:rsid w:val="00015A33"/>
    <w:rsid w:val="00017A76"/>
    <w:rsid w:val="000222C6"/>
    <w:rsid w:val="00024191"/>
    <w:rsid w:val="0002549F"/>
    <w:rsid w:val="000271B9"/>
    <w:rsid w:val="00030A03"/>
    <w:rsid w:val="00041398"/>
    <w:rsid w:val="00041B47"/>
    <w:rsid w:val="000458EC"/>
    <w:rsid w:val="00052393"/>
    <w:rsid w:val="0005777A"/>
    <w:rsid w:val="000620CF"/>
    <w:rsid w:val="0006487A"/>
    <w:rsid w:val="00065F8F"/>
    <w:rsid w:val="00066F28"/>
    <w:rsid w:val="000768F2"/>
    <w:rsid w:val="00082CC9"/>
    <w:rsid w:val="00083C04"/>
    <w:rsid w:val="0009184B"/>
    <w:rsid w:val="0009593C"/>
    <w:rsid w:val="00096CCB"/>
    <w:rsid w:val="000A6CC0"/>
    <w:rsid w:val="000A7312"/>
    <w:rsid w:val="000B047F"/>
    <w:rsid w:val="000B078C"/>
    <w:rsid w:val="000B5923"/>
    <w:rsid w:val="000B5A48"/>
    <w:rsid w:val="000B6FF3"/>
    <w:rsid w:val="000C3467"/>
    <w:rsid w:val="000C3CA6"/>
    <w:rsid w:val="000C58AD"/>
    <w:rsid w:val="000D1267"/>
    <w:rsid w:val="000D1618"/>
    <w:rsid w:val="000D1D50"/>
    <w:rsid w:val="000D5782"/>
    <w:rsid w:val="000E1AF8"/>
    <w:rsid w:val="000E6613"/>
    <w:rsid w:val="000E7119"/>
    <w:rsid w:val="00100DFF"/>
    <w:rsid w:val="0010329B"/>
    <w:rsid w:val="001124CC"/>
    <w:rsid w:val="00114E9B"/>
    <w:rsid w:val="001164ED"/>
    <w:rsid w:val="001377C3"/>
    <w:rsid w:val="00143E93"/>
    <w:rsid w:val="0014729F"/>
    <w:rsid w:val="001562C0"/>
    <w:rsid w:val="00157BAB"/>
    <w:rsid w:val="001654D1"/>
    <w:rsid w:val="00166543"/>
    <w:rsid w:val="00166BC1"/>
    <w:rsid w:val="00170D64"/>
    <w:rsid w:val="00175D9B"/>
    <w:rsid w:val="0018106D"/>
    <w:rsid w:val="001862C0"/>
    <w:rsid w:val="001877A7"/>
    <w:rsid w:val="00191536"/>
    <w:rsid w:val="00193C83"/>
    <w:rsid w:val="00195B2B"/>
    <w:rsid w:val="00196687"/>
    <w:rsid w:val="001A05CA"/>
    <w:rsid w:val="001A3B84"/>
    <w:rsid w:val="001B3BCD"/>
    <w:rsid w:val="001C0962"/>
    <w:rsid w:val="001C1AD1"/>
    <w:rsid w:val="001C3451"/>
    <w:rsid w:val="001C7906"/>
    <w:rsid w:val="001D5282"/>
    <w:rsid w:val="001D7531"/>
    <w:rsid w:val="001E737D"/>
    <w:rsid w:val="001F0592"/>
    <w:rsid w:val="001F2300"/>
    <w:rsid w:val="001F55D4"/>
    <w:rsid w:val="001F7506"/>
    <w:rsid w:val="002006CD"/>
    <w:rsid w:val="00200BE7"/>
    <w:rsid w:val="00202B36"/>
    <w:rsid w:val="00204B7A"/>
    <w:rsid w:val="0021101A"/>
    <w:rsid w:val="002132FC"/>
    <w:rsid w:val="0021461C"/>
    <w:rsid w:val="00214BED"/>
    <w:rsid w:val="00214EA4"/>
    <w:rsid w:val="00220536"/>
    <w:rsid w:val="002225B3"/>
    <w:rsid w:val="0022269B"/>
    <w:rsid w:val="00226BD7"/>
    <w:rsid w:val="00232487"/>
    <w:rsid w:val="00235629"/>
    <w:rsid w:val="00235883"/>
    <w:rsid w:val="00243A51"/>
    <w:rsid w:val="00251A34"/>
    <w:rsid w:val="00253355"/>
    <w:rsid w:val="00260346"/>
    <w:rsid w:val="00260C38"/>
    <w:rsid w:val="002616C0"/>
    <w:rsid w:val="002662AA"/>
    <w:rsid w:val="00267AEF"/>
    <w:rsid w:val="00270A16"/>
    <w:rsid w:val="00280496"/>
    <w:rsid w:val="00285F7F"/>
    <w:rsid w:val="00286230"/>
    <w:rsid w:val="002939C5"/>
    <w:rsid w:val="00295495"/>
    <w:rsid w:val="002A53A3"/>
    <w:rsid w:val="002B22C9"/>
    <w:rsid w:val="002B2613"/>
    <w:rsid w:val="002C05D7"/>
    <w:rsid w:val="002D7644"/>
    <w:rsid w:val="002E1930"/>
    <w:rsid w:val="002F1818"/>
    <w:rsid w:val="002F4378"/>
    <w:rsid w:val="002F4F0F"/>
    <w:rsid w:val="002F567B"/>
    <w:rsid w:val="003010B1"/>
    <w:rsid w:val="00305514"/>
    <w:rsid w:val="003136EF"/>
    <w:rsid w:val="0031537F"/>
    <w:rsid w:val="00315FC4"/>
    <w:rsid w:val="003216A9"/>
    <w:rsid w:val="0032398E"/>
    <w:rsid w:val="003274F3"/>
    <w:rsid w:val="00335237"/>
    <w:rsid w:val="0034076D"/>
    <w:rsid w:val="003417B4"/>
    <w:rsid w:val="00353FFF"/>
    <w:rsid w:val="00355EAA"/>
    <w:rsid w:val="00361DDB"/>
    <w:rsid w:val="00364A82"/>
    <w:rsid w:val="0037013F"/>
    <w:rsid w:val="003709AE"/>
    <w:rsid w:val="00371DAD"/>
    <w:rsid w:val="00373061"/>
    <w:rsid w:val="00373553"/>
    <w:rsid w:val="00380C92"/>
    <w:rsid w:val="003815C5"/>
    <w:rsid w:val="0038296A"/>
    <w:rsid w:val="00391E81"/>
    <w:rsid w:val="00392E65"/>
    <w:rsid w:val="003976DB"/>
    <w:rsid w:val="003A1BE8"/>
    <w:rsid w:val="003A3A16"/>
    <w:rsid w:val="003A484F"/>
    <w:rsid w:val="003A6C16"/>
    <w:rsid w:val="003B0BE0"/>
    <w:rsid w:val="003B0C1B"/>
    <w:rsid w:val="003B688C"/>
    <w:rsid w:val="003C0291"/>
    <w:rsid w:val="003C39AE"/>
    <w:rsid w:val="003C74F7"/>
    <w:rsid w:val="003C7B60"/>
    <w:rsid w:val="003D1089"/>
    <w:rsid w:val="003D1FB2"/>
    <w:rsid w:val="003D66DA"/>
    <w:rsid w:val="003E1310"/>
    <w:rsid w:val="003E6F55"/>
    <w:rsid w:val="003F1A19"/>
    <w:rsid w:val="003F5265"/>
    <w:rsid w:val="003F6AE0"/>
    <w:rsid w:val="003F7BEA"/>
    <w:rsid w:val="00406254"/>
    <w:rsid w:val="00407C23"/>
    <w:rsid w:val="00410622"/>
    <w:rsid w:val="00411F0C"/>
    <w:rsid w:val="00412F87"/>
    <w:rsid w:val="0041752C"/>
    <w:rsid w:val="004223DE"/>
    <w:rsid w:val="00434489"/>
    <w:rsid w:val="00437085"/>
    <w:rsid w:val="00440AA8"/>
    <w:rsid w:val="00443880"/>
    <w:rsid w:val="00444D2D"/>
    <w:rsid w:val="004464F4"/>
    <w:rsid w:val="00450FA7"/>
    <w:rsid w:val="00471401"/>
    <w:rsid w:val="00471933"/>
    <w:rsid w:val="00473F31"/>
    <w:rsid w:val="0048263A"/>
    <w:rsid w:val="00487E5D"/>
    <w:rsid w:val="00491EEA"/>
    <w:rsid w:val="004A6989"/>
    <w:rsid w:val="004A711F"/>
    <w:rsid w:val="004A7B69"/>
    <w:rsid w:val="004B199D"/>
    <w:rsid w:val="004B4690"/>
    <w:rsid w:val="004C251A"/>
    <w:rsid w:val="004D0F4A"/>
    <w:rsid w:val="004D2F03"/>
    <w:rsid w:val="004E0A2D"/>
    <w:rsid w:val="004E0ADE"/>
    <w:rsid w:val="004E1C12"/>
    <w:rsid w:val="004E206B"/>
    <w:rsid w:val="004E4D62"/>
    <w:rsid w:val="004E6DF7"/>
    <w:rsid w:val="004F0FBD"/>
    <w:rsid w:val="004F3605"/>
    <w:rsid w:val="004F4C44"/>
    <w:rsid w:val="004F5CC7"/>
    <w:rsid w:val="004F698C"/>
    <w:rsid w:val="00505A47"/>
    <w:rsid w:val="00507C97"/>
    <w:rsid w:val="00510901"/>
    <w:rsid w:val="00512FDA"/>
    <w:rsid w:val="00520DA0"/>
    <w:rsid w:val="00525065"/>
    <w:rsid w:val="00526803"/>
    <w:rsid w:val="005331EE"/>
    <w:rsid w:val="005354B6"/>
    <w:rsid w:val="00543641"/>
    <w:rsid w:val="00544CAB"/>
    <w:rsid w:val="00550D3B"/>
    <w:rsid w:val="00552F41"/>
    <w:rsid w:val="005550A8"/>
    <w:rsid w:val="00561B59"/>
    <w:rsid w:val="0056211F"/>
    <w:rsid w:val="00564E38"/>
    <w:rsid w:val="00565E88"/>
    <w:rsid w:val="005664BB"/>
    <w:rsid w:val="00567A33"/>
    <w:rsid w:val="00567B03"/>
    <w:rsid w:val="005710C4"/>
    <w:rsid w:val="00573B2D"/>
    <w:rsid w:val="0057481D"/>
    <w:rsid w:val="0058486E"/>
    <w:rsid w:val="00586299"/>
    <w:rsid w:val="0059661D"/>
    <w:rsid w:val="005B6409"/>
    <w:rsid w:val="005B6503"/>
    <w:rsid w:val="005B7936"/>
    <w:rsid w:val="005C5299"/>
    <w:rsid w:val="005C7A3C"/>
    <w:rsid w:val="005D0B16"/>
    <w:rsid w:val="005D1C8B"/>
    <w:rsid w:val="005D5CED"/>
    <w:rsid w:val="005E002E"/>
    <w:rsid w:val="005E55FB"/>
    <w:rsid w:val="005F1A4C"/>
    <w:rsid w:val="005F2853"/>
    <w:rsid w:val="005F4913"/>
    <w:rsid w:val="0060212B"/>
    <w:rsid w:val="00604F77"/>
    <w:rsid w:val="00605688"/>
    <w:rsid w:val="006070AF"/>
    <w:rsid w:val="00607E6C"/>
    <w:rsid w:val="006101B1"/>
    <w:rsid w:val="00614E44"/>
    <w:rsid w:val="006159FB"/>
    <w:rsid w:val="00620376"/>
    <w:rsid w:val="00620669"/>
    <w:rsid w:val="00622830"/>
    <w:rsid w:val="0062345F"/>
    <w:rsid w:val="00625214"/>
    <w:rsid w:val="00630AEF"/>
    <w:rsid w:val="006325F8"/>
    <w:rsid w:val="00634C9A"/>
    <w:rsid w:val="0063504E"/>
    <w:rsid w:val="006440E4"/>
    <w:rsid w:val="0064629F"/>
    <w:rsid w:val="00650890"/>
    <w:rsid w:val="00657E6B"/>
    <w:rsid w:val="00662ECC"/>
    <w:rsid w:val="0066343B"/>
    <w:rsid w:val="00664777"/>
    <w:rsid w:val="00665B89"/>
    <w:rsid w:val="00665F4E"/>
    <w:rsid w:val="006748A4"/>
    <w:rsid w:val="00683E73"/>
    <w:rsid w:val="00684B86"/>
    <w:rsid w:val="00686FF4"/>
    <w:rsid w:val="00694129"/>
    <w:rsid w:val="00697B06"/>
    <w:rsid w:val="006A04B6"/>
    <w:rsid w:val="006A16CC"/>
    <w:rsid w:val="006A22CF"/>
    <w:rsid w:val="006A3141"/>
    <w:rsid w:val="006A5E34"/>
    <w:rsid w:val="006B2422"/>
    <w:rsid w:val="006B2B9A"/>
    <w:rsid w:val="006C1937"/>
    <w:rsid w:val="006D3D3C"/>
    <w:rsid w:val="006F020C"/>
    <w:rsid w:val="0070646A"/>
    <w:rsid w:val="007127B7"/>
    <w:rsid w:val="00713F9D"/>
    <w:rsid w:val="00715298"/>
    <w:rsid w:val="0072124B"/>
    <w:rsid w:val="00722928"/>
    <w:rsid w:val="00730723"/>
    <w:rsid w:val="007416B6"/>
    <w:rsid w:val="00741EDC"/>
    <w:rsid w:val="00746F48"/>
    <w:rsid w:val="0075404D"/>
    <w:rsid w:val="00754AE7"/>
    <w:rsid w:val="0076182A"/>
    <w:rsid w:val="007658F5"/>
    <w:rsid w:val="00767B7E"/>
    <w:rsid w:val="00767D3C"/>
    <w:rsid w:val="0077215B"/>
    <w:rsid w:val="007770C3"/>
    <w:rsid w:val="00784D24"/>
    <w:rsid w:val="00785FBA"/>
    <w:rsid w:val="00786E4A"/>
    <w:rsid w:val="007875EB"/>
    <w:rsid w:val="0079426B"/>
    <w:rsid w:val="007B2997"/>
    <w:rsid w:val="007B5BE4"/>
    <w:rsid w:val="007B6110"/>
    <w:rsid w:val="007B69AD"/>
    <w:rsid w:val="007D312A"/>
    <w:rsid w:val="007D3F19"/>
    <w:rsid w:val="007D5E91"/>
    <w:rsid w:val="007E23B0"/>
    <w:rsid w:val="007F1991"/>
    <w:rsid w:val="007F2C2F"/>
    <w:rsid w:val="007F3F79"/>
    <w:rsid w:val="007F55FC"/>
    <w:rsid w:val="007F5665"/>
    <w:rsid w:val="00800112"/>
    <w:rsid w:val="00803550"/>
    <w:rsid w:val="00814EF9"/>
    <w:rsid w:val="00820BAA"/>
    <w:rsid w:val="0082207C"/>
    <w:rsid w:val="008253BB"/>
    <w:rsid w:val="00827670"/>
    <w:rsid w:val="00832938"/>
    <w:rsid w:val="00832DF0"/>
    <w:rsid w:val="0083437F"/>
    <w:rsid w:val="0083706E"/>
    <w:rsid w:val="00837E44"/>
    <w:rsid w:val="008423A5"/>
    <w:rsid w:val="00844027"/>
    <w:rsid w:val="00850625"/>
    <w:rsid w:val="0085190B"/>
    <w:rsid w:val="00853718"/>
    <w:rsid w:val="00855221"/>
    <w:rsid w:val="00860645"/>
    <w:rsid w:val="00861C8D"/>
    <w:rsid w:val="00871F71"/>
    <w:rsid w:val="008757A6"/>
    <w:rsid w:val="00885AF4"/>
    <w:rsid w:val="008867D2"/>
    <w:rsid w:val="008939CD"/>
    <w:rsid w:val="008A132C"/>
    <w:rsid w:val="008A1AC1"/>
    <w:rsid w:val="008A392F"/>
    <w:rsid w:val="008B06FB"/>
    <w:rsid w:val="008B692F"/>
    <w:rsid w:val="008B768C"/>
    <w:rsid w:val="008B7806"/>
    <w:rsid w:val="008C1EE6"/>
    <w:rsid w:val="008C4DB1"/>
    <w:rsid w:val="008C4EAF"/>
    <w:rsid w:val="008C5176"/>
    <w:rsid w:val="008C5405"/>
    <w:rsid w:val="008C7FD0"/>
    <w:rsid w:val="008D5668"/>
    <w:rsid w:val="008D7A89"/>
    <w:rsid w:val="008E17D2"/>
    <w:rsid w:val="008E1DE7"/>
    <w:rsid w:val="008E54D4"/>
    <w:rsid w:val="008E707C"/>
    <w:rsid w:val="008F1716"/>
    <w:rsid w:val="008F5B6C"/>
    <w:rsid w:val="009001CB"/>
    <w:rsid w:val="00900B08"/>
    <w:rsid w:val="00902155"/>
    <w:rsid w:val="00902FA3"/>
    <w:rsid w:val="009221D8"/>
    <w:rsid w:val="00922FB9"/>
    <w:rsid w:val="00923564"/>
    <w:rsid w:val="0092392E"/>
    <w:rsid w:val="00924F95"/>
    <w:rsid w:val="0092650D"/>
    <w:rsid w:val="0092656B"/>
    <w:rsid w:val="00927B4F"/>
    <w:rsid w:val="009315F9"/>
    <w:rsid w:val="0094440F"/>
    <w:rsid w:val="00946945"/>
    <w:rsid w:val="00951248"/>
    <w:rsid w:val="0095152F"/>
    <w:rsid w:val="009538AF"/>
    <w:rsid w:val="00954C49"/>
    <w:rsid w:val="0096256E"/>
    <w:rsid w:val="00963C6F"/>
    <w:rsid w:val="0096476F"/>
    <w:rsid w:val="00967221"/>
    <w:rsid w:val="0097051E"/>
    <w:rsid w:val="0097099F"/>
    <w:rsid w:val="00971997"/>
    <w:rsid w:val="00971FFC"/>
    <w:rsid w:val="00981371"/>
    <w:rsid w:val="00983FB8"/>
    <w:rsid w:val="0098660A"/>
    <w:rsid w:val="00991397"/>
    <w:rsid w:val="00991EEC"/>
    <w:rsid w:val="009931C3"/>
    <w:rsid w:val="00993DA8"/>
    <w:rsid w:val="009A1D5B"/>
    <w:rsid w:val="009B074F"/>
    <w:rsid w:val="009B0CFE"/>
    <w:rsid w:val="009B10F3"/>
    <w:rsid w:val="009B2C43"/>
    <w:rsid w:val="009B4EAE"/>
    <w:rsid w:val="009B7573"/>
    <w:rsid w:val="009C1A16"/>
    <w:rsid w:val="009C22F4"/>
    <w:rsid w:val="009C2E98"/>
    <w:rsid w:val="009D2793"/>
    <w:rsid w:val="009D2DF1"/>
    <w:rsid w:val="009D3447"/>
    <w:rsid w:val="009D3E04"/>
    <w:rsid w:val="009D4711"/>
    <w:rsid w:val="009E3EF7"/>
    <w:rsid w:val="009E66B5"/>
    <w:rsid w:val="009F1185"/>
    <w:rsid w:val="009F18CD"/>
    <w:rsid w:val="009F2A13"/>
    <w:rsid w:val="009F3D68"/>
    <w:rsid w:val="009F5108"/>
    <w:rsid w:val="009F5D90"/>
    <w:rsid w:val="009F66FF"/>
    <w:rsid w:val="00A04EB0"/>
    <w:rsid w:val="00A05F1A"/>
    <w:rsid w:val="00A06C59"/>
    <w:rsid w:val="00A100EA"/>
    <w:rsid w:val="00A105A2"/>
    <w:rsid w:val="00A13CC1"/>
    <w:rsid w:val="00A16676"/>
    <w:rsid w:val="00A16847"/>
    <w:rsid w:val="00A237D8"/>
    <w:rsid w:val="00A237F6"/>
    <w:rsid w:val="00A268C4"/>
    <w:rsid w:val="00A27012"/>
    <w:rsid w:val="00A30457"/>
    <w:rsid w:val="00A307CD"/>
    <w:rsid w:val="00A40A00"/>
    <w:rsid w:val="00A4142F"/>
    <w:rsid w:val="00A56DF2"/>
    <w:rsid w:val="00A57110"/>
    <w:rsid w:val="00A65759"/>
    <w:rsid w:val="00A67AB5"/>
    <w:rsid w:val="00A71DD3"/>
    <w:rsid w:val="00A83662"/>
    <w:rsid w:val="00A84F37"/>
    <w:rsid w:val="00A91760"/>
    <w:rsid w:val="00A93B00"/>
    <w:rsid w:val="00A93C21"/>
    <w:rsid w:val="00A9457F"/>
    <w:rsid w:val="00A97608"/>
    <w:rsid w:val="00AA1C8A"/>
    <w:rsid w:val="00AA2258"/>
    <w:rsid w:val="00AC3C6A"/>
    <w:rsid w:val="00AC7B44"/>
    <w:rsid w:val="00AD0B19"/>
    <w:rsid w:val="00AD21DF"/>
    <w:rsid w:val="00AD5620"/>
    <w:rsid w:val="00AD7C1B"/>
    <w:rsid w:val="00AE16BA"/>
    <w:rsid w:val="00AE1EBE"/>
    <w:rsid w:val="00AE3357"/>
    <w:rsid w:val="00AE49EC"/>
    <w:rsid w:val="00AE7BAC"/>
    <w:rsid w:val="00B03C9D"/>
    <w:rsid w:val="00B05F97"/>
    <w:rsid w:val="00B060AE"/>
    <w:rsid w:val="00B10517"/>
    <w:rsid w:val="00B1289B"/>
    <w:rsid w:val="00B13291"/>
    <w:rsid w:val="00B14E76"/>
    <w:rsid w:val="00B15306"/>
    <w:rsid w:val="00B161B8"/>
    <w:rsid w:val="00B2048C"/>
    <w:rsid w:val="00B21E47"/>
    <w:rsid w:val="00B27C6E"/>
    <w:rsid w:val="00B310B9"/>
    <w:rsid w:val="00B311AD"/>
    <w:rsid w:val="00B32CA0"/>
    <w:rsid w:val="00B35BBD"/>
    <w:rsid w:val="00B35F3F"/>
    <w:rsid w:val="00B36CBB"/>
    <w:rsid w:val="00B425E0"/>
    <w:rsid w:val="00B440AA"/>
    <w:rsid w:val="00B44B70"/>
    <w:rsid w:val="00B44F3C"/>
    <w:rsid w:val="00B455C9"/>
    <w:rsid w:val="00B53597"/>
    <w:rsid w:val="00B53C56"/>
    <w:rsid w:val="00B55296"/>
    <w:rsid w:val="00B568F5"/>
    <w:rsid w:val="00B57504"/>
    <w:rsid w:val="00B76B6A"/>
    <w:rsid w:val="00B77EA6"/>
    <w:rsid w:val="00B81598"/>
    <w:rsid w:val="00B841F1"/>
    <w:rsid w:val="00B944D6"/>
    <w:rsid w:val="00B95834"/>
    <w:rsid w:val="00B97573"/>
    <w:rsid w:val="00BA3D7C"/>
    <w:rsid w:val="00BB0006"/>
    <w:rsid w:val="00BB15EB"/>
    <w:rsid w:val="00BB1C4F"/>
    <w:rsid w:val="00BB32A8"/>
    <w:rsid w:val="00BB4DF0"/>
    <w:rsid w:val="00BC289F"/>
    <w:rsid w:val="00BC5361"/>
    <w:rsid w:val="00BC5460"/>
    <w:rsid w:val="00BC6B50"/>
    <w:rsid w:val="00BD0E25"/>
    <w:rsid w:val="00BD4CFF"/>
    <w:rsid w:val="00BD4EDB"/>
    <w:rsid w:val="00BE4722"/>
    <w:rsid w:val="00BE6A23"/>
    <w:rsid w:val="00BF27F4"/>
    <w:rsid w:val="00BF5BD6"/>
    <w:rsid w:val="00BF6058"/>
    <w:rsid w:val="00BF7B8C"/>
    <w:rsid w:val="00BF7FDC"/>
    <w:rsid w:val="00C008C0"/>
    <w:rsid w:val="00C03C50"/>
    <w:rsid w:val="00C03E31"/>
    <w:rsid w:val="00C1083F"/>
    <w:rsid w:val="00C11A9C"/>
    <w:rsid w:val="00C1313E"/>
    <w:rsid w:val="00C15276"/>
    <w:rsid w:val="00C17584"/>
    <w:rsid w:val="00C264F9"/>
    <w:rsid w:val="00C33E72"/>
    <w:rsid w:val="00C354B2"/>
    <w:rsid w:val="00C35554"/>
    <w:rsid w:val="00C42709"/>
    <w:rsid w:val="00C474DF"/>
    <w:rsid w:val="00C50D88"/>
    <w:rsid w:val="00C533CC"/>
    <w:rsid w:val="00C539D8"/>
    <w:rsid w:val="00C55997"/>
    <w:rsid w:val="00C5751C"/>
    <w:rsid w:val="00C606D3"/>
    <w:rsid w:val="00C61BFC"/>
    <w:rsid w:val="00C62135"/>
    <w:rsid w:val="00C62B85"/>
    <w:rsid w:val="00C6370C"/>
    <w:rsid w:val="00C65438"/>
    <w:rsid w:val="00C81754"/>
    <w:rsid w:val="00C81FF7"/>
    <w:rsid w:val="00C91CBB"/>
    <w:rsid w:val="00C925D5"/>
    <w:rsid w:val="00C948BF"/>
    <w:rsid w:val="00CC008F"/>
    <w:rsid w:val="00CC0733"/>
    <w:rsid w:val="00CC09B6"/>
    <w:rsid w:val="00CC17C2"/>
    <w:rsid w:val="00CC666F"/>
    <w:rsid w:val="00CD1E3F"/>
    <w:rsid w:val="00CD22C1"/>
    <w:rsid w:val="00CD58C4"/>
    <w:rsid w:val="00CE3AB5"/>
    <w:rsid w:val="00CE4332"/>
    <w:rsid w:val="00CE44F6"/>
    <w:rsid w:val="00CE49DA"/>
    <w:rsid w:val="00CE7B61"/>
    <w:rsid w:val="00CF54F5"/>
    <w:rsid w:val="00CF6FF9"/>
    <w:rsid w:val="00D00095"/>
    <w:rsid w:val="00D20620"/>
    <w:rsid w:val="00D26091"/>
    <w:rsid w:val="00D327B4"/>
    <w:rsid w:val="00D34E7C"/>
    <w:rsid w:val="00D35489"/>
    <w:rsid w:val="00D35D82"/>
    <w:rsid w:val="00D51276"/>
    <w:rsid w:val="00D56140"/>
    <w:rsid w:val="00D60B0B"/>
    <w:rsid w:val="00D63B32"/>
    <w:rsid w:val="00D7035F"/>
    <w:rsid w:val="00D73323"/>
    <w:rsid w:val="00D7791E"/>
    <w:rsid w:val="00DA3773"/>
    <w:rsid w:val="00DA65AC"/>
    <w:rsid w:val="00DB0F51"/>
    <w:rsid w:val="00DB1913"/>
    <w:rsid w:val="00DB25A7"/>
    <w:rsid w:val="00DB66E6"/>
    <w:rsid w:val="00DC0418"/>
    <w:rsid w:val="00DC410D"/>
    <w:rsid w:val="00DC68CA"/>
    <w:rsid w:val="00DC7CBA"/>
    <w:rsid w:val="00DD05D2"/>
    <w:rsid w:val="00DD41B0"/>
    <w:rsid w:val="00DD466B"/>
    <w:rsid w:val="00DD73B7"/>
    <w:rsid w:val="00DE2555"/>
    <w:rsid w:val="00DF28BC"/>
    <w:rsid w:val="00DF34B9"/>
    <w:rsid w:val="00E01053"/>
    <w:rsid w:val="00E027C4"/>
    <w:rsid w:val="00E032A1"/>
    <w:rsid w:val="00E067CD"/>
    <w:rsid w:val="00E0769D"/>
    <w:rsid w:val="00E07ACF"/>
    <w:rsid w:val="00E14B5C"/>
    <w:rsid w:val="00E20063"/>
    <w:rsid w:val="00E24B17"/>
    <w:rsid w:val="00E30228"/>
    <w:rsid w:val="00E331A1"/>
    <w:rsid w:val="00E33202"/>
    <w:rsid w:val="00E336A9"/>
    <w:rsid w:val="00E40ECC"/>
    <w:rsid w:val="00E453D0"/>
    <w:rsid w:val="00E47EAF"/>
    <w:rsid w:val="00E50624"/>
    <w:rsid w:val="00E568DF"/>
    <w:rsid w:val="00E63CF8"/>
    <w:rsid w:val="00E64269"/>
    <w:rsid w:val="00E737DF"/>
    <w:rsid w:val="00E74611"/>
    <w:rsid w:val="00E7689D"/>
    <w:rsid w:val="00E82267"/>
    <w:rsid w:val="00E874D3"/>
    <w:rsid w:val="00E92E27"/>
    <w:rsid w:val="00E93054"/>
    <w:rsid w:val="00E93067"/>
    <w:rsid w:val="00EA010F"/>
    <w:rsid w:val="00EA03EF"/>
    <w:rsid w:val="00EA5C5E"/>
    <w:rsid w:val="00EB488E"/>
    <w:rsid w:val="00EB77B9"/>
    <w:rsid w:val="00EC308A"/>
    <w:rsid w:val="00ED1B63"/>
    <w:rsid w:val="00ED3C1F"/>
    <w:rsid w:val="00ED4085"/>
    <w:rsid w:val="00ED420E"/>
    <w:rsid w:val="00EE2F57"/>
    <w:rsid w:val="00EF42B3"/>
    <w:rsid w:val="00EF4C34"/>
    <w:rsid w:val="00EF6305"/>
    <w:rsid w:val="00EF77C6"/>
    <w:rsid w:val="00EF7B4B"/>
    <w:rsid w:val="00F05214"/>
    <w:rsid w:val="00F05438"/>
    <w:rsid w:val="00F12C74"/>
    <w:rsid w:val="00F1361C"/>
    <w:rsid w:val="00F160C7"/>
    <w:rsid w:val="00F16BA7"/>
    <w:rsid w:val="00F173F6"/>
    <w:rsid w:val="00F17EAB"/>
    <w:rsid w:val="00F23E15"/>
    <w:rsid w:val="00F30839"/>
    <w:rsid w:val="00F30F2A"/>
    <w:rsid w:val="00F34AF5"/>
    <w:rsid w:val="00F3645E"/>
    <w:rsid w:val="00F36D8F"/>
    <w:rsid w:val="00F40458"/>
    <w:rsid w:val="00F417B1"/>
    <w:rsid w:val="00F503CF"/>
    <w:rsid w:val="00F602DF"/>
    <w:rsid w:val="00F72991"/>
    <w:rsid w:val="00F80CFE"/>
    <w:rsid w:val="00F81FD9"/>
    <w:rsid w:val="00F841AA"/>
    <w:rsid w:val="00F92C0B"/>
    <w:rsid w:val="00F9732B"/>
    <w:rsid w:val="00F97EA6"/>
    <w:rsid w:val="00FA23E8"/>
    <w:rsid w:val="00FA6297"/>
    <w:rsid w:val="00FB2EB7"/>
    <w:rsid w:val="00FB4A5C"/>
    <w:rsid w:val="00FC0061"/>
    <w:rsid w:val="00FC39AE"/>
    <w:rsid w:val="00FD3CC1"/>
    <w:rsid w:val="00FD3ED2"/>
    <w:rsid w:val="00FF1E02"/>
    <w:rsid w:val="00FF28A6"/>
    <w:rsid w:val="00FF30B4"/>
    <w:rsid w:val="00FF3CD7"/>
    <w:rsid w:val="10C055FF"/>
    <w:rsid w:val="14A60EA2"/>
    <w:rsid w:val="16BB723D"/>
    <w:rsid w:val="240371BF"/>
    <w:rsid w:val="29FD04D3"/>
    <w:rsid w:val="2F750F67"/>
    <w:rsid w:val="319F7F4E"/>
    <w:rsid w:val="44020D16"/>
    <w:rsid w:val="5AE2785C"/>
    <w:rsid w:val="74B93AED"/>
    <w:rsid w:val="7FDF4D1E"/>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24"/>
      <w:szCs w:val="20"/>
    </w:rPr>
  </w:style>
  <w:style w:type="paragraph" w:styleId="6">
    <w:name w:val="toc 3"/>
    <w:basedOn w:val="1"/>
    <w:next w:val="1"/>
    <w:qFormat/>
    <w:uiPriority w:val="99"/>
    <w:pPr>
      <w:tabs>
        <w:tab w:val="right" w:leader="dot" w:pos="8296"/>
      </w:tabs>
      <w:ind w:left="840" w:leftChars="400"/>
    </w:pPr>
  </w:style>
  <w:style w:type="paragraph" w:styleId="7">
    <w:name w:val="Balloon Text"/>
    <w:basedOn w:val="1"/>
    <w:link w:val="28"/>
    <w:semiHidden/>
    <w:qFormat/>
    <w:uiPriority w:val="99"/>
    <w:rPr>
      <w:sz w:val="18"/>
      <w:szCs w:val="18"/>
    </w:rPr>
  </w:style>
  <w:style w:type="paragraph" w:styleId="8">
    <w:name w:val="footer"/>
    <w:basedOn w:val="1"/>
    <w:link w:val="23"/>
    <w:qFormat/>
    <w:uiPriority w:val="99"/>
    <w:pPr>
      <w:tabs>
        <w:tab w:val="center" w:pos="4153"/>
        <w:tab w:val="right" w:pos="8306"/>
      </w:tabs>
      <w:snapToGrid w:val="0"/>
      <w:jc w:val="left"/>
    </w:pPr>
    <w:rPr>
      <w:rFonts w:ascii="Calibri" w:hAnsi="Calibri"/>
      <w:kern w:val="0"/>
      <w:sz w:val="18"/>
      <w:szCs w:val="20"/>
    </w:rPr>
  </w:style>
  <w:style w:type="paragraph" w:styleId="9">
    <w:name w:val="header"/>
    <w:basedOn w:val="1"/>
    <w:link w:val="2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rFonts w:ascii="Calibri" w:hAnsi="Calibri"/>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character" w:styleId="14">
    <w:name w:val="Strong"/>
    <w:qFormat/>
    <w:uiPriority w:val="99"/>
    <w:rPr>
      <w:rFonts w:cs="Times New Roman"/>
      <w:b/>
    </w:rPr>
  </w:style>
  <w:style w:type="character" w:styleId="15">
    <w:name w:val="Hyperlink"/>
    <w:qFormat/>
    <w:uiPriority w:val="0"/>
    <w:rPr>
      <w:rFonts w:cs="Times New Roman"/>
      <w:color w:val="0000FF"/>
      <w:u w:val="single"/>
    </w:rPr>
  </w:style>
  <w:style w:type="character" w:customStyle="1" w:styleId="16">
    <w:name w:val="标题 1 Char"/>
    <w:link w:val="2"/>
    <w:qFormat/>
    <w:locked/>
    <w:uiPriority w:val="99"/>
    <w:rPr>
      <w:rFonts w:ascii="Times New Roman" w:hAnsi="Times New Roman" w:cs="Times New Roman"/>
      <w:b/>
      <w:bCs/>
      <w:kern w:val="44"/>
      <w:sz w:val="44"/>
      <w:szCs w:val="44"/>
    </w:rPr>
  </w:style>
  <w:style w:type="character" w:customStyle="1" w:styleId="17">
    <w:name w:val="标题 2 Char"/>
    <w:link w:val="3"/>
    <w:qFormat/>
    <w:locked/>
    <w:uiPriority w:val="99"/>
    <w:rPr>
      <w:rFonts w:ascii="Cambria" w:hAnsi="Cambria" w:eastAsia="宋体" w:cs="Times New Roman"/>
      <w:b/>
      <w:bCs/>
      <w:kern w:val="2"/>
      <w:sz w:val="32"/>
      <w:szCs w:val="32"/>
    </w:rPr>
  </w:style>
  <w:style w:type="character" w:customStyle="1" w:styleId="18">
    <w:name w:val="标题 3 Char"/>
    <w:link w:val="4"/>
    <w:qFormat/>
    <w:locked/>
    <w:uiPriority w:val="99"/>
    <w:rPr>
      <w:rFonts w:ascii="Times New Roman" w:hAnsi="Times New Roman" w:cs="Times New Roman"/>
      <w:b/>
      <w:bCs/>
      <w:kern w:val="2"/>
      <w:sz w:val="32"/>
      <w:szCs w:val="32"/>
    </w:rPr>
  </w:style>
  <w:style w:type="character" w:customStyle="1" w:styleId="19">
    <w:name w:val="Body Text Char"/>
    <w:semiHidden/>
    <w:qFormat/>
    <w:locked/>
    <w:uiPriority w:val="99"/>
    <w:rPr>
      <w:rFonts w:ascii="Times New Roman" w:hAnsi="Times New Roman" w:cs="Times New Roman"/>
      <w:sz w:val="24"/>
      <w:szCs w:val="24"/>
    </w:rPr>
  </w:style>
  <w:style w:type="character" w:customStyle="1" w:styleId="20">
    <w:name w:val="Footer Char"/>
    <w:semiHidden/>
    <w:qFormat/>
    <w:locked/>
    <w:uiPriority w:val="99"/>
    <w:rPr>
      <w:rFonts w:ascii="Times New Roman" w:hAnsi="Times New Roman" w:cs="Times New Roman"/>
      <w:sz w:val="18"/>
      <w:szCs w:val="18"/>
    </w:rPr>
  </w:style>
  <w:style w:type="character" w:customStyle="1" w:styleId="21">
    <w:name w:val="Header Char"/>
    <w:semiHidden/>
    <w:qFormat/>
    <w:locked/>
    <w:uiPriority w:val="99"/>
    <w:rPr>
      <w:rFonts w:ascii="Times New Roman" w:hAnsi="Times New Roman" w:cs="Times New Roman"/>
      <w:sz w:val="18"/>
      <w:szCs w:val="18"/>
    </w:rPr>
  </w:style>
  <w:style w:type="character" w:customStyle="1" w:styleId="22">
    <w:name w:val="页眉 Char"/>
    <w:link w:val="9"/>
    <w:semiHidden/>
    <w:qFormat/>
    <w:locked/>
    <w:uiPriority w:val="99"/>
    <w:rPr>
      <w:rFonts w:eastAsia="宋体"/>
      <w:sz w:val="18"/>
    </w:rPr>
  </w:style>
  <w:style w:type="character" w:customStyle="1" w:styleId="23">
    <w:name w:val="页脚 Char"/>
    <w:link w:val="8"/>
    <w:qFormat/>
    <w:locked/>
    <w:uiPriority w:val="99"/>
    <w:rPr>
      <w:sz w:val="18"/>
    </w:rPr>
  </w:style>
  <w:style w:type="character" w:customStyle="1" w:styleId="24">
    <w:name w:val="正文文本 Char"/>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99"/>
    <w:pPr>
      <w:ind w:firstLine="420" w:firstLineChars="200"/>
    </w:pPr>
  </w:style>
  <w:style w:type="paragraph" w:customStyle="1" w:styleId="27">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28">
    <w:name w:val="批注框文本 Char"/>
    <w:link w:val="7"/>
    <w:semiHidden/>
    <w:qFormat/>
    <w:locked/>
    <w:uiPriority w:val="99"/>
    <w:rPr>
      <w:rFonts w:ascii="Times New Roman" w:hAnsi="Times New Roman" w:cs="Times New Roman"/>
      <w:kern w:val="2"/>
      <w:sz w:val="18"/>
      <w:szCs w:val="18"/>
    </w:rPr>
  </w:style>
  <w:style w:type="paragraph" w:customStyle="1" w:styleId="29">
    <w:name w:val="Char"/>
    <w:basedOn w:val="1"/>
    <w:qFormat/>
    <w:uiPriority w:val="99"/>
    <w:pPr>
      <w:widowControl/>
      <w:spacing w:after="160" w:line="240" w:lineRule="exact"/>
      <w:jc w:val="left"/>
    </w:pPr>
    <w:rPr>
      <w:rFonts w:ascii="Arial" w:hAnsi="Arial" w:cs="Verdana"/>
      <w:b/>
      <w:kern w:val="0"/>
      <w:sz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8.emf"/><Relationship Id="rId21" Type="http://schemas.openxmlformats.org/officeDocument/2006/relationships/oleObject" Target="embeddings/oleObject8.bin"/><Relationship Id="rId20" Type="http://schemas.openxmlformats.org/officeDocument/2006/relationships/image" Target="media/image7.emf"/><Relationship Id="rId2" Type="http://schemas.openxmlformats.org/officeDocument/2006/relationships/settings" Target="settings.xml"/><Relationship Id="rId19" Type="http://schemas.openxmlformats.org/officeDocument/2006/relationships/oleObject" Target="embeddings/oleObject7.bin"/><Relationship Id="rId18" Type="http://schemas.openxmlformats.org/officeDocument/2006/relationships/image" Target="media/image6.emf"/><Relationship Id="rId17" Type="http://schemas.openxmlformats.org/officeDocument/2006/relationships/oleObject" Target="embeddings/oleObject6.bin"/><Relationship Id="rId16" Type="http://schemas.openxmlformats.org/officeDocument/2006/relationships/image" Target="media/image5.emf"/><Relationship Id="rId15" Type="http://schemas.openxmlformats.org/officeDocument/2006/relationships/oleObject" Target="embeddings/oleObject5.bin"/><Relationship Id="rId14" Type="http://schemas.openxmlformats.org/officeDocument/2006/relationships/image" Target="media/image4.emf"/><Relationship Id="rId13" Type="http://schemas.openxmlformats.org/officeDocument/2006/relationships/oleObject" Target="embeddings/oleObject4.bin"/><Relationship Id="rId12" Type="http://schemas.openxmlformats.org/officeDocument/2006/relationships/image" Target="media/image3.emf"/><Relationship Id="rId11" Type="http://schemas.openxmlformats.org/officeDocument/2006/relationships/oleObject" Target="embeddings/oleObject3.bin"/><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6"/>
    <customShpInfo spid="_x0000_s2057"/>
    <customShpInfo spid="_x0000_s1026"/>
    <customShpInfo spid="_x0000_s1027"/>
    <customShpInfo spid="_x0000_s1038"/>
    <customShpInfo spid="_x0000_s1031"/>
    <customShpInfo spid="_x0000_s1032"/>
    <customShpInfo spid="_x0000_s1033"/>
    <customShpInfo spid="_x0000_s1041"/>
    <customShpInfo spid="_x0000_s1034"/>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E21C23-0256-4995-A3FE-97C412490E96}">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37</Pages>
  <Words>13995</Words>
  <Characters>15340</Characters>
  <Lines>122</Lines>
  <Paragraphs>34</Paragraphs>
  <TotalTime>5</TotalTime>
  <ScaleCrop>false</ScaleCrop>
  <LinksUpToDate>false</LinksUpToDate>
  <CharactersWithSpaces>15445</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 回甘</cp:lastModifiedBy>
  <cp:lastPrinted>2021-10-20T09:14:00Z</cp:lastPrinted>
  <dcterms:modified xsi:type="dcterms:W3CDTF">2026-08-20T16:13:22Z</dcterms:modified>
  <dc:title>四川省***</dc:title>
  <cp:revision>219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4114AD72C6FF413FBA1BECDA9B85FAAB</vt:lpwstr>
  </property>
</Properties>
</file>