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97FA5D">
      <w:pPr>
        <w:spacing w:line="600" w:lineRule="exact"/>
        <w:jc w:val="center"/>
        <w:outlineLvl w:val="0"/>
        <w:rPr>
          <w:rFonts w:ascii="方正小标宋简体" w:hAnsi="宋体" w:eastAsia="方正小标宋简体"/>
          <w:color w:val="000000"/>
          <w:sz w:val="72"/>
          <w:szCs w:val="72"/>
        </w:rPr>
      </w:pPr>
      <w:bookmarkStart w:id="67" w:name="_GoBack"/>
      <w:bookmarkEnd w:id="67"/>
      <w:bookmarkStart w:id="0" w:name="_Toc15306267"/>
    </w:p>
    <w:p w14:paraId="4C2778CE">
      <w:pPr>
        <w:spacing w:line="600" w:lineRule="exact"/>
        <w:jc w:val="center"/>
        <w:outlineLvl w:val="0"/>
        <w:rPr>
          <w:rFonts w:ascii="方正小标宋简体" w:hAnsi="宋体" w:eastAsia="方正小标宋简体"/>
          <w:color w:val="000000"/>
          <w:sz w:val="72"/>
          <w:szCs w:val="72"/>
        </w:rPr>
      </w:pPr>
    </w:p>
    <w:p w14:paraId="074FCD1F">
      <w:pPr>
        <w:spacing w:line="600" w:lineRule="exact"/>
        <w:jc w:val="center"/>
        <w:outlineLvl w:val="0"/>
        <w:rPr>
          <w:rFonts w:ascii="方正小标宋简体" w:hAnsi="宋体" w:eastAsia="方正小标宋简体"/>
          <w:color w:val="000000"/>
          <w:sz w:val="72"/>
          <w:szCs w:val="72"/>
        </w:rPr>
      </w:pPr>
    </w:p>
    <w:p w14:paraId="46235DE3">
      <w:pPr>
        <w:spacing w:line="600" w:lineRule="exact"/>
        <w:jc w:val="center"/>
        <w:outlineLvl w:val="0"/>
        <w:rPr>
          <w:rFonts w:ascii="方正小标宋简体" w:hAnsi="宋体" w:eastAsia="方正小标宋简体"/>
          <w:color w:val="000000"/>
          <w:sz w:val="72"/>
          <w:szCs w:val="72"/>
        </w:rPr>
      </w:pPr>
    </w:p>
    <w:bookmarkEnd w:id="0"/>
    <w:p w14:paraId="3B754A62">
      <w:pPr>
        <w:adjustRightInd w:val="0"/>
        <w:snapToGrid w:val="0"/>
        <w:spacing w:line="1040" w:lineRule="exact"/>
        <w:jc w:val="center"/>
        <w:outlineLvl w:val="0"/>
        <w:rPr>
          <w:rFonts w:ascii="方正小标宋简体" w:hAnsi="宋体" w:eastAsia="方正小标宋简体"/>
          <w:color w:val="000000"/>
          <w:sz w:val="72"/>
          <w:szCs w:val="72"/>
        </w:rPr>
      </w:pPr>
      <w:bookmarkStart w:id="1" w:name="_Toc15396597"/>
      <w:bookmarkStart w:id="2" w:name="_Toc15377193"/>
      <w:bookmarkStart w:id="3" w:name="_Toc15396475"/>
      <w:bookmarkStart w:id="4" w:name="_Toc15378441"/>
      <w:bookmarkStart w:id="5" w:name="_Toc15377425"/>
      <w:r>
        <w:rPr>
          <w:rFonts w:eastAsia="黑体"/>
          <w:color w:val="000000"/>
          <w:sz w:val="72"/>
          <w:szCs w:val="72"/>
        </w:rPr>
        <w:t>2020</w:t>
      </w:r>
      <w:r>
        <w:rPr>
          <w:rFonts w:hint="eastAsia" w:ascii="方正小标宋简体" w:hAnsi="宋体" w:eastAsia="方正小标宋简体"/>
          <w:color w:val="000000"/>
          <w:sz w:val="72"/>
          <w:szCs w:val="72"/>
        </w:rPr>
        <w:t>年度</w:t>
      </w:r>
      <w:bookmarkEnd w:id="1"/>
      <w:bookmarkEnd w:id="2"/>
      <w:bookmarkEnd w:id="3"/>
      <w:bookmarkEnd w:id="4"/>
      <w:bookmarkEnd w:id="5"/>
    </w:p>
    <w:p w14:paraId="714816AF">
      <w:pPr>
        <w:adjustRightInd w:val="0"/>
        <w:snapToGrid w:val="0"/>
        <w:spacing w:line="1040" w:lineRule="exact"/>
        <w:jc w:val="center"/>
        <w:outlineLvl w:val="0"/>
        <w:rPr>
          <w:rFonts w:ascii="方正小标宋简体" w:hAnsi="宋体" w:eastAsia="方正小标宋简体"/>
          <w:color w:val="000000"/>
          <w:sz w:val="72"/>
          <w:szCs w:val="72"/>
        </w:rPr>
      </w:pPr>
      <w:bookmarkStart w:id="6" w:name="_Toc15378442"/>
      <w:bookmarkStart w:id="7" w:name="_Toc15396476"/>
      <w:bookmarkStart w:id="8" w:name="_Toc15377426"/>
      <w:bookmarkStart w:id="9" w:name="_Toc15396598"/>
      <w:bookmarkStart w:id="10" w:name="_Toc15377194"/>
      <w:r>
        <w:rPr>
          <w:rFonts w:hint="eastAsia" w:ascii="方正小标宋简体" w:hAnsi="宋体" w:eastAsia="方正小标宋简体"/>
          <w:color w:val="000000"/>
          <w:sz w:val="72"/>
          <w:szCs w:val="72"/>
        </w:rPr>
        <w:t>四川省米易县</w:t>
      </w:r>
      <w:bookmarkStart w:id="11" w:name="_Toc15306268"/>
      <w:r>
        <w:rPr>
          <w:rFonts w:hint="eastAsia" w:ascii="方正小标宋简体" w:hAnsi="宋体" w:eastAsia="方正小标宋简体"/>
          <w:color w:val="000000"/>
          <w:sz w:val="72"/>
          <w:szCs w:val="72"/>
        </w:rPr>
        <w:t>医疗保障局部门决算</w:t>
      </w:r>
      <w:bookmarkEnd w:id="6"/>
      <w:bookmarkEnd w:id="7"/>
      <w:bookmarkEnd w:id="8"/>
      <w:bookmarkEnd w:id="9"/>
      <w:bookmarkEnd w:id="10"/>
      <w:bookmarkEnd w:id="11"/>
      <w:r>
        <w:rPr>
          <w:rFonts w:hint="eastAsia" w:ascii="方正小标宋简体" w:hAnsi="宋体" w:eastAsia="方正小标宋简体"/>
          <w:color w:val="000000"/>
          <w:sz w:val="72"/>
          <w:szCs w:val="72"/>
        </w:rPr>
        <w:t>编制说明</w:t>
      </w:r>
    </w:p>
    <w:p w14:paraId="296D78B4">
      <w:pPr>
        <w:adjustRightInd w:val="0"/>
        <w:snapToGrid w:val="0"/>
        <w:spacing w:line="360" w:lineRule="auto"/>
        <w:jc w:val="center"/>
        <w:outlineLvl w:val="0"/>
        <w:rPr>
          <w:rFonts w:ascii="方正小标宋简体" w:hAnsi="宋体" w:eastAsia="方正小标宋简体"/>
          <w:color w:val="000000"/>
          <w:sz w:val="52"/>
          <w:szCs w:val="52"/>
        </w:rPr>
      </w:pPr>
    </w:p>
    <w:p w14:paraId="0148CE5D">
      <w:pPr>
        <w:widowControl/>
        <w:jc w:val="center"/>
        <w:rPr>
          <w:rFonts w:ascii="黑体" w:hAnsi="黑体" w:eastAsia="黑体"/>
          <w:color w:val="000000"/>
          <w:sz w:val="48"/>
          <w:szCs w:val="48"/>
        </w:rPr>
      </w:pPr>
      <w:r>
        <w:rPr>
          <w:rFonts w:ascii="方正小标宋简体" w:hAnsi="宋体" w:eastAsia="方正小标宋简体"/>
          <w:color w:val="000000"/>
          <w:sz w:val="36"/>
          <w:szCs w:val="36"/>
        </w:rPr>
        <w:br w:type="page"/>
      </w:r>
      <w:r>
        <w:rPr>
          <w:rFonts w:hint="eastAsia" w:ascii="黑体" w:hAnsi="黑体" w:eastAsia="黑体"/>
          <w:color w:val="000000"/>
          <w:sz w:val="48"/>
          <w:szCs w:val="48"/>
        </w:rPr>
        <w:t>目录</w:t>
      </w:r>
    </w:p>
    <w:p w14:paraId="4AFDA9AA">
      <w:pPr>
        <w:widowControl/>
        <w:jc w:val="center"/>
        <w:rPr>
          <w:rFonts w:ascii="黑体" w:hAnsi="黑体" w:eastAsia="黑体" w:cstheme="minorBidi"/>
          <w:sz w:val="28"/>
          <w:szCs w:val="28"/>
        </w:rPr>
      </w:pPr>
    </w:p>
    <w:p w14:paraId="50731E6E">
      <w:pPr>
        <w:pStyle w:val="11"/>
      </w:pPr>
      <w:r>
        <w:rPr>
          <w:rFonts w:hint="eastAsia"/>
        </w:rPr>
        <w:t>公开时间：2021年10月26日</w:t>
      </w:r>
    </w:p>
    <w:p w14:paraId="59B4D36B"/>
    <w:p w14:paraId="39F2DFE4">
      <w:pPr>
        <w:pStyle w:val="11"/>
        <w:spacing w:before="0" w:line="560" w:lineRule="exact"/>
        <w:jc w:val="left"/>
        <w:rPr>
          <w:rFonts w:asciiTheme="minorEastAsia" w:hAnsiTheme="minorEastAsia" w:eastAsiaTheme="minorEastAsia" w:cstheme="minorBidi"/>
          <w:b/>
          <w:sz w:val="24"/>
          <w:szCs w:val="24"/>
        </w:rPr>
      </w:pPr>
      <w:r>
        <w:rPr>
          <w:rFonts w:hint="eastAsia" w:asciiTheme="minorEastAsia" w:hAnsiTheme="minorEastAsia" w:eastAsiaTheme="minorEastAsia"/>
          <w:b/>
          <w:sz w:val="24"/>
          <w:szCs w:val="24"/>
        </w:rPr>
        <w:t>第一部分 部门概况</w:t>
      </w:r>
    </w:p>
    <w:p w14:paraId="32D95EDF">
      <w:pPr>
        <w:pStyle w:val="12"/>
        <w:spacing w:line="560" w:lineRule="exact"/>
        <w:jc w:val="left"/>
        <w:rPr>
          <w:rFonts w:ascii="仿宋" w:hAnsi="仿宋" w:eastAsia="仿宋"/>
          <w:sz w:val="24"/>
        </w:rPr>
      </w:pPr>
      <w:r>
        <w:rPr>
          <w:rFonts w:hint="eastAsia"/>
          <w:sz w:val="24"/>
        </w:rPr>
        <w:t>一、基本职能及主要工作</w:t>
      </w:r>
      <w:r>
        <w:rPr>
          <w:sz w:val="24"/>
        </w:rPr>
        <w:t>………………………………………………</w:t>
      </w:r>
      <w:r>
        <w:rPr>
          <w:rFonts w:hint="eastAsia"/>
          <w:sz w:val="24"/>
        </w:rPr>
        <w:t>.4</w:t>
      </w:r>
    </w:p>
    <w:p w14:paraId="55BC5A93">
      <w:pPr>
        <w:pStyle w:val="12"/>
        <w:spacing w:line="560" w:lineRule="exact"/>
        <w:ind w:left="0" w:leftChars="0" w:firstLine="480" w:firstLineChars="200"/>
        <w:jc w:val="left"/>
      </w:pPr>
      <w:r>
        <w:rPr>
          <w:rFonts w:hint="eastAsia"/>
          <w:sz w:val="24"/>
        </w:rPr>
        <w:t>二、机构设置</w:t>
      </w:r>
      <w:r>
        <w:rPr>
          <w:sz w:val="24"/>
        </w:rPr>
        <w:t>……………………………………………………………</w:t>
      </w:r>
      <w:r>
        <w:rPr>
          <w:rFonts w:hint="eastAsia"/>
          <w:sz w:val="24"/>
        </w:rPr>
        <w:t>11</w:t>
      </w:r>
    </w:p>
    <w:p w14:paraId="666EF5F0">
      <w:pPr>
        <w:pStyle w:val="11"/>
        <w:spacing w:before="0" w:line="560" w:lineRule="exact"/>
        <w:jc w:val="left"/>
        <w:rPr>
          <w:rFonts w:asciiTheme="minorEastAsia" w:hAnsiTheme="minorEastAsia" w:eastAsiaTheme="minorEastAsia"/>
          <w:sz w:val="24"/>
          <w:szCs w:val="24"/>
        </w:rPr>
      </w:pPr>
      <w:r>
        <w:rPr>
          <w:rFonts w:hint="eastAsia" w:asciiTheme="minorEastAsia" w:hAnsiTheme="minorEastAsia" w:eastAsiaTheme="minorEastAsia"/>
          <w:b/>
          <w:sz w:val="24"/>
          <w:szCs w:val="24"/>
        </w:rPr>
        <w:t>第二部分2020年度部门决算情况说明</w:t>
      </w:r>
      <w:r>
        <w:rPr>
          <w:sz w:val="24"/>
        </w:rPr>
        <w:t>……………………………………</w:t>
      </w:r>
      <w:r>
        <w:rPr>
          <w:rFonts w:hint="eastAsia"/>
          <w:sz w:val="24"/>
        </w:rPr>
        <w:t>12</w:t>
      </w:r>
    </w:p>
    <w:p w14:paraId="25B3BB96">
      <w:pPr>
        <w:pStyle w:val="12"/>
        <w:spacing w:line="560" w:lineRule="exact"/>
        <w:jc w:val="left"/>
        <w:rPr>
          <w:rFonts w:ascii="仿宋" w:hAnsi="仿宋" w:eastAsia="仿宋" w:cstheme="minorBidi"/>
          <w:sz w:val="24"/>
        </w:rPr>
      </w:pPr>
      <w:r>
        <w:rPr>
          <w:rFonts w:hint="eastAsia"/>
          <w:sz w:val="24"/>
        </w:rPr>
        <w:t>一、收入支出决算总体情况说明</w:t>
      </w:r>
      <w:r>
        <w:rPr>
          <w:sz w:val="24"/>
        </w:rPr>
        <w:t>………………………………………</w:t>
      </w:r>
      <w:r>
        <w:rPr>
          <w:rFonts w:hint="eastAsia"/>
          <w:sz w:val="24"/>
        </w:rPr>
        <w:t>.12</w:t>
      </w:r>
    </w:p>
    <w:p w14:paraId="1F995B5A">
      <w:pPr>
        <w:pStyle w:val="12"/>
        <w:spacing w:line="560" w:lineRule="exact"/>
        <w:jc w:val="left"/>
        <w:rPr>
          <w:rFonts w:ascii="仿宋" w:hAnsi="仿宋" w:eastAsia="仿宋" w:cstheme="minorBidi"/>
          <w:sz w:val="24"/>
        </w:rPr>
      </w:pPr>
      <w:r>
        <w:rPr>
          <w:rFonts w:hint="eastAsia"/>
          <w:sz w:val="24"/>
        </w:rPr>
        <w:t>二、收入决算情况说明</w:t>
      </w:r>
      <w:r>
        <w:rPr>
          <w:sz w:val="24"/>
        </w:rPr>
        <w:t>………………………………………………</w:t>
      </w:r>
      <w:r>
        <w:rPr>
          <w:rFonts w:hint="eastAsia"/>
          <w:sz w:val="24"/>
        </w:rPr>
        <w:t>.</w:t>
      </w:r>
      <w:r>
        <w:rPr>
          <w:sz w:val="24"/>
        </w:rPr>
        <w:t>…</w:t>
      </w:r>
      <w:r>
        <w:rPr>
          <w:rFonts w:hint="eastAsia"/>
          <w:sz w:val="24"/>
        </w:rPr>
        <w:t>12</w:t>
      </w:r>
    </w:p>
    <w:p w14:paraId="23830E0A">
      <w:pPr>
        <w:pStyle w:val="12"/>
        <w:spacing w:line="560" w:lineRule="exact"/>
        <w:jc w:val="left"/>
        <w:rPr>
          <w:rFonts w:ascii="仿宋" w:hAnsi="仿宋" w:eastAsia="仿宋" w:cstheme="minorBidi"/>
          <w:sz w:val="24"/>
        </w:rPr>
      </w:pPr>
      <w:r>
        <w:rPr>
          <w:rFonts w:hint="eastAsia"/>
          <w:sz w:val="24"/>
        </w:rPr>
        <w:t>三、支出决算情况说明</w:t>
      </w:r>
      <w:r>
        <w:rPr>
          <w:sz w:val="24"/>
        </w:rPr>
        <w:t>……………………………………………</w:t>
      </w:r>
      <w:r>
        <w:rPr>
          <w:rFonts w:hint="eastAsia"/>
          <w:sz w:val="24"/>
        </w:rPr>
        <w:t>.</w:t>
      </w:r>
      <w:r>
        <w:rPr>
          <w:sz w:val="24"/>
        </w:rPr>
        <w:t>……</w:t>
      </w:r>
      <w:r>
        <w:rPr>
          <w:rFonts w:hint="eastAsia"/>
          <w:sz w:val="24"/>
        </w:rPr>
        <w:t>13</w:t>
      </w:r>
    </w:p>
    <w:p w14:paraId="4402F047">
      <w:pPr>
        <w:pStyle w:val="12"/>
        <w:spacing w:line="560" w:lineRule="exact"/>
        <w:jc w:val="left"/>
        <w:rPr>
          <w:rFonts w:ascii="仿宋" w:hAnsi="仿宋" w:eastAsia="仿宋" w:cstheme="minorBidi"/>
          <w:sz w:val="24"/>
        </w:rPr>
      </w:pPr>
      <w:r>
        <w:rPr>
          <w:rFonts w:hint="eastAsia"/>
          <w:sz w:val="24"/>
        </w:rPr>
        <w:t>四、财政拨款收入支出决算总体情况说明</w:t>
      </w:r>
      <w:r>
        <w:rPr>
          <w:sz w:val="24"/>
        </w:rPr>
        <w:t>……………………</w:t>
      </w:r>
      <w:r>
        <w:rPr>
          <w:rFonts w:hint="eastAsia"/>
          <w:sz w:val="24"/>
        </w:rPr>
        <w:t>.</w:t>
      </w:r>
      <w:r>
        <w:rPr>
          <w:sz w:val="24"/>
        </w:rPr>
        <w:t>………</w:t>
      </w:r>
      <w:r>
        <w:rPr>
          <w:rFonts w:hint="eastAsia"/>
          <w:sz w:val="24"/>
        </w:rPr>
        <w:t>13</w:t>
      </w:r>
    </w:p>
    <w:p w14:paraId="50002D71">
      <w:pPr>
        <w:pStyle w:val="12"/>
        <w:spacing w:line="560" w:lineRule="exact"/>
        <w:jc w:val="left"/>
        <w:rPr>
          <w:rFonts w:ascii="仿宋" w:hAnsi="仿宋" w:eastAsia="仿宋" w:cstheme="minorBidi"/>
          <w:sz w:val="24"/>
        </w:rPr>
      </w:pPr>
      <w:r>
        <w:rPr>
          <w:rFonts w:hint="eastAsia"/>
          <w:sz w:val="24"/>
        </w:rPr>
        <w:t>五、一般公共预算财政拨款支出决算情况说明</w:t>
      </w:r>
      <w:r>
        <w:rPr>
          <w:sz w:val="24"/>
        </w:rPr>
        <w:t>…………………</w:t>
      </w:r>
      <w:r>
        <w:rPr>
          <w:rFonts w:hint="eastAsia"/>
          <w:sz w:val="24"/>
        </w:rPr>
        <w:t>.</w:t>
      </w:r>
      <w:r>
        <w:rPr>
          <w:sz w:val="24"/>
        </w:rPr>
        <w:t>……</w:t>
      </w:r>
      <w:r>
        <w:rPr>
          <w:rFonts w:hint="eastAsia"/>
          <w:sz w:val="24"/>
        </w:rPr>
        <w:t>14</w:t>
      </w:r>
    </w:p>
    <w:p w14:paraId="7CC22A7B">
      <w:pPr>
        <w:pStyle w:val="12"/>
        <w:spacing w:line="560" w:lineRule="exact"/>
        <w:jc w:val="left"/>
        <w:rPr>
          <w:rFonts w:ascii="仿宋" w:hAnsi="仿宋" w:eastAsia="仿宋" w:cstheme="minorBidi"/>
          <w:sz w:val="24"/>
        </w:rPr>
      </w:pPr>
      <w:r>
        <w:rPr>
          <w:rFonts w:hint="eastAsia"/>
          <w:sz w:val="24"/>
        </w:rPr>
        <w:t>六、一般公共预算财政拨款基本支出决算情况说明</w:t>
      </w:r>
      <w:r>
        <w:rPr>
          <w:sz w:val="24"/>
        </w:rPr>
        <w:t>………</w:t>
      </w:r>
      <w:r>
        <w:rPr>
          <w:rFonts w:hint="eastAsia"/>
          <w:sz w:val="24"/>
        </w:rPr>
        <w:t>.</w:t>
      </w:r>
      <w:r>
        <w:rPr>
          <w:sz w:val="24"/>
        </w:rPr>
        <w:t>…………</w:t>
      </w:r>
      <w:r>
        <w:rPr>
          <w:rFonts w:hint="eastAsia"/>
          <w:sz w:val="24"/>
        </w:rPr>
        <w:t>16</w:t>
      </w:r>
    </w:p>
    <w:p w14:paraId="4C36012A">
      <w:pPr>
        <w:pStyle w:val="12"/>
        <w:spacing w:line="560" w:lineRule="exact"/>
        <w:jc w:val="left"/>
        <w:rPr>
          <w:rFonts w:ascii="仿宋" w:hAnsi="仿宋" w:eastAsia="仿宋" w:cstheme="minorBidi"/>
          <w:sz w:val="24"/>
        </w:rPr>
      </w:pPr>
      <w:r>
        <w:rPr>
          <w:rFonts w:hint="eastAsia"/>
          <w:sz w:val="24"/>
        </w:rPr>
        <w:t>七、</w:t>
      </w:r>
      <w:r>
        <w:rPr>
          <w:sz w:val="24"/>
        </w:rPr>
        <w:t>“</w:t>
      </w:r>
      <w:r>
        <w:rPr>
          <w:rFonts w:hint="eastAsia"/>
          <w:sz w:val="24"/>
        </w:rPr>
        <w:t>三公”经费财政拨款支出决算情况说明</w:t>
      </w:r>
      <w:r>
        <w:rPr>
          <w:sz w:val="24"/>
        </w:rPr>
        <w:t>…………………</w:t>
      </w:r>
      <w:r>
        <w:rPr>
          <w:rFonts w:hint="eastAsia"/>
          <w:sz w:val="24"/>
        </w:rPr>
        <w:t>....</w:t>
      </w:r>
      <w:r>
        <w:rPr>
          <w:sz w:val="24"/>
        </w:rPr>
        <w:t>……</w:t>
      </w:r>
      <w:r>
        <w:rPr>
          <w:rFonts w:hint="eastAsia"/>
          <w:sz w:val="24"/>
        </w:rPr>
        <w:t>17</w:t>
      </w:r>
    </w:p>
    <w:p w14:paraId="58B1F911">
      <w:pPr>
        <w:pStyle w:val="12"/>
        <w:spacing w:line="560" w:lineRule="exact"/>
        <w:jc w:val="left"/>
        <w:rPr>
          <w:rFonts w:ascii="仿宋" w:hAnsi="仿宋" w:eastAsia="仿宋" w:cstheme="minorBidi"/>
          <w:sz w:val="24"/>
        </w:rPr>
      </w:pPr>
      <w:r>
        <w:rPr>
          <w:rFonts w:hint="eastAsia"/>
          <w:sz w:val="24"/>
        </w:rPr>
        <w:t>八、政府性基金预算支出决算情况说明</w:t>
      </w:r>
      <w:r>
        <w:rPr>
          <w:sz w:val="24"/>
        </w:rPr>
        <w:t>…………………………</w:t>
      </w:r>
      <w:r>
        <w:rPr>
          <w:rFonts w:hint="eastAsia"/>
          <w:sz w:val="24"/>
        </w:rPr>
        <w:t>..</w:t>
      </w:r>
      <w:r>
        <w:rPr>
          <w:sz w:val="24"/>
        </w:rPr>
        <w:t>……</w:t>
      </w:r>
      <w:r>
        <w:rPr>
          <w:rFonts w:hint="eastAsia"/>
          <w:sz w:val="24"/>
        </w:rPr>
        <w:t>18</w:t>
      </w:r>
    </w:p>
    <w:p w14:paraId="5142C950">
      <w:pPr>
        <w:pStyle w:val="12"/>
        <w:spacing w:line="560" w:lineRule="exact"/>
        <w:ind w:leftChars="0"/>
        <w:jc w:val="left"/>
        <w:rPr>
          <w:rFonts w:ascii="仿宋" w:hAnsi="仿宋" w:eastAsia="仿宋"/>
          <w:sz w:val="24"/>
        </w:rPr>
      </w:pPr>
      <w:r>
        <w:rPr>
          <w:rFonts w:hint="eastAsia" w:ascii="仿宋" w:hAnsi="仿宋" w:eastAsia="仿宋"/>
          <w:sz w:val="24"/>
        </w:rPr>
        <w:t>九、</w:t>
      </w:r>
      <w:r>
        <w:rPr>
          <w:sz w:val="24"/>
        </w:rPr>
        <w:t>国</w:t>
      </w:r>
      <w:r>
        <w:rPr>
          <w:rFonts w:hint="eastAsia"/>
          <w:sz w:val="24"/>
        </w:rPr>
        <w:t>有资本经营预算支出决算情况说明</w:t>
      </w:r>
      <w:r>
        <w:rPr>
          <w:sz w:val="24"/>
        </w:rPr>
        <w:t>…………………………</w:t>
      </w:r>
      <w:r>
        <w:rPr>
          <w:rFonts w:hint="eastAsia"/>
          <w:sz w:val="24"/>
        </w:rPr>
        <w:t>.</w:t>
      </w:r>
      <w:r>
        <w:rPr>
          <w:sz w:val="24"/>
        </w:rPr>
        <w:t>…</w:t>
      </w:r>
      <w:r>
        <w:rPr>
          <w:rFonts w:hint="eastAsia"/>
          <w:sz w:val="24"/>
        </w:rPr>
        <w:t>18</w:t>
      </w:r>
    </w:p>
    <w:p w14:paraId="4AB991D7">
      <w:pPr>
        <w:spacing w:line="560" w:lineRule="exact"/>
        <w:ind w:firstLine="480" w:firstLineChars="200"/>
        <w:jc w:val="left"/>
        <w:rPr>
          <w:rFonts w:ascii="仿宋" w:hAnsi="仿宋" w:eastAsia="仿宋" w:cstheme="minorBidi"/>
          <w:sz w:val="24"/>
        </w:rPr>
      </w:pPr>
      <w:r>
        <w:rPr>
          <w:rStyle w:val="17"/>
          <w:rFonts w:hint="eastAsia" w:ascii="仿宋" w:hAnsi="仿宋" w:eastAsia="仿宋"/>
          <w:color w:val="000000" w:themeColor="text1"/>
          <w:sz w:val="24"/>
          <w:u w:val="none"/>
        </w:rPr>
        <w:t>十、</w:t>
      </w:r>
      <w:r>
        <w:rPr>
          <w:rFonts w:hint="eastAsia"/>
          <w:sz w:val="24"/>
        </w:rPr>
        <w:t>其他重要事项的情况说明</w:t>
      </w:r>
      <w:r>
        <w:rPr>
          <w:sz w:val="24"/>
        </w:rPr>
        <w:t>……………………………………</w:t>
      </w:r>
      <w:r>
        <w:rPr>
          <w:rFonts w:hint="eastAsia"/>
          <w:sz w:val="24"/>
        </w:rPr>
        <w:t>..</w:t>
      </w:r>
      <w:r>
        <w:rPr>
          <w:sz w:val="24"/>
        </w:rPr>
        <w:t>……</w:t>
      </w:r>
      <w:r>
        <w:rPr>
          <w:rFonts w:hint="eastAsia"/>
          <w:sz w:val="24"/>
        </w:rPr>
        <w:t>18</w:t>
      </w:r>
      <w:r>
        <w:rPr>
          <w:rFonts w:ascii="仿宋" w:hAnsi="仿宋" w:eastAsia="仿宋"/>
          <w:sz w:val="24"/>
        </w:rPr>
        <w:tab/>
      </w:r>
    </w:p>
    <w:p w14:paraId="63B941F1">
      <w:pPr>
        <w:pStyle w:val="11"/>
        <w:spacing w:before="0" w:line="560" w:lineRule="exact"/>
        <w:jc w:val="left"/>
        <w:rPr>
          <w:rFonts w:cstheme="minorBidi"/>
          <w:sz w:val="24"/>
          <w:szCs w:val="24"/>
        </w:rPr>
      </w:pPr>
      <w:r>
        <w:rPr>
          <w:rFonts w:hint="eastAsia"/>
          <w:b/>
          <w:sz w:val="24"/>
        </w:rPr>
        <w:t>第三部分</w:t>
      </w:r>
      <w:r>
        <w:rPr>
          <w:b/>
          <w:sz w:val="24"/>
        </w:rPr>
        <w:t xml:space="preserve"> </w:t>
      </w:r>
      <w:r>
        <w:rPr>
          <w:rFonts w:hint="eastAsia"/>
          <w:b/>
          <w:sz w:val="24"/>
        </w:rPr>
        <w:t>名词解释</w:t>
      </w:r>
      <w:r>
        <w:rPr>
          <w:sz w:val="24"/>
        </w:rPr>
        <w:t>……………………………………………………………</w:t>
      </w:r>
      <w:r>
        <w:rPr>
          <w:rFonts w:hint="eastAsia"/>
          <w:sz w:val="24"/>
        </w:rPr>
        <w:t>28</w:t>
      </w:r>
    </w:p>
    <w:p w14:paraId="4371C029">
      <w:pPr>
        <w:pStyle w:val="11"/>
        <w:spacing w:before="0" w:line="560" w:lineRule="exact"/>
        <w:jc w:val="left"/>
        <w:rPr>
          <w:rFonts w:cstheme="minorBidi"/>
          <w:sz w:val="24"/>
          <w:szCs w:val="24"/>
        </w:rPr>
      </w:pPr>
      <w:r>
        <w:rPr>
          <w:rFonts w:hint="eastAsia"/>
          <w:b/>
          <w:sz w:val="24"/>
        </w:rPr>
        <w:t>第四部分</w:t>
      </w:r>
      <w:r>
        <w:rPr>
          <w:b/>
          <w:sz w:val="24"/>
        </w:rPr>
        <w:t xml:space="preserve"> </w:t>
      </w:r>
      <w:r>
        <w:rPr>
          <w:rFonts w:hint="eastAsia"/>
          <w:b/>
          <w:sz w:val="24"/>
        </w:rPr>
        <w:t>附件</w:t>
      </w:r>
      <w:r>
        <w:rPr>
          <w:sz w:val="24"/>
        </w:rPr>
        <w:t>…………………………………………………………………</w:t>
      </w:r>
      <w:r>
        <w:rPr>
          <w:rFonts w:hint="eastAsia"/>
          <w:sz w:val="24"/>
        </w:rPr>
        <w:t>30</w:t>
      </w:r>
    </w:p>
    <w:p w14:paraId="1E873D07">
      <w:pPr>
        <w:pStyle w:val="12"/>
        <w:spacing w:line="560" w:lineRule="exact"/>
        <w:jc w:val="left"/>
        <w:rPr>
          <w:rFonts w:ascii="仿宋" w:hAnsi="仿宋" w:eastAsia="仿宋" w:cstheme="minorBidi"/>
          <w:sz w:val="24"/>
        </w:rPr>
      </w:pPr>
      <w:r>
        <w:rPr>
          <w:rFonts w:hint="eastAsia"/>
          <w:sz w:val="24"/>
        </w:rPr>
        <w:t>附件</w:t>
      </w:r>
      <w:r>
        <w:rPr>
          <w:sz w:val="24"/>
        </w:rPr>
        <w:t>1………………………………………………………………………</w:t>
      </w:r>
      <w:r>
        <w:rPr>
          <w:rFonts w:hint="eastAsia"/>
          <w:sz w:val="24"/>
        </w:rPr>
        <w:t>30</w:t>
      </w:r>
    </w:p>
    <w:p w14:paraId="11065EE1">
      <w:pPr>
        <w:pStyle w:val="12"/>
        <w:spacing w:line="560" w:lineRule="exact"/>
        <w:jc w:val="left"/>
        <w:rPr>
          <w:rFonts w:ascii="仿宋" w:hAnsi="仿宋" w:eastAsia="仿宋" w:cstheme="minorBidi"/>
          <w:sz w:val="24"/>
        </w:rPr>
      </w:pPr>
      <w:r>
        <w:rPr>
          <w:rFonts w:hint="eastAsia"/>
          <w:sz w:val="24"/>
        </w:rPr>
        <w:t>附件</w:t>
      </w:r>
      <w:r>
        <w:rPr>
          <w:sz w:val="24"/>
        </w:rPr>
        <w:t>2………………………………………………………………………</w:t>
      </w:r>
      <w:r>
        <w:rPr>
          <w:rFonts w:hint="eastAsia"/>
          <w:sz w:val="24"/>
        </w:rPr>
        <w:t>50</w:t>
      </w:r>
    </w:p>
    <w:p w14:paraId="6577397B">
      <w:pPr>
        <w:pStyle w:val="11"/>
        <w:spacing w:before="0" w:line="560" w:lineRule="exact"/>
        <w:jc w:val="left"/>
        <w:rPr>
          <w:rFonts w:cstheme="minorBidi"/>
          <w:sz w:val="24"/>
          <w:szCs w:val="24"/>
        </w:rPr>
      </w:pPr>
      <w:r>
        <w:rPr>
          <w:rFonts w:hint="eastAsia"/>
          <w:b/>
          <w:sz w:val="24"/>
        </w:rPr>
        <w:t>第五部分</w:t>
      </w:r>
      <w:r>
        <w:rPr>
          <w:b/>
          <w:sz w:val="24"/>
        </w:rPr>
        <w:t xml:space="preserve"> </w:t>
      </w:r>
      <w:r>
        <w:rPr>
          <w:rFonts w:hint="eastAsia"/>
          <w:b/>
          <w:sz w:val="24"/>
        </w:rPr>
        <w:t>附表</w:t>
      </w:r>
      <w:r>
        <w:rPr>
          <w:sz w:val="24"/>
        </w:rPr>
        <w:t>…………………………………………………………………</w:t>
      </w:r>
      <w:r>
        <w:rPr>
          <w:rFonts w:hint="eastAsia"/>
          <w:sz w:val="24"/>
        </w:rPr>
        <w:t>60</w:t>
      </w:r>
    </w:p>
    <w:p w14:paraId="01DAF242">
      <w:pPr>
        <w:pStyle w:val="12"/>
        <w:spacing w:line="560" w:lineRule="exact"/>
        <w:jc w:val="left"/>
        <w:rPr>
          <w:rFonts w:ascii="仿宋" w:hAnsi="仿宋" w:eastAsia="仿宋" w:cstheme="minorBidi"/>
          <w:sz w:val="24"/>
        </w:rPr>
      </w:pPr>
      <w:r>
        <w:rPr>
          <w:rFonts w:hint="eastAsia" w:ascii="仿宋" w:hAnsi="仿宋" w:eastAsia="仿宋"/>
          <w:sz w:val="24"/>
        </w:rPr>
        <w:t>一、</w:t>
      </w:r>
      <w:r>
        <w:rPr>
          <w:rFonts w:hint="eastAsia"/>
          <w:sz w:val="24"/>
        </w:rPr>
        <w:t>收入支出决算总表</w:t>
      </w:r>
    </w:p>
    <w:p w14:paraId="04456009">
      <w:pPr>
        <w:pStyle w:val="12"/>
        <w:spacing w:line="560" w:lineRule="exact"/>
        <w:jc w:val="left"/>
        <w:rPr>
          <w:rFonts w:ascii="仿宋" w:hAnsi="仿宋" w:eastAsia="仿宋" w:cstheme="minorBidi"/>
          <w:sz w:val="24"/>
        </w:rPr>
      </w:pPr>
      <w:r>
        <w:rPr>
          <w:rFonts w:hint="eastAsia" w:ascii="仿宋" w:hAnsi="仿宋" w:eastAsia="仿宋"/>
          <w:sz w:val="24"/>
        </w:rPr>
        <w:t>二、</w:t>
      </w:r>
      <w:r>
        <w:rPr>
          <w:rFonts w:hint="eastAsia"/>
          <w:sz w:val="24"/>
        </w:rPr>
        <w:t>收入</w:t>
      </w:r>
      <w:r>
        <w:rPr>
          <w:rFonts w:hint="eastAsia" w:ascii="仿宋" w:hAnsi="仿宋" w:eastAsia="仿宋"/>
          <w:sz w:val="24"/>
        </w:rPr>
        <w:t>决算</w:t>
      </w:r>
      <w:r>
        <w:rPr>
          <w:rFonts w:hint="eastAsia"/>
          <w:sz w:val="24"/>
        </w:rPr>
        <w:t>表</w:t>
      </w:r>
    </w:p>
    <w:p w14:paraId="737032DF">
      <w:pPr>
        <w:pStyle w:val="12"/>
        <w:spacing w:line="560" w:lineRule="exact"/>
        <w:jc w:val="left"/>
        <w:rPr>
          <w:rFonts w:ascii="仿宋" w:hAnsi="仿宋" w:eastAsia="仿宋" w:cstheme="minorBidi"/>
          <w:sz w:val="24"/>
        </w:rPr>
      </w:pPr>
      <w:r>
        <w:rPr>
          <w:rFonts w:hint="eastAsia" w:ascii="仿宋" w:hAnsi="仿宋" w:eastAsia="仿宋"/>
          <w:sz w:val="24"/>
        </w:rPr>
        <w:t>三、</w:t>
      </w:r>
      <w:r>
        <w:rPr>
          <w:rFonts w:hint="eastAsia"/>
          <w:sz w:val="24"/>
        </w:rPr>
        <w:t>支出</w:t>
      </w:r>
      <w:r>
        <w:rPr>
          <w:rFonts w:hint="eastAsia" w:ascii="仿宋" w:hAnsi="仿宋" w:eastAsia="仿宋"/>
          <w:sz w:val="24"/>
        </w:rPr>
        <w:t>决算</w:t>
      </w:r>
      <w:r>
        <w:rPr>
          <w:rFonts w:hint="eastAsia"/>
          <w:sz w:val="24"/>
        </w:rPr>
        <w:t>表</w:t>
      </w:r>
    </w:p>
    <w:p w14:paraId="437DFE81">
      <w:pPr>
        <w:pStyle w:val="12"/>
        <w:spacing w:line="560" w:lineRule="exact"/>
        <w:jc w:val="left"/>
        <w:rPr>
          <w:rFonts w:ascii="仿宋" w:hAnsi="仿宋" w:eastAsia="仿宋" w:cstheme="minorBidi"/>
          <w:sz w:val="24"/>
        </w:rPr>
      </w:pPr>
      <w:r>
        <w:rPr>
          <w:rFonts w:hint="eastAsia" w:ascii="仿宋" w:hAnsi="仿宋" w:eastAsia="仿宋"/>
          <w:sz w:val="24"/>
        </w:rPr>
        <w:t>四、</w:t>
      </w:r>
      <w:r>
        <w:rPr>
          <w:rFonts w:hint="eastAsia"/>
          <w:sz w:val="24"/>
        </w:rPr>
        <w:t>财政拨款收入支出决算总表</w:t>
      </w:r>
    </w:p>
    <w:p w14:paraId="68FAF39F">
      <w:pPr>
        <w:pStyle w:val="12"/>
        <w:spacing w:line="560" w:lineRule="exact"/>
        <w:jc w:val="left"/>
        <w:rPr>
          <w:rFonts w:ascii="仿宋" w:hAnsi="仿宋" w:eastAsia="仿宋"/>
          <w:sz w:val="24"/>
        </w:rPr>
      </w:pPr>
      <w:r>
        <w:rPr>
          <w:rFonts w:hint="eastAsia" w:ascii="仿宋" w:hAnsi="仿宋" w:eastAsia="仿宋"/>
          <w:sz w:val="24"/>
        </w:rPr>
        <w:t>五、财政拨款支出决算明细表</w:t>
      </w:r>
    </w:p>
    <w:p w14:paraId="2E412E84">
      <w:pPr>
        <w:pStyle w:val="12"/>
        <w:spacing w:line="560" w:lineRule="exact"/>
        <w:jc w:val="left"/>
        <w:rPr>
          <w:rFonts w:ascii="仿宋" w:hAnsi="仿宋" w:eastAsia="仿宋" w:cstheme="minorBidi"/>
          <w:sz w:val="24"/>
        </w:rPr>
      </w:pPr>
      <w:r>
        <w:rPr>
          <w:rFonts w:hint="eastAsia" w:ascii="仿宋" w:hAnsi="仿宋" w:eastAsia="仿宋"/>
          <w:sz w:val="24"/>
        </w:rPr>
        <w:t>六、</w:t>
      </w:r>
      <w:r>
        <w:rPr>
          <w:rFonts w:hint="eastAsia"/>
          <w:sz w:val="24"/>
        </w:rPr>
        <w:t>一般公共预算财政拨款支出决算表</w:t>
      </w:r>
    </w:p>
    <w:p w14:paraId="6E154594">
      <w:pPr>
        <w:pStyle w:val="12"/>
        <w:spacing w:line="560" w:lineRule="exact"/>
        <w:jc w:val="left"/>
        <w:rPr>
          <w:rFonts w:ascii="仿宋" w:hAnsi="仿宋" w:eastAsia="仿宋" w:cstheme="minorBidi"/>
          <w:sz w:val="24"/>
        </w:rPr>
      </w:pPr>
      <w:r>
        <w:rPr>
          <w:rFonts w:hint="eastAsia" w:ascii="仿宋" w:hAnsi="仿宋" w:eastAsia="仿宋"/>
          <w:sz w:val="24"/>
        </w:rPr>
        <w:t>七、</w:t>
      </w:r>
      <w:r>
        <w:rPr>
          <w:rFonts w:hint="eastAsia"/>
          <w:sz w:val="24"/>
        </w:rPr>
        <w:t>一般公共预算财政拨款支出决算明细表</w:t>
      </w:r>
    </w:p>
    <w:p w14:paraId="1F57B30F">
      <w:pPr>
        <w:pStyle w:val="12"/>
        <w:spacing w:line="560" w:lineRule="exact"/>
        <w:jc w:val="left"/>
        <w:rPr>
          <w:rFonts w:ascii="仿宋" w:hAnsi="仿宋" w:eastAsia="仿宋" w:cstheme="minorBidi"/>
          <w:sz w:val="24"/>
        </w:rPr>
      </w:pPr>
      <w:r>
        <w:rPr>
          <w:rFonts w:hint="eastAsia" w:ascii="仿宋" w:hAnsi="仿宋" w:eastAsia="仿宋"/>
          <w:sz w:val="24"/>
        </w:rPr>
        <w:t>八、</w:t>
      </w:r>
      <w:r>
        <w:rPr>
          <w:rFonts w:hint="eastAsia"/>
          <w:sz w:val="24"/>
        </w:rPr>
        <w:t>一般公共预算财政拨款基本支出决算表</w:t>
      </w:r>
    </w:p>
    <w:p w14:paraId="28F3D023">
      <w:pPr>
        <w:pStyle w:val="12"/>
        <w:spacing w:line="560" w:lineRule="exact"/>
        <w:jc w:val="left"/>
        <w:rPr>
          <w:rFonts w:ascii="仿宋" w:hAnsi="仿宋" w:eastAsia="仿宋" w:cstheme="minorBidi"/>
          <w:sz w:val="24"/>
        </w:rPr>
      </w:pPr>
      <w:r>
        <w:rPr>
          <w:rFonts w:hint="eastAsia" w:ascii="仿宋" w:hAnsi="仿宋" w:eastAsia="仿宋"/>
          <w:sz w:val="24"/>
        </w:rPr>
        <w:t>九、</w:t>
      </w:r>
      <w:r>
        <w:rPr>
          <w:rFonts w:hint="eastAsia"/>
          <w:sz w:val="24"/>
        </w:rPr>
        <w:t>一般公共预算财政拨款项目支出决算表</w:t>
      </w:r>
    </w:p>
    <w:p w14:paraId="126B5AB0">
      <w:pPr>
        <w:pStyle w:val="12"/>
        <w:spacing w:line="560" w:lineRule="exact"/>
        <w:jc w:val="left"/>
        <w:rPr>
          <w:rFonts w:ascii="仿宋" w:hAnsi="仿宋" w:eastAsia="仿宋" w:cstheme="minorBidi"/>
          <w:sz w:val="24"/>
        </w:rPr>
      </w:pPr>
      <w:r>
        <w:rPr>
          <w:rFonts w:hint="eastAsia" w:ascii="仿宋" w:hAnsi="仿宋" w:eastAsia="仿宋"/>
          <w:sz w:val="24"/>
        </w:rPr>
        <w:t>十、</w:t>
      </w:r>
      <w:r>
        <w:rPr>
          <w:rFonts w:hint="eastAsia"/>
          <w:sz w:val="24"/>
        </w:rPr>
        <w:t>一般公共预算财政拨款“三公”经费支出决算表</w:t>
      </w:r>
    </w:p>
    <w:p w14:paraId="3C893B46">
      <w:pPr>
        <w:pStyle w:val="12"/>
        <w:spacing w:line="560" w:lineRule="exact"/>
        <w:jc w:val="left"/>
        <w:rPr>
          <w:rFonts w:ascii="仿宋" w:hAnsi="仿宋" w:eastAsia="仿宋" w:cstheme="minorBidi"/>
          <w:sz w:val="24"/>
        </w:rPr>
      </w:pPr>
      <w:r>
        <w:rPr>
          <w:rFonts w:hint="eastAsia" w:ascii="仿宋" w:hAnsi="仿宋" w:eastAsia="仿宋"/>
          <w:sz w:val="24"/>
        </w:rPr>
        <w:t>十一、</w:t>
      </w:r>
      <w:r>
        <w:rPr>
          <w:rFonts w:hint="eastAsia"/>
          <w:sz w:val="24"/>
        </w:rPr>
        <w:t>政府性基金预算财政拨款收入支出决算表</w:t>
      </w:r>
    </w:p>
    <w:p w14:paraId="6DBA95EC">
      <w:pPr>
        <w:pStyle w:val="12"/>
        <w:spacing w:line="560" w:lineRule="exact"/>
        <w:jc w:val="left"/>
        <w:rPr>
          <w:rFonts w:ascii="仿宋" w:hAnsi="仿宋" w:eastAsia="仿宋" w:cstheme="minorBidi"/>
          <w:sz w:val="24"/>
        </w:rPr>
      </w:pPr>
      <w:r>
        <w:rPr>
          <w:rFonts w:hint="eastAsia" w:ascii="仿宋" w:hAnsi="仿宋" w:eastAsia="仿宋"/>
          <w:sz w:val="24"/>
        </w:rPr>
        <w:t>十二、</w:t>
      </w:r>
      <w:r>
        <w:rPr>
          <w:rFonts w:hint="eastAsia"/>
          <w:sz w:val="24"/>
        </w:rPr>
        <w:t>政府性基金预算财政拨款“三公”经费支出决算表</w:t>
      </w:r>
    </w:p>
    <w:p w14:paraId="163B8379">
      <w:pPr>
        <w:pStyle w:val="12"/>
        <w:spacing w:line="560" w:lineRule="exact"/>
        <w:jc w:val="left"/>
        <w:rPr>
          <w:rFonts w:asciiTheme="minorEastAsia" w:hAnsiTheme="minorEastAsia" w:eastAsiaTheme="minorEastAsia"/>
          <w:sz w:val="24"/>
        </w:rPr>
      </w:pPr>
      <w:r>
        <w:rPr>
          <w:rFonts w:hint="eastAsia" w:ascii="仿宋" w:hAnsi="仿宋" w:eastAsia="仿宋"/>
          <w:sz w:val="24"/>
        </w:rPr>
        <w:t>十三、</w:t>
      </w:r>
      <w:r>
        <w:rPr>
          <w:rFonts w:hint="eastAsia" w:asciiTheme="minorEastAsia" w:hAnsiTheme="minorEastAsia" w:eastAsiaTheme="minorEastAsia"/>
          <w:sz w:val="24"/>
        </w:rPr>
        <w:t>国有资本经营预算财政拨款收入支出决算表</w:t>
      </w:r>
    </w:p>
    <w:p w14:paraId="22C0109E">
      <w:pPr>
        <w:spacing w:line="560" w:lineRule="exact"/>
        <w:ind w:firstLine="480" w:firstLineChars="200"/>
        <w:rPr>
          <w:rFonts w:asciiTheme="minorEastAsia" w:hAnsiTheme="minorEastAsia" w:eastAsiaTheme="minorEastAsia"/>
        </w:rPr>
      </w:pPr>
      <w:r>
        <w:rPr>
          <w:rFonts w:hint="eastAsia" w:ascii="仿宋" w:hAnsi="仿宋" w:eastAsia="仿宋"/>
          <w:sz w:val="24"/>
        </w:rPr>
        <w:t>十四、</w:t>
      </w:r>
      <w:r>
        <w:rPr>
          <w:rFonts w:hint="eastAsia" w:asciiTheme="minorEastAsia" w:hAnsiTheme="minorEastAsia" w:eastAsiaTheme="minorEastAsia"/>
          <w:sz w:val="24"/>
        </w:rPr>
        <w:t>国有资本经营预算财政拨款支出决算表</w:t>
      </w:r>
    </w:p>
    <w:p w14:paraId="534BC427">
      <w:pPr>
        <w:pStyle w:val="12"/>
        <w:spacing w:line="560" w:lineRule="exact"/>
        <w:jc w:val="left"/>
        <w:rPr>
          <w:rFonts w:ascii="仿宋" w:hAnsi="仿宋" w:eastAsia="仿宋" w:cstheme="minorBidi"/>
          <w:sz w:val="24"/>
        </w:rPr>
      </w:pPr>
      <w:r>
        <w:rPr>
          <w:rFonts w:hint="eastAsia" w:ascii="仿宋" w:hAnsi="仿宋" w:eastAsia="仿宋"/>
          <w:sz w:val="24"/>
        </w:rPr>
        <w:t>十五、</w:t>
      </w:r>
      <w:r>
        <w:rPr>
          <w:rFonts w:hint="eastAsia"/>
          <w:sz w:val="24"/>
        </w:rPr>
        <w:t>机关运行经费、资产占用情况及政府采购支出信息表</w:t>
      </w:r>
    </w:p>
    <w:p w14:paraId="4C88D1F0"/>
    <w:p w14:paraId="3BA743EB">
      <w:pPr>
        <w:widowControl/>
        <w:spacing w:line="440" w:lineRule="exact"/>
        <w:jc w:val="left"/>
        <w:rPr>
          <w:rFonts w:ascii="仿宋" w:hAnsi="仿宋" w:eastAsia="仿宋"/>
          <w:bCs/>
          <w:kern w:val="44"/>
          <w:sz w:val="24"/>
        </w:rPr>
      </w:pPr>
      <w:bookmarkStart w:id="12" w:name="_Toc15377196"/>
      <w:bookmarkStart w:id="13" w:name="_Toc15396599"/>
      <w:r>
        <w:rPr>
          <w:rFonts w:ascii="仿宋" w:hAnsi="仿宋" w:eastAsia="仿宋"/>
          <w:b/>
          <w:sz w:val="24"/>
        </w:rPr>
        <w:br w:type="page"/>
      </w:r>
    </w:p>
    <w:p w14:paraId="5A5187D2">
      <w:pPr>
        <w:spacing w:line="560" w:lineRule="exact"/>
        <w:jc w:val="center"/>
        <w:rPr>
          <w:rStyle w:val="26"/>
          <w:rFonts w:ascii="小标宋" w:hAnsi="黑体" w:eastAsia="小标宋"/>
          <w:b w:val="0"/>
        </w:rPr>
      </w:pPr>
      <w:r>
        <w:rPr>
          <w:rFonts w:hint="eastAsia" w:ascii="小标宋" w:eastAsia="小标宋"/>
          <w:sz w:val="44"/>
          <w:szCs w:val="44"/>
        </w:rPr>
        <w:t xml:space="preserve">第一部分 </w:t>
      </w:r>
      <w:r>
        <w:rPr>
          <w:rStyle w:val="26"/>
          <w:rFonts w:hint="eastAsia" w:ascii="小标宋" w:hAnsi="黑体" w:eastAsia="小标宋"/>
          <w:b w:val="0"/>
        </w:rPr>
        <w:t>部门概况</w:t>
      </w:r>
      <w:bookmarkEnd w:id="12"/>
      <w:bookmarkEnd w:id="13"/>
    </w:p>
    <w:p w14:paraId="5A0205C2">
      <w:pPr>
        <w:spacing w:line="560" w:lineRule="exact"/>
        <w:jc w:val="center"/>
        <w:rPr>
          <w:rStyle w:val="26"/>
          <w:rFonts w:ascii="小标宋" w:hAnsi="黑体" w:eastAsia="小标宋"/>
        </w:rPr>
      </w:pPr>
    </w:p>
    <w:p w14:paraId="1723E2FE">
      <w:pPr>
        <w:spacing w:line="560" w:lineRule="exact"/>
        <w:ind w:firstLine="640" w:firstLineChars="200"/>
        <w:rPr>
          <w:rFonts w:ascii="黑体" w:hAnsi="黑体" w:eastAsia="黑体"/>
          <w:sz w:val="32"/>
          <w:szCs w:val="32"/>
        </w:rPr>
      </w:pPr>
      <w:bookmarkStart w:id="14" w:name="_Toc15396600"/>
      <w:bookmarkStart w:id="15" w:name="_Toc15377197"/>
      <w:r>
        <w:rPr>
          <w:rFonts w:hint="eastAsia" w:ascii="黑体" w:hAnsi="黑体" w:eastAsia="黑体"/>
          <w:color w:val="000000"/>
          <w:sz w:val="32"/>
          <w:szCs w:val="32"/>
        </w:rPr>
        <w:t>一、基</w:t>
      </w:r>
      <w:r>
        <w:rPr>
          <w:rFonts w:hint="eastAsia" w:ascii="黑体" w:hAnsi="黑体" w:eastAsia="黑体"/>
          <w:sz w:val="32"/>
          <w:szCs w:val="32"/>
        </w:rPr>
        <w:t>本职能及主要工作</w:t>
      </w:r>
      <w:bookmarkEnd w:id="14"/>
      <w:bookmarkEnd w:id="15"/>
    </w:p>
    <w:p w14:paraId="1EB96355">
      <w:pPr>
        <w:pStyle w:val="35"/>
        <w:spacing w:line="560" w:lineRule="exact"/>
        <w:ind w:firstLine="630" w:firstLineChars="196"/>
        <w:rPr>
          <w:rFonts w:ascii="仿宋_GB2312" w:hAnsi="仿宋_GB2312" w:eastAsia="仿宋_GB2312"/>
          <w:sz w:val="32"/>
        </w:rPr>
      </w:pPr>
      <w:r>
        <w:rPr>
          <w:rFonts w:hint="eastAsia" w:ascii="仿宋_GB2312" w:hAnsi="仿宋_GB2312" w:eastAsia="仿宋_GB2312"/>
          <w:b/>
          <w:sz w:val="32"/>
        </w:rPr>
        <w:t>（一）主要职能</w:t>
      </w:r>
      <w:r>
        <w:rPr>
          <w:rFonts w:hint="eastAsia" w:ascii="仿宋_GB2312" w:hAnsi="仿宋_GB2312" w:eastAsia="仿宋_GB2312"/>
          <w:sz w:val="32"/>
        </w:rPr>
        <w:t>。</w:t>
      </w:r>
    </w:p>
    <w:p w14:paraId="2DC6A4E4">
      <w:pPr>
        <w:spacing w:line="560" w:lineRule="exact"/>
        <w:ind w:firstLine="660"/>
        <w:outlineLvl w:val="1"/>
        <w:rPr>
          <w:rFonts w:ascii="仿宋_GB2312" w:eastAsia="仿宋_GB2312"/>
          <w:bCs/>
          <w:sz w:val="32"/>
          <w:szCs w:val="32"/>
        </w:rPr>
      </w:pPr>
      <w:r>
        <w:rPr>
          <w:rFonts w:hint="eastAsia" w:ascii="仿宋_GB2312" w:eastAsia="仿宋_GB2312"/>
          <w:bCs/>
          <w:sz w:val="32"/>
          <w:szCs w:val="32"/>
        </w:rPr>
        <w:t>1.贯彻执行医疗保险、生育保险、医疗救助等医疗保障法律、法规、规章。拟订全县医疗保障事业发展规划。执行全市统一的医疗保障政策和标准，进行监督检查。</w:t>
      </w:r>
    </w:p>
    <w:p w14:paraId="06FBBFD0">
      <w:pPr>
        <w:spacing w:line="560" w:lineRule="exact"/>
        <w:ind w:firstLine="660"/>
        <w:outlineLvl w:val="1"/>
        <w:rPr>
          <w:rFonts w:ascii="仿宋_GB2312" w:eastAsia="仿宋_GB2312"/>
          <w:bCs/>
          <w:sz w:val="32"/>
          <w:szCs w:val="32"/>
        </w:rPr>
      </w:pPr>
      <w:r>
        <w:rPr>
          <w:rFonts w:hint="eastAsia" w:ascii="仿宋_GB2312" w:eastAsia="仿宋_GB2312"/>
          <w:bCs/>
          <w:sz w:val="32"/>
          <w:szCs w:val="32"/>
        </w:rPr>
        <w:t>2.组织实施医疗保障基金监督管理制度，建立健全医疗</w:t>
      </w:r>
      <w:r>
        <w:rPr>
          <w:rFonts w:hint="eastAsia" w:ascii="仿宋_GB2312" w:eastAsia="仿宋_GB2312"/>
          <w:bCs/>
          <w:spacing w:val="-10"/>
          <w:sz w:val="32"/>
          <w:szCs w:val="32"/>
        </w:rPr>
        <w:t>保障基金安全防控机制，监督强化全县医疗保障基金运行管理。</w:t>
      </w:r>
    </w:p>
    <w:p w14:paraId="44D2BC4B">
      <w:pPr>
        <w:spacing w:line="560" w:lineRule="exact"/>
        <w:ind w:firstLine="660"/>
        <w:outlineLvl w:val="1"/>
        <w:rPr>
          <w:rFonts w:ascii="仿宋_GB2312" w:eastAsia="仿宋_GB2312"/>
          <w:bCs/>
          <w:sz w:val="32"/>
          <w:szCs w:val="32"/>
        </w:rPr>
      </w:pPr>
      <w:r>
        <w:rPr>
          <w:rFonts w:hint="eastAsia" w:ascii="仿宋_GB2312" w:eastAsia="仿宋_GB2312"/>
          <w:bCs/>
          <w:sz w:val="32"/>
          <w:szCs w:val="32"/>
        </w:rPr>
        <w:t>3.组织实施医疗保障筹资和待遇政策。组织实施长期护理保险制度改革方案。</w:t>
      </w:r>
    </w:p>
    <w:p w14:paraId="1FB181C3">
      <w:pPr>
        <w:spacing w:line="560" w:lineRule="exact"/>
        <w:ind w:firstLine="660"/>
        <w:outlineLvl w:val="1"/>
        <w:rPr>
          <w:rFonts w:ascii="仿宋_GB2312" w:eastAsia="仿宋_GB2312"/>
          <w:bCs/>
          <w:sz w:val="32"/>
          <w:szCs w:val="32"/>
        </w:rPr>
      </w:pPr>
      <w:r>
        <w:rPr>
          <w:rFonts w:hint="eastAsia" w:ascii="仿宋_GB2312" w:eastAsia="仿宋_GB2312"/>
          <w:bCs/>
          <w:sz w:val="32"/>
          <w:szCs w:val="32"/>
        </w:rPr>
        <w:t>4.组织实施全省、市统一的药品、医用耗材、医疗服务项目、医疗服务设施等医疗保障目录和支付标准。</w:t>
      </w:r>
    </w:p>
    <w:p w14:paraId="398D2B35">
      <w:pPr>
        <w:spacing w:line="560" w:lineRule="exact"/>
        <w:ind w:firstLine="660"/>
        <w:outlineLvl w:val="1"/>
        <w:rPr>
          <w:rFonts w:ascii="仿宋_GB2312" w:eastAsia="仿宋_GB2312"/>
          <w:bCs/>
          <w:sz w:val="32"/>
          <w:szCs w:val="32"/>
        </w:rPr>
      </w:pPr>
      <w:r>
        <w:rPr>
          <w:rFonts w:hint="eastAsia" w:ascii="仿宋_GB2312" w:eastAsia="仿宋_GB2312"/>
          <w:bCs/>
          <w:sz w:val="32"/>
          <w:szCs w:val="32"/>
        </w:rPr>
        <w:t>5.组织实施全市城乡统一的药品、医用耗材价格和医疗服务项目、医疗服务设施收费等政策，建立价格信息监测和</w:t>
      </w:r>
      <w:r>
        <w:rPr>
          <w:rFonts w:hint="eastAsia" w:ascii="仿宋_GB2312" w:eastAsia="仿宋_GB2312"/>
          <w:bCs/>
          <w:spacing w:val="-10"/>
          <w:sz w:val="32"/>
          <w:szCs w:val="32"/>
        </w:rPr>
        <w:t>信息发布制度，推动建立市场主导的社会医药服务价格形成机制。</w:t>
      </w:r>
    </w:p>
    <w:p w14:paraId="0C88797B">
      <w:pPr>
        <w:spacing w:line="560" w:lineRule="exact"/>
        <w:ind w:firstLine="660"/>
        <w:outlineLvl w:val="1"/>
        <w:rPr>
          <w:rFonts w:ascii="仿宋_GB2312" w:eastAsia="仿宋_GB2312"/>
          <w:bCs/>
          <w:sz w:val="32"/>
          <w:szCs w:val="32"/>
        </w:rPr>
      </w:pPr>
      <w:r>
        <w:rPr>
          <w:rFonts w:hint="eastAsia" w:ascii="仿宋_GB2312" w:eastAsia="仿宋_GB2312"/>
          <w:bCs/>
          <w:sz w:val="32"/>
          <w:szCs w:val="32"/>
        </w:rPr>
        <w:t>6.组织实施基本医疗保险制度、生育保险制度，及相关联的大病保险、补充医疗保险、公务员医疗补助等政策规定。</w:t>
      </w:r>
    </w:p>
    <w:p w14:paraId="4C03EAA0">
      <w:pPr>
        <w:spacing w:line="560" w:lineRule="exact"/>
        <w:ind w:firstLine="660"/>
        <w:outlineLvl w:val="1"/>
        <w:rPr>
          <w:rFonts w:ascii="仿宋_GB2312" w:eastAsia="仿宋_GB2312"/>
          <w:bCs/>
          <w:sz w:val="32"/>
          <w:szCs w:val="32"/>
        </w:rPr>
      </w:pPr>
      <w:r>
        <w:rPr>
          <w:rFonts w:hint="eastAsia" w:ascii="仿宋_GB2312" w:eastAsia="仿宋_GB2312"/>
          <w:bCs/>
          <w:sz w:val="32"/>
          <w:szCs w:val="32"/>
        </w:rPr>
        <w:t>7.组织实施全市城乡医疗救助制度，完善全县医疗救助基金管理办法，推进“一站式服务”机制。</w:t>
      </w:r>
    </w:p>
    <w:p w14:paraId="403AC81B">
      <w:pPr>
        <w:spacing w:line="560" w:lineRule="exact"/>
        <w:ind w:firstLine="660"/>
        <w:outlineLvl w:val="1"/>
        <w:rPr>
          <w:rFonts w:ascii="仿宋_GB2312" w:eastAsia="仿宋_GB2312"/>
          <w:bCs/>
          <w:sz w:val="32"/>
          <w:szCs w:val="32"/>
        </w:rPr>
      </w:pPr>
      <w:r>
        <w:rPr>
          <w:rFonts w:hint="eastAsia" w:ascii="仿宋_GB2312" w:eastAsia="仿宋_GB2312"/>
          <w:bCs/>
          <w:sz w:val="32"/>
          <w:szCs w:val="32"/>
        </w:rPr>
        <w:t>8.贯彻执行全省药品、医用耗材的招标采购政策并监</w:t>
      </w:r>
      <w:r>
        <w:rPr>
          <w:rFonts w:hint="eastAsia" w:ascii="仿宋_GB2312" w:eastAsia="仿宋_GB2312"/>
          <w:bCs/>
          <w:spacing w:val="-10"/>
          <w:sz w:val="32"/>
          <w:szCs w:val="32"/>
        </w:rPr>
        <w:t>督实施，按照省、市招标采购平台建设要求，承担相关工作任务。</w:t>
      </w:r>
    </w:p>
    <w:p w14:paraId="0D09700C">
      <w:pPr>
        <w:spacing w:line="560" w:lineRule="exact"/>
        <w:ind w:firstLine="660"/>
        <w:outlineLvl w:val="1"/>
        <w:rPr>
          <w:rFonts w:ascii="仿宋_GB2312" w:eastAsia="仿宋_GB2312"/>
          <w:bCs/>
          <w:sz w:val="32"/>
          <w:szCs w:val="32"/>
        </w:rPr>
      </w:pPr>
      <w:r>
        <w:rPr>
          <w:rFonts w:hint="eastAsia" w:ascii="仿宋_GB2312" w:eastAsia="仿宋_GB2312"/>
          <w:bCs/>
          <w:sz w:val="32"/>
          <w:szCs w:val="32"/>
        </w:rPr>
        <w:t>9.推进全县医疗保障基金支付方式改革，实行多元复合式医保支付方式。组织实施基金支付管理办法，保障参保人员基本权益和医保制度长期可持续发展。</w:t>
      </w:r>
    </w:p>
    <w:p w14:paraId="3729249C">
      <w:pPr>
        <w:spacing w:line="560" w:lineRule="exact"/>
        <w:ind w:firstLine="660"/>
        <w:outlineLvl w:val="1"/>
        <w:rPr>
          <w:rFonts w:ascii="仿宋_GB2312" w:eastAsia="仿宋_GB2312"/>
          <w:bCs/>
          <w:sz w:val="32"/>
          <w:szCs w:val="32"/>
        </w:rPr>
      </w:pPr>
      <w:r>
        <w:rPr>
          <w:rFonts w:hint="eastAsia" w:ascii="仿宋_GB2312" w:eastAsia="仿宋_GB2312"/>
          <w:bCs/>
          <w:sz w:val="32"/>
          <w:szCs w:val="32"/>
        </w:rPr>
        <w:t>10.负责全县医疗保障定点医药机构管理，制定并组织实施米易县医药机构医疗保障定点工作方案，组织实施定点医药机构服务协议。执行医疗保障信用评价体系和信息披露制度，监督管理纳入医疗保障范围内的医疗服务行为和医疗费用，依法查处医疗保障领域违法违规行为。</w:t>
      </w:r>
    </w:p>
    <w:p w14:paraId="763D41FC">
      <w:pPr>
        <w:spacing w:line="560" w:lineRule="exact"/>
        <w:ind w:firstLine="660"/>
        <w:outlineLvl w:val="1"/>
        <w:rPr>
          <w:rFonts w:ascii="仿宋_GB2312" w:eastAsia="仿宋_GB2312"/>
          <w:bCs/>
          <w:sz w:val="32"/>
          <w:szCs w:val="32"/>
        </w:rPr>
      </w:pPr>
      <w:r>
        <w:rPr>
          <w:rFonts w:hint="eastAsia" w:ascii="仿宋_GB2312" w:eastAsia="仿宋_GB2312"/>
          <w:bCs/>
          <w:sz w:val="32"/>
          <w:szCs w:val="32"/>
        </w:rPr>
        <w:t>11.负责全县医疗保障业务经办管理和公共服务体系建设。组织实施异地就医管理和费用结算政策。贯彻执行医疗保障关系转移接续政策。监督管理全县医保经办服务工作。开展医疗保障领域对外合作交流。</w:t>
      </w:r>
    </w:p>
    <w:p w14:paraId="0208B339">
      <w:pPr>
        <w:spacing w:line="560" w:lineRule="exact"/>
        <w:ind w:firstLine="660"/>
        <w:outlineLvl w:val="1"/>
        <w:rPr>
          <w:rFonts w:ascii="仿宋_GB2312" w:eastAsia="仿宋_GB2312"/>
          <w:bCs/>
          <w:sz w:val="32"/>
          <w:szCs w:val="32"/>
        </w:rPr>
      </w:pPr>
      <w:r>
        <w:rPr>
          <w:rFonts w:hint="eastAsia" w:ascii="仿宋_GB2312" w:eastAsia="仿宋_GB2312"/>
          <w:bCs/>
          <w:sz w:val="32"/>
          <w:szCs w:val="32"/>
        </w:rPr>
        <w:t>12.</w:t>
      </w:r>
      <w:r>
        <w:rPr>
          <w:rFonts w:hint="eastAsia" w:ascii="仿宋_GB2312" w:eastAsia="仿宋_GB2312"/>
          <w:bCs/>
          <w:spacing w:val="-10"/>
          <w:sz w:val="32"/>
          <w:szCs w:val="32"/>
        </w:rPr>
        <w:t>组织开展医疗保障信息化建设、大数据管理和应用。</w:t>
      </w:r>
    </w:p>
    <w:p w14:paraId="17C47D6E">
      <w:pPr>
        <w:spacing w:line="560" w:lineRule="exact"/>
        <w:ind w:firstLine="660"/>
        <w:outlineLvl w:val="1"/>
        <w:rPr>
          <w:rFonts w:ascii="仿宋_GB2312" w:eastAsia="仿宋_GB2312"/>
          <w:bCs/>
          <w:sz w:val="32"/>
          <w:szCs w:val="32"/>
        </w:rPr>
      </w:pPr>
      <w:r>
        <w:rPr>
          <w:rFonts w:hint="eastAsia" w:ascii="仿宋_GB2312" w:eastAsia="仿宋_GB2312"/>
          <w:bCs/>
          <w:sz w:val="32"/>
          <w:szCs w:val="32"/>
        </w:rPr>
        <w:t>13.组织拟订县本级离休干部、六级以上革命伤残军人（警察）的医疗保障政策，以及建国初期参加革命工作和厅级干部、县级干部、高级知识分子的医疗照顾政策。</w:t>
      </w:r>
    </w:p>
    <w:p w14:paraId="00713E69">
      <w:pPr>
        <w:spacing w:line="560" w:lineRule="exact"/>
        <w:ind w:firstLine="660"/>
        <w:outlineLvl w:val="1"/>
        <w:rPr>
          <w:rFonts w:ascii="仿宋_GB2312" w:eastAsia="仿宋_GB2312"/>
          <w:bCs/>
          <w:sz w:val="32"/>
          <w:szCs w:val="32"/>
        </w:rPr>
      </w:pPr>
      <w:r>
        <w:rPr>
          <w:rFonts w:hint="eastAsia" w:ascii="仿宋_GB2312" w:eastAsia="仿宋_GB2312"/>
          <w:bCs/>
          <w:sz w:val="32"/>
          <w:szCs w:val="32"/>
        </w:rPr>
        <w:t>14.负责职责范围内的安全生产和职业健康、生态环境保护、审批服务便民化等工作。</w:t>
      </w:r>
    </w:p>
    <w:p w14:paraId="56BD2C8A">
      <w:pPr>
        <w:spacing w:line="560" w:lineRule="exact"/>
        <w:ind w:firstLine="660"/>
        <w:outlineLvl w:val="1"/>
        <w:rPr>
          <w:rFonts w:ascii="仿宋_GB2312" w:eastAsia="仿宋_GB2312"/>
          <w:bCs/>
          <w:sz w:val="32"/>
          <w:szCs w:val="32"/>
        </w:rPr>
      </w:pPr>
      <w:r>
        <w:rPr>
          <w:rFonts w:hint="eastAsia" w:ascii="仿宋_GB2312" w:eastAsia="仿宋_GB2312"/>
          <w:bCs/>
          <w:sz w:val="32"/>
          <w:szCs w:val="32"/>
        </w:rPr>
        <w:t>15.完成县委、县政府交办的其他任务。</w:t>
      </w:r>
    </w:p>
    <w:p w14:paraId="49075876">
      <w:pPr>
        <w:pStyle w:val="35"/>
        <w:spacing w:line="560" w:lineRule="exact"/>
        <w:ind w:firstLine="643"/>
        <w:rPr>
          <w:rFonts w:ascii="仿宋_GB2312" w:hAnsi="楷体" w:eastAsia="仿宋_GB2312"/>
          <w:b/>
          <w:sz w:val="32"/>
        </w:rPr>
      </w:pPr>
      <w:r>
        <w:rPr>
          <w:rFonts w:hint="eastAsia" w:ascii="仿宋_GB2312" w:hAnsi="仿宋_GB2312" w:eastAsia="仿宋_GB2312"/>
          <w:b/>
          <w:sz w:val="32"/>
        </w:rPr>
        <w:t>（二）</w:t>
      </w:r>
      <w:r>
        <w:rPr>
          <w:rFonts w:hint="eastAsia" w:ascii="仿宋_GB2312" w:hAnsi="楷体" w:eastAsia="仿宋_GB2312"/>
          <w:b/>
          <w:sz w:val="32"/>
        </w:rPr>
        <w:t>当年主要工作完成情况</w:t>
      </w:r>
    </w:p>
    <w:p w14:paraId="71CE422C">
      <w:pPr>
        <w:pStyle w:val="35"/>
        <w:spacing w:line="560" w:lineRule="exact"/>
        <w:ind w:firstLine="643"/>
        <w:rPr>
          <w:rFonts w:ascii="仿宋_GB2312" w:hAnsi="仿宋_GB2312" w:eastAsia="仿宋_GB2312"/>
          <w:b/>
          <w:sz w:val="32"/>
        </w:rPr>
      </w:pPr>
      <w:r>
        <w:rPr>
          <w:rFonts w:hint="eastAsia" w:ascii="仿宋_GB2312" w:hAnsi="仿宋_GB2312" w:eastAsia="仿宋_GB2312"/>
          <w:b/>
          <w:sz w:val="32"/>
        </w:rPr>
        <w:t>1.加强党的建设，保障医保事业发展</w:t>
      </w:r>
    </w:p>
    <w:p w14:paraId="38D89AE2">
      <w:pPr>
        <w:pStyle w:val="35"/>
        <w:spacing w:line="560" w:lineRule="exact"/>
        <w:ind w:firstLine="640"/>
        <w:rPr>
          <w:rFonts w:ascii="仿宋_GB2312" w:hAnsi="仿宋_GB2312" w:eastAsia="仿宋_GB2312"/>
          <w:sz w:val="32"/>
        </w:rPr>
      </w:pPr>
      <w:r>
        <w:rPr>
          <w:rFonts w:hint="eastAsia" w:ascii="仿宋_GB2312" w:hAnsi="仿宋_GB2312" w:eastAsia="仿宋_GB2312"/>
          <w:sz w:val="32"/>
        </w:rPr>
        <w:t>研究制定年度党风廉政建设工作计划及各分管领导、股室负责人的党风廉政建设责任清单，党组及党组书记抓党风廉政建设主体责任明确。</w:t>
      </w:r>
    </w:p>
    <w:p w14:paraId="4B764E27">
      <w:pPr>
        <w:pStyle w:val="35"/>
        <w:spacing w:line="560" w:lineRule="exact"/>
        <w:ind w:firstLine="640"/>
        <w:rPr>
          <w:rFonts w:ascii="仿宋_GB2312" w:hAnsi="仿宋_GB2312" w:eastAsia="仿宋_GB2312"/>
          <w:sz w:val="32"/>
        </w:rPr>
      </w:pPr>
      <w:r>
        <w:rPr>
          <w:rFonts w:hint="eastAsia" w:ascii="仿宋_GB2312" w:hAnsi="仿宋_GB2312" w:eastAsia="仿宋_GB2312"/>
          <w:sz w:val="32"/>
        </w:rPr>
        <w:t>切实落实“不忘初心、牢记使命”制度，强化理论武装。结合开展“守纪律、提效能、强执行、做表率”活动，推动全局党员及领导干部对照</w:t>
      </w:r>
      <w:r>
        <w:rPr>
          <w:rFonts w:hint="eastAsia" w:ascii="仿宋_GB2312" w:hAnsi="仿宋_GB2312" w:eastAsia="仿宋_GB2312"/>
          <w:sz w:val="32"/>
          <w:lang w:eastAsia="zh-CN"/>
        </w:rPr>
        <w:t>《中国共产党章程》</w:t>
      </w:r>
      <w:r>
        <w:rPr>
          <w:rFonts w:hint="eastAsia" w:ascii="仿宋_GB2312" w:hAnsi="仿宋_GB2312" w:eastAsia="仿宋_GB2312"/>
          <w:sz w:val="32"/>
        </w:rPr>
        <w:t>《准则》《条例》梳理形成问题清单58条，建立整改台账58条，加快对党风、政风、行风等方面存在问题的整改。</w:t>
      </w:r>
    </w:p>
    <w:p w14:paraId="0797695E">
      <w:pPr>
        <w:pStyle w:val="35"/>
        <w:spacing w:line="560" w:lineRule="exact"/>
        <w:ind w:firstLine="640"/>
        <w:rPr>
          <w:rFonts w:ascii="仿宋_GB2312" w:hAnsi="仿宋_GB2312" w:eastAsia="仿宋_GB2312"/>
          <w:sz w:val="32"/>
        </w:rPr>
      </w:pPr>
      <w:r>
        <w:rPr>
          <w:rFonts w:hint="eastAsia" w:ascii="仿宋_GB2312" w:hAnsi="仿宋_GB2312" w:eastAsia="仿宋_GB2312"/>
          <w:sz w:val="32"/>
        </w:rPr>
        <w:t>认真开展党 组织和党员“双报到”工作，在新冠肺炎疫情防控、全国文明城市创建、全国城市党建示范县创建、全国人口普查等工作中，主动作为，积极协助攀莲镇城南社区党组织攻坚克难。</w:t>
      </w:r>
    </w:p>
    <w:p w14:paraId="3101BA84">
      <w:pPr>
        <w:pStyle w:val="35"/>
        <w:spacing w:line="560" w:lineRule="exact"/>
        <w:ind w:firstLine="640"/>
        <w:rPr>
          <w:rFonts w:ascii="仿宋_GB2312" w:hAnsi="仿宋_GB2312" w:eastAsia="仿宋_GB2312"/>
          <w:sz w:val="32"/>
        </w:rPr>
      </w:pPr>
      <w:r>
        <w:rPr>
          <w:rFonts w:hint="eastAsia" w:ascii="仿宋_GB2312" w:hAnsi="仿宋_GB2312" w:eastAsia="仿宋_GB2312"/>
          <w:sz w:val="32"/>
        </w:rPr>
        <w:t>征收医保基金4435.97万元。其中，为建档立卡贫困人口18067人代缴个人缴费资金397万元（省级资金146万元，县级资金251万元），参保率达100%。</w:t>
      </w:r>
    </w:p>
    <w:p w14:paraId="24C1CFED">
      <w:pPr>
        <w:pStyle w:val="35"/>
        <w:spacing w:line="560" w:lineRule="exact"/>
        <w:ind w:firstLine="643"/>
        <w:rPr>
          <w:rFonts w:ascii="仿宋_GB2312" w:hAnsi="仿宋_GB2312" w:eastAsia="仿宋_GB2312"/>
          <w:b/>
          <w:sz w:val="32"/>
        </w:rPr>
      </w:pPr>
      <w:r>
        <w:rPr>
          <w:rFonts w:hint="eastAsia" w:ascii="仿宋_GB2312" w:hAnsi="仿宋_GB2312" w:eastAsia="仿宋_GB2312"/>
          <w:b/>
          <w:sz w:val="32"/>
        </w:rPr>
        <w:t>2.强化措施，确保医保改革和政策落实落地</w:t>
      </w:r>
    </w:p>
    <w:p w14:paraId="1B5FD4BF">
      <w:pPr>
        <w:pStyle w:val="35"/>
        <w:spacing w:line="560" w:lineRule="exact"/>
        <w:ind w:firstLine="640"/>
        <w:rPr>
          <w:rFonts w:ascii="仿宋_GB2312" w:hAnsi="仿宋_GB2312" w:eastAsia="仿宋_GB2312"/>
          <w:sz w:val="32"/>
        </w:rPr>
      </w:pPr>
      <w:r>
        <w:rPr>
          <w:rFonts w:hint="eastAsia" w:ascii="仿宋_GB2312" w:hAnsi="仿宋_GB2312" w:eastAsia="仿宋_GB2312"/>
          <w:sz w:val="32"/>
        </w:rPr>
        <w:t>（1）</w:t>
      </w:r>
      <w:r>
        <w:rPr>
          <w:rFonts w:hint="eastAsia" w:ascii="仿宋_GB2312" w:hAnsi="仿宋_GB2312" w:eastAsia="仿宋_GB2312"/>
          <w:b/>
          <w:sz w:val="32"/>
        </w:rPr>
        <w:t>医保征缴与待遇落实工作取得较好成效</w:t>
      </w:r>
      <w:r>
        <w:rPr>
          <w:rFonts w:hint="eastAsia" w:ascii="仿宋_GB2312" w:hAnsi="仿宋_GB2312" w:eastAsia="仿宋_GB2312"/>
          <w:sz w:val="32"/>
        </w:rPr>
        <w:t>。一是全面承接县人社局移交的城镇职工医保征缴工作，</w:t>
      </w:r>
      <w:r>
        <w:rPr>
          <w:rStyle w:val="36"/>
          <w:rFonts w:hint="default" w:hAnsi="仿宋_GB2312"/>
        </w:rPr>
        <w:t>缴费总人数</w:t>
      </w:r>
      <w:r>
        <w:rPr>
          <w:rFonts w:hint="eastAsia" w:ascii="仿宋_GB2312" w:hAnsi="仿宋_GB2312" w:eastAsia="仿宋_GB2312"/>
          <w:sz w:val="32"/>
        </w:rPr>
        <w:t>2.18万人，征缴职工医疗保险资金</w:t>
      </w:r>
      <w:r>
        <w:rPr>
          <w:rStyle w:val="36"/>
          <w:rFonts w:hint="default" w:hAnsi="仿宋_GB2312"/>
        </w:rPr>
        <w:t>10909.11</w:t>
      </w:r>
      <w:r>
        <w:rPr>
          <w:rFonts w:hint="eastAsia" w:ascii="仿宋_GB2312" w:hAnsi="仿宋_GB2312" w:eastAsia="仿宋_GB2312"/>
          <w:sz w:val="32"/>
        </w:rPr>
        <w:t>万元。二是强化落实参保扩面工作，2020年共有</w:t>
      </w:r>
      <w:r>
        <w:rPr>
          <w:rStyle w:val="36"/>
          <w:rFonts w:hint="default" w:hAnsi="仿宋_GB2312"/>
        </w:rPr>
        <w:t>190015</w:t>
      </w:r>
      <w:r>
        <w:rPr>
          <w:rFonts w:hint="eastAsia" w:ascii="仿宋_GB2312" w:hAnsi="仿宋_GB2312" w:eastAsia="仿宋_GB2312"/>
          <w:sz w:val="32"/>
        </w:rPr>
        <w:t>人参加城乡居民医疗保险，征收参保资金5044.36万元，参保率达98%。三是全面落实“一单制结算、一窗口办理、一站式服务”的医保改革服务工作。截至10月，审核13.16万人次的城镇职工医疗费用，支付医保基金2114.65万元，审核37.99万人次的城乡居民医疗费用，支付医保基金7220.63万元。</w:t>
      </w:r>
    </w:p>
    <w:p w14:paraId="7A0A0533">
      <w:pPr>
        <w:pStyle w:val="35"/>
        <w:spacing w:line="560" w:lineRule="exact"/>
        <w:ind w:firstLine="643"/>
        <w:rPr>
          <w:rFonts w:ascii="仿宋_GB2312" w:hAnsi="仿宋_GB2312" w:eastAsia="仿宋_GB2312"/>
          <w:sz w:val="32"/>
        </w:rPr>
      </w:pPr>
      <w:r>
        <w:rPr>
          <w:rStyle w:val="37"/>
          <w:rFonts w:hint="default" w:hAnsi="仿宋_GB2312"/>
          <w:b/>
        </w:rPr>
        <w:t>（2）医保支付方式改革取得明显成效</w:t>
      </w:r>
      <w:r>
        <w:rPr>
          <w:rStyle w:val="37"/>
          <w:rFonts w:hint="default" w:hAnsi="仿宋_GB2312"/>
        </w:rPr>
        <w:t>。一是自2018年实行DRGs（疾病诊断相关分类）支付方式改革国家试点以来，县域内医保基金支出增长更趋合理：2020年职工医保统筹基金支出同比下降8%，城乡居民医保统筹基金支出同比增长仅为4%。二是提升了医疗机构主动控费意识：2020年职工医保同比住院人数下降2%，住院人次下降1%，平均住院床日下降11%，次均费用下降7%，住院总费用下降8%。</w:t>
      </w:r>
    </w:p>
    <w:p w14:paraId="44783C9D">
      <w:pPr>
        <w:pStyle w:val="35"/>
        <w:spacing w:line="560" w:lineRule="exact"/>
        <w:ind w:firstLine="630" w:firstLineChars="196"/>
        <w:rPr>
          <w:rStyle w:val="37"/>
          <w:rFonts w:hint="default" w:hAnsi="仿宋_GB2312"/>
        </w:rPr>
      </w:pPr>
      <w:r>
        <w:rPr>
          <w:rFonts w:hint="eastAsia" w:ascii="仿宋_GB2312" w:hAnsi="仿宋_GB2312" w:eastAsia="仿宋_GB2312"/>
          <w:b/>
          <w:sz w:val="32"/>
        </w:rPr>
        <w:t>（3）中选药品集采预付取得成效。</w:t>
      </w:r>
      <w:r>
        <w:rPr>
          <w:rFonts w:hint="eastAsia" w:ascii="仿宋_GB2312" w:hAnsi="仿宋_GB2312" w:eastAsia="仿宋_GB2312"/>
          <w:sz w:val="32"/>
        </w:rPr>
        <w:t>截至10月,全县有15家定点公立医院在四川省药械采购监管平台上与县医疗保障局19县医疗保障局家中选药品的生产企业（20种中选药品）、12家配送企业签定三方购销合同（第二批集采）136份，采购金额26.06万元；6家公立定点医疗机构增量采购金额37.84万元。</w:t>
      </w:r>
    </w:p>
    <w:p w14:paraId="5BD4F3A5">
      <w:pPr>
        <w:pStyle w:val="35"/>
        <w:spacing w:line="560" w:lineRule="exact"/>
        <w:ind w:firstLine="643"/>
        <w:rPr>
          <w:rFonts w:ascii="仿宋_GB2312" w:hAnsi="仿宋_GB2312" w:eastAsia="仿宋_GB2312"/>
          <w:b/>
          <w:sz w:val="32"/>
        </w:rPr>
      </w:pPr>
      <w:r>
        <w:rPr>
          <w:rFonts w:hint="eastAsia" w:ascii="仿宋_GB2312" w:hAnsi="仿宋_GB2312" w:eastAsia="仿宋_GB2312"/>
          <w:b/>
          <w:sz w:val="32"/>
        </w:rPr>
        <w:t>（4）多措并举，坚决打赢新冠肺炎疫情防控阻击战。</w:t>
      </w:r>
    </w:p>
    <w:p w14:paraId="511D1A50">
      <w:pPr>
        <w:pStyle w:val="35"/>
        <w:spacing w:line="560" w:lineRule="exact"/>
        <w:ind w:firstLine="640"/>
        <w:rPr>
          <w:rFonts w:ascii="仿宋_GB2312" w:hAnsi="仿宋_GB2312" w:eastAsia="仿宋_GB2312"/>
          <w:sz w:val="32"/>
        </w:rPr>
      </w:pPr>
      <w:r>
        <w:rPr>
          <w:rFonts w:hint="eastAsia" w:ascii="仿宋_GB2312" w:hAnsi="仿宋_GB2312" w:eastAsia="仿宋_GB2312"/>
          <w:sz w:val="32"/>
        </w:rPr>
        <w:t>一是建立医保定点医药机构与新冠病毒肺炎相关的奥司他韦、阿奇霉素等82个品规药械销售价格监测“日报告制度”，并开展常态化价格监测。二是及时将100万元医保基金预拨至县医院，并指导县医院切实执行确诊及疑似新冠肺炎患者的医疗费特殊报销政策。</w:t>
      </w:r>
    </w:p>
    <w:p w14:paraId="67E8DD05">
      <w:pPr>
        <w:pStyle w:val="35"/>
        <w:spacing w:line="560" w:lineRule="exact"/>
        <w:ind w:firstLine="643"/>
        <w:rPr>
          <w:rFonts w:ascii="仿宋_GB2312" w:hAnsi="仿宋_GB2312" w:eastAsia="仿宋_GB2312"/>
          <w:b/>
          <w:sz w:val="32"/>
        </w:rPr>
      </w:pPr>
      <w:r>
        <w:rPr>
          <w:rFonts w:hint="eastAsia" w:ascii="仿宋_GB2312" w:hAnsi="仿宋_GB2312" w:eastAsia="仿宋_GB2312"/>
          <w:b/>
          <w:sz w:val="32"/>
        </w:rPr>
        <w:t>3.持续加强基金监管力度，确保医保基金安全</w:t>
      </w:r>
    </w:p>
    <w:p w14:paraId="3163009D">
      <w:pPr>
        <w:pStyle w:val="35"/>
        <w:spacing w:line="560" w:lineRule="exact"/>
        <w:ind w:firstLine="643"/>
        <w:rPr>
          <w:rFonts w:ascii="仿宋_GB2312" w:hAnsi="仿宋_GB2312" w:eastAsia="仿宋_GB2312"/>
          <w:sz w:val="32"/>
        </w:rPr>
      </w:pPr>
      <w:r>
        <w:rPr>
          <w:rFonts w:hint="eastAsia" w:ascii="仿宋_GB2312" w:hAnsi="仿宋_GB2312" w:eastAsia="仿宋_GB2312"/>
          <w:b/>
          <w:sz w:val="32"/>
        </w:rPr>
        <w:t>（1）建章立制，夯实风险控制基础。</w:t>
      </w:r>
      <w:r>
        <w:rPr>
          <w:rFonts w:hint="eastAsia" w:ascii="仿宋_GB2312" w:hAnsi="仿宋_GB2312" w:eastAsia="仿宋_GB2312"/>
          <w:sz w:val="32"/>
        </w:rPr>
        <w:t>联合县卫健局、县公安局等9部门印发了《关于印发打击欺诈骗取医疗保险基金工作联席会议制度的通知》，建立行政执法与刑事司法有效衔接机制，明确各部门职责，建立各相关部门相互配合、互通信息、协同监管，共同维护医保基金安全综合监管制度。</w:t>
      </w:r>
    </w:p>
    <w:p w14:paraId="06C1ABF3">
      <w:pPr>
        <w:pStyle w:val="35"/>
        <w:spacing w:line="560" w:lineRule="exact"/>
        <w:ind w:firstLine="643"/>
        <w:rPr>
          <w:rStyle w:val="37"/>
          <w:rFonts w:hint="default" w:hAnsi="仿宋_GB2312"/>
        </w:rPr>
      </w:pPr>
      <w:r>
        <w:rPr>
          <w:rFonts w:hint="eastAsia" w:ascii="仿宋_GB2312" w:hAnsi="仿宋_GB2312" w:eastAsia="仿宋_GB2312"/>
          <w:b/>
          <w:sz w:val="32"/>
        </w:rPr>
        <w:t>（2）扎实推进医保基金专项治理工作。</w:t>
      </w:r>
      <w:r>
        <w:rPr>
          <w:rFonts w:hint="eastAsia" w:ascii="仿宋_GB2312" w:hAnsi="仿宋_GB2312" w:eastAsia="仿宋_GB2312"/>
          <w:sz w:val="32"/>
        </w:rPr>
        <w:t>一是全覆盖开展2019年度考核工作。采取全面自查与综合考核的方式对</w:t>
      </w:r>
      <w:r>
        <w:rPr>
          <w:rStyle w:val="36"/>
          <w:rFonts w:hint="default" w:hAnsi="仿宋_GB2312"/>
        </w:rPr>
        <w:t>辖区内96家定点医药机构进行了考评，纳入2019年度考核93家，定点医疗机构评出</w:t>
      </w:r>
      <w:r>
        <w:rPr>
          <w:rFonts w:hint="eastAsia" w:ascii="仿宋_GB2312" w:hAnsi="仿宋_GB2312" w:eastAsia="仿宋_GB2312"/>
          <w:sz w:val="32"/>
        </w:rPr>
        <w:t>优秀等次3家，合格等次20家</w:t>
      </w:r>
      <w:r>
        <w:rPr>
          <w:rStyle w:val="36"/>
          <w:rFonts w:hint="default" w:hAnsi="仿宋_GB2312"/>
        </w:rPr>
        <w:t>；定点零售药店评出</w:t>
      </w:r>
      <w:r>
        <w:rPr>
          <w:rFonts w:hint="eastAsia" w:ascii="仿宋_GB2312" w:hAnsi="仿宋_GB2312" w:eastAsia="仿宋_GB2312"/>
          <w:sz w:val="32"/>
        </w:rPr>
        <w:t>优秀等次17家，合格等次53家。</w:t>
      </w:r>
      <w:r>
        <w:rPr>
          <w:rStyle w:val="36"/>
          <w:rFonts w:hint="default" w:hAnsi="仿宋_GB2312"/>
        </w:rPr>
        <w:t>二是完成2019年住院信息披露工作。通过定点医疗机构自查自纠、核实在床率、针对性抽查住院病历等完成</w:t>
      </w:r>
      <w:r>
        <w:rPr>
          <w:rFonts w:hint="eastAsia" w:ascii="仿宋_GB2312" w:hAnsi="仿宋_GB2312" w:eastAsia="仿宋_GB2312"/>
          <w:sz w:val="32"/>
        </w:rPr>
        <w:t>全市2019年基本医保定点医疗机构住院费用披露信息反映问题的核查处理工作。约谈部分定点医疗机构，追回违规资金1.41万元，处违约金2.19万元。截至10月，通过信息披露、自查自纠、专项检查、</w:t>
      </w:r>
      <w:r>
        <w:rPr>
          <w:rStyle w:val="34"/>
          <w:rFonts w:hint="default" w:hAnsi="仿宋_GB2312"/>
        </w:rPr>
        <w:t>建档立卡贫困人口住院期间门诊缴费、2019年年度考核、市医保局飞检等共查出违规费用、支付违约金总额49.91万元。</w:t>
      </w:r>
    </w:p>
    <w:p w14:paraId="12CF86A0">
      <w:pPr>
        <w:pStyle w:val="35"/>
        <w:spacing w:line="560" w:lineRule="exact"/>
        <w:ind w:firstLine="643"/>
        <w:rPr>
          <w:rFonts w:ascii="仿宋_GB2312" w:hAnsi="仿宋_GB2312" w:eastAsia="仿宋_GB2312"/>
          <w:b/>
          <w:sz w:val="32"/>
        </w:rPr>
      </w:pPr>
      <w:r>
        <w:rPr>
          <w:rFonts w:hint="eastAsia" w:ascii="仿宋_GB2312" w:hAnsi="仿宋_GB2312" w:eastAsia="仿宋_GB2312"/>
          <w:b/>
          <w:sz w:val="32"/>
        </w:rPr>
        <w:t>4.群策群力，扎实做好医疗保障脱贫攻坚工作</w:t>
      </w:r>
    </w:p>
    <w:p w14:paraId="56A2AADF">
      <w:pPr>
        <w:pStyle w:val="35"/>
        <w:spacing w:line="560" w:lineRule="exact"/>
        <w:ind w:firstLine="643"/>
        <w:rPr>
          <w:rFonts w:ascii="仿宋_GB2312" w:hAnsi="仿宋_GB2312" w:eastAsia="仿宋_GB2312"/>
          <w:b/>
          <w:sz w:val="32"/>
        </w:rPr>
      </w:pPr>
      <w:r>
        <w:rPr>
          <w:rFonts w:hint="eastAsia" w:ascii="仿宋_GB2312" w:hAnsi="仿宋_GB2312" w:eastAsia="仿宋_GB2312"/>
          <w:b/>
          <w:sz w:val="32"/>
        </w:rPr>
        <w:t>（1）确保资助建档立卡贫困人口100%参加城乡居民基本医疗保险。</w:t>
      </w:r>
    </w:p>
    <w:p w14:paraId="18A8CB47">
      <w:pPr>
        <w:pStyle w:val="35"/>
        <w:spacing w:line="560" w:lineRule="exact"/>
        <w:ind w:firstLine="640"/>
        <w:rPr>
          <w:rFonts w:ascii="仿宋_GB2312" w:hAnsi="仿宋_GB2312" w:eastAsia="仿宋_GB2312"/>
          <w:sz w:val="32"/>
        </w:rPr>
      </w:pPr>
      <w:r>
        <w:rPr>
          <w:rFonts w:hint="eastAsia" w:ascii="仿宋_GB2312" w:hAnsi="仿宋_GB2312" w:eastAsia="仿宋_GB2312"/>
          <w:sz w:val="32"/>
        </w:rPr>
        <w:t>一是2020年全面完成建档立卡贫困人口18774人（含凉山自发搬迁贫困户589户2921人）和非建档立卡特殊困难户全额资助参保工作，参保率100%。二是做好动态新增贫困人口资助缴费工作，县医疗保障局和县扶贫开发局建立数据共享和比对机制，做到“日交换、周汇总”。三是联合县卫健局制定《米易县非建档立卡特殊困难户医疗保障工作措</w:t>
      </w:r>
      <w:r>
        <w:rPr>
          <w:rFonts w:hint="eastAsia" w:ascii="仿宋_GB2312" w:hAnsi="仿宋_GB2312" w:eastAsia="仿宋_GB2312"/>
          <w:spacing w:val="-10"/>
          <w:sz w:val="32"/>
        </w:rPr>
        <w:t>施》，将非建档立卡特殊困难户纳入资助参保和医疗救助范围。</w:t>
      </w:r>
    </w:p>
    <w:p w14:paraId="556B0985">
      <w:pPr>
        <w:pStyle w:val="35"/>
        <w:spacing w:line="560" w:lineRule="exact"/>
        <w:ind w:firstLine="643"/>
        <w:rPr>
          <w:rFonts w:ascii="仿宋_GB2312" w:hAnsi="仿宋_GB2312" w:eastAsia="仿宋_GB2312"/>
          <w:b/>
          <w:sz w:val="32"/>
        </w:rPr>
      </w:pPr>
      <w:r>
        <w:rPr>
          <w:rFonts w:hint="eastAsia" w:ascii="仿宋_GB2312" w:hAnsi="仿宋_GB2312" w:eastAsia="仿宋_GB2312"/>
          <w:b/>
          <w:sz w:val="32"/>
        </w:rPr>
        <w:t>（2）确保贫困人口享受医保待遇</w:t>
      </w:r>
    </w:p>
    <w:p w14:paraId="4F6246C6">
      <w:pPr>
        <w:pStyle w:val="35"/>
        <w:spacing w:line="560" w:lineRule="exact"/>
        <w:ind w:firstLine="640"/>
        <w:rPr>
          <w:rFonts w:ascii="仿宋_GB2312" w:hAnsi="仿宋_GB2312" w:eastAsia="仿宋_GB2312"/>
          <w:sz w:val="32"/>
        </w:rPr>
      </w:pPr>
      <w:r>
        <w:rPr>
          <w:rFonts w:hint="eastAsia" w:ascii="仿宋_GB2312" w:hAnsi="仿宋_GB2312" w:eastAsia="仿宋_GB2312"/>
          <w:sz w:val="32"/>
        </w:rPr>
        <w:t>全县定点医疗机构均实行了基本医疗、大病保险、补充保险及基本医疗倾斜支付、医疗救助的“一单制结算”，并实现与卫生扶贫救助基金“一站式服务、一窗口办理”，最大限度减轻困难群众垫付医疗费负担。</w:t>
      </w:r>
    </w:p>
    <w:p w14:paraId="4281A454">
      <w:pPr>
        <w:pStyle w:val="35"/>
        <w:spacing w:line="560" w:lineRule="exact"/>
        <w:ind w:firstLine="643"/>
        <w:rPr>
          <w:rFonts w:ascii="仿宋_GB2312" w:hAnsi="仿宋_GB2312" w:eastAsia="仿宋_GB2312"/>
          <w:b/>
          <w:sz w:val="32"/>
        </w:rPr>
      </w:pPr>
      <w:r>
        <w:rPr>
          <w:rFonts w:hint="eastAsia" w:ascii="仿宋_GB2312" w:hAnsi="仿宋_GB2312" w:eastAsia="仿宋_GB2312"/>
          <w:b/>
          <w:sz w:val="32"/>
        </w:rPr>
        <w:t>5.坚决落实医疗保障脱贫攻坚领域问题整改工作，确保整改措施有力有效、问题清零销号。</w:t>
      </w:r>
    </w:p>
    <w:p w14:paraId="65A1E37E">
      <w:pPr>
        <w:pStyle w:val="35"/>
        <w:spacing w:line="560" w:lineRule="exact"/>
        <w:ind w:firstLine="640"/>
        <w:rPr>
          <w:rFonts w:ascii="仿宋_GB2312" w:hAnsi="仿宋_GB2312" w:eastAsia="仿宋_GB2312"/>
          <w:sz w:val="32"/>
        </w:rPr>
      </w:pPr>
      <w:r>
        <w:rPr>
          <w:rFonts w:hint="eastAsia" w:ascii="仿宋_GB2312" w:hAnsi="仿宋_GB2312" w:eastAsia="仿宋_GB2312"/>
          <w:sz w:val="32"/>
        </w:rPr>
        <w:t>完成2019年国家脱贫攻坚成效考核问题整改工作。通过开通“绿色通道”、实行“容缺受理”、加大宣传力度、制定慢病核查流程，按照“应认尽认”的原则，联合县卫健局、县医疗集团开展现场审核认定。截至10月，全县符合条件的建档立卡贫困人口门特认定备案累计2105人次，其中：一类291人次，二类352人次，三类1416人次。非建档立卡特殊困难户门特认定备案累计153人次，其中：一类30人次，二类33人次，三类90人次。</w:t>
      </w:r>
    </w:p>
    <w:p w14:paraId="4A0FBF1F">
      <w:pPr>
        <w:pStyle w:val="35"/>
        <w:spacing w:line="560" w:lineRule="exact"/>
        <w:ind w:firstLine="640"/>
        <w:rPr>
          <w:rFonts w:ascii="仿宋_GB2312" w:hAnsi="仿宋_GB2312" w:eastAsia="仿宋_GB2312"/>
          <w:sz w:val="32"/>
        </w:rPr>
      </w:pPr>
      <w:r>
        <w:rPr>
          <w:rFonts w:hint="eastAsia" w:ascii="仿宋_GB2312" w:hAnsi="仿宋_GB2312" w:eastAsia="仿宋_GB2312"/>
          <w:sz w:val="32"/>
        </w:rPr>
        <w:t>完成2019年脱贫攻坚成效省级交叉考核反馈问题整改工作。为确保动态调整新增贫困人口城乡居民基本医疗保险个人缴费部分实行财政全额代缴，积极与县扶贫开发局对接，及时交换动态调整新增贫困人口信息，及时参保，确保对其参加本年度的城乡居民基本医疗保险个人缴费部分实现财政全额代缴。</w:t>
      </w:r>
    </w:p>
    <w:p w14:paraId="5F712994">
      <w:pPr>
        <w:pStyle w:val="35"/>
        <w:spacing w:line="560" w:lineRule="exact"/>
        <w:ind w:firstLine="643"/>
        <w:rPr>
          <w:rFonts w:ascii="仿宋_GB2312" w:hAnsi="仿宋_GB2312" w:eastAsia="仿宋_GB2312"/>
          <w:b/>
          <w:sz w:val="32"/>
        </w:rPr>
      </w:pPr>
      <w:r>
        <w:rPr>
          <w:rFonts w:hint="eastAsia" w:ascii="仿宋_GB2312" w:hAnsi="仿宋_GB2312" w:eastAsia="仿宋_GB2312"/>
          <w:b/>
          <w:sz w:val="32"/>
        </w:rPr>
        <w:t>6.工作特色和亮点。</w:t>
      </w:r>
    </w:p>
    <w:p w14:paraId="0AD41B3F">
      <w:pPr>
        <w:pStyle w:val="35"/>
        <w:spacing w:line="560" w:lineRule="exact"/>
        <w:ind w:firstLine="643"/>
        <w:rPr>
          <w:rFonts w:ascii="仿宋_GB2312" w:hAnsi="仿宋_GB2312" w:eastAsia="仿宋_GB2312"/>
          <w:b/>
          <w:sz w:val="32"/>
        </w:rPr>
      </w:pPr>
      <w:r>
        <w:rPr>
          <w:rFonts w:hint="eastAsia" w:ascii="仿宋_GB2312" w:hAnsi="仿宋_GB2312" w:eastAsia="仿宋_GB2312"/>
          <w:b/>
          <w:sz w:val="32"/>
        </w:rPr>
        <w:t>（1）异地就医结算，助力康养产业。</w:t>
      </w:r>
    </w:p>
    <w:p w14:paraId="634DBE05">
      <w:pPr>
        <w:pStyle w:val="35"/>
        <w:spacing w:line="560" w:lineRule="exact"/>
        <w:ind w:firstLine="640"/>
        <w:rPr>
          <w:rFonts w:ascii="仿宋_GB2312" w:hAnsi="仿宋_GB2312" w:eastAsia="仿宋_GB2312"/>
          <w:sz w:val="32"/>
        </w:rPr>
      </w:pPr>
      <w:r>
        <w:rPr>
          <w:rFonts w:hint="eastAsia" w:ascii="仿宋_GB2312" w:hAnsi="仿宋_GB2312" w:eastAsia="仿宋_GB2312"/>
          <w:sz w:val="32"/>
        </w:rPr>
        <w:t>加强与成都市医疗保障局的深入对接，助推米易县与成都市医疗保障局签订深化医疗保障合作备忘录，实现成都市参保人员在米易县住院（包括门诊特殊疾病）不备案、不提高起付线、不降低报销比例。据统计，11月3至13日，在米易县就医住院的成都市康养人员11人，均实现了不备案直接联网结算，医疗总费用17.49万元，医保报销11.13万元，实实在在减轻了成都市参保人员在米易的就医负担。</w:t>
      </w:r>
    </w:p>
    <w:p w14:paraId="09B05C92">
      <w:pPr>
        <w:pStyle w:val="35"/>
        <w:spacing w:line="560" w:lineRule="exact"/>
        <w:ind w:firstLine="643"/>
        <w:rPr>
          <w:rFonts w:ascii="仿宋_GB2312" w:hAnsi="仿宋_GB2312" w:eastAsia="仿宋_GB2312"/>
          <w:b/>
          <w:sz w:val="32"/>
        </w:rPr>
      </w:pPr>
      <w:r>
        <w:rPr>
          <w:rFonts w:hint="eastAsia" w:ascii="仿宋_GB2312" w:hAnsi="仿宋_GB2312" w:eastAsia="仿宋_GB2312"/>
          <w:b/>
          <w:sz w:val="32"/>
        </w:rPr>
        <w:t>（2）送策入企，助企发展解困。</w:t>
      </w:r>
    </w:p>
    <w:p w14:paraId="6695F767">
      <w:pPr>
        <w:pStyle w:val="35"/>
        <w:spacing w:line="560" w:lineRule="exact"/>
        <w:ind w:firstLine="640"/>
        <w:rPr>
          <w:rFonts w:ascii="仿宋_GB2312" w:hAnsi="仿宋_GB2312" w:eastAsia="仿宋_GB2312"/>
          <w:sz w:val="32"/>
        </w:rPr>
      </w:pPr>
      <w:r>
        <w:rPr>
          <w:rFonts w:hint="eastAsia" w:ascii="仿宋_GB2312" w:hAnsi="仿宋_GB2312" w:eastAsia="仿宋_GB2312"/>
          <w:sz w:val="32"/>
        </w:rPr>
        <w:t>通过“清理排查，摸清底数”、“上门服务，送策入企”方式助力企业复工复产，确保职工基本医疗有保障，特别是建档立卡贫困户和非建档立卡特殊困难户的参保和医保待遇享受问题。对县域内参保企业进行全面清理排查，梳理参保企业及职工的缴费状态、企业经营状况及存在的问题和困难。牵头形成部门联合作战的合力，为欠费企业履行社会保险责任量身定做了个性化解决措施，助力企业发展，增强企业发展信心。</w:t>
      </w:r>
    </w:p>
    <w:p w14:paraId="4AA078BD">
      <w:pPr>
        <w:pStyle w:val="35"/>
        <w:spacing w:line="560" w:lineRule="exact"/>
        <w:ind w:firstLine="643"/>
        <w:rPr>
          <w:rFonts w:ascii="仿宋_GB2312" w:hAnsi="仿宋_GB2312" w:eastAsia="仿宋_GB2312"/>
          <w:b/>
          <w:sz w:val="32"/>
        </w:rPr>
      </w:pPr>
      <w:r>
        <w:rPr>
          <w:rFonts w:hint="eastAsia" w:ascii="仿宋_GB2312" w:hAnsi="仿宋_GB2312" w:eastAsia="仿宋_GB2312"/>
          <w:b/>
          <w:sz w:val="32"/>
        </w:rPr>
        <w:t>（3）“村医通”医保系统打通医保联网即时结算“最后一公里”。</w:t>
      </w:r>
    </w:p>
    <w:p w14:paraId="2A3FDC20">
      <w:pPr>
        <w:pStyle w:val="35"/>
        <w:spacing w:line="560" w:lineRule="exact"/>
        <w:ind w:firstLine="640"/>
        <w:rPr>
          <w:rFonts w:ascii="仿宋_GB2312" w:hAnsi="仿宋_GB2312" w:eastAsia="仿宋_GB2312"/>
          <w:sz w:val="32"/>
        </w:rPr>
      </w:pPr>
      <w:r>
        <w:rPr>
          <w:rFonts w:hint="eastAsia" w:ascii="仿宋_GB2312" w:hAnsi="仿宋_GB2312" w:eastAsia="仿宋_GB2312"/>
          <w:sz w:val="32"/>
        </w:rPr>
        <w:t>解决村卫生室使用“村医通”进行医保结算存在的网络使用、系统维护、刷卡机具购买经费等问题。全县25个贫困村的村卫生室已经实现了“村医通”医保系统的全覆盖，让农村参保群众“足不出村”就能享受医保即时结算服务。截至10月，“村医通”医保系统结算1596人次，医保报销5.49万元。</w:t>
      </w:r>
    </w:p>
    <w:p w14:paraId="4071C35C">
      <w:pPr>
        <w:pStyle w:val="35"/>
        <w:spacing w:line="560" w:lineRule="exact"/>
        <w:ind w:firstLine="643"/>
        <w:rPr>
          <w:rFonts w:ascii="仿宋_GB2312" w:hAnsi="仿宋_GB2312" w:eastAsia="仿宋_GB2312"/>
          <w:b/>
          <w:sz w:val="32"/>
        </w:rPr>
      </w:pPr>
      <w:r>
        <w:rPr>
          <w:rFonts w:hint="eastAsia" w:ascii="仿宋_GB2312" w:hAnsi="仿宋_GB2312" w:eastAsia="仿宋_GB2312"/>
          <w:b/>
          <w:sz w:val="32"/>
        </w:rPr>
        <w:t>（4）积极创新，确保疫情防控期间“医保服务不打烊，群众待遇不耽误”。</w:t>
      </w:r>
    </w:p>
    <w:p w14:paraId="0A27E4D8">
      <w:pPr>
        <w:pStyle w:val="35"/>
        <w:spacing w:line="560" w:lineRule="exact"/>
        <w:ind w:firstLine="640"/>
        <w:rPr>
          <w:rFonts w:ascii="仿宋_GB2312" w:hAnsi="仿宋_GB2312" w:eastAsia="仿宋_GB2312"/>
          <w:b/>
          <w:sz w:val="32"/>
        </w:rPr>
      </w:pPr>
      <w:r>
        <w:rPr>
          <w:rFonts w:hint="eastAsia" w:ascii="仿宋_GB2312" w:hAnsi="仿宋_GB2312" w:eastAsia="仿宋_GB2312"/>
          <w:sz w:val="32"/>
        </w:rPr>
        <w:t>一是主动开展“医保服务上门办”，积极组织业务骨干送预约服务到基层。二是通过推进医保业务“不见面”服务、“电话预约”服务和延后服务等方式。</w:t>
      </w:r>
    </w:p>
    <w:p w14:paraId="51CBD6AC">
      <w:pPr>
        <w:spacing w:line="560" w:lineRule="exact"/>
        <w:ind w:firstLine="640" w:firstLineChars="200"/>
        <w:rPr>
          <w:rFonts w:ascii="黑体" w:hAnsi="黑体" w:eastAsia="黑体"/>
          <w:sz w:val="32"/>
        </w:rPr>
      </w:pPr>
      <w:r>
        <w:rPr>
          <w:rFonts w:hint="eastAsia" w:ascii="黑体" w:hAnsi="黑体" w:eastAsia="黑体"/>
          <w:sz w:val="32"/>
        </w:rPr>
        <w:t>二、机构设置</w:t>
      </w:r>
    </w:p>
    <w:p w14:paraId="7AB1F5FA">
      <w:pPr>
        <w:spacing w:line="560" w:lineRule="exact"/>
        <w:ind w:firstLine="640" w:firstLineChars="200"/>
        <w:rPr>
          <w:rFonts w:ascii="仿宋" w:hAnsi="仿宋" w:eastAsia="仿宋"/>
          <w:sz w:val="32"/>
          <w:szCs w:val="32"/>
        </w:rPr>
      </w:pPr>
      <w:r>
        <w:rPr>
          <w:rFonts w:hint="eastAsia" w:ascii="仿宋" w:hAnsi="仿宋" w:eastAsia="仿宋"/>
          <w:sz w:val="32"/>
          <w:szCs w:val="32"/>
        </w:rPr>
        <w:t>米易县医疗保障局下属二级单位1个，其中行政单位0个，参照公务员法管理的事业单位</w:t>
      </w:r>
      <w:r>
        <w:rPr>
          <w:rFonts w:hint="eastAsia" w:ascii="仿宋" w:hAnsi="仿宋" w:eastAsia="仿宋"/>
          <w:bCs/>
          <w:sz w:val="32"/>
          <w:szCs w:val="32"/>
        </w:rPr>
        <w:t>1</w:t>
      </w:r>
      <w:r>
        <w:rPr>
          <w:rFonts w:hint="eastAsia" w:ascii="仿宋" w:hAnsi="仿宋" w:eastAsia="仿宋"/>
          <w:sz w:val="32"/>
          <w:szCs w:val="32"/>
        </w:rPr>
        <w:t>个，其他事业单位0个。</w:t>
      </w:r>
    </w:p>
    <w:p w14:paraId="073D68EF">
      <w:pPr>
        <w:pStyle w:val="35"/>
        <w:spacing w:line="560" w:lineRule="exact"/>
        <w:ind w:firstLine="640"/>
        <w:rPr>
          <w:rFonts w:eastAsia="仿宋_GB2312"/>
          <w:color w:val="000000"/>
          <w:sz w:val="32"/>
          <w:szCs w:val="32"/>
        </w:rPr>
      </w:pPr>
      <w:r>
        <w:rPr>
          <w:rFonts w:hint="eastAsia" w:ascii="仿宋" w:hAnsi="仿宋" w:eastAsia="仿宋"/>
          <w:color w:val="000000"/>
          <w:sz w:val="32"/>
          <w:szCs w:val="32"/>
        </w:rPr>
        <w:t>纳入</w:t>
      </w:r>
      <w:r>
        <w:rPr>
          <w:rFonts w:hint="eastAsia" w:ascii="仿宋" w:hAnsi="仿宋" w:eastAsia="仿宋"/>
          <w:sz w:val="32"/>
          <w:szCs w:val="32"/>
        </w:rPr>
        <w:t>米易县医疗保障局</w:t>
      </w:r>
      <w:r>
        <w:rPr>
          <w:rFonts w:ascii="仿宋" w:hAnsi="仿宋" w:eastAsia="仿宋"/>
          <w:color w:val="000000"/>
          <w:sz w:val="32"/>
          <w:szCs w:val="32"/>
        </w:rPr>
        <w:t>2020</w:t>
      </w:r>
      <w:r>
        <w:rPr>
          <w:rFonts w:hint="eastAsia" w:ascii="仿宋" w:hAnsi="仿宋" w:eastAsia="仿宋"/>
          <w:color w:val="000000"/>
          <w:sz w:val="32"/>
          <w:szCs w:val="32"/>
        </w:rPr>
        <w:t>年度部门决算编制范围的二级预算单位</w:t>
      </w:r>
      <w:r>
        <w:rPr>
          <w:rFonts w:hint="eastAsia" w:ascii="仿宋" w:hAnsi="仿宋" w:eastAsia="仿宋"/>
          <w:bCs/>
          <w:sz w:val="32"/>
          <w:szCs w:val="32"/>
        </w:rPr>
        <w:t>1</w:t>
      </w:r>
      <w:r>
        <w:rPr>
          <w:rFonts w:hint="eastAsia" w:ascii="仿宋" w:hAnsi="仿宋" w:eastAsia="仿宋"/>
          <w:sz w:val="32"/>
          <w:szCs w:val="32"/>
        </w:rPr>
        <w:t>个：</w:t>
      </w:r>
      <w:r>
        <w:rPr>
          <w:rFonts w:hint="eastAsia" w:ascii="仿宋" w:hAnsi="仿宋" w:eastAsia="仿宋"/>
          <w:color w:val="000000"/>
          <w:sz w:val="32"/>
          <w:szCs w:val="32"/>
        </w:rPr>
        <w:t>米易县医疗保障事务中心</w:t>
      </w:r>
    </w:p>
    <w:p w14:paraId="57640FA1">
      <w:pPr>
        <w:spacing w:line="560" w:lineRule="exact"/>
        <w:ind w:firstLine="640" w:firstLineChars="200"/>
        <w:rPr>
          <w:rFonts w:ascii="仿宋_GB2312" w:eastAsia="仿宋_GB2312"/>
          <w:sz w:val="32"/>
          <w:szCs w:val="32"/>
        </w:rPr>
      </w:pPr>
    </w:p>
    <w:p w14:paraId="5A60330D">
      <w:pPr>
        <w:widowControl/>
        <w:spacing w:line="560" w:lineRule="exact"/>
        <w:jc w:val="left"/>
        <w:rPr>
          <w:rFonts w:ascii="仿宋" w:hAnsi="仿宋" w:eastAsia="仿宋"/>
          <w:color w:val="000000"/>
          <w:kern w:val="0"/>
          <w:sz w:val="32"/>
          <w:szCs w:val="32"/>
        </w:rPr>
      </w:pPr>
      <w:r>
        <w:rPr>
          <w:rFonts w:ascii="仿宋" w:hAnsi="仿宋" w:eastAsia="仿宋"/>
          <w:color w:val="000000"/>
          <w:sz w:val="32"/>
          <w:szCs w:val="32"/>
        </w:rPr>
        <w:br w:type="page"/>
      </w:r>
    </w:p>
    <w:p w14:paraId="4D4782C1">
      <w:pPr>
        <w:pStyle w:val="2"/>
        <w:spacing w:before="0" w:after="0" w:line="560" w:lineRule="exact"/>
        <w:jc w:val="right"/>
        <w:rPr>
          <w:rStyle w:val="26"/>
          <w:rFonts w:ascii="黑体" w:hAnsi="黑体" w:eastAsia="黑体"/>
          <w:b w:val="0"/>
          <w:bCs w:val="0"/>
        </w:rPr>
      </w:pPr>
      <w:bookmarkStart w:id="16" w:name="_Toc15377204"/>
      <w:bookmarkStart w:id="17" w:name="_Toc15396602"/>
      <w:r>
        <w:rPr>
          <w:rFonts w:hint="eastAsia" w:ascii="黑体" w:hAnsi="黑体" w:eastAsia="黑体"/>
          <w:b w:val="0"/>
          <w:color w:val="000000"/>
        </w:rPr>
        <w:t>第二部分</w:t>
      </w:r>
      <w:r>
        <w:rPr>
          <w:rStyle w:val="26"/>
          <w:rFonts w:eastAsia="黑体"/>
          <w:b w:val="0"/>
          <w:bCs w:val="0"/>
        </w:rPr>
        <w:t>2020</w:t>
      </w:r>
      <w:r>
        <w:rPr>
          <w:rStyle w:val="26"/>
          <w:rFonts w:hint="eastAsia" w:ascii="黑体" w:hAnsi="黑体" w:eastAsia="黑体"/>
          <w:b w:val="0"/>
          <w:bCs w:val="0"/>
        </w:rPr>
        <w:t>年度部门决算情况说明</w:t>
      </w:r>
      <w:bookmarkEnd w:id="16"/>
      <w:bookmarkEnd w:id="17"/>
    </w:p>
    <w:p w14:paraId="34E14387">
      <w:pPr>
        <w:spacing w:line="560" w:lineRule="exact"/>
        <w:outlineLvl w:val="1"/>
      </w:pPr>
      <w:bookmarkStart w:id="18" w:name="_Toc15377205"/>
      <w:bookmarkStart w:id="19" w:name="_Toc15396603"/>
    </w:p>
    <w:p w14:paraId="2728E687">
      <w:pPr>
        <w:spacing w:line="560" w:lineRule="exact"/>
        <w:ind w:firstLine="640" w:firstLineChars="200"/>
        <w:outlineLvl w:val="1"/>
        <w:rPr>
          <w:rStyle w:val="27"/>
          <w:rFonts w:ascii="黑体" w:hAnsi="黑体" w:eastAsia="黑体"/>
          <w:b w:val="0"/>
        </w:rPr>
      </w:pPr>
      <w:r>
        <w:rPr>
          <w:rFonts w:hint="eastAsia" w:ascii="黑体" w:hAnsi="黑体" w:eastAsia="黑体"/>
          <w:color w:val="000000"/>
          <w:sz w:val="32"/>
          <w:szCs w:val="32"/>
        </w:rPr>
        <w:t>一、收</w:t>
      </w:r>
      <w:r>
        <w:rPr>
          <w:rStyle w:val="27"/>
          <w:rFonts w:hint="eastAsia" w:ascii="黑体" w:hAnsi="黑体" w:eastAsia="黑体"/>
          <w:b w:val="0"/>
        </w:rPr>
        <w:t>入支出决算总体情况说明</w:t>
      </w:r>
      <w:bookmarkEnd w:id="18"/>
      <w:bookmarkEnd w:id="19"/>
    </w:p>
    <w:p w14:paraId="76FA2952">
      <w:pPr>
        <w:spacing w:line="560" w:lineRule="exact"/>
        <w:ind w:firstLine="640"/>
        <w:rPr>
          <w:rFonts w:eastAsia="仿宋_GB2312"/>
          <w:sz w:val="32"/>
        </w:rPr>
      </w:pPr>
      <w:r>
        <w:rPr>
          <w:rFonts w:eastAsia="仿宋_GB2312"/>
          <w:sz w:val="32"/>
          <w:szCs w:val="32"/>
        </w:rPr>
        <w:t>2020年本年收入总计2016.19万元（其中本年收入1881.45万元、年初结转和结余134.74万元），本年支出总计2016.19万元（其中本年支出2002.28万元、年末结转和结余13.91万元），与2019年相比，收、支总计</w:t>
      </w:r>
      <w:r>
        <w:rPr>
          <w:rFonts w:hAnsi="仿宋_GB2312" w:eastAsia="仿宋_GB2312"/>
          <w:sz w:val="32"/>
        </w:rPr>
        <w:t>与上年度各增加了</w:t>
      </w:r>
      <w:r>
        <w:rPr>
          <w:rFonts w:eastAsia="仿宋_GB2312"/>
          <w:sz w:val="32"/>
        </w:rPr>
        <w:t>1228.51</w:t>
      </w:r>
      <w:r>
        <w:rPr>
          <w:rFonts w:hAnsi="仿宋_GB2312" w:eastAsia="仿宋_GB2312"/>
          <w:sz w:val="32"/>
        </w:rPr>
        <w:t>万元，增加了</w:t>
      </w:r>
      <w:r>
        <w:rPr>
          <w:rFonts w:eastAsia="仿宋_GB2312"/>
          <w:sz w:val="32"/>
        </w:rPr>
        <w:t>138.86%</w:t>
      </w:r>
      <w:r>
        <w:rPr>
          <w:rFonts w:hAnsi="仿宋_GB2312" w:eastAsia="仿宋_GB2312"/>
          <w:sz w:val="32"/>
        </w:rPr>
        <w:t>，</w:t>
      </w:r>
      <w:r>
        <w:rPr>
          <w:rFonts w:hAnsi="仿宋" w:eastAsia="仿宋"/>
          <w:color w:val="000000"/>
          <w:sz w:val="32"/>
          <w:szCs w:val="32"/>
        </w:rPr>
        <w:t>主要变动原因是</w:t>
      </w:r>
      <w:r>
        <w:rPr>
          <w:rFonts w:eastAsia="仿宋"/>
          <w:color w:val="000000"/>
          <w:sz w:val="32"/>
          <w:szCs w:val="32"/>
        </w:rPr>
        <w:t>2020</w:t>
      </w:r>
      <w:r>
        <w:rPr>
          <w:rFonts w:hAnsi="仿宋" w:eastAsia="仿宋"/>
          <w:color w:val="000000"/>
          <w:sz w:val="32"/>
          <w:szCs w:val="32"/>
        </w:rPr>
        <w:t>年县</w:t>
      </w:r>
      <w:r>
        <w:rPr>
          <w:rFonts w:hAnsi="仿宋_GB2312" w:eastAsia="仿宋_GB2312"/>
          <w:sz w:val="32"/>
        </w:rPr>
        <w:t>医保事务中心与医保局合并为一个财务账套。</w:t>
      </w:r>
    </w:p>
    <w:p w14:paraId="353E708A">
      <w:pPr>
        <w:widowControl/>
        <w:jc w:val="left"/>
        <w:rPr>
          <w:rFonts w:ascii="宋体" w:hAnsi="宋体" w:cs="宋体"/>
          <w:kern w:val="0"/>
          <w:sz w:val="24"/>
        </w:rPr>
      </w:pPr>
      <w:r>
        <w:rPr>
          <w:rFonts w:ascii="宋体" w:hAnsi="宋体" w:cs="宋体"/>
          <w:kern w:val="0"/>
          <w:sz w:val="24"/>
        </w:rPr>
        <w:drawing>
          <wp:inline distT="0" distB="0" distL="0" distR="0">
            <wp:extent cx="5269230" cy="2879725"/>
            <wp:effectExtent l="19050" t="0" r="7620" b="0"/>
            <wp:docPr id="5" name="图片 3" descr="C:\Users\Administrator\AppData\Roaming\Tencent\Users\3495491\QQ\WinTemp\RichOle\X{G2UA9Z~`4R(W{A76~7_}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descr="C:\Users\Administrator\AppData\Roaming\Tencent\Users\3495491\QQ\WinTemp\RichOle\X{G2UA9Z~`4R(W{A76~7_}D.png"/>
                    <pic:cNvPicPr>
                      <a:picLocks noChangeAspect="1" noChangeArrowheads="1"/>
                    </pic:cNvPicPr>
                  </pic:nvPicPr>
                  <pic:blipFill>
                    <a:blip r:embed="rId9"/>
                    <a:srcRect/>
                    <a:stretch>
                      <a:fillRect/>
                    </a:stretch>
                  </pic:blipFill>
                  <pic:spPr>
                    <a:xfrm>
                      <a:off x="0" y="0"/>
                      <a:ext cx="5268985" cy="2880000"/>
                    </a:xfrm>
                    <a:prstGeom prst="rect">
                      <a:avLst/>
                    </a:prstGeom>
                    <a:noFill/>
                    <a:ln w="9525">
                      <a:noFill/>
                      <a:miter lim="800000"/>
                      <a:headEnd/>
                      <a:tailEnd/>
                    </a:ln>
                  </pic:spPr>
                </pic:pic>
              </a:graphicData>
            </a:graphic>
          </wp:inline>
        </w:drawing>
      </w:r>
    </w:p>
    <w:p w14:paraId="13E2020C">
      <w:pPr>
        <w:spacing w:line="600" w:lineRule="exact"/>
        <w:ind w:left="640"/>
        <w:jc w:val="center"/>
        <w:outlineLvl w:val="1"/>
        <w:rPr>
          <w:rFonts w:ascii="黑体" w:hAnsi="黑体" w:eastAsia="黑体"/>
          <w:color w:val="000000"/>
          <w:sz w:val="32"/>
          <w:szCs w:val="32"/>
        </w:rPr>
      </w:pPr>
      <w:bookmarkStart w:id="20" w:name="_Toc15377206"/>
      <w:bookmarkStart w:id="21" w:name="_Toc15396604"/>
      <w:r>
        <w:rPr>
          <w:rFonts w:hint="eastAsia" w:ascii="仿宋" w:hAnsi="仿宋" w:eastAsia="仿宋"/>
          <w:color w:val="000000"/>
          <w:sz w:val="32"/>
          <w:szCs w:val="32"/>
        </w:rPr>
        <w:t>（图</w:t>
      </w:r>
      <w:r>
        <w:rPr>
          <w:rFonts w:ascii="仿宋" w:hAnsi="仿宋" w:eastAsia="仿宋"/>
          <w:color w:val="000000"/>
          <w:sz w:val="32"/>
          <w:szCs w:val="32"/>
        </w:rPr>
        <w:t>1</w:t>
      </w:r>
      <w:r>
        <w:rPr>
          <w:rFonts w:hint="eastAsia" w:ascii="仿宋" w:hAnsi="仿宋" w:eastAsia="仿宋"/>
          <w:color w:val="000000"/>
          <w:sz w:val="32"/>
          <w:szCs w:val="32"/>
        </w:rPr>
        <w:t>：收、支决算总计变动情况图）</w:t>
      </w:r>
    </w:p>
    <w:p w14:paraId="78431841">
      <w:pPr>
        <w:spacing w:line="600" w:lineRule="exact"/>
        <w:ind w:left="640"/>
        <w:outlineLvl w:val="1"/>
        <w:rPr>
          <w:rStyle w:val="27"/>
          <w:rFonts w:ascii="黑体" w:hAnsi="黑体" w:eastAsia="黑体"/>
          <w:b w:val="0"/>
        </w:rPr>
      </w:pPr>
      <w:r>
        <w:rPr>
          <w:rFonts w:hint="eastAsia" w:ascii="黑体" w:hAnsi="黑体" w:eastAsia="黑体"/>
          <w:color w:val="000000"/>
          <w:sz w:val="32"/>
          <w:szCs w:val="32"/>
        </w:rPr>
        <w:t>二、收</w:t>
      </w:r>
      <w:r>
        <w:rPr>
          <w:rStyle w:val="27"/>
          <w:rFonts w:hint="eastAsia" w:ascii="黑体" w:hAnsi="黑体" w:eastAsia="黑体"/>
          <w:b w:val="0"/>
        </w:rPr>
        <w:t>入决算情况说明</w:t>
      </w:r>
      <w:bookmarkEnd w:id="20"/>
      <w:bookmarkEnd w:id="21"/>
    </w:p>
    <w:p w14:paraId="0AE0AF69">
      <w:pPr>
        <w:spacing w:line="600" w:lineRule="exact"/>
        <w:ind w:firstLine="640" w:firstLineChars="200"/>
        <w:outlineLvl w:val="1"/>
        <w:rPr>
          <w:rFonts w:eastAsia="仿宋_GB2312"/>
          <w:color w:val="000000"/>
          <w:sz w:val="32"/>
          <w:szCs w:val="32"/>
        </w:rPr>
      </w:pPr>
      <w:r>
        <w:rPr>
          <w:rFonts w:eastAsia="仿宋_GB2312"/>
          <w:color w:val="000000"/>
          <w:sz w:val="32"/>
          <w:szCs w:val="32"/>
        </w:rPr>
        <w:t>2020年本年收入合计1881.45万元，其中：一般公共预算财政拨款收入1731.16万元，占92.01%；政府性基金预算财政拨款129.33万元，占6.88%；其他收入20.96万元，占1.11%。</w:t>
      </w:r>
    </w:p>
    <w:p w14:paraId="1067F89C">
      <w:pPr>
        <w:widowControl/>
        <w:jc w:val="left"/>
        <w:rPr>
          <w:rFonts w:ascii="宋体" w:hAnsi="宋体" w:cs="宋体"/>
          <w:kern w:val="0"/>
          <w:sz w:val="24"/>
        </w:rPr>
      </w:pPr>
      <w:r>
        <w:rPr>
          <w:rFonts w:ascii="宋体" w:hAnsi="宋体" w:cs="宋体"/>
          <w:kern w:val="0"/>
          <w:sz w:val="24"/>
        </w:rPr>
        <w:drawing>
          <wp:inline distT="0" distB="0" distL="0" distR="0">
            <wp:extent cx="5238750" cy="2879090"/>
            <wp:effectExtent l="19050" t="0" r="0" b="0"/>
            <wp:docPr id="8" name="图片 5" descr="C:\Users\Administrator\AppData\Roaming\Tencent\Users\3495491\QQ\WinTemp\RichOle\ZCN6]9O`A[ZD[LBX{1Y])X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5" descr="C:\Users\Administrator\AppData\Roaming\Tencent\Users\3495491\QQ\WinTemp\RichOle\ZCN6]9O`A[ZD[LBX{1Y])XG.png"/>
                    <pic:cNvPicPr>
                      <a:picLocks noChangeAspect="1" noChangeArrowheads="1"/>
                    </pic:cNvPicPr>
                  </pic:nvPicPr>
                  <pic:blipFill>
                    <a:blip r:embed="rId10"/>
                    <a:srcRect/>
                    <a:stretch>
                      <a:fillRect/>
                    </a:stretch>
                  </pic:blipFill>
                  <pic:spPr>
                    <a:xfrm>
                      <a:off x="0" y="0"/>
                      <a:ext cx="5240369" cy="2880000"/>
                    </a:xfrm>
                    <a:prstGeom prst="rect">
                      <a:avLst/>
                    </a:prstGeom>
                    <a:noFill/>
                    <a:ln w="9525">
                      <a:noFill/>
                      <a:miter lim="800000"/>
                      <a:headEnd/>
                      <a:tailEnd/>
                    </a:ln>
                  </pic:spPr>
                </pic:pic>
              </a:graphicData>
            </a:graphic>
          </wp:inline>
        </w:drawing>
      </w:r>
    </w:p>
    <w:p w14:paraId="12258DAE">
      <w:pPr>
        <w:spacing w:line="600" w:lineRule="exact"/>
        <w:ind w:left="640"/>
        <w:jc w:val="center"/>
        <w:outlineLvl w:val="1"/>
        <w:rPr>
          <w:rFonts w:ascii="黑体" w:hAnsi="黑体" w:eastAsia="黑体"/>
          <w:color w:val="000000"/>
          <w:sz w:val="32"/>
          <w:szCs w:val="32"/>
        </w:rPr>
      </w:pPr>
      <w:bookmarkStart w:id="22" w:name="_Toc15396605"/>
      <w:bookmarkStart w:id="23" w:name="_Toc15377207"/>
      <w:r>
        <w:rPr>
          <w:rFonts w:hint="eastAsia" w:ascii="仿宋" w:hAnsi="仿宋" w:eastAsia="仿宋"/>
          <w:color w:val="000000"/>
          <w:sz w:val="32"/>
          <w:szCs w:val="32"/>
        </w:rPr>
        <w:t>（图</w:t>
      </w:r>
      <w:r>
        <w:rPr>
          <w:rFonts w:ascii="仿宋" w:hAnsi="仿宋" w:eastAsia="仿宋"/>
          <w:color w:val="000000"/>
          <w:sz w:val="32"/>
          <w:szCs w:val="32"/>
        </w:rPr>
        <w:t>2</w:t>
      </w:r>
      <w:r>
        <w:rPr>
          <w:rFonts w:hint="eastAsia" w:ascii="仿宋" w:hAnsi="仿宋" w:eastAsia="仿宋"/>
          <w:color w:val="000000"/>
          <w:sz w:val="32"/>
          <w:szCs w:val="32"/>
        </w:rPr>
        <w:t>：收入决算结构图）</w:t>
      </w:r>
    </w:p>
    <w:p w14:paraId="0DF7F198">
      <w:pPr>
        <w:spacing w:line="600" w:lineRule="exact"/>
        <w:ind w:left="640"/>
        <w:outlineLvl w:val="1"/>
        <w:rPr>
          <w:rStyle w:val="27"/>
          <w:rFonts w:ascii="黑体" w:hAnsi="黑体" w:eastAsia="黑体"/>
          <w:b w:val="0"/>
        </w:rPr>
      </w:pPr>
      <w:r>
        <w:rPr>
          <w:rFonts w:hint="eastAsia" w:ascii="黑体" w:hAnsi="黑体" w:eastAsia="黑体"/>
          <w:color w:val="000000"/>
          <w:sz w:val="32"/>
          <w:szCs w:val="32"/>
        </w:rPr>
        <w:t>三、支</w:t>
      </w:r>
      <w:r>
        <w:rPr>
          <w:rStyle w:val="27"/>
          <w:rFonts w:hint="eastAsia" w:ascii="黑体" w:hAnsi="黑体" w:eastAsia="黑体"/>
          <w:b w:val="0"/>
        </w:rPr>
        <w:t>出决算情况说明</w:t>
      </w:r>
      <w:bookmarkEnd w:id="22"/>
      <w:bookmarkEnd w:id="23"/>
    </w:p>
    <w:p w14:paraId="451D6763">
      <w:pPr>
        <w:spacing w:line="600" w:lineRule="exact"/>
        <w:ind w:firstLine="640" w:firstLineChars="200"/>
        <w:outlineLvl w:val="1"/>
        <w:rPr>
          <w:rFonts w:eastAsia="仿宋_GB2312"/>
          <w:color w:val="000000"/>
          <w:sz w:val="32"/>
          <w:szCs w:val="32"/>
        </w:rPr>
      </w:pPr>
      <w:r>
        <w:rPr>
          <w:rFonts w:eastAsia="仿宋_GB2312"/>
          <w:color w:val="000000"/>
          <w:sz w:val="32"/>
          <w:szCs w:val="32"/>
        </w:rPr>
        <w:t>2020年本年支出合计2002.28万元，其中：基本支出305.9万元，占15.27%；项目支出1696.38万元，占84.73%。</w:t>
      </w:r>
    </w:p>
    <w:p w14:paraId="37FACFBD">
      <w:pPr>
        <w:widowControl/>
        <w:jc w:val="left"/>
        <w:rPr>
          <w:rFonts w:ascii="宋体" w:hAnsi="宋体" w:cs="宋体"/>
          <w:kern w:val="0"/>
          <w:sz w:val="24"/>
        </w:rPr>
      </w:pPr>
      <w:r>
        <w:rPr>
          <w:rFonts w:ascii="宋体" w:hAnsi="宋体" w:cs="宋体"/>
          <w:kern w:val="0"/>
          <w:sz w:val="24"/>
        </w:rPr>
        <w:drawing>
          <wp:inline distT="0" distB="0" distL="0" distR="0">
            <wp:extent cx="5193030" cy="2773680"/>
            <wp:effectExtent l="19050" t="0" r="7620" b="0"/>
            <wp:docPr id="15" name="图片 9" descr="C:\Users\Administrator\AppData\Roaming\Tencent\Users\3495491\QQ\WinTemp\RichOle\6Z570AD8OC4F{QCY%U(4[5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9" descr="C:\Users\Administrator\AppData\Roaming\Tencent\Users\3495491\QQ\WinTemp\RichOle\6Z570AD8OC4F{QCY%U(4[5M.png"/>
                    <pic:cNvPicPr>
                      <a:picLocks noChangeAspect="1" noChangeArrowheads="1"/>
                    </pic:cNvPicPr>
                  </pic:nvPicPr>
                  <pic:blipFill>
                    <a:blip r:embed="rId11"/>
                    <a:srcRect/>
                    <a:stretch>
                      <a:fillRect/>
                    </a:stretch>
                  </pic:blipFill>
                  <pic:spPr>
                    <a:xfrm>
                      <a:off x="0" y="0"/>
                      <a:ext cx="5192834" cy="2773575"/>
                    </a:xfrm>
                    <a:prstGeom prst="rect">
                      <a:avLst/>
                    </a:prstGeom>
                    <a:noFill/>
                    <a:ln w="9525">
                      <a:noFill/>
                      <a:miter lim="800000"/>
                      <a:headEnd/>
                      <a:tailEnd/>
                    </a:ln>
                  </pic:spPr>
                </pic:pic>
              </a:graphicData>
            </a:graphic>
          </wp:inline>
        </w:drawing>
      </w:r>
    </w:p>
    <w:p w14:paraId="45A98B3E">
      <w:pPr>
        <w:spacing w:line="600" w:lineRule="exact"/>
        <w:ind w:firstLine="640" w:firstLineChars="200"/>
        <w:jc w:val="center"/>
        <w:outlineLvl w:val="1"/>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3</w:t>
      </w:r>
      <w:r>
        <w:rPr>
          <w:rFonts w:hint="eastAsia" w:ascii="仿宋" w:hAnsi="仿宋" w:eastAsia="仿宋"/>
          <w:color w:val="000000"/>
          <w:sz w:val="32"/>
          <w:szCs w:val="32"/>
        </w:rPr>
        <w:t>：支出决算结构图）</w:t>
      </w:r>
    </w:p>
    <w:p w14:paraId="5E1A76CD">
      <w:pPr>
        <w:spacing w:line="600" w:lineRule="exact"/>
        <w:ind w:firstLine="640" w:firstLineChars="200"/>
        <w:outlineLvl w:val="1"/>
        <w:rPr>
          <w:rStyle w:val="27"/>
          <w:rFonts w:ascii="黑体" w:hAnsi="黑体" w:eastAsia="黑体"/>
          <w:b w:val="0"/>
        </w:rPr>
      </w:pPr>
      <w:bookmarkStart w:id="24" w:name="_Toc15377208"/>
      <w:bookmarkStart w:id="25" w:name="_Toc15396606"/>
      <w:r>
        <w:rPr>
          <w:rFonts w:hint="eastAsia" w:ascii="黑体" w:hAnsi="黑体" w:eastAsia="黑体"/>
          <w:color w:val="000000"/>
          <w:sz w:val="32"/>
          <w:szCs w:val="32"/>
        </w:rPr>
        <w:t>四、财</w:t>
      </w:r>
      <w:r>
        <w:rPr>
          <w:rStyle w:val="27"/>
          <w:rFonts w:hint="eastAsia" w:ascii="黑体" w:hAnsi="黑体" w:eastAsia="黑体"/>
          <w:b w:val="0"/>
        </w:rPr>
        <w:t>政拨款收入支出决算总体情况说明</w:t>
      </w:r>
      <w:bookmarkEnd w:id="24"/>
      <w:bookmarkEnd w:id="25"/>
    </w:p>
    <w:p w14:paraId="4099C9AE">
      <w:pPr>
        <w:snapToGrid w:val="0"/>
        <w:spacing w:line="520" w:lineRule="exact"/>
        <w:ind w:firstLine="640" w:firstLineChars="200"/>
        <w:rPr>
          <w:rFonts w:eastAsia="仿宋_GB2312"/>
          <w:sz w:val="32"/>
        </w:rPr>
      </w:pPr>
      <w:r>
        <w:rPr>
          <w:rFonts w:eastAsia="仿宋"/>
          <w:color w:val="000000"/>
          <w:sz w:val="32"/>
          <w:szCs w:val="32"/>
        </w:rPr>
        <w:t>2020</w:t>
      </w:r>
      <w:r>
        <w:rPr>
          <w:rFonts w:hAnsi="仿宋" w:eastAsia="仿宋"/>
          <w:color w:val="000000"/>
          <w:sz w:val="32"/>
          <w:szCs w:val="32"/>
        </w:rPr>
        <w:t>年财政拨款收入、支出总计均是</w:t>
      </w:r>
      <w:r>
        <w:rPr>
          <w:rFonts w:eastAsia="仿宋"/>
          <w:color w:val="000000"/>
          <w:sz w:val="32"/>
          <w:szCs w:val="32"/>
        </w:rPr>
        <w:t>1981.23</w:t>
      </w:r>
      <w:r>
        <w:rPr>
          <w:rFonts w:hAnsi="仿宋" w:eastAsia="仿宋"/>
          <w:color w:val="000000"/>
          <w:sz w:val="32"/>
          <w:szCs w:val="32"/>
        </w:rPr>
        <w:t>万元。与</w:t>
      </w:r>
      <w:r>
        <w:rPr>
          <w:rFonts w:eastAsia="仿宋"/>
          <w:color w:val="000000"/>
          <w:sz w:val="32"/>
          <w:szCs w:val="32"/>
        </w:rPr>
        <w:t>2019</w:t>
      </w:r>
      <w:r>
        <w:rPr>
          <w:rFonts w:hAnsi="仿宋" w:eastAsia="仿宋"/>
          <w:color w:val="000000"/>
          <w:sz w:val="32"/>
          <w:szCs w:val="32"/>
        </w:rPr>
        <w:t>年相比，财政拨款收入、支出总计增加</w:t>
      </w:r>
      <w:r>
        <w:rPr>
          <w:rFonts w:eastAsia="仿宋"/>
          <w:color w:val="000000"/>
          <w:sz w:val="32"/>
          <w:szCs w:val="32"/>
        </w:rPr>
        <w:t>1193.55</w:t>
      </w:r>
      <w:r>
        <w:rPr>
          <w:rFonts w:hAnsi="仿宋" w:eastAsia="仿宋"/>
          <w:color w:val="000000"/>
          <w:sz w:val="32"/>
          <w:szCs w:val="32"/>
        </w:rPr>
        <w:t>万元，增长</w:t>
      </w:r>
      <w:r>
        <w:rPr>
          <w:rFonts w:eastAsia="仿宋"/>
          <w:color w:val="000000"/>
          <w:sz w:val="32"/>
          <w:szCs w:val="32"/>
        </w:rPr>
        <w:t>151.53%</w:t>
      </w:r>
      <w:r>
        <w:rPr>
          <w:rFonts w:hAnsi="仿宋" w:eastAsia="仿宋"/>
          <w:color w:val="000000"/>
          <w:sz w:val="32"/>
          <w:szCs w:val="32"/>
        </w:rPr>
        <w:t>。主要变动原因是</w:t>
      </w:r>
      <w:r>
        <w:rPr>
          <w:rFonts w:eastAsia="仿宋"/>
          <w:color w:val="000000"/>
          <w:sz w:val="32"/>
          <w:szCs w:val="32"/>
        </w:rPr>
        <w:t>2020</w:t>
      </w:r>
      <w:r>
        <w:rPr>
          <w:rFonts w:hAnsi="仿宋" w:eastAsia="仿宋"/>
          <w:color w:val="000000"/>
          <w:sz w:val="32"/>
          <w:szCs w:val="32"/>
        </w:rPr>
        <w:t>年县</w:t>
      </w:r>
      <w:r>
        <w:rPr>
          <w:rFonts w:hAnsi="仿宋_GB2312" w:eastAsia="仿宋_GB2312"/>
          <w:sz w:val="32"/>
        </w:rPr>
        <w:t>医保事务中心与医保局合并为一个财务账套。</w:t>
      </w:r>
    </w:p>
    <w:p w14:paraId="0F6248E9">
      <w:pPr>
        <w:widowControl/>
        <w:jc w:val="left"/>
        <w:rPr>
          <w:rFonts w:ascii="宋体" w:hAnsi="宋体" w:cs="宋体"/>
          <w:kern w:val="0"/>
          <w:sz w:val="24"/>
        </w:rPr>
      </w:pPr>
      <w:r>
        <w:rPr>
          <w:rFonts w:ascii="宋体" w:hAnsi="宋体" w:cs="宋体"/>
          <w:kern w:val="0"/>
          <w:sz w:val="24"/>
        </w:rPr>
        <w:drawing>
          <wp:inline distT="0" distB="0" distL="0" distR="0">
            <wp:extent cx="5322570" cy="2849880"/>
            <wp:effectExtent l="19050" t="0" r="0" b="0"/>
            <wp:docPr id="14" name="图片 7" descr="C:\Users\Administrator\AppData\Roaming\Tencent\Users\3495491\QQ\WinTemp\RichOle\S)WCG$@`H4XLWY$_$FCS@J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7" descr="C:\Users\Administrator\AppData\Roaming\Tencent\Users\3495491\QQ\WinTemp\RichOle\S)WCG$@`H4XLWY$_$FCS@J8.png"/>
                    <pic:cNvPicPr>
                      <a:picLocks noChangeAspect="1" noChangeArrowheads="1"/>
                    </pic:cNvPicPr>
                  </pic:nvPicPr>
                  <pic:blipFill>
                    <a:blip r:embed="rId12"/>
                    <a:srcRect/>
                    <a:stretch>
                      <a:fillRect/>
                    </a:stretch>
                  </pic:blipFill>
                  <pic:spPr>
                    <a:xfrm>
                      <a:off x="0" y="0"/>
                      <a:ext cx="5322570" cy="2849880"/>
                    </a:xfrm>
                    <a:prstGeom prst="rect">
                      <a:avLst/>
                    </a:prstGeom>
                    <a:noFill/>
                    <a:ln w="9525">
                      <a:noFill/>
                      <a:miter lim="800000"/>
                      <a:headEnd/>
                      <a:tailEnd/>
                    </a:ln>
                  </pic:spPr>
                </pic:pic>
              </a:graphicData>
            </a:graphic>
          </wp:inline>
        </w:drawing>
      </w:r>
    </w:p>
    <w:p w14:paraId="28FE416C">
      <w:pPr>
        <w:snapToGrid w:val="0"/>
        <w:spacing w:line="520" w:lineRule="exact"/>
        <w:jc w:val="center"/>
        <w:rPr>
          <w:rFonts w:ascii="仿宋_GB2312" w:hAnsi="仿宋_GB2312" w:eastAsia="仿宋_GB2312"/>
          <w:sz w:val="32"/>
        </w:rPr>
      </w:pPr>
      <w:r>
        <w:rPr>
          <w:rFonts w:hint="eastAsia" w:ascii="仿宋" w:hAnsi="仿宋" w:eastAsia="仿宋"/>
          <w:color w:val="000000"/>
          <w:sz w:val="32"/>
          <w:szCs w:val="32"/>
        </w:rPr>
        <w:t>（图</w:t>
      </w:r>
      <w:r>
        <w:rPr>
          <w:rFonts w:ascii="仿宋" w:hAnsi="仿宋" w:eastAsia="仿宋"/>
          <w:color w:val="000000"/>
          <w:sz w:val="32"/>
          <w:szCs w:val="32"/>
        </w:rPr>
        <w:t>4</w:t>
      </w:r>
      <w:r>
        <w:rPr>
          <w:rFonts w:hint="eastAsia" w:ascii="仿宋" w:hAnsi="仿宋" w:eastAsia="仿宋"/>
          <w:color w:val="000000"/>
          <w:sz w:val="32"/>
          <w:szCs w:val="32"/>
        </w:rPr>
        <w:t>：财政拨款收、支决算总计变动情况）</w:t>
      </w:r>
    </w:p>
    <w:p w14:paraId="01CF74E1">
      <w:pPr>
        <w:spacing w:line="600" w:lineRule="exact"/>
        <w:ind w:firstLine="640" w:firstLineChars="200"/>
        <w:outlineLvl w:val="1"/>
        <w:rPr>
          <w:rStyle w:val="27"/>
          <w:rFonts w:ascii="黑体" w:hAnsi="黑体" w:eastAsia="黑体"/>
          <w:b w:val="0"/>
        </w:rPr>
      </w:pPr>
      <w:bookmarkStart w:id="26" w:name="_Toc15396607"/>
      <w:bookmarkStart w:id="27" w:name="_Toc15377209"/>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7"/>
          <w:rFonts w:hint="eastAsia" w:ascii="黑体" w:hAnsi="黑体" w:eastAsia="黑体"/>
          <w:b w:val="0"/>
        </w:rPr>
        <w:t>般公共预算财政拨款支出决算情况说明</w:t>
      </w:r>
      <w:bookmarkEnd w:id="26"/>
      <w:bookmarkEnd w:id="27"/>
    </w:p>
    <w:p w14:paraId="4CAADF18">
      <w:pPr>
        <w:spacing w:line="600" w:lineRule="exact"/>
        <w:ind w:firstLine="643" w:firstLineChars="200"/>
        <w:outlineLvl w:val="2"/>
        <w:rPr>
          <w:rFonts w:eastAsia="仿宋"/>
          <w:b/>
          <w:color w:val="000000"/>
          <w:sz w:val="32"/>
          <w:szCs w:val="32"/>
        </w:rPr>
      </w:pPr>
      <w:bookmarkStart w:id="28" w:name="_Toc15377210"/>
      <w:r>
        <w:rPr>
          <w:rFonts w:hAnsi="仿宋" w:eastAsia="仿宋"/>
          <w:b/>
          <w:color w:val="000000"/>
          <w:sz w:val="32"/>
          <w:szCs w:val="32"/>
        </w:rPr>
        <w:t>（一）一般公共预算财政拨款支出决算总体情况</w:t>
      </w:r>
      <w:bookmarkEnd w:id="28"/>
    </w:p>
    <w:p w14:paraId="2F9CBC02">
      <w:pPr>
        <w:spacing w:line="600" w:lineRule="exact"/>
        <w:ind w:firstLine="640" w:firstLineChars="200"/>
        <w:rPr>
          <w:rFonts w:eastAsia="仿宋"/>
          <w:color w:val="000000"/>
          <w:sz w:val="32"/>
          <w:szCs w:val="32"/>
        </w:rPr>
      </w:pPr>
      <w:r>
        <w:rPr>
          <w:rFonts w:eastAsia="仿宋"/>
          <w:color w:val="000000"/>
          <w:sz w:val="32"/>
          <w:szCs w:val="32"/>
        </w:rPr>
        <w:t>2020</w:t>
      </w:r>
      <w:r>
        <w:rPr>
          <w:rFonts w:hAnsi="仿宋" w:eastAsia="仿宋"/>
          <w:color w:val="000000"/>
          <w:sz w:val="32"/>
          <w:szCs w:val="32"/>
        </w:rPr>
        <w:t>年一般公共预算财政拨款支出</w:t>
      </w:r>
      <w:r>
        <w:rPr>
          <w:rFonts w:eastAsia="仿宋"/>
          <w:color w:val="000000"/>
          <w:sz w:val="32"/>
          <w:szCs w:val="32"/>
        </w:rPr>
        <w:t>1839.66</w:t>
      </w:r>
      <w:r>
        <w:rPr>
          <w:rFonts w:hAnsi="仿宋" w:eastAsia="仿宋"/>
          <w:color w:val="000000"/>
          <w:sz w:val="32"/>
          <w:szCs w:val="32"/>
        </w:rPr>
        <w:t>万元，占本年支出合计的</w:t>
      </w:r>
      <w:r>
        <w:rPr>
          <w:rFonts w:eastAsia="仿宋"/>
          <w:color w:val="000000"/>
          <w:sz w:val="32"/>
          <w:szCs w:val="32"/>
        </w:rPr>
        <w:t>92.85%</w:t>
      </w:r>
      <w:r>
        <w:rPr>
          <w:rFonts w:hAnsi="仿宋" w:eastAsia="仿宋"/>
          <w:color w:val="000000"/>
          <w:sz w:val="32"/>
          <w:szCs w:val="32"/>
        </w:rPr>
        <w:t>。与</w:t>
      </w:r>
      <w:r>
        <w:rPr>
          <w:rFonts w:eastAsia="仿宋"/>
          <w:color w:val="000000"/>
          <w:sz w:val="32"/>
          <w:szCs w:val="32"/>
        </w:rPr>
        <w:t>2019</w:t>
      </w:r>
      <w:r>
        <w:rPr>
          <w:rFonts w:hAnsi="仿宋" w:eastAsia="仿宋"/>
          <w:color w:val="000000"/>
          <w:sz w:val="32"/>
          <w:szCs w:val="32"/>
        </w:rPr>
        <w:t>年相比，一般公共预算财政拨款增加</w:t>
      </w:r>
      <w:r>
        <w:rPr>
          <w:rFonts w:eastAsia="仿宋"/>
          <w:color w:val="000000"/>
          <w:sz w:val="32"/>
          <w:szCs w:val="32"/>
        </w:rPr>
        <w:t>1244</w:t>
      </w:r>
      <w:r>
        <w:rPr>
          <w:rFonts w:hAnsi="仿宋" w:eastAsia="仿宋"/>
          <w:color w:val="000000"/>
          <w:sz w:val="32"/>
          <w:szCs w:val="32"/>
        </w:rPr>
        <w:t>万元，增长</w:t>
      </w:r>
      <w:r>
        <w:rPr>
          <w:rFonts w:eastAsia="仿宋"/>
          <w:color w:val="000000"/>
          <w:sz w:val="32"/>
          <w:szCs w:val="32"/>
        </w:rPr>
        <w:t>208.84%</w:t>
      </w:r>
      <w:r>
        <w:rPr>
          <w:rFonts w:hAnsi="仿宋" w:eastAsia="仿宋"/>
          <w:color w:val="000000"/>
          <w:sz w:val="32"/>
          <w:szCs w:val="32"/>
        </w:rPr>
        <w:t>。主要变动原因是</w:t>
      </w:r>
      <w:r>
        <w:rPr>
          <w:rFonts w:eastAsia="仿宋"/>
          <w:color w:val="000000"/>
          <w:sz w:val="32"/>
          <w:szCs w:val="32"/>
        </w:rPr>
        <w:t>2020</w:t>
      </w:r>
      <w:r>
        <w:rPr>
          <w:rFonts w:hAnsi="仿宋" w:eastAsia="仿宋"/>
          <w:color w:val="000000"/>
          <w:sz w:val="32"/>
          <w:szCs w:val="32"/>
        </w:rPr>
        <w:t>年县</w:t>
      </w:r>
      <w:r>
        <w:rPr>
          <w:rFonts w:hAnsi="仿宋_GB2312" w:eastAsia="仿宋_GB2312"/>
          <w:sz w:val="32"/>
        </w:rPr>
        <w:t>医保事务中心与医保局合并为一个财务账套。</w:t>
      </w:r>
    </w:p>
    <w:p w14:paraId="5B2B284C">
      <w:pPr>
        <w:widowControl/>
        <w:jc w:val="left"/>
        <w:rPr>
          <w:rFonts w:ascii="宋体" w:hAnsi="宋体" w:cs="宋体"/>
          <w:kern w:val="0"/>
          <w:sz w:val="24"/>
        </w:rPr>
      </w:pPr>
      <w:r>
        <w:rPr>
          <w:rFonts w:ascii="宋体" w:hAnsi="宋体" w:cs="宋体"/>
          <w:kern w:val="0"/>
          <w:sz w:val="24"/>
        </w:rPr>
        <w:drawing>
          <wp:inline distT="0" distB="0" distL="0" distR="0">
            <wp:extent cx="5261610" cy="2461260"/>
            <wp:effectExtent l="19050" t="0" r="0" b="0"/>
            <wp:docPr id="16" name="图片 11" descr="C:\Users\Administrator\AppData\Roaming\Tencent\Users\3495491\QQ\WinTemp\RichOle\IJZ8Z{W0Y%EPLW(PZ`B7_N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1" descr="C:\Users\Administrator\AppData\Roaming\Tencent\Users\3495491\QQ\WinTemp\RichOle\IJZ8Z{W0Y%EPLW(PZ`B7_NL.png"/>
                    <pic:cNvPicPr>
                      <a:picLocks noChangeAspect="1" noChangeArrowheads="1"/>
                    </pic:cNvPicPr>
                  </pic:nvPicPr>
                  <pic:blipFill>
                    <a:blip r:embed="rId13"/>
                    <a:srcRect/>
                    <a:stretch>
                      <a:fillRect/>
                    </a:stretch>
                  </pic:blipFill>
                  <pic:spPr>
                    <a:xfrm>
                      <a:off x="0" y="0"/>
                      <a:ext cx="5262283" cy="2461575"/>
                    </a:xfrm>
                    <a:prstGeom prst="rect">
                      <a:avLst/>
                    </a:prstGeom>
                    <a:noFill/>
                    <a:ln w="9525">
                      <a:noFill/>
                      <a:miter lim="800000"/>
                      <a:headEnd/>
                      <a:tailEnd/>
                    </a:ln>
                  </pic:spPr>
                </pic:pic>
              </a:graphicData>
            </a:graphic>
          </wp:inline>
        </w:drawing>
      </w:r>
    </w:p>
    <w:p w14:paraId="2364B4F4">
      <w:pPr>
        <w:spacing w:line="600" w:lineRule="exact"/>
        <w:ind w:firstLine="640" w:firstLineChars="200"/>
        <w:rPr>
          <w:rFonts w:eastAsia="仿宋_GB2312"/>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5</w:t>
      </w:r>
      <w:r>
        <w:rPr>
          <w:rFonts w:hint="eastAsia" w:ascii="仿宋" w:hAnsi="仿宋" w:eastAsia="仿宋"/>
          <w:color w:val="000000"/>
          <w:sz w:val="32"/>
          <w:szCs w:val="32"/>
        </w:rPr>
        <w:t>：一般公共预算财政拨款支出决算变动情况）</w:t>
      </w:r>
    </w:p>
    <w:p w14:paraId="4D39137B">
      <w:pPr>
        <w:spacing w:line="600" w:lineRule="exact"/>
        <w:ind w:firstLine="643" w:firstLineChars="200"/>
        <w:outlineLvl w:val="2"/>
        <w:rPr>
          <w:rFonts w:ascii="仿宋" w:hAnsi="仿宋" w:eastAsia="仿宋"/>
          <w:b/>
          <w:color w:val="000000"/>
          <w:sz w:val="32"/>
          <w:szCs w:val="32"/>
        </w:rPr>
      </w:pPr>
      <w:bookmarkStart w:id="29" w:name="_Toc15377211"/>
      <w:r>
        <w:rPr>
          <w:rFonts w:hint="eastAsia" w:ascii="仿宋" w:hAnsi="仿宋" w:eastAsia="仿宋"/>
          <w:b/>
          <w:color w:val="000000"/>
          <w:sz w:val="32"/>
          <w:szCs w:val="32"/>
        </w:rPr>
        <w:t>（二）一般公共预算财政拨款支出决算结构情况</w:t>
      </w:r>
      <w:bookmarkEnd w:id="29"/>
    </w:p>
    <w:p w14:paraId="2AB65B04">
      <w:pPr>
        <w:spacing w:line="600" w:lineRule="exact"/>
        <w:ind w:firstLine="640"/>
        <w:rPr>
          <w:rFonts w:eastAsia="仿宋_GB2312"/>
          <w:b/>
          <w:color w:val="000000" w:themeColor="text1"/>
          <w:sz w:val="32"/>
          <w:szCs w:val="32"/>
        </w:rPr>
      </w:pPr>
      <w:r>
        <w:rPr>
          <w:rFonts w:eastAsia="仿宋_GB2312"/>
          <w:color w:val="000000"/>
          <w:sz w:val="32"/>
          <w:szCs w:val="32"/>
        </w:rPr>
        <w:t>2020年一般公共预算财</w:t>
      </w:r>
      <w:r>
        <w:rPr>
          <w:rFonts w:eastAsia="仿宋_GB2312"/>
          <w:color w:val="000000" w:themeColor="text1"/>
          <w:sz w:val="32"/>
          <w:szCs w:val="32"/>
        </w:rPr>
        <w:t>政拨款支出1839.66万元，主要用于以下方面:社会保障和就业（类）支出21.49万元，占1.17%；</w:t>
      </w:r>
      <w:r>
        <w:rPr>
          <w:rFonts w:eastAsia="仿宋_GB2312"/>
          <w:bCs/>
          <w:color w:val="000000" w:themeColor="text1"/>
          <w:sz w:val="32"/>
          <w:szCs w:val="32"/>
        </w:rPr>
        <w:t>卫生健康</w:t>
      </w:r>
      <w:r>
        <w:rPr>
          <w:rFonts w:eastAsia="仿宋_GB2312"/>
          <w:color w:val="000000" w:themeColor="text1"/>
          <w:sz w:val="32"/>
          <w:szCs w:val="32"/>
        </w:rPr>
        <w:t>（类）</w:t>
      </w:r>
      <w:r>
        <w:rPr>
          <w:rFonts w:eastAsia="仿宋_GB2312"/>
          <w:bCs/>
          <w:color w:val="000000" w:themeColor="text1"/>
          <w:sz w:val="32"/>
          <w:szCs w:val="32"/>
        </w:rPr>
        <w:t>支出</w:t>
      </w:r>
      <w:r>
        <w:rPr>
          <w:rFonts w:eastAsia="仿宋_GB2312"/>
          <w:color w:val="000000" w:themeColor="text1"/>
          <w:sz w:val="32"/>
          <w:szCs w:val="32"/>
        </w:rPr>
        <w:t>1219.51万元，占66.29%；农林水（类）支出570.97万元，占31.04%；住房保障（类）支出27.69万元，占1.5%。</w:t>
      </w:r>
    </w:p>
    <w:p w14:paraId="1A471A21">
      <w:pPr>
        <w:widowControl/>
        <w:jc w:val="left"/>
        <w:rPr>
          <w:rFonts w:ascii="宋体" w:hAnsi="宋体" w:cs="宋体"/>
          <w:kern w:val="0"/>
          <w:sz w:val="24"/>
        </w:rPr>
      </w:pPr>
      <w:r>
        <w:rPr>
          <w:rFonts w:ascii="宋体" w:hAnsi="宋体" w:cs="宋体"/>
          <w:kern w:val="0"/>
          <w:sz w:val="24"/>
        </w:rPr>
        <w:drawing>
          <wp:inline distT="0" distB="0" distL="0" distR="0">
            <wp:extent cx="5253990" cy="2697480"/>
            <wp:effectExtent l="19050" t="0" r="3810" b="0"/>
            <wp:docPr id="17" name="图片 13" descr="C:\Users\Administrator\AppData\Roaming\Tencent\Users\3495491\QQ\WinTemp\RichOle\UPOPTX])]}VYEQJ~{G@D@Q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3" descr="C:\Users\Administrator\AppData\Roaming\Tencent\Users\3495491\QQ\WinTemp\RichOle\UPOPTX])]}VYEQJ~{G@D@QG.png"/>
                    <pic:cNvPicPr>
                      <a:picLocks noChangeAspect="1" noChangeArrowheads="1"/>
                    </pic:cNvPicPr>
                  </pic:nvPicPr>
                  <pic:blipFill>
                    <a:blip r:embed="rId14"/>
                    <a:srcRect/>
                    <a:stretch>
                      <a:fillRect/>
                    </a:stretch>
                  </pic:blipFill>
                  <pic:spPr>
                    <a:xfrm>
                      <a:off x="0" y="0"/>
                      <a:ext cx="5253566" cy="2697262"/>
                    </a:xfrm>
                    <a:prstGeom prst="rect">
                      <a:avLst/>
                    </a:prstGeom>
                    <a:noFill/>
                    <a:ln w="9525">
                      <a:noFill/>
                      <a:miter lim="800000"/>
                      <a:headEnd/>
                      <a:tailEnd/>
                    </a:ln>
                  </pic:spPr>
                </pic:pic>
              </a:graphicData>
            </a:graphic>
          </wp:inline>
        </w:drawing>
      </w:r>
    </w:p>
    <w:p w14:paraId="6D2567DF">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6</w:t>
      </w:r>
      <w:r>
        <w:rPr>
          <w:rFonts w:hint="eastAsia" w:ascii="仿宋" w:hAnsi="仿宋" w:eastAsia="仿宋"/>
          <w:color w:val="000000"/>
          <w:sz w:val="32"/>
          <w:szCs w:val="32"/>
        </w:rPr>
        <w:t>：一般公共预算财政拨款支出决算结构）</w:t>
      </w:r>
    </w:p>
    <w:p w14:paraId="006871E2">
      <w:pPr>
        <w:spacing w:line="600" w:lineRule="exact"/>
        <w:ind w:firstLine="643" w:firstLineChars="200"/>
        <w:outlineLvl w:val="2"/>
        <w:rPr>
          <w:rFonts w:ascii="仿宋" w:hAnsi="仿宋" w:eastAsia="仿宋"/>
          <w:b/>
          <w:color w:val="000000"/>
          <w:sz w:val="32"/>
          <w:szCs w:val="32"/>
        </w:rPr>
      </w:pPr>
      <w:bookmarkStart w:id="30" w:name="_Toc15377212"/>
      <w:r>
        <w:rPr>
          <w:rFonts w:hint="eastAsia" w:ascii="仿宋" w:hAnsi="仿宋" w:eastAsia="仿宋"/>
          <w:b/>
          <w:color w:val="000000"/>
          <w:sz w:val="32"/>
          <w:szCs w:val="32"/>
        </w:rPr>
        <w:t>（三）一般公共预算财政拨款支出决算具体情况</w:t>
      </w:r>
      <w:bookmarkEnd w:id="30"/>
    </w:p>
    <w:p w14:paraId="7CA94B8D">
      <w:pPr>
        <w:spacing w:line="600" w:lineRule="exact"/>
        <w:ind w:firstLine="640" w:firstLineChars="200"/>
        <w:outlineLvl w:val="2"/>
        <w:rPr>
          <w:rFonts w:eastAsia="仿宋_GB2312"/>
          <w:b/>
          <w:color w:val="000000"/>
          <w:sz w:val="32"/>
          <w:szCs w:val="32"/>
        </w:rPr>
      </w:pPr>
      <w:bookmarkStart w:id="31" w:name="_Toc15377213"/>
      <w:bookmarkStart w:id="32" w:name="_Toc15378460"/>
      <w:bookmarkStart w:id="33" w:name="_Toc15377444"/>
      <w:r>
        <w:rPr>
          <w:rFonts w:eastAsia="仿宋_GB2312"/>
          <w:color w:val="000000" w:themeColor="text1"/>
          <w:sz w:val="32"/>
          <w:szCs w:val="32"/>
        </w:rPr>
        <w:t>2020年一般公共预算支出决算数为1839.65万元，</w:t>
      </w:r>
      <w:r>
        <w:rPr>
          <w:rStyle w:val="16"/>
          <w:rFonts w:eastAsia="仿宋_GB2312"/>
          <w:b w:val="0"/>
          <w:bCs/>
          <w:color w:val="000000" w:themeColor="text1"/>
          <w:sz w:val="32"/>
          <w:szCs w:val="32"/>
        </w:rPr>
        <w:t>完成</w:t>
      </w:r>
      <w:r>
        <w:rPr>
          <w:rStyle w:val="16"/>
          <w:rFonts w:eastAsia="仿宋_GB2312"/>
          <w:b w:val="0"/>
          <w:bCs/>
          <w:color w:val="000000"/>
          <w:sz w:val="32"/>
          <w:szCs w:val="32"/>
        </w:rPr>
        <w:t>预算</w:t>
      </w:r>
      <w:bookmarkEnd w:id="31"/>
      <w:bookmarkEnd w:id="32"/>
      <w:bookmarkEnd w:id="33"/>
      <w:r>
        <w:rPr>
          <w:rStyle w:val="16"/>
          <w:rFonts w:eastAsia="仿宋_GB2312"/>
          <w:b w:val="0"/>
          <w:bCs/>
          <w:color w:val="000000"/>
          <w:sz w:val="32"/>
          <w:szCs w:val="32"/>
        </w:rPr>
        <w:t>的100%。</w:t>
      </w:r>
    </w:p>
    <w:p w14:paraId="6B696333">
      <w:pPr>
        <w:spacing w:line="600" w:lineRule="exact"/>
        <w:ind w:firstLine="643" w:firstLineChars="200"/>
        <w:rPr>
          <w:rFonts w:eastAsia="仿宋"/>
          <w:b/>
          <w:color w:val="000000"/>
          <w:sz w:val="32"/>
          <w:szCs w:val="32"/>
        </w:rPr>
      </w:pPr>
      <w:r>
        <w:rPr>
          <w:rStyle w:val="16"/>
          <w:rFonts w:eastAsia="仿宋"/>
          <w:bCs/>
          <w:color w:val="000000"/>
          <w:sz w:val="32"/>
          <w:szCs w:val="32"/>
        </w:rPr>
        <w:t>1.</w:t>
      </w:r>
      <w:r>
        <w:rPr>
          <w:rStyle w:val="16"/>
          <w:rFonts w:eastAsia="仿宋_GB2312"/>
          <w:bCs/>
          <w:color w:val="000000"/>
          <w:sz w:val="32"/>
          <w:szCs w:val="32"/>
        </w:rPr>
        <w:t>社会保障和就业（类）行政事业单位离退休（款）行政单位离退休（项）：</w:t>
      </w:r>
      <w:r>
        <w:rPr>
          <w:rStyle w:val="16"/>
          <w:rFonts w:eastAsia="仿宋_GB2312"/>
          <w:b w:val="0"/>
          <w:bCs/>
          <w:color w:val="000000"/>
          <w:sz w:val="32"/>
          <w:szCs w:val="32"/>
        </w:rPr>
        <w:t>支出决算为1.03万元；</w:t>
      </w:r>
      <w:r>
        <w:rPr>
          <w:rStyle w:val="16"/>
          <w:rFonts w:eastAsia="仿宋_GB2312"/>
          <w:bCs/>
          <w:color w:val="000000"/>
          <w:sz w:val="32"/>
          <w:szCs w:val="32"/>
        </w:rPr>
        <w:t>机关事业单位基本养老保险缴费支出（项）:</w:t>
      </w:r>
      <w:r>
        <w:rPr>
          <w:rStyle w:val="16"/>
          <w:rFonts w:eastAsia="仿宋_GB2312"/>
          <w:b w:val="0"/>
          <w:bCs/>
          <w:color w:val="000000"/>
          <w:sz w:val="32"/>
          <w:szCs w:val="32"/>
        </w:rPr>
        <w:t>支出决算为20.46万元，完成预算100%。</w:t>
      </w:r>
      <w:r>
        <w:rPr>
          <w:rFonts w:eastAsia="仿宋"/>
          <w:b/>
          <w:color w:val="000000"/>
          <w:sz w:val="32"/>
          <w:szCs w:val="32"/>
        </w:rPr>
        <w:t xml:space="preserve"> </w:t>
      </w:r>
    </w:p>
    <w:p w14:paraId="5E4B5A66">
      <w:pPr>
        <w:spacing w:line="600" w:lineRule="exact"/>
        <w:ind w:firstLine="643" w:firstLineChars="200"/>
        <w:rPr>
          <w:rFonts w:eastAsia="仿宋_GB2312"/>
          <w:b/>
          <w:color w:val="000000"/>
          <w:sz w:val="32"/>
          <w:szCs w:val="32"/>
        </w:rPr>
      </w:pPr>
      <w:r>
        <w:rPr>
          <w:rStyle w:val="16"/>
          <w:rFonts w:eastAsia="仿宋_GB2312"/>
          <w:bCs/>
          <w:color w:val="000000"/>
          <w:sz w:val="32"/>
          <w:szCs w:val="32"/>
        </w:rPr>
        <w:t>2.</w:t>
      </w:r>
      <w:r>
        <w:rPr>
          <w:rFonts w:eastAsia="仿宋_GB2312"/>
          <w:b/>
          <w:bCs/>
          <w:color w:val="000000" w:themeColor="text1"/>
          <w:sz w:val="32"/>
          <w:szCs w:val="32"/>
        </w:rPr>
        <w:t>卫生健康</w:t>
      </w:r>
      <w:r>
        <w:rPr>
          <w:rStyle w:val="16"/>
          <w:rFonts w:eastAsia="仿宋_GB2312"/>
          <w:bCs/>
          <w:color w:val="000000"/>
          <w:sz w:val="32"/>
          <w:szCs w:val="32"/>
        </w:rPr>
        <w:t>（类）行政事业单位医疗（款）行政单位医疗（项）:</w:t>
      </w:r>
      <w:r>
        <w:rPr>
          <w:rStyle w:val="16"/>
          <w:rFonts w:eastAsia="仿宋_GB2312"/>
          <w:b w:val="0"/>
          <w:bCs/>
          <w:color w:val="000000"/>
          <w:sz w:val="32"/>
          <w:szCs w:val="32"/>
        </w:rPr>
        <w:t>支出决算为15.95万元；</w:t>
      </w:r>
      <w:r>
        <w:rPr>
          <w:rStyle w:val="16"/>
          <w:rFonts w:eastAsia="仿宋_GB2312"/>
          <w:bCs/>
          <w:color w:val="000000"/>
          <w:sz w:val="32"/>
          <w:szCs w:val="32"/>
        </w:rPr>
        <w:t>公务员医疗补助（项）:</w:t>
      </w:r>
      <w:r>
        <w:rPr>
          <w:rStyle w:val="16"/>
          <w:rFonts w:eastAsia="仿宋_GB2312"/>
          <w:b w:val="0"/>
          <w:bCs/>
          <w:color w:val="000000"/>
          <w:sz w:val="32"/>
          <w:szCs w:val="32"/>
        </w:rPr>
        <w:t>支出决算为1.36万元；</w:t>
      </w:r>
      <w:r>
        <w:rPr>
          <w:rStyle w:val="16"/>
          <w:rFonts w:eastAsia="仿宋_GB2312"/>
          <w:bCs/>
          <w:color w:val="000000"/>
          <w:sz w:val="32"/>
          <w:szCs w:val="32"/>
        </w:rPr>
        <w:t>医疗救助（款）城乡医疗救助（项）:</w:t>
      </w:r>
      <w:r>
        <w:rPr>
          <w:rStyle w:val="16"/>
          <w:rFonts w:eastAsia="仿宋_GB2312"/>
          <w:b w:val="0"/>
          <w:bCs/>
          <w:color w:val="000000"/>
          <w:sz w:val="32"/>
          <w:szCs w:val="32"/>
        </w:rPr>
        <w:t>支出决算为817.92万元；</w:t>
      </w:r>
      <w:r>
        <w:rPr>
          <w:rStyle w:val="16"/>
          <w:rFonts w:eastAsia="仿宋_GB2312"/>
          <w:bCs/>
          <w:color w:val="000000"/>
          <w:sz w:val="32"/>
          <w:szCs w:val="32"/>
        </w:rPr>
        <w:t>医疗保障管理事（款）行政运行（项）:</w:t>
      </w:r>
      <w:r>
        <w:rPr>
          <w:rStyle w:val="16"/>
          <w:rFonts w:eastAsia="仿宋_GB2312"/>
          <w:b w:val="0"/>
          <w:bCs/>
          <w:color w:val="000000"/>
          <w:sz w:val="32"/>
          <w:szCs w:val="32"/>
        </w:rPr>
        <w:t>支出决算为239.41万元；</w:t>
      </w:r>
      <w:r>
        <w:rPr>
          <w:rStyle w:val="16"/>
          <w:rFonts w:eastAsia="仿宋_GB2312"/>
          <w:bCs/>
          <w:color w:val="000000"/>
          <w:sz w:val="32"/>
          <w:szCs w:val="32"/>
        </w:rPr>
        <w:t>其他医疗保障管理事务（项）:</w:t>
      </w:r>
      <w:r>
        <w:rPr>
          <w:rStyle w:val="16"/>
          <w:rFonts w:eastAsia="仿宋_GB2312"/>
          <w:b w:val="0"/>
          <w:bCs/>
          <w:color w:val="000000"/>
          <w:sz w:val="32"/>
          <w:szCs w:val="32"/>
        </w:rPr>
        <w:t>支出决算为144.86万元；完成预算100%。</w:t>
      </w:r>
    </w:p>
    <w:p w14:paraId="03359D44">
      <w:pPr>
        <w:spacing w:line="600" w:lineRule="exact"/>
        <w:ind w:firstLine="640" w:firstLineChars="200"/>
        <w:rPr>
          <w:rStyle w:val="16"/>
          <w:rFonts w:eastAsia="仿宋"/>
          <w:b w:val="0"/>
          <w:bCs/>
          <w:color w:val="000000"/>
          <w:sz w:val="32"/>
          <w:szCs w:val="32"/>
        </w:rPr>
      </w:pPr>
      <w:r>
        <w:rPr>
          <w:rStyle w:val="16"/>
          <w:rFonts w:eastAsia="仿宋"/>
          <w:b w:val="0"/>
          <w:bCs/>
          <w:color w:val="000000"/>
          <w:sz w:val="32"/>
          <w:szCs w:val="32"/>
        </w:rPr>
        <w:t>3.</w:t>
      </w:r>
      <w:r>
        <w:rPr>
          <w:rStyle w:val="16"/>
          <w:rFonts w:eastAsia="仿宋"/>
          <w:bCs/>
          <w:color w:val="000000"/>
          <w:sz w:val="32"/>
          <w:szCs w:val="32"/>
        </w:rPr>
        <w:t>农林水支出</w:t>
      </w:r>
      <w:r>
        <w:rPr>
          <w:rStyle w:val="16"/>
          <w:rFonts w:eastAsia="仿宋_GB2312"/>
          <w:bCs/>
          <w:color w:val="000000"/>
          <w:sz w:val="32"/>
          <w:szCs w:val="32"/>
        </w:rPr>
        <w:t>（类）扶贫（款）社会发展（项）:</w:t>
      </w:r>
      <w:r>
        <w:rPr>
          <w:rStyle w:val="16"/>
          <w:rFonts w:eastAsia="仿宋"/>
          <w:b w:val="0"/>
          <w:bCs/>
          <w:color w:val="000000"/>
          <w:sz w:val="32"/>
          <w:szCs w:val="32"/>
        </w:rPr>
        <w:t>支出决算为570.97万元，完成预算100%。</w:t>
      </w:r>
    </w:p>
    <w:p w14:paraId="375E6F0B">
      <w:pPr>
        <w:spacing w:line="600" w:lineRule="exact"/>
        <w:ind w:firstLine="643" w:firstLineChars="200"/>
        <w:rPr>
          <w:rFonts w:eastAsia="仿宋"/>
          <w:b/>
          <w:color w:val="000000"/>
          <w:sz w:val="32"/>
          <w:szCs w:val="32"/>
        </w:rPr>
      </w:pPr>
      <w:r>
        <w:rPr>
          <w:rStyle w:val="16"/>
          <w:rFonts w:eastAsia="仿宋"/>
          <w:bCs/>
          <w:color w:val="000000"/>
          <w:sz w:val="32"/>
          <w:szCs w:val="32"/>
        </w:rPr>
        <w:t>4.</w:t>
      </w:r>
      <w:r>
        <w:rPr>
          <w:rFonts w:eastAsia="仿宋_GB2312"/>
          <w:b/>
          <w:color w:val="000000"/>
          <w:sz w:val="32"/>
          <w:szCs w:val="32"/>
        </w:rPr>
        <w:t>住房保障支出</w:t>
      </w:r>
      <w:r>
        <w:rPr>
          <w:rStyle w:val="16"/>
          <w:rFonts w:eastAsia="仿宋_GB2312"/>
          <w:bCs/>
          <w:color w:val="000000"/>
          <w:sz w:val="32"/>
          <w:szCs w:val="32"/>
        </w:rPr>
        <w:t>（类）住房改革支出（款） 住房公积金（项）:</w:t>
      </w:r>
      <w:r>
        <w:rPr>
          <w:rStyle w:val="16"/>
          <w:rFonts w:eastAsia="仿宋"/>
          <w:b w:val="0"/>
          <w:bCs/>
          <w:color w:val="000000"/>
          <w:sz w:val="32"/>
          <w:szCs w:val="32"/>
        </w:rPr>
        <w:t>支出决算为27.69万元，完成预算100%。</w:t>
      </w:r>
    </w:p>
    <w:p w14:paraId="7C41192A">
      <w:pPr>
        <w:tabs>
          <w:tab w:val="right" w:pos="8306"/>
        </w:tabs>
        <w:spacing w:line="600" w:lineRule="exact"/>
        <w:ind w:firstLine="640"/>
        <w:outlineLvl w:val="1"/>
        <w:rPr>
          <w:rStyle w:val="27"/>
          <w:rFonts w:ascii="Times New Roman" w:hAnsi="Times New Roman" w:cs="Times New Roman"/>
        </w:rPr>
      </w:pPr>
      <w:bookmarkStart w:id="34" w:name="_Toc15396608"/>
      <w:bookmarkStart w:id="35" w:name="_Toc15377214"/>
      <w:r>
        <w:rPr>
          <w:rFonts w:eastAsia="黑体"/>
          <w:color w:val="000000"/>
          <w:sz w:val="32"/>
          <w:szCs w:val="32"/>
        </w:rPr>
        <w:t>六</w:t>
      </w:r>
      <w:r>
        <w:rPr>
          <w:rFonts w:eastAsia="黑体"/>
          <w:b/>
          <w:color w:val="000000"/>
          <w:sz w:val="32"/>
          <w:szCs w:val="32"/>
        </w:rPr>
        <w:t>、</w:t>
      </w:r>
      <w:r>
        <w:rPr>
          <w:rFonts w:hAnsi="黑体" w:eastAsia="黑体"/>
          <w:b/>
          <w:color w:val="000000"/>
          <w:sz w:val="32"/>
          <w:szCs w:val="32"/>
        </w:rPr>
        <w:t>一</w:t>
      </w:r>
      <w:r>
        <w:rPr>
          <w:rStyle w:val="27"/>
          <w:rFonts w:ascii="Times New Roman" w:hAnsi="黑体" w:eastAsia="黑体" w:cs="Times New Roman"/>
          <w:b w:val="0"/>
        </w:rPr>
        <w:t>般公共预算财政拨款基本支出决算情况说明</w:t>
      </w:r>
      <w:bookmarkEnd w:id="34"/>
      <w:bookmarkEnd w:id="35"/>
      <w:r>
        <w:rPr>
          <w:rStyle w:val="27"/>
          <w:rFonts w:ascii="Times New Roman" w:hAnsi="Times New Roman" w:eastAsia="黑体" w:cs="Times New Roman"/>
          <w:b w:val="0"/>
        </w:rPr>
        <w:tab/>
      </w:r>
    </w:p>
    <w:p w14:paraId="78A8376E">
      <w:pPr>
        <w:spacing w:line="600" w:lineRule="exact"/>
        <w:ind w:firstLine="645"/>
        <w:rPr>
          <w:rFonts w:eastAsia="仿宋_GB2312"/>
          <w:color w:val="000000"/>
          <w:sz w:val="32"/>
          <w:szCs w:val="32"/>
        </w:rPr>
      </w:pPr>
      <w:r>
        <w:rPr>
          <w:rFonts w:eastAsia="仿宋_GB2312"/>
          <w:color w:val="000000"/>
          <w:sz w:val="32"/>
          <w:szCs w:val="32"/>
        </w:rPr>
        <w:t>2020年一般公共预算财政拨款基本支出305.9万元，其中：人员经费274.93万元，主要包括：基本工资、津贴补贴、奖金、机关事业单位基本养老保险缴费、职工基本医疗保险缴费、公务员医疗补助缴费、住房公积金、其他工资福利支出。</w:t>
      </w:r>
    </w:p>
    <w:p w14:paraId="194E0DA1">
      <w:pPr>
        <w:spacing w:line="600" w:lineRule="exact"/>
        <w:ind w:firstLine="645"/>
        <w:rPr>
          <w:rFonts w:eastAsia="仿宋_GB2312"/>
          <w:color w:val="000000"/>
          <w:sz w:val="32"/>
          <w:szCs w:val="32"/>
        </w:rPr>
      </w:pPr>
      <w:r>
        <w:rPr>
          <w:rFonts w:eastAsia="仿宋_GB2312"/>
          <w:color w:val="000000"/>
          <w:sz w:val="32"/>
          <w:szCs w:val="32"/>
        </w:rPr>
        <w:t>日常公用经费30.97万元，主要包括：办公费、邮电费、差旅费、维修（护）费、培训费、公务接待费、专用材料费、劳务费、福利费、其他交通费、其他商品和服务支出。</w:t>
      </w:r>
    </w:p>
    <w:p w14:paraId="584C4B93">
      <w:pPr>
        <w:spacing w:line="600" w:lineRule="exact"/>
        <w:ind w:firstLine="640"/>
        <w:outlineLvl w:val="1"/>
        <w:rPr>
          <w:rStyle w:val="27"/>
          <w:rFonts w:ascii="Times New Roman" w:hAnsi="Times New Roman" w:eastAsia="黑体" w:cs="Times New Roman"/>
          <w:b w:val="0"/>
        </w:rPr>
      </w:pPr>
      <w:bookmarkStart w:id="36" w:name="_Toc15396609"/>
      <w:bookmarkStart w:id="37" w:name="_Toc15377215"/>
      <w:r>
        <w:rPr>
          <w:rFonts w:eastAsia="黑体"/>
          <w:color w:val="000000"/>
          <w:sz w:val="32"/>
          <w:szCs w:val="32"/>
        </w:rPr>
        <w:t>七、</w:t>
      </w:r>
      <w:r>
        <w:rPr>
          <w:rStyle w:val="27"/>
          <w:rFonts w:ascii="Times New Roman" w:hAnsi="Times New Roman" w:eastAsia="黑体" w:cs="Times New Roman"/>
        </w:rPr>
        <w:t>“</w:t>
      </w:r>
      <w:r>
        <w:rPr>
          <w:rStyle w:val="27"/>
          <w:rFonts w:ascii="Times New Roman" w:hAnsi="黑体" w:eastAsia="黑体" w:cs="Times New Roman"/>
          <w:b w:val="0"/>
        </w:rPr>
        <w:t>三公</w:t>
      </w:r>
      <w:r>
        <w:rPr>
          <w:rStyle w:val="27"/>
          <w:rFonts w:ascii="Times New Roman" w:hAnsi="Times New Roman" w:eastAsia="黑体" w:cs="Times New Roman"/>
          <w:b w:val="0"/>
        </w:rPr>
        <w:t>”</w:t>
      </w:r>
      <w:r>
        <w:rPr>
          <w:rStyle w:val="27"/>
          <w:rFonts w:ascii="Times New Roman" w:hAnsi="黑体" w:eastAsia="黑体" w:cs="Times New Roman"/>
          <w:b w:val="0"/>
        </w:rPr>
        <w:t>经费财政拨款支出决算情况说明</w:t>
      </w:r>
      <w:bookmarkEnd w:id="36"/>
      <w:bookmarkEnd w:id="37"/>
    </w:p>
    <w:p w14:paraId="19C91541">
      <w:pPr>
        <w:spacing w:line="600" w:lineRule="exact"/>
        <w:ind w:firstLine="640"/>
        <w:outlineLvl w:val="2"/>
        <w:rPr>
          <w:rFonts w:eastAsia="仿宋"/>
          <w:b/>
          <w:color w:val="000000"/>
          <w:sz w:val="32"/>
          <w:szCs w:val="32"/>
        </w:rPr>
      </w:pPr>
      <w:bookmarkStart w:id="38" w:name="_Toc15377216"/>
      <w:bookmarkStart w:id="39" w:name="_Toc15377218"/>
      <w:bookmarkStart w:id="40" w:name="_Toc15396610"/>
      <w:r>
        <w:rPr>
          <w:rFonts w:hAnsi="仿宋" w:eastAsia="仿宋"/>
          <w:b/>
          <w:color w:val="000000"/>
          <w:sz w:val="32"/>
          <w:szCs w:val="32"/>
        </w:rPr>
        <w:t>（一）</w:t>
      </w:r>
      <w:r>
        <w:rPr>
          <w:rFonts w:eastAsia="仿宋"/>
          <w:b/>
          <w:color w:val="000000"/>
          <w:sz w:val="32"/>
          <w:szCs w:val="32"/>
        </w:rPr>
        <w:t>“</w:t>
      </w:r>
      <w:r>
        <w:rPr>
          <w:rFonts w:hAnsi="仿宋" w:eastAsia="仿宋"/>
          <w:b/>
          <w:color w:val="000000"/>
          <w:sz w:val="32"/>
          <w:szCs w:val="32"/>
        </w:rPr>
        <w:t>三公</w:t>
      </w:r>
      <w:r>
        <w:rPr>
          <w:rFonts w:eastAsia="仿宋"/>
          <w:b/>
          <w:color w:val="000000"/>
          <w:sz w:val="32"/>
          <w:szCs w:val="32"/>
        </w:rPr>
        <w:t>”</w:t>
      </w:r>
      <w:r>
        <w:rPr>
          <w:rFonts w:hAnsi="仿宋" w:eastAsia="仿宋"/>
          <w:b/>
          <w:color w:val="000000"/>
          <w:sz w:val="32"/>
          <w:szCs w:val="32"/>
        </w:rPr>
        <w:t>经费财政拨款支出决算总体情况说明</w:t>
      </w:r>
      <w:bookmarkEnd w:id="38"/>
    </w:p>
    <w:p w14:paraId="4657AC92">
      <w:pPr>
        <w:spacing w:line="600" w:lineRule="exact"/>
        <w:ind w:firstLine="640"/>
        <w:rPr>
          <w:rFonts w:eastAsia="仿宋"/>
          <w:color w:val="000000"/>
          <w:sz w:val="32"/>
          <w:szCs w:val="32"/>
        </w:rPr>
      </w:pPr>
      <w:r>
        <w:rPr>
          <w:rFonts w:eastAsia="仿宋"/>
          <w:color w:val="000000"/>
          <w:sz w:val="32"/>
          <w:szCs w:val="32"/>
        </w:rPr>
        <w:t>2020</w:t>
      </w:r>
      <w:r>
        <w:rPr>
          <w:rFonts w:hAnsi="仿宋" w:eastAsia="仿宋"/>
          <w:color w:val="000000"/>
          <w:sz w:val="32"/>
          <w:szCs w:val="32"/>
        </w:rPr>
        <w:t>年</w:t>
      </w:r>
      <w:r>
        <w:rPr>
          <w:rFonts w:eastAsia="仿宋"/>
          <w:color w:val="000000"/>
          <w:sz w:val="32"/>
          <w:szCs w:val="32"/>
        </w:rPr>
        <w:t>“</w:t>
      </w:r>
      <w:r>
        <w:rPr>
          <w:rFonts w:hAnsi="仿宋" w:eastAsia="仿宋"/>
          <w:color w:val="000000"/>
          <w:sz w:val="32"/>
          <w:szCs w:val="32"/>
        </w:rPr>
        <w:t>三公</w:t>
      </w:r>
      <w:r>
        <w:rPr>
          <w:rFonts w:eastAsia="仿宋"/>
          <w:color w:val="000000"/>
          <w:sz w:val="32"/>
          <w:szCs w:val="32"/>
        </w:rPr>
        <w:t>”</w:t>
      </w:r>
      <w:r>
        <w:rPr>
          <w:rFonts w:hAnsi="仿宋" w:eastAsia="仿宋"/>
          <w:color w:val="000000"/>
          <w:sz w:val="32"/>
          <w:szCs w:val="32"/>
        </w:rPr>
        <w:t>经费财政拨款支出决算为</w:t>
      </w:r>
      <w:r>
        <w:rPr>
          <w:rFonts w:eastAsia="仿宋"/>
          <w:color w:val="000000"/>
          <w:sz w:val="32"/>
          <w:szCs w:val="32"/>
        </w:rPr>
        <w:t>1</w:t>
      </w:r>
      <w:r>
        <w:rPr>
          <w:rFonts w:hAnsi="仿宋" w:eastAsia="仿宋"/>
          <w:color w:val="000000"/>
          <w:sz w:val="32"/>
          <w:szCs w:val="32"/>
        </w:rPr>
        <w:t>万元，完成预算</w:t>
      </w:r>
      <w:r>
        <w:rPr>
          <w:rFonts w:eastAsia="仿宋"/>
          <w:color w:val="000000"/>
          <w:sz w:val="32"/>
          <w:szCs w:val="32"/>
        </w:rPr>
        <w:t>100%</w:t>
      </w:r>
      <w:r>
        <w:rPr>
          <w:rFonts w:hAnsi="仿宋" w:eastAsia="仿宋"/>
          <w:color w:val="000000"/>
          <w:sz w:val="32"/>
          <w:szCs w:val="32"/>
        </w:rPr>
        <w:t>。</w:t>
      </w:r>
    </w:p>
    <w:p w14:paraId="0383A2F1">
      <w:pPr>
        <w:spacing w:line="600" w:lineRule="exact"/>
        <w:ind w:firstLine="640"/>
        <w:outlineLvl w:val="2"/>
        <w:rPr>
          <w:rFonts w:eastAsia="仿宋"/>
          <w:b/>
          <w:color w:val="000000"/>
          <w:sz w:val="32"/>
          <w:szCs w:val="32"/>
        </w:rPr>
      </w:pPr>
      <w:bookmarkStart w:id="41" w:name="_Toc15377217"/>
      <w:r>
        <w:rPr>
          <w:rFonts w:hAnsi="仿宋" w:eastAsia="仿宋"/>
          <w:b/>
          <w:color w:val="000000"/>
          <w:sz w:val="32"/>
          <w:szCs w:val="32"/>
        </w:rPr>
        <w:t>（二）</w:t>
      </w:r>
      <w:r>
        <w:rPr>
          <w:rFonts w:eastAsia="仿宋"/>
          <w:b/>
          <w:color w:val="000000"/>
          <w:sz w:val="32"/>
          <w:szCs w:val="32"/>
        </w:rPr>
        <w:t>“</w:t>
      </w:r>
      <w:r>
        <w:rPr>
          <w:rFonts w:hAnsi="仿宋" w:eastAsia="仿宋"/>
          <w:b/>
          <w:color w:val="000000"/>
          <w:sz w:val="32"/>
          <w:szCs w:val="32"/>
        </w:rPr>
        <w:t>三公</w:t>
      </w:r>
      <w:r>
        <w:rPr>
          <w:rFonts w:eastAsia="仿宋"/>
          <w:b/>
          <w:color w:val="000000"/>
          <w:sz w:val="32"/>
          <w:szCs w:val="32"/>
        </w:rPr>
        <w:t>”</w:t>
      </w:r>
      <w:r>
        <w:rPr>
          <w:rFonts w:hAnsi="仿宋" w:eastAsia="仿宋"/>
          <w:b/>
          <w:color w:val="000000"/>
          <w:sz w:val="32"/>
          <w:szCs w:val="32"/>
        </w:rPr>
        <w:t>经费财政拨款支出决算具体情况说明</w:t>
      </w:r>
      <w:bookmarkEnd w:id="41"/>
    </w:p>
    <w:p w14:paraId="1EF69F73">
      <w:pPr>
        <w:spacing w:line="600" w:lineRule="exact"/>
        <w:ind w:firstLine="640" w:firstLineChars="200"/>
        <w:rPr>
          <w:rFonts w:ascii="仿宋" w:hAnsi="仿宋" w:eastAsia="仿宋"/>
          <w:color w:val="000000"/>
          <w:sz w:val="32"/>
          <w:szCs w:val="32"/>
        </w:rPr>
      </w:pPr>
      <w:r>
        <w:rPr>
          <w:rFonts w:eastAsia="仿宋"/>
          <w:color w:val="000000"/>
          <w:sz w:val="32"/>
          <w:szCs w:val="32"/>
        </w:rPr>
        <w:t>2020</w:t>
      </w:r>
      <w:r>
        <w:rPr>
          <w:rFonts w:hAnsi="仿宋" w:eastAsia="仿宋"/>
          <w:color w:val="000000"/>
          <w:sz w:val="32"/>
          <w:szCs w:val="32"/>
        </w:rPr>
        <w:t>年</w:t>
      </w:r>
      <w:r>
        <w:rPr>
          <w:rFonts w:eastAsia="仿宋"/>
          <w:color w:val="000000"/>
          <w:sz w:val="32"/>
          <w:szCs w:val="32"/>
        </w:rPr>
        <w:t>“</w:t>
      </w:r>
      <w:r>
        <w:rPr>
          <w:rFonts w:hAnsi="仿宋" w:eastAsia="仿宋"/>
          <w:color w:val="000000"/>
          <w:sz w:val="32"/>
          <w:szCs w:val="32"/>
        </w:rPr>
        <w:t>三公</w:t>
      </w:r>
      <w:r>
        <w:rPr>
          <w:rFonts w:eastAsia="仿宋"/>
          <w:color w:val="000000"/>
          <w:sz w:val="32"/>
          <w:szCs w:val="32"/>
        </w:rPr>
        <w:t>”</w:t>
      </w:r>
      <w:r>
        <w:rPr>
          <w:rFonts w:hAnsi="仿宋" w:eastAsia="仿宋"/>
          <w:color w:val="000000"/>
          <w:sz w:val="32"/>
          <w:szCs w:val="32"/>
        </w:rPr>
        <w:t>经费财政拨款支出决算中，公务接待费支出决算</w:t>
      </w:r>
      <w:r>
        <w:rPr>
          <w:rFonts w:eastAsia="仿宋"/>
          <w:color w:val="000000"/>
          <w:sz w:val="32"/>
          <w:szCs w:val="32"/>
        </w:rPr>
        <w:t>1</w:t>
      </w:r>
      <w:r>
        <w:rPr>
          <w:rFonts w:hAnsi="仿宋" w:eastAsia="仿宋"/>
          <w:color w:val="000000"/>
          <w:sz w:val="32"/>
          <w:szCs w:val="32"/>
        </w:rPr>
        <w:t>万元，占</w:t>
      </w:r>
      <w:r>
        <w:rPr>
          <w:rFonts w:eastAsia="仿宋"/>
          <w:color w:val="000000"/>
          <w:sz w:val="32"/>
          <w:szCs w:val="32"/>
        </w:rPr>
        <w:t>100%</w:t>
      </w:r>
      <w:r>
        <w:rPr>
          <w:rFonts w:hAnsi="仿宋" w:eastAsia="仿宋"/>
          <w:color w:val="000000"/>
          <w:sz w:val="32"/>
          <w:szCs w:val="32"/>
        </w:rPr>
        <w:t>。具体情况如下：</w:t>
      </w:r>
    </w:p>
    <w:p w14:paraId="16CF1BC1">
      <w:pPr>
        <w:widowControl/>
        <w:jc w:val="left"/>
        <w:rPr>
          <w:rFonts w:ascii="宋体" w:hAnsi="宋体" w:cs="宋体"/>
          <w:kern w:val="0"/>
          <w:sz w:val="24"/>
        </w:rPr>
      </w:pPr>
      <w:r>
        <w:rPr>
          <w:rFonts w:ascii="宋体" w:hAnsi="宋体" w:cs="宋体"/>
          <w:kern w:val="0"/>
          <w:sz w:val="24"/>
        </w:rPr>
        <w:drawing>
          <wp:inline distT="0" distB="0" distL="0" distR="0">
            <wp:extent cx="5253990" cy="2697480"/>
            <wp:effectExtent l="19050" t="0" r="3810" b="0"/>
            <wp:docPr id="18" name="图片 15" descr="C:\Users\Administrator\AppData\Roaming\Tencent\Users\3495491\QQ\WinTemp\RichOle\EQASI$P[0LY`TSJT{{5DR3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5" descr="C:\Users\Administrator\AppData\Roaming\Tencent\Users\3495491\QQ\WinTemp\RichOle\EQASI$P[0LY`TSJT{{5DR3H.png"/>
                    <pic:cNvPicPr>
                      <a:picLocks noChangeAspect="1" noChangeArrowheads="1"/>
                    </pic:cNvPicPr>
                  </pic:nvPicPr>
                  <pic:blipFill>
                    <a:blip r:embed="rId15"/>
                    <a:srcRect/>
                    <a:stretch>
                      <a:fillRect/>
                    </a:stretch>
                  </pic:blipFill>
                  <pic:spPr>
                    <a:xfrm>
                      <a:off x="0" y="0"/>
                      <a:ext cx="5253334" cy="2697143"/>
                    </a:xfrm>
                    <a:prstGeom prst="rect">
                      <a:avLst/>
                    </a:prstGeom>
                    <a:noFill/>
                    <a:ln w="9525">
                      <a:noFill/>
                      <a:miter lim="800000"/>
                      <a:headEnd/>
                      <a:tailEnd/>
                    </a:ln>
                  </pic:spPr>
                </pic:pic>
              </a:graphicData>
            </a:graphic>
          </wp:inline>
        </w:drawing>
      </w:r>
    </w:p>
    <w:p w14:paraId="46D275B3">
      <w:pPr>
        <w:spacing w:line="600" w:lineRule="exact"/>
        <w:ind w:firstLine="640" w:firstLineChars="200"/>
        <w:jc w:val="center"/>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7</w:t>
      </w:r>
      <w:r>
        <w:rPr>
          <w:rFonts w:hint="eastAsia" w:ascii="仿宋" w:hAnsi="仿宋" w:eastAsia="仿宋"/>
          <w:color w:val="000000"/>
          <w:sz w:val="32"/>
          <w:szCs w:val="32"/>
        </w:rPr>
        <w:t>：“三公”经费财政拨款支出结构）</w:t>
      </w:r>
    </w:p>
    <w:p w14:paraId="3E480588">
      <w:pPr>
        <w:spacing w:line="560" w:lineRule="exact"/>
        <w:ind w:firstLine="640"/>
        <w:rPr>
          <w:rFonts w:eastAsia="仿宋_GB2312"/>
          <w:color w:val="000000"/>
          <w:sz w:val="32"/>
          <w:szCs w:val="32"/>
        </w:rPr>
      </w:pPr>
      <w:r>
        <w:rPr>
          <w:rFonts w:eastAsia="仿宋_GB2312"/>
          <w:b/>
          <w:color w:val="000000"/>
          <w:sz w:val="32"/>
          <w:szCs w:val="32"/>
        </w:rPr>
        <w:t>1.因公出国（境）经费支出</w:t>
      </w:r>
      <w:r>
        <w:rPr>
          <w:rFonts w:eastAsia="仿宋_GB2312"/>
          <w:color w:val="000000"/>
          <w:sz w:val="32"/>
          <w:szCs w:val="32"/>
        </w:rPr>
        <w:t>0万元，</w:t>
      </w:r>
      <w:r>
        <w:rPr>
          <w:rStyle w:val="16"/>
          <w:rFonts w:eastAsia="仿宋_GB2312"/>
          <w:b w:val="0"/>
          <w:bCs/>
          <w:color w:val="000000"/>
          <w:sz w:val="32"/>
          <w:szCs w:val="32"/>
        </w:rPr>
        <w:t>完成预算0%。</w:t>
      </w:r>
    </w:p>
    <w:p w14:paraId="2B7299FE">
      <w:pPr>
        <w:spacing w:line="560" w:lineRule="exact"/>
        <w:ind w:firstLine="640"/>
        <w:rPr>
          <w:rFonts w:eastAsia="仿宋_GB2312"/>
          <w:color w:val="000000"/>
          <w:sz w:val="32"/>
          <w:szCs w:val="32"/>
        </w:rPr>
      </w:pPr>
      <w:r>
        <w:rPr>
          <w:rFonts w:eastAsia="仿宋_GB2312"/>
          <w:b/>
          <w:color w:val="000000"/>
          <w:sz w:val="32"/>
          <w:szCs w:val="32"/>
        </w:rPr>
        <w:t>2.公务用车购置及运行维护费支出</w:t>
      </w:r>
      <w:r>
        <w:rPr>
          <w:rFonts w:eastAsia="仿宋_GB2312"/>
          <w:color w:val="000000"/>
          <w:sz w:val="32"/>
          <w:szCs w:val="32"/>
        </w:rPr>
        <w:t>0万元,</w:t>
      </w:r>
      <w:r>
        <w:rPr>
          <w:rStyle w:val="16"/>
          <w:rFonts w:eastAsia="仿宋_GB2312"/>
          <w:b w:val="0"/>
          <w:bCs/>
          <w:color w:val="000000"/>
          <w:sz w:val="32"/>
          <w:szCs w:val="32"/>
        </w:rPr>
        <w:t>完成预算0%。</w:t>
      </w:r>
    </w:p>
    <w:p w14:paraId="57C669FF">
      <w:pPr>
        <w:spacing w:line="560" w:lineRule="exact"/>
        <w:ind w:firstLine="640"/>
        <w:rPr>
          <w:rFonts w:eastAsia="仿宋_GB2312"/>
          <w:color w:val="000000"/>
          <w:sz w:val="32"/>
          <w:szCs w:val="32"/>
        </w:rPr>
      </w:pPr>
      <w:r>
        <w:rPr>
          <w:rFonts w:eastAsia="仿宋_GB2312"/>
          <w:b/>
          <w:color w:val="000000"/>
          <w:sz w:val="32"/>
          <w:szCs w:val="32"/>
        </w:rPr>
        <w:t>3.公务接待费支出</w:t>
      </w:r>
      <w:r>
        <w:rPr>
          <w:rFonts w:eastAsia="仿宋_GB2312"/>
          <w:color w:val="000000"/>
          <w:sz w:val="32"/>
          <w:szCs w:val="32"/>
        </w:rPr>
        <w:t>1万元，</w:t>
      </w:r>
      <w:r>
        <w:rPr>
          <w:rStyle w:val="16"/>
          <w:rFonts w:eastAsia="仿宋_GB2312"/>
          <w:b w:val="0"/>
          <w:bCs/>
          <w:color w:val="000000"/>
          <w:sz w:val="32"/>
          <w:szCs w:val="32"/>
        </w:rPr>
        <w:t>完成预算100%。</w:t>
      </w:r>
      <w:r>
        <w:rPr>
          <w:rFonts w:hAnsi="仿宋_GB2312" w:eastAsia="仿宋_GB2312"/>
          <w:sz w:val="32"/>
          <w:szCs w:val="32"/>
        </w:rPr>
        <w:t>上年无</w:t>
      </w:r>
      <w:r>
        <w:rPr>
          <w:rFonts w:eastAsia="仿宋_GB2312"/>
          <w:sz w:val="32"/>
          <w:szCs w:val="32"/>
        </w:rPr>
        <w:t>“</w:t>
      </w:r>
      <w:r>
        <w:rPr>
          <w:rFonts w:hAnsi="仿宋_GB2312" w:eastAsia="仿宋_GB2312"/>
          <w:sz w:val="32"/>
          <w:szCs w:val="32"/>
        </w:rPr>
        <w:t>三公</w:t>
      </w:r>
      <w:r>
        <w:rPr>
          <w:rFonts w:eastAsia="仿宋_GB2312"/>
          <w:sz w:val="32"/>
          <w:szCs w:val="32"/>
        </w:rPr>
        <w:t>”</w:t>
      </w:r>
      <w:r>
        <w:rPr>
          <w:rFonts w:hAnsi="仿宋_GB2312" w:eastAsia="仿宋_GB2312"/>
          <w:sz w:val="32"/>
          <w:szCs w:val="32"/>
        </w:rPr>
        <w:t>经费支出。</w:t>
      </w:r>
    </w:p>
    <w:p w14:paraId="4B775C4F">
      <w:pPr>
        <w:spacing w:line="560" w:lineRule="exact"/>
        <w:ind w:firstLine="640"/>
        <w:rPr>
          <w:rFonts w:eastAsia="仿宋_GB2312"/>
          <w:color w:val="000000"/>
          <w:sz w:val="32"/>
          <w:szCs w:val="32"/>
        </w:rPr>
      </w:pPr>
      <w:r>
        <w:rPr>
          <w:rFonts w:eastAsia="仿宋_GB2312"/>
          <w:b/>
          <w:color w:val="000000"/>
          <w:sz w:val="32"/>
          <w:szCs w:val="32"/>
        </w:rPr>
        <w:t>国内公务接待支出</w:t>
      </w:r>
      <w:r>
        <w:rPr>
          <w:rFonts w:eastAsia="仿宋_GB2312"/>
          <w:color w:val="000000"/>
          <w:sz w:val="32"/>
          <w:szCs w:val="32"/>
        </w:rPr>
        <w:t>1万元，</w:t>
      </w:r>
      <w:r>
        <w:rPr>
          <w:rFonts w:hAnsi="仿宋_GB2312" w:eastAsia="仿宋_GB2312"/>
          <w:sz w:val="32"/>
          <w:szCs w:val="32"/>
        </w:rPr>
        <w:t>国内公务接待批次</w:t>
      </w:r>
      <w:r>
        <w:rPr>
          <w:rFonts w:eastAsia="仿宋_GB2312"/>
          <w:sz w:val="32"/>
          <w:szCs w:val="32"/>
        </w:rPr>
        <w:t>8</w:t>
      </w:r>
      <w:r>
        <w:rPr>
          <w:rFonts w:hAnsi="仿宋_GB2312" w:eastAsia="仿宋_GB2312"/>
          <w:sz w:val="32"/>
          <w:szCs w:val="32"/>
        </w:rPr>
        <w:t>批次，接待</w:t>
      </w:r>
      <w:r>
        <w:rPr>
          <w:rFonts w:eastAsia="仿宋_GB2312"/>
          <w:sz w:val="32"/>
          <w:szCs w:val="32"/>
        </w:rPr>
        <w:t>109</w:t>
      </w:r>
      <w:r>
        <w:rPr>
          <w:rFonts w:hAnsi="仿宋_GB2312" w:eastAsia="仿宋_GB2312"/>
          <w:sz w:val="32"/>
          <w:szCs w:val="32"/>
        </w:rPr>
        <w:t>人次。</w:t>
      </w:r>
      <w:r>
        <w:rPr>
          <w:rFonts w:eastAsia="仿宋_GB2312"/>
          <w:color w:val="000000"/>
          <w:sz w:val="32"/>
          <w:szCs w:val="32"/>
        </w:rPr>
        <w:t>主要用于上级主管部门执行公务、开展业务活动开支的用餐费等。具体内容包括：</w:t>
      </w:r>
      <w:r>
        <w:rPr>
          <w:rFonts w:hint="eastAsia" w:eastAsia="仿宋_GB2312"/>
          <w:color w:val="000000"/>
          <w:sz w:val="32"/>
          <w:szCs w:val="32"/>
        </w:rPr>
        <w:t>德昌县医保局到米易考察学习</w:t>
      </w:r>
      <w:r>
        <w:rPr>
          <w:rFonts w:eastAsia="仿宋_GB2312"/>
          <w:color w:val="000000"/>
          <w:sz w:val="32"/>
          <w:szCs w:val="32"/>
        </w:rPr>
        <w:t>、</w:t>
      </w:r>
      <w:r>
        <w:rPr>
          <w:rFonts w:hint="eastAsia" w:eastAsia="仿宋_GB2312"/>
          <w:color w:val="000000"/>
          <w:sz w:val="32"/>
          <w:szCs w:val="32"/>
        </w:rPr>
        <w:t>全省医保基金监管专项治理抽查复查工作、渠县医保局到米易考察学习、市医保中心到米易检查督导、市医保中心开展跨统筹地区申请单行支付药品现场检查工作、市医保中心调研医疗保障相关工作、市医保局开展2020年医疗保障基金专项治理督导、市医保中心调研城乡居民医保参保相关工作</w:t>
      </w:r>
      <w:r>
        <w:rPr>
          <w:rFonts w:eastAsia="仿宋_GB2312"/>
          <w:color w:val="000000"/>
          <w:sz w:val="32"/>
          <w:szCs w:val="32"/>
        </w:rPr>
        <w:t>。</w:t>
      </w:r>
    </w:p>
    <w:p w14:paraId="7BF873C9">
      <w:pPr>
        <w:spacing w:line="560" w:lineRule="exact"/>
        <w:ind w:firstLine="643" w:firstLineChars="200"/>
        <w:rPr>
          <w:rFonts w:eastAsia="仿宋_GB2312"/>
          <w:color w:val="000000"/>
          <w:sz w:val="32"/>
          <w:szCs w:val="32"/>
        </w:rPr>
      </w:pPr>
      <w:r>
        <w:rPr>
          <w:rFonts w:eastAsia="仿宋_GB2312"/>
          <w:b/>
          <w:color w:val="000000"/>
          <w:sz w:val="32"/>
          <w:szCs w:val="32"/>
        </w:rPr>
        <w:t>外事接待支出</w:t>
      </w:r>
      <w:r>
        <w:rPr>
          <w:rFonts w:eastAsia="仿宋_GB2312"/>
          <w:color w:val="000000"/>
          <w:sz w:val="32"/>
          <w:szCs w:val="32"/>
        </w:rPr>
        <w:t>0万元</w:t>
      </w:r>
      <w:r>
        <w:rPr>
          <w:rFonts w:eastAsia="仿宋_GB2312"/>
          <w:color w:val="000000" w:themeColor="text1"/>
          <w:sz w:val="32"/>
          <w:szCs w:val="32"/>
        </w:rPr>
        <w:t>。</w:t>
      </w:r>
    </w:p>
    <w:p w14:paraId="60041881">
      <w:pPr>
        <w:spacing w:line="560" w:lineRule="exact"/>
        <w:ind w:firstLine="640"/>
        <w:rPr>
          <w:rStyle w:val="27"/>
          <w:rFonts w:ascii="Times New Roman" w:hAnsi="Times New Roman" w:eastAsia="仿宋_GB2312" w:cs="Times New Roman"/>
          <w:b w:val="0"/>
        </w:rPr>
      </w:pPr>
      <w:r>
        <w:rPr>
          <w:rFonts w:eastAsia="仿宋_GB2312"/>
          <w:b/>
          <w:color w:val="000000"/>
          <w:sz w:val="32"/>
          <w:szCs w:val="32"/>
        </w:rPr>
        <w:t>八、</w:t>
      </w:r>
      <w:r>
        <w:rPr>
          <w:rStyle w:val="27"/>
          <w:rFonts w:ascii="Times New Roman" w:hAnsi="Times New Roman" w:eastAsia="仿宋_GB2312" w:cs="Times New Roman"/>
        </w:rPr>
        <w:t>政府性基金预算支出决算情况说明</w:t>
      </w:r>
      <w:bookmarkEnd w:id="39"/>
      <w:bookmarkEnd w:id="40"/>
    </w:p>
    <w:p w14:paraId="68A67833">
      <w:pPr>
        <w:spacing w:line="560" w:lineRule="exact"/>
        <w:ind w:firstLine="640"/>
        <w:rPr>
          <w:rFonts w:eastAsia="仿宋_GB2312"/>
          <w:color w:val="000000"/>
          <w:sz w:val="32"/>
          <w:szCs w:val="32"/>
        </w:rPr>
      </w:pPr>
      <w:r>
        <w:rPr>
          <w:rFonts w:eastAsia="仿宋_GB2312"/>
          <w:color w:val="000000"/>
          <w:sz w:val="32"/>
          <w:szCs w:val="32"/>
        </w:rPr>
        <w:t>2020年政府性基金预算拨款支出0.39万元。</w:t>
      </w:r>
    </w:p>
    <w:p w14:paraId="5CF4210D">
      <w:pPr>
        <w:spacing w:line="560" w:lineRule="exact"/>
        <w:ind w:left="640"/>
        <w:rPr>
          <w:rStyle w:val="27"/>
          <w:rFonts w:ascii="Times New Roman" w:hAnsi="Times New Roman" w:eastAsia="仿宋_GB2312" w:cs="Times New Roman"/>
        </w:rPr>
      </w:pPr>
      <w:bookmarkStart w:id="42" w:name="_Toc15377219"/>
      <w:bookmarkStart w:id="43" w:name="_Toc15396611"/>
      <w:r>
        <w:rPr>
          <w:rStyle w:val="27"/>
          <w:rFonts w:hint="eastAsia" w:ascii="Times New Roman" w:hAnsi="Times New Roman" w:eastAsia="仿宋_GB2312" w:cs="Times New Roman"/>
        </w:rPr>
        <w:t>九、</w:t>
      </w:r>
      <w:r>
        <w:rPr>
          <w:rStyle w:val="27"/>
          <w:rFonts w:ascii="Times New Roman" w:hAnsi="Times New Roman" w:eastAsia="仿宋_GB2312" w:cs="Times New Roman"/>
        </w:rPr>
        <w:t>国有资本经营预算支出决算情况说明</w:t>
      </w:r>
      <w:bookmarkEnd w:id="42"/>
      <w:bookmarkEnd w:id="43"/>
    </w:p>
    <w:p w14:paraId="2570DDFC">
      <w:pPr>
        <w:spacing w:line="560" w:lineRule="exact"/>
        <w:ind w:firstLine="640"/>
        <w:rPr>
          <w:rFonts w:eastAsia="仿宋_GB2312"/>
          <w:sz w:val="32"/>
          <w:szCs w:val="32"/>
        </w:rPr>
      </w:pPr>
      <w:r>
        <w:rPr>
          <w:rFonts w:eastAsia="仿宋_GB2312"/>
          <w:color w:val="000000"/>
          <w:sz w:val="32"/>
          <w:szCs w:val="32"/>
        </w:rPr>
        <w:t>2020年国有资本经营预算拨款支出0万元。</w:t>
      </w:r>
    </w:p>
    <w:p w14:paraId="557C4822">
      <w:pPr>
        <w:spacing w:line="560" w:lineRule="exact"/>
        <w:ind w:firstLine="726" w:firstLineChars="226"/>
        <w:rPr>
          <w:rStyle w:val="27"/>
          <w:rFonts w:ascii="Times New Roman" w:hAnsi="Times New Roman" w:eastAsia="仿宋_GB2312" w:cs="Times New Roman"/>
        </w:rPr>
      </w:pPr>
      <w:bookmarkStart w:id="44" w:name="_Toc15396612"/>
      <w:bookmarkStart w:id="45" w:name="_Toc15377221"/>
      <w:r>
        <w:rPr>
          <w:rFonts w:eastAsia="仿宋_GB2312"/>
          <w:b/>
          <w:color w:val="000000"/>
          <w:sz w:val="32"/>
          <w:szCs w:val="32"/>
        </w:rPr>
        <w:t>十</w:t>
      </w:r>
      <w:r>
        <w:rPr>
          <w:rStyle w:val="27"/>
          <w:rFonts w:ascii="Times New Roman" w:hAnsi="Times New Roman" w:eastAsia="仿宋_GB2312" w:cs="Times New Roman"/>
        </w:rPr>
        <w:t>、其他重要事项的情况说明</w:t>
      </w:r>
      <w:bookmarkEnd w:id="44"/>
      <w:bookmarkEnd w:id="45"/>
    </w:p>
    <w:p w14:paraId="5116DF76">
      <w:pPr>
        <w:spacing w:line="560" w:lineRule="exact"/>
        <w:ind w:firstLine="643" w:firstLineChars="200"/>
        <w:rPr>
          <w:rFonts w:eastAsia="仿宋_GB2312"/>
          <w:color w:val="000000"/>
          <w:sz w:val="32"/>
          <w:szCs w:val="32"/>
        </w:rPr>
      </w:pPr>
      <w:bookmarkStart w:id="46" w:name="_Toc15377222"/>
      <w:r>
        <w:rPr>
          <w:rFonts w:eastAsia="仿宋_GB2312"/>
          <w:b/>
          <w:color w:val="000000"/>
          <w:sz w:val="32"/>
          <w:szCs w:val="32"/>
        </w:rPr>
        <w:t>（一）机关运行经费支出情况</w:t>
      </w:r>
      <w:bookmarkEnd w:id="46"/>
    </w:p>
    <w:p w14:paraId="4948A05E">
      <w:pPr>
        <w:spacing w:line="560" w:lineRule="exact"/>
        <w:ind w:firstLine="640" w:firstLineChars="200"/>
        <w:rPr>
          <w:rFonts w:eastAsia="仿宋_GB2312"/>
          <w:color w:val="000000" w:themeColor="text1"/>
          <w:sz w:val="32"/>
          <w:szCs w:val="32"/>
        </w:rPr>
      </w:pPr>
      <w:r>
        <w:rPr>
          <w:rFonts w:eastAsia="仿宋_GB2312"/>
          <w:color w:val="000000"/>
          <w:sz w:val="32"/>
          <w:szCs w:val="32"/>
        </w:rPr>
        <w:t>2019年，县医疗保障局机关运行经费支出30.97万元。比2019年增加27.39万元，增长765.08%。主要变动原因是2020年县</w:t>
      </w:r>
      <w:r>
        <w:rPr>
          <w:rFonts w:hAnsi="仿宋_GB2312" w:eastAsia="仿宋_GB2312"/>
          <w:sz w:val="32"/>
          <w:szCs w:val="32"/>
        </w:rPr>
        <w:t>医保事务中心与医保局合并为一个财务账套。</w:t>
      </w:r>
    </w:p>
    <w:p w14:paraId="7FCC8096">
      <w:pPr>
        <w:autoSpaceDE w:val="0"/>
        <w:autoSpaceDN w:val="0"/>
        <w:spacing w:line="560" w:lineRule="exact"/>
        <w:ind w:firstLine="643" w:firstLineChars="200"/>
        <w:rPr>
          <w:rFonts w:eastAsia="仿宋_GB2312"/>
          <w:b/>
          <w:color w:val="000000"/>
          <w:sz w:val="32"/>
          <w:szCs w:val="32"/>
        </w:rPr>
      </w:pPr>
      <w:bookmarkStart w:id="47" w:name="_Toc15377223"/>
      <w:r>
        <w:rPr>
          <w:rFonts w:eastAsia="仿宋_GB2312"/>
          <w:b/>
          <w:color w:val="000000"/>
          <w:sz w:val="32"/>
          <w:szCs w:val="32"/>
        </w:rPr>
        <w:t>（二）政府采购支出情况</w:t>
      </w:r>
      <w:bookmarkEnd w:id="47"/>
    </w:p>
    <w:p w14:paraId="461F87C8">
      <w:pPr>
        <w:spacing w:line="560" w:lineRule="exact"/>
        <w:ind w:firstLine="640" w:firstLineChars="200"/>
        <w:rPr>
          <w:rFonts w:eastAsia="仿宋_GB2312"/>
          <w:color w:val="000000"/>
          <w:sz w:val="32"/>
          <w:szCs w:val="32"/>
        </w:rPr>
      </w:pPr>
      <w:r>
        <w:rPr>
          <w:rFonts w:eastAsia="仿宋_GB2312"/>
          <w:color w:val="000000"/>
          <w:sz w:val="32"/>
          <w:szCs w:val="32"/>
        </w:rPr>
        <w:t>2020年，县医疗保障局政府采购支出总额0万元。</w:t>
      </w:r>
    </w:p>
    <w:p w14:paraId="50BCEE26">
      <w:pPr>
        <w:autoSpaceDE w:val="0"/>
        <w:autoSpaceDN w:val="0"/>
        <w:spacing w:line="560" w:lineRule="exact"/>
        <w:ind w:firstLine="643" w:firstLineChars="200"/>
        <w:rPr>
          <w:rFonts w:eastAsia="仿宋_GB2312"/>
          <w:b/>
          <w:color w:val="000000"/>
          <w:sz w:val="32"/>
          <w:szCs w:val="32"/>
        </w:rPr>
      </w:pPr>
      <w:bookmarkStart w:id="48" w:name="_Toc15377224"/>
      <w:r>
        <w:rPr>
          <w:rFonts w:eastAsia="仿宋_GB2312"/>
          <w:b/>
          <w:color w:val="000000"/>
          <w:sz w:val="32"/>
          <w:szCs w:val="32"/>
        </w:rPr>
        <w:t>（三）国有资产占有使用情况</w:t>
      </w:r>
      <w:bookmarkEnd w:id="48"/>
    </w:p>
    <w:p w14:paraId="66DCA83C">
      <w:pPr>
        <w:autoSpaceDE w:val="0"/>
        <w:autoSpaceDN w:val="0"/>
        <w:spacing w:line="560" w:lineRule="exact"/>
        <w:ind w:firstLine="640" w:firstLineChars="200"/>
        <w:rPr>
          <w:rFonts w:eastAsia="仿宋_GB2312"/>
          <w:b/>
          <w:color w:val="FF0000"/>
          <w:sz w:val="32"/>
          <w:szCs w:val="32"/>
        </w:rPr>
      </w:pPr>
      <w:r>
        <w:rPr>
          <w:rFonts w:eastAsia="仿宋_GB2312"/>
          <w:color w:val="000000"/>
          <w:sz w:val="32"/>
          <w:szCs w:val="32"/>
        </w:rPr>
        <w:t>截至2020年12月31日，县医疗保障局共有车辆0辆。</w:t>
      </w:r>
      <w:r>
        <w:rPr>
          <w:rFonts w:eastAsia="仿宋_GB2312"/>
          <w:color w:val="000000" w:themeColor="text1"/>
          <w:sz w:val="32"/>
          <w:szCs w:val="32"/>
        </w:rPr>
        <w:t>单价50万元以上通用设备0台（套），单价100</w:t>
      </w:r>
      <w:r>
        <w:rPr>
          <w:rFonts w:eastAsia="仿宋_GB2312"/>
          <w:color w:val="000000"/>
          <w:sz w:val="32"/>
          <w:szCs w:val="32"/>
        </w:rPr>
        <w:t>万元以上专用设备0台（套）。</w:t>
      </w:r>
    </w:p>
    <w:p w14:paraId="08626302">
      <w:pPr>
        <w:autoSpaceDE w:val="0"/>
        <w:autoSpaceDN w:val="0"/>
        <w:spacing w:line="560" w:lineRule="exact"/>
        <w:ind w:firstLine="643" w:firstLineChars="200"/>
        <w:rPr>
          <w:rFonts w:eastAsia="仿宋_GB2312"/>
          <w:b/>
          <w:color w:val="000000"/>
          <w:sz w:val="32"/>
          <w:szCs w:val="32"/>
        </w:rPr>
      </w:pPr>
      <w:r>
        <w:rPr>
          <w:rFonts w:eastAsia="仿宋_GB2312"/>
          <w:b/>
          <w:color w:val="000000"/>
          <w:sz w:val="32"/>
          <w:szCs w:val="32"/>
        </w:rPr>
        <w:t>（四）预算绩效管理情况。</w:t>
      </w:r>
    </w:p>
    <w:p w14:paraId="01E389C1">
      <w:pPr>
        <w:spacing w:line="560" w:lineRule="exact"/>
        <w:ind w:firstLine="640" w:firstLineChars="200"/>
        <w:rPr>
          <w:rFonts w:eastAsia="仿宋_GB2312"/>
          <w:sz w:val="32"/>
          <w:szCs w:val="32"/>
        </w:rPr>
      </w:pPr>
      <w:r>
        <w:rPr>
          <w:rFonts w:hAnsi="仿宋_GB2312" w:eastAsia="仿宋_GB2312"/>
          <w:sz w:val="32"/>
          <w:szCs w:val="32"/>
        </w:rPr>
        <w:t>根据预算绩效管理要求，本部门（单位）在年初预算编制阶段，组织对医保专项工作经费、办公室物业管理费、</w:t>
      </w:r>
      <w:r>
        <w:rPr>
          <w:rFonts w:eastAsia="仿宋_GB2312"/>
          <w:sz w:val="32"/>
          <w:szCs w:val="32"/>
        </w:rPr>
        <w:t>“</w:t>
      </w:r>
      <w:r>
        <w:rPr>
          <w:rFonts w:hAnsi="仿宋_GB2312" w:eastAsia="仿宋_GB2312"/>
          <w:sz w:val="32"/>
          <w:szCs w:val="32"/>
        </w:rPr>
        <w:t>村医通</w:t>
      </w:r>
      <w:r>
        <w:rPr>
          <w:rFonts w:eastAsia="仿宋_GB2312"/>
          <w:sz w:val="32"/>
          <w:szCs w:val="32"/>
        </w:rPr>
        <w:t>”</w:t>
      </w:r>
      <w:r>
        <w:rPr>
          <w:rFonts w:hAnsi="仿宋_GB2312" w:eastAsia="仿宋_GB2312"/>
          <w:sz w:val="32"/>
          <w:szCs w:val="32"/>
        </w:rPr>
        <w:t>专项工作经费、休干部、二等乙级伤残军人和伤残人民警察、建国初期参加革命工作人员医疗费用</w:t>
      </w:r>
      <w:r>
        <w:rPr>
          <w:rFonts w:eastAsia="仿宋_GB2312"/>
          <w:sz w:val="32"/>
          <w:szCs w:val="32"/>
        </w:rPr>
        <w:t>4</w:t>
      </w:r>
      <w:r>
        <w:rPr>
          <w:rFonts w:hAnsi="仿宋_GB2312" w:eastAsia="仿宋_GB2312"/>
          <w:sz w:val="32"/>
          <w:szCs w:val="32"/>
        </w:rPr>
        <w:t>个项目开展了预算事前绩效评估，对</w:t>
      </w:r>
      <w:r>
        <w:rPr>
          <w:rFonts w:eastAsia="仿宋_GB2312"/>
          <w:sz w:val="32"/>
          <w:szCs w:val="32"/>
        </w:rPr>
        <w:t>4</w:t>
      </w:r>
      <w:r>
        <w:rPr>
          <w:rFonts w:hAnsi="仿宋_GB2312" w:eastAsia="仿宋_GB2312"/>
          <w:sz w:val="32"/>
          <w:szCs w:val="32"/>
        </w:rPr>
        <w:t>个项目编制了绩效目标，预算执行过程中，选取</w:t>
      </w:r>
      <w:r>
        <w:rPr>
          <w:rFonts w:eastAsia="仿宋_GB2312"/>
          <w:sz w:val="32"/>
          <w:szCs w:val="32"/>
        </w:rPr>
        <w:t>4</w:t>
      </w:r>
      <w:r>
        <w:rPr>
          <w:rFonts w:hAnsi="仿宋_GB2312" w:eastAsia="仿宋_GB2312"/>
          <w:sz w:val="32"/>
          <w:szCs w:val="32"/>
        </w:rPr>
        <w:t>个项目开展绩效监控，年终执行完毕后，对</w:t>
      </w:r>
      <w:r>
        <w:rPr>
          <w:rFonts w:eastAsia="仿宋_GB2312"/>
          <w:sz w:val="32"/>
          <w:szCs w:val="32"/>
        </w:rPr>
        <w:t>4</w:t>
      </w:r>
      <w:r>
        <w:rPr>
          <w:rFonts w:hAnsi="仿宋_GB2312" w:eastAsia="仿宋_GB2312"/>
          <w:sz w:val="32"/>
          <w:szCs w:val="32"/>
        </w:rPr>
        <w:t>个项目开展了绩效目标完成情况自评。</w:t>
      </w:r>
    </w:p>
    <w:p w14:paraId="2B20B1D2">
      <w:pPr>
        <w:spacing w:line="560" w:lineRule="exact"/>
        <w:ind w:firstLine="640" w:firstLineChars="200"/>
        <w:rPr>
          <w:rFonts w:eastAsia="仿宋_GB2312"/>
          <w:color w:val="000000"/>
          <w:sz w:val="32"/>
          <w:szCs w:val="32"/>
        </w:rPr>
      </w:pPr>
      <w:r>
        <w:rPr>
          <w:rFonts w:hAnsi="仿宋_GB2312" w:eastAsia="仿宋_GB2312"/>
          <w:sz w:val="32"/>
          <w:szCs w:val="32"/>
        </w:rPr>
        <w:t>本部门按要求对</w:t>
      </w:r>
      <w:r>
        <w:rPr>
          <w:rFonts w:eastAsia="仿宋_GB2312"/>
          <w:sz w:val="32"/>
          <w:szCs w:val="32"/>
        </w:rPr>
        <w:t>2020</w:t>
      </w:r>
      <w:r>
        <w:rPr>
          <w:rFonts w:hAnsi="仿宋_GB2312" w:eastAsia="仿宋_GB2312"/>
          <w:sz w:val="32"/>
          <w:szCs w:val="32"/>
        </w:rPr>
        <w:t>年部门整体支出开展绩效自评，从评价情况来看</w:t>
      </w:r>
      <w:r>
        <w:rPr>
          <w:rFonts w:hAnsi="仿宋_GB2312" w:eastAsia="仿宋_GB2312"/>
          <w:color w:val="000000"/>
          <w:sz w:val="32"/>
          <w:szCs w:val="32"/>
        </w:rPr>
        <w:t>全面完成</w:t>
      </w:r>
      <w:r>
        <w:rPr>
          <w:rFonts w:eastAsia="仿宋_GB2312"/>
          <w:color w:val="000000"/>
          <w:sz w:val="32"/>
          <w:szCs w:val="32"/>
        </w:rPr>
        <w:t>2020</w:t>
      </w:r>
      <w:r>
        <w:rPr>
          <w:rFonts w:hAnsi="仿宋_GB2312" w:eastAsia="仿宋_GB2312"/>
          <w:color w:val="000000"/>
          <w:sz w:val="32"/>
          <w:szCs w:val="32"/>
        </w:rPr>
        <w:t>年度城乡居民医疗保险参保工作</w:t>
      </w:r>
      <w:r>
        <w:rPr>
          <w:rFonts w:eastAsia="仿宋_GB2312"/>
          <w:color w:val="000000"/>
          <w:sz w:val="32"/>
          <w:szCs w:val="32"/>
        </w:rPr>
        <w:t xml:space="preserve"> ,</w:t>
      </w:r>
      <w:r>
        <w:rPr>
          <w:rFonts w:hAnsi="仿宋_GB2312" w:eastAsia="仿宋_GB2312"/>
          <w:color w:val="000000"/>
          <w:sz w:val="32"/>
          <w:szCs w:val="32"/>
        </w:rPr>
        <w:t>完成</w:t>
      </w:r>
      <w:r>
        <w:rPr>
          <w:rFonts w:eastAsia="仿宋_GB2312"/>
          <w:color w:val="000000"/>
          <w:sz w:val="32"/>
          <w:szCs w:val="32"/>
        </w:rPr>
        <w:t>2.18万人</w:t>
      </w:r>
      <w:r>
        <w:rPr>
          <w:rFonts w:hAnsi="仿宋_GB2312" w:eastAsia="仿宋_GB2312"/>
          <w:color w:val="000000"/>
          <w:sz w:val="32"/>
          <w:szCs w:val="32"/>
        </w:rPr>
        <w:t>的城乡居民医疗保险的参保工作，征收医保基金</w:t>
      </w:r>
      <w:r>
        <w:rPr>
          <w:rStyle w:val="36"/>
          <w:rFonts w:hint="default" w:ascii="Times New Roman"/>
        </w:rPr>
        <w:t>10909.11</w:t>
      </w:r>
      <w:r>
        <w:rPr>
          <w:rFonts w:hAnsi="仿宋_GB2312" w:eastAsia="仿宋_GB2312"/>
          <w:color w:val="000000"/>
          <w:sz w:val="32"/>
          <w:szCs w:val="32"/>
        </w:rPr>
        <w:t>万元。</w:t>
      </w:r>
      <w:r>
        <w:rPr>
          <w:rFonts w:eastAsia="仿宋_GB2312"/>
          <w:color w:val="000000"/>
          <w:sz w:val="32"/>
          <w:szCs w:val="32"/>
        </w:rPr>
        <w:t>落实参保扩面工作，2020年共有</w:t>
      </w:r>
      <w:r>
        <w:rPr>
          <w:rStyle w:val="36"/>
          <w:rFonts w:hint="default" w:ascii="Times New Roman"/>
        </w:rPr>
        <w:t>190015</w:t>
      </w:r>
      <w:r>
        <w:rPr>
          <w:rFonts w:eastAsia="仿宋_GB2312"/>
          <w:color w:val="000000"/>
          <w:sz w:val="32"/>
          <w:szCs w:val="32"/>
        </w:rPr>
        <w:t>人参加城乡居民医疗保险，征收参保资金5044.36万元，参保率达98%。离休干部、二等乙级伤残军人和伤残人民警察、建国初期参加革命工作人员医疗费用支出126.13万元。全面落实“一单制结算、一窗口办理、一站式服务”的医保改革服务工作。审核18.24万人次的城镇职工住院费用，支付医保基金3042万元，审核4.29万人次的城乡居民住院费用，支付医保基金9652万元。</w:t>
      </w:r>
      <w:r>
        <w:rPr>
          <w:rFonts w:hAnsi="仿宋_GB2312" w:eastAsia="仿宋_GB2312"/>
          <w:color w:val="000000"/>
          <w:sz w:val="32"/>
          <w:szCs w:val="32"/>
        </w:rPr>
        <w:t>通过基本医保、大病（补充）保险、医保扶贫等各项政策落地落实和各项待遇的及时兑付，切实增强参保群众的获得感和幸福感。</w:t>
      </w:r>
    </w:p>
    <w:p w14:paraId="7E417EFD">
      <w:pPr>
        <w:spacing w:line="560" w:lineRule="exact"/>
        <w:ind w:firstLine="640" w:firstLineChars="200"/>
        <w:rPr>
          <w:rFonts w:eastAsia="仿宋_GB2312"/>
          <w:b/>
          <w:sz w:val="32"/>
          <w:szCs w:val="32"/>
        </w:rPr>
      </w:pPr>
      <w:r>
        <w:rPr>
          <w:rFonts w:hAnsi="仿宋_GB2312" w:eastAsia="仿宋_GB2312"/>
          <w:sz w:val="32"/>
          <w:szCs w:val="32"/>
        </w:rPr>
        <w:t>本部门还自行组织了</w:t>
      </w:r>
      <w:r>
        <w:rPr>
          <w:rFonts w:hint="eastAsia" w:hAnsi="仿宋_GB2312" w:eastAsia="仿宋_GB2312"/>
          <w:sz w:val="32"/>
          <w:szCs w:val="32"/>
        </w:rPr>
        <w:t>城乡医疗救助补助资金</w:t>
      </w:r>
      <w:r>
        <w:rPr>
          <w:rFonts w:eastAsia="仿宋_GB2312"/>
          <w:sz w:val="32"/>
          <w:szCs w:val="32"/>
        </w:rPr>
        <w:t>1</w:t>
      </w:r>
      <w:r>
        <w:rPr>
          <w:rFonts w:hAnsi="仿宋_GB2312" w:eastAsia="仿宋_GB2312"/>
          <w:sz w:val="32"/>
          <w:szCs w:val="32"/>
        </w:rPr>
        <w:t>个项目支出绩效评价，从评价情况来看</w:t>
      </w:r>
      <w:r>
        <w:rPr>
          <w:rFonts w:hint="eastAsia" w:hAnsi="仿宋_GB2312" w:eastAsia="仿宋_GB2312"/>
          <w:sz w:val="32"/>
          <w:szCs w:val="32"/>
        </w:rPr>
        <w:t>持续</w:t>
      </w:r>
      <w:r>
        <w:rPr>
          <w:rFonts w:hAnsi="仿宋_GB2312" w:eastAsia="仿宋_GB2312"/>
          <w:sz w:val="32"/>
          <w:szCs w:val="32"/>
        </w:rPr>
        <w:t>保障</w:t>
      </w:r>
      <w:r>
        <w:rPr>
          <w:rFonts w:hint="eastAsia" w:hAnsi="仿宋_GB2312" w:eastAsia="仿宋_GB2312"/>
          <w:sz w:val="32"/>
          <w:szCs w:val="32"/>
        </w:rPr>
        <w:t>了困难群众参保资助工作；重点救助对象自付医疗费用按规定年度限额内住院救助比例达到70%；年度救助对象人次符合客观需要，</w:t>
      </w:r>
      <w:r>
        <w:rPr>
          <w:rFonts w:hAnsi="仿宋_GB2312" w:eastAsia="仿宋_GB2312"/>
          <w:sz w:val="32"/>
          <w:szCs w:val="32"/>
        </w:rPr>
        <w:t>进一步减轻</w:t>
      </w:r>
      <w:r>
        <w:rPr>
          <w:rFonts w:hint="eastAsia" w:hAnsi="仿宋_GB2312" w:eastAsia="仿宋_GB2312"/>
          <w:sz w:val="32"/>
          <w:szCs w:val="32"/>
        </w:rPr>
        <w:t>困难群众</w:t>
      </w:r>
      <w:r>
        <w:rPr>
          <w:rFonts w:hAnsi="仿宋_GB2312" w:eastAsia="仿宋_GB2312"/>
          <w:sz w:val="32"/>
          <w:szCs w:val="32"/>
        </w:rPr>
        <w:t>医疗费用负担，防止因病致贫、因病返贫。</w:t>
      </w:r>
    </w:p>
    <w:p w14:paraId="57E15344">
      <w:pPr>
        <w:spacing w:line="560" w:lineRule="exact"/>
        <w:ind w:firstLine="643" w:firstLineChars="200"/>
        <w:rPr>
          <w:rFonts w:eastAsia="仿宋_GB2312"/>
          <w:sz w:val="32"/>
          <w:szCs w:val="32"/>
        </w:rPr>
      </w:pPr>
      <w:r>
        <w:rPr>
          <w:rFonts w:eastAsia="仿宋_GB2312"/>
          <w:b/>
          <w:sz w:val="32"/>
          <w:szCs w:val="32"/>
        </w:rPr>
        <w:t>1.项目绩效目标完成情况。</w:t>
      </w:r>
      <w:r>
        <w:rPr>
          <w:rFonts w:eastAsia="仿宋_GB2312"/>
          <w:sz w:val="32"/>
          <w:szCs w:val="32"/>
        </w:rPr>
        <w:br w:type="textWrapping"/>
      </w:r>
      <w:r>
        <w:rPr>
          <w:rFonts w:eastAsia="仿宋_GB2312"/>
          <w:sz w:val="32"/>
          <w:szCs w:val="32"/>
        </w:rPr>
        <w:t xml:space="preserve">    </w:t>
      </w:r>
      <w:r>
        <w:rPr>
          <w:rFonts w:hAnsi="仿宋_GB2312" w:eastAsia="仿宋_GB2312"/>
          <w:sz w:val="32"/>
          <w:szCs w:val="32"/>
        </w:rPr>
        <w:t>本部门在</w:t>
      </w:r>
      <w:r>
        <w:rPr>
          <w:rFonts w:eastAsia="仿宋_GB2312"/>
          <w:sz w:val="32"/>
          <w:szCs w:val="32"/>
        </w:rPr>
        <w:t>2020</w:t>
      </w:r>
      <w:r>
        <w:rPr>
          <w:rFonts w:hAnsi="仿宋_GB2312" w:eastAsia="仿宋_GB2312"/>
          <w:sz w:val="32"/>
          <w:szCs w:val="32"/>
        </w:rPr>
        <w:t>年度部门决算中反映</w:t>
      </w:r>
      <w:r>
        <w:rPr>
          <w:rFonts w:eastAsia="仿宋_GB2312"/>
          <w:sz w:val="32"/>
          <w:szCs w:val="32"/>
        </w:rPr>
        <w:t>“</w:t>
      </w:r>
      <w:r>
        <w:rPr>
          <w:rFonts w:hAnsi="仿宋_GB2312" w:eastAsia="仿宋_GB2312"/>
          <w:sz w:val="32"/>
          <w:szCs w:val="32"/>
        </w:rPr>
        <w:t>医保专项工作经费</w:t>
      </w:r>
      <w:r>
        <w:rPr>
          <w:rFonts w:eastAsia="仿宋_GB2312"/>
          <w:sz w:val="32"/>
          <w:szCs w:val="32"/>
        </w:rPr>
        <w:t>”</w:t>
      </w:r>
      <w:r>
        <w:rPr>
          <w:rFonts w:hAnsi="仿宋_GB2312" w:eastAsia="仿宋_GB2312"/>
          <w:sz w:val="32"/>
          <w:szCs w:val="32"/>
        </w:rPr>
        <w:t>、</w:t>
      </w:r>
      <w:r>
        <w:rPr>
          <w:rFonts w:eastAsia="仿宋_GB2312"/>
          <w:sz w:val="32"/>
          <w:szCs w:val="32"/>
        </w:rPr>
        <w:t>“</w:t>
      </w:r>
      <w:r>
        <w:rPr>
          <w:rFonts w:hAnsi="仿宋_GB2312" w:eastAsia="仿宋_GB2312"/>
          <w:sz w:val="32"/>
          <w:szCs w:val="32"/>
        </w:rPr>
        <w:t>办公室物业管理费</w:t>
      </w:r>
      <w:r>
        <w:rPr>
          <w:rFonts w:eastAsia="仿宋_GB2312"/>
          <w:sz w:val="32"/>
          <w:szCs w:val="32"/>
        </w:rPr>
        <w:t>”</w:t>
      </w:r>
      <w:r>
        <w:rPr>
          <w:rFonts w:hAnsi="仿宋_GB2312" w:eastAsia="仿宋_GB2312"/>
          <w:sz w:val="32"/>
          <w:szCs w:val="32"/>
        </w:rPr>
        <w:t>、</w:t>
      </w:r>
      <w:r>
        <w:rPr>
          <w:rFonts w:eastAsia="仿宋_GB2312"/>
          <w:sz w:val="32"/>
          <w:szCs w:val="32"/>
        </w:rPr>
        <w:t>“‘</w:t>
      </w:r>
      <w:r>
        <w:rPr>
          <w:rFonts w:hAnsi="仿宋_GB2312" w:eastAsia="仿宋_GB2312"/>
          <w:sz w:val="32"/>
          <w:szCs w:val="32"/>
        </w:rPr>
        <w:t>村医通</w:t>
      </w:r>
      <w:r>
        <w:rPr>
          <w:rFonts w:eastAsia="仿宋_GB2312"/>
          <w:sz w:val="32"/>
          <w:szCs w:val="32"/>
        </w:rPr>
        <w:t>’</w:t>
      </w:r>
      <w:r>
        <w:rPr>
          <w:rFonts w:hAnsi="仿宋_GB2312" w:eastAsia="仿宋_GB2312"/>
          <w:sz w:val="32"/>
          <w:szCs w:val="32"/>
        </w:rPr>
        <w:t>专项工作经费</w:t>
      </w:r>
      <w:r>
        <w:rPr>
          <w:rFonts w:eastAsia="仿宋_GB2312"/>
          <w:sz w:val="32"/>
          <w:szCs w:val="32"/>
        </w:rPr>
        <w:t>”</w:t>
      </w:r>
      <w:r>
        <w:rPr>
          <w:rFonts w:hAnsi="仿宋_GB2312" w:eastAsia="仿宋_GB2312"/>
          <w:sz w:val="32"/>
          <w:szCs w:val="32"/>
        </w:rPr>
        <w:t>、</w:t>
      </w:r>
      <w:r>
        <w:rPr>
          <w:rFonts w:eastAsia="仿宋_GB2312"/>
          <w:sz w:val="32"/>
          <w:szCs w:val="32"/>
        </w:rPr>
        <w:t>“</w:t>
      </w:r>
      <w:r>
        <w:rPr>
          <w:rFonts w:hAnsi="仿宋_GB2312" w:eastAsia="仿宋_GB2312"/>
          <w:sz w:val="32"/>
          <w:szCs w:val="32"/>
        </w:rPr>
        <w:t>离休干部、二等乙级伤残军人和伤残人民警察、建国初期参加革命工作人员医疗费用</w:t>
      </w:r>
      <w:r>
        <w:rPr>
          <w:rFonts w:eastAsia="仿宋_GB2312"/>
          <w:sz w:val="32"/>
          <w:szCs w:val="32"/>
        </w:rPr>
        <w:t>”4</w:t>
      </w:r>
      <w:r>
        <w:rPr>
          <w:rFonts w:hAnsi="仿宋_GB2312" w:eastAsia="仿宋_GB2312"/>
          <w:sz w:val="32"/>
          <w:szCs w:val="32"/>
        </w:rPr>
        <w:t>个项目绩效目标实际完成情况。</w:t>
      </w:r>
    </w:p>
    <w:p w14:paraId="4CF8E9E7">
      <w:pPr>
        <w:pStyle w:val="25"/>
        <w:spacing w:line="560" w:lineRule="exact"/>
        <w:ind w:firstLine="640"/>
        <w:rPr>
          <w:rFonts w:eastAsia="仿宋_GB2312"/>
          <w:color w:val="000000"/>
          <w:sz w:val="32"/>
          <w:szCs w:val="32"/>
        </w:rPr>
      </w:pPr>
      <w:r>
        <w:rPr>
          <w:rFonts w:eastAsia="仿宋_GB2312"/>
          <w:color w:val="000000"/>
          <w:sz w:val="32"/>
          <w:szCs w:val="32"/>
        </w:rPr>
        <w:t>（1）医保专项支出预算下达11.7万元，执行数为11万元，完成预算94.01%。完成了医保征收、医保支付方式改革工作，重点推行按疾病诊断相关分组与点数法相结合付费方式改革。完成各项医疗保险待遇审核结算、工伤生育保险核定及待遇审核支付，定点药店刷卡审核结算，做好医保经办风险防控工作。</w:t>
      </w:r>
    </w:p>
    <w:p w14:paraId="1E1D79C8">
      <w:pPr>
        <w:pStyle w:val="25"/>
        <w:spacing w:line="560" w:lineRule="exact"/>
        <w:ind w:firstLine="640"/>
        <w:rPr>
          <w:rFonts w:eastAsia="仿宋_GB2312"/>
          <w:color w:val="000000"/>
          <w:sz w:val="32"/>
          <w:szCs w:val="32"/>
        </w:rPr>
      </w:pPr>
      <w:r>
        <w:rPr>
          <w:rFonts w:eastAsia="仿宋_GB2312"/>
          <w:color w:val="000000"/>
          <w:sz w:val="32"/>
          <w:szCs w:val="32"/>
        </w:rPr>
        <w:t>（2）“村医通”专项支出预算下达6.5万元，执行1.23万元，完成预算18.92%。保障28</w:t>
      </w:r>
      <w:r>
        <w:rPr>
          <w:rFonts w:hAnsi="仿宋_GB2312" w:eastAsia="仿宋_GB2312"/>
          <w:color w:val="000000"/>
          <w:sz w:val="32"/>
          <w:szCs w:val="32"/>
        </w:rPr>
        <w:t>个贫困</w:t>
      </w:r>
      <w:r>
        <w:rPr>
          <w:rFonts w:eastAsia="仿宋_GB2312"/>
          <w:color w:val="000000"/>
          <w:sz w:val="32"/>
          <w:szCs w:val="32"/>
        </w:rPr>
        <w:t>村卫生室医保就医结算业务能够正常办理，切实解决偏远地区老百姓普通门诊医疗费用报销问题</w:t>
      </w:r>
      <w:r>
        <w:rPr>
          <w:rFonts w:hAnsi="仿宋_GB2312" w:eastAsia="仿宋_GB2312"/>
          <w:bCs/>
          <w:color w:val="000000"/>
          <w:sz w:val="32"/>
          <w:szCs w:val="32"/>
        </w:rPr>
        <w:t>。</w:t>
      </w:r>
    </w:p>
    <w:p w14:paraId="788B2C22">
      <w:pPr>
        <w:pStyle w:val="25"/>
        <w:spacing w:line="560" w:lineRule="exact"/>
        <w:ind w:firstLine="640"/>
        <w:rPr>
          <w:rFonts w:eastAsia="仿宋_GB2312"/>
          <w:color w:val="000000"/>
          <w:sz w:val="32"/>
          <w:szCs w:val="32"/>
        </w:rPr>
      </w:pPr>
      <w:r>
        <w:rPr>
          <w:rFonts w:eastAsia="仿宋_GB2312"/>
          <w:color w:val="000000"/>
          <w:sz w:val="32"/>
          <w:szCs w:val="32"/>
        </w:rPr>
        <w:t>（3）离休干部、二等乙级伤残军人和伤残人民警察、建国初期参加革命工作人员医疗费用预算下达150万元，执行126.13万元，完成预算84.09%。为离休，二乙，建国初期特殊人员门诊报销588人次，住院报销104人次，确保了全县离休干部、二等乙级伤残人员、建国初期参加革命工作人员的医疗费用足额安排拨付。</w:t>
      </w:r>
    </w:p>
    <w:p w14:paraId="472CB44D">
      <w:pPr>
        <w:pStyle w:val="25"/>
        <w:spacing w:line="560" w:lineRule="exact"/>
        <w:ind w:firstLine="640"/>
        <w:rPr>
          <w:rFonts w:eastAsia="仿宋_GB2312"/>
          <w:color w:val="000000"/>
          <w:sz w:val="32"/>
          <w:szCs w:val="32"/>
        </w:rPr>
      </w:pPr>
      <w:r>
        <w:rPr>
          <w:rFonts w:eastAsia="仿宋_GB2312"/>
          <w:color w:val="000000"/>
          <w:sz w:val="32"/>
          <w:szCs w:val="32"/>
        </w:rPr>
        <w:t>（4）办公室物业管理费预算下达6.5万元，执行6.5万元，完成预算100%。为办事群众及工作人员提供办事区域安全保卫、绿化、环卫、车辆管理等。</w:t>
      </w:r>
    </w:p>
    <w:p w14:paraId="30EAE4D8">
      <w:pPr>
        <w:spacing w:line="560" w:lineRule="exact"/>
        <w:ind w:firstLine="643" w:firstLineChars="200"/>
        <w:rPr>
          <w:rFonts w:eastAsia="仿宋_GB2312"/>
          <w:sz w:val="32"/>
          <w:szCs w:val="32"/>
        </w:rPr>
      </w:pPr>
      <w:r>
        <w:rPr>
          <w:rFonts w:eastAsia="仿宋_GB2312"/>
          <w:b/>
          <w:color w:val="000000"/>
          <w:sz w:val="32"/>
          <w:szCs w:val="32"/>
        </w:rPr>
        <w:t>2.存在的主要问题。</w:t>
      </w:r>
      <w:r>
        <w:rPr>
          <w:rFonts w:eastAsia="仿宋_GB2312"/>
          <w:sz w:val="32"/>
          <w:szCs w:val="32"/>
        </w:rPr>
        <w:t>项目预算编制不够科学合理。一是2020年预算批复表中离休干部、二等乙级伤残军人和伤残人民警察、建国初期参加革命工作人员医疗费用、医疗费补助，预算下达150万元,执行126.13万元,预算与实际差异较大，反映出项目预算编制不够科学合理。二是“村医通”项目未完成绩效目标，年初计划在2020年6月前开通全县87个村卫生室金保网络，年底实际开通28个村卫生室金保系统，项目完成率28.74%。</w:t>
      </w:r>
    </w:p>
    <w:p w14:paraId="536D5A16">
      <w:pPr>
        <w:pStyle w:val="13"/>
        <w:shd w:val="clear" w:color="auto" w:fill="FFFFFF"/>
        <w:spacing w:before="0" w:beforeAutospacing="0" w:after="0" w:afterAutospacing="0" w:line="560" w:lineRule="exact"/>
        <w:ind w:firstLine="643" w:firstLineChars="200"/>
        <w:jc w:val="both"/>
        <w:rPr>
          <w:rFonts w:ascii="Times New Roman" w:hAnsi="Times New Roman" w:eastAsia="仿宋_GB2312" w:cs="Times New Roman"/>
          <w:sz w:val="32"/>
          <w:szCs w:val="32"/>
        </w:rPr>
      </w:pPr>
      <w:r>
        <w:rPr>
          <w:rFonts w:ascii="Times New Roman" w:hAnsi="Times New Roman" w:eastAsia="仿宋_GB2312" w:cs="Times New Roman"/>
          <w:b/>
          <w:sz w:val="32"/>
          <w:szCs w:val="32"/>
        </w:rPr>
        <w:t>3.下一步改进措施</w:t>
      </w:r>
      <w:r>
        <w:rPr>
          <w:rFonts w:ascii="Times New Roman" w:hAnsi="Times New Roman" w:eastAsia="仿宋_GB2312" w:cs="Times New Roman"/>
          <w:sz w:val="32"/>
          <w:szCs w:val="32"/>
        </w:rPr>
        <w:t>。</w:t>
      </w:r>
    </w:p>
    <w:p w14:paraId="34F870DC">
      <w:pPr>
        <w:pStyle w:val="13"/>
        <w:shd w:val="clear" w:color="auto" w:fill="FFFFFF"/>
        <w:spacing w:before="0" w:beforeAutospacing="0" w:after="0" w:afterAutospacing="0" w:line="560" w:lineRule="exact"/>
        <w:ind w:firstLine="640" w:firstLineChars="200"/>
        <w:jc w:val="both"/>
        <w:rPr>
          <w:rFonts w:ascii="Times New Roman" w:hAnsi="Times New Roman" w:eastAsia="仿宋_GB2312"/>
          <w:color w:val="000000"/>
          <w:sz w:val="32"/>
          <w:szCs w:val="32"/>
        </w:rPr>
      </w:pPr>
      <w:r>
        <w:rPr>
          <w:rFonts w:hint="eastAsia" w:ascii="Times New Roman" w:hAnsi="Times New Roman" w:eastAsia="仿宋_GB2312" w:cs="Times New Roman"/>
          <w:sz w:val="32"/>
          <w:szCs w:val="32"/>
        </w:rPr>
        <w:t>（1）加强单位内控制度建设。</w:t>
      </w:r>
      <w:r>
        <w:rPr>
          <w:rFonts w:ascii="Times New Roman" w:hAnsi="Times New Roman" w:eastAsia="仿宋_GB2312"/>
          <w:color w:val="000000"/>
          <w:sz w:val="32"/>
          <w:szCs w:val="32"/>
        </w:rPr>
        <w:t>一是</w:t>
      </w:r>
      <w:r>
        <w:rPr>
          <w:rFonts w:hint="eastAsia" w:ascii="Times New Roman" w:hAnsi="Times New Roman" w:eastAsia="仿宋_GB2312"/>
          <w:color w:val="000000"/>
          <w:sz w:val="32"/>
          <w:szCs w:val="32"/>
        </w:rPr>
        <w:t>加强</w:t>
      </w:r>
      <w:r>
        <w:rPr>
          <w:rFonts w:ascii="Times New Roman" w:hAnsi="Times New Roman" w:eastAsia="仿宋_GB2312"/>
          <w:color w:val="000000"/>
          <w:sz w:val="32"/>
          <w:szCs w:val="32"/>
        </w:rPr>
        <w:t>业务层面内控建设。内控建设涵盖预算管理、收支管理、政府采购管理、国有资产管理、合同管理、建设项目管理等主要经济业务领域</w:t>
      </w: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按照分事行权、分岗设权、分级授权要求落实不相容岗位分离和定期轮岗等内部权力制衡基本举措</w:t>
      </w: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建立重大事项议事决策机制，建立健全集体研究、专家论证和技术咨询相结合的辅助决策机制。</w:t>
      </w:r>
      <w:r>
        <w:rPr>
          <w:rFonts w:hint="eastAsia" w:ascii="Times New Roman" w:hAnsi="Times New Roman" w:eastAsia="仿宋_GB2312"/>
          <w:color w:val="000000"/>
          <w:sz w:val="32"/>
          <w:szCs w:val="32"/>
        </w:rPr>
        <w:t>二</w:t>
      </w:r>
      <w:r>
        <w:rPr>
          <w:rFonts w:ascii="Times New Roman" w:hAnsi="Times New Roman" w:eastAsia="仿宋_GB2312"/>
          <w:color w:val="000000"/>
          <w:sz w:val="32"/>
          <w:szCs w:val="32"/>
        </w:rPr>
        <w:t>是</w:t>
      </w:r>
      <w:r>
        <w:rPr>
          <w:rFonts w:hint="eastAsia" w:ascii="Times New Roman" w:hAnsi="Times New Roman" w:eastAsia="仿宋_GB2312"/>
          <w:color w:val="000000"/>
          <w:sz w:val="32"/>
          <w:szCs w:val="32"/>
        </w:rPr>
        <w:t>加强</w:t>
      </w:r>
      <w:r>
        <w:rPr>
          <w:rFonts w:ascii="Times New Roman" w:hAnsi="Times New Roman" w:eastAsia="仿宋_GB2312"/>
          <w:color w:val="000000"/>
          <w:sz w:val="32"/>
          <w:szCs w:val="32"/>
        </w:rPr>
        <w:t>自我评价监督及信息化建设。建立经济活动风险定期评估和内部监督机制</w:t>
      </w: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执行内控报告制度，开展内控自我评价工作</w:t>
      </w:r>
      <w:r>
        <w:rPr>
          <w:rFonts w:hint="eastAsia" w:ascii="Times New Roman" w:hAnsi="Times New Roman" w:eastAsia="仿宋_GB2312"/>
          <w:color w:val="000000"/>
          <w:sz w:val="32"/>
          <w:szCs w:val="32"/>
        </w:rPr>
        <w:t>。</w:t>
      </w:r>
    </w:p>
    <w:p w14:paraId="59DA2CDE">
      <w:pPr>
        <w:pStyle w:val="13"/>
        <w:shd w:val="clear" w:color="auto" w:fill="FFFFFF"/>
        <w:spacing w:before="0" w:beforeAutospacing="0" w:after="0" w:afterAutospacing="0" w:line="560" w:lineRule="exact"/>
        <w:ind w:firstLine="640" w:firstLineChars="200"/>
        <w:jc w:val="both"/>
        <w:rPr>
          <w:rFonts w:ascii="Times New Roman" w:hAnsi="Times New Roman" w:eastAsia="仿宋_GB2312"/>
          <w:color w:val="000000"/>
          <w:sz w:val="32"/>
          <w:szCs w:val="32"/>
        </w:rPr>
      </w:pPr>
      <w:r>
        <w:rPr>
          <w:rFonts w:hint="eastAsia" w:ascii="Times New Roman" w:hAnsi="Times New Roman" w:eastAsia="仿宋_GB2312"/>
          <w:color w:val="000000"/>
          <w:sz w:val="32"/>
          <w:szCs w:val="32"/>
        </w:rPr>
        <w:t>（2）加强预算支出的准确性。各股室在编制预算时要做好编制预算的前期准备工作，对项目数量、资金使用、目标任务进行认真调研与论证。财务部门要会同项目支出申请科室根据事业发展规划，认真审核项目支出预算，根据项目发展的重要性、可行性和效益进行论证，保证预算数据分析的全面性和深入性，进一步保证预算编制的正确完整和使用效率。</w:t>
      </w:r>
    </w:p>
    <w:p w14:paraId="32D925A7">
      <w:pPr>
        <w:spacing w:line="560" w:lineRule="exact"/>
        <w:ind w:firstLine="640" w:firstLineChars="200"/>
        <w:rPr>
          <w:rFonts w:ascii="仿宋_GB2312" w:hAnsi="仿宋_GB2312" w:eastAsia="仿宋_GB2312" w:cs="仿宋_GB2312"/>
          <w:sz w:val="32"/>
          <w:szCs w:val="32"/>
        </w:rPr>
      </w:pPr>
      <w:r>
        <w:rPr>
          <w:rFonts w:hint="eastAsia" w:eastAsia="仿宋_GB2312"/>
          <w:color w:val="000000"/>
          <w:sz w:val="32"/>
          <w:szCs w:val="32"/>
        </w:rPr>
        <w:t>（3）</w:t>
      </w:r>
      <w:r>
        <w:rPr>
          <w:rFonts w:hint="eastAsia" w:ascii="仿宋_GB2312" w:eastAsia="仿宋_GB2312"/>
          <w:sz w:val="32"/>
          <w:szCs w:val="32"/>
        </w:rPr>
        <w:t xml:space="preserve"> 科学合理编制项目预算，提高预算编制的精确度，确实降低项目预算与实际执行之间的差异；加强项目绩效目标管理，对项目绩效目标进行动态管理，确保绩效目标实现。</w:t>
      </w:r>
      <w:r>
        <w:rPr>
          <w:rFonts w:hint="eastAsia" w:eastAsia="仿宋_GB2312"/>
          <w:color w:val="000000"/>
          <w:sz w:val="32"/>
          <w:szCs w:val="32"/>
        </w:rPr>
        <w:t>建立单位项目预算资金使用情况的跟踪制度和责任追究制度，实现对预算资金运行和管理的全方位、全过程监督。</w:t>
      </w:r>
      <w:r>
        <w:rPr>
          <w:rFonts w:ascii="仿宋_GB2312" w:eastAsia="仿宋_GB2312"/>
          <w:szCs w:val="21"/>
        </w:rPr>
        <w:t xml:space="preserve"> </w:t>
      </w:r>
    </w:p>
    <w:tbl>
      <w:tblPr>
        <w:tblStyle w:val="14"/>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14:paraId="2E55C611">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14:paraId="5831DE03">
            <w:pPr>
              <w:widowControl/>
              <w:jc w:val="center"/>
              <w:textAlignment w:val="center"/>
              <w:rPr>
                <w:rFonts w:ascii="宋体" w:hAnsi="宋体" w:cs="宋体"/>
                <w:color w:val="000000"/>
                <w:sz w:val="36"/>
                <w:szCs w:val="36"/>
              </w:rPr>
            </w:pPr>
            <w:r>
              <w:rPr>
                <w:rFonts w:hint="eastAsia" w:ascii="宋体" w:hAnsi="宋体" w:cs="宋体"/>
                <w:b/>
                <w:bCs/>
                <w:color w:val="000000"/>
                <w:kern w:val="0"/>
                <w:sz w:val="32"/>
                <w:szCs w:val="32"/>
              </w:rPr>
              <w:t>项目绩效目标完成情况表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28"/>
                <w:szCs w:val="28"/>
              </w:rPr>
              <w:t>(2020年度)</w:t>
            </w:r>
          </w:p>
        </w:tc>
      </w:tr>
      <w:tr w14:paraId="60925D43">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309CF83">
            <w:pPr>
              <w:jc w:val="center"/>
            </w:pPr>
            <w:r>
              <w:rPr>
                <w:rFonts w:hint="eastAsia"/>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834143D">
            <w:pPr>
              <w:jc w:val="center"/>
            </w:pPr>
            <w:r>
              <w:rPr>
                <w:rFonts w:hint="eastAsia"/>
              </w:rPr>
              <w:t>医保专项工作经费</w:t>
            </w:r>
          </w:p>
        </w:tc>
      </w:tr>
      <w:tr w14:paraId="54E2FA8A">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F2D7D4F">
            <w:pPr>
              <w:jc w:val="center"/>
            </w:pPr>
            <w:r>
              <w:rPr>
                <w:rFonts w:hint="eastAsia"/>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8653E9A">
            <w:pPr>
              <w:jc w:val="center"/>
            </w:pPr>
            <w:r>
              <w:rPr>
                <w:rFonts w:hint="eastAsia"/>
              </w:rPr>
              <w:t>米易县医疗保障局</w:t>
            </w:r>
          </w:p>
        </w:tc>
      </w:tr>
      <w:tr w14:paraId="0F034E2B">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312AE13">
            <w:pPr>
              <w:jc w:val="center"/>
            </w:pPr>
            <w:r>
              <w:rPr>
                <w:rFonts w:hint="eastAsia"/>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1778087">
            <w:pPr>
              <w:jc w:val="center"/>
            </w:pPr>
            <w:r>
              <w:rPr>
                <w:rFonts w:hint="eastAsia"/>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356FEE5">
            <w:pPr>
              <w:jc w:val="center"/>
            </w:pPr>
            <w:r>
              <w:rPr>
                <w:rFonts w:hint="eastAsia"/>
              </w:rPr>
              <w:t>11.7万元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2FEDC8B">
            <w:pPr>
              <w:jc w:val="center"/>
            </w:pPr>
            <w:r>
              <w:rPr>
                <w:rFonts w:hint="eastAsia"/>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DEB92B6">
            <w:pPr>
              <w:jc w:val="center"/>
            </w:pPr>
            <w:r>
              <w:rPr>
                <w:rFonts w:hint="eastAsia"/>
              </w:rPr>
              <w:t>11万元</w:t>
            </w:r>
          </w:p>
        </w:tc>
      </w:tr>
      <w:tr w14:paraId="11F5B704">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6F56D8B">
            <w:pPr>
              <w:jc w:val="cente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90BA853">
            <w:pPr>
              <w:jc w:val="center"/>
            </w:pPr>
            <w:r>
              <w:rPr>
                <w:rFonts w:hint="eastAsia"/>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ED5AF31">
            <w:pPr>
              <w:jc w:val="center"/>
            </w:pPr>
            <w:r>
              <w:rPr>
                <w:rFonts w:hint="eastAsia"/>
              </w:rPr>
              <w:t>11.7万元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A88D647">
            <w:pPr>
              <w:jc w:val="center"/>
            </w:pPr>
            <w:r>
              <w:rPr>
                <w:rFonts w:hint="eastAsia"/>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1CCA21F">
            <w:pPr>
              <w:jc w:val="center"/>
            </w:pPr>
            <w:r>
              <w:rPr>
                <w:rFonts w:hint="eastAsia"/>
              </w:rPr>
              <w:t>11万元</w:t>
            </w:r>
          </w:p>
        </w:tc>
      </w:tr>
      <w:tr w14:paraId="557F044B">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C9F868B">
            <w:pPr>
              <w:jc w:val="cente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2C8B850">
            <w:pPr>
              <w:jc w:val="center"/>
            </w:pPr>
            <w:r>
              <w:rPr>
                <w:rFonts w:hint="eastAsia"/>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9EB57AB">
            <w:pPr>
              <w:jc w:val="center"/>
            </w:pPr>
            <w:r>
              <w:rPr>
                <w:rFonts w:hint="eastAsia"/>
              </w:rPr>
              <w:t>无</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B8AD1CC">
            <w:pPr>
              <w:jc w:val="center"/>
            </w:pPr>
            <w:r>
              <w:rPr>
                <w:rFonts w:hint="eastAsia"/>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72C09A0">
            <w:pPr>
              <w:jc w:val="center"/>
            </w:pPr>
            <w:r>
              <w:rPr>
                <w:rFonts w:hint="eastAsia"/>
              </w:rPr>
              <w:t>无</w:t>
            </w:r>
          </w:p>
        </w:tc>
      </w:tr>
      <w:tr w14:paraId="0E1D5CB7">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A8DFFE4">
            <w:pPr>
              <w:jc w:val="center"/>
            </w:pPr>
            <w:r>
              <w:rPr>
                <w:rFonts w:hint="eastAsia"/>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FD1B566">
            <w:pPr>
              <w:jc w:val="center"/>
            </w:pPr>
            <w:r>
              <w:rPr>
                <w:rFonts w:hint="eastAsia"/>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4643C00">
            <w:pPr>
              <w:jc w:val="center"/>
            </w:pPr>
            <w:r>
              <w:rPr>
                <w:rFonts w:hint="eastAsia"/>
              </w:rPr>
              <w:t>实际完成目标</w:t>
            </w:r>
          </w:p>
        </w:tc>
      </w:tr>
      <w:tr w14:paraId="2A80E47A">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69B27E5">
            <w:pPr>
              <w:jc w:val="cente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489377A">
            <w:pPr>
              <w:jc w:val="left"/>
            </w:pPr>
            <w:r>
              <w:rPr>
                <w:rFonts w:hint="eastAsia"/>
              </w:rPr>
              <w:t>做好医保征收、医保支付方式改革工作，重点推行按疾病诊断相关分组与点数法相结合付费方式改革。完成各项医疗保险待遇审核结算、工伤生育保险核定及待遇审核支付，定点药店刷卡审核结算，做好医保经办风险防控工作。</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99FF68B">
            <w:pPr>
              <w:jc w:val="left"/>
            </w:pPr>
            <w:r>
              <w:rPr>
                <w:rFonts w:hint="eastAsia"/>
              </w:rPr>
              <w:t>1.职工医保参保单位611家，其中机关事业单位137家。缴费总人数21768人。城乡居民参保190015人。</w:t>
            </w:r>
          </w:p>
          <w:p w14:paraId="262947F7">
            <w:pPr>
              <w:jc w:val="left"/>
            </w:pPr>
            <w:r>
              <w:rPr>
                <w:rFonts w:hint="eastAsia"/>
              </w:rPr>
              <w:t>2.审核职工医疗待遇182382人次，支付医保基金3042.1万元。</w:t>
            </w:r>
          </w:p>
          <w:p w14:paraId="02F82412">
            <w:pPr>
              <w:jc w:val="left"/>
            </w:pPr>
            <w:r>
              <w:rPr>
                <w:rFonts w:hint="eastAsia"/>
              </w:rPr>
              <w:t>3.审核城乡居民住院待遇（含一类门特）42921人次，医保基金报销9652.77万元。</w:t>
            </w:r>
          </w:p>
          <w:p w14:paraId="04C937A6">
            <w:pPr>
              <w:jc w:val="left"/>
            </w:pPr>
            <w:r>
              <w:rPr>
                <w:rFonts w:hint="eastAsia"/>
              </w:rPr>
              <w:t>4.异地就医联网结算（住院）1114人次，医保结算金额 375.92万元。</w:t>
            </w:r>
          </w:p>
          <w:p w14:paraId="1F4D9E4A">
            <w:pPr>
              <w:jc w:val="left"/>
            </w:pPr>
            <w:r>
              <w:rPr>
                <w:rFonts w:hint="eastAsia"/>
              </w:rPr>
              <w:t>5.审核生育保险待遇 410人次，支付生育保险基金 385.35万元。</w:t>
            </w:r>
          </w:p>
        </w:tc>
      </w:tr>
      <w:tr w14:paraId="7767A34E">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14:paraId="58C67E28">
            <w:pPr>
              <w:jc w:val="center"/>
            </w:pPr>
            <w:r>
              <w:rPr>
                <w:rFonts w:hint="eastAsia"/>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FCCF9CC">
            <w:pPr>
              <w:jc w:val="center"/>
            </w:pPr>
            <w:r>
              <w:rPr>
                <w:rFonts w:hint="eastAsia"/>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6AD7446">
            <w:pPr>
              <w:jc w:val="center"/>
            </w:pPr>
            <w:r>
              <w:rPr>
                <w:rFonts w:hint="eastAsia"/>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B964590">
            <w:pPr>
              <w:jc w:val="center"/>
            </w:pPr>
            <w:r>
              <w:rPr>
                <w:rFonts w:hint="eastAsia"/>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9631747">
            <w:pPr>
              <w:jc w:val="center"/>
            </w:pPr>
            <w:r>
              <w:rPr>
                <w:rFonts w:hint="eastAsia"/>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BE50519">
            <w:pPr>
              <w:jc w:val="center"/>
            </w:pPr>
            <w:r>
              <w:rPr>
                <w:rFonts w:hint="eastAsia"/>
              </w:rPr>
              <w:t>实际完成指标值(包含数字及文字描述)</w:t>
            </w:r>
          </w:p>
        </w:tc>
      </w:tr>
      <w:tr w14:paraId="03600BE8">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61150BAD">
            <w:pPr>
              <w:jc w:val="center"/>
            </w:pPr>
          </w:p>
        </w:tc>
        <w:tc>
          <w:tcPr>
            <w:tcW w:w="1367"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14:paraId="4BD6547A">
            <w:pPr>
              <w:jc w:val="center"/>
            </w:pPr>
            <w:r>
              <w:rPr>
                <w:rFonts w:hint="eastAsia"/>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62FB9ED">
            <w:pPr>
              <w:jc w:val="center"/>
            </w:pPr>
            <w:r>
              <w:rPr>
                <w:rFonts w:hint="eastAsia"/>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D998312">
            <w:pPr>
              <w:jc w:val="center"/>
            </w:pPr>
            <w:r>
              <w:rPr>
                <w:rFonts w:hint="eastAsia"/>
              </w:rPr>
              <w:t>城乡居民参保缴费人数</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63E861C">
            <w:pPr>
              <w:jc w:val="center"/>
            </w:pPr>
            <w:r>
              <w:rPr>
                <w:rFonts w:hint="eastAsia"/>
              </w:rPr>
              <w:t>18.96万人</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183BEAE">
            <w:pPr>
              <w:jc w:val="center"/>
            </w:pPr>
            <w:r>
              <w:rPr>
                <w:rFonts w:hint="eastAsia"/>
              </w:rPr>
              <w:t>19万人</w:t>
            </w:r>
          </w:p>
        </w:tc>
      </w:tr>
      <w:tr w14:paraId="088177D8">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3E4D897C">
            <w:pPr>
              <w:jc w:val="center"/>
            </w:pPr>
          </w:p>
        </w:tc>
        <w:tc>
          <w:tcPr>
            <w:tcW w:w="1367" w:type="dxa"/>
            <w:vMerge w:val="continue"/>
            <w:tcBorders>
              <w:left w:val="single" w:color="000000" w:sz="4" w:space="0"/>
              <w:right w:val="single" w:color="000000" w:sz="4" w:space="0"/>
            </w:tcBorders>
            <w:tcMar>
              <w:top w:w="15" w:type="dxa"/>
              <w:left w:w="15" w:type="dxa"/>
              <w:right w:w="15" w:type="dxa"/>
            </w:tcMar>
            <w:vAlign w:val="center"/>
          </w:tcPr>
          <w:p w14:paraId="148306CB">
            <w:pPr>
              <w:jc w:val="center"/>
            </w:pPr>
          </w:p>
        </w:tc>
        <w:tc>
          <w:tcPr>
            <w:tcW w:w="1025"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14:paraId="4B30A072">
            <w:pPr>
              <w:jc w:val="center"/>
            </w:pPr>
            <w:r>
              <w:rPr>
                <w:rFonts w:hint="eastAsia"/>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4A7BED9">
            <w:pPr>
              <w:jc w:val="center"/>
            </w:pPr>
            <w:r>
              <w:rPr>
                <w:rFonts w:hint="eastAsia"/>
              </w:rPr>
              <w:t>2020年12月31日</w:t>
            </w:r>
          </w:p>
          <w:p w14:paraId="6BA4E9D1">
            <w:pPr>
              <w:jc w:val="cente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2DFE24D">
            <w:pPr>
              <w:jc w:val="center"/>
            </w:pPr>
            <w:r>
              <w:rPr>
                <w:rFonts w:hint="eastAsia"/>
              </w:rPr>
              <w:t>2020年12月31日完成</w:t>
            </w:r>
          </w:p>
          <w:p w14:paraId="11D6D359">
            <w:pPr>
              <w:jc w:val="cente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220C687">
            <w:pPr>
              <w:jc w:val="center"/>
            </w:pPr>
            <w:r>
              <w:rPr>
                <w:rFonts w:hint="eastAsia"/>
              </w:rPr>
              <w:t>完成城乡居民参保190015人参保缴费。</w:t>
            </w:r>
          </w:p>
        </w:tc>
      </w:tr>
      <w:tr w14:paraId="15A65DC4">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3DDF990A">
            <w:pPr>
              <w:jc w:val="center"/>
            </w:pPr>
          </w:p>
        </w:tc>
        <w:tc>
          <w:tcPr>
            <w:tcW w:w="1367" w:type="dxa"/>
            <w:vMerge w:val="continue"/>
            <w:tcBorders>
              <w:left w:val="single" w:color="000000" w:sz="4" w:space="0"/>
              <w:right w:val="single" w:color="000000" w:sz="4" w:space="0"/>
            </w:tcBorders>
            <w:tcMar>
              <w:top w:w="15" w:type="dxa"/>
              <w:left w:w="15" w:type="dxa"/>
              <w:right w:w="15" w:type="dxa"/>
            </w:tcMar>
            <w:vAlign w:val="center"/>
          </w:tcPr>
          <w:p w14:paraId="391C0DCD">
            <w:pPr>
              <w:jc w:val="center"/>
            </w:pPr>
          </w:p>
        </w:tc>
        <w:tc>
          <w:tcPr>
            <w:tcW w:w="1025"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14:paraId="3BB24949">
            <w:pPr>
              <w:jc w:val="cente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93FC946">
            <w:pPr>
              <w:jc w:val="center"/>
            </w:pPr>
            <w:r>
              <w:rPr>
                <w:rFonts w:hint="eastAsia"/>
              </w:rPr>
              <w:t>开展医保政策宣传、培训</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DB340C9">
            <w:pPr>
              <w:jc w:val="center"/>
            </w:pPr>
            <w:r>
              <w:rPr>
                <w:rFonts w:hint="eastAsia"/>
              </w:rPr>
              <w:t>2次</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46D103B">
            <w:pPr>
              <w:jc w:val="center"/>
            </w:pPr>
            <w:r>
              <w:rPr>
                <w:rFonts w:hint="eastAsia"/>
              </w:rPr>
              <w:t>3次</w:t>
            </w:r>
          </w:p>
        </w:tc>
      </w:tr>
      <w:tr w14:paraId="33BEE623">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2F9F2931">
            <w:pPr>
              <w:jc w:val="center"/>
            </w:pPr>
          </w:p>
        </w:tc>
        <w:tc>
          <w:tcPr>
            <w:tcW w:w="1367"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14:paraId="25CEB995">
            <w:pPr>
              <w:jc w:val="center"/>
            </w:pP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88E146D">
            <w:pPr>
              <w:jc w:val="center"/>
            </w:pPr>
            <w:r>
              <w:rPr>
                <w:rFonts w:hint="eastAsia"/>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3027B6F">
            <w:pPr>
              <w:jc w:val="center"/>
            </w:pPr>
            <w:r>
              <w:rPr>
                <w:rFonts w:hint="eastAsia"/>
              </w:rPr>
              <w:t>代缴城乡居民基本医疗保险最低标准</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E328197">
            <w:pPr>
              <w:jc w:val="center"/>
            </w:pPr>
            <w:r>
              <w:rPr>
                <w:rFonts w:hint="eastAsia"/>
              </w:rPr>
              <w:t>220元</w:t>
            </w:r>
            <w:r>
              <w:t>/</w:t>
            </w:r>
            <w:r>
              <w:rPr>
                <w:rFonts w:hint="eastAsia"/>
              </w:rPr>
              <w:t>人</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2786595">
            <w:pPr>
              <w:jc w:val="center"/>
            </w:pPr>
            <w:r>
              <w:rPr>
                <w:rFonts w:hint="eastAsia"/>
              </w:rPr>
              <w:t>220元</w:t>
            </w:r>
            <w:r>
              <w:t>/</w:t>
            </w:r>
            <w:r>
              <w:rPr>
                <w:rFonts w:hint="eastAsia"/>
              </w:rPr>
              <w:t>人</w:t>
            </w:r>
          </w:p>
        </w:tc>
      </w:tr>
      <w:tr w14:paraId="648A5271">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338A87BA">
            <w:pPr>
              <w:jc w:val="center"/>
            </w:pPr>
          </w:p>
        </w:tc>
        <w:tc>
          <w:tcPr>
            <w:tcW w:w="1367" w:type="dxa"/>
            <w:tcBorders>
              <w:top w:val="single" w:color="000000" w:sz="4" w:space="0"/>
              <w:left w:val="single" w:color="000000" w:sz="4" w:space="0"/>
              <w:right w:val="single" w:color="000000" w:sz="4" w:space="0"/>
            </w:tcBorders>
            <w:tcMar>
              <w:top w:w="15" w:type="dxa"/>
              <w:left w:w="15" w:type="dxa"/>
              <w:right w:w="15" w:type="dxa"/>
            </w:tcMar>
            <w:vAlign w:val="center"/>
          </w:tcPr>
          <w:p w14:paraId="7645B5AA">
            <w:pPr>
              <w:jc w:val="center"/>
            </w:pPr>
            <w:r>
              <w:rPr>
                <w:rFonts w:hint="eastAsia"/>
              </w:rPr>
              <w:t>效益指标</w:t>
            </w:r>
          </w:p>
        </w:tc>
        <w:tc>
          <w:tcPr>
            <w:tcW w:w="1025" w:type="dxa"/>
            <w:tcBorders>
              <w:top w:val="single" w:color="000000" w:sz="4" w:space="0"/>
              <w:left w:val="single" w:color="000000" w:sz="4" w:space="0"/>
              <w:right w:val="single" w:color="000000" w:sz="4" w:space="0"/>
            </w:tcBorders>
            <w:tcMar>
              <w:top w:w="15" w:type="dxa"/>
              <w:left w:w="15" w:type="dxa"/>
              <w:right w:w="15" w:type="dxa"/>
            </w:tcMar>
            <w:vAlign w:val="center"/>
          </w:tcPr>
          <w:p w14:paraId="47513AEE">
            <w:pPr>
              <w:jc w:val="center"/>
            </w:pPr>
            <w:r>
              <w:rPr>
                <w:rFonts w:hint="eastAsia"/>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4D53C61">
            <w:pPr>
              <w:jc w:val="center"/>
            </w:pPr>
            <w:r>
              <w:rPr>
                <w:rFonts w:hint="eastAsia"/>
              </w:rPr>
              <w:t>参保率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0A7E478">
            <w:pPr>
              <w:jc w:val="center"/>
            </w:pPr>
            <w:r>
              <w:rPr>
                <w:rFonts w:hint="eastAsia"/>
              </w:rPr>
              <w:t>≥98%</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D3A358D">
            <w:pPr>
              <w:jc w:val="center"/>
            </w:pPr>
            <w:r>
              <w:rPr>
                <w:rFonts w:hint="eastAsia"/>
              </w:rPr>
              <w:t>≥98%</w:t>
            </w:r>
          </w:p>
        </w:tc>
      </w:tr>
      <w:tr w14:paraId="594925A7">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14:paraId="76599FEE">
            <w:pPr>
              <w:jc w:val="cente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BCFE4CA">
            <w:pPr>
              <w:jc w:val="center"/>
            </w:pPr>
            <w:r>
              <w:rPr>
                <w:rFonts w:hint="eastAsia"/>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FD27C97">
            <w:pPr>
              <w:jc w:val="center"/>
            </w:pPr>
            <w:r>
              <w:rPr>
                <w:rFonts w:hint="eastAsia"/>
              </w:rPr>
              <w:t>服务对象满意度指标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9C872AF">
            <w:pPr>
              <w:jc w:val="center"/>
            </w:pPr>
            <w:r>
              <w:rPr>
                <w:rFonts w:hint="eastAsia"/>
              </w:rPr>
              <w:t>建档立卡贫困人口满意度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3BF2A4C">
            <w:pPr>
              <w:jc w:val="center"/>
            </w:pPr>
            <w:r>
              <w:rPr>
                <w:rFonts w:hint="eastAsia"/>
              </w:rPr>
              <w:t>≥95%</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9A6E68B">
            <w:pPr>
              <w:jc w:val="center"/>
            </w:pPr>
            <w:r>
              <w:rPr>
                <w:rFonts w:hint="eastAsia"/>
              </w:rPr>
              <w:t>≥95%</w:t>
            </w:r>
          </w:p>
        </w:tc>
      </w:tr>
    </w:tbl>
    <w:p w14:paraId="60382F7B">
      <w:pPr>
        <w:spacing w:line="580" w:lineRule="exact"/>
        <w:ind w:left="630"/>
        <w:rPr>
          <w:rFonts w:ascii="楷体_GB2312" w:hAnsi="楷体_GB2312" w:eastAsia="楷体_GB2312" w:cs="楷体_GB2312"/>
          <w:sz w:val="32"/>
          <w:szCs w:val="32"/>
        </w:rPr>
      </w:pPr>
    </w:p>
    <w:tbl>
      <w:tblPr>
        <w:tblStyle w:val="14"/>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14:paraId="146CBCF9">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14:paraId="3767028D">
            <w:pPr>
              <w:widowControl/>
              <w:jc w:val="center"/>
              <w:textAlignment w:val="center"/>
              <w:rPr>
                <w:rFonts w:ascii="宋体" w:hAnsi="宋体" w:cs="宋体"/>
                <w:b/>
                <w:bCs/>
                <w:color w:val="000000"/>
                <w:kern w:val="0"/>
                <w:sz w:val="32"/>
                <w:szCs w:val="32"/>
              </w:rPr>
            </w:pPr>
          </w:p>
          <w:p w14:paraId="334D8C4A">
            <w:pPr>
              <w:widowControl/>
              <w:jc w:val="center"/>
              <w:textAlignment w:val="center"/>
              <w:rPr>
                <w:rFonts w:ascii="宋体" w:hAnsi="宋体" w:cs="宋体"/>
                <w:b/>
                <w:bCs/>
                <w:color w:val="000000"/>
                <w:kern w:val="0"/>
                <w:sz w:val="32"/>
                <w:szCs w:val="32"/>
              </w:rPr>
            </w:pPr>
          </w:p>
          <w:p w14:paraId="280A3772">
            <w:pPr>
              <w:widowControl/>
              <w:jc w:val="center"/>
              <w:textAlignment w:val="center"/>
              <w:rPr>
                <w:rFonts w:ascii="宋体" w:hAnsi="宋体" w:cs="宋体"/>
                <w:b/>
                <w:bCs/>
                <w:color w:val="000000"/>
                <w:kern w:val="0"/>
                <w:sz w:val="32"/>
                <w:szCs w:val="32"/>
              </w:rPr>
            </w:pPr>
          </w:p>
          <w:p w14:paraId="6D2121ED">
            <w:pPr>
              <w:widowControl/>
              <w:jc w:val="center"/>
              <w:textAlignment w:val="center"/>
              <w:rPr>
                <w:rFonts w:ascii="宋体" w:hAnsi="宋体" w:cs="宋体"/>
                <w:color w:val="000000"/>
                <w:sz w:val="36"/>
                <w:szCs w:val="36"/>
              </w:rPr>
            </w:pPr>
            <w:r>
              <w:rPr>
                <w:rFonts w:hint="eastAsia" w:ascii="宋体" w:hAnsi="宋体" w:cs="宋体"/>
                <w:b/>
                <w:bCs/>
                <w:color w:val="000000"/>
                <w:kern w:val="0"/>
                <w:sz w:val="32"/>
                <w:szCs w:val="32"/>
              </w:rPr>
              <w:t>项目绩效目标完成情况表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28"/>
                <w:szCs w:val="28"/>
              </w:rPr>
              <w:t>(2020年度)</w:t>
            </w:r>
          </w:p>
        </w:tc>
      </w:tr>
      <w:tr w14:paraId="33B520C4">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B813779">
            <w:pPr>
              <w:jc w:val="center"/>
            </w:pPr>
            <w:r>
              <w:rPr>
                <w:rFonts w:hint="eastAsia"/>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96A7CA8">
            <w:pPr>
              <w:jc w:val="center"/>
            </w:pPr>
            <w:r>
              <w:rPr>
                <w:rFonts w:hint="eastAsia"/>
              </w:rPr>
              <w:t>办公室物业管理费</w:t>
            </w:r>
          </w:p>
        </w:tc>
      </w:tr>
      <w:tr w14:paraId="5C99CBB8">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A9EF6EC">
            <w:pPr>
              <w:jc w:val="center"/>
            </w:pPr>
            <w:r>
              <w:rPr>
                <w:rFonts w:hint="eastAsia"/>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D3868BD">
            <w:pPr>
              <w:jc w:val="center"/>
            </w:pPr>
            <w:r>
              <w:rPr>
                <w:rFonts w:hint="eastAsia"/>
              </w:rPr>
              <w:t>米易县医疗保障局</w:t>
            </w:r>
          </w:p>
        </w:tc>
      </w:tr>
      <w:tr w14:paraId="2AA3A8A7">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8C9AFAF">
            <w:pPr>
              <w:jc w:val="center"/>
            </w:pPr>
            <w:r>
              <w:rPr>
                <w:rFonts w:hint="eastAsia"/>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9078AC4">
            <w:pPr>
              <w:jc w:val="center"/>
            </w:pPr>
            <w:r>
              <w:rPr>
                <w:rFonts w:hint="eastAsia"/>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C2CE85F">
            <w:pPr>
              <w:jc w:val="center"/>
            </w:pPr>
            <w:r>
              <w:rPr>
                <w:rFonts w:hint="eastAsia"/>
              </w:rPr>
              <w:t>6.5万元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FC5D1FD">
            <w:pPr>
              <w:jc w:val="center"/>
            </w:pPr>
            <w:r>
              <w:rPr>
                <w:rFonts w:hint="eastAsia"/>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550BAD8">
            <w:pPr>
              <w:jc w:val="center"/>
            </w:pPr>
            <w:r>
              <w:rPr>
                <w:rFonts w:hint="eastAsia"/>
              </w:rPr>
              <w:t>6.5万元</w:t>
            </w:r>
          </w:p>
        </w:tc>
      </w:tr>
      <w:tr w14:paraId="2E327FFB">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32AB6CF">
            <w:pPr>
              <w:jc w:val="cente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A009A79">
            <w:pPr>
              <w:jc w:val="center"/>
            </w:pPr>
            <w:r>
              <w:rPr>
                <w:rFonts w:hint="eastAsia"/>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D14121B">
            <w:pPr>
              <w:jc w:val="center"/>
            </w:pPr>
            <w:r>
              <w:rPr>
                <w:rFonts w:hint="eastAsia"/>
              </w:rPr>
              <w:t>6.5万元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7D690D4">
            <w:pPr>
              <w:jc w:val="center"/>
            </w:pPr>
            <w:r>
              <w:rPr>
                <w:rFonts w:hint="eastAsia"/>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B37FB58">
            <w:pPr>
              <w:jc w:val="center"/>
            </w:pPr>
            <w:r>
              <w:rPr>
                <w:rFonts w:hint="eastAsia"/>
              </w:rPr>
              <w:t>6.5万元</w:t>
            </w:r>
          </w:p>
        </w:tc>
      </w:tr>
      <w:tr w14:paraId="45EA599E">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A8D91E8">
            <w:pPr>
              <w:jc w:val="cente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9FAB70F">
            <w:pPr>
              <w:jc w:val="center"/>
            </w:pPr>
            <w:r>
              <w:rPr>
                <w:rFonts w:hint="eastAsia"/>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9A91E27">
            <w:pPr>
              <w:jc w:val="center"/>
            </w:pPr>
            <w:r>
              <w:rPr>
                <w:rFonts w:hint="eastAsia"/>
              </w:rPr>
              <w:t>无</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B6F96CD">
            <w:pPr>
              <w:jc w:val="center"/>
            </w:pPr>
            <w:r>
              <w:rPr>
                <w:rFonts w:hint="eastAsia"/>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919EC42">
            <w:pPr>
              <w:jc w:val="center"/>
            </w:pPr>
            <w:r>
              <w:rPr>
                <w:rFonts w:hint="eastAsia"/>
              </w:rPr>
              <w:t>无</w:t>
            </w:r>
          </w:p>
        </w:tc>
      </w:tr>
      <w:tr w14:paraId="0EBE5F81">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043DF30">
            <w:pPr>
              <w:jc w:val="center"/>
            </w:pPr>
            <w:r>
              <w:rPr>
                <w:rFonts w:hint="eastAsia"/>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1B64DF0">
            <w:pPr>
              <w:jc w:val="center"/>
            </w:pPr>
            <w:r>
              <w:rPr>
                <w:rFonts w:hint="eastAsia"/>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FEE5EAC">
            <w:pPr>
              <w:jc w:val="center"/>
            </w:pPr>
            <w:r>
              <w:rPr>
                <w:rFonts w:hint="eastAsia"/>
              </w:rPr>
              <w:t>实际完成目标</w:t>
            </w:r>
          </w:p>
        </w:tc>
      </w:tr>
      <w:tr w14:paraId="4725971E">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021A7CE">
            <w:pPr>
              <w:jc w:val="cente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16C2979">
            <w:pPr>
              <w:jc w:val="left"/>
            </w:pPr>
            <w:r>
              <w:rPr>
                <w:rFonts w:hint="eastAsia"/>
              </w:rPr>
              <w:t>为办事群众及工作人员提供办事区域安全保卫、绿化、环卫、车辆管理等。</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B13FE64">
            <w:pPr>
              <w:jc w:val="left"/>
            </w:pPr>
            <w:r>
              <w:rPr>
                <w:rFonts w:hint="eastAsia"/>
              </w:rPr>
              <w:t>每天区域内清洁度≧95% ，使办公区域保持整洁有序。</w:t>
            </w:r>
          </w:p>
        </w:tc>
      </w:tr>
      <w:tr w14:paraId="606678F9">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14:paraId="0BBE5513">
            <w:pPr>
              <w:jc w:val="center"/>
            </w:pPr>
            <w:r>
              <w:rPr>
                <w:rFonts w:hint="eastAsia"/>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366E6C7">
            <w:pPr>
              <w:jc w:val="center"/>
            </w:pPr>
            <w:r>
              <w:rPr>
                <w:rFonts w:hint="eastAsia"/>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25CC7CE">
            <w:pPr>
              <w:jc w:val="center"/>
            </w:pPr>
            <w:r>
              <w:rPr>
                <w:rFonts w:hint="eastAsia"/>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3714BCA">
            <w:pPr>
              <w:jc w:val="center"/>
            </w:pPr>
            <w:r>
              <w:rPr>
                <w:rFonts w:hint="eastAsia"/>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B14959E">
            <w:pPr>
              <w:jc w:val="center"/>
            </w:pPr>
            <w:r>
              <w:rPr>
                <w:rFonts w:hint="eastAsia"/>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1D7C5DE">
            <w:pPr>
              <w:jc w:val="center"/>
            </w:pPr>
            <w:r>
              <w:rPr>
                <w:rFonts w:hint="eastAsia"/>
              </w:rPr>
              <w:t>实际完成指标值(包含数字及文字描述)</w:t>
            </w:r>
          </w:p>
        </w:tc>
      </w:tr>
      <w:tr w14:paraId="1BC14F0B">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5EAA78AB">
            <w:pPr>
              <w:jc w:val="center"/>
            </w:pPr>
          </w:p>
        </w:tc>
        <w:tc>
          <w:tcPr>
            <w:tcW w:w="1367"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14:paraId="3B8591D6">
            <w:pPr>
              <w:jc w:val="center"/>
            </w:pPr>
            <w:r>
              <w:rPr>
                <w:rFonts w:hint="eastAsia"/>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BADDD4D">
            <w:pPr>
              <w:jc w:val="center"/>
            </w:pPr>
            <w:r>
              <w:rPr>
                <w:rFonts w:hint="eastAsia"/>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EE6B2F3">
            <w:pPr>
              <w:jc w:val="center"/>
            </w:pPr>
            <w:r>
              <w:rPr>
                <w:rFonts w:hint="eastAsia"/>
              </w:rPr>
              <w:t>美化办公区域环境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076755F">
            <w:pPr>
              <w:jc w:val="center"/>
            </w:pPr>
            <w:r>
              <w:rPr>
                <w:rFonts w:hint="eastAsia"/>
              </w:rPr>
              <w:t>1268.2平方米</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6F0BDEA">
            <w:pPr>
              <w:jc w:val="center"/>
            </w:pPr>
            <w:r>
              <w:rPr>
                <w:rFonts w:hint="eastAsia"/>
              </w:rPr>
              <w:t>1268.2平方米</w:t>
            </w:r>
          </w:p>
        </w:tc>
      </w:tr>
      <w:tr w14:paraId="4BC55007">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6A4091AA">
            <w:pPr>
              <w:jc w:val="center"/>
            </w:pPr>
          </w:p>
        </w:tc>
        <w:tc>
          <w:tcPr>
            <w:tcW w:w="1367" w:type="dxa"/>
            <w:vMerge w:val="continue"/>
            <w:tcBorders>
              <w:left w:val="single" w:color="000000" w:sz="4" w:space="0"/>
              <w:right w:val="single" w:color="000000" w:sz="4" w:space="0"/>
            </w:tcBorders>
            <w:tcMar>
              <w:top w:w="15" w:type="dxa"/>
              <w:left w:w="15" w:type="dxa"/>
              <w:right w:w="15" w:type="dxa"/>
            </w:tcMar>
            <w:vAlign w:val="center"/>
          </w:tcPr>
          <w:p w14:paraId="40257DCC">
            <w:pPr>
              <w:jc w:val="center"/>
            </w:pP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4E35E59">
            <w:pPr>
              <w:jc w:val="center"/>
            </w:pPr>
            <w:r>
              <w:rPr>
                <w:rFonts w:hint="eastAsia"/>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646A621">
            <w:pPr>
              <w:jc w:val="center"/>
            </w:pPr>
            <w:r>
              <w:rPr>
                <w:rFonts w:hint="eastAsia"/>
              </w:rPr>
              <w:t>保持办公区域内无杂物、污渍</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87B1CE0">
            <w:pPr>
              <w:jc w:val="center"/>
            </w:pPr>
            <w:r>
              <w:rPr>
                <w:rFonts w:hint="eastAsia"/>
              </w:rPr>
              <w:t>卫生间每天清洁</w:t>
            </w:r>
          </w:p>
          <w:p w14:paraId="295CCD80">
            <w:pPr>
              <w:jc w:val="cente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9377641">
            <w:pPr>
              <w:jc w:val="center"/>
            </w:pPr>
            <w:r>
              <w:rPr>
                <w:rFonts w:hint="eastAsia"/>
              </w:rPr>
              <w:t>保持办公区域内无杂物、污渍:每周一次、每天随时清洁、擦拭</w:t>
            </w:r>
          </w:p>
        </w:tc>
      </w:tr>
      <w:tr w14:paraId="71947054">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3DC79E73">
            <w:pPr>
              <w:jc w:val="center"/>
            </w:pPr>
          </w:p>
        </w:tc>
        <w:tc>
          <w:tcPr>
            <w:tcW w:w="1367" w:type="dxa"/>
            <w:vMerge w:val="continue"/>
            <w:tcBorders>
              <w:left w:val="single" w:color="000000" w:sz="4" w:space="0"/>
              <w:right w:val="single" w:color="000000" w:sz="4" w:space="0"/>
            </w:tcBorders>
            <w:tcMar>
              <w:top w:w="15" w:type="dxa"/>
              <w:left w:w="15" w:type="dxa"/>
              <w:right w:w="15" w:type="dxa"/>
            </w:tcMar>
            <w:vAlign w:val="center"/>
          </w:tcPr>
          <w:p w14:paraId="5CEFD204">
            <w:pPr>
              <w:jc w:val="center"/>
            </w:pP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01EA680">
            <w:pPr>
              <w:jc w:val="center"/>
            </w:pPr>
            <w:r>
              <w:rPr>
                <w:rFonts w:hint="eastAsia"/>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DD0BCF1">
            <w:pPr>
              <w:jc w:val="center"/>
            </w:pPr>
            <w:r>
              <w:rPr>
                <w:rFonts w:hint="eastAsia"/>
              </w:rPr>
              <w:t>合同每年一签</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88716BC">
            <w:pPr>
              <w:jc w:val="center"/>
            </w:pPr>
            <w:r>
              <w:rPr>
                <w:rFonts w:hint="eastAsia"/>
              </w:rPr>
              <w:t>2020年1月1日-2020年12月31日</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E697531">
            <w:pPr>
              <w:jc w:val="center"/>
            </w:pPr>
            <w:r>
              <w:rPr>
                <w:rFonts w:hint="eastAsia"/>
              </w:rPr>
              <w:t>2020年1月1日-2020年12月31日</w:t>
            </w:r>
          </w:p>
        </w:tc>
      </w:tr>
      <w:tr w14:paraId="122A5E57">
        <w:tblPrEx>
          <w:tblCellMar>
            <w:top w:w="0" w:type="dxa"/>
            <w:left w:w="0" w:type="dxa"/>
            <w:bottom w:w="0" w:type="dxa"/>
            <w:right w:w="0" w:type="dxa"/>
          </w:tblCellMar>
        </w:tblPrEx>
        <w:trPr>
          <w:trHeight w:val="738"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23E4DF28">
            <w:pPr>
              <w:jc w:val="center"/>
            </w:pPr>
          </w:p>
        </w:tc>
        <w:tc>
          <w:tcPr>
            <w:tcW w:w="1367"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14:paraId="4045476E">
            <w:pPr>
              <w:jc w:val="center"/>
            </w:pP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22DE4B9">
            <w:pPr>
              <w:jc w:val="center"/>
            </w:pPr>
            <w:r>
              <w:rPr>
                <w:rFonts w:hint="eastAsia"/>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0885ECB">
            <w:pPr>
              <w:jc w:val="center"/>
            </w:pPr>
            <w:r>
              <w:rPr>
                <w:rFonts w:hint="eastAsia"/>
              </w:rPr>
              <w:t>每年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61297DD">
            <w:pPr>
              <w:jc w:val="center"/>
            </w:pPr>
            <w:r>
              <w:rPr>
                <w:rFonts w:hint="eastAsia"/>
              </w:rPr>
              <w:t>6.5万元</w:t>
            </w:r>
            <w:r>
              <w:t>/</w:t>
            </w:r>
            <w:r>
              <w:rPr>
                <w:rFonts w:hint="eastAsia"/>
              </w:rPr>
              <w:t>年</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5E588BE">
            <w:pPr>
              <w:jc w:val="center"/>
            </w:pPr>
            <w:r>
              <w:rPr>
                <w:rFonts w:hint="eastAsia"/>
              </w:rPr>
              <w:t>6.5万元</w:t>
            </w:r>
            <w:r>
              <w:t>/</w:t>
            </w:r>
            <w:r>
              <w:rPr>
                <w:rFonts w:hint="eastAsia"/>
              </w:rPr>
              <w:t>年</w:t>
            </w:r>
          </w:p>
        </w:tc>
      </w:tr>
      <w:tr w14:paraId="146A06CB">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14:paraId="2B5C4EA2">
            <w:pPr>
              <w:jc w:val="cente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FD43EBC">
            <w:pPr>
              <w:jc w:val="center"/>
            </w:pPr>
            <w:r>
              <w:rPr>
                <w:rFonts w:hint="eastAsia"/>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183499D">
            <w:pPr>
              <w:jc w:val="center"/>
            </w:pPr>
            <w:r>
              <w:rPr>
                <w:rFonts w:hint="eastAsia"/>
              </w:rPr>
              <w:t>服务对象满意度指标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9670B89">
            <w:pPr>
              <w:jc w:val="center"/>
            </w:pPr>
            <w:r>
              <w:rPr>
                <w:rFonts w:hint="eastAsia"/>
              </w:rPr>
              <w:t>建档立卡贫困人口满意度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15A78CE">
            <w:pPr>
              <w:jc w:val="center"/>
            </w:pPr>
            <w:r>
              <w:rPr>
                <w:rFonts w:hint="eastAsia"/>
              </w:rPr>
              <w:t>本服务区域内工作人员≥95%</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5D58B0B">
            <w:pPr>
              <w:jc w:val="center"/>
            </w:pPr>
            <w:r>
              <w:rPr>
                <w:rFonts w:hint="eastAsia"/>
              </w:rPr>
              <w:t>每天区域内清洁度≧95% ，使办公区域保持整洁有序。</w:t>
            </w:r>
          </w:p>
        </w:tc>
      </w:tr>
    </w:tbl>
    <w:p w14:paraId="07A230E8">
      <w:pPr>
        <w:spacing w:line="580" w:lineRule="exact"/>
        <w:ind w:left="630"/>
        <w:rPr>
          <w:rFonts w:ascii="楷体_GB2312" w:hAnsi="楷体_GB2312" w:eastAsia="楷体_GB2312" w:cs="楷体_GB2312"/>
          <w:sz w:val="32"/>
          <w:szCs w:val="32"/>
        </w:rPr>
      </w:pPr>
    </w:p>
    <w:tbl>
      <w:tblPr>
        <w:tblStyle w:val="14"/>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14:paraId="44DF6EA5">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14:paraId="23D64860">
            <w:pPr>
              <w:widowControl/>
              <w:jc w:val="center"/>
              <w:textAlignment w:val="center"/>
              <w:rPr>
                <w:rFonts w:ascii="宋体" w:hAnsi="宋体" w:cs="宋体"/>
                <w:color w:val="000000"/>
                <w:sz w:val="36"/>
                <w:szCs w:val="36"/>
              </w:rPr>
            </w:pPr>
            <w:r>
              <w:rPr>
                <w:rFonts w:hint="eastAsia" w:ascii="宋体" w:hAnsi="宋体" w:cs="宋体"/>
                <w:b/>
                <w:bCs/>
                <w:color w:val="000000"/>
                <w:kern w:val="0"/>
                <w:sz w:val="32"/>
                <w:szCs w:val="32"/>
              </w:rPr>
              <w:t>项目绩效目标完成情况表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28"/>
                <w:szCs w:val="28"/>
              </w:rPr>
              <w:t>(2020年度)</w:t>
            </w:r>
          </w:p>
        </w:tc>
      </w:tr>
      <w:tr w14:paraId="20137857">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7C5B2FC">
            <w:pPr>
              <w:jc w:val="center"/>
            </w:pPr>
            <w:r>
              <w:rPr>
                <w:rFonts w:hint="eastAsia"/>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D263A6B">
            <w:pPr>
              <w:jc w:val="center"/>
            </w:pPr>
            <w:r>
              <w:rPr>
                <w:rFonts w:hint="eastAsia"/>
              </w:rPr>
              <w:t>“村医通”专项工作经费</w:t>
            </w:r>
          </w:p>
        </w:tc>
      </w:tr>
      <w:tr w14:paraId="6427BD20">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651EB86">
            <w:pPr>
              <w:jc w:val="center"/>
            </w:pPr>
            <w:r>
              <w:rPr>
                <w:rFonts w:hint="eastAsia"/>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1C7A335">
            <w:pPr>
              <w:jc w:val="center"/>
            </w:pPr>
            <w:r>
              <w:rPr>
                <w:rFonts w:hint="eastAsia"/>
              </w:rPr>
              <w:t>米易县医疗保障局</w:t>
            </w:r>
          </w:p>
        </w:tc>
      </w:tr>
      <w:tr w14:paraId="1BC32A43">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8448AA8">
            <w:pPr>
              <w:jc w:val="center"/>
            </w:pPr>
            <w:r>
              <w:rPr>
                <w:rFonts w:hint="eastAsia"/>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84CE398">
            <w:pPr>
              <w:jc w:val="center"/>
            </w:pPr>
            <w:r>
              <w:rPr>
                <w:rFonts w:hint="eastAsia"/>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09A133B">
            <w:pPr>
              <w:jc w:val="center"/>
            </w:pPr>
            <w:r>
              <w:rPr>
                <w:rFonts w:hint="eastAsia"/>
              </w:rPr>
              <w:t>6.5万元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B7B0C62">
            <w:pPr>
              <w:jc w:val="center"/>
            </w:pPr>
            <w:r>
              <w:rPr>
                <w:rFonts w:hint="eastAsia"/>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9DA5C6A">
            <w:pPr>
              <w:jc w:val="center"/>
            </w:pPr>
            <w:r>
              <w:rPr>
                <w:rFonts w:hint="eastAsia"/>
              </w:rPr>
              <w:t>1.23万元</w:t>
            </w:r>
          </w:p>
        </w:tc>
      </w:tr>
      <w:tr w14:paraId="44AB912E">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036F944">
            <w:pPr>
              <w:jc w:val="cente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888C5DC">
            <w:pPr>
              <w:jc w:val="center"/>
            </w:pPr>
            <w:r>
              <w:rPr>
                <w:rFonts w:hint="eastAsia"/>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E647A7D">
            <w:pPr>
              <w:jc w:val="center"/>
            </w:pPr>
            <w:r>
              <w:rPr>
                <w:rFonts w:hint="eastAsia"/>
              </w:rPr>
              <w:t>6.5万元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5EF359C">
            <w:pPr>
              <w:jc w:val="center"/>
            </w:pPr>
            <w:r>
              <w:rPr>
                <w:rFonts w:hint="eastAsia"/>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37EA42B">
            <w:pPr>
              <w:jc w:val="center"/>
            </w:pPr>
            <w:r>
              <w:rPr>
                <w:rFonts w:hint="eastAsia"/>
              </w:rPr>
              <w:t>1.23万元</w:t>
            </w:r>
          </w:p>
        </w:tc>
      </w:tr>
      <w:tr w14:paraId="71A6B45F">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08D50BA">
            <w:pPr>
              <w:jc w:val="cente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3BEBEBE">
            <w:pPr>
              <w:jc w:val="center"/>
            </w:pPr>
            <w:r>
              <w:rPr>
                <w:rFonts w:hint="eastAsia"/>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8F53AA5">
            <w:pPr>
              <w:jc w:val="center"/>
            </w:pPr>
            <w:r>
              <w:rPr>
                <w:rFonts w:hint="eastAsia"/>
              </w:rPr>
              <w:t>无</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8250AB8">
            <w:pPr>
              <w:jc w:val="center"/>
            </w:pPr>
            <w:r>
              <w:rPr>
                <w:rFonts w:hint="eastAsia"/>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CB11ECA">
            <w:pPr>
              <w:jc w:val="center"/>
            </w:pPr>
            <w:r>
              <w:rPr>
                <w:rFonts w:hint="eastAsia"/>
              </w:rPr>
              <w:t>无</w:t>
            </w:r>
          </w:p>
        </w:tc>
      </w:tr>
      <w:tr w14:paraId="4009DDAC">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A49125E">
            <w:pPr>
              <w:jc w:val="center"/>
            </w:pPr>
            <w:r>
              <w:rPr>
                <w:rFonts w:hint="eastAsia"/>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9000A7C">
            <w:pPr>
              <w:jc w:val="center"/>
            </w:pPr>
            <w:r>
              <w:rPr>
                <w:rFonts w:hint="eastAsia"/>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843A650">
            <w:pPr>
              <w:jc w:val="center"/>
            </w:pPr>
            <w:r>
              <w:rPr>
                <w:rFonts w:hint="eastAsia"/>
              </w:rPr>
              <w:t>实际完成目标</w:t>
            </w:r>
          </w:p>
        </w:tc>
      </w:tr>
      <w:tr w14:paraId="013B3EB6">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907F422">
            <w:pPr>
              <w:jc w:val="cente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E0878DC">
            <w:pPr>
              <w:jc w:val="left"/>
            </w:pPr>
            <w:r>
              <w:rPr>
                <w:rFonts w:hint="eastAsia"/>
              </w:rPr>
              <w:t>保障村卫生室医保就医结算业务能够正常办理，切实解决偏远地区老百姓普通门诊医疗费用报销问题</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2E56495">
            <w:pPr>
              <w:jc w:val="left"/>
            </w:pPr>
            <w:r>
              <w:rPr>
                <w:rFonts w:hint="eastAsia"/>
              </w:rPr>
              <w:t>完成28个贫困村“村医通”医保即时结算系统的安装工作，让贫困人口足不出村即在“家门口”就能享受到医保报销政策。2020年，“村医通”结算1454人次，基本医疗保险报销5万元。</w:t>
            </w:r>
          </w:p>
        </w:tc>
      </w:tr>
      <w:tr w14:paraId="62BA39D3">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14:paraId="3C9E4850">
            <w:pPr>
              <w:jc w:val="center"/>
            </w:pPr>
            <w:r>
              <w:rPr>
                <w:rFonts w:hint="eastAsia"/>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6F68BA1">
            <w:pPr>
              <w:jc w:val="center"/>
            </w:pPr>
            <w:r>
              <w:rPr>
                <w:rFonts w:hint="eastAsia"/>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F0D81E1">
            <w:pPr>
              <w:jc w:val="center"/>
            </w:pPr>
            <w:r>
              <w:rPr>
                <w:rFonts w:hint="eastAsia"/>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6088F0E">
            <w:pPr>
              <w:jc w:val="center"/>
            </w:pPr>
            <w:r>
              <w:rPr>
                <w:rFonts w:hint="eastAsia"/>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97251E8">
            <w:pPr>
              <w:jc w:val="center"/>
            </w:pPr>
            <w:r>
              <w:rPr>
                <w:rFonts w:hint="eastAsia"/>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5B1206C">
            <w:pPr>
              <w:jc w:val="center"/>
            </w:pPr>
            <w:r>
              <w:rPr>
                <w:rFonts w:hint="eastAsia"/>
              </w:rPr>
              <w:t>实际完成指标值(包含数字及文字描述)</w:t>
            </w:r>
          </w:p>
        </w:tc>
      </w:tr>
      <w:tr w14:paraId="24B6EC59">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70909F32">
            <w:pPr>
              <w:jc w:val="center"/>
            </w:pPr>
          </w:p>
        </w:tc>
        <w:tc>
          <w:tcPr>
            <w:tcW w:w="1367"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14:paraId="62B50EF6">
            <w:pPr>
              <w:jc w:val="center"/>
            </w:pPr>
            <w:r>
              <w:rPr>
                <w:rFonts w:hint="eastAsia"/>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03568C2">
            <w:pPr>
              <w:jc w:val="center"/>
            </w:pPr>
            <w:r>
              <w:rPr>
                <w:rFonts w:hint="eastAsia"/>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3AD8386">
            <w:pPr>
              <w:jc w:val="center"/>
            </w:pPr>
            <w:r>
              <w:rPr>
                <w:rFonts w:hint="eastAsia"/>
              </w:rPr>
              <w:t>全县所有村卫生室开通金保网络</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72FD538">
            <w:pPr>
              <w:jc w:val="center"/>
            </w:pPr>
            <w:r>
              <w:rPr>
                <w:rFonts w:hint="eastAsia"/>
              </w:rPr>
              <w:t>87个村卫生室</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9EF9505">
            <w:pPr>
              <w:jc w:val="center"/>
            </w:pPr>
            <w:r>
              <w:rPr>
                <w:rFonts w:hint="eastAsia"/>
              </w:rPr>
              <w:t>完成28个贫困村“村医通”医保即时结算系统的安装工作</w:t>
            </w:r>
          </w:p>
        </w:tc>
      </w:tr>
      <w:tr w14:paraId="0709C847">
        <w:tblPrEx>
          <w:tblCellMar>
            <w:top w:w="0" w:type="dxa"/>
            <w:left w:w="0" w:type="dxa"/>
            <w:bottom w:w="0" w:type="dxa"/>
            <w:right w:w="0" w:type="dxa"/>
          </w:tblCellMar>
        </w:tblPrEx>
        <w:trPr>
          <w:trHeight w:val="875"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1C02D202">
            <w:pPr>
              <w:jc w:val="center"/>
            </w:pPr>
          </w:p>
        </w:tc>
        <w:tc>
          <w:tcPr>
            <w:tcW w:w="1367" w:type="dxa"/>
            <w:vMerge w:val="continue"/>
            <w:tcBorders>
              <w:left w:val="single" w:color="000000" w:sz="4" w:space="0"/>
              <w:right w:val="single" w:color="000000" w:sz="4" w:space="0"/>
            </w:tcBorders>
            <w:tcMar>
              <w:top w:w="15" w:type="dxa"/>
              <w:left w:w="15" w:type="dxa"/>
              <w:right w:w="15" w:type="dxa"/>
            </w:tcMar>
            <w:vAlign w:val="center"/>
          </w:tcPr>
          <w:p w14:paraId="0B1AB445">
            <w:pPr>
              <w:jc w:val="center"/>
            </w:pP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C912BBC">
            <w:pPr>
              <w:jc w:val="center"/>
            </w:pPr>
            <w:r>
              <w:rPr>
                <w:rFonts w:hint="eastAsia"/>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5DB1F4A">
            <w:pPr>
              <w:jc w:val="center"/>
            </w:pPr>
            <w:r>
              <w:rPr>
                <w:rFonts w:hint="eastAsia"/>
              </w:rPr>
              <w:t>村卫生室金保网开通率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16F90FB">
            <w:pPr>
              <w:jc w:val="center"/>
            </w:pPr>
            <w:r>
              <w:rPr>
                <w:rFonts w:hint="eastAsia"/>
              </w:rPr>
              <w:t>≥95</w:t>
            </w:r>
            <w:r>
              <w:t xml:space="preserve"> </w:t>
            </w:r>
            <w:r>
              <w:rPr>
                <w:rFonts w:hint="eastAsia"/>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A9202A6">
            <w:pPr>
              <w:jc w:val="center"/>
            </w:pPr>
            <w:r>
              <w:rPr>
                <w:rFonts w:hint="eastAsia"/>
              </w:rPr>
              <w:t>28.74%</w:t>
            </w:r>
          </w:p>
        </w:tc>
      </w:tr>
      <w:tr w14:paraId="158E397D">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2F3719FA">
            <w:pPr>
              <w:jc w:val="center"/>
            </w:pPr>
          </w:p>
        </w:tc>
        <w:tc>
          <w:tcPr>
            <w:tcW w:w="1367" w:type="dxa"/>
            <w:vMerge w:val="continue"/>
            <w:tcBorders>
              <w:left w:val="single" w:color="000000" w:sz="4" w:space="0"/>
              <w:right w:val="single" w:color="000000" w:sz="4" w:space="0"/>
            </w:tcBorders>
            <w:tcMar>
              <w:top w:w="15" w:type="dxa"/>
              <w:left w:w="15" w:type="dxa"/>
              <w:right w:w="15" w:type="dxa"/>
            </w:tcMar>
            <w:vAlign w:val="center"/>
          </w:tcPr>
          <w:p w14:paraId="6C68D3DB">
            <w:pPr>
              <w:jc w:val="center"/>
            </w:pP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DF9E38D">
            <w:pPr>
              <w:jc w:val="center"/>
            </w:pPr>
            <w:r>
              <w:rPr>
                <w:rFonts w:hint="eastAsia"/>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5E2E98A">
            <w:pPr>
              <w:jc w:val="center"/>
            </w:pPr>
            <w:r>
              <w:rPr>
                <w:rFonts w:hint="eastAsia"/>
              </w:rPr>
              <w:t>2020年6月前完成</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9D19183">
            <w:pPr>
              <w:jc w:val="center"/>
            </w:pPr>
            <w:r>
              <w:rPr>
                <w:rFonts w:hint="eastAsia"/>
              </w:rPr>
              <w:t>87个村卫生室</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7649A04">
            <w:pPr>
              <w:jc w:val="center"/>
            </w:pPr>
            <w:r>
              <w:rPr>
                <w:rFonts w:hint="eastAsia"/>
              </w:rPr>
              <w:t>完成28个贫困村“村医通”医保即时结算系统的安装工作</w:t>
            </w:r>
          </w:p>
        </w:tc>
      </w:tr>
      <w:tr w14:paraId="5E3CC7EB">
        <w:tblPrEx>
          <w:tblCellMar>
            <w:top w:w="0" w:type="dxa"/>
            <w:left w:w="0" w:type="dxa"/>
            <w:bottom w:w="0" w:type="dxa"/>
            <w:right w:w="0" w:type="dxa"/>
          </w:tblCellMar>
        </w:tblPrEx>
        <w:trPr>
          <w:trHeight w:val="889"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72A688D2">
            <w:pPr>
              <w:jc w:val="center"/>
            </w:pPr>
          </w:p>
        </w:tc>
        <w:tc>
          <w:tcPr>
            <w:tcW w:w="1367"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14:paraId="65C4A52A">
            <w:pPr>
              <w:jc w:val="center"/>
            </w:pP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F40FE85">
            <w:pPr>
              <w:jc w:val="center"/>
            </w:pPr>
            <w:r>
              <w:rPr>
                <w:rFonts w:hint="eastAsia"/>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7A1D148">
            <w:pPr>
              <w:jc w:val="center"/>
            </w:pPr>
            <w:r>
              <w:rPr>
                <w:rFonts w:hint="eastAsia"/>
              </w:rPr>
              <w:t>村医通专项经费（含网络费）</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B7AED78">
            <w:pPr>
              <w:jc w:val="center"/>
            </w:pPr>
            <w:r>
              <w:rPr>
                <w:rFonts w:hint="eastAsia"/>
              </w:rPr>
              <w:t>6.5万元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6D5188D">
            <w:pPr>
              <w:jc w:val="center"/>
            </w:pPr>
            <w:r>
              <w:rPr>
                <w:rFonts w:hint="eastAsia"/>
              </w:rPr>
              <w:t>1.23万元</w:t>
            </w:r>
          </w:p>
        </w:tc>
      </w:tr>
      <w:tr w14:paraId="6DF21F52">
        <w:tblPrEx>
          <w:tblCellMar>
            <w:top w:w="0" w:type="dxa"/>
            <w:left w:w="0" w:type="dxa"/>
            <w:bottom w:w="0" w:type="dxa"/>
            <w:right w:w="0" w:type="dxa"/>
          </w:tblCellMar>
        </w:tblPrEx>
        <w:trPr>
          <w:trHeight w:val="689"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2BB76F09">
            <w:pPr>
              <w:jc w:val="center"/>
            </w:pPr>
          </w:p>
        </w:tc>
        <w:tc>
          <w:tcPr>
            <w:tcW w:w="1367" w:type="dxa"/>
            <w:tcBorders>
              <w:top w:val="single" w:color="000000" w:sz="4" w:space="0"/>
              <w:left w:val="single" w:color="000000" w:sz="4" w:space="0"/>
              <w:right w:val="single" w:color="000000" w:sz="4" w:space="0"/>
            </w:tcBorders>
            <w:tcMar>
              <w:top w:w="15" w:type="dxa"/>
              <w:left w:w="15" w:type="dxa"/>
              <w:right w:w="15" w:type="dxa"/>
            </w:tcMar>
            <w:vAlign w:val="center"/>
          </w:tcPr>
          <w:p w14:paraId="7DAE07DE">
            <w:pPr>
              <w:jc w:val="center"/>
            </w:pPr>
            <w:r>
              <w:rPr>
                <w:rFonts w:hint="eastAsia"/>
              </w:rPr>
              <w:t>效益指标</w:t>
            </w:r>
          </w:p>
        </w:tc>
        <w:tc>
          <w:tcPr>
            <w:tcW w:w="1025" w:type="dxa"/>
            <w:tcBorders>
              <w:top w:val="single" w:color="000000" w:sz="4" w:space="0"/>
              <w:left w:val="single" w:color="000000" w:sz="4" w:space="0"/>
              <w:right w:val="single" w:color="000000" w:sz="4" w:space="0"/>
            </w:tcBorders>
            <w:tcMar>
              <w:top w:w="15" w:type="dxa"/>
              <w:left w:w="15" w:type="dxa"/>
              <w:right w:w="15" w:type="dxa"/>
            </w:tcMar>
            <w:vAlign w:val="center"/>
          </w:tcPr>
          <w:p w14:paraId="57BE84DD">
            <w:pPr>
              <w:jc w:val="center"/>
            </w:pPr>
            <w:r>
              <w:rPr>
                <w:rFonts w:hint="eastAsia"/>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B0CE640">
            <w:pPr>
              <w:jc w:val="center"/>
            </w:pPr>
            <w:r>
              <w:rPr>
                <w:rFonts w:hint="eastAsia"/>
              </w:rPr>
              <w:t>开通村卫生室就医结算率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A3257C1">
            <w:pPr>
              <w:jc w:val="center"/>
            </w:pPr>
            <w:r>
              <w:rPr>
                <w:rFonts w:hint="eastAsia"/>
              </w:rPr>
              <w:t>90%及以上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9413F05">
            <w:pPr>
              <w:jc w:val="center"/>
            </w:pPr>
            <w:r>
              <w:rPr>
                <w:rFonts w:hint="eastAsia"/>
              </w:rPr>
              <w:t>100%</w:t>
            </w:r>
          </w:p>
        </w:tc>
      </w:tr>
      <w:tr w14:paraId="25621D54">
        <w:tblPrEx>
          <w:tblCellMar>
            <w:top w:w="0" w:type="dxa"/>
            <w:left w:w="0" w:type="dxa"/>
            <w:bottom w:w="0" w:type="dxa"/>
            <w:right w:w="0" w:type="dxa"/>
          </w:tblCellMar>
        </w:tblPrEx>
        <w:trPr>
          <w:trHeight w:val="973"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14:paraId="3D0FF80B">
            <w:pPr>
              <w:jc w:val="cente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C7CBD50">
            <w:pPr>
              <w:jc w:val="center"/>
            </w:pPr>
            <w:r>
              <w:rPr>
                <w:rFonts w:hint="eastAsia"/>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70CF33F">
            <w:pPr>
              <w:jc w:val="center"/>
            </w:pPr>
            <w:r>
              <w:rPr>
                <w:rFonts w:hint="eastAsia"/>
              </w:rPr>
              <w:t>服务对象满意度指标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8021BDA">
            <w:pPr>
              <w:jc w:val="center"/>
            </w:pPr>
            <w:r>
              <w:rPr>
                <w:rFonts w:hint="eastAsia"/>
              </w:rPr>
              <w:t>群众满意度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E4FC388">
            <w:pPr>
              <w:jc w:val="center"/>
            </w:pPr>
            <w:r>
              <w:rPr>
                <w:rFonts w:hint="eastAsia"/>
              </w:rPr>
              <w:t>≥90%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53262F1">
            <w:pPr>
              <w:jc w:val="center"/>
            </w:pPr>
            <w:r>
              <w:rPr>
                <w:rFonts w:hint="eastAsia"/>
              </w:rPr>
              <w:t>≥90%</w:t>
            </w:r>
          </w:p>
        </w:tc>
      </w:tr>
      <w:tr w14:paraId="74196A3D">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14:paraId="24F59902">
            <w:pPr>
              <w:widowControl/>
              <w:jc w:val="center"/>
              <w:textAlignment w:val="center"/>
              <w:rPr>
                <w:rFonts w:ascii="宋体" w:hAnsi="宋体" w:cs="宋体"/>
                <w:color w:val="000000"/>
                <w:sz w:val="36"/>
                <w:szCs w:val="36"/>
              </w:rPr>
            </w:pPr>
            <w:r>
              <w:rPr>
                <w:rFonts w:hint="eastAsia" w:ascii="宋体" w:hAnsi="宋体" w:cs="宋体"/>
                <w:b/>
                <w:bCs/>
                <w:color w:val="000000"/>
                <w:kern w:val="0"/>
                <w:sz w:val="32"/>
                <w:szCs w:val="32"/>
              </w:rPr>
              <w:t>项目绩效目标完成情况表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28"/>
                <w:szCs w:val="28"/>
              </w:rPr>
              <w:t>(2020年度)</w:t>
            </w:r>
          </w:p>
        </w:tc>
      </w:tr>
      <w:tr w14:paraId="3C83FF20">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6D1618D">
            <w:pPr>
              <w:jc w:val="center"/>
            </w:pPr>
            <w:r>
              <w:rPr>
                <w:rFonts w:hint="eastAsia"/>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315181D">
            <w:pPr>
              <w:jc w:val="center"/>
            </w:pPr>
            <w:r>
              <w:rPr>
                <w:rFonts w:hint="eastAsia"/>
              </w:rPr>
              <w:t>离休干部、二等乙级伤残军人和伤残人民警察、建国初期参加革命工作人员医疗费用</w:t>
            </w:r>
          </w:p>
        </w:tc>
      </w:tr>
      <w:tr w14:paraId="60193060">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6BDADBD">
            <w:pPr>
              <w:jc w:val="center"/>
            </w:pPr>
            <w:r>
              <w:rPr>
                <w:rFonts w:hint="eastAsia"/>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4B0F05A">
            <w:pPr>
              <w:jc w:val="center"/>
            </w:pPr>
            <w:r>
              <w:rPr>
                <w:rFonts w:hint="eastAsia"/>
              </w:rPr>
              <w:t>米易县医疗保障局</w:t>
            </w:r>
          </w:p>
        </w:tc>
      </w:tr>
      <w:tr w14:paraId="3F78ED04">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D4253F8">
            <w:pPr>
              <w:jc w:val="center"/>
            </w:pPr>
            <w:r>
              <w:rPr>
                <w:rFonts w:hint="eastAsia"/>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0B44997">
            <w:pPr>
              <w:jc w:val="center"/>
            </w:pPr>
            <w:r>
              <w:rPr>
                <w:rFonts w:hint="eastAsia"/>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1FC6FF0">
            <w:pPr>
              <w:jc w:val="center"/>
            </w:pPr>
            <w:r>
              <w:rPr>
                <w:rFonts w:hint="eastAsia"/>
              </w:rPr>
              <w:t>150万元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1D7AFD2">
            <w:pPr>
              <w:jc w:val="center"/>
            </w:pPr>
            <w:r>
              <w:rPr>
                <w:rFonts w:hint="eastAsia"/>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45ECC4B">
            <w:pPr>
              <w:jc w:val="center"/>
            </w:pPr>
            <w:r>
              <w:rPr>
                <w:rFonts w:hint="eastAsia"/>
              </w:rPr>
              <w:t>126.13万元</w:t>
            </w:r>
          </w:p>
        </w:tc>
      </w:tr>
      <w:tr w14:paraId="1B8DBD16">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BCFB415">
            <w:pPr>
              <w:jc w:val="cente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D9C7B06">
            <w:pPr>
              <w:jc w:val="center"/>
            </w:pPr>
            <w:r>
              <w:rPr>
                <w:rFonts w:hint="eastAsia"/>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0F6091B">
            <w:pPr>
              <w:jc w:val="center"/>
            </w:pPr>
            <w:r>
              <w:rPr>
                <w:rFonts w:hint="eastAsia"/>
              </w:rPr>
              <w:t>150万元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EA33359">
            <w:pPr>
              <w:jc w:val="center"/>
            </w:pPr>
            <w:r>
              <w:rPr>
                <w:rFonts w:hint="eastAsia"/>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8976EE5">
            <w:pPr>
              <w:jc w:val="center"/>
            </w:pPr>
            <w:r>
              <w:rPr>
                <w:rFonts w:hint="eastAsia"/>
              </w:rPr>
              <w:t>126.13万元</w:t>
            </w:r>
          </w:p>
        </w:tc>
      </w:tr>
      <w:tr w14:paraId="302833B8">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D875135">
            <w:pPr>
              <w:jc w:val="cente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DCAAE57">
            <w:pPr>
              <w:jc w:val="center"/>
            </w:pPr>
            <w:r>
              <w:rPr>
                <w:rFonts w:hint="eastAsia"/>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56F3746">
            <w:pPr>
              <w:jc w:val="center"/>
            </w:pPr>
            <w:r>
              <w:rPr>
                <w:rFonts w:hint="eastAsia"/>
              </w:rPr>
              <w:t>无</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5DBCAA3">
            <w:pPr>
              <w:jc w:val="center"/>
            </w:pPr>
            <w:r>
              <w:rPr>
                <w:rFonts w:hint="eastAsia"/>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038404E">
            <w:pPr>
              <w:jc w:val="center"/>
            </w:pPr>
            <w:r>
              <w:rPr>
                <w:rFonts w:hint="eastAsia"/>
              </w:rPr>
              <w:t>无</w:t>
            </w:r>
          </w:p>
        </w:tc>
      </w:tr>
      <w:tr w14:paraId="5793FF66">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E0BD632">
            <w:pPr>
              <w:jc w:val="center"/>
            </w:pPr>
            <w:r>
              <w:rPr>
                <w:rFonts w:hint="eastAsia"/>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F4E5DB1">
            <w:pPr>
              <w:jc w:val="center"/>
            </w:pPr>
            <w:r>
              <w:rPr>
                <w:rFonts w:hint="eastAsia"/>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B0FC532">
            <w:pPr>
              <w:jc w:val="center"/>
            </w:pPr>
            <w:r>
              <w:rPr>
                <w:rFonts w:hint="eastAsia"/>
              </w:rPr>
              <w:t>实际完成目标</w:t>
            </w:r>
          </w:p>
        </w:tc>
      </w:tr>
      <w:tr w14:paraId="2F32D902">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0D99587">
            <w:pPr>
              <w:jc w:val="cente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0CD213D">
            <w:pPr>
              <w:jc w:val="left"/>
            </w:pPr>
            <w:r>
              <w:rPr>
                <w:rFonts w:hint="eastAsia"/>
              </w:rPr>
              <w:t>确保全县离休干部18人，二等乙级伤残人员21人，建国初期参加革命工作人员7人医疗费用足额安排拨</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BE41BB1">
            <w:pPr>
              <w:jc w:val="left"/>
            </w:pPr>
            <w:r>
              <w:rPr>
                <w:rFonts w:hint="eastAsia"/>
              </w:rPr>
              <w:t>离休，二乙，建国初期特殊人员门诊报销588人次，住院报销104人次。</w:t>
            </w:r>
          </w:p>
        </w:tc>
      </w:tr>
      <w:tr w14:paraId="2A1E167E">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14:paraId="4E19C43E">
            <w:pPr>
              <w:jc w:val="center"/>
            </w:pPr>
            <w:r>
              <w:rPr>
                <w:rFonts w:hint="eastAsia"/>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CEFEECC">
            <w:pPr>
              <w:jc w:val="center"/>
            </w:pPr>
            <w:r>
              <w:rPr>
                <w:rFonts w:hint="eastAsia"/>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669D5ED">
            <w:pPr>
              <w:jc w:val="center"/>
            </w:pPr>
            <w:r>
              <w:rPr>
                <w:rFonts w:hint="eastAsia"/>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18C72DB">
            <w:pPr>
              <w:jc w:val="center"/>
            </w:pPr>
            <w:r>
              <w:rPr>
                <w:rFonts w:hint="eastAsia"/>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BDE89C9">
            <w:pPr>
              <w:jc w:val="center"/>
            </w:pPr>
            <w:r>
              <w:rPr>
                <w:rFonts w:hint="eastAsia"/>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8D6C08F">
            <w:pPr>
              <w:jc w:val="center"/>
            </w:pPr>
            <w:r>
              <w:rPr>
                <w:rFonts w:hint="eastAsia"/>
              </w:rPr>
              <w:t>实际完成指标值(包含数字及文字描述)</w:t>
            </w:r>
          </w:p>
        </w:tc>
      </w:tr>
      <w:tr w14:paraId="17D950DF">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74FBF666">
            <w:pPr>
              <w:jc w:val="center"/>
            </w:pPr>
          </w:p>
        </w:tc>
        <w:tc>
          <w:tcPr>
            <w:tcW w:w="1367"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14:paraId="238C87DB">
            <w:pPr>
              <w:jc w:val="center"/>
            </w:pPr>
            <w:r>
              <w:rPr>
                <w:rFonts w:hint="eastAsia"/>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18C7234">
            <w:pPr>
              <w:jc w:val="center"/>
            </w:pPr>
            <w:r>
              <w:rPr>
                <w:rFonts w:hint="eastAsia"/>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50404C3">
            <w:pPr>
              <w:jc w:val="center"/>
            </w:pPr>
            <w:r>
              <w:rPr>
                <w:rFonts w:hint="eastAsia"/>
              </w:rPr>
              <w:t>离休干部18人，二等乙级伤残人员21人，建国初期参加革命工作人员7人</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2091B58">
            <w:pPr>
              <w:jc w:val="center"/>
            </w:pPr>
            <w:r>
              <w:rPr>
                <w:rFonts w:hint="eastAsia"/>
              </w:rPr>
              <w:t>离休干部18人，二等乙级伤残人员21人，建国初期参加革命工作人员7人</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27949A2">
            <w:pPr>
              <w:jc w:val="center"/>
            </w:pPr>
            <w:r>
              <w:rPr>
                <w:rFonts w:hint="eastAsia"/>
              </w:rPr>
              <w:t>离休干部18人，二等乙级伤残人员21人，建国初期参加革命工作人员7人</w:t>
            </w:r>
          </w:p>
        </w:tc>
      </w:tr>
      <w:tr w14:paraId="76A15B5B">
        <w:tblPrEx>
          <w:tblCellMar>
            <w:top w:w="0" w:type="dxa"/>
            <w:left w:w="0" w:type="dxa"/>
            <w:bottom w:w="0" w:type="dxa"/>
            <w:right w:w="0" w:type="dxa"/>
          </w:tblCellMar>
        </w:tblPrEx>
        <w:trPr>
          <w:trHeight w:val="875"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3FCB2511">
            <w:pPr>
              <w:jc w:val="center"/>
            </w:pPr>
          </w:p>
        </w:tc>
        <w:tc>
          <w:tcPr>
            <w:tcW w:w="1367" w:type="dxa"/>
            <w:vMerge w:val="continue"/>
            <w:tcBorders>
              <w:left w:val="single" w:color="000000" w:sz="4" w:space="0"/>
              <w:right w:val="single" w:color="000000" w:sz="4" w:space="0"/>
            </w:tcBorders>
            <w:tcMar>
              <w:top w:w="15" w:type="dxa"/>
              <w:left w:w="15" w:type="dxa"/>
              <w:right w:w="15" w:type="dxa"/>
            </w:tcMar>
            <w:vAlign w:val="center"/>
          </w:tcPr>
          <w:p w14:paraId="1C3E6BC5">
            <w:pPr>
              <w:jc w:val="center"/>
            </w:pP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DBFFEF7">
            <w:pPr>
              <w:jc w:val="center"/>
            </w:pPr>
            <w:r>
              <w:rPr>
                <w:rFonts w:hint="eastAsia"/>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D172FEC">
            <w:pPr>
              <w:jc w:val="center"/>
            </w:pPr>
            <w:r>
              <w:rPr>
                <w:rFonts w:hint="eastAsia"/>
              </w:rPr>
              <w:t>离休干部、二乙伤残人员及建国初期参加工作人员的医疗费用足额拨付</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6686C44">
            <w:pPr>
              <w:jc w:val="center"/>
            </w:pPr>
            <w:r>
              <w:rPr>
                <w:rFonts w:hint="eastAsia"/>
              </w:rPr>
              <w:t>保障医疗费用足额拨付</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EC7EBBE">
            <w:pPr>
              <w:jc w:val="center"/>
            </w:pPr>
            <w:r>
              <w:rPr>
                <w:rFonts w:hint="eastAsia"/>
              </w:rPr>
              <w:t>保障医疗费用足额拨付</w:t>
            </w:r>
          </w:p>
        </w:tc>
      </w:tr>
      <w:tr w14:paraId="4A93CB92">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7C6AFBB5">
            <w:pPr>
              <w:jc w:val="center"/>
            </w:pPr>
          </w:p>
        </w:tc>
        <w:tc>
          <w:tcPr>
            <w:tcW w:w="1367" w:type="dxa"/>
            <w:vMerge w:val="continue"/>
            <w:tcBorders>
              <w:left w:val="single" w:color="000000" w:sz="4" w:space="0"/>
              <w:right w:val="single" w:color="000000" w:sz="4" w:space="0"/>
            </w:tcBorders>
            <w:tcMar>
              <w:top w:w="15" w:type="dxa"/>
              <w:left w:w="15" w:type="dxa"/>
              <w:right w:w="15" w:type="dxa"/>
            </w:tcMar>
            <w:vAlign w:val="center"/>
          </w:tcPr>
          <w:p w14:paraId="404A459D">
            <w:pPr>
              <w:jc w:val="center"/>
            </w:pP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CBC583B">
            <w:pPr>
              <w:jc w:val="center"/>
            </w:pPr>
            <w:r>
              <w:rPr>
                <w:rFonts w:hint="eastAsia"/>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F2DE420">
            <w:pPr>
              <w:jc w:val="center"/>
              <w:rPr>
                <w:rFonts w:ascii="宋体" w:hAnsi="宋体" w:cs="宋体"/>
                <w:szCs w:val="21"/>
              </w:rPr>
            </w:pPr>
            <w:r>
              <w:rPr>
                <w:rFonts w:hint="eastAsia"/>
                <w:szCs w:val="21"/>
              </w:rPr>
              <w:t>离休干部、二乙伤残人员所产生的医疗费用及时足额拨付</w:t>
            </w:r>
          </w:p>
          <w:p w14:paraId="0197A641">
            <w:pPr>
              <w:jc w:val="cente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45FE5E5">
            <w:pPr>
              <w:jc w:val="center"/>
              <w:rPr>
                <w:rFonts w:ascii="宋体" w:hAnsi="宋体" w:cs="宋体"/>
                <w:szCs w:val="21"/>
              </w:rPr>
            </w:pPr>
            <w:r>
              <w:rPr>
                <w:rFonts w:hint="eastAsia"/>
                <w:szCs w:val="21"/>
              </w:rPr>
              <w:t>2020年1月1日-2020年12月31日</w:t>
            </w:r>
          </w:p>
          <w:p w14:paraId="2198A980">
            <w:pPr>
              <w:jc w:val="cente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8E81FE2">
            <w:pPr>
              <w:jc w:val="center"/>
            </w:pPr>
            <w:r>
              <w:rPr>
                <w:rFonts w:hint="eastAsia"/>
                <w:szCs w:val="21"/>
              </w:rPr>
              <w:t>截至2020年12月31日已完成拨付126.13万元。</w:t>
            </w:r>
          </w:p>
        </w:tc>
      </w:tr>
      <w:tr w14:paraId="7B9915B2">
        <w:tblPrEx>
          <w:tblCellMar>
            <w:top w:w="0" w:type="dxa"/>
            <w:left w:w="0" w:type="dxa"/>
            <w:bottom w:w="0" w:type="dxa"/>
            <w:right w:w="0" w:type="dxa"/>
          </w:tblCellMar>
        </w:tblPrEx>
        <w:trPr>
          <w:trHeight w:val="889"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6981BAAF">
            <w:pPr>
              <w:jc w:val="center"/>
            </w:pPr>
          </w:p>
        </w:tc>
        <w:tc>
          <w:tcPr>
            <w:tcW w:w="1367"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14:paraId="4C0535C1">
            <w:pPr>
              <w:jc w:val="center"/>
            </w:pP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EBC7120">
            <w:pPr>
              <w:jc w:val="center"/>
            </w:pPr>
            <w:r>
              <w:rPr>
                <w:rFonts w:hint="eastAsia"/>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AB97AFB">
            <w:pPr>
              <w:jc w:val="center"/>
            </w:pPr>
            <w:r>
              <w:rPr>
                <w:rFonts w:hint="eastAsia"/>
              </w:rPr>
              <w:t>离休、二乙、建国初期人员所发生的医疗费</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5C1CD96">
            <w:pPr>
              <w:jc w:val="center"/>
            </w:pPr>
            <w:r>
              <w:rPr>
                <w:rFonts w:hint="eastAsia"/>
              </w:rPr>
              <w:t>按照政策据实支付</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3683AE7">
            <w:pPr>
              <w:jc w:val="center"/>
            </w:pPr>
            <w:r>
              <w:rPr>
                <w:rFonts w:hint="eastAsia"/>
                <w:szCs w:val="21"/>
              </w:rPr>
              <w:t>完成拨付126.13万元</w:t>
            </w:r>
          </w:p>
        </w:tc>
      </w:tr>
      <w:tr w14:paraId="567C992D">
        <w:tblPrEx>
          <w:tblCellMar>
            <w:top w:w="0" w:type="dxa"/>
            <w:left w:w="0" w:type="dxa"/>
            <w:bottom w:w="0" w:type="dxa"/>
            <w:right w:w="0" w:type="dxa"/>
          </w:tblCellMar>
        </w:tblPrEx>
        <w:trPr>
          <w:trHeight w:val="689"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3A9838F2">
            <w:pPr>
              <w:jc w:val="center"/>
            </w:pPr>
          </w:p>
        </w:tc>
        <w:tc>
          <w:tcPr>
            <w:tcW w:w="1367" w:type="dxa"/>
            <w:tcBorders>
              <w:top w:val="single" w:color="000000" w:sz="4" w:space="0"/>
              <w:left w:val="single" w:color="000000" w:sz="4" w:space="0"/>
              <w:right w:val="single" w:color="000000" w:sz="4" w:space="0"/>
            </w:tcBorders>
            <w:tcMar>
              <w:top w:w="15" w:type="dxa"/>
              <w:left w:w="15" w:type="dxa"/>
              <w:right w:w="15" w:type="dxa"/>
            </w:tcMar>
            <w:vAlign w:val="center"/>
          </w:tcPr>
          <w:p w14:paraId="4B72E302">
            <w:pPr>
              <w:jc w:val="center"/>
            </w:pPr>
            <w:r>
              <w:rPr>
                <w:rFonts w:hint="eastAsia"/>
              </w:rPr>
              <w:t>效益指标</w:t>
            </w:r>
          </w:p>
        </w:tc>
        <w:tc>
          <w:tcPr>
            <w:tcW w:w="1025" w:type="dxa"/>
            <w:tcBorders>
              <w:top w:val="single" w:color="000000" w:sz="4" w:space="0"/>
              <w:left w:val="single" w:color="000000" w:sz="4" w:space="0"/>
              <w:right w:val="single" w:color="000000" w:sz="4" w:space="0"/>
            </w:tcBorders>
            <w:tcMar>
              <w:top w:w="15" w:type="dxa"/>
              <w:left w:w="15" w:type="dxa"/>
              <w:right w:w="15" w:type="dxa"/>
            </w:tcMar>
            <w:vAlign w:val="center"/>
          </w:tcPr>
          <w:p w14:paraId="60029D9B">
            <w:pPr>
              <w:jc w:val="center"/>
            </w:pPr>
            <w:r>
              <w:rPr>
                <w:rFonts w:hint="eastAsia"/>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D38BFE1">
            <w:pPr>
              <w:jc w:val="center"/>
            </w:pPr>
            <w:r>
              <w:rPr>
                <w:rFonts w:hint="eastAsia"/>
              </w:rPr>
              <w:t>保障离休干部、二乙伤残人员、建国初期参加革命人员的医疗费用报销</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8F2FF18">
            <w:pPr>
              <w:jc w:val="center"/>
            </w:pPr>
            <w:r>
              <w:rPr>
                <w:rFonts w:hint="eastAsia"/>
              </w:rPr>
              <w:t>90%及以上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955E9A7">
            <w:pPr>
              <w:jc w:val="center"/>
            </w:pPr>
            <w:r>
              <w:rPr>
                <w:rFonts w:hint="eastAsia"/>
              </w:rPr>
              <w:t>100%</w:t>
            </w:r>
          </w:p>
        </w:tc>
      </w:tr>
      <w:tr w14:paraId="5BC68F99">
        <w:tblPrEx>
          <w:tblCellMar>
            <w:top w:w="0" w:type="dxa"/>
            <w:left w:w="0" w:type="dxa"/>
            <w:bottom w:w="0" w:type="dxa"/>
            <w:right w:w="0" w:type="dxa"/>
          </w:tblCellMar>
        </w:tblPrEx>
        <w:trPr>
          <w:trHeight w:val="973"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14:paraId="5DCEF442">
            <w:pPr>
              <w:jc w:val="cente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EA217D9">
            <w:pPr>
              <w:jc w:val="center"/>
            </w:pPr>
            <w:r>
              <w:rPr>
                <w:rFonts w:hint="eastAsia"/>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7C01B5F">
            <w:pPr>
              <w:jc w:val="center"/>
            </w:pPr>
            <w:r>
              <w:rPr>
                <w:rFonts w:hint="eastAsia"/>
              </w:rPr>
              <w:t>服务对象满意度指标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1200EC2">
            <w:pPr>
              <w:jc w:val="center"/>
            </w:pPr>
            <w:r>
              <w:rPr>
                <w:rFonts w:hint="eastAsia"/>
              </w:rPr>
              <w:t>离休干部、二乙伤残人员满意度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446FFAC">
            <w:pPr>
              <w:jc w:val="center"/>
            </w:pPr>
            <w:r>
              <w:rPr>
                <w:rFonts w:hint="eastAsia"/>
              </w:rPr>
              <w:t>≥95%</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A6C4213">
            <w:pPr>
              <w:jc w:val="center"/>
            </w:pPr>
            <w:r>
              <w:rPr>
                <w:rFonts w:hint="eastAsia"/>
              </w:rPr>
              <w:t>≥95%</w:t>
            </w:r>
          </w:p>
        </w:tc>
      </w:tr>
    </w:tbl>
    <w:p w14:paraId="77505DC2">
      <w:pPr>
        <w:spacing w:line="580" w:lineRule="exact"/>
        <w:ind w:left="630"/>
        <w:rPr>
          <w:rFonts w:ascii="仿宋_GB2312" w:hAnsi="仿宋_GB2312" w:eastAsia="仿宋_GB2312" w:cs="仿宋_GB2312"/>
          <w:sz w:val="32"/>
          <w:szCs w:val="32"/>
        </w:rPr>
      </w:pPr>
      <w:r>
        <w:rPr>
          <w:rFonts w:hint="eastAsia" w:ascii="楷体_GB2312" w:hAnsi="楷体_GB2312" w:eastAsia="楷体_GB2312" w:cs="楷体_GB2312"/>
          <w:sz w:val="32"/>
          <w:szCs w:val="32"/>
        </w:rPr>
        <w:t>4.部门绩效评价结果。</w:t>
      </w:r>
    </w:p>
    <w:p w14:paraId="71DF2AFE">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本部门按要求对2020年部门整体支出绩效评价情况开展自评，《米易县医疗保障局2020年部门整体支出绩效评价报告》见附件（附件1）。</w:t>
      </w:r>
    </w:p>
    <w:p w14:paraId="37DB82EE">
      <w:pPr>
        <w:spacing w:line="580" w:lineRule="exact"/>
        <w:ind w:firstLine="640" w:firstLineChars="200"/>
        <w:rPr>
          <w:rFonts w:ascii="仿宋_GB2312" w:eastAsia="仿宋_GB2312"/>
          <w:b/>
          <w:color w:val="000000"/>
          <w:sz w:val="32"/>
          <w:szCs w:val="32"/>
        </w:rPr>
      </w:pPr>
      <w:r>
        <w:rPr>
          <w:rFonts w:hint="eastAsia" w:ascii="仿宋_GB2312" w:hAnsi="仿宋_GB2312" w:eastAsia="仿宋_GB2312" w:cs="仿宋_GB2312"/>
          <w:sz w:val="32"/>
          <w:szCs w:val="32"/>
        </w:rPr>
        <w:t>本部门自行组织对</w:t>
      </w:r>
      <w:r>
        <w:rPr>
          <w:rFonts w:eastAsia="仿宋_GB2312"/>
          <w:sz w:val="32"/>
          <w:szCs w:val="32"/>
        </w:rPr>
        <w:t>“建档立卡贫困人员参加2019年城乡居民医保个人缴费代缴资金”</w:t>
      </w:r>
      <w:r>
        <w:rPr>
          <w:rFonts w:hint="eastAsia" w:ascii="仿宋_GB2312" w:hAnsi="仿宋_GB2312" w:eastAsia="仿宋_GB2312" w:cs="仿宋_GB2312"/>
          <w:sz w:val="32"/>
          <w:szCs w:val="32"/>
        </w:rPr>
        <w:t>项目开展了绩效评价，《</w:t>
      </w:r>
      <w:r>
        <w:rPr>
          <w:rFonts w:eastAsia="仿宋_GB2312"/>
          <w:sz w:val="32"/>
          <w:szCs w:val="32"/>
        </w:rPr>
        <w:t>建档立卡贫困人员参加2019年城乡居民医保个人缴费代缴资金</w:t>
      </w:r>
      <w:r>
        <w:rPr>
          <w:rFonts w:hint="eastAsia" w:ascii="仿宋_GB2312" w:hAnsi="仿宋_GB2312" w:eastAsia="仿宋_GB2312" w:cs="仿宋_GB2312"/>
          <w:sz w:val="32"/>
          <w:szCs w:val="32"/>
        </w:rPr>
        <w:t>项目2019年绩效评价报告》见附件（附件2）。</w:t>
      </w:r>
    </w:p>
    <w:p w14:paraId="3472F2F7">
      <w:pPr>
        <w:widowControl/>
        <w:jc w:val="left"/>
        <w:rPr>
          <w:rFonts w:ascii="仿宋_GB2312" w:eastAsia="仿宋_GB2312"/>
          <w:b/>
          <w:color w:val="000000"/>
          <w:sz w:val="32"/>
          <w:szCs w:val="32"/>
        </w:rPr>
      </w:pPr>
      <w:r>
        <w:rPr>
          <w:rFonts w:ascii="仿宋_GB2312" w:eastAsia="仿宋_GB2312"/>
          <w:b/>
          <w:color w:val="000000"/>
          <w:sz w:val="32"/>
          <w:szCs w:val="32"/>
        </w:rPr>
        <w:br w:type="page"/>
      </w:r>
    </w:p>
    <w:p w14:paraId="50D91B21">
      <w:pPr>
        <w:numPr>
          <w:ilvl w:val="0"/>
          <w:numId w:val="1"/>
        </w:numPr>
        <w:spacing w:line="600" w:lineRule="exact"/>
        <w:ind w:firstLine="660" w:firstLineChars="150"/>
        <w:jc w:val="center"/>
        <w:outlineLvl w:val="0"/>
        <w:rPr>
          <w:rStyle w:val="26"/>
          <w:rFonts w:ascii="黑体" w:hAnsi="黑体" w:eastAsia="黑体"/>
          <w:b w:val="0"/>
        </w:rPr>
      </w:pPr>
      <w:bookmarkStart w:id="49" w:name="_Toc15377225"/>
      <w:bookmarkStart w:id="50" w:name="_Toc15396613"/>
      <w:r>
        <w:rPr>
          <w:rFonts w:hint="eastAsia" w:ascii="黑体" w:hAnsi="黑体" w:eastAsia="黑体"/>
          <w:color w:val="000000"/>
          <w:sz w:val="44"/>
          <w:szCs w:val="44"/>
        </w:rPr>
        <w:t>名</w:t>
      </w:r>
      <w:r>
        <w:rPr>
          <w:rStyle w:val="26"/>
          <w:rFonts w:hint="eastAsia" w:ascii="黑体" w:hAnsi="黑体" w:eastAsia="黑体"/>
          <w:b w:val="0"/>
        </w:rPr>
        <w:t>词解释</w:t>
      </w:r>
      <w:bookmarkEnd w:id="49"/>
      <w:bookmarkEnd w:id="50"/>
    </w:p>
    <w:p w14:paraId="5B01F875">
      <w:pPr>
        <w:spacing w:line="600" w:lineRule="exact"/>
        <w:jc w:val="left"/>
        <w:rPr>
          <w:rFonts w:ascii="宋体"/>
          <w:b/>
          <w:color w:val="000000"/>
          <w:sz w:val="44"/>
          <w:szCs w:val="44"/>
        </w:rPr>
      </w:pPr>
    </w:p>
    <w:p w14:paraId="1327AF6D">
      <w:pPr>
        <w:pStyle w:val="24"/>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14:paraId="036DC008">
      <w:pPr>
        <w:pStyle w:val="24"/>
        <w:spacing w:line="560" w:lineRule="exact"/>
        <w:ind w:firstLine="640" w:firstLineChars="200"/>
        <w:rPr>
          <w:rFonts w:ascii="仿宋_GB2312" w:eastAsia="仿宋_GB2312"/>
          <w:sz w:val="32"/>
          <w:szCs w:val="32"/>
        </w:rPr>
      </w:pPr>
      <w:r>
        <w:rPr>
          <w:rFonts w:ascii="仿宋_GB2312" w:hAnsi="仿宋_GB2312" w:eastAsia="仿宋_GB2312" w:cs="仿宋_GB2312"/>
          <w:sz w:val="32"/>
          <w:szCs w:val="32"/>
        </w:rPr>
        <w:t>2.</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14:paraId="48479711">
      <w:pPr>
        <w:pStyle w:val="24"/>
        <w:spacing w:line="560" w:lineRule="exact"/>
        <w:ind w:firstLine="640" w:firstLineChars="200"/>
        <w:rPr>
          <w:rFonts w:ascii="仿宋_GB2312" w:eastAsia="仿宋_GB2312"/>
          <w:sz w:val="32"/>
          <w:szCs w:val="32"/>
        </w:rPr>
      </w:pPr>
      <w:r>
        <w:rPr>
          <w:rFonts w:ascii="仿宋_GB2312" w:hAnsi="仿宋_GB2312" w:eastAsia="仿宋_GB2312" w:cs="仿宋_GB2312"/>
          <w:sz w:val="32"/>
          <w:szCs w:val="32"/>
        </w:rPr>
        <w:t>3.</w:t>
      </w:r>
      <w:r>
        <w:rPr>
          <w:rFonts w:hint="eastAsia" w:ascii="仿宋_GB2312" w:eastAsia="仿宋_GB2312"/>
          <w:sz w:val="32"/>
          <w:szCs w:val="32"/>
        </w:rPr>
        <w:t>结余分配：指事业单位按照事业单位会计制度的规定从非财政补助结余中分配的事业基金和职工福利基金等。</w:t>
      </w:r>
    </w:p>
    <w:p w14:paraId="3B22AC86">
      <w:pPr>
        <w:pStyle w:val="24"/>
        <w:spacing w:line="560" w:lineRule="exact"/>
        <w:ind w:firstLine="640" w:firstLineChars="200"/>
        <w:rPr>
          <w:rFonts w:ascii="仿宋_GB2312" w:eastAsia="仿宋_GB2312"/>
          <w:sz w:val="32"/>
          <w:szCs w:val="32"/>
        </w:rPr>
      </w:pPr>
      <w:r>
        <w:rPr>
          <w:rFonts w:ascii="仿宋_GB2312" w:hAnsi="仿宋_GB2312" w:eastAsia="仿宋_GB2312" w:cs="仿宋_GB2312"/>
          <w:sz w:val="32"/>
          <w:szCs w:val="32"/>
        </w:rPr>
        <w:t>4.</w:t>
      </w:r>
      <w:r>
        <w:rPr>
          <w:rFonts w:hint="eastAsia" w:ascii="仿宋_GB2312" w:eastAsia="仿宋_GB2312"/>
          <w:sz w:val="32"/>
          <w:szCs w:val="32"/>
        </w:rPr>
        <w:t>年末结转和结余：指单位按有关规定结转到下年或以后年度继续使用的资金。</w:t>
      </w:r>
    </w:p>
    <w:p w14:paraId="4B88FBF4">
      <w:pPr>
        <w:ind w:firstLine="627" w:firstLineChars="196"/>
        <w:rPr>
          <w:rFonts w:ascii="仿宋_GB2312" w:hAnsi="仿宋_GB2312" w:eastAsia="仿宋_GB2312" w:cs="仿宋_GB2312"/>
          <w:sz w:val="32"/>
          <w:szCs w:val="32"/>
        </w:rPr>
      </w:pPr>
      <w:r>
        <w:rPr>
          <w:rFonts w:ascii="仿宋_GB2312" w:hAnsi="仿宋_GB2312" w:eastAsia="仿宋_GB2312" w:cs="仿宋_GB2312"/>
          <w:sz w:val="32"/>
          <w:szCs w:val="32"/>
        </w:rPr>
        <w:t>5.</w:t>
      </w:r>
      <w:r>
        <w:rPr>
          <w:rFonts w:hint="eastAsia" w:ascii="仿宋_GB2312" w:hAnsi="仿宋_GB2312" w:eastAsia="仿宋_GB2312" w:cs="仿宋_GB2312"/>
          <w:sz w:val="32"/>
          <w:szCs w:val="32"/>
        </w:rPr>
        <w:t>一般公共服务支出：指单位含下属部门用于保障机构正常运行、开展日常工作的基本支出。开展调查研究、政务公开和服务、应急演练培训宣传、公共信息服务等相关工作的项目。</w:t>
      </w:r>
    </w:p>
    <w:p w14:paraId="7877EC53">
      <w:pPr>
        <w:ind w:firstLine="627" w:firstLineChars="196"/>
        <w:rPr>
          <w:rFonts w:ascii="仿宋_GB2312" w:hAnsi="仿宋_GB2312" w:eastAsia="仿宋_GB2312" w:cs="仿宋_GB2312"/>
          <w:sz w:val="32"/>
          <w:szCs w:val="32"/>
        </w:rPr>
      </w:pPr>
      <w:r>
        <w:rPr>
          <w:rFonts w:ascii="仿宋_GB2312" w:hAnsi="仿宋_GB2312" w:eastAsia="仿宋_GB2312" w:cs="仿宋_GB2312"/>
          <w:sz w:val="32"/>
          <w:szCs w:val="32"/>
        </w:rPr>
        <w:t>6.</w:t>
      </w:r>
      <w:r>
        <w:rPr>
          <w:rFonts w:hint="eastAsia" w:ascii="仿宋_GB2312" w:hAnsi="仿宋_GB2312" w:eastAsia="仿宋_GB2312" w:cs="仿宋_GB2312"/>
          <w:sz w:val="32"/>
          <w:szCs w:val="32"/>
        </w:rPr>
        <w:t>社会保障和就业支出：指单位含下属部门用于基本养老保险缴费，职业年金缴费支出。</w:t>
      </w:r>
    </w:p>
    <w:p w14:paraId="246291B5">
      <w:pPr>
        <w:ind w:firstLine="627" w:firstLineChars="196"/>
        <w:rPr>
          <w:rFonts w:ascii="仿宋_GB2312" w:hAnsi="仿宋_GB2312" w:eastAsia="仿宋_GB2312" w:cs="仿宋_GB2312"/>
          <w:sz w:val="32"/>
          <w:szCs w:val="32"/>
        </w:rPr>
      </w:pPr>
      <w:r>
        <w:rPr>
          <w:rFonts w:ascii="仿宋_GB2312" w:hAnsi="仿宋_GB2312" w:eastAsia="仿宋_GB2312" w:cs="仿宋_GB2312"/>
          <w:sz w:val="32"/>
          <w:szCs w:val="32"/>
        </w:rPr>
        <w:t>7.</w:t>
      </w:r>
      <w:r>
        <w:rPr>
          <w:rFonts w:hint="eastAsia" w:ascii="仿宋_GB2312" w:hAnsi="仿宋_GB2312" w:eastAsia="仿宋_GB2312" w:cs="仿宋_GB2312"/>
          <w:sz w:val="32"/>
          <w:szCs w:val="32"/>
        </w:rPr>
        <w:t>住房保障支出：指单位含下属部门用于在职人员住房公积金缴存。</w:t>
      </w:r>
    </w:p>
    <w:p w14:paraId="62BE9EC1">
      <w:pPr>
        <w:ind w:firstLine="640" w:firstLineChars="200"/>
        <w:rPr>
          <w:rFonts w:ascii="仿宋_GB2312" w:eastAsia="仿宋_GB2312"/>
          <w:color w:val="000000"/>
          <w:sz w:val="32"/>
          <w:szCs w:val="32"/>
        </w:rPr>
      </w:pPr>
      <w:r>
        <w:rPr>
          <w:rFonts w:ascii="仿宋_GB2312" w:eastAsia="仿宋_GB2312"/>
          <w:color w:val="000000"/>
          <w:sz w:val="32"/>
          <w:szCs w:val="32"/>
        </w:rPr>
        <w:t>8.</w:t>
      </w:r>
      <w:r>
        <w:rPr>
          <w:rFonts w:hint="eastAsia" w:ascii="仿宋_GB2312" w:eastAsia="仿宋_GB2312"/>
          <w:color w:val="000000"/>
          <w:sz w:val="32"/>
          <w:szCs w:val="32"/>
        </w:rPr>
        <w:t>基本支出：指为保障机构正常运转、完成日常工作任务而发生的人员支出和公用支出。</w:t>
      </w:r>
    </w:p>
    <w:p w14:paraId="0395AC2D">
      <w:pPr>
        <w:ind w:firstLine="640" w:firstLineChars="200"/>
        <w:rPr>
          <w:rFonts w:ascii="仿宋_GB2312" w:eastAsia="仿宋_GB2312"/>
          <w:color w:val="000000"/>
          <w:sz w:val="32"/>
          <w:szCs w:val="32"/>
        </w:rPr>
      </w:pPr>
      <w:r>
        <w:rPr>
          <w:rFonts w:ascii="仿宋_GB2312" w:eastAsia="仿宋_GB2312"/>
          <w:color w:val="000000"/>
          <w:sz w:val="32"/>
          <w:szCs w:val="32"/>
        </w:rPr>
        <w:t>9.</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14:paraId="6DE467A7">
      <w:pPr>
        <w:pStyle w:val="24"/>
        <w:spacing w:line="560" w:lineRule="exact"/>
        <w:ind w:firstLine="640" w:firstLineChars="200"/>
        <w:rPr>
          <w:rFonts w:ascii="仿宋_GB2312" w:eastAsia="仿宋_GB2312"/>
          <w:sz w:val="32"/>
          <w:szCs w:val="32"/>
        </w:rPr>
      </w:pPr>
      <w:r>
        <w:rPr>
          <w:rFonts w:ascii="仿宋_GB2312" w:eastAsia="仿宋_GB2312"/>
          <w:sz w:val="32"/>
          <w:szCs w:val="32"/>
        </w:rPr>
        <w:t>10.</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r>
        <w:rPr>
          <w:rFonts w:ascii="仿宋_GB2312" w:eastAsia="仿宋_GB2312"/>
          <w:sz w:val="32"/>
          <w:szCs w:val="32"/>
        </w:rPr>
        <w:t xml:space="preserve"> </w:t>
      </w:r>
    </w:p>
    <w:p w14:paraId="1A3E4BB4">
      <w:pPr>
        <w:pStyle w:val="24"/>
        <w:spacing w:line="560" w:lineRule="exact"/>
        <w:ind w:firstLine="640" w:firstLineChars="200"/>
        <w:rPr>
          <w:rFonts w:ascii="仿宋_GB2312" w:eastAsia="仿宋_GB2312"/>
          <w:sz w:val="32"/>
          <w:szCs w:val="32"/>
        </w:rPr>
      </w:pPr>
      <w:r>
        <w:rPr>
          <w:rFonts w:hint="eastAsia" w:ascii="仿宋_GB2312" w:eastAsia="仿宋_GB2312"/>
          <w:sz w:val="32"/>
          <w:szCs w:val="32"/>
        </w:rPr>
        <w:t>11</w:t>
      </w:r>
      <w:r>
        <w:rPr>
          <w:rFonts w:ascii="仿宋_GB2312" w:eastAsia="仿宋_GB2312"/>
          <w:sz w:val="32"/>
          <w:szCs w:val="32"/>
        </w:rPr>
        <w:t>.</w:t>
      </w:r>
      <w:r>
        <w:rPr>
          <w:rFonts w:hint="eastAsia" w:ascii="仿宋_GB2312" w:eastAsia="仿宋_GB2312"/>
          <w:sz w:val="32"/>
          <w:szCs w:val="32"/>
        </w:rPr>
        <w:t>结余分配：指事业单位按照事业单位会计制度的规定从非财政补助结余中分配的事业基金和职工福利基金等。</w:t>
      </w:r>
    </w:p>
    <w:p w14:paraId="2742AC8E">
      <w:pPr>
        <w:pStyle w:val="24"/>
        <w:spacing w:line="560" w:lineRule="exact"/>
        <w:ind w:firstLine="640" w:firstLineChars="200"/>
        <w:rPr>
          <w:rFonts w:ascii="仿宋_GB2312" w:eastAsia="仿宋_GB2312"/>
          <w:sz w:val="32"/>
          <w:szCs w:val="32"/>
        </w:rPr>
      </w:pPr>
      <w:r>
        <w:rPr>
          <w:rFonts w:hint="eastAsia" w:ascii="仿宋_GB2312" w:eastAsia="仿宋_GB2312"/>
          <w:sz w:val="32"/>
          <w:szCs w:val="32"/>
        </w:rPr>
        <w:t>12、年末结转和结余：指单位按有关规定结转到下年或以后年度继续使用的资金。</w:t>
      </w:r>
    </w:p>
    <w:p w14:paraId="724F6DAD">
      <w:pPr>
        <w:ind w:firstLine="643" w:firstLineChars="200"/>
        <w:rPr>
          <w:rFonts w:ascii="仿宋" w:hAnsi="仿宋" w:eastAsia="仿宋"/>
          <w:b/>
          <w:color w:val="000000"/>
          <w:sz w:val="32"/>
          <w:szCs w:val="32"/>
        </w:rPr>
      </w:pPr>
    </w:p>
    <w:p w14:paraId="7A798F34">
      <w:pPr>
        <w:spacing w:line="600" w:lineRule="exact"/>
        <w:jc w:val="center"/>
        <w:outlineLvl w:val="0"/>
        <w:rPr>
          <w:rStyle w:val="26"/>
          <w:rFonts w:ascii="黑体" w:hAnsi="黑体" w:eastAsia="黑体"/>
          <w:b w:val="0"/>
        </w:rPr>
      </w:pPr>
      <w:bookmarkStart w:id="51" w:name="_Toc15377226"/>
      <w:r>
        <w:rPr>
          <w:rFonts w:ascii="宋体"/>
          <w:b/>
          <w:color w:val="000000"/>
          <w:sz w:val="44"/>
          <w:szCs w:val="44"/>
        </w:rPr>
        <w:br w:type="page"/>
      </w:r>
      <w:bookmarkStart w:id="52" w:name="_Toc15396614"/>
      <w:r>
        <w:rPr>
          <w:rFonts w:hint="eastAsia" w:ascii="黑体" w:hAnsi="黑体" w:eastAsia="黑体"/>
          <w:color w:val="000000"/>
          <w:sz w:val="44"/>
          <w:szCs w:val="44"/>
        </w:rPr>
        <w:t>第</w:t>
      </w:r>
      <w:r>
        <w:rPr>
          <w:rStyle w:val="26"/>
          <w:rFonts w:hint="eastAsia" w:ascii="黑体" w:hAnsi="黑体" w:eastAsia="黑体"/>
          <w:b w:val="0"/>
        </w:rPr>
        <w:t>四部分 附件</w:t>
      </w:r>
      <w:bookmarkEnd w:id="52"/>
    </w:p>
    <w:p w14:paraId="698DE4C4">
      <w:pPr>
        <w:spacing w:line="600" w:lineRule="exact"/>
        <w:jc w:val="left"/>
        <w:outlineLvl w:val="0"/>
        <w:rPr>
          <w:rFonts w:ascii="黑体" w:hAnsi="黑体" w:eastAsia="黑体" w:cs="黑体"/>
          <w:sz w:val="32"/>
          <w:szCs w:val="32"/>
        </w:rPr>
      </w:pPr>
      <w:r>
        <w:rPr>
          <w:rFonts w:hint="eastAsia" w:ascii="黑体" w:hAnsi="黑体" w:eastAsia="黑体" w:cs="黑体"/>
          <w:sz w:val="32"/>
          <w:szCs w:val="32"/>
        </w:rPr>
        <w:t>附件1</w:t>
      </w:r>
    </w:p>
    <w:p w14:paraId="31C7439D">
      <w:pPr>
        <w:spacing w:line="600" w:lineRule="exact"/>
        <w:jc w:val="left"/>
        <w:outlineLvl w:val="0"/>
        <w:rPr>
          <w:rFonts w:ascii="方正小标宋简体" w:hAnsi="方正小标宋简体" w:eastAsia="方正小标宋简体" w:cs="方正小标宋简体"/>
          <w:sz w:val="32"/>
          <w:szCs w:val="32"/>
        </w:rPr>
      </w:pPr>
    </w:p>
    <w:p w14:paraId="404C2833">
      <w:pPr>
        <w:spacing w:line="560" w:lineRule="exact"/>
        <w:jc w:val="center"/>
        <w:rPr>
          <w:rStyle w:val="38"/>
          <w:rFonts w:hint="default" w:ascii="Calibri"/>
        </w:rPr>
      </w:pPr>
      <w:r>
        <w:rPr>
          <w:rStyle w:val="38"/>
          <w:rFonts w:hint="default" w:ascii="Calibri"/>
        </w:rPr>
        <w:t>米易县医疗保障局</w:t>
      </w:r>
    </w:p>
    <w:p w14:paraId="058BF778">
      <w:pPr>
        <w:spacing w:line="560" w:lineRule="exact"/>
        <w:jc w:val="center"/>
        <w:rPr>
          <w:rStyle w:val="38"/>
          <w:rFonts w:hint="default"/>
        </w:rPr>
      </w:pPr>
      <w:r>
        <w:rPr>
          <w:rStyle w:val="38"/>
          <w:rFonts w:hint="default"/>
        </w:rPr>
        <w:t>2020年部门预算整体绩效评价报告</w:t>
      </w:r>
    </w:p>
    <w:p w14:paraId="4FD6B155">
      <w:pPr>
        <w:spacing w:line="560" w:lineRule="exact"/>
        <w:jc w:val="center"/>
        <w:rPr>
          <w:rStyle w:val="40"/>
          <w:rFonts w:hint="default" w:ascii="方正小标宋_GBK" w:hAnsi="Calibri" w:eastAsia="方正小标宋_GBK"/>
          <w:sz w:val="44"/>
          <w:szCs w:val="44"/>
        </w:rPr>
      </w:pPr>
    </w:p>
    <w:p w14:paraId="6F9F75DB">
      <w:pPr>
        <w:spacing w:line="560" w:lineRule="exact"/>
        <w:ind w:firstLine="640" w:firstLineChars="200"/>
        <w:rPr>
          <w:rStyle w:val="43"/>
          <w:rFonts w:hint="default" w:eastAsia="仿宋_GB2312"/>
        </w:rPr>
      </w:pPr>
      <w:r>
        <w:rPr>
          <w:rStyle w:val="40"/>
          <w:rFonts w:hint="default"/>
        </w:rPr>
        <w:t>一、部门概况</w:t>
      </w:r>
      <w:r>
        <w:rPr>
          <w:rStyle w:val="40"/>
          <w:rFonts w:hint="default" w:eastAsia="仿宋_GB2312"/>
        </w:rPr>
        <w:t>。</w:t>
      </w:r>
    </w:p>
    <w:p w14:paraId="2349E653">
      <w:pPr>
        <w:spacing w:line="560" w:lineRule="exact"/>
        <w:ind w:firstLine="630" w:firstLineChars="196"/>
        <w:rPr>
          <w:rFonts w:eastAsia="楷体"/>
          <w:b/>
          <w:color w:val="000000"/>
          <w:sz w:val="32"/>
          <w:szCs w:val="32"/>
        </w:rPr>
      </w:pPr>
      <w:r>
        <w:rPr>
          <w:rFonts w:hAnsi="楷体" w:eastAsia="楷体"/>
          <w:b/>
          <w:color w:val="000000"/>
          <w:sz w:val="32"/>
          <w:szCs w:val="32"/>
        </w:rPr>
        <w:t>（一）机构及人员情况</w:t>
      </w:r>
    </w:p>
    <w:p w14:paraId="7235724E">
      <w:pPr>
        <w:spacing w:line="560" w:lineRule="exact"/>
        <w:ind w:firstLine="640" w:firstLineChars="200"/>
        <w:rPr>
          <w:rFonts w:eastAsia="仿宋_GB2312"/>
          <w:bCs/>
          <w:color w:val="000000"/>
          <w:sz w:val="32"/>
          <w:szCs w:val="32"/>
        </w:rPr>
      </w:pPr>
      <w:r>
        <w:rPr>
          <w:rFonts w:eastAsia="仿宋_GB2312"/>
          <w:color w:val="000000"/>
          <w:sz w:val="32"/>
          <w:szCs w:val="32"/>
        </w:rPr>
        <w:t>米易县医疗保障局于2019年2月25日挂牌成立（</w:t>
      </w:r>
      <w:r>
        <w:rPr>
          <w:rFonts w:eastAsia="仿宋_GB2312"/>
          <w:color w:val="000000"/>
          <w:kern w:val="0"/>
          <w:sz w:val="32"/>
          <w:szCs w:val="32"/>
        </w:rPr>
        <w:t>《米易县机构改革方案》米委发〔2019〕2 号</w:t>
      </w:r>
      <w:r>
        <w:rPr>
          <w:rFonts w:eastAsia="仿宋_GB2312"/>
          <w:color w:val="000000"/>
          <w:sz w:val="32"/>
          <w:szCs w:val="32"/>
        </w:rPr>
        <w:t>），属于行政单位，公务员</w:t>
      </w:r>
      <w:r>
        <w:rPr>
          <w:rFonts w:eastAsia="仿宋_GB2312"/>
          <w:bCs/>
          <w:color w:val="000000"/>
          <w:sz w:val="32"/>
          <w:szCs w:val="32"/>
        </w:rPr>
        <w:t>行政编制5名。其中：局长1名，副局长2名；内设机构领导职数2人，内设机构为办公室和业务股。年末</w:t>
      </w:r>
      <w:r>
        <w:rPr>
          <w:rFonts w:eastAsia="仿宋_GB2312"/>
          <w:color w:val="000000"/>
          <w:sz w:val="32"/>
          <w:szCs w:val="32"/>
        </w:rPr>
        <w:t>在职在册职工</w:t>
      </w:r>
      <w:r>
        <w:rPr>
          <w:rFonts w:eastAsia="仿宋_GB2312"/>
          <w:bCs/>
          <w:color w:val="000000"/>
          <w:sz w:val="32"/>
          <w:szCs w:val="32"/>
        </w:rPr>
        <w:t>3人。</w:t>
      </w:r>
    </w:p>
    <w:p w14:paraId="5B1D0D85">
      <w:pPr>
        <w:spacing w:line="560" w:lineRule="exact"/>
        <w:ind w:firstLine="640" w:firstLineChars="200"/>
        <w:rPr>
          <w:rFonts w:eastAsia="仿宋_GB2312"/>
          <w:bCs/>
          <w:color w:val="000000"/>
          <w:sz w:val="32"/>
          <w:szCs w:val="32"/>
        </w:rPr>
      </w:pPr>
      <w:r>
        <w:rPr>
          <w:rFonts w:eastAsia="仿宋_GB2312"/>
          <w:color w:val="000000"/>
          <w:sz w:val="32"/>
          <w:szCs w:val="32"/>
        </w:rPr>
        <w:t>米易县医疗保障局下属单位米易县医疗保障事务中心。米易县医疗保障事务中心原名米易医疗保险管理中心，成立于2002年3月27日（米编发</w:t>
      </w:r>
      <w:r>
        <w:rPr>
          <w:rFonts w:eastAsia="仿宋_GB2312"/>
          <w:color w:val="000000"/>
          <w:kern w:val="0"/>
          <w:sz w:val="32"/>
          <w:szCs w:val="32"/>
        </w:rPr>
        <w:t>〔</w:t>
      </w:r>
      <w:r>
        <w:rPr>
          <w:rFonts w:eastAsia="仿宋_GB2312"/>
          <w:color w:val="000000"/>
          <w:sz w:val="32"/>
          <w:szCs w:val="32"/>
        </w:rPr>
        <w:t>2002</w:t>
      </w:r>
      <w:r>
        <w:rPr>
          <w:rFonts w:eastAsia="仿宋_GB2312"/>
          <w:color w:val="000000"/>
          <w:kern w:val="0"/>
          <w:sz w:val="32"/>
          <w:szCs w:val="32"/>
        </w:rPr>
        <w:t>〕</w:t>
      </w:r>
      <w:r>
        <w:rPr>
          <w:rFonts w:eastAsia="仿宋_GB2312"/>
          <w:color w:val="000000"/>
          <w:sz w:val="32"/>
          <w:szCs w:val="32"/>
        </w:rPr>
        <w:t>02号），2008年8月26日更名为米易县医疗保险管理局（米编发</w:t>
      </w:r>
      <w:r>
        <w:rPr>
          <w:rFonts w:eastAsia="仿宋_GB2312"/>
          <w:color w:val="000000"/>
          <w:kern w:val="0"/>
          <w:sz w:val="32"/>
          <w:szCs w:val="32"/>
        </w:rPr>
        <w:t>〔</w:t>
      </w:r>
      <w:r>
        <w:rPr>
          <w:rFonts w:eastAsia="仿宋_GB2312"/>
          <w:color w:val="000000"/>
          <w:sz w:val="32"/>
          <w:szCs w:val="32"/>
        </w:rPr>
        <w:t>2008</w:t>
      </w:r>
      <w:r>
        <w:rPr>
          <w:rFonts w:eastAsia="仿宋_GB2312"/>
          <w:color w:val="000000"/>
          <w:kern w:val="0"/>
          <w:sz w:val="32"/>
          <w:szCs w:val="32"/>
        </w:rPr>
        <w:t>〕</w:t>
      </w:r>
      <w:r>
        <w:rPr>
          <w:rFonts w:eastAsia="仿宋_GB2312"/>
          <w:color w:val="000000"/>
          <w:sz w:val="32"/>
          <w:szCs w:val="32"/>
        </w:rPr>
        <w:t>8号），2019年6月4日再次更名为米易县医疗保障事务中心（米编发</w:t>
      </w:r>
      <w:r>
        <w:rPr>
          <w:rFonts w:eastAsia="仿宋_GB2312"/>
          <w:color w:val="000000"/>
          <w:kern w:val="0"/>
          <w:sz w:val="32"/>
          <w:szCs w:val="32"/>
        </w:rPr>
        <w:t>〔</w:t>
      </w:r>
      <w:r>
        <w:rPr>
          <w:rFonts w:eastAsia="仿宋_GB2312"/>
          <w:color w:val="000000"/>
          <w:sz w:val="32"/>
          <w:szCs w:val="32"/>
        </w:rPr>
        <w:t>2019</w:t>
      </w:r>
      <w:r>
        <w:rPr>
          <w:rFonts w:eastAsia="仿宋_GB2312"/>
          <w:color w:val="000000"/>
          <w:kern w:val="0"/>
          <w:sz w:val="32"/>
          <w:szCs w:val="32"/>
        </w:rPr>
        <w:t>〕</w:t>
      </w:r>
      <w:r>
        <w:rPr>
          <w:rFonts w:eastAsia="仿宋_GB2312"/>
          <w:color w:val="000000"/>
          <w:sz w:val="32"/>
          <w:szCs w:val="32"/>
        </w:rPr>
        <w:t>13号），</w:t>
      </w:r>
      <w:r>
        <w:rPr>
          <w:rFonts w:eastAsia="仿宋_GB2312"/>
          <w:color w:val="000000"/>
          <w:kern w:val="0"/>
          <w:sz w:val="32"/>
          <w:szCs w:val="32"/>
        </w:rPr>
        <w:t>管理隶属关系由县人力资源和社会保障局管理调整为县医疗保障局管理，单位参照公务员法管理、类别为公益一类、机构规格为副科级、事业编制17 名，主要职责为承担医疗保障服务及相关事务性工作。</w:t>
      </w:r>
      <w:r>
        <w:rPr>
          <w:rFonts w:eastAsia="仿宋_GB2312"/>
          <w:color w:val="000000"/>
          <w:sz w:val="32"/>
          <w:szCs w:val="32"/>
        </w:rPr>
        <w:t>年末在职在册职工16人。</w:t>
      </w:r>
    </w:p>
    <w:p w14:paraId="7E782B73">
      <w:pPr>
        <w:spacing w:line="560" w:lineRule="exact"/>
        <w:ind w:firstLine="643" w:firstLineChars="200"/>
        <w:rPr>
          <w:rFonts w:eastAsia="仿宋_GB2312"/>
          <w:bCs/>
          <w:color w:val="000000"/>
          <w:sz w:val="32"/>
          <w:szCs w:val="32"/>
        </w:rPr>
      </w:pPr>
      <w:r>
        <w:rPr>
          <w:rFonts w:eastAsia="方正楷体_GBK"/>
          <w:b/>
          <w:color w:val="000000"/>
          <w:sz w:val="32"/>
          <w:szCs w:val="32"/>
        </w:rPr>
        <w:t>（二）单位基本职能</w:t>
      </w:r>
    </w:p>
    <w:p w14:paraId="43EE30CA">
      <w:pPr>
        <w:spacing w:line="560" w:lineRule="exact"/>
        <w:ind w:firstLine="640" w:firstLineChars="200"/>
        <w:rPr>
          <w:rFonts w:eastAsia="仿宋_GB2312"/>
          <w:bCs/>
          <w:color w:val="000000"/>
          <w:sz w:val="32"/>
          <w:szCs w:val="32"/>
        </w:rPr>
      </w:pPr>
      <w:r>
        <w:rPr>
          <w:rFonts w:eastAsia="仿宋_GB2312"/>
          <w:bCs/>
          <w:color w:val="000000"/>
          <w:sz w:val="32"/>
          <w:szCs w:val="32"/>
        </w:rPr>
        <w:t>1.贯彻执行医疗保险、生育保险、医疗救助等医疗保障法律、法规、规章。拟订全县医疗保障事业发展规划。执行全市统一的医疗保障政策和标准，进行监督检查。</w:t>
      </w:r>
    </w:p>
    <w:p w14:paraId="6B40F612">
      <w:pPr>
        <w:spacing w:line="560" w:lineRule="exact"/>
        <w:ind w:firstLine="640" w:firstLineChars="200"/>
        <w:rPr>
          <w:rFonts w:eastAsia="仿宋_GB2312"/>
          <w:bCs/>
          <w:color w:val="000000"/>
          <w:sz w:val="32"/>
          <w:szCs w:val="32"/>
        </w:rPr>
      </w:pPr>
      <w:r>
        <w:rPr>
          <w:rFonts w:eastAsia="仿宋_GB2312"/>
          <w:bCs/>
          <w:color w:val="000000"/>
          <w:sz w:val="32"/>
          <w:szCs w:val="32"/>
        </w:rPr>
        <w:t>2.组织实施医疗保障基金监督管理制度，建立健全医疗</w:t>
      </w:r>
      <w:r>
        <w:rPr>
          <w:rFonts w:eastAsia="仿宋_GB2312"/>
          <w:bCs/>
          <w:color w:val="000000"/>
          <w:spacing w:val="-10"/>
          <w:sz w:val="32"/>
          <w:szCs w:val="32"/>
        </w:rPr>
        <w:t>保障基金安全防控机制，监督强化全县医疗保障基金运行管理。</w:t>
      </w:r>
    </w:p>
    <w:p w14:paraId="2C6F8DE9">
      <w:pPr>
        <w:spacing w:line="560" w:lineRule="exact"/>
        <w:ind w:firstLine="640" w:firstLineChars="200"/>
        <w:rPr>
          <w:rFonts w:eastAsia="仿宋_GB2312"/>
          <w:bCs/>
          <w:color w:val="000000"/>
          <w:sz w:val="32"/>
          <w:szCs w:val="32"/>
        </w:rPr>
      </w:pPr>
      <w:r>
        <w:rPr>
          <w:rFonts w:eastAsia="仿宋_GB2312"/>
          <w:bCs/>
          <w:color w:val="000000"/>
          <w:sz w:val="32"/>
          <w:szCs w:val="32"/>
        </w:rPr>
        <w:t>3.组织实施医疗保障筹资和待遇政策。组织实施长期护理保险制度改革方案。</w:t>
      </w:r>
    </w:p>
    <w:p w14:paraId="40E96691">
      <w:pPr>
        <w:spacing w:line="560" w:lineRule="exact"/>
        <w:ind w:firstLine="640" w:firstLineChars="200"/>
        <w:rPr>
          <w:rFonts w:eastAsia="仿宋_GB2312"/>
          <w:bCs/>
          <w:color w:val="000000"/>
          <w:sz w:val="32"/>
          <w:szCs w:val="32"/>
        </w:rPr>
      </w:pPr>
      <w:r>
        <w:rPr>
          <w:rFonts w:eastAsia="仿宋_GB2312"/>
          <w:bCs/>
          <w:color w:val="000000"/>
          <w:sz w:val="32"/>
          <w:szCs w:val="32"/>
        </w:rPr>
        <w:t>4.组织实施全省、市统一的药品、医用耗材、医疗服务项目、医疗服务设施等医疗保障目录和支付标准。</w:t>
      </w:r>
    </w:p>
    <w:p w14:paraId="6E7645A8">
      <w:pPr>
        <w:spacing w:line="560" w:lineRule="exact"/>
        <w:ind w:firstLine="640" w:firstLineChars="200"/>
        <w:rPr>
          <w:rFonts w:eastAsia="仿宋_GB2312"/>
          <w:bCs/>
          <w:color w:val="000000"/>
          <w:sz w:val="32"/>
          <w:szCs w:val="32"/>
        </w:rPr>
      </w:pPr>
      <w:r>
        <w:rPr>
          <w:rFonts w:eastAsia="仿宋_GB2312"/>
          <w:bCs/>
          <w:color w:val="000000"/>
          <w:sz w:val="32"/>
          <w:szCs w:val="32"/>
        </w:rPr>
        <w:t>5.组织实施全市城乡统一的药品、医用耗材价格和医疗服务项目、医疗服务设施收费等政策，建立价格信息监测和</w:t>
      </w:r>
      <w:r>
        <w:rPr>
          <w:rFonts w:eastAsia="仿宋_GB2312"/>
          <w:bCs/>
          <w:color w:val="000000"/>
          <w:spacing w:val="-20"/>
          <w:sz w:val="32"/>
          <w:szCs w:val="32"/>
        </w:rPr>
        <w:t>信息发布制度，推动建立市场主导的社会医药服务价格形成机制。</w:t>
      </w:r>
    </w:p>
    <w:p w14:paraId="7347A86F">
      <w:pPr>
        <w:spacing w:line="560" w:lineRule="exact"/>
        <w:ind w:firstLine="640" w:firstLineChars="200"/>
        <w:rPr>
          <w:rFonts w:eastAsia="仿宋_GB2312"/>
          <w:bCs/>
          <w:color w:val="000000"/>
          <w:sz w:val="32"/>
          <w:szCs w:val="32"/>
        </w:rPr>
      </w:pPr>
      <w:r>
        <w:rPr>
          <w:rFonts w:eastAsia="仿宋_GB2312"/>
          <w:bCs/>
          <w:color w:val="000000"/>
          <w:sz w:val="32"/>
          <w:szCs w:val="32"/>
        </w:rPr>
        <w:t>6.组织实施基本医疗保险制度、生育保险制度，及相关联的大病保险、补充医疗保险、公务员医疗补助等政策规定。</w:t>
      </w:r>
    </w:p>
    <w:p w14:paraId="47D0BD29">
      <w:pPr>
        <w:spacing w:line="560" w:lineRule="exact"/>
        <w:ind w:firstLine="640" w:firstLineChars="200"/>
        <w:rPr>
          <w:rFonts w:eastAsia="仿宋_GB2312"/>
          <w:bCs/>
          <w:color w:val="000000"/>
          <w:sz w:val="32"/>
          <w:szCs w:val="32"/>
        </w:rPr>
      </w:pPr>
      <w:r>
        <w:rPr>
          <w:rFonts w:eastAsia="仿宋_GB2312"/>
          <w:bCs/>
          <w:color w:val="000000"/>
          <w:sz w:val="32"/>
          <w:szCs w:val="32"/>
        </w:rPr>
        <w:t>7.组织实施全市城乡医疗救助制度，完善全县医疗救助基金管理办法，推进“一站式服务”机制。</w:t>
      </w:r>
    </w:p>
    <w:p w14:paraId="419D82D7">
      <w:pPr>
        <w:spacing w:line="560" w:lineRule="exact"/>
        <w:ind w:firstLine="640" w:firstLineChars="200"/>
        <w:rPr>
          <w:rFonts w:eastAsia="仿宋_GB2312"/>
          <w:bCs/>
          <w:color w:val="000000"/>
          <w:sz w:val="32"/>
          <w:szCs w:val="32"/>
        </w:rPr>
      </w:pPr>
      <w:r>
        <w:rPr>
          <w:rFonts w:eastAsia="仿宋_GB2312"/>
          <w:bCs/>
          <w:color w:val="000000"/>
          <w:sz w:val="32"/>
          <w:szCs w:val="32"/>
        </w:rPr>
        <w:t>8.贯彻执行全省药品、医用耗材的招标采购政策并监</w:t>
      </w:r>
      <w:r>
        <w:rPr>
          <w:rFonts w:eastAsia="仿宋_GB2312"/>
          <w:bCs/>
          <w:color w:val="000000"/>
          <w:spacing w:val="-10"/>
          <w:sz w:val="32"/>
          <w:szCs w:val="32"/>
        </w:rPr>
        <w:t>督实施，按照省、市招标采购平台建设要求，承担相关工作任务。</w:t>
      </w:r>
    </w:p>
    <w:p w14:paraId="6E96271A">
      <w:pPr>
        <w:spacing w:line="560" w:lineRule="exact"/>
        <w:ind w:firstLine="640" w:firstLineChars="200"/>
        <w:rPr>
          <w:rFonts w:eastAsia="仿宋_GB2312"/>
          <w:bCs/>
          <w:color w:val="000000"/>
          <w:sz w:val="32"/>
          <w:szCs w:val="32"/>
        </w:rPr>
      </w:pPr>
      <w:r>
        <w:rPr>
          <w:rFonts w:eastAsia="仿宋_GB2312"/>
          <w:bCs/>
          <w:color w:val="000000"/>
          <w:sz w:val="32"/>
          <w:szCs w:val="32"/>
        </w:rPr>
        <w:t>9.推进全县医疗保障基金支付方式改革，实行多元复合式医保支付方式。组织实施基金支付管理办法，保障参保人员基本权益和医保制度长期可持续发展。</w:t>
      </w:r>
    </w:p>
    <w:p w14:paraId="3E4CEC82">
      <w:pPr>
        <w:spacing w:line="560" w:lineRule="exact"/>
        <w:ind w:firstLine="640" w:firstLineChars="200"/>
        <w:rPr>
          <w:rFonts w:eastAsia="仿宋_GB2312"/>
          <w:bCs/>
          <w:color w:val="000000"/>
          <w:sz w:val="32"/>
          <w:szCs w:val="32"/>
        </w:rPr>
      </w:pPr>
      <w:r>
        <w:rPr>
          <w:rFonts w:eastAsia="仿宋_GB2312"/>
          <w:bCs/>
          <w:color w:val="000000"/>
          <w:sz w:val="32"/>
          <w:szCs w:val="32"/>
        </w:rPr>
        <w:t>10.负责全县医疗保障定点医药机构管理，制定并组织实施米易县医药机构医疗保障定点工作方案，组织实施定点医药机构服务协议。执行医疗保障信用评价体系和信息披露制度，监督管理纳入医疗保障范围内的医疗服务行为和医疗费用，依法查处医疗保障领域违法违规行为。</w:t>
      </w:r>
    </w:p>
    <w:p w14:paraId="3E2F1CA1">
      <w:pPr>
        <w:spacing w:line="560" w:lineRule="exact"/>
        <w:ind w:firstLine="640" w:firstLineChars="200"/>
        <w:rPr>
          <w:rFonts w:eastAsia="仿宋_GB2312"/>
          <w:bCs/>
          <w:color w:val="000000"/>
          <w:sz w:val="32"/>
          <w:szCs w:val="32"/>
        </w:rPr>
      </w:pPr>
      <w:r>
        <w:rPr>
          <w:rFonts w:eastAsia="仿宋_GB2312"/>
          <w:bCs/>
          <w:color w:val="000000"/>
          <w:sz w:val="32"/>
          <w:szCs w:val="32"/>
        </w:rPr>
        <w:t>11.负责全县医疗保障业务经办管理和公共服务体系建设。组织实施异地就医管理和费用结算政策。贯彻执行医疗保障关系转移接续政策。监督管理全县医保经办服务工作。开展医疗保障领域对外合作交流。</w:t>
      </w:r>
    </w:p>
    <w:p w14:paraId="11D0222C">
      <w:pPr>
        <w:spacing w:line="560" w:lineRule="exact"/>
        <w:ind w:firstLine="640" w:firstLineChars="200"/>
        <w:rPr>
          <w:rFonts w:eastAsia="仿宋_GB2312"/>
          <w:bCs/>
          <w:color w:val="000000"/>
          <w:sz w:val="32"/>
          <w:szCs w:val="32"/>
        </w:rPr>
      </w:pPr>
      <w:r>
        <w:rPr>
          <w:rFonts w:eastAsia="仿宋_GB2312"/>
          <w:bCs/>
          <w:color w:val="000000"/>
          <w:sz w:val="32"/>
          <w:szCs w:val="32"/>
        </w:rPr>
        <w:t>12.</w:t>
      </w:r>
      <w:r>
        <w:rPr>
          <w:rFonts w:eastAsia="仿宋_GB2312"/>
          <w:bCs/>
          <w:color w:val="000000"/>
          <w:spacing w:val="-10"/>
          <w:sz w:val="32"/>
          <w:szCs w:val="32"/>
        </w:rPr>
        <w:t>组织开展医疗保障信息化建设、大数据管理和应用。</w:t>
      </w:r>
    </w:p>
    <w:p w14:paraId="4B286961">
      <w:pPr>
        <w:spacing w:line="560" w:lineRule="exact"/>
        <w:ind w:firstLine="640" w:firstLineChars="200"/>
        <w:rPr>
          <w:rFonts w:eastAsia="仿宋_GB2312"/>
          <w:bCs/>
          <w:color w:val="000000"/>
          <w:sz w:val="32"/>
          <w:szCs w:val="32"/>
        </w:rPr>
      </w:pPr>
      <w:r>
        <w:rPr>
          <w:rFonts w:eastAsia="仿宋_GB2312"/>
          <w:bCs/>
          <w:color w:val="000000"/>
          <w:sz w:val="32"/>
          <w:szCs w:val="32"/>
        </w:rPr>
        <w:t>13.组织拟订县本级离休干部、六级以上革命伤残军人（警察）的医疗保障政策，以及建国初期参加革命工作和厅级干部、县级干部、高级知识分子的医疗照顾政策。</w:t>
      </w:r>
    </w:p>
    <w:p w14:paraId="1B9521F2">
      <w:pPr>
        <w:spacing w:line="560" w:lineRule="exact"/>
        <w:ind w:firstLine="640" w:firstLineChars="200"/>
        <w:rPr>
          <w:rFonts w:eastAsia="仿宋_GB2312"/>
          <w:bCs/>
          <w:color w:val="000000"/>
          <w:sz w:val="32"/>
          <w:szCs w:val="32"/>
        </w:rPr>
      </w:pPr>
      <w:r>
        <w:rPr>
          <w:rFonts w:eastAsia="仿宋_GB2312"/>
          <w:bCs/>
          <w:color w:val="000000"/>
          <w:sz w:val="32"/>
          <w:szCs w:val="32"/>
        </w:rPr>
        <w:t>14.负责职责范围内的安全生产和职业健康、生态环境保护、审批服务便民化等工作。</w:t>
      </w:r>
    </w:p>
    <w:p w14:paraId="2606AACD">
      <w:pPr>
        <w:spacing w:line="560" w:lineRule="exact"/>
        <w:ind w:firstLine="640" w:firstLineChars="200"/>
        <w:rPr>
          <w:rFonts w:eastAsia="仿宋_GB2312"/>
          <w:bCs/>
          <w:color w:val="000000"/>
          <w:sz w:val="32"/>
          <w:szCs w:val="32"/>
        </w:rPr>
      </w:pPr>
      <w:r>
        <w:rPr>
          <w:rFonts w:eastAsia="仿宋_GB2312"/>
          <w:bCs/>
          <w:color w:val="000000"/>
          <w:sz w:val="32"/>
          <w:szCs w:val="32"/>
        </w:rPr>
        <w:t>15.完成县委、县政府交办的其他任务。</w:t>
      </w:r>
    </w:p>
    <w:p w14:paraId="7307240E">
      <w:pPr>
        <w:spacing w:line="560" w:lineRule="exact"/>
        <w:ind w:firstLine="643" w:firstLineChars="200"/>
        <w:rPr>
          <w:rFonts w:eastAsia="楷体"/>
          <w:b/>
          <w:color w:val="000000"/>
          <w:sz w:val="32"/>
          <w:szCs w:val="32"/>
        </w:rPr>
      </w:pPr>
      <w:r>
        <w:rPr>
          <w:rFonts w:hAnsi="楷体" w:eastAsia="楷体"/>
          <w:b/>
          <w:color w:val="000000"/>
          <w:sz w:val="32"/>
          <w:szCs w:val="32"/>
        </w:rPr>
        <w:t>（三）机关内设机构</w:t>
      </w:r>
    </w:p>
    <w:p w14:paraId="60910BD9">
      <w:pPr>
        <w:spacing w:line="560" w:lineRule="exact"/>
        <w:ind w:firstLine="633" w:firstLineChars="197"/>
        <w:rPr>
          <w:rFonts w:ascii="仿宋_GB2312" w:eastAsia="仿宋_GB2312"/>
          <w:bCs/>
          <w:color w:val="000000"/>
          <w:sz w:val="32"/>
          <w:szCs w:val="32"/>
        </w:rPr>
      </w:pPr>
      <w:r>
        <w:rPr>
          <w:rFonts w:hint="eastAsia" w:ascii="仿宋_GB2312" w:eastAsia="仿宋_GB2312"/>
          <w:b/>
          <w:color w:val="000000"/>
          <w:sz w:val="32"/>
          <w:szCs w:val="32"/>
        </w:rPr>
        <w:t>1.办公室。</w:t>
      </w:r>
      <w:r>
        <w:rPr>
          <w:rFonts w:hint="eastAsia" w:ascii="仿宋_GB2312" w:eastAsia="仿宋_GB2312"/>
          <w:bCs/>
          <w:color w:val="000000"/>
          <w:sz w:val="32"/>
          <w:szCs w:val="32"/>
        </w:rPr>
        <w:t>负责综合性文件、重要报告的起草。负责文电、会务、接待、信息、宣传、机要等机关日常运转工作。承担保密、档案、信访、普法、综治、党群，以及目标、绩效管理、安全生产和职业健康、生态环境保护、审批服务便民化等工作。负责机关和所属单位有关规章制度的拟订和组织实施。负责财务、资产管理工作。承担各级审计、检查相关工作。承担机关和所属单位的机构编制、人事管理工作。组织办理人大代表建议、政协委员提案。组织拟订工作规划和工作计划。</w:t>
      </w:r>
    </w:p>
    <w:p w14:paraId="2BC34A90">
      <w:pPr>
        <w:spacing w:line="560" w:lineRule="exact"/>
        <w:ind w:firstLine="633" w:firstLineChars="197"/>
        <w:rPr>
          <w:rFonts w:ascii="仿宋_GB2312" w:eastAsia="仿宋_GB2312"/>
          <w:bCs/>
          <w:color w:val="000000"/>
          <w:sz w:val="32"/>
          <w:szCs w:val="32"/>
        </w:rPr>
      </w:pPr>
      <w:r>
        <w:rPr>
          <w:rFonts w:hint="eastAsia" w:ascii="仿宋_GB2312" w:eastAsia="仿宋_GB2312"/>
          <w:b/>
          <w:color w:val="000000"/>
          <w:sz w:val="32"/>
          <w:szCs w:val="32"/>
        </w:rPr>
        <w:t>2.业务股。</w:t>
      </w:r>
      <w:r>
        <w:rPr>
          <w:rFonts w:hint="eastAsia" w:ascii="仿宋_GB2312" w:eastAsia="仿宋_GB2312"/>
          <w:bCs/>
          <w:color w:val="000000"/>
          <w:sz w:val="32"/>
          <w:szCs w:val="32"/>
        </w:rPr>
        <w:t>组织实施医疗保障筹资和待遇政策，统筹推进多层次医疗保障建设，并承担待遇管理、行政复议、行政应诉等工作。组织实施基金支付、异地就医等政策，执行医保关系转移接续政策。组织实施长期护理保险制度改革方案和医疗救助工作，完善全县医疗救助基金管理办法。组织实施全市统一的药品、医用耗材价格和医疗服务项目、设施收费政策，负责药品、医用耗材的招标采购、配送及结算管理和监督工作。组织实施医保目录和支付标准。贯彻落实医保基金监督管理制度，健全安全防控机制，监督管理纳入基金支付范围的医疗行为和医疗费用，依法查处医疗保障领域违法违规行为。组织实施定点医药机构服务协议，指导全县定点医药机构管理工作，负责县域内定点医药机构资格的准入工作。组织推进医保支付方式改革，建立激励约束机制和费用控制机制。组织开展医疗保障信息化建设、大数据管理和应用。执行全省医疗保障经办服务规程，监督管理全县经办服务工作。拟订完善县本级离休干部、六级以上革命伤残军人（警察）的医疗保障政策和特殊人群医疗照顾政策。与县卫生等部门协同推进“三医联动”改革。与税务部门做好社会保险费征缴工作。</w:t>
      </w:r>
    </w:p>
    <w:p w14:paraId="0509B10E">
      <w:pPr>
        <w:spacing w:line="560" w:lineRule="exact"/>
        <w:ind w:firstLine="640" w:firstLineChars="200"/>
        <w:rPr>
          <w:rFonts w:eastAsia="方正仿宋_GBK"/>
          <w:bCs/>
          <w:color w:val="000000"/>
          <w:sz w:val="32"/>
          <w:szCs w:val="32"/>
        </w:rPr>
      </w:pPr>
      <w:r>
        <w:rPr>
          <w:rFonts w:eastAsia="黑体"/>
          <w:color w:val="000000"/>
          <w:sz w:val="32"/>
          <w:szCs w:val="32"/>
        </w:rPr>
        <w:t>二、评价工作开展情况</w:t>
      </w:r>
    </w:p>
    <w:p w14:paraId="42A97A00">
      <w:pPr>
        <w:spacing w:line="560" w:lineRule="exact"/>
        <w:ind w:firstLine="640" w:firstLineChars="200"/>
        <w:rPr>
          <w:rFonts w:eastAsia="仿宋_GB2312"/>
          <w:color w:val="000000"/>
          <w:sz w:val="32"/>
          <w:szCs w:val="32"/>
        </w:rPr>
      </w:pPr>
      <w:r>
        <w:rPr>
          <w:rFonts w:hAnsi="仿宋_GB2312" w:eastAsia="仿宋_GB2312"/>
          <w:color w:val="000000"/>
          <w:sz w:val="32"/>
          <w:szCs w:val="32"/>
        </w:rPr>
        <w:t>按照《</w:t>
      </w:r>
      <w:r>
        <w:rPr>
          <w:rFonts w:hAnsi="仿宋_GB2312" w:eastAsia="仿宋_GB2312"/>
          <w:color w:val="000000"/>
          <w:kern w:val="0"/>
          <w:sz w:val="32"/>
          <w:szCs w:val="32"/>
        </w:rPr>
        <w:t>米易县财政局关于开展</w:t>
      </w:r>
      <w:r>
        <w:rPr>
          <w:rFonts w:eastAsia="仿宋_GB2312"/>
          <w:color w:val="000000"/>
          <w:kern w:val="0"/>
          <w:sz w:val="32"/>
          <w:szCs w:val="32"/>
        </w:rPr>
        <w:t xml:space="preserve"> 2021 </w:t>
      </w:r>
      <w:r>
        <w:rPr>
          <w:rFonts w:hAnsi="仿宋_GB2312" w:eastAsia="仿宋_GB2312"/>
          <w:color w:val="000000"/>
          <w:kern w:val="0"/>
          <w:sz w:val="32"/>
          <w:szCs w:val="32"/>
        </w:rPr>
        <w:t>年财政绩效评价工作的通知</w:t>
      </w:r>
      <w:r>
        <w:rPr>
          <w:rFonts w:hAnsi="仿宋_GB2312" w:eastAsia="仿宋_GB2312"/>
          <w:color w:val="000000"/>
          <w:sz w:val="32"/>
          <w:szCs w:val="32"/>
        </w:rPr>
        <w:t>》（米财绩</w:t>
      </w:r>
      <w:r>
        <w:rPr>
          <w:rFonts w:eastAsia="仿宋_GB2312"/>
          <w:color w:val="000000"/>
          <w:sz w:val="32"/>
          <w:szCs w:val="32"/>
        </w:rPr>
        <w:t>[2021]80</w:t>
      </w:r>
      <w:r>
        <w:rPr>
          <w:rFonts w:hAnsi="仿宋_GB2312" w:eastAsia="仿宋_GB2312"/>
          <w:color w:val="000000"/>
          <w:sz w:val="32"/>
          <w:szCs w:val="32"/>
        </w:rPr>
        <w:t>号）要求，我单位</w:t>
      </w:r>
      <w:r>
        <w:rPr>
          <w:rFonts w:eastAsia="仿宋_GB2312"/>
          <w:color w:val="000000"/>
          <w:sz w:val="32"/>
          <w:szCs w:val="32"/>
        </w:rPr>
        <w:t>领导高度重视，成立部门整体预算绩效评价工作小组，对我单位2020年收入支出绩效进行评价，对项目支出绩效进行重点评价。</w:t>
      </w:r>
    </w:p>
    <w:p w14:paraId="3A5B1816">
      <w:pPr>
        <w:spacing w:line="560" w:lineRule="exact"/>
        <w:ind w:firstLine="780" w:firstLineChars="244"/>
        <w:rPr>
          <w:rStyle w:val="40"/>
          <w:rFonts w:hint="default"/>
        </w:rPr>
      </w:pPr>
      <w:r>
        <w:rPr>
          <w:rFonts w:eastAsia="黑体"/>
          <w:color w:val="000000"/>
          <w:sz w:val="32"/>
          <w:szCs w:val="32"/>
        </w:rPr>
        <w:t>三</w:t>
      </w:r>
      <w:r>
        <w:rPr>
          <w:rStyle w:val="40"/>
          <w:rFonts w:hint="default"/>
        </w:rPr>
        <w:t>、部门资金基本情况</w:t>
      </w:r>
    </w:p>
    <w:p w14:paraId="0D3DF1CC">
      <w:pPr>
        <w:spacing w:line="560" w:lineRule="exact"/>
        <w:ind w:firstLine="630" w:firstLineChars="196"/>
        <w:rPr>
          <w:rFonts w:eastAsia="楷体"/>
          <w:b/>
          <w:color w:val="000000"/>
          <w:sz w:val="32"/>
          <w:szCs w:val="32"/>
        </w:rPr>
      </w:pPr>
      <w:r>
        <w:rPr>
          <w:rFonts w:eastAsia="楷体"/>
          <w:b/>
          <w:color w:val="000000"/>
          <w:sz w:val="32"/>
          <w:szCs w:val="32"/>
        </w:rPr>
        <w:t>（一）部门财政资金收入情况。</w:t>
      </w:r>
    </w:p>
    <w:p w14:paraId="099176DA">
      <w:pPr>
        <w:spacing w:line="560" w:lineRule="exact"/>
        <w:ind w:firstLine="627" w:firstLineChars="196"/>
        <w:rPr>
          <w:rFonts w:ascii="仿宋_GB2312" w:hAnsi="仿宋_GB2312" w:eastAsia="仿宋_GB2312"/>
          <w:color w:val="000000"/>
          <w:sz w:val="32"/>
        </w:rPr>
      </w:pPr>
      <w:r>
        <w:rPr>
          <w:rFonts w:hint="eastAsia" w:ascii="仿宋_GB2312" w:hAnsi="仿宋_GB2312" w:eastAsia="仿宋_GB2312"/>
          <w:color w:val="000000"/>
          <w:sz w:val="32"/>
        </w:rPr>
        <w:t>2020年米易县医疗保障局财政资金收入总额为18</w:t>
      </w:r>
      <w:r>
        <w:rPr>
          <w:rFonts w:ascii="仿宋_GB2312" w:hAnsi="仿宋_GB2312" w:eastAsia="仿宋_GB2312"/>
          <w:color w:val="000000"/>
          <w:sz w:val="32"/>
        </w:rPr>
        <w:t>,</w:t>
      </w:r>
      <w:r>
        <w:rPr>
          <w:rFonts w:hint="eastAsia" w:ascii="仿宋_GB2312" w:hAnsi="仿宋_GB2312" w:eastAsia="仿宋_GB2312"/>
          <w:color w:val="000000"/>
          <w:sz w:val="32"/>
        </w:rPr>
        <w:t>814</w:t>
      </w:r>
      <w:r>
        <w:rPr>
          <w:rFonts w:ascii="仿宋_GB2312" w:hAnsi="仿宋_GB2312" w:eastAsia="仿宋_GB2312"/>
          <w:color w:val="000000"/>
          <w:sz w:val="32"/>
        </w:rPr>
        <w:t>,</w:t>
      </w:r>
      <w:r>
        <w:rPr>
          <w:rFonts w:hint="eastAsia" w:ascii="仿宋_GB2312" w:hAnsi="仿宋_GB2312" w:eastAsia="仿宋_GB2312"/>
          <w:color w:val="000000"/>
          <w:sz w:val="32"/>
        </w:rPr>
        <w:t>516</w:t>
      </w:r>
      <w:r>
        <w:rPr>
          <w:rFonts w:ascii="仿宋_GB2312" w:hAnsi="仿宋_GB2312" w:eastAsia="仿宋_GB2312"/>
          <w:color w:val="000000"/>
          <w:sz w:val="32"/>
        </w:rPr>
        <w:t>.</w:t>
      </w:r>
      <w:r>
        <w:rPr>
          <w:rFonts w:hint="eastAsia" w:ascii="仿宋_GB2312" w:hAnsi="仿宋_GB2312" w:eastAsia="仿宋_GB2312"/>
          <w:color w:val="000000"/>
          <w:sz w:val="32"/>
        </w:rPr>
        <w:t>49元。明细请参见下表：</w:t>
      </w:r>
    </w:p>
    <w:p w14:paraId="05590C4A">
      <w:pPr>
        <w:spacing w:line="560" w:lineRule="exact"/>
        <w:ind w:firstLine="630" w:firstLineChars="196"/>
        <w:rPr>
          <w:rFonts w:eastAsia="楷体"/>
          <w:b/>
          <w:color w:val="000000"/>
          <w:sz w:val="32"/>
          <w:szCs w:val="32"/>
        </w:rPr>
      </w:pPr>
    </w:p>
    <w:tbl>
      <w:tblPr>
        <w:tblStyle w:val="14"/>
        <w:tblW w:w="8270" w:type="dxa"/>
        <w:tblInd w:w="96" w:type="dxa"/>
        <w:tblLayout w:type="autofit"/>
        <w:tblCellMar>
          <w:top w:w="0" w:type="dxa"/>
          <w:left w:w="108" w:type="dxa"/>
          <w:bottom w:w="0" w:type="dxa"/>
          <w:right w:w="108" w:type="dxa"/>
        </w:tblCellMar>
      </w:tblPr>
      <w:tblGrid>
        <w:gridCol w:w="436"/>
        <w:gridCol w:w="436"/>
        <w:gridCol w:w="436"/>
        <w:gridCol w:w="3524"/>
        <w:gridCol w:w="1719"/>
        <w:gridCol w:w="1719"/>
      </w:tblGrid>
      <w:tr w14:paraId="3EB922E6">
        <w:tblPrEx>
          <w:tblCellMar>
            <w:top w:w="0" w:type="dxa"/>
            <w:left w:w="108" w:type="dxa"/>
            <w:bottom w:w="0" w:type="dxa"/>
            <w:right w:w="108" w:type="dxa"/>
          </w:tblCellMar>
        </w:tblPrEx>
        <w:trPr>
          <w:trHeight w:val="309" w:hRule="atLeast"/>
        </w:trPr>
        <w:tc>
          <w:tcPr>
            <w:tcW w:w="4832" w:type="dxa"/>
            <w:gridSpan w:val="4"/>
            <w:tcBorders>
              <w:top w:val="single" w:color="auto" w:sz="4" w:space="0"/>
              <w:left w:val="single" w:color="auto" w:sz="4" w:space="0"/>
              <w:bottom w:val="single" w:color="auto" w:sz="4" w:space="0"/>
              <w:right w:val="single" w:color="auto" w:sz="4" w:space="0"/>
            </w:tcBorders>
            <w:shd w:val="clear" w:color="FFFFFF" w:fill="C0C0C0"/>
            <w:noWrap/>
            <w:vAlign w:val="center"/>
          </w:tcPr>
          <w:p w14:paraId="50ABA432">
            <w:pPr>
              <w:widowControl/>
              <w:jc w:val="center"/>
              <w:rPr>
                <w:rFonts w:ascii="宋体" w:hAnsi="宋体" w:cs="Arial"/>
                <w:color w:val="000000"/>
                <w:kern w:val="0"/>
                <w:sz w:val="22"/>
              </w:rPr>
            </w:pPr>
            <w:r>
              <w:rPr>
                <w:rFonts w:hint="eastAsia" w:ascii="宋体" w:hAnsi="宋体" w:cs="Arial"/>
                <w:color w:val="000000"/>
                <w:kern w:val="0"/>
                <w:sz w:val="22"/>
              </w:rPr>
              <w:t>项目</w:t>
            </w:r>
          </w:p>
        </w:tc>
        <w:tc>
          <w:tcPr>
            <w:tcW w:w="1719" w:type="dxa"/>
            <w:vMerge w:val="restart"/>
            <w:tcBorders>
              <w:top w:val="single" w:color="auto" w:sz="4" w:space="0"/>
              <w:left w:val="single" w:color="auto" w:sz="4" w:space="0"/>
              <w:bottom w:val="single" w:color="auto" w:sz="4" w:space="0"/>
              <w:right w:val="single" w:color="auto" w:sz="4" w:space="0"/>
            </w:tcBorders>
            <w:shd w:val="clear" w:color="FFFFFF" w:fill="C0C0C0"/>
            <w:vAlign w:val="center"/>
          </w:tcPr>
          <w:p w14:paraId="3E64A53A">
            <w:pPr>
              <w:widowControl/>
              <w:jc w:val="center"/>
              <w:rPr>
                <w:rFonts w:ascii="宋体" w:hAnsi="宋体" w:cs="Arial"/>
                <w:color w:val="000000"/>
                <w:kern w:val="0"/>
                <w:sz w:val="22"/>
              </w:rPr>
            </w:pPr>
            <w:r>
              <w:rPr>
                <w:rFonts w:hint="eastAsia" w:ascii="宋体" w:hAnsi="宋体" w:cs="Arial"/>
                <w:color w:val="000000"/>
                <w:kern w:val="0"/>
                <w:sz w:val="22"/>
              </w:rPr>
              <w:t>本年收入</w:t>
            </w:r>
          </w:p>
        </w:tc>
        <w:tc>
          <w:tcPr>
            <w:tcW w:w="1719" w:type="dxa"/>
            <w:vMerge w:val="restart"/>
            <w:tcBorders>
              <w:top w:val="single" w:color="auto" w:sz="4" w:space="0"/>
              <w:left w:val="single" w:color="auto" w:sz="4" w:space="0"/>
              <w:bottom w:val="single" w:color="auto" w:sz="4" w:space="0"/>
              <w:right w:val="single" w:color="auto" w:sz="4" w:space="0"/>
            </w:tcBorders>
            <w:shd w:val="clear" w:color="FFFFFF" w:fill="C0C0C0"/>
            <w:vAlign w:val="center"/>
          </w:tcPr>
          <w:p w14:paraId="5EF768BE">
            <w:pPr>
              <w:widowControl/>
              <w:jc w:val="center"/>
              <w:rPr>
                <w:rFonts w:ascii="宋体" w:hAnsi="宋体" w:cs="Arial"/>
                <w:color w:val="000000"/>
                <w:kern w:val="0"/>
                <w:sz w:val="22"/>
              </w:rPr>
            </w:pPr>
            <w:r>
              <w:rPr>
                <w:rFonts w:hint="eastAsia" w:ascii="宋体" w:hAnsi="宋体" w:cs="Arial"/>
                <w:color w:val="000000"/>
                <w:kern w:val="0"/>
                <w:sz w:val="22"/>
              </w:rPr>
              <w:t>财政拨款收入</w:t>
            </w:r>
          </w:p>
        </w:tc>
      </w:tr>
      <w:tr w14:paraId="267F182C">
        <w:tblPrEx>
          <w:tblCellMar>
            <w:top w:w="0" w:type="dxa"/>
            <w:left w:w="108" w:type="dxa"/>
            <w:bottom w:w="0" w:type="dxa"/>
            <w:right w:w="108" w:type="dxa"/>
          </w:tblCellMar>
        </w:tblPrEx>
        <w:trPr>
          <w:trHeight w:val="312" w:hRule="atLeast"/>
        </w:trPr>
        <w:tc>
          <w:tcPr>
            <w:tcW w:w="1308" w:type="dxa"/>
            <w:gridSpan w:val="3"/>
            <w:vMerge w:val="restart"/>
            <w:tcBorders>
              <w:top w:val="single" w:color="auto" w:sz="4" w:space="0"/>
              <w:left w:val="single" w:color="auto" w:sz="4" w:space="0"/>
              <w:bottom w:val="single" w:color="auto" w:sz="4" w:space="0"/>
              <w:right w:val="single" w:color="auto" w:sz="4" w:space="0"/>
            </w:tcBorders>
            <w:shd w:val="clear" w:color="FFFFFF" w:fill="C0C0C0"/>
            <w:vAlign w:val="center"/>
          </w:tcPr>
          <w:p w14:paraId="6B903A62">
            <w:pPr>
              <w:widowControl/>
              <w:jc w:val="center"/>
              <w:rPr>
                <w:rFonts w:ascii="宋体" w:hAnsi="宋体" w:cs="Arial"/>
                <w:color w:val="000000"/>
                <w:kern w:val="0"/>
                <w:sz w:val="22"/>
              </w:rPr>
            </w:pPr>
            <w:r>
              <w:rPr>
                <w:rFonts w:hint="eastAsia" w:ascii="宋体" w:hAnsi="宋体" w:cs="Arial"/>
                <w:color w:val="000000"/>
                <w:kern w:val="0"/>
                <w:sz w:val="22"/>
              </w:rPr>
              <w:t>支出功能分类科目编码</w:t>
            </w:r>
          </w:p>
        </w:tc>
        <w:tc>
          <w:tcPr>
            <w:tcW w:w="3524" w:type="dxa"/>
            <w:vMerge w:val="restart"/>
            <w:tcBorders>
              <w:top w:val="nil"/>
              <w:left w:val="single" w:color="auto" w:sz="4" w:space="0"/>
              <w:bottom w:val="single" w:color="auto" w:sz="4" w:space="0"/>
              <w:right w:val="single" w:color="auto" w:sz="4" w:space="0"/>
            </w:tcBorders>
            <w:shd w:val="clear" w:color="FFFFFF" w:fill="C0C0C0"/>
            <w:noWrap/>
            <w:vAlign w:val="center"/>
          </w:tcPr>
          <w:p w14:paraId="21935CA6">
            <w:pPr>
              <w:widowControl/>
              <w:jc w:val="center"/>
              <w:rPr>
                <w:rFonts w:ascii="宋体" w:hAnsi="宋体" w:cs="Arial"/>
                <w:color w:val="000000"/>
                <w:kern w:val="0"/>
                <w:sz w:val="22"/>
              </w:rPr>
            </w:pPr>
            <w:r>
              <w:rPr>
                <w:rFonts w:hint="eastAsia" w:ascii="宋体" w:hAnsi="宋体" w:cs="Arial"/>
                <w:color w:val="000000"/>
                <w:kern w:val="0"/>
                <w:sz w:val="22"/>
              </w:rPr>
              <w:t>科目名称</w:t>
            </w:r>
          </w:p>
        </w:tc>
        <w:tc>
          <w:tcPr>
            <w:tcW w:w="1719" w:type="dxa"/>
            <w:vMerge w:val="continue"/>
            <w:tcBorders>
              <w:top w:val="single" w:color="auto" w:sz="4" w:space="0"/>
              <w:left w:val="single" w:color="auto" w:sz="4" w:space="0"/>
              <w:bottom w:val="single" w:color="auto" w:sz="4" w:space="0"/>
              <w:right w:val="single" w:color="auto" w:sz="4" w:space="0"/>
            </w:tcBorders>
            <w:vAlign w:val="center"/>
          </w:tcPr>
          <w:p w14:paraId="4006DFBD">
            <w:pPr>
              <w:widowControl/>
              <w:jc w:val="left"/>
              <w:rPr>
                <w:rFonts w:ascii="宋体" w:hAnsi="宋体" w:cs="Arial"/>
                <w:color w:val="000000"/>
                <w:kern w:val="0"/>
                <w:sz w:val="22"/>
              </w:rPr>
            </w:pPr>
          </w:p>
        </w:tc>
        <w:tc>
          <w:tcPr>
            <w:tcW w:w="1719" w:type="dxa"/>
            <w:vMerge w:val="continue"/>
            <w:tcBorders>
              <w:top w:val="single" w:color="auto" w:sz="4" w:space="0"/>
              <w:left w:val="single" w:color="auto" w:sz="4" w:space="0"/>
              <w:bottom w:val="single" w:color="auto" w:sz="4" w:space="0"/>
              <w:right w:val="single" w:color="auto" w:sz="4" w:space="0"/>
            </w:tcBorders>
            <w:vAlign w:val="center"/>
          </w:tcPr>
          <w:p w14:paraId="7E96ECB5">
            <w:pPr>
              <w:widowControl/>
              <w:jc w:val="left"/>
              <w:rPr>
                <w:rFonts w:ascii="宋体" w:hAnsi="宋体" w:cs="Arial"/>
                <w:color w:val="000000"/>
                <w:kern w:val="0"/>
                <w:sz w:val="22"/>
              </w:rPr>
            </w:pPr>
          </w:p>
        </w:tc>
      </w:tr>
      <w:tr w14:paraId="30B264DB">
        <w:tblPrEx>
          <w:tblCellMar>
            <w:top w:w="0" w:type="dxa"/>
            <w:left w:w="108" w:type="dxa"/>
            <w:bottom w:w="0" w:type="dxa"/>
            <w:right w:w="108" w:type="dxa"/>
          </w:tblCellMar>
        </w:tblPrEx>
        <w:trPr>
          <w:trHeight w:val="312" w:hRule="atLeast"/>
        </w:trPr>
        <w:tc>
          <w:tcPr>
            <w:tcW w:w="1308" w:type="dxa"/>
            <w:gridSpan w:val="3"/>
            <w:vMerge w:val="continue"/>
            <w:tcBorders>
              <w:top w:val="single" w:color="auto" w:sz="4" w:space="0"/>
              <w:left w:val="single" w:color="auto" w:sz="4" w:space="0"/>
              <w:bottom w:val="single" w:color="auto" w:sz="4" w:space="0"/>
              <w:right w:val="single" w:color="auto" w:sz="4" w:space="0"/>
            </w:tcBorders>
            <w:vAlign w:val="center"/>
          </w:tcPr>
          <w:p w14:paraId="77576B05">
            <w:pPr>
              <w:widowControl/>
              <w:jc w:val="left"/>
              <w:rPr>
                <w:rFonts w:ascii="宋体" w:hAnsi="宋体" w:cs="Arial"/>
                <w:color w:val="000000"/>
                <w:kern w:val="0"/>
                <w:sz w:val="22"/>
              </w:rPr>
            </w:pPr>
          </w:p>
        </w:tc>
        <w:tc>
          <w:tcPr>
            <w:tcW w:w="3524" w:type="dxa"/>
            <w:vMerge w:val="continue"/>
            <w:tcBorders>
              <w:top w:val="nil"/>
              <w:left w:val="single" w:color="auto" w:sz="4" w:space="0"/>
              <w:bottom w:val="single" w:color="auto" w:sz="4" w:space="0"/>
              <w:right w:val="single" w:color="auto" w:sz="4" w:space="0"/>
            </w:tcBorders>
            <w:vAlign w:val="center"/>
          </w:tcPr>
          <w:p w14:paraId="4863595A">
            <w:pPr>
              <w:widowControl/>
              <w:jc w:val="left"/>
              <w:rPr>
                <w:rFonts w:ascii="宋体" w:hAnsi="宋体" w:cs="Arial"/>
                <w:color w:val="000000"/>
                <w:kern w:val="0"/>
                <w:sz w:val="22"/>
              </w:rPr>
            </w:pPr>
          </w:p>
        </w:tc>
        <w:tc>
          <w:tcPr>
            <w:tcW w:w="1719" w:type="dxa"/>
            <w:vMerge w:val="continue"/>
            <w:tcBorders>
              <w:top w:val="single" w:color="auto" w:sz="4" w:space="0"/>
              <w:left w:val="single" w:color="auto" w:sz="4" w:space="0"/>
              <w:bottom w:val="single" w:color="auto" w:sz="4" w:space="0"/>
              <w:right w:val="single" w:color="auto" w:sz="4" w:space="0"/>
            </w:tcBorders>
            <w:vAlign w:val="center"/>
          </w:tcPr>
          <w:p w14:paraId="15B193A0">
            <w:pPr>
              <w:widowControl/>
              <w:jc w:val="left"/>
              <w:rPr>
                <w:rFonts w:ascii="宋体" w:hAnsi="宋体" w:cs="Arial"/>
                <w:color w:val="000000"/>
                <w:kern w:val="0"/>
                <w:sz w:val="22"/>
              </w:rPr>
            </w:pPr>
          </w:p>
        </w:tc>
        <w:tc>
          <w:tcPr>
            <w:tcW w:w="1719" w:type="dxa"/>
            <w:vMerge w:val="continue"/>
            <w:tcBorders>
              <w:top w:val="single" w:color="auto" w:sz="4" w:space="0"/>
              <w:left w:val="single" w:color="auto" w:sz="4" w:space="0"/>
              <w:bottom w:val="single" w:color="auto" w:sz="4" w:space="0"/>
              <w:right w:val="single" w:color="auto" w:sz="4" w:space="0"/>
            </w:tcBorders>
            <w:vAlign w:val="center"/>
          </w:tcPr>
          <w:p w14:paraId="0EC256CF">
            <w:pPr>
              <w:widowControl/>
              <w:jc w:val="left"/>
              <w:rPr>
                <w:rFonts w:ascii="宋体" w:hAnsi="宋体" w:cs="Arial"/>
                <w:color w:val="000000"/>
                <w:kern w:val="0"/>
                <w:sz w:val="22"/>
              </w:rPr>
            </w:pPr>
          </w:p>
        </w:tc>
      </w:tr>
      <w:tr w14:paraId="1B60E0AD">
        <w:tblPrEx>
          <w:tblCellMar>
            <w:top w:w="0" w:type="dxa"/>
            <w:left w:w="108" w:type="dxa"/>
            <w:bottom w:w="0" w:type="dxa"/>
            <w:right w:w="108" w:type="dxa"/>
          </w:tblCellMar>
        </w:tblPrEx>
        <w:trPr>
          <w:trHeight w:val="600" w:hRule="atLeast"/>
        </w:trPr>
        <w:tc>
          <w:tcPr>
            <w:tcW w:w="1308" w:type="dxa"/>
            <w:gridSpan w:val="3"/>
            <w:vMerge w:val="continue"/>
            <w:tcBorders>
              <w:top w:val="single" w:color="auto" w:sz="4" w:space="0"/>
              <w:left w:val="single" w:color="auto" w:sz="4" w:space="0"/>
              <w:bottom w:val="single" w:color="auto" w:sz="4" w:space="0"/>
              <w:right w:val="single" w:color="auto" w:sz="4" w:space="0"/>
            </w:tcBorders>
            <w:vAlign w:val="center"/>
          </w:tcPr>
          <w:p w14:paraId="581EE325">
            <w:pPr>
              <w:widowControl/>
              <w:jc w:val="left"/>
              <w:rPr>
                <w:rFonts w:ascii="宋体" w:hAnsi="宋体" w:cs="Arial"/>
                <w:color w:val="000000"/>
                <w:kern w:val="0"/>
                <w:sz w:val="22"/>
              </w:rPr>
            </w:pPr>
          </w:p>
        </w:tc>
        <w:tc>
          <w:tcPr>
            <w:tcW w:w="3524" w:type="dxa"/>
            <w:vMerge w:val="continue"/>
            <w:tcBorders>
              <w:top w:val="nil"/>
              <w:left w:val="single" w:color="auto" w:sz="4" w:space="0"/>
              <w:bottom w:val="single" w:color="auto" w:sz="4" w:space="0"/>
              <w:right w:val="single" w:color="auto" w:sz="4" w:space="0"/>
            </w:tcBorders>
            <w:vAlign w:val="center"/>
          </w:tcPr>
          <w:p w14:paraId="514E432D">
            <w:pPr>
              <w:widowControl/>
              <w:jc w:val="left"/>
              <w:rPr>
                <w:rFonts w:ascii="宋体" w:hAnsi="宋体" w:cs="Arial"/>
                <w:color w:val="000000"/>
                <w:kern w:val="0"/>
                <w:sz w:val="22"/>
              </w:rPr>
            </w:pPr>
          </w:p>
        </w:tc>
        <w:tc>
          <w:tcPr>
            <w:tcW w:w="1719" w:type="dxa"/>
            <w:vMerge w:val="continue"/>
            <w:tcBorders>
              <w:top w:val="single" w:color="auto" w:sz="4" w:space="0"/>
              <w:left w:val="single" w:color="auto" w:sz="4" w:space="0"/>
              <w:bottom w:val="single" w:color="auto" w:sz="4" w:space="0"/>
              <w:right w:val="single" w:color="auto" w:sz="4" w:space="0"/>
            </w:tcBorders>
            <w:vAlign w:val="center"/>
          </w:tcPr>
          <w:p w14:paraId="339D6D9D">
            <w:pPr>
              <w:widowControl/>
              <w:jc w:val="left"/>
              <w:rPr>
                <w:rFonts w:ascii="宋体" w:hAnsi="宋体" w:cs="Arial"/>
                <w:color w:val="000000"/>
                <w:kern w:val="0"/>
                <w:sz w:val="22"/>
              </w:rPr>
            </w:pPr>
          </w:p>
        </w:tc>
        <w:tc>
          <w:tcPr>
            <w:tcW w:w="1719" w:type="dxa"/>
            <w:vMerge w:val="continue"/>
            <w:tcBorders>
              <w:top w:val="single" w:color="auto" w:sz="4" w:space="0"/>
              <w:left w:val="single" w:color="auto" w:sz="4" w:space="0"/>
              <w:bottom w:val="single" w:color="auto" w:sz="4" w:space="0"/>
              <w:right w:val="single" w:color="auto" w:sz="4" w:space="0"/>
            </w:tcBorders>
            <w:vAlign w:val="center"/>
          </w:tcPr>
          <w:p w14:paraId="5131F7EF">
            <w:pPr>
              <w:widowControl/>
              <w:jc w:val="left"/>
              <w:rPr>
                <w:rFonts w:ascii="宋体" w:hAnsi="宋体" w:cs="Arial"/>
                <w:color w:val="000000"/>
                <w:kern w:val="0"/>
                <w:sz w:val="22"/>
              </w:rPr>
            </w:pPr>
          </w:p>
        </w:tc>
      </w:tr>
      <w:tr w14:paraId="2868049E">
        <w:tblPrEx>
          <w:tblCellMar>
            <w:top w:w="0" w:type="dxa"/>
            <w:left w:w="108" w:type="dxa"/>
            <w:bottom w:w="0" w:type="dxa"/>
            <w:right w:w="108" w:type="dxa"/>
          </w:tblCellMar>
        </w:tblPrEx>
        <w:trPr>
          <w:trHeight w:val="309" w:hRule="atLeast"/>
        </w:trPr>
        <w:tc>
          <w:tcPr>
            <w:tcW w:w="436" w:type="dxa"/>
            <w:vMerge w:val="restart"/>
            <w:tcBorders>
              <w:top w:val="nil"/>
              <w:left w:val="single" w:color="auto" w:sz="4" w:space="0"/>
              <w:bottom w:val="single" w:color="auto" w:sz="4" w:space="0"/>
              <w:right w:val="single" w:color="auto" w:sz="4" w:space="0"/>
            </w:tcBorders>
            <w:shd w:val="clear" w:color="FFFFFF" w:fill="C0C0C0"/>
            <w:noWrap/>
            <w:vAlign w:val="center"/>
          </w:tcPr>
          <w:p w14:paraId="4921B05E">
            <w:pPr>
              <w:widowControl/>
              <w:jc w:val="center"/>
              <w:rPr>
                <w:rFonts w:ascii="宋体" w:hAnsi="宋体" w:cs="Arial"/>
                <w:color w:val="000000"/>
                <w:kern w:val="0"/>
                <w:sz w:val="22"/>
              </w:rPr>
            </w:pPr>
            <w:r>
              <w:rPr>
                <w:rFonts w:hint="eastAsia" w:ascii="宋体" w:hAnsi="宋体" w:cs="Arial"/>
                <w:color w:val="000000"/>
                <w:kern w:val="0"/>
                <w:sz w:val="22"/>
              </w:rPr>
              <w:t>类</w:t>
            </w:r>
          </w:p>
        </w:tc>
        <w:tc>
          <w:tcPr>
            <w:tcW w:w="436" w:type="dxa"/>
            <w:vMerge w:val="restart"/>
            <w:tcBorders>
              <w:top w:val="nil"/>
              <w:left w:val="single" w:color="auto" w:sz="4" w:space="0"/>
              <w:bottom w:val="single" w:color="auto" w:sz="4" w:space="0"/>
              <w:right w:val="single" w:color="auto" w:sz="4" w:space="0"/>
            </w:tcBorders>
            <w:shd w:val="clear" w:color="FFFFFF" w:fill="C0C0C0"/>
            <w:noWrap/>
            <w:vAlign w:val="center"/>
          </w:tcPr>
          <w:p w14:paraId="748239DD">
            <w:pPr>
              <w:widowControl/>
              <w:jc w:val="center"/>
              <w:rPr>
                <w:rFonts w:ascii="宋体" w:hAnsi="宋体" w:cs="Arial"/>
                <w:color w:val="000000"/>
                <w:kern w:val="0"/>
                <w:sz w:val="22"/>
              </w:rPr>
            </w:pPr>
            <w:r>
              <w:rPr>
                <w:rFonts w:hint="eastAsia" w:ascii="宋体" w:hAnsi="宋体" w:cs="Arial"/>
                <w:color w:val="000000"/>
                <w:kern w:val="0"/>
                <w:sz w:val="22"/>
              </w:rPr>
              <w:t>款</w:t>
            </w:r>
          </w:p>
        </w:tc>
        <w:tc>
          <w:tcPr>
            <w:tcW w:w="436" w:type="dxa"/>
            <w:vMerge w:val="restart"/>
            <w:tcBorders>
              <w:top w:val="nil"/>
              <w:left w:val="single" w:color="auto" w:sz="4" w:space="0"/>
              <w:bottom w:val="single" w:color="auto" w:sz="4" w:space="0"/>
              <w:right w:val="single" w:color="auto" w:sz="4" w:space="0"/>
            </w:tcBorders>
            <w:shd w:val="clear" w:color="FFFFFF" w:fill="C0C0C0"/>
            <w:noWrap/>
            <w:vAlign w:val="center"/>
          </w:tcPr>
          <w:p w14:paraId="69AE6087">
            <w:pPr>
              <w:widowControl/>
              <w:jc w:val="center"/>
              <w:rPr>
                <w:rFonts w:ascii="宋体" w:hAnsi="宋体" w:cs="Arial"/>
                <w:color w:val="000000"/>
                <w:kern w:val="0"/>
                <w:sz w:val="22"/>
              </w:rPr>
            </w:pPr>
            <w:r>
              <w:rPr>
                <w:rFonts w:hint="eastAsia" w:ascii="宋体" w:hAnsi="宋体" w:cs="Arial"/>
                <w:color w:val="000000"/>
                <w:kern w:val="0"/>
                <w:sz w:val="22"/>
              </w:rPr>
              <w:t>项</w:t>
            </w:r>
          </w:p>
        </w:tc>
        <w:tc>
          <w:tcPr>
            <w:tcW w:w="3524" w:type="dxa"/>
            <w:tcBorders>
              <w:top w:val="nil"/>
              <w:left w:val="nil"/>
              <w:bottom w:val="single" w:color="auto" w:sz="4" w:space="0"/>
              <w:right w:val="single" w:color="auto" w:sz="4" w:space="0"/>
            </w:tcBorders>
            <w:shd w:val="clear" w:color="FFFFFF" w:fill="C0C0C0"/>
            <w:noWrap/>
            <w:vAlign w:val="center"/>
          </w:tcPr>
          <w:p w14:paraId="5EF6092C">
            <w:pPr>
              <w:widowControl/>
              <w:jc w:val="center"/>
              <w:rPr>
                <w:rFonts w:ascii="宋体" w:hAnsi="宋体" w:cs="Arial"/>
                <w:color w:val="000000"/>
                <w:kern w:val="0"/>
                <w:sz w:val="22"/>
              </w:rPr>
            </w:pPr>
            <w:r>
              <w:rPr>
                <w:rFonts w:hint="eastAsia" w:ascii="宋体" w:hAnsi="宋体" w:cs="Arial"/>
                <w:color w:val="000000"/>
                <w:kern w:val="0"/>
                <w:sz w:val="22"/>
              </w:rPr>
              <w:t>栏次</w:t>
            </w:r>
          </w:p>
        </w:tc>
        <w:tc>
          <w:tcPr>
            <w:tcW w:w="1719" w:type="dxa"/>
            <w:tcBorders>
              <w:top w:val="nil"/>
              <w:left w:val="nil"/>
              <w:bottom w:val="single" w:color="auto" w:sz="4" w:space="0"/>
              <w:right w:val="single" w:color="auto" w:sz="4" w:space="0"/>
            </w:tcBorders>
            <w:shd w:val="clear" w:color="FFFFFF" w:fill="C0C0C0"/>
            <w:vAlign w:val="center"/>
          </w:tcPr>
          <w:p w14:paraId="7143E00C">
            <w:pPr>
              <w:widowControl/>
              <w:jc w:val="center"/>
              <w:rPr>
                <w:rFonts w:ascii="宋体" w:hAnsi="宋体" w:cs="Arial"/>
                <w:color w:val="000000"/>
                <w:kern w:val="0"/>
                <w:sz w:val="22"/>
              </w:rPr>
            </w:pPr>
            <w:r>
              <w:rPr>
                <w:rFonts w:hint="eastAsia" w:ascii="宋体" w:hAnsi="宋体" w:cs="Arial"/>
                <w:color w:val="000000"/>
                <w:kern w:val="0"/>
                <w:sz w:val="22"/>
              </w:rPr>
              <w:t>5</w:t>
            </w:r>
          </w:p>
        </w:tc>
        <w:tc>
          <w:tcPr>
            <w:tcW w:w="1719" w:type="dxa"/>
            <w:tcBorders>
              <w:top w:val="nil"/>
              <w:left w:val="nil"/>
              <w:bottom w:val="single" w:color="auto" w:sz="4" w:space="0"/>
              <w:right w:val="single" w:color="auto" w:sz="4" w:space="0"/>
            </w:tcBorders>
            <w:shd w:val="clear" w:color="FFFFFF" w:fill="C0C0C0"/>
            <w:vAlign w:val="center"/>
          </w:tcPr>
          <w:p w14:paraId="598BC5FE">
            <w:pPr>
              <w:widowControl/>
              <w:jc w:val="center"/>
              <w:rPr>
                <w:rFonts w:ascii="宋体" w:hAnsi="宋体" w:cs="Arial"/>
                <w:color w:val="000000"/>
                <w:kern w:val="0"/>
                <w:sz w:val="22"/>
              </w:rPr>
            </w:pPr>
            <w:r>
              <w:rPr>
                <w:rFonts w:hint="eastAsia" w:ascii="宋体" w:hAnsi="宋体" w:cs="Arial"/>
                <w:color w:val="000000"/>
                <w:kern w:val="0"/>
                <w:sz w:val="22"/>
              </w:rPr>
              <w:t>6</w:t>
            </w:r>
          </w:p>
        </w:tc>
      </w:tr>
      <w:tr w14:paraId="0A5E06F0">
        <w:tblPrEx>
          <w:tblCellMar>
            <w:top w:w="0" w:type="dxa"/>
            <w:left w:w="108" w:type="dxa"/>
            <w:bottom w:w="0" w:type="dxa"/>
            <w:right w:w="108" w:type="dxa"/>
          </w:tblCellMar>
        </w:tblPrEx>
        <w:trPr>
          <w:trHeight w:val="309" w:hRule="atLeast"/>
        </w:trPr>
        <w:tc>
          <w:tcPr>
            <w:tcW w:w="436" w:type="dxa"/>
            <w:vMerge w:val="continue"/>
            <w:tcBorders>
              <w:top w:val="nil"/>
              <w:left w:val="single" w:color="auto" w:sz="4" w:space="0"/>
              <w:bottom w:val="single" w:color="auto" w:sz="4" w:space="0"/>
              <w:right w:val="single" w:color="auto" w:sz="4" w:space="0"/>
            </w:tcBorders>
            <w:vAlign w:val="center"/>
          </w:tcPr>
          <w:p w14:paraId="512FE723">
            <w:pPr>
              <w:widowControl/>
              <w:jc w:val="left"/>
              <w:rPr>
                <w:rFonts w:ascii="宋体" w:hAnsi="宋体" w:cs="Arial"/>
                <w:color w:val="000000"/>
                <w:kern w:val="0"/>
                <w:sz w:val="22"/>
              </w:rPr>
            </w:pPr>
          </w:p>
        </w:tc>
        <w:tc>
          <w:tcPr>
            <w:tcW w:w="436" w:type="dxa"/>
            <w:vMerge w:val="continue"/>
            <w:tcBorders>
              <w:top w:val="nil"/>
              <w:left w:val="single" w:color="auto" w:sz="4" w:space="0"/>
              <w:bottom w:val="single" w:color="auto" w:sz="4" w:space="0"/>
              <w:right w:val="single" w:color="auto" w:sz="4" w:space="0"/>
            </w:tcBorders>
            <w:vAlign w:val="center"/>
          </w:tcPr>
          <w:p w14:paraId="64306D93">
            <w:pPr>
              <w:widowControl/>
              <w:jc w:val="left"/>
              <w:rPr>
                <w:rFonts w:ascii="宋体" w:hAnsi="宋体" w:cs="Arial"/>
                <w:color w:val="000000"/>
                <w:kern w:val="0"/>
                <w:sz w:val="22"/>
              </w:rPr>
            </w:pPr>
          </w:p>
        </w:tc>
        <w:tc>
          <w:tcPr>
            <w:tcW w:w="436" w:type="dxa"/>
            <w:vMerge w:val="continue"/>
            <w:tcBorders>
              <w:top w:val="nil"/>
              <w:left w:val="single" w:color="auto" w:sz="4" w:space="0"/>
              <w:bottom w:val="single" w:color="auto" w:sz="4" w:space="0"/>
              <w:right w:val="single" w:color="auto" w:sz="4" w:space="0"/>
            </w:tcBorders>
            <w:vAlign w:val="center"/>
          </w:tcPr>
          <w:p w14:paraId="06A036F2">
            <w:pPr>
              <w:widowControl/>
              <w:jc w:val="left"/>
              <w:rPr>
                <w:rFonts w:ascii="宋体" w:hAnsi="宋体" w:cs="Arial"/>
                <w:color w:val="000000"/>
                <w:kern w:val="0"/>
                <w:sz w:val="22"/>
              </w:rPr>
            </w:pPr>
          </w:p>
        </w:tc>
        <w:tc>
          <w:tcPr>
            <w:tcW w:w="3524" w:type="dxa"/>
            <w:tcBorders>
              <w:top w:val="nil"/>
              <w:left w:val="nil"/>
              <w:bottom w:val="single" w:color="auto" w:sz="4" w:space="0"/>
              <w:right w:val="single" w:color="auto" w:sz="4" w:space="0"/>
            </w:tcBorders>
            <w:shd w:val="clear" w:color="FFFFFF" w:fill="C0C0C0"/>
            <w:noWrap/>
            <w:vAlign w:val="center"/>
          </w:tcPr>
          <w:p w14:paraId="2F3AB902">
            <w:pPr>
              <w:widowControl/>
              <w:jc w:val="center"/>
              <w:rPr>
                <w:rFonts w:ascii="宋体" w:hAnsi="宋体" w:cs="Arial"/>
                <w:color w:val="000000"/>
                <w:kern w:val="0"/>
                <w:sz w:val="22"/>
              </w:rPr>
            </w:pPr>
            <w:r>
              <w:rPr>
                <w:rFonts w:hint="eastAsia" w:ascii="宋体" w:hAnsi="宋体" w:cs="Arial"/>
                <w:color w:val="000000"/>
                <w:kern w:val="0"/>
                <w:sz w:val="22"/>
              </w:rPr>
              <w:t>合计</w:t>
            </w:r>
          </w:p>
        </w:tc>
        <w:tc>
          <w:tcPr>
            <w:tcW w:w="1719" w:type="dxa"/>
            <w:tcBorders>
              <w:top w:val="nil"/>
              <w:left w:val="nil"/>
              <w:bottom w:val="single" w:color="auto" w:sz="4" w:space="0"/>
              <w:right w:val="single" w:color="auto" w:sz="4" w:space="0"/>
            </w:tcBorders>
            <w:shd w:val="clear" w:color="auto" w:fill="auto"/>
            <w:noWrap/>
            <w:vAlign w:val="center"/>
          </w:tcPr>
          <w:p w14:paraId="1A8A6737">
            <w:pPr>
              <w:widowControl/>
              <w:jc w:val="right"/>
              <w:rPr>
                <w:rFonts w:ascii="宋体" w:hAnsi="宋体" w:cs="Arial"/>
                <w:color w:val="000000"/>
                <w:kern w:val="0"/>
                <w:sz w:val="22"/>
              </w:rPr>
            </w:pPr>
            <w:r>
              <w:rPr>
                <w:rFonts w:hint="eastAsia" w:ascii="宋体" w:hAnsi="宋体" w:cs="Arial"/>
                <w:color w:val="000000"/>
                <w:kern w:val="0"/>
                <w:sz w:val="22"/>
              </w:rPr>
              <w:t>18,814,516.49</w:t>
            </w:r>
          </w:p>
        </w:tc>
        <w:tc>
          <w:tcPr>
            <w:tcW w:w="1719" w:type="dxa"/>
            <w:tcBorders>
              <w:top w:val="nil"/>
              <w:left w:val="nil"/>
              <w:bottom w:val="single" w:color="auto" w:sz="4" w:space="0"/>
              <w:right w:val="single" w:color="auto" w:sz="4" w:space="0"/>
            </w:tcBorders>
            <w:shd w:val="clear" w:color="auto" w:fill="auto"/>
            <w:noWrap/>
            <w:vAlign w:val="center"/>
          </w:tcPr>
          <w:p w14:paraId="7B46BC83">
            <w:pPr>
              <w:widowControl/>
              <w:jc w:val="right"/>
              <w:rPr>
                <w:rFonts w:ascii="宋体" w:hAnsi="宋体" w:cs="Arial"/>
                <w:color w:val="000000"/>
                <w:kern w:val="0"/>
                <w:sz w:val="22"/>
              </w:rPr>
            </w:pPr>
            <w:r>
              <w:rPr>
                <w:rFonts w:hint="eastAsia" w:ascii="宋体" w:hAnsi="宋体" w:cs="Arial"/>
                <w:color w:val="000000"/>
                <w:kern w:val="0"/>
                <w:sz w:val="22"/>
              </w:rPr>
              <w:t>18,814,516.49</w:t>
            </w:r>
          </w:p>
        </w:tc>
      </w:tr>
      <w:tr w14:paraId="56AC7169">
        <w:tblPrEx>
          <w:tblCellMar>
            <w:top w:w="0" w:type="dxa"/>
            <w:left w:w="108" w:type="dxa"/>
            <w:bottom w:w="0" w:type="dxa"/>
            <w:right w:w="108" w:type="dxa"/>
          </w:tblCellMar>
        </w:tblPrEx>
        <w:trPr>
          <w:trHeight w:val="309" w:hRule="atLeast"/>
        </w:trPr>
        <w:tc>
          <w:tcPr>
            <w:tcW w:w="130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63969A20">
            <w:pPr>
              <w:widowControl/>
              <w:jc w:val="left"/>
              <w:rPr>
                <w:rFonts w:ascii="宋体" w:hAnsi="宋体" w:cs="Arial"/>
                <w:color w:val="000000"/>
                <w:kern w:val="0"/>
                <w:sz w:val="22"/>
              </w:rPr>
            </w:pPr>
            <w:r>
              <w:rPr>
                <w:rFonts w:hint="eastAsia" w:ascii="宋体" w:hAnsi="宋体" w:cs="Arial"/>
                <w:color w:val="000000"/>
                <w:kern w:val="0"/>
                <w:sz w:val="22"/>
              </w:rPr>
              <w:t>208</w:t>
            </w:r>
          </w:p>
        </w:tc>
        <w:tc>
          <w:tcPr>
            <w:tcW w:w="3524" w:type="dxa"/>
            <w:tcBorders>
              <w:top w:val="nil"/>
              <w:left w:val="nil"/>
              <w:bottom w:val="single" w:color="auto" w:sz="4" w:space="0"/>
              <w:right w:val="single" w:color="auto" w:sz="4" w:space="0"/>
            </w:tcBorders>
            <w:shd w:val="clear" w:color="auto" w:fill="auto"/>
            <w:noWrap/>
            <w:vAlign w:val="center"/>
          </w:tcPr>
          <w:p w14:paraId="17E287E8">
            <w:pPr>
              <w:widowControl/>
              <w:jc w:val="left"/>
              <w:rPr>
                <w:rFonts w:ascii="宋体" w:hAnsi="宋体" w:cs="Arial"/>
                <w:color w:val="000000"/>
                <w:kern w:val="0"/>
                <w:sz w:val="22"/>
              </w:rPr>
            </w:pPr>
            <w:r>
              <w:rPr>
                <w:rFonts w:hint="eastAsia" w:ascii="宋体" w:hAnsi="宋体" w:cs="Arial"/>
                <w:color w:val="000000"/>
                <w:kern w:val="0"/>
                <w:sz w:val="22"/>
              </w:rPr>
              <w:t>社会保障和就业支出</w:t>
            </w:r>
          </w:p>
        </w:tc>
        <w:tc>
          <w:tcPr>
            <w:tcW w:w="1719" w:type="dxa"/>
            <w:tcBorders>
              <w:top w:val="nil"/>
              <w:left w:val="nil"/>
              <w:bottom w:val="single" w:color="auto" w:sz="4" w:space="0"/>
              <w:right w:val="single" w:color="auto" w:sz="4" w:space="0"/>
            </w:tcBorders>
            <w:shd w:val="clear" w:color="auto" w:fill="auto"/>
            <w:noWrap/>
            <w:vAlign w:val="center"/>
          </w:tcPr>
          <w:p w14:paraId="51DDABFF">
            <w:pPr>
              <w:widowControl/>
              <w:jc w:val="right"/>
              <w:rPr>
                <w:rFonts w:ascii="宋体" w:hAnsi="宋体" w:cs="Arial"/>
                <w:color w:val="000000"/>
                <w:kern w:val="0"/>
                <w:sz w:val="22"/>
              </w:rPr>
            </w:pPr>
            <w:r>
              <w:rPr>
                <w:rFonts w:hint="eastAsia" w:ascii="宋体" w:hAnsi="宋体" w:cs="Arial"/>
                <w:color w:val="000000"/>
                <w:kern w:val="0"/>
                <w:sz w:val="22"/>
              </w:rPr>
              <w:t>214,909.79</w:t>
            </w:r>
          </w:p>
        </w:tc>
        <w:tc>
          <w:tcPr>
            <w:tcW w:w="1719" w:type="dxa"/>
            <w:tcBorders>
              <w:top w:val="nil"/>
              <w:left w:val="nil"/>
              <w:bottom w:val="single" w:color="auto" w:sz="4" w:space="0"/>
              <w:right w:val="single" w:color="auto" w:sz="4" w:space="0"/>
            </w:tcBorders>
            <w:shd w:val="clear" w:color="auto" w:fill="auto"/>
            <w:noWrap/>
            <w:vAlign w:val="center"/>
          </w:tcPr>
          <w:p w14:paraId="784D7E7D">
            <w:pPr>
              <w:widowControl/>
              <w:jc w:val="right"/>
              <w:rPr>
                <w:rFonts w:ascii="宋体" w:hAnsi="宋体" w:cs="Arial"/>
                <w:color w:val="000000"/>
                <w:kern w:val="0"/>
                <w:sz w:val="22"/>
              </w:rPr>
            </w:pPr>
            <w:r>
              <w:rPr>
                <w:rFonts w:hint="eastAsia" w:ascii="宋体" w:hAnsi="宋体" w:cs="Arial"/>
                <w:color w:val="000000"/>
                <w:kern w:val="0"/>
                <w:sz w:val="22"/>
              </w:rPr>
              <w:t>214,909.79</w:t>
            </w:r>
          </w:p>
        </w:tc>
      </w:tr>
      <w:tr w14:paraId="49F97E8A">
        <w:tblPrEx>
          <w:tblCellMar>
            <w:top w:w="0" w:type="dxa"/>
            <w:left w:w="108" w:type="dxa"/>
            <w:bottom w:w="0" w:type="dxa"/>
            <w:right w:w="108" w:type="dxa"/>
          </w:tblCellMar>
        </w:tblPrEx>
        <w:trPr>
          <w:trHeight w:val="309" w:hRule="atLeast"/>
        </w:trPr>
        <w:tc>
          <w:tcPr>
            <w:tcW w:w="130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0386A853">
            <w:pPr>
              <w:widowControl/>
              <w:jc w:val="left"/>
              <w:rPr>
                <w:rFonts w:ascii="宋体" w:hAnsi="宋体" w:cs="Arial"/>
                <w:color w:val="000000"/>
                <w:kern w:val="0"/>
                <w:sz w:val="22"/>
              </w:rPr>
            </w:pPr>
            <w:r>
              <w:rPr>
                <w:rFonts w:hint="eastAsia" w:ascii="宋体" w:hAnsi="宋体" w:cs="Arial"/>
                <w:color w:val="000000"/>
                <w:kern w:val="0"/>
                <w:sz w:val="22"/>
              </w:rPr>
              <w:t>20805</w:t>
            </w:r>
          </w:p>
        </w:tc>
        <w:tc>
          <w:tcPr>
            <w:tcW w:w="3524" w:type="dxa"/>
            <w:tcBorders>
              <w:top w:val="nil"/>
              <w:left w:val="nil"/>
              <w:bottom w:val="single" w:color="auto" w:sz="4" w:space="0"/>
              <w:right w:val="single" w:color="auto" w:sz="4" w:space="0"/>
            </w:tcBorders>
            <w:shd w:val="clear" w:color="auto" w:fill="auto"/>
            <w:noWrap/>
            <w:vAlign w:val="center"/>
          </w:tcPr>
          <w:p w14:paraId="252898C4">
            <w:pPr>
              <w:widowControl/>
              <w:jc w:val="left"/>
              <w:rPr>
                <w:rFonts w:ascii="宋体" w:hAnsi="宋体" w:cs="Arial"/>
                <w:color w:val="000000"/>
                <w:kern w:val="0"/>
                <w:sz w:val="22"/>
              </w:rPr>
            </w:pPr>
            <w:r>
              <w:rPr>
                <w:rFonts w:hint="eastAsia" w:ascii="宋体" w:hAnsi="宋体" w:cs="Arial"/>
                <w:color w:val="000000"/>
                <w:kern w:val="0"/>
                <w:sz w:val="22"/>
              </w:rPr>
              <w:t>行政事业单位养老支出</w:t>
            </w:r>
          </w:p>
        </w:tc>
        <w:tc>
          <w:tcPr>
            <w:tcW w:w="1719" w:type="dxa"/>
            <w:tcBorders>
              <w:top w:val="nil"/>
              <w:left w:val="nil"/>
              <w:bottom w:val="single" w:color="auto" w:sz="4" w:space="0"/>
              <w:right w:val="single" w:color="auto" w:sz="4" w:space="0"/>
            </w:tcBorders>
            <w:shd w:val="clear" w:color="auto" w:fill="auto"/>
            <w:noWrap/>
            <w:vAlign w:val="center"/>
          </w:tcPr>
          <w:p w14:paraId="0CA9D414">
            <w:pPr>
              <w:widowControl/>
              <w:jc w:val="right"/>
              <w:rPr>
                <w:rFonts w:ascii="宋体" w:hAnsi="宋体" w:cs="Arial"/>
                <w:color w:val="000000"/>
                <w:kern w:val="0"/>
                <w:sz w:val="22"/>
              </w:rPr>
            </w:pPr>
            <w:r>
              <w:rPr>
                <w:rFonts w:hint="eastAsia" w:ascii="宋体" w:hAnsi="宋体" w:cs="Arial"/>
                <w:color w:val="000000"/>
                <w:kern w:val="0"/>
                <w:sz w:val="22"/>
              </w:rPr>
              <w:t>214,909.79</w:t>
            </w:r>
          </w:p>
        </w:tc>
        <w:tc>
          <w:tcPr>
            <w:tcW w:w="1719" w:type="dxa"/>
            <w:tcBorders>
              <w:top w:val="nil"/>
              <w:left w:val="nil"/>
              <w:bottom w:val="single" w:color="auto" w:sz="4" w:space="0"/>
              <w:right w:val="single" w:color="auto" w:sz="4" w:space="0"/>
            </w:tcBorders>
            <w:shd w:val="clear" w:color="auto" w:fill="auto"/>
            <w:noWrap/>
            <w:vAlign w:val="center"/>
          </w:tcPr>
          <w:p w14:paraId="09E4829A">
            <w:pPr>
              <w:widowControl/>
              <w:jc w:val="right"/>
              <w:rPr>
                <w:rFonts w:ascii="宋体" w:hAnsi="宋体" w:cs="Arial"/>
                <w:color w:val="000000"/>
                <w:kern w:val="0"/>
                <w:sz w:val="22"/>
              </w:rPr>
            </w:pPr>
            <w:r>
              <w:rPr>
                <w:rFonts w:hint="eastAsia" w:ascii="宋体" w:hAnsi="宋体" w:cs="Arial"/>
                <w:color w:val="000000"/>
                <w:kern w:val="0"/>
                <w:sz w:val="22"/>
              </w:rPr>
              <w:t>214,909.79</w:t>
            </w:r>
          </w:p>
        </w:tc>
      </w:tr>
      <w:tr w14:paraId="4B6817C9">
        <w:tblPrEx>
          <w:tblCellMar>
            <w:top w:w="0" w:type="dxa"/>
            <w:left w:w="108" w:type="dxa"/>
            <w:bottom w:w="0" w:type="dxa"/>
            <w:right w:w="108" w:type="dxa"/>
          </w:tblCellMar>
        </w:tblPrEx>
        <w:trPr>
          <w:trHeight w:val="309" w:hRule="atLeast"/>
        </w:trPr>
        <w:tc>
          <w:tcPr>
            <w:tcW w:w="130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63A98254">
            <w:pPr>
              <w:widowControl/>
              <w:jc w:val="left"/>
              <w:rPr>
                <w:rFonts w:ascii="宋体" w:hAnsi="宋体" w:cs="Arial"/>
                <w:color w:val="000000"/>
                <w:kern w:val="0"/>
                <w:sz w:val="22"/>
              </w:rPr>
            </w:pPr>
            <w:r>
              <w:rPr>
                <w:rFonts w:hint="eastAsia" w:ascii="宋体" w:hAnsi="宋体" w:cs="Arial"/>
                <w:color w:val="000000"/>
                <w:kern w:val="0"/>
                <w:sz w:val="22"/>
              </w:rPr>
              <w:t>2080501</w:t>
            </w:r>
          </w:p>
        </w:tc>
        <w:tc>
          <w:tcPr>
            <w:tcW w:w="3524" w:type="dxa"/>
            <w:tcBorders>
              <w:top w:val="nil"/>
              <w:left w:val="nil"/>
              <w:bottom w:val="single" w:color="auto" w:sz="4" w:space="0"/>
              <w:right w:val="single" w:color="auto" w:sz="4" w:space="0"/>
            </w:tcBorders>
            <w:shd w:val="clear" w:color="auto" w:fill="auto"/>
            <w:noWrap/>
            <w:vAlign w:val="center"/>
          </w:tcPr>
          <w:p w14:paraId="2C82EC84">
            <w:pPr>
              <w:widowControl/>
              <w:jc w:val="left"/>
              <w:rPr>
                <w:rFonts w:ascii="宋体" w:hAnsi="宋体" w:cs="Arial"/>
                <w:color w:val="000000"/>
                <w:kern w:val="0"/>
                <w:sz w:val="22"/>
              </w:rPr>
            </w:pPr>
            <w:r>
              <w:rPr>
                <w:rFonts w:hint="eastAsia" w:ascii="宋体" w:hAnsi="宋体" w:cs="Arial"/>
                <w:color w:val="000000"/>
                <w:kern w:val="0"/>
                <w:sz w:val="22"/>
              </w:rPr>
              <w:t xml:space="preserve">  行政单位离退休</w:t>
            </w:r>
          </w:p>
        </w:tc>
        <w:tc>
          <w:tcPr>
            <w:tcW w:w="1719" w:type="dxa"/>
            <w:tcBorders>
              <w:top w:val="nil"/>
              <w:left w:val="nil"/>
              <w:bottom w:val="single" w:color="auto" w:sz="4" w:space="0"/>
              <w:right w:val="single" w:color="auto" w:sz="4" w:space="0"/>
            </w:tcBorders>
            <w:shd w:val="clear" w:color="auto" w:fill="auto"/>
            <w:noWrap/>
            <w:vAlign w:val="center"/>
          </w:tcPr>
          <w:p w14:paraId="793B405D">
            <w:pPr>
              <w:widowControl/>
              <w:jc w:val="right"/>
              <w:rPr>
                <w:rFonts w:ascii="宋体" w:hAnsi="宋体" w:cs="Arial"/>
                <w:color w:val="000000"/>
                <w:kern w:val="0"/>
                <w:sz w:val="22"/>
              </w:rPr>
            </w:pPr>
            <w:r>
              <w:rPr>
                <w:rFonts w:hint="eastAsia" w:ascii="宋体" w:hAnsi="宋体" w:cs="Arial"/>
                <w:color w:val="000000"/>
                <w:kern w:val="0"/>
                <w:sz w:val="22"/>
              </w:rPr>
              <w:t>10,328.57</w:t>
            </w:r>
          </w:p>
        </w:tc>
        <w:tc>
          <w:tcPr>
            <w:tcW w:w="1719" w:type="dxa"/>
            <w:tcBorders>
              <w:top w:val="nil"/>
              <w:left w:val="nil"/>
              <w:bottom w:val="single" w:color="auto" w:sz="4" w:space="0"/>
              <w:right w:val="single" w:color="auto" w:sz="4" w:space="0"/>
            </w:tcBorders>
            <w:shd w:val="clear" w:color="auto" w:fill="auto"/>
            <w:noWrap/>
            <w:vAlign w:val="center"/>
          </w:tcPr>
          <w:p w14:paraId="37FDF9BC">
            <w:pPr>
              <w:widowControl/>
              <w:jc w:val="right"/>
              <w:rPr>
                <w:rFonts w:ascii="宋体" w:hAnsi="宋体" w:cs="Arial"/>
                <w:color w:val="000000"/>
                <w:kern w:val="0"/>
                <w:sz w:val="22"/>
              </w:rPr>
            </w:pPr>
            <w:r>
              <w:rPr>
                <w:rFonts w:hint="eastAsia" w:ascii="宋体" w:hAnsi="宋体" w:cs="Arial"/>
                <w:color w:val="000000"/>
                <w:kern w:val="0"/>
                <w:sz w:val="22"/>
              </w:rPr>
              <w:t>10,328.57</w:t>
            </w:r>
          </w:p>
        </w:tc>
      </w:tr>
      <w:tr w14:paraId="71B457A0">
        <w:tblPrEx>
          <w:tblCellMar>
            <w:top w:w="0" w:type="dxa"/>
            <w:left w:w="108" w:type="dxa"/>
            <w:bottom w:w="0" w:type="dxa"/>
            <w:right w:w="108" w:type="dxa"/>
          </w:tblCellMar>
        </w:tblPrEx>
        <w:trPr>
          <w:trHeight w:val="309" w:hRule="atLeast"/>
        </w:trPr>
        <w:tc>
          <w:tcPr>
            <w:tcW w:w="130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418FBC54">
            <w:pPr>
              <w:widowControl/>
              <w:jc w:val="left"/>
              <w:rPr>
                <w:rFonts w:ascii="宋体" w:hAnsi="宋体" w:cs="Arial"/>
                <w:color w:val="000000"/>
                <w:kern w:val="0"/>
                <w:sz w:val="22"/>
              </w:rPr>
            </w:pPr>
            <w:r>
              <w:rPr>
                <w:rFonts w:hint="eastAsia" w:ascii="宋体" w:hAnsi="宋体" w:cs="Arial"/>
                <w:color w:val="000000"/>
                <w:kern w:val="0"/>
                <w:sz w:val="22"/>
              </w:rPr>
              <w:t>2080505</w:t>
            </w:r>
          </w:p>
        </w:tc>
        <w:tc>
          <w:tcPr>
            <w:tcW w:w="3524" w:type="dxa"/>
            <w:tcBorders>
              <w:top w:val="nil"/>
              <w:left w:val="nil"/>
              <w:bottom w:val="single" w:color="auto" w:sz="4" w:space="0"/>
              <w:right w:val="single" w:color="auto" w:sz="4" w:space="0"/>
            </w:tcBorders>
            <w:shd w:val="clear" w:color="auto" w:fill="auto"/>
            <w:noWrap/>
            <w:vAlign w:val="center"/>
          </w:tcPr>
          <w:p w14:paraId="198E6B08">
            <w:pPr>
              <w:widowControl/>
              <w:jc w:val="left"/>
              <w:rPr>
                <w:rFonts w:ascii="宋体" w:hAnsi="宋体" w:cs="Arial"/>
                <w:color w:val="000000"/>
                <w:kern w:val="0"/>
                <w:sz w:val="22"/>
              </w:rPr>
            </w:pPr>
            <w:r>
              <w:rPr>
                <w:rFonts w:hint="eastAsia" w:ascii="宋体" w:hAnsi="宋体" w:cs="Arial"/>
                <w:color w:val="000000"/>
                <w:kern w:val="0"/>
                <w:sz w:val="22"/>
              </w:rPr>
              <w:t xml:space="preserve">  机关事业单位基本养老保险缴费支出</w:t>
            </w:r>
          </w:p>
        </w:tc>
        <w:tc>
          <w:tcPr>
            <w:tcW w:w="1719" w:type="dxa"/>
            <w:tcBorders>
              <w:top w:val="nil"/>
              <w:left w:val="nil"/>
              <w:bottom w:val="single" w:color="auto" w:sz="4" w:space="0"/>
              <w:right w:val="single" w:color="auto" w:sz="4" w:space="0"/>
            </w:tcBorders>
            <w:shd w:val="clear" w:color="auto" w:fill="auto"/>
            <w:noWrap/>
            <w:vAlign w:val="center"/>
          </w:tcPr>
          <w:p w14:paraId="04A3E5FD">
            <w:pPr>
              <w:widowControl/>
              <w:jc w:val="right"/>
              <w:rPr>
                <w:rFonts w:ascii="宋体" w:hAnsi="宋体" w:cs="Arial"/>
                <w:color w:val="000000"/>
                <w:kern w:val="0"/>
                <w:sz w:val="22"/>
              </w:rPr>
            </w:pPr>
            <w:r>
              <w:rPr>
                <w:rFonts w:hint="eastAsia" w:ascii="宋体" w:hAnsi="宋体" w:cs="Arial"/>
                <w:color w:val="000000"/>
                <w:kern w:val="0"/>
                <w:sz w:val="22"/>
              </w:rPr>
              <w:t>204,581.22</w:t>
            </w:r>
          </w:p>
        </w:tc>
        <w:tc>
          <w:tcPr>
            <w:tcW w:w="1719" w:type="dxa"/>
            <w:tcBorders>
              <w:top w:val="nil"/>
              <w:left w:val="nil"/>
              <w:bottom w:val="single" w:color="auto" w:sz="4" w:space="0"/>
              <w:right w:val="single" w:color="auto" w:sz="4" w:space="0"/>
            </w:tcBorders>
            <w:shd w:val="clear" w:color="auto" w:fill="auto"/>
            <w:noWrap/>
            <w:vAlign w:val="center"/>
          </w:tcPr>
          <w:p w14:paraId="5C90C27D">
            <w:pPr>
              <w:widowControl/>
              <w:jc w:val="right"/>
              <w:rPr>
                <w:rFonts w:ascii="宋体" w:hAnsi="宋体" w:cs="Arial"/>
                <w:color w:val="000000"/>
                <w:kern w:val="0"/>
                <w:sz w:val="22"/>
              </w:rPr>
            </w:pPr>
            <w:r>
              <w:rPr>
                <w:rFonts w:hint="eastAsia" w:ascii="宋体" w:hAnsi="宋体" w:cs="Arial"/>
                <w:color w:val="000000"/>
                <w:kern w:val="0"/>
                <w:sz w:val="22"/>
              </w:rPr>
              <w:t>204,581.22</w:t>
            </w:r>
          </w:p>
        </w:tc>
      </w:tr>
      <w:tr w14:paraId="2D37F271">
        <w:tblPrEx>
          <w:tblCellMar>
            <w:top w:w="0" w:type="dxa"/>
            <w:left w:w="108" w:type="dxa"/>
            <w:bottom w:w="0" w:type="dxa"/>
            <w:right w:w="108" w:type="dxa"/>
          </w:tblCellMar>
        </w:tblPrEx>
        <w:trPr>
          <w:trHeight w:val="309" w:hRule="atLeast"/>
        </w:trPr>
        <w:tc>
          <w:tcPr>
            <w:tcW w:w="130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28F224F9">
            <w:pPr>
              <w:widowControl/>
              <w:jc w:val="left"/>
              <w:rPr>
                <w:rFonts w:ascii="宋体" w:hAnsi="宋体" w:cs="Arial"/>
                <w:color w:val="000000"/>
                <w:kern w:val="0"/>
                <w:sz w:val="22"/>
              </w:rPr>
            </w:pPr>
            <w:r>
              <w:rPr>
                <w:rFonts w:hint="eastAsia" w:ascii="宋体" w:hAnsi="宋体" w:cs="Arial"/>
                <w:color w:val="000000"/>
                <w:kern w:val="0"/>
                <w:sz w:val="22"/>
              </w:rPr>
              <w:t>210</w:t>
            </w:r>
          </w:p>
        </w:tc>
        <w:tc>
          <w:tcPr>
            <w:tcW w:w="3524" w:type="dxa"/>
            <w:tcBorders>
              <w:top w:val="nil"/>
              <w:left w:val="nil"/>
              <w:bottom w:val="single" w:color="auto" w:sz="4" w:space="0"/>
              <w:right w:val="single" w:color="auto" w:sz="4" w:space="0"/>
            </w:tcBorders>
            <w:shd w:val="clear" w:color="auto" w:fill="auto"/>
            <w:noWrap/>
            <w:vAlign w:val="center"/>
          </w:tcPr>
          <w:p w14:paraId="2F8660F0">
            <w:pPr>
              <w:widowControl/>
              <w:jc w:val="left"/>
              <w:rPr>
                <w:rFonts w:ascii="宋体" w:hAnsi="宋体" w:cs="Arial"/>
                <w:color w:val="000000"/>
                <w:kern w:val="0"/>
                <w:sz w:val="22"/>
              </w:rPr>
            </w:pPr>
            <w:r>
              <w:rPr>
                <w:rFonts w:hint="eastAsia" w:ascii="宋体" w:hAnsi="宋体" w:cs="Arial"/>
                <w:color w:val="000000"/>
                <w:kern w:val="0"/>
                <w:sz w:val="22"/>
              </w:rPr>
              <w:t>卫生健康支出</w:t>
            </w:r>
          </w:p>
        </w:tc>
        <w:tc>
          <w:tcPr>
            <w:tcW w:w="1719" w:type="dxa"/>
            <w:tcBorders>
              <w:top w:val="nil"/>
              <w:left w:val="nil"/>
              <w:bottom w:val="single" w:color="auto" w:sz="4" w:space="0"/>
              <w:right w:val="single" w:color="auto" w:sz="4" w:space="0"/>
            </w:tcBorders>
            <w:shd w:val="clear" w:color="auto" w:fill="auto"/>
            <w:noWrap/>
            <w:vAlign w:val="center"/>
          </w:tcPr>
          <w:p w14:paraId="24344CFC">
            <w:pPr>
              <w:widowControl/>
              <w:jc w:val="right"/>
              <w:rPr>
                <w:rFonts w:ascii="宋体" w:hAnsi="宋体" w:cs="Arial"/>
                <w:color w:val="000000"/>
                <w:kern w:val="0"/>
                <w:sz w:val="22"/>
              </w:rPr>
            </w:pPr>
            <w:r>
              <w:rPr>
                <w:rFonts w:hint="eastAsia" w:ascii="宋体" w:hAnsi="宋体" w:cs="Arial"/>
                <w:color w:val="000000"/>
                <w:kern w:val="0"/>
                <w:sz w:val="22"/>
              </w:rPr>
              <w:t>11,130,148.03</w:t>
            </w:r>
          </w:p>
        </w:tc>
        <w:tc>
          <w:tcPr>
            <w:tcW w:w="1719" w:type="dxa"/>
            <w:tcBorders>
              <w:top w:val="nil"/>
              <w:left w:val="nil"/>
              <w:bottom w:val="single" w:color="auto" w:sz="4" w:space="0"/>
              <w:right w:val="single" w:color="auto" w:sz="4" w:space="0"/>
            </w:tcBorders>
            <w:shd w:val="clear" w:color="auto" w:fill="auto"/>
            <w:noWrap/>
            <w:vAlign w:val="center"/>
          </w:tcPr>
          <w:p w14:paraId="71AD0BBD">
            <w:pPr>
              <w:widowControl/>
              <w:jc w:val="right"/>
              <w:rPr>
                <w:rFonts w:ascii="宋体" w:hAnsi="宋体" w:cs="Arial"/>
                <w:color w:val="000000"/>
                <w:kern w:val="0"/>
                <w:sz w:val="22"/>
              </w:rPr>
            </w:pPr>
            <w:r>
              <w:rPr>
                <w:rFonts w:hint="eastAsia" w:ascii="宋体" w:hAnsi="宋体" w:cs="Arial"/>
                <w:color w:val="000000"/>
                <w:kern w:val="0"/>
                <w:sz w:val="22"/>
              </w:rPr>
              <w:t>11,130,148.03</w:t>
            </w:r>
          </w:p>
        </w:tc>
      </w:tr>
      <w:tr w14:paraId="22708C17">
        <w:tblPrEx>
          <w:tblCellMar>
            <w:top w:w="0" w:type="dxa"/>
            <w:left w:w="108" w:type="dxa"/>
            <w:bottom w:w="0" w:type="dxa"/>
            <w:right w:w="108" w:type="dxa"/>
          </w:tblCellMar>
        </w:tblPrEx>
        <w:trPr>
          <w:trHeight w:val="309" w:hRule="atLeast"/>
        </w:trPr>
        <w:tc>
          <w:tcPr>
            <w:tcW w:w="130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56826AA7">
            <w:pPr>
              <w:widowControl/>
              <w:jc w:val="left"/>
              <w:rPr>
                <w:rFonts w:ascii="宋体" w:hAnsi="宋体" w:cs="Arial"/>
                <w:color w:val="000000"/>
                <w:kern w:val="0"/>
                <w:sz w:val="22"/>
              </w:rPr>
            </w:pPr>
            <w:r>
              <w:rPr>
                <w:rFonts w:hint="eastAsia" w:ascii="宋体" w:hAnsi="宋体" w:cs="Arial"/>
                <w:color w:val="000000"/>
                <w:kern w:val="0"/>
                <w:sz w:val="22"/>
              </w:rPr>
              <w:t>21011</w:t>
            </w:r>
          </w:p>
        </w:tc>
        <w:tc>
          <w:tcPr>
            <w:tcW w:w="3524" w:type="dxa"/>
            <w:tcBorders>
              <w:top w:val="nil"/>
              <w:left w:val="nil"/>
              <w:bottom w:val="single" w:color="auto" w:sz="4" w:space="0"/>
              <w:right w:val="single" w:color="auto" w:sz="4" w:space="0"/>
            </w:tcBorders>
            <w:shd w:val="clear" w:color="auto" w:fill="auto"/>
            <w:noWrap/>
            <w:vAlign w:val="center"/>
          </w:tcPr>
          <w:p w14:paraId="0E13DBDE">
            <w:pPr>
              <w:widowControl/>
              <w:jc w:val="left"/>
              <w:rPr>
                <w:rFonts w:ascii="宋体" w:hAnsi="宋体" w:cs="Arial"/>
                <w:color w:val="000000"/>
                <w:kern w:val="0"/>
                <w:sz w:val="22"/>
              </w:rPr>
            </w:pPr>
            <w:r>
              <w:rPr>
                <w:rFonts w:hint="eastAsia" w:ascii="宋体" w:hAnsi="宋体" w:cs="Arial"/>
                <w:color w:val="000000"/>
                <w:kern w:val="0"/>
                <w:sz w:val="22"/>
              </w:rPr>
              <w:t>行政事业单位医疗</w:t>
            </w:r>
          </w:p>
        </w:tc>
        <w:tc>
          <w:tcPr>
            <w:tcW w:w="1719" w:type="dxa"/>
            <w:tcBorders>
              <w:top w:val="nil"/>
              <w:left w:val="nil"/>
              <w:bottom w:val="single" w:color="auto" w:sz="4" w:space="0"/>
              <w:right w:val="single" w:color="auto" w:sz="4" w:space="0"/>
            </w:tcBorders>
            <w:shd w:val="clear" w:color="auto" w:fill="auto"/>
            <w:noWrap/>
            <w:vAlign w:val="center"/>
          </w:tcPr>
          <w:p w14:paraId="6DADFD8A">
            <w:pPr>
              <w:widowControl/>
              <w:jc w:val="right"/>
              <w:rPr>
                <w:rFonts w:ascii="宋体" w:hAnsi="宋体" w:cs="Arial"/>
                <w:color w:val="000000"/>
                <w:kern w:val="0"/>
                <w:sz w:val="22"/>
              </w:rPr>
            </w:pPr>
            <w:r>
              <w:rPr>
                <w:rFonts w:hint="eastAsia" w:ascii="宋体" w:hAnsi="宋体" w:cs="Arial"/>
                <w:color w:val="000000"/>
                <w:kern w:val="0"/>
                <w:sz w:val="22"/>
              </w:rPr>
              <w:t>173,111.40</w:t>
            </w:r>
          </w:p>
        </w:tc>
        <w:tc>
          <w:tcPr>
            <w:tcW w:w="1719" w:type="dxa"/>
            <w:tcBorders>
              <w:top w:val="nil"/>
              <w:left w:val="nil"/>
              <w:bottom w:val="single" w:color="auto" w:sz="4" w:space="0"/>
              <w:right w:val="single" w:color="auto" w:sz="4" w:space="0"/>
            </w:tcBorders>
            <w:shd w:val="clear" w:color="auto" w:fill="auto"/>
            <w:noWrap/>
            <w:vAlign w:val="center"/>
          </w:tcPr>
          <w:p w14:paraId="34DEEED7">
            <w:pPr>
              <w:widowControl/>
              <w:jc w:val="right"/>
              <w:rPr>
                <w:rFonts w:ascii="宋体" w:hAnsi="宋体" w:cs="Arial"/>
                <w:color w:val="000000"/>
                <w:kern w:val="0"/>
                <w:sz w:val="22"/>
              </w:rPr>
            </w:pPr>
            <w:r>
              <w:rPr>
                <w:rFonts w:hint="eastAsia" w:ascii="宋体" w:hAnsi="宋体" w:cs="Arial"/>
                <w:color w:val="000000"/>
                <w:kern w:val="0"/>
                <w:sz w:val="22"/>
              </w:rPr>
              <w:t>173,111.40</w:t>
            </w:r>
          </w:p>
        </w:tc>
      </w:tr>
      <w:tr w14:paraId="6A4D02B3">
        <w:tblPrEx>
          <w:tblCellMar>
            <w:top w:w="0" w:type="dxa"/>
            <w:left w:w="108" w:type="dxa"/>
            <w:bottom w:w="0" w:type="dxa"/>
            <w:right w:w="108" w:type="dxa"/>
          </w:tblCellMar>
        </w:tblPrEx>
        <w:trPr>
          <w:trHeight w:val="309" w:hRule="atLeast"/>
        </w:trPr>
        <w:tc>
          <w:tcPr>
            <w:tcW w:w="130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6127584C">
            <w:pPr>
              <w:widowControl/>
              <w:jc w:val="left"/>
              <w:rPr>
                <w:rFonts w:ascii="宋体" w:hAnsi="宋体" w:cs="Arial"/>
                <w:color w:val="000000"/>
                <w:kern w:val="0"/>
                <w:sz w:val="22"/>
              </w:rPr>
            </w:pPr>
            <w:r>
              <w:rPr>
                <w:rFonts w:hint="eastAsia" w:ascii="宋体" w:hAnsi="宋体" w:cs="Arial"/>
                <w:color w:val="000000"/>
                <w:kern w:val="0"/>
                <w:sz w:val="22"/>
              </w:rPr>
              <w:t>2101101</w:t>
            </w:r>
          </w:p>
        </w:tc>
        <w:tc>
          <w:tcPr>
            <w:tcW w:w="3524" w:type="dxa"/>
            <w:tcBorders>
              <w:top w:val="nil"/>
              <w:left w:val="nil"/>
              <w:bottom w:val="single" w:color="auto" w:sz="4" w:space="0"/>
              <w:right w:val="single" w:color="auto" w:sz="4" w:space="0"/>
            </w:tcBorders>
            <w:shd w:val="clear" w:color="auto" w:fill="auto"/>
            <w:noWrap/>
            <w:vAlign w:val="center"/>
          </w:tcPr>
          <w:p w14:paraId="54839054">
            <w:pPr>
              <w:widowControl/>
              <w:jc w:val="left"/>
              <w:rPr>
                <w:rFonts w:ascii="宋体" w:hAnsi="宋体" w:cs="Arial"/>
                <w:color w:val="000000"/>
                <w:kern w:val="0"/>
                <w:sz w:val="22"/>
              </w:rPr>
            </w:pPr>
            <w:r>
              <w:rPr>
                <w:rFonts w:hint="eastAsia" w:ascii="宋体" w:hAnsi="宋体" w:cs="Arial"/>
                <w:color w:val="000000"/>
                <w:kern w:val="0"/>
                <w:sz w:val="22"/>
              </w:rPr>
              <w:t xml:space="preserve">  行政单位医疗</w:t>
            </w:r>
          </w:p>
        </w:tc>
        <w:tc>
          <w:tcPr>
            <w:tcW w:w="1719" w:type="dxa"/>
            <w:tcBorders>
              <w:top w:val="nil"/>
              <w:left w:val="nil"/>
              <w:bottom w:val="single" w:color="auto" w:sz="4" w:space="0"/>
              <w:right w:val="single" w:color="auto" w:sz="4" w:space="0"/>
            </w:tcBorders>
            <w:shd w:val="clear" w:color="auto" w:fill="auto"/>
            <w:noWrap/>
            <w:vAlign w:val="center"/>
          </w:tcPr>
          <w:p w14:paraId="6063FC0E">
            <w:pPr>
              <w:widowControl/>
              <w:jc w:val="right"/>
              <w:rPr>
                <w:rFonts w:ascii="宋体" w:hAnsi="宋体" w:cs="Arial"/>
                <w:color w:val="000000"/>
                <w:kern w:val="0"/>
                <w:sz w:val="22"/>
              </w:rPr>
            </w:pPr>
            <w:r>
              <w:rPr>
                <w:rFonts w:hint="eastAsia" w:ascii="宋体" w:hAnsi="宋体" w:cs="Arial"/>
                <w:color w:val="000000"/>
                <w:kern w:val="0"/>
                <w:sz w:val="22"/>
              </w:rPr>
              <w:t>159,511.40</w:t>
            </w:r>
          </w:p>
        </w:tc>
        <w:tc>
          <w:tcPr>
            <w:tcW w:w="1719" w:type="dxa"/>
            <w:tcBorders>
              <w:top w:val="nil"/>
              <w:left w:val="nil"/>
              <w:bottom w:val="single" w:color="auto" w:sz="4" w:space="0"/>
              <w:right w:val="single" w:color="auto" w:sz="4" w:space="0"/>
            </w:tcBorders>
            <w:shd w:val="clear" w:color="auto" w:fill="auto"/>
            <w:noWrap/>
            <w:vAlign w:val="center"/>
          </w:tcPr>
          <w:p w14:paraId="0CB8EB83">
            <w:pPr>
              <w:widowControl/>
              <w:jc w:val="right"/>
              <w:rPr>
                <w:rFonts w:ascii="宋体" w:hAnsi="宋体" w:cs="Arial"/>
                <w:color w:val="000000"/>
                <w:kern w:val="0"/>
                <w:sz w:val="22"/>
              </w:rPr>
            </w:pPr>
            <w:r>
              <w:rPr>
                <w:rFonts w:hint="eastAsia" w:ascii="宋体" w:hAnsi="宋体" w:cs="Arial"/>
                <w:color w:val="000000"/>
                <w:kern w:val="0"/>
                <w:sz w:val="22"/>
              </w:rPr>
              <w:t>159,511.40</w:t>
            </w:r>
          </w:p>
        </w:tc>
      </w:tr>
      <w:tr w14:paraId="72FDB072">
        <w:tblPrEx>
          <w:tblCellMar>
            <w:top w:w="0" w:type="dxa"/>
            <w:left w:w="108" w:type="dxa"/>
            <w:bottom w:w="0" w:type="dxa"/>
            <w:right w:w="108" w:type="dxa"/>
          </w:tblCellMar>
        </w:tblPrEx>
        <w:trPr>
          <w:trHeight w:val="309" w:hRule="atLeast"/>
        </w:trPr>
        <w:tc>
          <w:tcPr>
            <w:tcW w:w="130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031D4646">
            <w:pPr>
              <w:widowControl/>
              <w:jc w:val="left"/>
              <w:rPr>
                <w:rFonts w:ascii="宋体" w:hAnsi="宋体" w:cs="Arial"/>
                <w:color w:val="000000"/>
                <w:kern w:val="0"/>
                <w:sz w:val="22"/>
              </w:rPr>
            </w:pPr>
            <w:r>
              <w:rPr>
                <w:rFonts w:hint="eastAsia" w:ascii="宋体" w:hAnsi="宋体" w:cs="Arial"/>
                <w:color w:val="000000"/>
                <w:kern w:val="0"/>
                <w:sz w:val="22"/>
              </w:rPr>
              <w:t>2101103</w:t>
            </w:r>
          </w:p>
        </w:tc>
        <w:tc>
          <w:tcPr>
            <w:tcW w:w="3524" w:type="dxa"/>
            <w:tcBorders>
              <w:top w:val="nil"/>
              <w:left w:val="nil"/>
              <w:bottom w:val="single" w:color="auto" w:sz="4" w:space="0"/>
              <w:right w:val="single" w:color="auto" w:sz="4" w:space="0"/>
            </w:tcBorders>
            <w:shd w:val="clear" w:color="auto" w:fill="auto"/>
            <w:noWrap/>
            <w:vAlign w:val="center"/>
          </w:tcPr>
          <w:p w14:paraId="29407067">
            <w:pPr>
              <w:widowControl/>
              <w:jc w:val="left"/>
              <w:rPr>
                <w:rFonts w:ascii="宋体" w:hAnsi="宋体" w:cs="Arial"/>
                <w:color w:val="000000"/>
                <w:kern w:val="0"/>
                <w:sz w:val="22"/>
              </w:rPr>
            </w:pPr>
            <w:r>
              <w:rPr>
                <w:rFonts w:hint="eastAsia" w:ascii="宋体" w:hAnsi="宋体" w:cs="Arial"/>
                <w:color w:val="000000"/>
                <w:kern w:val="0"/>
                <w:sz w:val="22"/>
              </w:rPr>
              <w:t xml:space="preserve">  公务员医疗补助</w:t>
            </w:r>
          </w:p>
        </w:tc>
        <w:tc>
          <w:tcPr>
            <w:tcW w:w="1719" w:type="dxa"/>
            <w:tcBorders>
              <w:top w:val="nil"/>
              <w:left w:val="nil"/>
              <w:bottom w:val="single" w:color="auto" w:sz="4" w:space="0"/>
              <w:right w:val="single" w:color="auto" w:sz="4" w:space="0"/>
            </w:tcBorders>
            <w:shd w:val="clear" w:color="auto" w:fill="auto"/>
            <w:noWrap/>
            <w:vAlign w:val="center"/>
          </w:tcPr>
          <w:p w14:paraId="54F13A25">
            <w:pPr>
              <w:widowControl/>
              <w:jc w:val="right"/>
              <w:rPr>
                <w:rFonts w:ascii="宋体" w:hAnsi="宋体" w:cs="Arial"/>
                <w:color w:val="000000"/>
                <w:kern w:val="0"/>
                <w:sz w:val="22"/>
              </w:rPr>
            </w:pPr>
            <w:r>
              <w:rPr>
                <w:rFonts w:hint="eastAsia" w:ascii="宋体" w:hAnsi="宋体" w:cs="Arial"/>
                <w:color w:val="000000"/>
                <w:kern w:val="0"/>
                <w:sz w:val="22"/>
              </w:rPr>
              <w:t>13,600.00</w:t>
            </w:r>
          </w:p>
        </w:tc>
        <w:tc>
          <w:tcPr>
            <w:tcW w:w="1719" w:type="dxa"/>
            <w:tcBorders>
              <w:top w:val="nil"/>
              <w:left w:val="nil"/>
              <w:bottom w:val="single" w:color="auto" w:sz="4" w:space="0"/>
              <w:right w:val="single" w:color="auto" w:sz="4" w:space="0"/>
            </w:tcBorders>
            <w:shd w:val="clear" w:color="auto" w:fill="auto"/>
            <w:noWrap/>
            <w:vAlign w:val="center"/>
          </w:tcPr>
          <w:p w14:paraId="6498A10A">
            <w:pPr>
              <w:widowControl/>
              <w:jc w:val="right"/>
              <w:rPr>
                <w:rFonts w:ascii="宋体" w:hAnsi="宋体" w:cs="Arial"/>
                <w:color w:val="000000"/>
                <w:kern w:val="0"/>
                <w:sz w:val="22"/>
              </w:rPr>
            </w:pPr>
            <w:r>
              <w:rPr>
                <w:rFonts w:hint="eastAsia" w:ascii="宋体" w:hAnsi="宋体" w:cs="Arial"/>
                <w:color w:val="000000"/>
                <w:kern w:val="0"/>
                <w:sz w:val="22"/>
              </w:rPr>
              <w:t>13,600.00</w:t>
            </w:r>
          </w:p>
        </w:tc>
      </w:tr>
      <w:tr w14:paraId="2E067FEF">
        <w:tblPrEx>
          <w:tblCellMar>
            <w:top w:w="0" w:type="dxa"/>
            <w:left w:w="108" w:type="dxa"/>
            <w:bottom w:w="0" w:type="dxa"/>
            <w:right w:w="108" w:type="dxa"/>
          </w:tblCellMar>
        </w:tblPrEx>
        <w:trPr>
          <w:trHeight w:val="309" w:hRule="atLeast"/>
        </w:trPr>
        <w:tc>
          <w:tcPr>
            <w:tcW w:w="130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4ECDE6A9">
            <w:pPr>
              <w:widowControl/>
              <w:jc w:val="left"/>
              <w:rPr>
                <w:rFonts w:ascii="宋体" w:hAnsi="宋体" w:cs="Arial"/>
                <w:color w:val="000000"/>
                <w:kern w:val="0"/>
                <w:sz w:val="22"/>
              </w:rPr>
            </w:pPr>
            <w:r>
              <w:rPr>
                <w:rFonts w:hint="eastAsia" w:ascii="宋体" w:hAnsi="宋体" w:cs="Arial"/>
                <w:color w:val="000000"/>
                <w:kern w:val="0"/>
                <w:sz w:val="22"/>
              </w:rPr>
              <w:t>21013</w:t>
            </w:r>
          </w:p>
        </w:tc>
        <w:tc>
          <w:tcPr>
            <w:tcW w:w="3524" w:type="dxa"/>
            <w:tcBorders>
              <w:top w:val="nil"/>
              <w:left w:val="nil"/>
              <w:bottom w:val="single" w:color="auto" w:sz="4" w:space="0"/>
              <w:right w:val="single" w:color="auto" w:sz="4" w:space="0"/>
            </w:tcBorders>
            <w:shd w:val="clear" w:color="auto" w:fill="auto"/>
            <w:noWrap/>
            <w:vAlign w:val="center"/>
          </w:tcPr>
          <w:p w14:paraId="0FD67A92">
            <w:pPr>
              <w:widowControl/>
              <w:jc w:val="left"/>
              <w:rPr>
                <w:rFonts w:ascii="宋体" w:hAnsi="宋体" w:cs="Arial"/>
                <w:color w:val="000000"/>
                <w:kern w:val="0"/>
                <w:sz w:val="22"/>
              </w:rPr>
            </w:pPr>
            <w:r>
              <w:rPr>
                <w:rFonts w:hint="eastAsia" w:ascii="宋体" w:hAnsi="宋体" w:cs="Arial"/>
                <w:color w:val="000000"/>
                <w:kern w:val="0"/>
                <w:sz w:val="22"/>
              </w:rPr>
              <w:t>医疗救助</w:t>
            </w:r>
          </w:p>
        </w:tc>
        <w:tc>
          <w:tcPr>
            <w:tcW w:w="1719" w:type="dxa"/>
            <w:tcBorders>
              <w:top w:val="nil"/>
              <w:left w:val="nil"/>
              <w:bottom w:val="single" w:color="auto" w:sz="4" w:space="0"/>
              <w:right w:val="single" w:color="auto" w:sz="4" w:space="0"/>
            </w:tcBorders>
            <w:shd w:val="clear" w:color="auto" w:fill="auto"/>
            <w:noWrap/>
            <w:vAlign w:val="center"/>
          </w:tcPr>
          <w:p w14:paraId="4DAF68CD">
            <w:pPr>
              <w:widowControl/>
              <w:jc w:val="right"/>
              <w:rPr>
                <w:rFonts w:ascii="宋体" w:hAnsi="宋体" w:cs="Arial"/>
                <w:color w:val="000000"/>
                <w:kern w:val="0"/>
                <w:sz w:val="22"/>
              </w:rPr>
            </w:pPr>
            <w:r>
              <w:rPr>
                <w:rFonts w:hint="eastAsia" w:ascii="宋体" w:hAnsi="宋体" w:cs="Arial"/>
                <w:color w:val="000000"/>
                <w:kern w:val="0"/>
                <w:sz w:val="22"/>
              </w:rPr>
              <w:t>7,094,250.00</w:t>
            </w:r>
          </w:p>
        </w:tc>
        <w:tc>
          <w:tcPr>
            <w:tcW w:w="1719" w:type="dxa"/>
            <w:tcBorders>
              <w:top w:val="nil"/>
              <w:left w:val="nil"/>
              <w:bottom w:val="single" w:color="auto" w:sz="4" w:space="0"/>
              <w:right w:val="single" w:color="auto" w:sz="4" w:space="0"/>
            </w:tcBorders>
            <w:shd w:val="clear" w:color="auto" w:fill="auto"/>
            <w:noWrap/>
            <w:vAlign w:val="center"/>
          </w:tcPr>
          <w:p w14:paraId="261346AC">
            <w:pPr>
              <w:widowControl/>
              <w:jc w:val="right"/>
              <w:rPr>
                <w:rFonts w:ascii="宋体" w:hAnsi="宋体" w:cs="Arial"/>
                <w:color w:val="000000"/>
                <w:kern w:val="0"/>
                <w:sz w:val="22"/>
              </w:rPr>
            </w:pPr>
            <w:r>
              <w:rPr>
                <w:rFonts w:hint="eastAsia" w:ascii="宋体" w:hAnsi="宋体" w:cs="Arial"/>
                <w:color w:val="000000"/>
                <w:kern w:val="0"/>
                <w:sz w:val="22"/>
              </w:rPr>
              <w:t>7,094,250.00</w:t>
            </w:r>
          </w:p>
        </w:tc>
      </w:tr>
      <w:tr w14:paraId="56BF75AA">
        <w:tblPrEx>
          <w:tblCellMar>
            <w:top w:w="0" w:type="dxa"/>
            <w:left w:w="108" w:type="dxa"/>
            <w:bottom w:w="0" w:type="dxa"/>
            <w:right w:w="108" w:type="dxa"/>
          </w:tblCellMar>
        </w:tblPrEx>
        <w:trPr>
          <w:trHeight w:val="309" w:hRule="atLeast"/>
        </w:trPr>
        <w:tc>
          <w:tcPr>
            <w:tcW w:w="130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1D5AB1B8">
            <w:pPr>
              <w:widowControl/>
              <w:jc w:val="left"/>
              <w:rPr>
                <w:rFonts w:ascii="宋体" w:hAnsi="宋体" w:cs="Arial"/>
                <w:color w:val="000000"/>
                <w:kern w:val="0"/>
                <w:sz w:val="22"/>
              </w:rPr>
            </w:pPr>
            <w:r>
              <w:rPr>
                <w:rFonts w:hint="eastAsia" w:ascii="宋体" w:hAnsi="宋体" w:cs="Arial"/>
                <w:color w:val="000000"/>
                <w:kern w:val="0"/>
                <w:sz w:val="22"/>
              </w:rPr>
              <w:t>2101301</w:t>
            </w:r>
          </w:p>
        </w:tc>
        <w:tc>
          <w:tcPr>
            <w:tcW w:w="3524" w:type="dxa"/>
            <w:tcBorders>
              <w:top w:val="nil"/>
              <w:left w:val="nil"/>
              <w:bottom w:val="single" w:color="auto" w:sz="4" w:space="0"/>
              <w:right w:val="single" w:color="auto" w:sz="4" w:space="0"/>
            </w:tcBorders>
            <w:shd w:val="clear" w:color="auto" w:fill="auto"/>
            <w:noWrap/>
            <w:vAlign w:val="center"/>
          </w:tcPr>
          <w:p w14:paraId="14D54397">
            <w:pPr>
              <w:widowControl/>
              <w:jc w:val="left"/>
              <w:rPr>
                <w:rFonts w:ascii="宋体" w:hAnsi="宋体" w:cs="Arial"/>
                <w:color w:val="000000"/>
                <w:kern w:val="0"/>
                <w:sz w:val="22"/>
              </w:rPr>
            </w:pPr>
            <w:r>
              <w:rPr>
                <w:rFonts w:hint="eastAsia" w:ascii="宋体" w:hAnsi="宋体" w:cs="Arial"/>
                <w:color w:val="000000"/>
                <w:kern w:val="0"/>
                <w:sz w:val="22"/>
              </w:rPr>
              <w:t xml:space="preserve">  城乡医疗救助</w:t>
            </w:r>
          </w:p>
        </w:tc>
        <w:tc>
          <w:tcPr>
            <w:tcW w:w="1719" w:type="dxa"/>
            <w:tcBorders>
              <w:top w:val="nil"/>
              <w:left w:val="nil"/>
              <w:bottom w:val="single" w:color="auto" w:sz="4" w:space="0"/>
              <w:right w:val="single" w:color="auto" w:sz="4" w:space="0"/>
            </w:tcBorders>
            <w:shd w:val="clear" w:color="auto" w:fill="auto"/>
            <w:noWrap/>
            <w:vAlign w:val="center"/>
          </w:tcPr>
          <w:p w14:paraId="56A3670E">
            <w:pPr>
              <w:widowControl/>
              <w:jc w:val="right"/>
              <w:rPr>
                <w:rFonts w:ascii="宋体" w:hAnsi="宋体" w:cs="Arial"/>
                <w:color w:val="000000"/>
                <w:kern w:val="0"/>
                <w:sz w:val="22"/>
              </w:rPr>
            </w:pPr>
            <w:r>
              <w:rPr>
                <w:rFonts w:hint="eastAsia" w:ascii="宋体" w:hAnsi="宋体" w:cs="Arial"/>
                <w:color w:val="000000"/>
                <w:kern w:val="0"/>
                <w:sz w:val="22"/>
              </w:rPr>
              <w:t>7,094,250.00</w:t>
            </w:r>
          </w:p>
        </w:tc>
        <w:tc>
          <w:tcPr>
            <w:tcW w:w="1719" w:type="dxa"/>
            <w:tcBorders>
              <w:top w:val="nil"/>
              <w:left w:val="nil"/>
              <w:bottom w:val="single" w:color="auto" w:sz="4" w:space="0"/>
              <w:right w:val="single" w:color="auto" w:sz="4" w:space="0"/>
            </w:tcBorders>
            <w:shd w:val="clear" w:color="auto" w:fill="auto"/>
            <w:noWrap/>
            <w:vAlign w:val="center"/>
          </w:tcPr>
          <w:p w14:paraId="4133AD65">
            <w:pPr>
              <w:widowControl/>
              <w:jc w:val="right"/>
              <w:rPr>
                <w:rFonts w:ascii="宋体" w:hAnsi="宋体" w:cs="Arial"/>
                <w:color w:val="000000"/>
                <w:kern w:val="0"/>
                <w:sz w:val="22"/>
              </w:rPr>
            </w:pPr>
            <w:r>
              <w:rPr>
                <w:rFonts w:hint="eastAsia" w:ascii="宋体" w:hAnsi="宋体" w:cs="Arial"/>
                <w:color w:val="000000"/>
                <w:kern w:val="0"/>
                <w:sz w:val="22"/>
              </w:rPr>
              <w:t>7,094,250.00</w:t>
            </w:r>
          </w:p>
        </w:tc>
      </w:tr>
      <w:tr w14:paraId="3209B789">
        <w:tblPrEx>
          <w:tblCellMar>
            <w:top w:w="0" w:type="dxa"/>
            <w:left w:w="108" w:type="dxa"/>
            <w:bottom w:w="0" w:type="dxa"/>
            <w:right w:w="108" w:type="dxa"/>
          </w:tblCellMar>
        </w:tblPrEx>
        <w:trPr>
          <w:trHeight w:val="309" w:hRule="atLeast"/>
        </w:trPr>
        <w:tc>
          <w:tcPr>
            <w:tcW w:w="130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760520EA">
            <w:pPr>
              <w:widowControl/>
              <w:jc w:val="left"/>
              <w:rPr>
                <w:rFonts w:ascii="宋体" w:hAnsi="宋体" w:cs="Arial"/>
                <w:color w:val="000000"/>
                <w:kern w:val="0"/>
                <w:sz w:val="22"/>
              </w:rPr>
            </w:pPr>
            <w:r>
              <w:rPr>
                <w:rFonts w:hint="eastAsia" w:ascii="宋体" w:hAnsi="宋体" w:cs="Arial"/>
                <w:color w:val="000000"/>
                <w:kern w:val="0"/>
                <w:sz w:val="22"/>
              </w:rPr>
              <w:t>21015</w:t>
            </w:r>
          </w:p>
        </w:tc>
        <w:tc>
          <w:tcPr>
            <w:tcW w:w="3524" w:type="dxa"/>
            <w:tcBorders>
              <w:top w:val="nil"/>
              <w:left w:val="nil"/>
              <w:bottom w:val="single" w:color="auto" w:sz="4" w:space="0"/>
              <w:right w:val="single" w:color="auto" w:sz="4" w:space="0"/>
            </w:tcBorders>
            <w:shd w:val="clear" w:color="auto" w:fill="auto"/>
            <w:noWrap/>
            <w:vAlign w:val="center"/>
          </w:tcPr>
          <w:p w14:paraId="2B545E71">
            <w:pPr>
              <w:widowControl/>
              <w:jc w:val="left"/>
              <w:rPr>
                <w:rFonts w:ascii="宋体" w:hAnsi="宋体" w:cs="Arial"/>
                <w:color w:val="000000"/>
                <w:kern w:val="0"/>
                <w:sz w:val="22"/>
              </w:rPr>
            </w:pPr>
            <w:r>
              <w:rPr>
                <w:rFonts w:hint="eastAsia" w:ascii="宋体" w:hAnsi="宋体" w:cs="Arial"/>
                <w:color w:val="000000"/>
                <w:kern w:val="0"/>
                <w:sz w:val="22"/>
              </w:rPr>
              <w:t>医疗保障管理事务</w:t>
            </w:r>
          </w:p>
        </w:tc>
        <w:tc>
          <w:tcPr>
            <w:tcW w:w="1719" w:type="dxa"/>
            <w:tcBorders>
              <w:top w:val="nil"/>
              <w:left w:val="nil"/>
              <w:bottom w:val="single" w:color="auto" w:sz="4" w:space="0"/>
              <w:right w:val="single" w:color="auto" w:sz="4" w:space="0"/>
            </w:tcBorders>
            <w:shd w:val="clear" w:color="auto" w:fill="auto"/>
            <w:noWrap/>
            <w:vAlign w:val="center"/>
          </w:tcPr>
          <w:p w14:paraId="20D5F2F8">
            <w:pPr>
              <w:widowControl/>
              <w:jc w:val="right"/>
              <w:rPr>
                <w:rFonts w:ascii="宋体" w:hAnsi="宋体" w:cs="Arial"/>
                <w:color w:val="000000"/>
                <w:kern w:val="0"/>
                <w:sz w:val="22"/>
              </w:rPr>
            </w:pPr>
            <w:r>
              <w:rPr>
                <w:rFonts w:hint="eastAsia" w:ascii="宋体" w:hAnsi="宋体" w:cs="Arial"/>
                <w:color w:val="000000"/>
                <w:kern w:val="0"/>
                <w:sz w:val="22"/>
              </w:rPr>
              <w:t>3,862,786.63</w:t>
            </w:r>
          </w:p>
        </w:tc>
        <w:tc>
          <w:tcPr>
            <w:tcW w:w="1719" w:type="dxa"/>
            <w:tcBorders>
              <w:top w:val="nil"/>
              <w:left w:val="nil"/>
              <w:bottom w:val="single" w:color="auto" w:sz="4" w:space="0"/>
              <w:right w:val="single" w:color="auto" w:sz="4" w:space="0"/>
            </w:tcBorders>
            <w:shd w:val="clear" w:color="auto" w:fill="auto"/>
            <w:noWrap/>
            <w:vAlign w:val="center"/>
          </w:tcPr>
          <w:p w14:paraId="43C1AB44">
            <w:pPr>
              <w:widowControl/>
              <w:jc w:val="right"/>
              <w:rPr>
                <w:rFonts w:ascii="宋体" w:hAnsi="宋体" w:cs="Arial"/>
                <w:color w:val="000000"/>
                <w:kern w:val="0"/>
                <w:sz w:val="22"/>
              </w:rPr>
            </w:pPr>
            <w:r>
              <w:rPr>
                <w:rFonts w:hint="eastAsia" w:ascii="宋体" w:hAnsi="宋体" w:cs="Arial"/>
                <w:color w:val="000000"/>
                <w:kern w:val="0"/>
                <w:sz w:val="22"/>
              </w:rPr>
              <w:t>3,862,786.63</w:t>
            </w:r>
          </w:p>
        </w:tc>
      </w:tr>
      <w:tr w14:paraId="20D3DCBF">
        <w:tblPrEx>
          <w:tblCellMar>
            <w:top w:w="0" w:type="dxa"/>
            <w:left w:w="108" w:type="dxa"/>
            <w:bottom w:w="0" w:type="dxa"/>
            <w:right w:w="108" w:type="dxa"/>
          </w:tblCellMar>
        </w:tblPrEx>
        <w:trPr>
          <w:trHeight w:val="309" w:hRule="atLeast"/>
        </w:trPr>
        <w:tc>
          <w:tcPr>
            <w:tcW w:w="130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4311CD82">
            <w:pPr>
              <w:widowControl/>
              <w:jc w:val="left"/>
              <w:rPr>
                <w:rFonts w:ascii="宋体" w:hAnsi="宋体" w:cs="Arial"/>
                <w:color w:val="000000"/>
                <w:kern w:val="0"/>
                <w:sz w:val="22"/>
              </w:rPr>
            </w:pPr>
            <w:r>
              <w:rPr>
                <w:rFonts w:hint="eastAsia" w:ascii="宋体" w:hAnsi="宋体" w:cs="Arial"/>
                <w:color w:val="000000"/>
                <w:kern w:val="0"/>
                <w:sz w:val="22"/>
              </w:rPr>
              <w:t>2101501</w:t>
            </w:r>
          </w:p>
        </w:tc>
        <w:tc>
          <w:tcPr>
            <w:tcW w:w="3524" w:type="dxa"/>
            <w:tcBorders>
              <w:top w:val="nil"/>
              <w:left w:val="nil"/>
              <w:bottom w:val="single" w:color="auto" w:sz="4" w:space="0"/>
              <w:right w:val="single" w:color="auto" w:sz="4" w:space="0"/>
            </w:tcBorders>
            <w:shd w:val="clear" w:color="auto" w:fill="auto"/>
            <w:noWrap/>
            <w:vAlign w:val="center"/>
          </w:tcPr>
          <w:p w14:paraId="4AFB4390">
            <w:pPr>
              <w:widowControl/>
              <w:jc w:val="left"/>
              <w:rPr>
                <w:rFonts w:ascii="宋体" w:hAnsi="宋体" w:cs="Arial"/>
                <w:color w:val="000000"/>
                <w:kern w:val="0"/>
                <w:sz w:val="22"/>
              </w:rPr>
            </w:pPr>
            <w:r>
              <w:rPr>
                <w:rFonts w:hint="eastAsia" w:ascii="宋体" w:hAnsi="宋体" w:cs="Arial"/>
                <w:color w:val="000000"/>
                <w:kern w:val="0"/>
                <w:sz w:val="22"/>
              </w:rPr>
              <w:t xml:space="preserve">  行政运行</w:t>
            </w:r>
          </w:p>
        </w:tc>
        <w:tc>
          <w:tcPr>
            <w:tcW w:w="1719" w:type="dxa"/>
            <w:tcBorders>
              <w:top w:val="nil"/>
              <w:left w:val="nil"/>
              <w:bottom w:val="single" w:color="auto" w:sz="4" w:space="0"/>
              <w:right w:val="single" w:color="auto" w:sz="4" w:space="0"/>
            </w:tcBorders>
            <w:shd w:val="clear" w:color="auto" w:fill="auto"/>
            <w:noWrap/>
            <w:vAlign w:val="center"/>
          </w:tcPr>
          <w:p w14:paraId="15075029">
            <w:pPr>
              <w:widowControl/>
              <w:jc w:val="right"/>
              <w:rPr>
                <w:rFonts w:ascii="宋体" w:hAnsi="宋体" w:cs="Arial"/>
                <w:color w:val="000000"/>
                <w:kern w:val="0"/>
                <w:sz w:val="22"/>
              </w:rPr>
            </w:pPr>
            <w:r>
              <w:rPr>
                <w:rFonts w:hint="eastAsia" w:ascii="宋体" w:hAnsi="宋体" w:cs="Arial"/>
                <w:color w:val="000000"/>
                <w:kern w:val="0"/>
                <w:sz w:val="22"/>
              </w:rPr>
              <w:t>2,394,147.01</w:t>
            </w:r>
          </w:p>
        </w:tc>
        <w:tc>
          <w:tcPr>
            <w:tcW w:w="1719" w:type="dxa"/>
            <w:tcBorders>
              <w:top w:val="nil"/>
              <w:left w:val="nil"/>
              <w:bottom w:val="single" w:color="auto" w:sz="4" w:space="0"/>
              <w:right w:val="single" w:color="auto" w:sz="4" w:space="0"/>
            </w:tcBorders>
            <w:shd w:val="clear" w:color="auto" w:fill="auto"/>
            <w:noWrap/>
            <w:vAlign w:val="center"/>
          </w:tcPr>
          <w:p w14:paraId="73574DC9">
            <w:pPr>
              <w:widowControl/>
              <w:jc w:val="right"/>
              <w:rPr>
                <w:rFonts w:ascii="宋体" w:hAnsi="宋体" w:cs="Arial"/>
                <w:color w:val="000000"/>
                <w:kern w:val="0"/>
                <w:sz w:val="22"/>
              </w:rPr>
            </w:pPr>
            <w:r>
              <w:rPr>
                <w:rFonts w:hint="eastAsia" w:ascii="宋体" w:hAnsi="宋体" w:cs="Arial"/>
                <w:color w:val="000000"/>
                <w:kern w:val="0"/>
                <w:sz w:val="22"/>
              </w:rPr>
              <w:t>2,394,147.01</w:t>
            </w:r>
          </w:p>
        </w:tc>
      </w:tr>
      <w:tr w14:paraId="5C3C2F8C">
        <w:tblPrEx>
          <w:tblCellMar>
            <w:top w:w="0" w:type="dxa"/>
            <w:left w:w="108" w:type="dxa"/>
            <w:bottom w:w="0" w:type="dxa"/>
            <w:right w:w="108" w:type="dxa"/>
          </w:tblCellMar>
        </w:tblPrEx>
        <w:trPr>
          <w:trHeight w:val="309" w:hRule="atLeast"/>
        </w:trPr>
        <w:tc>
          <w:tcPr>
            <w:tcW w:w="130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30D38E94">
            <w:pPr>
              <w:widowControl/>
              <w:jc w:val="left"/>
              <w:rPr>
                <w:rFonts w:ascii="宋体" w:hAnsi="宋体" w:cs="Arial"/>
                <w:color w:val="000000"/>
                <w:kern w:val="0"/>
                <w:sz w:val="22"/>
              </w:rPr>
            </w:pPr>
            <w:r>
              <w:rPr>
                <w:rFonts w:hint="eastAsia" w:ascii="宋体" w:hAnsi="宋体" w:cs="Arial"/>
                <w:color w:val="000000"/>
                <w:kern w:val="0"/>
                <w:sz w:val="22"/>
              </w:rPr>
              <w:t>2101599</w:t>
            </w:r>
          </w:p>
        </w:tc>
        <w:tc>
          <w:tcPr>
            <w:tcW w:w="3524" w:type="dxa"/>
            <w:tcBorders>
              <w:top w:val="nil"/>
              <w:left w:val="nil"/>
              <w:bottom w:val="single" w:color="auto" w:sz="4" w:space="0"/>
              <w:right w:val="single" w:color="auto" w:sz="4" w:space="0"/>
            </w:tcBorders>
            <w:shd w:val="clear" w:color="auto" w:fill="auto"/>
            <w:noWrap/>
            <w:vAlign w:val="center"/>
          </w:tcPr>
          <w:p w14:paraId="07715ADB">
            <w:pPr>
              <w:widowControl/>
              <w:jc w:val="left"/>
              <w:rPr>
                <w:rFonts w:ascii="宋体" w:hAnsi="宋体" w:cs="Arial"/>
                <w:color w:val="000000"/>
                <w:kern w:val="0"/>
                <w:sz w:val="22"/>
              </w:rPr>
            </w:pPr>
            <w:r>
              <w:rPr>
                <w:rFonts w:hint="eastAsia" w:ascii="宋体" w:hAnsi="宋体" w:cs="Arial"/>
                <w:color w:val="000000"/>
                <w:kern w:val="0"/>
                <w:sz w:val="22"/>
              </w:rPr>
              <w:t xml:space="preserve">  其他医疗保障管理事务支出</w:t>
            </w:r>
          </w:p>
        </w:tc>
        <w:tc>
          <w:tcPr>
            <w:tcW w:w="1719" w:type="dxa"/>
            <w:tcBorders>
              <w:top w:val="nil"/>
              <w:left w:val="nil"/>
              <w:bottom w:val="single" w:color="auto" w:sz="4" w:space="0"/>
              <w:right w:val="single" w:color="auto" w:sz="4" w:space="0"/>
            </w:tcBorders>
            <w:shd w:val="clear" w:color="auto" w:fill="auto"/>
            <w:noWrap/>
            <w:vAlign w:val="center"/>
          </w:tcPr>
          <w:p w14:paraId="3C960A4A">
            <w:pPr>
              <w:widowControl/>
              <w:jc w:val="right"/>
              <w:rPr>
                <w:rFonts w:ascii="宋体" w:hAnsi="宋体" w:cs="Arial"/>
                <w:color w:val="000000"/>
                <w:kern w:val="0"/>
                <w:sz w:val="22"/>
              </w:rPr>
            </w:pPr>
            <w:r>
              <w:rPr>
                <w:rFonts w:hint="eastAsia" w:ascii="宋体" w:hAnsi="宋体" w:cs="Arial"/>
                <w:color w:val="000000"/>
                <w:kern w:val="0"/>
                <w:sz w:val="22"/>
              </w:rPr>
              <w:t>1,468,639.62</w:t>
            </w:r>
          </w:p>
        </w:tc>
        <w:tc>
          <w:tcPr>
            <w:tcW w:w="1719" w:type="dxa"/>
            <w:tcBorders>
              <w:top w:val="nil"/>
              <w:left w:val="nil"/>
              <w:bottom w:val="single" w:color="auto" w:sz="4" w:space="0"/>
              <w:right w:val="single" w:color="auto" w:sz="4" w:space="0"/>
            </w:tcBorders>
            <w:shd w:val="clear" w:color="auto" w:fill="auto"/>
            <w:noWrap/>
            <w:vAlign w:val="center"/>
          </w:tcPr>
          <w:p w14:paraId="4C2BA72A">
            <w:pPr>
              <w:widowControl/>
              <w:jc w:val="right"/>
              <w:rPr>
                <w:rFonts w:ascii="宋体" w:hAnsi="宋体" w:cs="Arial"/>
                <w:color w:val="000000"/>
                <w:kern w:val="0"/>
                <w:sz w:val="22"/>
              </w:rPr>
            </w:pPr>
            <w:r>
              <w:rPr>
                <w:rFonts w:hint="eastAsia" w:ascii="宋体" w:hAnsi="宋体" w:cs="Arial"/>
                <w:color w:val="000000"/>
                <w:kern w:val="0"/>
                <w:sz w:val="22"/>
              </w:rPr>
              <w:t>1,468,639.62</w:t>
            </w:r>
          </w:p>
        </w:tc>
      </w:tr>
      <w:tr w14:paraId="7BE82486">
        <w:tblPrEx>
          <w:tblCellMar>
            <w:top w:w="0" w:type="dxa"/>
            <w:left w:w="108" w:type="dxa"/>
            <w:bottom w:w="0" w:type="dxa"/>
            <w:right w:w="108" w:type="dxa"/>
          </w:tblCellMar>
        </w:tblPrEx>
        <w:trPr>
          <w:trHeight w:val="309" w:hRule="atLeast"/>
        </w:trPr>
        <w:tc>
          <w:tcPr>
            <w:tcW w:w="130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2A4FFBF0">
            <w:pPr>
              <w:widowControl/>
              <w:jc w:val="left"/>
              <w:rPr>
                <w:rFonts w:ascii="宋体" w:hAnsi="宋体" w:cs="Arial"/>
                <w:color w:val="000000"/>
                <w:kern w:val="0"/>
                <w:sz w:val="22"/>
              </w:rPr>
            </w:pPr>
            <w:r>
              <w:rPr>
                <w:rFonts w:hint="eastAsia" w:ascii="宋体" w:hAnsi="宋体" w:cs="Arial"/>
                <w:color w:val="000000"/>
                <w:kern w:val="0"/>
                <w:sz w:val="22"/>
              </w:rPr>
              <w:t>212</w:t>
            </w:r>
          </w:p>
        </w:tc>
        <w:tc>
          <w:tcPr>
            <w:tcW w:w="3524" w:type="dxa"/>
            <w:tcBorders>
              <w:top w:val="nil"/>
              <w:left w:val="nil"/>
              <w:bottom w:val="single" w:color="auto" w:sz="4" w:space="0"/>
              <w:right w:val="single" w:color="auto" w:sz="4" w:space="0"/>
            </w:tcBorders>
            <w:shd w:val="clear" w:color="auto" w:fill="auto"/>
            <w:noWrap/>
            <w:vAlign w:val="center"/>
          </w:tcPr>
          <w:p w14:paraId="5CC51320">
            <w:pPr>
              <w:widowControl/>
              <w:jc w:val="left"/>
              <w:rPr>
                <w:rFonts w:ascii="宋体" w:hAnsi="宋体" w:cs="Arial"/>
                <w:color w:val="000000"/>
                <w:kern w:val="0"/>
                <w:sz w:val="22"/>
              </w:rPr>
            </w:pPr>
            <w:r>
              <w:rPr>
                <w:rFonts w:hint="eastAsia" w:ascii="宋体" w:hAnsi="宋体" w:cs="Arial"/>
                <w:color w:val="000000"/>
                <w:kern w:val="0"/>
                <w:sz w:val="22"/>
              </w:rPr>
              <w:t>城乡社区支出</w:t>
            </w:r>
          </w:p>
        </w:tc>
        <w:tc>
          <w:tcPr>
            <w:tcW w:w="1719" w:type="dxa"/>
            <w:tcBorders>
              <w:top w:val="nil"/>
              <w:left w:val="nil"/>
              <w:bottom w:val="single" w:color="auto" w:sz="4" w:space="0"/>
              <w:right w:val="single" w:color="auto" w:sz="4" w:space="0"/>
            </w:tcBorders>
            <w:shd w:val="clear" w:color="auto" w:fill="auto"/>
            <w:noWrap/>
            <w:vAlign w:val="center"/>
          </w:tcPr>
          <w:p w14:paraId="3D6A108D">
            <w:pPr>
              <w:widowControl/>
              <w:jc w:val="right"/>
              <w:rPr>
                <w:rFonts w:ascii="宋体" w:hAnsi="宋体" w:cs="Arial"/>
                <w:color w:val="000000"/>
                <w:kern w:val="0"/>
                <w:sz w:val="22"/>
              </w:rPr>
            </w:pPr>
            <w:r>
              <w:rPr>
                <w:rFonts w:hint="eastAsia" w:ascii="宋体" w:hAnsi="宋体" w:cs="Arial"/>
                <w:color w:val="000000"/>
                <w:kern w:val="0"/>
                <w:sz w:val="22"/>
              </w:rPr>
              <w:t>239,621.67</w:t>
            </w:r>
          </w:p>
        </w:tc>
        <w:tc>
          <w:tcPr>
            <w:tcW w:w="1719" w:type="dxa"/>
            <w:tcBorders>
              <w:top w:val="nil"/>
              <w:left w:val="nil"/>
              <w:bottom w:val="single" w:color="auto" w:sz="4" w:space="0"/>
              <w:right w:val="single" w:color="auto" w:sz="4" w:space="0"/>
            </w:tcBorders>
            <w:shd w:val="clear" w:color="auto" w:fill="auto"/>
            <w:noWrap/>
            <w:vAlign w:val="center"/>
          </w:tcPr>
          <w:p w14:paraId="7DB6E823">
            <w:pPr>
              <w:widowControl/>
              <w:jc w:val="right"/>
              <w:rPr>
                <w:rFonts w:ascii="宋体" w:hAnsi="宋体" w:cs="Arial"/>
                <w:color w:val="000000"/>
                <w:kern w:val="0"/>
                <w:sz w:val="22"/>
              </w:rPr>
            </w:pPr>
            <w:r>
              <w:rPr>
                <w:rFonts w:hint="eastAsia" w:ascii="宋体" w:hAnsi="宋体" w:cs="Arial"/>
                <w:color w:val="000000"/>
                <w:kern w:val="0"/>
                <w:sz w:val="22"/>
              </w:rPr>
              <w:t>239,621.67</w:t>
            </w:r>
          </w:p>
        </w:tc>
      </w:tr>
      <w:tr w14:paraId="30F6B277">
        <w:tblPrEx>
          <w:tblCellMar>
            <w:top w:w="0" w:type="dxa"/>
            <w:left w:w="108" w:type="dxa"/>
            <w:bottom w:w="0" w:type="dxa"/>
            <w:right w:w="108" w:type="dxa"/>
          </w:tblCellMar>
        </w:tblPrEx>
        <w:trPr>
          <w:trHeight w:val="309" w:hRule="atLeast"/>
        </w:trPr>
        <w:tc>
          <w:tcPr>
            <w:tcW w:w="130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5BF03C6D">
            <w:pPr>
              <w:widowControl/>
              <w:jc w:val="left"/>
              <w:rPr>
                <w:rFonts w:ascii="宋体" w:hAnsi="宋体" w:cs="Arial"/>
                <w:color w:val="000000"/>
                <w:kern w:val="0"/>
                <w:sz w:val="22"/>
              </w:rPr>
            </w:pPr>
            <w:r>
              <w:rPr>
                <w:rFonts w:hint="eastAsia" w:ascii="宋体" w:hAnsi="宋体" w:cs="Arial"/>
                <w:color w:val="000000"/>
                <w:kern w:val="0"/>
                <w:sz w:val="22"/>
              </w:rPr>
              <w:t>21208</w:t>
            </w:r>
          </w:p>
        </w:tc>
        <w:tc>
          <w:tcPr>
            <w:tcW w:w="3524" w:type="dxa"/>
            <w:tcBorders>
              <w:top w:val="nil"/>
              <w:left w:val="nil"/>
              <w:bottom w:val="single" w:color="auto" w:sz="4" w:space="0"/>
              <w:right w:val="single" w:color="auto" w:sz="4" w:space="0"/>
            </w:tcBorders>
            <w:shd w:val="clear" w:color="auto" w:fill="auto"/>
            <w:noWrap/>
            <w:vAlign w:val="center"/>
          </w:tcPr>
          <w:p w14:paraId="5804D0B4">
            <w:pPr>
              <w:widowControl/>
              <w:jc w:val="left"/>
              <w:rPr>
                <w:rFonts w:ascii="宋体" w:hAnsi="宋体" w:cs="Arial"/>
                <w:color w:val="000000"/>
                <w:kern w:val="0"/>
                <w:sz w:val="22"/>
              </w:rPr>
            </w:pPr>
            <w:r>
              <w:rPr>
                <w:rFonts w:hint="eastAsia" w:ascii="宋体" w:hAnsi="宋体" w:cs="Arial"/>
                <w:color w:val="000000"/>
                <w:kern w:val="0"/>
                <w:sz w:val="22"/>
              </w:rPr>
              <w:t>国有土地使用权出让收入安排的支出</w:t>
            </w:r>
          </w:p>
        </w:tc>
        <w:tc>
          <w:tcPr>
            <w:tcW w:w="1719" w:type="dxa"/>
            <w:tcBorders>
              <w:top w:val="nil"/>
              <w:left w:val="nil"/>
              <w:bottom w:val="single" w:color="auto" w:sz="4" w:space="0"/>
              <w:right w:val="single" w:color="auto" w:sz="4" w:space="0"/>
            </w:tcBorders>
            <w:shd w:val="clear" w:color="auto" w:fill="auto"/>
            <w:noWrap/>
            <w:vAlign w:val="center"/>
          </w:tcPr>
          <w:p w14:paraId="0AFAA156">
            <w:pPr>
              <w:widowControl/>
              <w:jc w:val="right"/>
              <w:rPr>
                <w:rFonts w:ascii="宋体" w:hAnsi="宋体" w:cs="Arial"/>
                <w:color w:val="000000"/>
                <w:kern w:val="0"/>
                <w:sz w:val="22"/>
              </w:rPr>
            </w:pPr>
            <w:r>
              <w:rPr>
                <w:rFonts w:hint="eastAsia" w:ascii="宋体" w:hAnsi="宋体" w:cs="Arial"/>
                <w:color w:val="000000"/>
                <w:kern w:val="0"/>
                <w:sz w:val="22"/>
              </w:rPr>
              <w:t>239,621.67</w:t>
            </w:r>
          </w:p>
        </w:tc>
        <w:tc>
          <w:tcPr>
            <w:tcW w:w="1719" w:type="dxa"/>
            <w:tcBorders>
              <w:top w:val="nil"/>
              <w:left w:val="nil"/>
              <w:bottom w:val="single" w:color="auto" w:sz="4" w:space="0"/>
              <w:right w:val="single" w:color="auto" w:sz="4" w:space="0"/>
            </w:tcBorders>
            <w:shd w:val="clear" w:color="auto" w:fill="auto"/>
            <w:noWrap/>
            <w:vAlign w:val="center"/>
          </w:tcPr>
          <w:p w14:paraId="37D6A8D6">
            <w:pPr>
              <w:widowControl/>
              <w:jc w:val="right"/>
              <w:rPr>
                <w:rFonts w:ascii="宋体" w:hAnsi="宋体" w:cs="Arial"/>
                <w:color w:val="000000"/>
                <w:kern w:val="0"/>
                <w:sz w:val="22"/>
              </w:rPr>
            </w:pPr>
            <w:r>
              <w:rPr>
                <w:rFonts w:hint="eastAsia" w:ascii="宋体" w:hAnsi="宋体" w:cs="Arial"/>
                <w:color w:val="000000"/>
                <w:kern w:val="0"/>
                <w:sz w:val="22"/>
              </w:rPr>
              <w:t>239,621.67</w:t>
            </w:r>
          </w:p>
        </w:tc>
      </w:tr>
      <w:tr w14:paraId="6C77B76D">
        <w:tblPrEx>
          <w:tblCellMar>
            <w:top w:w="0" w:type="dxa"/>
            <w:left w:w="108" w:type="dxa"/>
            <w:bottom w:w="0" w:type="dxa"/>
            <w:right w:w="108" w:type="dxa"/>
          </w:tblCellMar>
        </w:tblPrEx>
        <w:trPr>
          <w:trHeight w:val="309" w:hRule="atLeast"/>
        </w:trPr>
        <w:tc>
          <w:tcPr>
            <w:tcW w:w="130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3E2E5866">
            <w:pPr>
              <w:widowControl/>
              <w:jc w:val="left"/>
              <w:rPr>
                <w:rFonts w:ascii="宋体" w:hAnsi="宋体" w:cs="Arial"/>
                <w:color w:val="000000"/>
                <w:kern w:val="0"/>
                <w:sz w:val="22"/>
              </w:rPr>
            </w:pPr>
            <w:r>
              <w:rPr>
                <w:rFonts w:hint="eastAsia" w:ascii="宋体" w:hAnsi="宋体" w:cs="Arial"/>
                <w:color w:val="000000"/>
                <w:kern w:val="0"/>
                <w:sz w:val="22"/>
              </w:rPr>
              <w:t>2120802</w:t>
            </w:r>
          </w:p>
        </w:tc>
        <w:tc>
          <w:tcPr>
            <w:tcW w:w="3524" w:type="dxa"/>
            <w:tcBorders>
              <w:top w:val="nil"/>
              <w:left w:val="nil"/>
              <w:bottom w:val="single" w:color="auto" w:sz="4" w:space="0"/>
              <w:right w:val="single" w:color="auto" w:sz="4" w:space="0"/>
            </w:tcBorders>
            <w:shd w:val="clear" w:color="auto" w:fill="auto"/>
            <w:noWrap/>
            <w:vAlign w:val="center"/>
          </w:tcPr>
          <w:p w14:paraId="1110880D">
            <w:pPr>
              <w:widowControl/>
              <w:jc w:val="left"/>
              <w:rPr>
                <w:rFonts w:ascii="宋体" w:hAnsi="宋体" w:cs="Arial"/>
                <w:color w:val="000000"/>
                <w:kern w:val="0"/>
                <w:sz w:val="22"/>
              </w:rPr>
            </w:pPr>
            <w:r>
              <w:rPr>
                <w:rFonts w:hint="eastAsia" w:ascii="宋体" w:hAnsi="宋体" w:cs="Arial"/>
                <w:color w:val="000000"/>
                <w:kern w:val="0"/>
                <w:sz w:val="22"/>
              </w:rPr>
              <w:t xml:space="preserve">  土地开发支出</w:t>
            </w:r>
          </w:p>
        </w:tc>
        <w:tc>
          <w:tcPr>
            <w:tcW w:w="1719" w:type="dxa"/>
            <w:tcBorders>
              <w:top w:val="nil"/>
              <w:left w:val="nil"/>
              <w:bottom w:val="single" w:color="auto" w:sz="4" w:space="0"/>
              <w:right w:val="single" w:color="auto" w:sz="4" w:space="0"/>
            </w:tcBorders>
            <w:shd w:val="clear" w:color="auto" w:fill="auto"/>
            <w:noWrap/>
            <w:vAlign w:val="center"/>
          </w:tcPr>
          <w:p w14:paraId="135332D6">
            <w:pPr>
              <w:widowControl/>
              <w:jc w:val="right"/>
              <w:rPr>
                <w:rFonts w:ascii="宋体" w:hAnsi="宋体" w:cs="Arial"/>
                <w:color w:val="000000"/>
                <w:kern w:val="0"/>
                <w:sz w:val="22"/>
              </w:rPr>
            </w:pPr>
            <w:r>
              <w:rPr>
                <w:rFonts w:hint="eastAsia" w:ascii="宋体" w:hAnsi="宋体" w:cs="Arial"/>
                <w:color w:val="000000"/>
                <w:kern w:val="0"/>
                <w:sz w:val="22"/>
              </w:rPr>
              <w:t>239,621.67</w:t>
            </w:r>
          </w:p>
        </w:tc>
        <w:tc>
          <w:tcPr>
            <w:tcW w:w="1719" w:type="dxa"/>
            <w:tcBorders>
              <w:top w:val="nil"/>
              <w:left w:val="nil"/>
              <w:bottom w:val="single" w:color="auto" w:sz="4" w:space="0"/>
              <w:right w:val="single" w:color="auto" w:sz="4" w:space="0"/>
            </w:tcBorders>
            <w:shd w:val="clear" w:color="auto" w:fill="auto"/>
            <w:noWrap/>
            <w:vAlign w:val="center"/>
          </w:tcPr>
          <w:p w14:paraId="2CCEDDCC">
            <w:pPr>
              <w:widowControl/>
              <w:jc w:val="right"/>
              <w:rPr>
                <w:rFonts w:ascii="宋体" w:hAnsi="宋体" w:cs="Arial"/>
                <w:color w:val="000000"/>
                <w:kern w:val="0"/>
                <w:sz w:val="22"/>
              </w:rPr>
            </w:pPr>
            <w:r>
              <w:rPr>
                <w:rFonts w:hint="eastAsia" w:ascii="宋体" w:hAnsi="宋体" w:cs="Arial"/>
                <w:color w:val="000000"/>
                <w:kern w:val="0"/>
                <w:sz w:val="22"/>
              </w:rPr>
              <w:t>239,621.67</w:t>
            </w:r>
          </w:p>
        </w:tc>
      </w:tr>
      <w:tr w14:paraId="114F7444">
        <w:tblPrEx>
          <w:tblCellMar>
            <w:top w:w="0" w:type="dxa"/>
            <w:left w:w="108" w:type="dxa"/>
            <w:bottom w:w="0" w:type="dxa"/>
            <w:right w:w="108" w:type="dxa"/>
          </w:tblCellMar>
        </w:tblPrEx>
        <w:trPr>
          <w:trHeight w:val="309" w:hRule="atLeast"/>
        </w:trPr>
        <w:tc>
          <w:tcPr>
            <w:tcW w:w="130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47F2D519">
            <w:pPr>
              <w:widowControl/>
              <w:jc w:val="left"/>
              <w:rPr>
                <w:rFonts w:ascii="宋体" w:hAnsi="宋体" w:cs="Arial"/>
                <w:color w:val="000000"/>
                <w:kern w:val="0"/>
                <w:sz w:val="22"/>
              </w:rPr>
            </w:pPr>
            <w:r>
              <w:rPr>
                <w:rFonts w:hint="eastAsia" w:ascii="宋体" w:hAnsi="宋体" w:cs="Arial"/>
                <w:color w:val="000000"/>
                <w:kern w:val="0"/>
                <w:sz w:val="22"/>
              </w:rPr>
              <w:t>213</w:t>
            </w:r>
          </w:p>
        </w:tc>
        <w:tc>
          <w:tcPr>
            <w:tcW w:w="3524" w:type="dxa"/>
            <w:tcBorders>
              <w:top w:val="nil"/>
              <w:left w:val="nil"/>
              <w:bottom w:val="single" w:color="auto" w:sz="4" w:space="0"/>
              <w:right w:val="single" w:color="auto" w:sz="4" w:space="0"/>
            </w:tcBorders>
            <w:shd w:val="clear" w:color="auto" w:fill="auto"/>
            <w:noWrap/>
            <w:vAlign w:val="center"/>
          </w:tcPr>
          <w:p w14:paraId="589B7AA0">
            <w:pPr>
              <w:widowControl/>
              <w:jc w:val="left"/>
              <w:rPr>
                <w:rFonts w:ascii="宋体" w:hAnsi="宋体" w:cs="Arial"/>
                <w:color w:val="000000"/>
                <w:kern w:val="0"/>
                <w:sz w:val="22"/>
              </w:rPr>
            </w:pPr>
            <w:r>
              <w:rPr>
                <w:rFonts w:hint="eastAsia" w:ascii="宋体" w:hAnsi="宋体" w:cs="Arial"/>
                <w:color w:val="000000"/>
                <w:kern w:val="0"/>
                <w:sz w:val="22"/>
              </w:rPr>
              <w:t>农林水支出</w:t>
            </w:r>
          </w:p>
        </w:tc>
        <w:tc>
          <w:tcPr>
            <w:tcW w:w="1719" w:type="dxa"/>
            <w:tcBorders>
              <w:top w:val="nil"/>
              <w:left w:val="nil"/>
              <w:bottom w:val="single" w:color="auto" w:sz="4" w:space="0"/>
              <w:right w:val="single" w:color="auto" w:sz="4" w:space="0"/>
            </w:tcBorders>
            <w:shd w:val="clear" w:color="auto" w:fill="auto"/>
            <w:noWrap/>
            <w:vAlign w:val="center"/>
          </w:tcPr>
          <w:p w14:paraId="6E20AB1C">
            <w:pPr>
              <w:widowControl/>
              <w:jc w:val="right"/>
              <w:rPr>
                <w:rFonts w:ascii="宋体" w:hAnsi="宋体" w:cs="Arial"/>
                <w:color w:val="000000"/>
                <w:kern w:val="0"/>
                <w:sz w:val="22"/>
              </w:rPr>
            </w:pPr>
            <w:r>
              <w:rPr>
                <w:rFonts w:hint="eastAsia" w:ascii="宋体" w:hAnsi="宋体" w:cs="Arial"/>
                <w:color w:val="000000"/>
                <w:kern w:val="0"/>
                <w:sz w:val="22"/>
              </w:rPr>
              <w:t>5,709,660.00</w:t>
            </w:r>
          </w:p>
        </w:tc>
        <w:tc>
          <w:tcPr>
            <w:tcW w:w="1719" w:type="dxa"/>
            <w:tcBorders>
              <w:top w:val="nil"/>
              <w:left w:val="nil"/>
              <w:bottom w:val="single" w:color="auto" w:sz="4" w:space="0"/>
              <w:right w:val="single" w:color="auto" w:sz="4" w:space="0"/>
            </w:tcBorders>
            <w:shd w:val="clear" w:color="auto" w:fill="auto"/>
            <w:noWrap/>
            <w:vAlign w:val="center"/>
          </w:tcPr>
          <w:p w14:paraId="62BC9A9A">
            <w:pPr>
              <w:widowControl/>
              <w:jc w:val="right"/>
              <w:rPr>
                <w:rFonts w:ascii="宋体" w:hAnsi="宋体" w:cs="Arial"/>
                <w:color w:val="000000"/>
                <w:kern w:val="0"/>
                <w:sz w:val="22"/>
              </w:rPr>
            </w:pPr>
            <w:r>
              <w:rPr>
                <w:rFonts w:hint="eastAsia" w:ascii="宋体" w:hAnsi="宋体" w:cs="Arial"/>
                <w:color w:val="000000"/>
                <w:kern w:val="0"/>
                <w:sz w:val="22"/>
              </w:rPr>
              <w:t>5,709,660.00</w:t>
            </w:r>
          </w:p>
        </w:tc>
      </w:tr>
      <w:tr w14:paraId="33202509">
        <w:tblPrEx>
          <w:tblCellMar>
            <w:top w:w="0" w:type="dxa"/>
            <w:left w:w="108" w:type="dxa"/>
            <w:bottom w:w="0" w:type="dxa"/>
            <w:right w:w="108" w:type="dxa"/>
          </w:tblCellMar>
        </w:tblPrEx>
        <w:trPr>
          <w:trHeight w:val="309" w:hRule="atLeast"/>
        </w:trPr>
        <w:tc>
          <w:tcPr>
            <w:tcW w:w="130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061DCE9C">
            <w:pPr>
              <w:widowControl/>
              <w:jc w:val="left"/>
              <w:rPr>
                <w:rFonts w:ascii="宋体" w:hAnsi="宋体" w:cs="Arial"/>
                <w:color w:val="000000"/>
                <w:kern w:val="0"/>
                <w:sz w:val="22"/>
              </w:rPr>
            </w:pPr>
            <w:r>
              <w:rPr>
                <w:rFonts w:hint="eastAsia" w:ascii="宋体" w:hAnsi="宋体" w:cs="Arial"/>
                <w:color w:val="000000"/>
                <w:kern w:val="0"/>
                <w:sz w:val="22"/>
              </w:rPr>
              <w:t>21305</w:t>
            </w:r>
          </w:p>
        </w:tc>
        <w:tc>
          <w:tcPr>
            <w:tcW w:w="3524" w:type="dxa"/>
            <w:tcBorders>
              <w:top w:val="nil"/>
              <w:left w:val="nil"/>
              <w:bottom w:val="single" w:color="auto" w:sz="4" w:space="0"/>
              <w:right w:val="single" w:color="auto" w:sz="4" w:space="0"/>
            </w:tcBorders>
            <w:shd w:val="clear" w:color="auto" w:fill="auto"/>
            <w:noWrap/>
            <w:vAlign w:val="center"/>
          </w:tcPr>
          <w:p w14:paraId="3D43DFD5">
            <w:pPr>
              <w:widowControl/>
              <w:jc w:val="left"/>
              <w:rPr>
                <w:rFonts w:ascii="宋体" w:hAnsi="宋体" w:cs="Arial"/>
                <w:color w:val="000000"/>
                <w:kern w:val="0"/>
                <w:sz w:val="22"/>
              </w:rPr>
            </w:pPr>
            <w:r>
              <w:rPr>
                <w:rFonts w:hint="eastAsia" w:ascii="宋体" w:hAnsi="宋体" w:cs="Arial"/>
                <w:color w:val="000000"/>
                <w:kern w:val="0"/>
                <w:sz w:val="22"/>
              </w:rPr>
              <w:t>扶贫</w:t>
            </w:r>
          </w:p>
        </w:tc>
        <w:tc>
          <w:tcPr>
            <w:tcW w:w="1719" w:type="dxa"/>
            <w:tcBorders>
              <w:top w:val="nil"/>
              <w:left w:val="nil"/>
              <w:bottom w:val="single" w:color="auto" w:sz="4" w:space="0"/>
              <w:right w:val="single" w:color="auto" w:sz="4" w:space="0"/>
            </w:tcBorders>
            <w:shd w:val="clear" w:color="auto" w:fill="auto"/>
            <w:noWrap/>
            <w:vAlign w:val="center"/>
          </w:tcPr>
          <w:p w14:paraId="0B71800C">
            <w:pPr>
              <w:widowControl/>
              <w:jc w:val="right"/>
              <w:rPr>
                <w:rFonts w:ascii="宋体" w:hAnsi="宋体" w:cs="Arial"/>
                <w:color w:val="000000"/>
                <w:kern w:val="0"/>
                <w:sz w:val="22"/>
              </w:rPr>
            </w:pPr>
            <w:r>
              <w:rPr>
                <w:rFonts w:hint="eastAsia" w:ascii="宋体" w:hAnsi="宋体" w:cs="Arial"/>
                <w:color w:val="000000"/>
                <w:kern w:val="0"/>
                <w:sz w:val="22"/>
              </w:rPr>
              <w:t>5,709,660.00</w:t>
            </w:r>
          </w:p>
        </w:tc>
        <w:tc>
          <w:tcPr>
            <w:tcW w:w="1719" w:type="dxa"/>
            <w:tcBorders>
              <w:top w:val="nil"/>
              <w:left w:val="nil"/>
              <w:bottom w:val="single" w:color="auto" w:sz="4" w:space="0"/>
              <w:right w:val="single" w:color="auto" w:sz="4" w:space="0"/>
            </w:tcBorders>
            <w:shd w:val="clear" w:color="auto" w:fill="auto"/>
            <w:noWrap/>
            <w:vAlign w:val="center"/>
          </w:tcPr>
          <w:p w14:paraId="17CED2B7">
            <w:pPr>
              <w:widowControl/>
              <w:jc w:val="right"/>
              <w:rPr>
                <w:rFonts w:ascii="宋体" w:hAnsi="宋体" w:cs="Arial"/>
                <w:color w:val="000000"/>
                <w:kern w:val="0"/>
                <w:sz w:val="22"/>
              </w:rPr>
            </w:pPr>
            <w:r>
              <w:rPr>
                <w:rFonts w:hint="eastAsia" w:ascii="宋体" w:hAnsi="宋体" w:cs="Arial"/>
                <w:color w:val="000000"/>
                <w:kern w:val="0"/>
                <w:sz w:val="22"/>
              </w:rPr>
              <w:t>5,709,660.00</w:t>
            </w:r>
          </w:p>
        </w:tc>
      </w:tr>
      <w:tr w14:paraId="36F20824">
        <w:tblPrEx>
          <w:tblCellMar>
            <w:top w:w="0" w:type="dxa"/>
            <w:left w:w="108" w:type="dxa"/>
            <w:bottom w:w="0" w:type="dxa"/>
            <w:right w:w="108" w:type="dxa"/>
          </w:tblCellMar>
        </w:tblPrEx>
        <w:trPr>
          <w:trHeight w:val="309" w:hRule="atLeast"/>
        </w:trPr>
        <w:tc>
          <w:tcPr>
            <w:tcW w:w="130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1CB7811E">
            <w:pPr>
              <w:widowControl/>
              <w:jc w:val="left"/>
              <w:rPr>
                <w:rFonts w:ascii="宋体" w:hAnsi="宋体" w:cs="Arial"/>
                <w:color w:val="000000"/>
                <w:kern w:val="0"/>
                <w:sz w:val="22"/>
              </w:rPr>
            </w:pPr>
            <w:r>
              <w:rPr>
                <w:rFonts w:hint="eastAsia" w:ascii="宋体" w:hAnsi="宋体" w:cs="Arial"/>
                <w:color w:val="000000"/>
                <w:kern w:val="0"/>
                <w:sz w:val="22"/>
              </w:rPr>
              <w:t>2130506</w:t>
            </w:r>
          </w:p>
        </w:tc>
        <w:tc>
          <w:tcPr>
            <w:tcW w:w="3524" w:type="dxa"/>
            <w:tcBorders>
              <w:top w:val="nil"/>
              <w:left w:val="nil"/>
              <w:bottom w:val="single" w:color="auto" w:sz="4" w:space="0"/>
              <w:right w:val="single" w:color="auto" w:sz="4" w:space="0"/>
            </w:tcBorders>
            <w:shd w:val="clear" w:color="auto" w:fill="auto"/>
            <w:noWrap/>
            <w:vAlign w:val="center"/>
          </w:tcPr>
          <w:p w14:paraId="61E36941">
            <w:pPr>
              <w:widowControl/>
              <w:jc w:val="left"/>
              <w:rPr>
                <w:rFonts w:ascii="宋体" w:hAnsi="宋体" w:cs="Arial"/>
                <w:color w:val="000000"/>
                <w:kern w:val="0"/>
                <w:sz w:val="22"/>
              </w:rPr>
            </w:pPr>
            <w:r>
              <w:rPr>
                <w:rFonts w:hint="eastAsia" w:ascii="宋体" w:hAnsi="宋体" w:cs="Arial"/>
                <w:color w:val="000000"/>
                <w:kern w:val="0"/>
                <w:sz w:val="22"/>
              </w:rPr>
              <w:t xml:space="preserve">  社会发展</w:t>
            </w:r>
          </w:p>
        </w:tc>
        <w:tc>
          <w:tcPr>
            <w:tcW w:w="1719" w:type="dxa"/>
            <w:tcBorders>
              <w:top w:val="nil"/>
              <w:left w:val="nil"/>
              <w:bottom w:val="single" w:color="auto" w:sz="4" w:space="0"/>
              <w:right w:val="single" w:color="auto" w:sz="4" w:space="0"/>
            </w:tcBorders>
            <w:shd w:val="clear" w:color="auto" w:fill="auto"/>
            <w:noWrap/>
            <w:vAlign w:val="center"/>
          </w:tcPr>
          <w:p w14:paraId="0057FD76">
            <w:pPr>
              <w:widowControl/>
              <w:jc w:val="right"/>
              <w:rPr>
                <w:rFonts w:ascii="宋体" w:hAnsi="宋体" w:cs="Arial"/>
                <w:color w:val="000000"/>
                <w:kern w:val="0"/>
                <w:sz w:val="22"/>
              </w:rPr>
            </w:pPr>
            <w:r>
              <w:rPr>
                <w:rFonts w:hint="eastAsia" w:ascii="宋体" w:hAnsi="宋体" w:cs="Arial"/>
                <w:color w:val="000000"/>
                <w:kern w:val="0"/>
                <w:sz w:val="22"/>
              </w:rPr>
              <w:t>5,709,660.00</w:t>
            </w:r>
          </w:p>
        </w:tc>
        <w:tc>
          <w:tcPr>
            <w:tcW w:w="1719" w:type="dxa"/>
            <w:tcBorders>
              <w:top w:val="nil"/>
              <w:left w:val="nil"/>
              <w:bottom w:val="single" w:color="auto" w:sz="4" w:space="0"/>
              <w:right w:val="single" w:color="auto" w:sz="4" w:space="0"/>
            </w:tcBorders>
            <w:shd w:val="clear" w:color="auto" w:fill="auto"/>
            <w:noWrap/>
            <w:vAlign w:val="center"/>
          </w:tcPr>
          <w:p w14:paraId="65A08CD8">
            <w:pPr>
              <w:widowControl/>
              <w:jc w:val="right"/>
              <w:rPr>
                <w:rFonts w:ascii="宋体" w:hAnsi="宋体" w:cs="Arial"/>
                <w:color w:val="000000"/>
                <w:kern w:val="0"/>
                <w:sz w:val="22"/>
              </w:rPr>
            </w:pPr>
            <w:r>
              <w:rPr>
                <w:rFonts w:hint="eastAsia" w:ascii="宋体" w:hAnsi="宋体" w:cs="Arial"/>
                <w:color w:val="000000"/>
                <w:kern w:val="0"/>
                <w:sz w:val="22"/>
              </w:rPr>
              <w:t>5,709,660.00</w:t>
            </w:r>
          </w:p>
        </w:tc>
      </w:tr>
      <w:tr w14:paraId="6FE3F2B6">
        <w:tblPrEx>
          <w:tblCellMar>
            <w:top w:w="0" w:type="dxa"/>
            <w:left w:w="108" w:type="dxa"/>
            <w:bottom w:w="0" w:type="dxa"/>
            <w:right w:w="108" w:type="dxa"/>
          </w:tblCellMar>
        </w:tblPrEx>
        <w:trPr>
          <w:trHeight w:val="309" w:hRule="atLeast"/>
        </w:trPr>
        <w:tc>
          <w:tcPr>
            <w:tcW w:w="130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2B86DF53">
            <w:pPr>
              <w:widowControl/>
              <w:jc w:val="left"/>
              <w:rPr>
                <w:rFonts w:ascii="宋体" w:hAnsi="宋体" w:cs="Arial"/>
                <w:color w:val="000000"/>
                <w:kern w:val="0"/>
                <w:sz w:val="22"/>
              </w:rPr>
            </w:pPr>
            <w:r>
              <w:rPr>
                <w:rFonts w:hint="eastAsia" w:ascii="宋体" w:hAnsi="宋体" w:cs="Arial"/>
                <w:color w:val="000000"/>
                <w:kern w:val="0"/>
                <w:sz w:val="22"/>
              </w:rPr>
              <w:t>221</w:t>
            </w:r>
          </w:p>
        </w:tc>
        <w:tc>
          <w:tcPr>
            <w:tcW w:w="3524" w:type="dxa"/>
            <w:tcBorders>
              <w:top w:val="nil"/>
              <w:left w:val="nil"/>
              <w:bottom w:val="single" w:color="auto" w:sz="4" w:space="0"/>
              <w:right w:val="single" w:color="auto" w:sz="4" w:space="0"/>
            </w:tcBorders>
            <w:shd w:val="clear" w:color="auto" w:fill="auto"/>
            <w:noWrap/>
            <w:vAlign w:val="center"/>
          </w:tcPr>
          <w:p w14:paraId="3503E1D5">
            <w:pPr>
              <w:widowControl/>
              <w:jc w:val="left"/>
              <w:rPr>
                <w:rFonts w:ascii="宋体" w:hAnsi="宋体" w:cs="Arial"/>
                <w:color w:val="000000"/>
                <w:kern w:val="0"/>
                <w:sz w:val="22"/>
              </w:rPr>
            </w:pPr>
            <w:r>
              <w:rPr>
                <w:rFonts w:hint="eastAsia" w:ascii="宋体" w:hAnsi="宋体" w:cs="Arial"/>
                <w:color w:val="000000"/>
                <w:kern w:val="0"/>
                <w:sz w:val="22"/>
              </w:rPr>
              <w:t>住房保障支出</w:t>
            </w:r>
          </w:p>
        </w:tc>
        <w:tc>
          <w:tcPr>
            <w:tcW w:w="1719" w:type="dxa"/>
            <w:tcBorders>
              <w:top w:val="nil"/>
              <w:left w:val="nil"/>
              <w:bottom w:val="single" w:color="auto" w:sz="4" w:space="0"/>
              <w:right w:val="single" w:color="auto" w:sz="4" w:space="0"/>
            </w:tcBorders>
            <w:shd w:val="clear" w:color="auto" w:fill="auto"/>
            <w:noWrap/>
            <w:vAlign w:val="center"/>
          </w:tcPr>
          <w:p w14:paraId="27BDFBC6">
            <w:pPr>
              <w:widowControl/>
              <w:jc w:val="right"/>
              <w:rPr>
                <w:rFonts w:ascii="宋体" w:hAnsi="宋体" w:cs="Arial"/>
                <w:color w:val="000000"/>
                <w:kern w:val="0"/>
                <w:sz w:val="22"/>
              </w:rPr>
            </w:pPr>
            <w:r>
              <w:rPr>
                <w:rFonts w:hint="eastAsia" w:ascii="宋体" w:hAnsi="宋体" w:cs="Arial"/>
                <w:color w:val="000000"/>
                <w:kern w:val="0"/>
                <w:sz w:val="22"/>
              </w:rPr>
              <w:t>276,857.00</w:t>
            </w:r>
          </w:p>
        </w:tc>
        <w:tc>
          <w:tcPr>
            <w:tcW w:w="1719" w:type="dxa"/>
            <w:tcBorders>
              <w:top w:val="nil"/>
              <w:left w:val="nil"/>
              <w:bottom w:val="single" w:color="auto" w:sz="4" w:space="0"/>
              <w:right w:val="single" w:color="auto" w:sz="4" w:space="0"/>
            </w:tcBorders>
            <w:shd w:val="clear" w:color="auto" w:fill="auto"/>
            <w:noWrap/>
            <w:vAlign w:val="center"/>
          </w:tcPr>
          <w:p w14:paraId="153D98A1">
            <w:pPr>
              <w:widowControl/>
              <w:jc w:val="right"/>
              <w:rPr>
                <w:rFonts w:ascii="宋体" w:hAnsi="宋体" w:cs="Arial"/>
                <w:color w:val="000000"/>
                <w:kern w:val="0"/>
                <w:sz w:val="22"/>
              </w:rPr>
            </w:pPr>
            <w:r>
              <w:rPr>
                <w:rFonts w:hint="eastAsia" w:ascii="宋体" w:hAnsi="宋体" w:cs="Arial"/>
                <w:color w:val="000000"/>
                <w:kern w:val="0"/>
                <w:sz w:val="22"/>
              </w:rPr>
              <w:t>276,857.00</w:t>
            </w:r>
          </w:p>
        </w:tc>
      </w:tr>
      <w:tr w14:paraId="6CCD55A8">
        <w:tblPrEx>
          <w:tblCellMar>
            <w:top w:w="0" w:type="dxa"/>
            <w:left w:w="108" w:type="dxa"/>
            <w:bottom w:w="0" w:type="dxa"/>
            <w:right w:w="108" w:type="dxa"/>
          </w:tblCellMar>
        </w:tblPrEx>
        <w:trPr>
          <w:trHeight w:val="309" w:hRule="atLeast"/>
        </w:trPr>
        <w:tc>
          <w:tcPr>
            <w:tcW w:w="130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1D6BE305">
            <w:pPr>
              <w:widowControl/>
              <w:jc w:val="left"/>
              <w:rPr>
                <w:rFonts w:ascii="宋体" w:hAnsi="宋体" w:cs="Arial"/>
                <w:color w:val="000000"/>
                <w:kern w:val="0"/>
                <w:sz w:val="22"/>
              </w:rPr>
            </w:pPr>
            <w:r>
              <w:rPr>
                <w:rFonts w:hint="eastAsia" w:ascii="宋体" w:hAnsi="宋体" w:cs="Arial"/>
                <w:color w:val="000000"/>
                <w:kern w:val="0"/>
                <w:sz w:val="22"/>
              </w:rPr>
              <w:t>22102</w:t>
            </w:r>
          </w:p>
        </w:tc>
        <w:tc>
          <w:tcPr>
            <w:tcW w:w="3524" w:type="dxa"/>
            <w:tcBorders>
              <w:top w:val="nil"/>
              <w:left w:val="nil"/>
              <w:bottom w:val="single" w:color="auto" w:sz="4" w:space="0"/>
              <w:right w:val="single" w:color="auto" w:sz="4" w:space="0"/>
            </w:tcBorders>
            <w:shd w:val="clear" w:color="auto" w:fill="auto"/>
            <w:noWrap/>
            <w:vAlign w:val="center"/>
          </w:tcPr>
          <w:p w14:paraId="7796C659">
            <w:pPr>
              <w:widowControl/>
              <w:jc w:val="left"/>
              <w:rPr>
                <w:rFonts w:ascii="宋体" w:hAnsi="宋体" w:cs="Arial"/>
                <w:color w:val="000000"/>
                <w:kern w:val="0"/>
                <w:sz w:val="22"/>
              </w:rPr>
            </w:pPr>
            <w:r>
              <w:rPr>
                <w:rFonts w:hint="eastAsia" w:ascii="宋体" w:hAnsi="宋体" w:cs="Arial"/>
                <w:color w:val="000000"/>
                <w:kern w:val="0"/>
                <w:sz w:val="22"/>
              </w:rPr>
              <w:t>住房改革支出</w:t>
            </w:r>
          </w:p>
        </w:tc>
        <w:tc>
          <w:tcPr>
            <w:tcW w:w="1719" w:type="dxa"/>
            <w:tcBorders>
              <w:top w:val="nil"/>
              <w:left w:val="nil"/>
              <w:bottom w:val="single" w:color="auto" w:sz="4" w:space="0"/>
              <w:right w:val="single" w:color="auto" w:sz="4" w:space="0"/>
            </w:tcBorders>
            <w:shd w:val="clear" w:color="auto" w:fill="auto"/>
            <w:noWrap/>
            <w:vAlign w:val="center"/>
          </w:tcPr>
          <w:p w14:paraId="03350244">
            <w:pPr>
              <w:widowControl/>
              <w:jc w:val="right"/>
              <w:rPr>
                <w:rFonts w:ascii="宋体" w:hAnsi="宋体" w:cs="Arial"/>
                <w:color w:val="000000"/>
                <w:kern w:val="0"/>
                <w:sz w:val="22"/>
              </w:rPr>
            </w:pPr>
            <w:r>
              <w:rPr>
                <w:rFonts w:hint="eastAsia" w:ascii="宋体" w:hAnsi="宋体" w:cs="Arial"/>
                <w:color w:val="000000"/>
                <w:kern w:val="0"/>
                <w:sz w:val="22"/>
              </w:rPr>
              <w:t>276,857.00</w:t>
            </w:r>
          </w:p>
        </w:tc>
        <w:tc>
          <w:tcPr>
            <w:tcW w:w="1719" w:type="dxa"/>
            <w:tcBorders>
              <w:top w:val="nil"/>
              <w:left w:val="nil"/>
              <w:bottom w:val="single" w:color="auto" w:sz="4" w:space="0"/>
              <w:right w:val="single" w:color="auto" w:sz="4" w:space="0"/>
            </w:tcBorders>
            <w:shd w:val="clear" w:color="auto" w:fill="auto"/>
            <w:noWrap/>
            <w:vAlign w:val="center"/>
          </w:tcPr>
          <w:p w14:paraId="1507B545">
            <w:pPr>
              <w:widowControl/>
              <w:jc w:val="right"/>
              <w:rPr>
                <w:rFonts w:ascii="宋体" w:hAnsi="宋体" w:cs="Arial"/>
                <w:color w:val="000000"/>
                <w:kern w:val="0"/>
                <w:sz w:val="22"/>
              </w:rPr>
            </w:pPr>
            <w:r>
              <w:rPr>
                <w:rFonts w:hint="eastAsia" w:ascii="宋体" w:hAnsi="宋体" w:cs="Arial"/>
                <w:color w:val="000000"/>
                <w:kern w:val="0"/>
                <w:sz w:val="22"/>
              </w:rPr>
              <w:t>276,857.00</w:t>
            </w:r>
          </w:p>
        </w:tc>
      </w:tr>
      <w:tr w14:paraId="0BE0753D">
        <w:tblPrEx>
          <w:tblCellMar>
            <w:top w:w="0" w:type="dxa"/>
            <w:left w:w="108" w:type="dxa"/>
            <w:bottom w:w="0" w:type="dxa"/>
            <w:right w:w="108" w:type="dxa"/>
          </w:tblCellMar>
        </w:tblPrEx>
        <w:trPr>
          <w:trHeight w:val="309" w:hRule="atLeast"/>
        </w:trPr>
        <w:tc>
          <w:tcPr>
            <w:tcW w:w="130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25EBDDEE">
            <w:pPr>
              <w:widowControl/>
              <w:jc w:val="left"/>
              <w:rPr>
                <w:rFonts w:ascii="宋体" w:hAnsi="宋体" w:cs="Arial"/>
                <w:color w:val="000000"/>
                <w:kern w:val="0"/>
                <w:sz w:val="22"/>
              </w:rPr>
            </w:pPr>
            <w:r>
              <w:rPr>
                <w:rFonts w:hint="eastAsia" w:ascii="宋体" w:hAnsi="宋体" w:cs="Arial"/>
                <w:color w:val="000000"/>
                <w:kern w:val="0"/>
                <w:sz w:val="22"/>
              </w:rPr>
              <w:t>2210201</w:t>
            </w:r>
          </w:p>
        </w:tc>
        <w:tc>
          <w:tcPr>
            <w:tcW w:w="3524" w:type="dxa"/>
            <w:tcBorders>
              <w:top w:val="nil"/>
              <w:left w:val="nil"/>
              <w:bottom w:val="single" w:color="auto" w:sz="4" w:space="0"/>
              <w:right w:val="single" w:color="auto" w:sz="4" w:space="0"/>
            </w:tcBorders>
            <w:shd w:val="clear" w:color="auto" w:fill="auto"/>
            <w:noWrap/>
            <w:vAlign w:val="center"/>
          </w:tcPr>
          <w:p w14:paraId="54432762">
            <w:pPr>
              <w:widowControl/>
              <w:jc w:val="left"/>
              <w:rPr>
                <w:rFonts w:ascii="宋体" w:hAnsi="宋体" w:cs="Arial"/>
                <w:color w:val="000000"/>
                <w:kern w:val="0"/>
                <w:sz w:val="22"/>
              </w:rPr>
            </w:pPr>
            <w:r>
              <w:rPr>
                <w:rFonts w:hint="eastAsia" w:ascii="宋体" w:hAnsi="宋体" w:cs="Arial"/>
                <w:color w:val="000000"/>
                <w:kern w:val="0"/>
                <w:sz w:val="22"/>
              </w:rPr>
              <w:t xml:space="preserve">  住房公积金</w:t>
            </w:r>
          </w:p>
        </w:tc>
        <w:tc>
          <w:tcPr>
            <w:tcW w:w="1719" w:type="dxa"/>
            <w:tcBorders>
              <w:top w:val="nil"/>
              <w:left w:val="nil"/>
              <w:bottom w:val="single" w:color="auto" w:sz="4" w:space="0"/>
              <w:right w:val="single" w:color="auto" w:sz="4" w:space="0"/>
            </w:tcBorders>
            <w:shd w:val="clear" w:color="auto" w:fill="auto"/>
            <w:noWrap/>
            <w:vAlign w:val="center"/>
          </w:tcPr>
          <w:p w14:paraId="05E5379C">
            <w:pPr>
              <w:widowControl/>
              <w:jc w:val="right"/>
              <w:rPr>
                <w:rFonts w:ascii="宋体" w:hAnsi="宋体" w:cs="Arial"/>
                <w:color w:val="000000"/>
                <w:kern w:val="0"/>
                <w:sz w:val="22"/>
              </w:rPr>
            </w:pPr>
            <w:r>
              <w:rPr>
                <w:rFonts w:hint="eastAsia" w:ascii="宋体" w:hAnsi="宋体" w:cs="Arial"/>
                <w:color w:val="000000"/>
                <w:kern w:val="0"/>
                <w:sz w:val="22"/>
              </w:rPr>
              <w:t>276,857.00</w:t>
            </w:r>
          </w:p>
        </w:tc>
        <w:tc>
          <w:tcPr>
            <w:tcW w:w="1719" w:type="dxa"/>
            <w:tcBorders>
              <w:top w:val="nil"/>
              <w:left w:val="nil"/>
              <w:bottom w:val="single" w:color="auto" w:sz="4" w:space="0"/>
              <w:right w:val="single" w:color="auto" w:sz="4" w:space="0"/>
            </w:tcBorders>
            <w:shd w:val="clear" w:color="auto" w:fill="auto"/>
            <w:noWrap/>
            <w:vAlign w:val="center"/>
          </w:tcPr>
          <w:p w14:paraId="59A46BE7">
            <w:pPr>
              <w:widowControl/>
              <w:jc w:val="right"/>
              <w:rPr>
                <w:rFonts w:ascii="宋体" w:hAnsi="宋体" w:cs="Arial"/>
                <w:color w:val="000000"/>
                <w:kern w:val="0"/>
                <w:sz w:val="22"/>
              </w:rPr>
            </w:pPr>
            <w:r>
              <w:rPr>
                <w:rFonts w:hint="eastAsia" w:ascii="宋体" w:hAnsi="宋体" w:cs="Arial"/>
                <w:color w:val="000000"/>
                <w:kern w:val="0"/>
                <w:sz w:val="22"/>
              </w:rPr>
              <w:t>276,857.00</w:t>
            </w:r>
          </w:p>
        </w:tc>
      </w:tr>
      <w:tr w14:paraId="1B3B4171">
        <w:tblPrEx>
          <w:tblCellMar>
            <w:top w:w="0" w:type="dxa"/>
            <w:left w:w="108" w:type="dxa"/>
            <w:bottom w:w="0" w:type="dxa"/>
            <w:right w:w="108" w:type="dxa"/>
          </w:tblCellMar>
        </w:tblPrEx>
        <w:trPr>
          <w:trHeight w:val="309" w:hRule="atLeast"/>
        </w:trPr>
        <w:tc>
          <w:tcPr>
            <w:tcW w:w="130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563EC2C0">
            <w:pPr>
              <w:widowControl/>
              <w:jc w:val="left"/>
              <w:rPr>
                <w:rFonts w:ascii="宋体" w:hAnsi="宋体" w:cs="Arial"/>
                <w:color w:val="000000"/>
                <w:kern w:val="0"/>
                <w:sz w:val="22"/>
              </w:rPr>
            </w:pPr>
            <w:r>
              <w:rPr>
                <w:rFonts w:hint="eastAsia" w:ascii="宋体" w:hAnsi="宋体" w:cs="Arial"/>
                <w:color w:val="000000"/>
                <w:kern w:val="0"/>
                <w:sz w:val="22"/>
              </w:rPr>
              <w:t>229</w:t>
            </w:r>
          </w:p>
        </w:tc>
        <w:tc>
          <w:tcPr>
            <w:tcW w:w="3524" w:type="dxa"/>
            <w:tcBorders>
              <w:top w:val="nil"/>
              <w:left w:val="nil"/>
              <w:bottom w:val="single" w:color="auto" w:sz="4" w:space="0"/>
              <w:right w:val="single" w:color="auto" w:sz="4" w:space="0"/>
            </w:tcBorders>
            <w:shd w:val="clear" w:color="auto" w:fill="auto"/>
            <w:noWrap/>
            <w:vAlign w:val="center"/>
          </w:tcPr>
          <w:p w14:paraId="3F0E5469">
            <w:pPr>
              <w:widowControl/>
              <w:jc w:val="left"/>
              <w:rPr>
                <w:rFonts w:ascii="宋体" w:hAnsi="宋体" w:cs="Arial"/>
                <w:color w:val="000000"/>
                <w:kern w:val="0"/>
                <w:sz w:val="22"/>
              </w:rPr>
            </w:pPr>
            <w:r>
              <w:rPr>
                <w:rFonts w:hint="eastAsia" w:ascii="宋体" w:hAnsi="宋体" w:cs="Arial"/>
                <w:color w:val="000000"/>
                <w:kern w:val="0"/>
                <w:sz w:val="22"/>
              </w:rPr>
              <w:t>其他支出</w:t>
            </w:r>
          </w:p>
        </w:tc>
        <w:tc>
          <w:tcPr>
            <w:tcW w:w="1719" w:type="dxa"/>
            <w:tcBorders>
              <w:top w:val="nil"/>
              <w:left w:val="nil"/>
              <w:bottom w:val="single" w:color="auto" w:sz="4" w:space="0"/>
              <w:right w:val="single" w:color="auto" w:sz="4" w:space="0"/>
            </w:tcBorders>
            <w:shd w:val="clear" w:color="auto" w:fill="auto"/>
            <w:noWrap/>
            <w:vAlign w:val="center"/>
          </w:tcPr>
          <w:p w14:paraId="4A946004">
            <w:pPr>
              <w:widowControl/>
              <w:jc w:val="right"/>
              <w:rPr>
                <w:rFonts w:ascii="宋体" w:hAnsi="宋体" w:cs="Arial"/>
                <w:color w:val="000000"/>
                <w:kern w:val="0"/>
                <w:sz w:val="22"/>
              </w:rPr>
            </w:pPr>
            <w:r>
              <w:rPr>
                <w:rFonts w:hint="eastAsia" w:ascii="宋体" w:hAnsi="宋体" w:cs="Arial"/>
                <w:color w:val="000000"/>
                <w:kern w:val="0"/>
                <w:sz w:val="22"/>
              </w:rPr>
              <w:t>1,243,320.00</w:t>
            </w:r>
          </w:p>
        </w:tc>
        <w:tc>
          <w:tcPr>
            <w:tcW w:w="1719" w:type="dxa"/>
            <w:tcBorders>
              <w:top w:val="nil"/>
              <w:left w:val="nil"/>
              <w:bottom w:val="single" w:color="auto" w:sz="4" w:space="0"/>
              <w:right w:val="single" w:color="auto" w:sz="4" w:space="0"/>
            </w:tcBorders>
            <w:shd w:val="clear" w:color="auto" w:fill="auto"/>
            <w:noWrap/>
            <w:vAlign w:val="center"/>
          </w:tcPr>
          <w:p w14:paraId="315F0825">
            <w:pPr>
              <w:widowControl/>
              <w:jc w:val="right"/>
              <w:rPr>
                <w:rFonts w:ascii="宋体" w:hAnsi="宋体" w:cs="Arial"/>
                <w:color w:val="000000"/>
                <w:kern w:val="0"/>
                <w:sz w:val="22"/>
              </w:rPr>
            </w:pPr>
            <w:r>
              <w:rPr>
                <w:rFonts w:hint="eastAsia" w:ascii="宋体" w:hAnsi="宋体" w:cs="Arial"/>
                <w:color w:val="000000"/>
                <w:kern w:val="0"/>
                <w:sz w:val="22"/>
              </w:rPr>
              <w:t>1,243,320.00</w:t>
            </w:r>
          </w:p>
        </w:tc>
      </w:tr>
      <w:tr w14:paraId="5242240B">
        <w:tblPrEx>
          <w:tblCellMar>
            <w:top w:w="0" w:type="dxa"/>
            <w:left w:w="108" w:type="dxa"/>
            <w:bottom w:w="0" w:type="dxa"/>
            <w:right w:w="108" w:type="dxa"/>
          </w:tblCellMar>
        </w:tblPrEx>
        <w:trPr>
          <w:trHeight w:val="309" w:hRule="atLeast"/>
        </w:trPr>
        <w:tc>
          <w:tcPr>
            <w:tcW w:w="130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50A9C28A">
            <w:pPr>
              <w:widowControl/>
              <w:jc w:val="left"/>
              <w:rPr>
                <w:rFonts w:ascii="宋体" w:hAnsi="宋体" w:cs="Arial"/>
                <w:color w:val="000000"/>
                <w:kern w:val="0"/>
                <w:sz w:val="22"/>
              </w:rPr>
            </w:pPr>
            <w:r>
              <w:rPr>
                <w:rFonts w:hint="eastAsia" w:ascii="宋体" w:hAnsi="宋体" w:cs="Arial"/>
                <w:color w:val="000000"/>
                <w:kern w:val="0"/>
                <w:sz w:val="22"/>
              </w:rPr>
              <w:t>22960</w:t>
            </w:r>
          </w:p>
        </w:tc>
        <w:tc>
          <w:tcPr>
            <w:tcW w:w="3524" w:type="dxa"/>
            <w:tcBorders>
              <w:top w:val="nil"/>
              <w:left w:val="nil"/>
              <w:bottom w:val="single" w:color="auto" w:sz="4" w:space="0"/>
              <w:right w:val="single" w:color="auto" w:sz="4" w:space="0"/>
            </w:tcBorders>
            <w:shd w:val="clear" w:color="auto" w:fill="auto"/>
            <w:noWrap/>
            <w:vAlign w:val="center"/>
          </w:tcPr>
          <w:p w14:paraId="2A4ECEA6">
            <w:pPr>
              <w:widowControl/>
              <w:jc w:val="left"/>
              <w:rPr>
                <w:rFonts w:ascii="宋体" w:hAnsi="宋体" w:cs="Arial"/>
                <w:color w:val="000000"/>
                <w:kern w:val="0"/>
                <w:sz w:val="22"/>
              </w:rPr>
            </w:pPr>
            <w:r>
              <w:rPr>
                <w:rFonts w:hint="eastAsia" w:ascii="宋体" w:hAnsi="宋体" w:cs="Arial"/>
                <w:color w:val="000000"/>
                <w:kern w:val="0"/>
                <w:sz w:val="22"/>
              </w:rPr>
              <w:t>彩票公益金安排的支出</w:t>
            </w:r>
          </w:p>
        </w:tc>
        <w:tc>
          <w:tcPr>
            <w:tcW w:w="1719" w:type="dxa"/>
            <w:tcBorders>
              <w:top w:val="nil"/>
              <w:left w:val="nil"/>
              <w:bottom w:val="single" w:color="auto" w:sz="4" w:space="0"/>
              <w:right w:val="single" w:color="auto" w:sz="4" w:space="0"/>
            </w:tcBorders>
            <w:shd w:val="clear" w:color="auto" w:fill="auto"/>
            <w:noWrap/>
            <w:vAlign w:val="center"/>
          </w:tcPr>
          <w:p w14:paraId="5E3E3841">
            <w:pPr>
              <w:widowControl/>
              <w:jc w:val="right"/>
              <w:rPr>
                <w:rFonts w:ascii="宋体" w:hAnsi="宋体" w:cs="Arial"/>
                <w:color w:val="000000"/>
                <w:kern w:val="0"/>
                <w:sz w:val="22"/>
              </w:rPr>
            </w:pPr>
            <w:r>
              <w:rPr>
                <w:rFonts w:hint="eastAsia" w:ascii="宋体" w:hAnsi="宋体" w:cs="Arial"/>
                <w:color w:val="000000"/>
                <w:kern w:val="0"/>
                <w:sz w:val="22"/>
              </w:rPr>
              <w:t>1,243,320.00</w:t>
            </w:r>
          </w:p>
        </w:tc>
        <w:tc>
          <w:tcPr>
            <w:tcW w:w="1719" w:type="dxa"/>
            <w:tcBorders>
              <w:top w:val="nil"/>
              <w:left w:val="nil"/>
              <w:bottom w:val="single" w:color="auto" w:sz="4" w:space="0"/>
              <w:right w:val="single" w:color="auto" w:sz="4" w:space="0"/>
            </w:tcBorders>
            <w:shd w:val="clear" w:color="auto" w:fill="auto"/>
            <w:noWrap/>
            <w:vAlign w:val="center"/>
          </w:tcPr>
          <w:p w14:paraId="4B98F682">
            <w:pPr>
              <w:widowControl/>
              <w:jc w:val="right"/>
              <w:rPr>
                <w:rFonts w:ascii="宋体" w:hAnsi="宋体" w:cs="Arial"/>
                <w:color w:val="000000"/>
                <w:kern w:val="0"/>
                <w:sz w:val="22"/>
              </w:rPr>
            </w:pPr>
            <w:r>
              <w:rPr>
                <w:rFonts w:hint="eastAsia" w:ascii="宋体" w:hAnsi="宋体" w:cs="Arial"/>
                <w:color w:val="000000"/>
                <w:kern w:val="0"/>
                <w:sz w:val="22"/>
              </w:rPr>
              <w:t>1,243,320.00</w:t>
            </w:r>
          </w:p>
        </w:tc>
      </w:tr>
      <w:tr w14:paraId="7087A5BA">
        <w:tblPrEx>
          <w:tblCellMar>
            <w:top w:w="0" w:type="dxa"/>
            <w:left w:w="108" w:type="dxa"/>
            <w:bottom w:w="0" w:type="dxa"/>
            <w:right w:w="108" w:type="dxa"/>
          </w:tblCellMar>
        </w:tblPrEx>
        <w:trPr>
          <w:trHeight w:val="309" w:hRule="atLeast"/>
        </w:trPr>
        <w:tc>
          <w:tcPr>
            <w:tcW w:w="130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568FA84F">
            <w:pPr>
              <w:widowControl/>
              <w:jc w:val="left"/>
              <w:rPr>
                <w:rFonts w:ascii="宋体" w:hAnsi="宋体" w:cs="Arial"/>
                <w:color w:val="000000"/>
                <w:kern w:val="0"/>
                <w:sz w:val="22"/>
              </w:rPr>
            </w:pPr>
            <w:r>
              <w:rPr>
                <w:rFonts w:hint="eastAsia" w:ascii="宋体" w:hAnsi="宋体" w:cs="Arial"/>
                <w:color w:val="000000"/>
                <w:kern w:val="0"/>
                <w:sz w:val="22"/>
              </w:rPr>
              <w:t>2296002</w:t>
            </w:r>
          </w:p>
        </w:tc>
        <w:tc>
          <w:tcPr>
            <w:tcW w:w="3524" w:type="dxa"/>
            <w:tcBorders>
              <w:top w:val="nil"/>
              <w:left w:val="nil"/>
              <w:bottom w:val="single" w:color="auto" w:sz="4" w:space="0"/>
              <w:right w:val="single" w:color="auto" w:sz="4" w:space="0"/>
            </w:tcBorders>
            <w:shd w:val="clear" w:color="auto" w:fill="auto"/>
            <w:noWrap/>
            <w:vAlign w:val="center"/>
          </w:tcPr>
          <w:p w14:paraId="7C2365B5">
            <w:pPr>
              <w:widowControl/>
              <w:jc w:val="left"/>
              <w:rPr>
                <w:rFonts w:ascii="宋体" w:hAnsi="宋体" w:cs="Arial"/>
                <w:color w:val="000000"/>
                <w:kern w:val="0"/>
                <w:sz w:val="22"/>
              </w:rPr>
            </w:pPr>
            <w:r>
              <w:rPr>
                <w:rFonts w:hint="eastAsia" w:ascii="宋体" w:hAnsi="宋体" w:cs="Arial"/>
                <w:color w:val="000000"/>
                <w:kern w:val="0"/>
                <w:sz w:val="22"/>
              </w:rPr>
              <w:t xml:space="preserve">  用于社会福利的彩票公益金支出</w:t>
            </w:r>
          </w:p>
        </w:tc>
        <w:tc>
          <w:tcPr>
            <w:tcW w:w="1719" w:type="dxa"/>
            <w:tcBorders>
              <w:top w:val="nil"/>
              <w:left w:val="nil"/>
              <w:bottom w:val="single" w:color="auto" w:sz="4" w:space="0"/>
              <w:right w:val="single" w:color="auto" w:sz="4" w:space="0"/>
            </w:tcBorders>
            <w:shd w:val="clear" w:color="auto" w:fill="auto"/>
            <w:noWrap/>
            <w:vAlign w:val="center"/>
          </w:tcPr>
          <w:p w14:paraId="18132E7A">
            <w:pPr>
              <w:widowControl/>
              <w:jc w:val="right"/>
              <w:rPr>
                <w:rFonts w:ascii="宋体" w:hAnsi="宋体" w:cs="Arial"/>
                <w:color w:val="000000"/>
                <w:kern w:val="0"/>
                <w:sz w:val="22"/>
              </w:rPr>
            </w:pPr>
            <w:r>
              <w:rPr>
                <w:rFonts w:hint="eastAsia" w:ascii="宋体" w:hAnsi="宋体" w:cs="Arial"/>
                <w:color w:val="000000"/>
                <w:kern w:val="0"/>
                <w:sz w:val="22"/>
              </w:rPr>
              <w:t>724,520.00</w:t>
            </w:r>
          </w:p>
        </w:tc>
        <w:tc>
          <w:tcPr>
            <w:tcW w:w="1719" w:type="dxa"/>
            <w:tcBorders>
              <w:top w:val="nil"/>
              <w:left w:val="nil"/>
              <w:bottom w:val="single" w:color="auto" w:sz="4" w:space="0"/>
              <w:right w:val="single" w:color="auto" w:sz="4" w:space="0"/>
            </w:tcBorders>
            <w:shd w:val="clear" w:color="auto" w:fill="auto"/>
            <w:noWrap/>
            <w:vAlign w:val="center"/>
          </w:tcPr>
          <w:p w14:paraId="59A92399">
            <w:pPr>
              <w:widowControl/>
              <w:jc w:val="right"/>
              <w:rPr>
                <w:rFonts w:ascii="宋体" w:hAnsi="宋体" w:cs="Arial"/>
                <w:color w:val="000000"/>
                <w:kern w:val="0"/>
                <w:sz w:val="22"/>
              </w:rPr>
            </w:pPr>
            <w:r>
              <w:rPr>
                <w:rFonts w:hint="eastAsia" w:ascii="宋体" w:hAnsi="宋体" w:cs="Arial"/>
                <w:color w:val="000000"/>
                <w:kern w:val="0"/>
                <w:sz w:val="22"/>
              </w:rPr>
              <w:t>724,520.00</w:t>
            </w:r>
          </w:p>
        </w:tc>
      </w:tr>
      <w:tr w14:paraId="6CFDD6A1">
        <w:tblPrEx>
          <w:tblCellMar>
            <w:top w:w="0" w:type="dxa"/>
            <w:left w:w="108" w:type="dxa"/>
            <w:bottom w:w="0" w:type="dxa"/>
            <w:right w:w="108" w:type="dxa"/>
          </w:tblCellMar>
        </w:tblPrEx>
        <w:trPr>
          <w:trHeight w:val="309" w:hRule="atLeast"/>
        </w:trPr>
        <w:tc>
          <w:tcPr>
            <w:tcW w:w="130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785674A1">
            <w:pPr>
              <w:widowControl/>
              <w:jc w:val="left"/>
              <w:rPr>
                <w:rFonts w:ascii="宋体" w:hAnsi="宋体" w:cs="Arial"/>
                <w:color w:val="000000"/>
                <w:kern w:val="0"/>
                <w:sz w:val="22"/>
              </w:rPr>
            </w:pPr>
            <w:r>
              <w:rPr>
                <w:rFonts w:hint="eastAsia" w:ascii="宋体" w:hAnsi="宋体" w:cs="Arial"/>
                <w:color w:val="000000"/>
                <w:kern w:val="0"/>
                <w:sz w:val="22"/>
              </w:rPr>
              <w:t>2296013</w:t>
            </w:r>
          </w:p>
        </w:tc>
        <w:tc>
          <w:tcPr>
            <w:tcW w:w="3524" w:type="dxa"/>
            <w:tcBorders>
              <w:top w:val="nil"/>
              <w:left w:val="nil"/>
              <w:bottom w:val="single" w:color="auto" w:sz="4" w:space="0"/>
              <w:right w:val="single" w:color="auto" w:sz="4" w:space="0"/>
            </w:tcBorders>
            <w:shd w:val="clear" w:color="auto" w:fill="auto"/>
            <w:noWrap/>
            <w:vAlign w:val="center"/>
          </w:tcPr>
          <w:p w14:paraId="33C27F46">
            <w:pPr>
              <w:widowControl/>
              <w:jc w:val="left"/>
              <w:rPr>
                <w:rFonts w:ascii="宋体" w:hAnsi="宋体" w:cs="Arial"/>
                <w:color w:val="000000"/>
                <w:kern w:val="0"/>
                <w:sz w:val="22"/>
              </w:rPr>
            </w:pPr>
            <w:r>
              <w:rPr>
                <w:rFonts w:hint="eastAsia" w:ascii="宋体" w:hAnsi="宋体" w:cs="Arial"/>
                <w:color w:val="000000"/>
                <w:kern w:val="0"/>
                <w:sz w:val="22"/>
              </w:rPr>
              <w:t xml:space="preserve">  用于城乡医疗救助的彩票公益金支出</w:t>
            </w:r>
          </w:p>
        </w:tc>
        <w:tc>
          <w:tcPr>
            <w:tcW w:w="1719" w:type="dxa"/>
            <w:tcBorders>
              <w:top w:val="nil"/>
              <w:left w:val="nil"/>
              <w:bottom w:val="single" w:color="auto" w:sz="4" w:space="0"/>
              <w:right w:val="single" w:color="auto" w:sz="4" w:space="0"/>
            </w:tcBorders>
            <w:shd w:val="clear" w:color="auto" w:fill="auto"/>
            <w:noWrap/>
            <w:vAlign w:val="center"/>
          </w:tcPr>
          <w:p w14:paraId="376E0898">
            <w:pPr>
              <w:widowControl/>
              <w:jc w:val="right"/>
              <w:rPr>
                <w:rFonts w:ascii="宋体" w:hAnsi="宋体" w:cs="Arial"/>
                <w:color w:val="000000"/>
                <w:kern w:val="0"/>
                <w:sz w:val="22"/>
              </w:rPr>
            </w:pPr>
            <w:r>
              <w:rPr>
                <w:rFonts w:hint="eastAsia" w:ascii="宋体" w:hAnsi="宋体" w:cs="Arial"/>
                <w:color w:val="000000"/>
                <w:kern w:val="0"/>
                <w:sz w:val="22"/>
              </w:rPr>
              <w:t>518,800.00</w:t>
            </w:r>
          </w:p>
        </w:tc>
        <w:tc>
          <w:tcPr>
            <w:tcW w:w="1719" w:type="dxa"/>
            <w:tcBorders>
              <w:top w:val="nil"/>
              <w:left w:val="nil"/>
              <w:bottom w:val="single" w:color="auto" w:sz="4" w:space="0"/>
              <w:right w:val="single" w:color="auto" w:sz="4" w:space="0"/>
            </w:tcBorders>
            <w:shd w:val="clear" w:color="auto" w:fill="auto"/>
            <w:noWrap/>
            <w:vAlign w:val="center"/>
          </w:tcPr>
          <w:p w14:paraId="081608BC">
            <w:pPr>
              <w:widowControl/>
              <w:jc w:val="right"/>
              <w:rPr>
                <w:rFonts w:ascii="宋体" w:hAnsi="宋体" w:cs="Arial"/>
                <w:color w:val="000000"/>
                <w:kern w:val="0"/>
                <w:sz w:val="22"/>
              </w:rPr>
            </w:pPr>
            <w:r>
              <w:rPr>
                <w:rFonts w:hint="eastAsia" w:ascii="宋体" w:hAnsi="宋体" w:cs="Arial"/>
                <w:color w:val="000000"/>
                <w:kern w:val="0"/>
                <w:sz w:val="22"/>
              </w:rPr>
              <w:t>518,800.00</w:t>
            </w:r>
          </w:p>
        </w:tc>
      </w:tr>
    </w:tbl>
    <w:p w14:paraId="146BC8CE">
      <w:pPr>
        <w:spacing w:line="560" w:lineRule="exact"/>
        <w:ind w:firstLine="630" w:firstLineChars="196"/>
        <w:rPr>
          <w:rFonts w:eastAsia="楷体"/>
          <w:b/>
          <w:color w:val="000000"/>
          <w:sz w:val="32"/>
          <w:szCs w:val="32"/>
        </w:rPr>
      </w:pPr>
      <w:r>
        <w:rPr>
          <w:rFonts w:eastAsia="楷体"/>
          <w:b/>
          <w:color w:val="000000"/>
          <w:sz w:val="32"/>
          <w:szCs w:val="32"/>
        </w:rPr>
        <w:t>（二）部门财政资金支出情况</w:t>
      </w:r>
    </w:p>
    <w:p w14:paraId="6AD063EB">
      <w:pPr>
        <w:spacing w:line="560" w:lineRule="exact"/>
        <w:ind w:firstLine="627" w:firstLineChars="196"/>
        <w:rPr>
          <w:rFonts w:ascii="仿宋_GB2312" w:hAnsi="仿宋_GB2312" w:eastAsia="仿宋_GB2312"/>
          <w:color w:val="000000"/>
          <w:sz w:val="32"/>
        </w:rPr>
      </w:pPr>
      <w:r>
        <w:rPr>
          <w:rFonts w:hint="eastAsia" w:ascii="仿宋_GB2312" w:hAnsi="仿宋_GB2312" w:eastAsia="仿宋_GB2312"/>
          <w:color w:val="000000"/>
          <w:sz w:val="32"/>
        </w:rPr>
        <w:t>2020年米易县医疗保障局财政资金支出总额为20</w:t>
      </w:r>
      <w:r>
        <w:rPr>
          <w:rFonts w:ascii="仿宋_GB2312" w:hAnsi="仿宋_GB2312" w:eastAsia="仿宋_GB2312"/>
          <w:color w:val="000000"/>
          <w:sz w:val="32"/>
        </w:rPr>
        <w:t>,</w:t>
      </w:r>
      <w:r>
        <w:rPr>
          <w:rFonts w:hint="eastAsia" w:ascii="仿宋_GB2312" w:hAnsi="仿宋_GB2312" w:eastAsia="仿宋_GB2312"/>
          <w:color w:val="000000"/>
          <w:sz w:val="32"/>
        </w:rPr>
        <w:t>022</w:t>
      </w:r>
      <w:r>
        <w:rPr>
          <w:rFonts w:ascii="仿宋_GB2312" w:hAnsi="仿宋_GB2312" w:eastAsia="仿宋_GB2312"/>
          <w:color w:val="000000"/>
          <w:sz w:val="32"/>
        </w:rPr>
        <w:t>,</w:t>
      </w:r>
      <w:r>
        <w:rPr>
          <w:rFonts w:hint="eastAsia" w:ascii="仿宋_GB2312" w:hAnsi="仿宋_GB2312" w:eastAsia="仿宋_GB2312"/>
          <w:color w:val="000000"/>
          <w:sz w:val="32"/>
        </w:rPr>
        <w:t>830</w:t>
      </w:r>
      <w:r>
        <w:rPr>
          <w:rFonts w:ascii="仿宋_GB2312" w:hAnsi="仿宋_GB2312" w:eastAsia="仿宋_GB2312"/>
          <w:color w:val="000000"/>
          <w:sz w:val="32"/>
        </w:rPr>
        <w:t>.</w:t>
      </w:r>
      <w:r>
        <w:rPr>
          <w:rFonts w:hint="eastAsia" w:ascii="仿宋_GB2312" w:hAnsi="仿宋_GB2312" w:eastAsia="仿宋_GB2312"/>
          <w:color w:val="000000"/>
          <w:sz w:val="32"/>
        </w:rPr>
        <w:t>24元。明细请参见下表：</w:t>
      </w:r>
    </w:p>
    <w:p w14:paraId="7C1DE70E">
      <w:pPr>
        <w:spacing w:line="560" w:lineRule="exact"/>
        <w:ind w:firstLine="630" w:firstLineChars="196"/>
        <w:rPr>
          <w:rFonts w:eastAsia="楷体"/>
          <w:b/>
          <w:color w:val="000000"/>
          <w:sz w:val="32"/>
          <w:szCs w:val="32"/>
        </w:rPr>
      </w:pPr>
    </w:p>
    <w:tbl>
      <w:tblPr>
        <w:tblStyle w:val="14"/>
        <w:tblW w:w="8801" w:type="dxa"/>
        <w:tblInd w:w="96" w:type="dxa"/>
        <w:tblLayout w:type="autofit"/>
        <w:tblCellMar>
          <w:top w:w="0" w:type="dxa"/>
          <w:left w:w="108" w:type="dxa"/>
          <w:bottom w:w="0" w:type="dxa"/>
          <w:right w:w="108" w:type="dxa"/>
        </w:tblCellMar>
      </w:tblPr>
      <w:tblGrid>
        <w:gridCol w:w="436"/>
        <w:gridCol w:w="436"/>
        <w:gridCol w:w="436"/>
        <w:gridCol w:w="2815"/>
        <w:gridCol w:w="1646"/>
        <w:gridCol w:w="1536"/>
        <w:gridCol w:w="1646"/>
      </w:tblGrid>
      <w:tr w14:paraId="47F9AA8D">
        <w:tblPrEx>
          <w:tblCellMar>
            <w:top w:w="0" w:type="dxa"/>
            <w:left w:w="108" w:type="dxa"/>
            <w:bottom w:w="0" w:type="dxa"/>
            <w:right w:w="108" w:type="dxa"/>
          </w:tblCellMar>
        </w:tblPrEx>
        <w:trPr>
          <w:trHeight w:val="309" w:hRule="atLeast"/>
        </w:trPr>
        <w:tc>
          <w:tcPr>
            <w:tcW w:w="4123" w:type="dxa"/>
            <w:gridSpan w:val="4"/>
            <w:tcBorders>
              <w:top w:val="single" w:color="000000" w:sz="4" w:space="0"/>
              <w:left w:val="single" w:color="000000" w:sz="4" w:space="0"/>
              <w:bottom w:val="single" w:color="000000" w:sz="4" w:space="0"/>
              <w:right w:val="single" w:color="000000" w:sz="4" w:space="0"/>
            </w:tcBorders>
            <w:shd w:val="clear" w:color="FFFFFF" w:fill="C0C0C0"/>
            <w:noWrap/>
            <w:vAlign w:val="center"/>
          </w:tcPr>
          <w:p w14:paraId="73B2D2A0">
            <w:pPr>
              <w:widowControl/>
              <w:jc w:val="center"/>
              <w:rPr>
                <w:rFonts w:ascii="宋体" w:hAnsi="宋体" w:cs="Arial"/>
                <w:color w:val="000000"/>
                <w:kern w:val="0"/>
                <w:sz w:val="22"/>
              </w:rPr>
            </w:pPr>
            <w:r>
              <w:rPr>
                <w:rFonts w:hint="eastAsia" w:ascii="宋体" w:hAnsi="宋体" w:cs="Arial"/>
                <w:color w:val="000000"/>
                <w:kern w:val="0"/>
                <w:sz w:val="22"/>
              </w:rPr>
              <w:t>项目</w:t>
            </w:r>
          </w:p>
        </w:tc>
        <w:tc>
          <w:tcPr>
            <w:tcW w:w="1646" w:type="dxa"/>
            <w:vMerge w:val="restart"/>
            <w:tcBorders>
              <w:top w:val="single" w:color="000000" w:sz="4" w:space="0"/>
              <w:left w:val="nil"/>
              <w:bottom w:val="single" w:color="000000" w:sz="4" w:space="0"/>
              <w:right w:val="single" w:color="000000" w:sz="4" w:space="0"/>
            </w:tcBorders>
            <w:shd w:val="clear" w:color="FFFFFF" w:fill="C0C0C0"/>
            <w:vAlign w:val="center"/>
          </w:tcPr>
          <w:p w14:paraId="097C81BF">
            <w:pPr>
              <w:widowControl/>
              <w:jc w:val="center"/>
              <w:rPr>
                <w:rFonts w:ascii="宋体" w:hAnsi="宋体" w:cs="Arial"/>
                <w:color w:val="000000"/>
                <w:kern w:val="0"/>
                <w:sz w:val="22"/>
              </w:rPr>
            </w:pPr>
            <w:r>
              <w:rPr>
                <w:rFonts w:hint="eastAsia" w:ascii="宋体" w:hAnsi="宋体" w:cs="Arial"/>
                <w:color w:val="000000"/>
                <w:kern w:val="0"/>
                <w:sz w:val="22"/>
              </w:rPr>
              <w:t>本年支出合计</w:t>
            </w:r>
          </w:p>
        </w:tc>
        <w:tc>
          <w:tcPr>
            <w:tcW w:w="1536" w:type="dxa"/>
            <w:vMerge w:val="restart"/>
            <w:tcBorders>
              <w:top w:val="single" w:color="000000" w:sz="4" w:space="0"/>
              <w:left w:val="nil"/>
              <w:bottom w:val="single" w:color="000000" w:sz="4" w:space="0"/>
              <w:right w:val="single" w:color="000000" w:sz="4" w:space="0"/>
            </w:tcBorders>
            <w:shd w:val="clear" w:color="FFFFFF" w:fill="C0C0C0"/>
            <w:vAlign w:val="center"/>
          </w:tcPr>
          <w:p w14:paraId="0F9C65D1">
            <w:pPr>
              <w:widowControl/>
              <w:jc w:val="center"/>
              <w:rPr>
                <w:rFonts w:ascii="宋体" w:hAnsi="宋体" w:cs="Arial"/>
                <w:color w:val="000000"/>
                <w:kern w:val="0"/>
                <w:sz w:val="22"/>
              </w:rPr>
            </w:pPr>
            <w:r>
              <w:rPr>
                <w:rFonts w:hint="eastAsia" w:ascii="宋体" w:hAnsi="宋体" w:cs="Arial"/>
                <w:color w:val="000000"/>
                <w:kern w:val="0"/>
                <w:sz w:val="22"/>
              </w:rPr>
              <w:t>基本支出</w:t>
            </w:r>
          </w:p>
        </w:tc>
        <w:tc>
          <w:tcPr>
            <w:tcW w:w="1496" w:type="dxa"/>
            <w:vMerge w:val="restart"/>
            <w:tcBorders>
              <w:top w:val="single" w:color="000000" w:sz="4" w:space="0"/>
              <w:left w:val="nil"/>
              <w:bottom w:val="single" w:color="000000" w:sz="4" w:space="0"/>
              <w:right w:val="single" w:color="000000" w:sz="4" w:space="0"/>
            </w:tcBorders>
            <w:shd w:val="clear" w:color="FFFFFF" w:fill="C0C0C0"/>
            <w:vAlign w:val="center"/>
          </w:tcPr>
          <w:p w14:paraId="5B07A3AA">
            <w:pPr>
              <w:widowControl/>
              <w:jc w:val="center"/>
              <w:rPr>
                <w:rFonts w:ascii="宋体" w:hAnsi="宋体" w:cs="Arial"/>
                <w:color w:val="000000"/>
                <w:kern w:val="0"/>
                <w:sz w:val="22"/>
              </w:rPr>
            </w:pPr>
            <w:r>
              <w:rPr>
                <w:rFonts w:hint="eastAsia" w:ascii="宋体" w:hAnsi="宋体" w:cs="Arial"/>
                <w:color w:val="000000"/>
                <w:kern w:val="0"/>
                <w:sz w:val="22"/>
              </w:rPr>
              <w:t>项目支出</w:t>
            </w:r>
          </w:p>
        </w:tc>
      </w:tr>
      <w:tr w14:paraId="19862E57">
        <w:tblPrEx>
          <w:tblCellMar>
            <w:top w:w="0" w:type="dxa"/>
            <w:left w:w="108" w:type="dxa"/>
            <w:bottom w:w="0" w:type="dxa"/>
            <w:right w:w="108" w:type="dxa"/>
          </w:tblCellMar>
        </w:tblPrEx>
        <w:trPr>
          <w:trHeight w:val="312" w:hRule="atLeast"/>
        </w:trPr>
        <w:tc>
          <w:tcPr>
            <w:tcW w:w="1308" w:type="dxa"/>
            <w:gridSpan w:val="3"/>
            <w:vMerge w:val="restart"/>
            <w:tcBorders>
              <w:top w:val="nil"/>
              <w:left w:val="single" w:color="000000" w:sz="4" w:space="0"/>
              <w:bottom w:val="single" w:color="000000" w:sz="4" w:space="0"/>
              <w:right w:val="single" w:color="000000" w:sz="4" w:space="0"/>
            </w:tcBorders>
            <w:shd w:val="clear" w:color="FFFFFF" w:fill="C0C0C0"/>
            <w:vAlign w:val="center"/>
          </w:tcPr>
          <w:p w14:paraId="3EA82458">
            <w:pPr>
              <w:widowControl/>
              <w:jc w:val="center"/>
              <w:rPr>
                <w:rFonts w:ascii="宋体" w:hAnsi="宋体" w:cs="Arial"/>
                <w:color w:val="000000"/>
                <w:kern w:val="0"/>
                <w:sz w:val="22"/>
              </w:rPr>
            </w:pPr>
            <w:r>
              <w:rPr>
                <w:rFonts w:hint="eastAsia" w:ascii="宋体" w:hAnsi="宋体" w:cs="Arial"/>
                <w:color w:val="000000"/>
                <w:kern w:val="0"/>
                <w:sz w:val="22"/>
              </w:rPr>
              <w:t>支出功能分类科目编码</w:t>
            </w:r>
          </w:p>
        </w:tc>
        <w:tc>
          <w:tcPr>
            <w:tcW w:w="2815" w:type="dxa"/>
            <w:vMerge w:val="restart"/>
            <w:tcBorders>
              <w:top w:val="nil"/>
              <w:left w:val="nil"/>
              <w:bottom w:val="single" w:color="000000" w:sz="4" w:space="0"/>
              <w:right w:val="single" w:color="000000" w:sz="4" w:space="0"/>
            </w:tcBorders>
            <w:shd w:val="clear" w:color="FFFFFF" w:fill="C0C0C0"/>
            <w:noWrap/>
            <w:vAlign w:val="center"/>
          </w:tcPr>
          <w:p w14:paraId="6D50EAA1">
            <w:pPr>
              <w:widowControl/>
              <w:jc w:val="center"/>
              <w:rPr>
                <w:rFonts w:ascii="宋体" w:hAnsi="宋体" w:cs="Arial"/>
                <w:color w:val="000000"/>
                <w:kern w:val="0"/>
                <w:sz w:val="22"/>
              </w:rPr>
            </w:pPr>
            <w:r>
              <w:rPr>
                <w:rFonts w:hint="eastAsia" w:ascii="宋体" w:hAnsi="宋体" w:cs="Arial"/>
                <w:color w:val="000000"/>
                <w:kern w:val="0"/>
                <w:sz w:val="22"/>
              </w:rPr>
              <w:t>科目名称</w:t>
            </w:r>
          </w:p>
        </w:tc>
        <w:tc>
          <w:tcPr>
            <w:tcW w:w="1646" w:type="dxa"/>
            <w:vMerge w:val="continue"/>
            <w:tcBorders>
              <w:top w:val="single" w:color="000000" w:sz="4" w:space="0"/>
              <w:left w:val="nil"/>
              <w:bottom w:val="single" w:color="000000" w:sz="4" w:space="0"/>
              <w:right w:val="single" w:color="000000" w:sz="4" w:space="0"/>
            </w:tcBorders>
            <w:vAlign w:val="center"/>
          </w:tcPr>
          <w:p w14:paraId="127109F1">
            <w:pPr>
              <w:widowControl/>
              <w:jc w:val="left"/>
              <w:rPr>
                <w:rFonts w:ascii="宋体" w:hAnsi="宋体" w:cs="Arial"/>
                <w:color w:val="000000"/>
                <w:kern w:val="0"/>
                <w:sz w:val="22"/>
              </w:rPr>
            </w:pPr>
          </w:p>
        </w:tc>
        <w:tc>
          <w:tcPr>
            <w:tcW w:w="1536" w:type="dxa"/>
            <w:vMerge w:val="continue"/>
            <w:tcBorders>
              <w:top w:val="single" w:color="000000" w:sz="4" w:space="0"/>
              <w:left w:val="nil"/>
              <w:bottom w:val="single" w:color="000000" w:sz="4" w:space="0"/>
              <w:right w:val="single" w:color="000000" w:sz="4" w:space="0"/>
            </w:tcBorders>
            <w:vAlign w:val="center"/>
          </w:tcPr>
          <w:p w14:paraId="1C62DF41">
            <w:pPr>
              <w:widowControl/>
              <w:jc w:val="left"/>
              <w:rPr>
                <w:rFonts w:ascii="宋体" w:hAnsi="宋体" w:cs="Arial"/>
                <w:color w:val="000000"/>
                <w:kern w:val="0"/>
                <w:sz w:val="22"/>
              </w:rPr>
            </w:pPr>
          </w:p>
        </w:tc>
        <w:tc>
          <w:tcPr>
            <w:tcW w:w="1496" w:type="dxa"/>
            <w:vMerge w:val="continue"/>
            <w:tcBorders>
              <w:top w:val="single" w:color="000000" w:sz="4" w:space="0"/>
              <w:left w:val="nil"/>
              <w:bottom w:val="single" w:color="000000" w:sz="4" w:space="0"/>
              <w:right w:val="single" w:color="000000" w:sz="4" w:space="0"/>
            </w:tcBorders>
            <w:vAlign w:val="center"/>
          </w:tcPr>
          <w:p w14:paraId="7983ADC6">
            <w:pPr>
              <w:widowControl/>
              <w:jc w:val="left"/>
              <w:rPr>
                <w:rFonts w:ascii="宋体" w:hAnsi="宋体" w:cs="Arial"/>
                <w:color w:val="000000"/>
                <w:kern w:val="0"/>
                <w:sz w:val="22"/>
              </w:rPr>
            </w:pPr>
          </w:p>
        </w:tc>
      </w:tr>
      <w:tr w14:paraId="49360A5F">
        <w:tblPrEx>
          <w:tblCellMar>
            <w:top w:w="0" w:type="dxa"/>
            <w:left w:w="108" w:type="dxa"/>
            <w:bottom w:w="0" w:type="dxa"/>
            <w:right w:w="108" w:type="dxa"/>
          </w:tblCellMar>
        </w:tblPrEx>
        <w:trPr>
          <w:trHeight w:val="312" w:hRule="atLeast"/>
        </w:trPr>
        <w:tc>
          <w:tcPr>
            <w:tcW w:w="1308" w:type="dxa"/>
            <w:gridSpan w:val="3"/>
            <w:vMerge w:val="continue"/>
            <w:tcBorders>
              <w:top w:val="nil"/>
              <w:left w:val="single" w:color="000000" w:sz="4" w:space="0"/>
              <w:bottom w:val="single" w:color="000000" w:sz="4" w:space="0"/>
              <w:right w:val="single" w:color="000000" w:sz="4" w:space="0"/>
            </w:tcBorders>
            <w:vAlign w:val="center"/>
          </w:tcPr>
          <w:p w14:paraId="73AD1BE3">
            <w:pPr>
              <w:widowControl/>
              <w:jc w:val="left"/>
              <w:rPr>
                <w:rFonts w:ascii="宋体" w:hAnsi="宋体" w:cs="Arial"/>
                <w:color w:val="000000"/>
                <w:kern w:val="0"/>
                <w:sz w:val="22"/>
              </w:rPr>
            </w:pPr>
          </w:p>
        </w:tc>
        <w:tc>
          <w:tcPr>
            <w:tcW w:w="2815" w:type="dxa"/>
            <w:vMerge w:val="continue"/>
            <w:tcBorders>
              <w:top w:val="nil"/>
              <w:left w:val="nil"/>
              <w:bottom w:val="single" w:color="000000" w:sz="4" w:space="0"/>
              <w:right w:val="single" w:color="000000" w:sz="4" w:space="0"/>
            </w:tcBorders>
            <w:vAlign w:val="center"/>
          </w:tcPr>
          <w:p w14:paraId="79A5DD6D">
            <w:pPr>
              <w:widowControl/>
              <w:jc w:val="left"/>
              <w:rPr>
                <w:rFonts w:ascii="宋体" w:hAnsi="宋体" w:cs="Arial"/>
                <w:color w:val="000000"/>
                <w:kern w:val="0"/>
                <w:sz w:val="22"/>
              </w:rPr>
            </w:pPr>
          </w:p>
        </w:tc>
        <w:tc>
          <w:tcPr>
            <w:tcW w:w="1646" w:type="dxa"/>
            <w:vMerge w:val="continue"/>
            <w:tcBorders>
              <w:top w:val="single" w:color="000000" w:sz="4" w:space="0"/>
              <w:left w:val="nil"/>
              <w:bottom w:val="single" w:color="000000" w:sz="4" w:space="0"/>
              <w:right w:val="single" w:color="000000" w:sz="4" w:space="0"/>
            </w:tcBorders>
            <w:vAlign w:val="center"/>
          </w:tcPr>
          <w:p w14:paraId="0C12E299">
            <w:pPr>
              <w:widowControl/>
              <w:jc w:val="left"/>
              <w:rPr>
                <w:rFonts w:ascii="宋体" w:hAnsi="宋体" w:cs="Arial"/>
                <w:color w:val="000000"/>
                <w:kern w:val="0"/>
                <w:sz w:val="22"/>
              </w:rPr>
            </w:pPr>
          </w:p>
        </w:tc>
        <w:tc>
          <w:tcPr>
            <w:tcW w:w="1536" w:type="dxa"/>
            <w:vMerge w:val="continue"/>
            <w:tcBorders>
              <w:top w:val="single" w:color="000000" w:sz="4" w:space="0"/>
              <w:left w:val="nil"/>
              <w:bottom w:val="single" w:color="000000" w:sz="4" w:space="0"/>
              <w:right w:val="single" w:color="000000" w:sz="4" w:space="0"/>
            </w:tcBorders>
            <w:vAlign w:val="center"/>
          </w:tcPr>
          <w:p w14:paraId="09AE9794">
            <w:pPr>
              <w:widowControl/>
              <w:jc w:val="left"/>
              <w:rPr>
                <w:rFonts w:ascii="宋体" w:hAnsi="宋体" w:cs="Arial"/>
                <w:color w:val="000000"/>
                <w:kern w:val="0"/>
                <w:sz w:val="22"/>
              </w:rPr>
            </w:pPr>
          </w:p>
        </w:tc>
        <w:tc>
          <w:tcPr>
            <w:tcW w:w="1496" w:type="dxa"/>
            <w:vMerge w:val="continue"/>
            <w:tcBorders>
              <w:top w:val="single" w:color="000000" w:sz="4" w:space="0"/>
              <w:left w:val="nil"/>
              <w:bottom w:val="single" w:color="000000" w:sz="4" w:space="0"/>
              <w:right w:val="single" w:color="000000" w:sz="4" w:space="0"/>
            </w:tcBorders>
            <w:vAlign w:val="center"/>
          </w:tcPr>
          <w:p w14:paraId="69FBF291">
            <w:pPr>
              <w:widowControl/>
              <w:jc w:val="left"/>
              <w:rPr>
                <w:rFonts w:ascii="宋体" w:hAnsi="宋体" w:cs="Arial"/>
                <w:color w:val="000000"/>
                <w:kern w:val="0"/>
                <w:sz w:val="22"/>
              </w:rPr>
            </w:pPr>
          </w:p>
        </w:tc>
      </w:tr>
      <w:tr w14:paraId="4E7EB593">
        <w:tblPrEx>
          <w:tblCellMar>
            <w:top w:w="0" w:type="dxa"/>
            <w:left w:w="108" w:type="dxa"/>
            <w:bottom w:w="0" w:type="dxa"/>
            <w:right w:w="108" w:type="dxa"/>
          </w:tblCellMar>
        </w:tblPrEx>
        <w:trPr>
          <w:trHeight w:val="312" w:hRule="atLeast"/>
        </w:trPr>
        <w:tc>
          <w:tcPr>
            <w:tcW w:w="1308" w:type="dxa"/>
            <w:gridSpan w:val="3"/>
            <w:vMerge w:val="continue"/>
            <w:tcBorders>
              <w:top w:val="nil"/>
              <w:left w:val="single" w:color="000000" w:sz="4" w:space="0"/>
              <w:bottom w:val="single" w:color="000000" w:sz="4" w:space="0"/>
              <w:right w:val="single" w:color="000000" w:sz="4" w:space="0"/>
            </w:tcBorders>
            <w:vAlign w:val="center"/>
          </w:tcPr>
          <w:p w14:paraId="18BD4C25">
            <w:pPr>
              <w:widowControl/>
              <w:jc w:val="left"/>
              <w:rPr>
                <w:rFonts w:ascii="宋体" w:hAnsi="宋体" w:cs="Arial"/>
                <w:color w:val="000000"/>
                <w:kern w:val="0"/>
                <w:sz w:val="22"/>
              </w:rPr>
            </w:pPr>
          </w:p>
        </w:tc>
        <w:tc>
          <w:tcPr>
            <w:tcW w:w="2815" w:type="dxa"/>
            <w:vMerge w:val="continue"/>
            <w:tcBorders>
              <w:top w:val="nil"/>
              <w:left w:val="nil"/>
              <w:bottom w:val="single" w:color="000000" w:sz="4" w:space="0"/>
              <w:right w:val="single" w:color="000000" w:sz="4" w:space="0"/>
            </w:tcBorders>
            <w:vAlign w:val="center"/>
          </w:tcPr>
          <w:p w14:paraId="43DFDD79">
            <w:pPr>
              <w:widowControl/>
              <w:jc w:val="left"/>
              <w:rPr>
                <w:rFonts w:ascii="宋体" w:hAnsi="宋体" w:cs="Arial"/>
                <w:color w:val="000000"/>
                <w:kern w:val="0"/>
                <w:sz w:val="22"/>
              </w:rPr>
            </w:pPr>
          </w:p>
        </w:tc>
        <w:tc>
          <w:tcPr>
            <w:tcW w:w="1646" w:type="dxa"/>
            <w:vMerge w:val="continue"/>
            <w:tcBorders>
              <w:top w:val="single" w:color="000000" w:sz="4" w:space="0"/>
              <w:left w:val="nil"/>
              <w:bottom w:val="single" w:color="000000" w:sz="4" w:space="0"/>
              <w:right w:val="single" w:color="000000" w:sz="4" w:space="0"/>
            </w:tcBorders>
            <w:vAlign w:val="center"/>
          </w:tcPr>
          <w:p w14:paraId="12DEA617">
            <w:pPr>
              <w:widowControl/>
              <w:jc w:val="left"/>
              <w:rPr>
                <w:rFonts w:ascii="宋体" w:hAnsi="宋体" w:cs="Arial"/>
                <w:color w:val="000000"/>
                <w:kern w:val="0"/>
                <w:sz w:val="22"/>
              </w:rPr>
            </w:pPr>
          </w:p>
        </w:tc>
        <w:tc>
          <w:tcPr>
            <w:tcW w:w="1536" w:type="dxa"/>
            <w:vMerge w:val="continue"/>
            <w:tcBorders>
              <w:top w:val="single" w:color="000000" w:sz="4" w:space="0"/>
              <w:left w:val="nil"/>
              <w:bottom w:val="single" w:color="000000" w:sz="4" w:space="0"/>
              <w:right w:val="single" w:color="000000" w:sz="4" w:space="0"/>
            </w:tcBorders>
            <w:vAlign w:val="center"/>
          </w:tcPr>
          <w:p w14:paraId="66577E4A">
            <w:pPr>
              <w:widowControl/>
              <w:jc w:val="left"/>
              <w:rPr>
                <w:rFonts w:ascii="宋体" w:hAnsi="宋体" w:cs="Arial"/>
                <w:color w:val="000000"/>
                <w:kern w:val="0"/>
                <w:sz w:val="22"/>
              </w:rPr>
            </w:pPr>
          </w:p>
        </w:tc>
        <w:tc>
          <w:tcPr>
            <w:tcW w:w="1496" w:type="dxa"/>
            <w:vMerge w:val="continue"/>
            <w:tcBorders>
              <w:top w:val="single" w:color="000000" w:sz="4" w:space="0"/>
              <w:left w:val="nil"/>
              <w:bottom w:val="single" w:color="000000" w:sz="4" w:space="0"/>
              <w:right w:val="single" w:color="000000" w:sz="4" w:space="0"/>
            </w:tcBorders>
            <w:vAlign w:val="center"/>
          </w:tcPr>
          <w:p w14:paraId="19B0330B">
            <w:pPr>
              <w:widowControl/>
              <w:jc w:val="left"/>
              <w:rPr>
                <w:rFonts w:ascii="宋体" w:hAnsi="宋体" w:cs="Arial"/>
                <w:color w:val="000000"/>
                <w:kern w:val="0"/>
                <w:sz w:val="22"/>
              </w:rPr>
            </w:pPr>
          </w:p>
        </w:tc>
      </w:tr>
      <w:tr w14:paraId="4B836E2E">
        <w:tblPrEx>
          <w:tblCellMar>
            <w:top w:w="0" w:type="dxa"/>
            <w:left w:w="108" w:type="dxa"/>
            <w:bottom w:w="0" w:type="dxa"/>
            <w:right w:w="108" w:type="dxa"/>
          </w:tblCellMar>
        </w:tblPrEx>
        <w:trPr>
          <w:trHeight w:val="309" w:hRule="atLeast"/>
        </w:trPr>
        <w:tc>
          <w:tcPr>
            <w:tcW w:w="436" w:type="dxa"/>
            <w:vMerge w:val="restart"/>
            <w:tcBorders>
              <w:top w:val="nil"/>
              <w:left w:val="single" w:color="000000" w:sz="4" w:space="0"/>
              <w:bottom w:val="single" w:color="000000" w:sz="4" w:space="0"/>
              <w:right w:val="single" w:color="000000" w:sz="4" w:space="0"/>
            </w:tcBorders>
            <w:shd w:val="clear" w:color="FFFFFF" w:fill="C0C0C0"/>
            <w:noWrap/>
            <w:vAlign w:val="center"/>
          </w:tcPr>
          <w:p w14:paraId="36EE7423">
            <w:pPr>
              <w:widowControl/>
              <w:jc w:val="center"/>
              <w:rPr>
                <w:rFonts w:ascii="宋体" w:hAnsi="宋体" w:cs="Arial"/>
                <w:color w:val="000000"/>
                <w:kern w:val="0"/>
                <w:sz w:val="22"/>
              </w:rPr>
            </w:pPr>
            <w:r>
              <w:rPr>
                <w:rFonts w:hint="eastAsia" w:ascii="宋体" w:hAnsi="宋体" w:cs="Arial"/>
                <w:color w:val="000000"/>
                <w:kern w:val="0"/>
                <w:sz w:val="22"/>
              </w:rPr>
              <w:t>类</w:t>
            </w:r>
          </w:p>
        </w:tc>
        <w:tc>
          <w:tcPr>
            <w:tcW w:w="436" w:type="dxa"/>
            <w:vMerge w:val="restart"/>
            <w:tcBorders>
              <w:top w:val="nil"/>
              <w:left w:val="nil"/>
              <w:bottom w:val="single" w:color="000000" w:sz="4" w:space="0"/>
              <w:right w:val="single" w:color="000000" w:sz="4" w:space="0"/>
            </w:tcBorders>
            <w:shd w:val="clear" w:color="FFFFFF" w:fill="C0C0C0"/>
            <w:noWrap/>
            <w:vAlign w:val="center"/>
          </w:tcPr>
          <w:p w14:paraId="43F4C145">
            <w:pPr>
              <w:widowControl/>
              <w:jc w:val="center"/>
              <w:rPr>
                <w:rFonts w:ascii="宋体" w:hAnsi="宋体" w:cs="Arial"/>
                <w:color w:val="000000"/>
                <w:kern w:val="0"/>
                <w:sz w:val="22"/>
              </w:rPr>
            </w:pPr>
            <w:r>
              <w:rPr>
                <w:rFonts w:hint="eastAsia" w:ascii="宋体" w:hAnsi="宋体" w:cs="Arial"/>
                <w:color w:val="000000"/>
                <w:kern w:val="0"/>
                <w:sz w:val="22"/>
              </w:rPr>
              <w:t>款</w:t>
            </w:r>
          </w:p>
        </w:tc>
        <w:tc>
          <w:tcPr>
            <w:tcW w:w="436" w:type="dxa"/>
            <w:vMerge w:val="restart"/>
            <w:tcBorders>
              <w:top w:val="nil"/>
              <w:left w:val="nil"/>
              <w:bottom w:val="single" w:color="000000" w:sz="4" w:space="0"/>
              <w:right w:val="single" w:color="000000" w:sz="4" w:space="0"/>
            </w:tcBorders>
            <w:shd w:val="clear" w:color="FFFFFF" w:fill="C0C0C0"/>
            <w:noWrap/>
            <w:vAlign w:val="center"/>
          </w:tcPr>
          <w:p w14:paraId="35C0DE10">
            <w:pPr>
              <w:widowControl/>
              <w:jc w:val="center"/>
              <w:rPr>
                <w:rFonts w:ascii="宋体" w:hAnsi="宋体" w:cs="Arial"/>
                <w:color w:val="000000"/>
                <w:kern w:val="0"/>
                <w:sz w:val="22"/>
              </w:rPr>
            </w:pPr>
            <w:r>
              <w:rPr>
                <w:rFonts w:hint="eastAsia" w:ascii="宋体" w:hAnsi="宋体" w:cs="Arial"/>
                <w:color w:val="000000"/>
                <w:kern w:val="0"/>
                <w:sz w:val="22"/>
              </w:rPr>
              <w:t>项</w:t>
            </w:r>
          </w:p>
        </w:tc>
        <w:tc>
          <w:tcPr>
            <w:tcW w:w="2815" w:type="dxa"/>
            <w:tcBorders>
              <w:top w:val="nil"/>
              <w:left w:val="nil"/>
              <w:bottom w:val="single" w:color="000000" w:sz="4" w:space="0"/>
              <w:right w:val="single" w:color="000000" w:sz="4" w:space="0"/>
            </w:tcBorders>
            <w:shd w:val="clear" w:color="FFFFFF" w:fill="C0C0C0"/>
            <w:noWrap/>
            <w:vAlign w:val="center"/>
          </w:tcPr>
          <w:p w14:paraId="07C1AC57">
            <w:pPr>
              <w:widowControl/>
              <w:jc w:val="center"/>
              <w:rPr>
                <w:rFonts w:ascii="宋体" w:hAnsi="宋体" w:cs="Arial"/>
                <w:color w:val="000000"/>
                <w:kern w:val="0"/>
                <w:sz w:val="22"/>
              </w:rPr>
            </w:pPr>
            <w:r>
              <w:rPr>
                <w:rFonts w:hint="eastAsia" w:ascii="宋体" w:hAnsi="宋体" w:cs="Arial"/>
                <w:color w:val="000000"/>
                <w:kern w:val="0"/>
                <w:sz w:val="22"/>
              </w:rPr>
              <w:t>栏次</w:t>
            </w:r>
          </w:p>
        </w:tc>
        <w:tc>
          <w:tcPr>
            <w:tcW w:w="1646" w:type="dxa"/>
            <w:tcBorders>
              <w:top w:val="nil"/>
              <w:left w:val="nil"/>
              <w:bottom w:val="single" w:color="000000" w:sz="4" w:space="0"/>
              <w:right w:val="single" w:color="000000" w:sz="4" w:space="0"/>
            </w:tcBorders>
            <w:shd w:val="clear" w:color="FFFFFF" w:fill="C0C0C0"/>
            <w:vAlign w:val="center"/>
          </w:tcPr>
          <w:p w14:paraId="4801D058">
            <w:pPr>
              <w:widowControl/>
              <w:jc w:val="center"/>
              <w:rPr>
                <w:rFonts w:ascii="宋体" w:hAnsi="宋体" w:cs="Arial"/>
                <w:color w:val="000000"/>
                <w:kern w:val="0"/>
                <w:sz w:val="22"/>
              </w:rPr>
            </w:pPr>
            <w:r>
              <w:rPr>
                <w:rFonts w:hint="eastAsia" w:ascii="宋体" w:hAnsi="宋体" w:cs="Arial"/>
                <w:color w:val="000000"/>
                <w:kern w:val="0"/>
                <w:sz w:val="22"/>
              </w:rPr>
              <w:t>1</w:t>
            </w:r>
          </w:p>
        </w:tc>
        <w:tc>
          <w:tcPr>
            <w:tcW w:w="1536" w:type="dxa"/>
            <w:tcBorders>
              <w:top w:val="nil"/>
              <w:left w:val="nil"/>
              <w:bottom w:val="single" w:color="000000" w:sz="4" w:space="0"/>
              <w:right w:val="single" w:color="000000" w:sz="4" w:space="0"/>
            </w:tcBorders>
            <w:shd w:val="clear" w:color="FFFFFF" w:fill="C0C0C0"/>
            <w:vAlign w:val="center"/>
          </w:tcPr>
          <w:p w14:paraId="06BB710F">
            <w:pPr>
              <w:widowControl/>
              <w:jc w:val="center"/>
              <w:rPr>
                <w:rFonts w:ascii="宋体" w:hAnsi="宋体" w:cs="Arial"/>
                <w:color w:val="000000"/>
                <w:kern w:val="0"/>
                <w:sz w:val="22"/>
              </w:rPr>
            </w:pPr>
            <w:r>
              <w:rPr>
                <w:rFonts w:hint="eastAsia" w:ascii="宋体" w:hAnsi="宋体" w:cs="Arial"/>
                <w:color w:val="000000"/>
                <w:kern w:val="0"/>
                <w:sz w:val="22"/>
              </w:rPr>
              <w:t>2</w:t>
            </w:r>
          </w:p>
        </w:tc>
        <w:tc>
          <w:tcPr>
            <w:tcW w:w="1496" w:type="dxa"/>
            <w:tcBorders>
              <w:top w:val="nil"/>
              <w:left w:val="nil"/>
              <w:bottom w:val="single" w:color="000000" w:sz="4" w:space="0"/>
              <w:right w:val="single" w:color="000000" w:sz="4" w:space="0"/>
            </w:tcBorders>
            <w:shd w:val="clear" w:color="FFFFFF" w:fill="C0C0C0"/>
            <w:vAlign w:val="center"/>
          </w:tcPr>
          <w:p w14:paraId="0753B2ED">
            <w:pPr>
              <w:widowControl/>
              <w:jc w:val="center"/>
              <w:rPr>
                <w:rFonts w:ascii="宋体" w:hAnsi="宋体" w:cs="Arial"/>
                <w:color w:val="000000"/>
                <w:kern w:val="0"/>
                <w:sz w:val="22"/>
              </w:rPr>
            </w:pPr>
            <w:r>
              <w:rPr>
                <w:rFonts w:hint="eastAsia" w:ascii="宋体" w:hAnsi="宋体" w:cs="Arial"/>
                <w:color w:val="000000"/>
                <w:kern w:val="0"/>
                <w:sz w:val="22"/>
              </w:rPr>
              <w:t>3</w:t>
            </w:r>
          </w:p>
        </w:tc>
      </w:tr>
      <w:tr w14:paraId="5BA37378">
        <w:tblPrEx>
          <w:tblCellMar>
            <w:top w:w="0" w:type="dxa"/>
            <w:left w:w="108" w:type="dxa"/>
            <w:bottom w:w="0" w:type="dxa"/>
            <w:right w:w="108" w:type="dxa"/>
          </w:tblCellMar>
        </w:tblPrEx>
        <w:trPr>
          <w:trHeight w:val="309" w:hRule="atLeast"/>
        </w:trPr>
        <w:tc>
          <w:tcPr>
            <w:tcW w:w="436" w:type="dxa"/>
            <w:vMerge w:val="continue"/>
            <w:tcBorders>
              <w:top w:val="nil"/>
              <w:left w:val="single" w:color="000000" w:sz="4" w:space="0"/>
              <w:bottom w:val="single" w:color="000000" w:sz="4" w:space="0"/>
              <w:right w:val="single" w:color="000000" w:sz="4" w:space="0"/>
            </w:tcBorders>
            <w:vAlign w:val="center"/>
          </w:tcPr>
          <w:p w14:paraId="622A9A11">
            <w:pPr>
              <w:widowControl/>
              <w:jc w:val="left"/>
              <w:rPr>
                <w:rFonts w:ascii="宋体" w:hAnsi="宋体" w:cs="Arial"/>
                <w:color w:val="000000"/>
                <w:kern w:val="0"/>
                <w:sz w:val="22"/>
              </w:rPr>
            </w:pPr>
          </w:p>
        </w:tc>
        <w:tc>
          <w:tcPr>
            <w:tcW w:w="436" w:type="dxa"/>
            <w:vMerge w:val="continue"/>
            <w:tcBorders>
              <w:top w:val="nil"/>
              <w:left w:val="nil"/>
              <w:bottom w:val="single" w:color="000000" w:sz="4" w:space="0"/>
              <w:right w:val="single" w:color="000000" w:sz="4" w:space="0"/>
            </w:tcBorders>
            <w:vAlign w:val="center"/>
          </w:tcPr>
          <w:p w14:paraId="3AD9B875">
            <w:pPr>
              <w:widowControl/>
              <w:jc w:val="left"/>
              <w:rPr>
                <w:rFonts w:ascii="宋体" w:hAnsi="宋体" w:cs="Arial"/>
                <w:color w:val="000000"/>
                <w:kern w:val="0"/>
                <w:sz w:val="22"/>
              </w:rPr>
            </w:pPr>
          </w:p>
        </w:tc>
        <w:tc>
          <w:tcPr>
            <w:tcW w:w="436" w:type="dxa"/>
            <w:vMerge w:val="continue"/>
            <w:tcBorders>
              <w:top w:val="nil"/>
              <w:left w:val="nil"/>
              <w:bottom w:val="single" w:color="000000" w:sz="4" w:space="0"/>
              <w:right w:val="single" w:color="000000" w:sz="4" w:space="0"/>
            </w:tcBorders>
            <w:vAlign w:val="center"/>
          </w:tcPr>
          <w:p w14:paraId="1A728306">
            <w:pPr>
              <w:widowControl/>
              <w:jc w:val="left"/>
              <w:rPr>
                <w:rFonts w:ascii="宋体" w:hAnsi="宋体" w:cs="Arial"/>
                <w:color w:val="000000"/>
                <w:kern w:val="0"/>
                <w:sz w:val="22"/>
              </w:rPr>
            </w:pPr>
          </w:p>
        </w:tc>
        <w:tc>
          <w:tcPr>
            <w:tcW w:w="2815" w:type="dxa"/>
            <w:tcBorders>
              <w:top w:val="nil"/>
              <w:left w:val="nil"/>
              <w:bottom w:val="single" w:color="000000" w:sz="4" w:space="0"/>
              <w:right w:val="single" w:color="000000" w:sz="4" w:space="0"/>
            </w:tcBorders>
            <w:shd w:val="clear" w:color="FFFFFF" w:fill="C0C0C0"/>
            <w:noWrap/>
            <w:vAlign w:val="center"/>
          </w:tcPr>
          <w:p w14:paraId="6ECF3FF4">
            <w:pPr>
              <w:widowControl/>
              <w:jc w:val="center"/>
              <w:rPr>
                <w:rFonts w:ascii="宋体" w:hAnsi="宋体" w:cs="Arial"/>
                <w:color w:val="000000"/>
                <w:kern w:val="0"/>
                <w:sz w:val="22"/>
              </w:rPr>
            </w:pPr>
            <w:r>
              <w:rPr>
                <w:rFonts w:hint="eastAsia" w:ascii="宋体" w:hAnsi="宋体" w:cs="Arial"/>
                <w:color w:val="000000"/>
                <w:kern w:val="0"/>
                <w:sz w:val="22"/>
              </w:rPr>
              <w:t>合计</w:t>
            </w:r>
          </w:p>
        </w:tc>
        <w:tc>
          <w:tcPr>
            <w:tcW w:w="1646" w:type="dxa"/>
            <w:tcBorders>
              <w:top w:val="nil"/>
              <w:left w:val="nil"/>
              <w:bottom w:val="single" w:color="000000" w:sz="4" w:space="0"/>
              <w:right w:val="single" w:color="000000" w:sz="4" w:space="0"/>
            </w:tcBorders>
            <w:shd w:val="clear" w:color="auto" w:fill="auto"/>
            <w:noWrap/>
            <w:vAlign w:val="center"/>
          </w:tcPr>
          <w:p w14:paraId="56EA0996">
            <w:pPr>
              <w:widowControl/>
              <w:jc w:val="right"/>
              <w:rPr>
                <w:rFonts w:ascii="宋体" w:hAnsi="宋体" w:cs="Arial"/>
                <w:color w:val="000000"/>
                <w:kern w:val="0"/>
                <w:sz w:val="22"/>
              </w:rPr>
            </w:pPr>
            <w:r>
              <w:rPr>
                <w:rFonts w:hint="eastAsia" w:ascii="宋体" w:hAnsi="宋体" w:cs="Arial"/>
                <w:color w:val="000000"/>
                <w:kern w:val="0"/>
                <w:sz w:val="22"/>
              </w:rPr>
              <w:t>20,022,830.24</w:t>
            </w:r>
          </w:p>
        </w:tc>
        <w:tc>
          <w:tcPr>
            <w:tcW w:w="1536" w:type="dxa"/>
            <w:tcBorders>
              <w:top w:val="nil"/>
              <w:left w:val="nil"/>
              <w:bottom w:val="single" w:color="000000" w:sz="4" w:space="0"/>
              <w:right w:val="single" w:color="000000" w:sz="4" w:space="0"/>
            </w:tcBorders>
            <w:shd w:val="clear" w:color="auto" w:fill="auto"/>
            <w:noWrap/>
            <w:vAlign w:val="center"/>
          </w:tcPr>
          <w:p w14:paraId="4B126DC0">
            <w:pPr>
              <w:widowControl/>
              <w:jc w:val="right"/>
              <w:rPr>
                <w:rFonts w:ascii="宋体" w:hAnsi="宋体" w:cs="Arial"/>
                <w:color w:val="000000"/>
                <w:kern w:val="0"/>
                <w:sz w:val="22"/>
              </w:rPr>
            </w:pPr>
            <w:r>
              <w:rPr>
                <w:rFonts w:hint="eastAsia" w:ascii="宋体" w:hAnsi="宋体" w:cs="Arial"/>
                <w:color w:val="000000"/>
                <w:kern w:val="0"/>
                <w:sz w:val="22"/>
              </w:rPr>
              <w:t>3,059,025.20</w:t>
            </w:r>
          </w:p>
        </w:tc>
        <w:tc>
          <w:tcPr>
            <w:tcW w:w="1496" w:type="dxa"/>
            <w:tcBorders>
              <w:top w:val="nil"/>
              <w:left w:val="nil"/>
              <w:bottom w:val="single" w:color="000000" w:sz="4" w:space="0"/>
              <w:right w:val="single" w:color="000000" w:sz="4" w:space="0"/>
            </w:tcBorders>
            <w:shd w:val="clear" w:color="auto" w:fill="auto"/>
            <w:noWrap/>
            <w:vAlign w:val="center"/>
          </w:tcPr>
          <w:p w14:paraId="0FE8C995">
            <w:pPr>
              <w:widowControl/>
              <w:jc w:val="right"/>
              <w:rPr>
                <w:rFonts w:ascii="宋体" w:hAnsi="宋体" w:cs="Arial"/>
                <w:color w:val="000000"/>
                <w:kern w:val="0"/>
                <w:sz w:val="22"/>
              </w:rPr>
            </w:pPr>
            <w:r>
              <w:rPr>
                <w:rFonts w:hint="eastAsia" w:ascii="宋体" w:hAnsi="宋体" w:cs="Arial"/>
                <w:color w:val="000000"/>
                <w:kern w:val="0"/>
                <w:sz w:val="22"/>
              </w:rPr>
              <w:t>16,963,805.04</w:t>
            </w:r>
          </w:p>
        </w:tc>
      </w:tr>
      <w:tr w14:paraId="4AB854CD">
        <w:tblPrEx>
          <w:tblCellMar>
            <w:top w:w="0" w:type="dxa"/>
            <w:left w:w="108" w:type="dxa"/>
            <w:bottom w:w="0" w:type="dxa"/>
            <w:right w:w="108" w:type="dxa"/>
          </w:tblCellMar>
        </w:tblPrEx>
        <w:trPr>
          <w:trHeight w:val="309" w:hRule="atLeast"/>
        </w:trPr>
        <w:tc>
          <w:tcPr>
            <w:tcW w:w="1308" w:type="dxa"/>
            <w:gridSpan w:val="3"/>
            <w:tcBorders>
              <w:top w:val="nil"/>
              <w:left w:val="single" w:color="000000" w:sz="4" w:space="0"/>
              <w:bottom w:val="single" w:color="000000" w:sz="4" w:space="0"/>
              <w:right w:val="single" w:color="000000" w:sz="4" w:space="0"/>
            </w:tcBorders>
            <w:shd w:val="clear" w:color="auto" w:fill="auto"/>
            <w:noWrap/>
            <w:vAlign w:val="center"/>
          </w:tcPr>
          <w:p w14:paraId="070BBB78">
            <w:pPr>
              <w:widowControl/>
              <w:jc w:val="left"/>
              <w:rPr>
                <w:rFonts w:ascii="宋体" w:hAnsi="宋体" w:cs="Arial"/>
                <w:color w:val="000000"/>
                <w:kern w:val="0"/>
                <w:sz w:val="22"/>
              </w:rPr>
            </w:pPr>
            <w:r>
              <w:rPr>
                <w:rFonts w:hint="eastAsia" w:ascii="宋体" w:hAnsi="宋体" w:cs="Arial"/>
                <w:color w:val="000000"/>
                <w:kern w:val="0"/>
                <w:sz w:val="22"/>
              </w:rPr>
              <w:t>208</w:t>
            </w:r>
          </w:p>
        </w:tc>
        <w:tc>
          <w:tcPr>
            <w:tcW w:w="2815" w:type="dxa"/>
            <w:tcBorders>
              <w:top w:val="nil"/>
              <w:left w:val="nil"/>
              <w:bottom w:val="single" w:color="000000" w:sz="4" w:space="0"/>
              <w:right w:val="single" w:color="000000" w:sz="4" w:space="0"/>
            </w:tcBorders>
            <w:shd w:val="clear" w:color="auto" w:fill="auto"/>
            <w:noWrap/>
            <w:vAlign w:val="center"/>
          </w:tcPr>
          <w:p w14:paraId="583C61DF">
            <w:pPr>
              <w:widowControl/>
              <w:jc w:val="left"/>
              <w:rPr>
                <w:rFonts w:ascii="宋体" w:hAnsi="宋体" w:cs="Arial"/>
                <w:color w:val="000000"/>
                <w:kern w:val="0"/>
                <w:sz w:val="22"/>
              </w:rPr>
            </w:pPr>
            <w:r>
              <w:rPr>
                <w:rFonts w:hint="eastAsia" w:ascii="宋体" w:hAnsi="宋体" w:cs="Arial"/>
                <w:color w:val="000000"/>
                <w:kern w:val="0"/>
                <w:sz w:val="22"/>
              </w:rPr>
              <w:t>社会保障和就业支出</w:t>
            </w:r>
          </w:p>
        </w:tc>
        <w:tc>
          <w:tcPr>
            <w:tcW w:w="1646" w:type="dxa"/>
            <w:tcBorders>
              <w:top w:val="nil"/>
              <w:left w:val="nil"/>
              <w:bottom w:val="single" w:color="000000" w:sz="4" w:space="0"/>
              <w:right w:val="single" w:color="000000" w:sz="4" w:space="0"/>
            </w:tcBorders>
            <w:shd w:val="clear" w:color="auto" w:fill="auto"/>
            <w:noWrap/>
            <w:vAlign w:val="center"/>
          </w:tcPr>
          <w:p w14:paraId="2B8818EC">
            <w:pPr>
              <w:widowControl/>
              <w:jc w:val="right"/>
              <w:rPr>
                <w:rFonts w:ascii="宋体" w:hAnsi="宋体" w:cs="Arial"/>
                <w:color w:val="000000"/>
                <w:kern w:val="0"/>
                <w:sz w:val="22"/>
              </w:rPr>
            </w:pPr>
            <w:r>
              <w:rPr>
                <w:rFonts w:hint="eastAsia" w:ascii="宋体" w:hAnsi="宋体" w:cs="Arial"/>
                <w:color w:val="000000"/>
                <w:kern w:val="0"/>
                <w:sz w:val="22"/>
              </w:rPr>
              <w:t>214,909.79</w:t>
            </w:r>
          </w:p>
        </w:tc>
        <w:tc>
          <w:tcPr>
            <w:tcW w:w="1536" w:type="dxa"/>
            <w:tcBorders>
              <w:top w:val="nil"/>
              <w:left w:val="nil"/>
              <w:bottom w:val="single" w:color="000000" w:sz="4" w:space="0"/>
              <w:right w:val="single" w:color="000000" w:sz="4" w:space="0"/>
            </w:tcBorders>
            <w:shd w:val="clear" w:color="auto" w:fill="auto"/>
            <w:noWrap/>
            <w:vAlign w:val="center"/>
          </w:tcPr>
          <w:p w14:paraId="1FBAB5DA">
            <w:pPr>
              <w:widowControl/>
              <w:jc w:val="right"/>
              <w:rPr>
                <w:rFonts w:ascii="宋体" w:hAnsi="宋体" w:cs="Arial"/>
                <w:color w:val="000000"/>
                <w:kern w:val="0"/>
                <w:sz w:val="22"/>
              </w:rPr>
            </w:pPr>
            <w:r>
              <w:rPr>
                <w:rFonts w:hint="eastAsia" w:ascii="宋体" w:hAnsi="宋体" w:cs="Arial"/>
                <w:color w:val="000000"/>
                <w:kern w:val="0"/>
                <w:sz w:val="22"/>
              </w:rPr>
              <w:t>214,909.79</w:t>
            </w:r>
          </w:p>
        </w:tc>
        <w:tc>
          <w:tcPr>
            <w:tcW w:w="1496" w:type="dxa"/>
            <w:tcBorders>
              <w:top w:val="nil"/>
              <w:left w:val="nil"/>
              <w:bottom w:val="single" w:color="000000" w:sz="4" w:space="0"/>
              <w:right w:val="single" w:color="000000" w:sz="4" w:space="0"/>
            </w:tcBorders>
            <w:shd w:val="clear" w:color="auto" w:fill="auto"/>
            <w:noWrap/>
            <w:vAlign w:val="center"/>
          </w:tcPr>
          <w:p w14:paraId="23B23A1A">
            <w:pPr>
              <w:widowControl/>
              <w:jc w:val="right"/>
              <w:rPr>
                <w:rFonts w:ascii="宋体" w:hAnsi="宋体" w:cs="Arial"/>
                <w:color w:val="000000"/>
                <w:kern w:val="0"/>
                <w:sz w:val="22"/>
              </w:rPr>
            </w:pPr>
            <w:r>
              <w:rPr>
                <w:rFonts w:hint="eastAsia" w:ascii="宋体" w:hAnsi="宋体" w:cs="Arial"/>
                <w:color w:val="000000"/>
                <w:kern w:val="0"/>
                <w:sz w:val="22"/>
              </w:rPr>
              <w:t>　</w:t>
            </w:r>
          </w:p>
        </w:tc>
      </w:tr>
      <w:tr w14:paraId="2DB25A70">
        <w:tblPrEx>
          <w:tblCellMar>
            <w:top w:w="0" w:type="dxa"/>
            <w:left w:w="108" w:type="dxa"/>
            <w:bottom w:w="0" w:type="dxa"/>
            <w:right w:w="108" w:type="dxa"/>
          </w:tblCellMar>
        </w:tblPrEx>
        <w:trPr>
          <w:trHeight w:val="309" w:hRule="atLeast"/>
        </w:trPr>
        <w:tc>
          <w:tcPr>
            <w:tcW w:w="1308" w:type="dxa"/>
            <w:gridSpan w:val="3"/>
            <w:tcBorders>
              <w:top w:val="nil"/>
              <w:left w:val="single" w:color="000000" w:sz="4" w:space="0"/>
              <w:bottom w:val="single" w:color="000000" w:sz="4" w:space="0"/>
              <w:right w:val="single" w:color="000000" w:sz="4" w:space="0"/>
            </w:tcBorders>
            <w:shd w:val="clear" w:color="auto" w:fill="auto"/>
            <w:noWrap/>
            <w:vAlign w:val="center"/>
          </w:tcPr>
          <w:p w14:paraId="65EC5031">
            <w:pPr>
              <w:widowControl/>
              <w:jc w:val="left"/>
              <w:rPr>
                <w:rFonts w:ascii="宋体" w:hAnsi="宋体" w:cs="Arial"/>
                <w:color w:val="000000"/>
                <w:kern w:val="0"/>
                <w:sz w:val="22"/>
              </w:rPr>
            </w:pPr>
            <w:r>
              <w:rPr>
                <w:rFonts w:hint="eastAsia" w:ascii="宋体" w:hAnsi="宋体" w:cs="Arial"/>
                <w:color w:val="000000"/>
                <w:kern w:val="0"/>
                <w:sz w:val="22"/>
              </w:rPr>
              <w:t>20805</w:t>
            </w:r>
          </w:p>
        </w:tc>
        <w:tc>
          <w:tcPr>
            <w:tcW w:w="2815" w:type="dxa"/>
            <w:tcBorders>
              <w:top w:val="nil"/>
              <w:left w:val="nil"/>
              <w:bottom w:val="single" w:color="000000" w:sz="4" w:space="0"/>
              <w:right w:val="single" w:color="000000" w:sz="4" w:space="0"/>
            </w:tcBorders>
            <w:shd w:val="clear" w:color="auto" w:fill="auto"/>
            <w:noWrap/>
            <w:vAlign w:val="center"/>
          </w:tcPr>
          <w:p w14:paraId="0CB12DBA">
            <w:pPr>
              <w:widowControl/>
              <w:jc w:val="left"/>
              <w:rPr>
                <w:rFonts w:ascii="宋体" w:hAnsi="宋体" w:cs="Arial"/>
                <w:color w:val="000000"/>
                <w:kern w:val="0"/>
                <w:sz w:val="22"/>
              </w:rPr>
            </w:pPr>
            <w:r>
              <w:rPr>
                <w:rFonts w:hint="eastAsia" w:ascii="宋体" w:hAnsi="宋体" w:cs="Arial"/>
                <w:color w:val="000000"/>
                <w:kern w:val="0"/>
                <w:sz w:val="22"/>
              </w:rPr>
              <w:t>行政事业单位养老支出</w:t>
            </w:r>
          </w:p>
        </w:tc>
        <w:tc>
          <w:tcPr>
            <w:tcW w:w="1646" w:type="dxa"/>
            <w:tcBorders>
              <w:top w:val="nil"/>
              <w:left w:val="nil"/>
              <w:bottom w:val="single" w:color="000000" w:sz="4" w:space="0"/>
              <w:right w:val="single" w:color="000000" w:sz="4" w:space="0"/>
            </w:tcBorders>
            <w:shd w:val="clear" w:color="auto" w:fill="auto"/>
            <w:noWrap/>
            <w:vAlign w:val="center"/>
          </w:tcPr>
          <w:p w14:paraId="76AC889A">
            <w:pPr>
              <w:widowControl/>
              <w:jc w:val="right"/>
              <w:rPr>
                <w:rFonts w:ascii="宋体" w:hAnsi="宋体" w:cs="Arial"/>
                <w:color w:val="000000"/>
                <w:kern w:val="0"/>
                <w:sz w:val="22"/>
              </w:rPr>
            </w:pPr>
            <w:r>
              <w:rPr>
                <w:rFonts w:hint="eastAsia" w:ascii="宋体" w:hAnsi="宋体" w:cs="Arial"/>
                <w:color w:val="000000"/>
                <w:kern w:val="0"/>
                <w:sz w:val="22"/>
              </w:rPr>
              <w:t>214,909.79</w:t>
            </w:r>
          </w:p>
        </w:tc>
        <w:tc>
          <w:tcPr>
            <w:tcW w:w="1536" w:type="dxa"/>
            <w:tcBorders>
              <w:top w:val="nil"/>
              <w:left w:val="nil"/>
              <w:bottom w:val="single" w:color="000000" w:sz="4" w:space="0"/>
              <w:right w:val="single" w:color="000000" w:sz="4" w:space="0"/>
            </w:tcBorders>
            <w:shd w:val="clear" w:color="auto" w:fill="auto"/>
            <w:noWrap/>
            <w:vAlign w:val="center"/>
          </w:tcPr>
          <w:p w14:paraId="2176E4CC">
            <w:pPr>
              <w:widowControl/>
              <w:jc w:val="right"/>
              <w:rPr>
                <w:rFonts w:ascii="宋体" w:hAnsi="宋体" w:cs="Arial"/>
                <w:color w:val="000000"/>
                <w:kern w:val="0"/>
                <w:sz w:val="22"/>
              </w:rPr>
            </w:pPr>
            <w:r>
              <w:rPr>
                <w:rFonts w:hint="eastAsia" w:ascii="宋体" w:hAnsi="宋体" w:cs="Arial"/>
                <w:color w:val="000000"/>
                <w:kern w:val="0"/>
                <w:sz w:val="22"/>
              </w:rPr>
              <w:t>214,909.79</w:t>
            </w:r>
          </w:p>
        </w:tc>
        <w:tc>
          <w:tcPr>
            <w:tcW w:w="1496" w:type="dxa"/>
            <w:tcBorders>
              <w:top w:val="nil"/>
              <w:left w:val="nil"/>
              <w:bottom w:val="single" w:color="000000" w:sz="4" w:space="0"/>
              <w:right w:val="single" w:color="000000" w:sz="4" w:space="0"/>
            </w:tcBorders>
            <w:shd w:val="clear" w:color="auto" w:fill="auto"/>
            <w:noWrap/>
            <w:vAlign w:val="center"/>
          </w:tcPr>
          <w:p w14:paraId="0FDD90CC">
            <w:pPr>
              <w:widowControl/>
              <w:jc w:val="right"/>
              <w:rPr>
                <w:rFonts w:ascii="宋体" w:hAnsi="宋体" w:cs="Arial"/>
                <w:color w:val="000000"/>
                <w:kern w:val="0"/>
                <w:sz w:val="22"/>
              </w:rPr>
            </w:pPr>
            <w:r>
              <w:rPr>
                <w:rFonts w:hint="eastAsia" w:ascii="宋体" w:hAnsi="宋体" w:cs="Arial"/>
                <w:color w:val="000000"/>
                <w:kern w:val="0"/>
                <w:sz w:val="22"/>
              </w:rPr>
              <w:t>　</w:t>
            </w:r>
          </w:p>
        </w:tc>
      </w:tr>
      <w:tr w14:paraId="7AC3DF05">
        <w:tblPrEx>
          <w:tblCellMar>
            <w:top w:w="0" w:type="dxa"/>
            <w:left w:w="108" w:type="dxa"/>
            <w:bottom w:w="0" w:type="dxa"/>
            <w:right w:w="108" w:type="dxa"/>
          </w:tblCellMar>
        </w:tblPrEx>
        <w:trPr>
          <w:trHeight w:val="309" w:hRule="atLeast"/>
        </w:trPr>
        <w:tc>
          <w:tcPr>
            <w:tcW w:w="1308" w:type="dxa"/>
            <w:gridSpan w:val="3"/>
            <w:tcBorders>
              <w:top w:val="nil"/>
              <w:left w:val="single" w:color="000000" w:sz="4" w:space="0"/>
              <w:bottom w:val="single" w:color="000000" w:sz="4" w:space="0"/>
              <w:right w:val="single" w:color="000000" w:sz="4" w:space="0"/>
            </w:tcBorders>
            <w:shd w:val="clear" w:color="auto" w:fill="auto"/>
            <w:noWrap/>
            <w:vAlign w:val="center"/>
          </w:tcPr>
          <w:p w14:paraId="6EEF204D">
            <w:pPr>
              <w:widowControl/>
              <w:jc w:val="left"/>
              <w:rPr>
                <w:rFonts w:ascii="宋体" w:hAnsi="宋体" w:cs="Arial"/>
                <w:color w:val="000000"/>
                <w:kern w:val="0"/>
                <w:sz w:val="22"/>
              </w:rPr>
            </w:pPr>
            <w:r>
              <w:rPr>
                <w:rFonts w:hint="eastAsia" w:ascii="宋体" w:hAnsi="宋体" w:cs="Arial"/>
                <w:color w:val="000000"/>
                <w:kern w:val="0"/>
                <w:sz w:val="22"/>
              </w:rPr>
              <w:t>2080501</w:t>
            </w:r>
          </w:p>
        </w:tc>
        <w:tc>
          <w:tcPr>
            <w:tcW w:w="2815" w:type="dxa"/>
            <w:tcBorders>
              <w:top w:val="nil"/>
              <w:left w:val="nil"/>
              <w:bottom w:val="single" w:color="000000" w:sz="4" w:space="0"/>
              <w:right w:val="single" w:color="000000" w:sz="4" w:space="0"/>
            </w:tcBorders>
            <w:shd w:val="clear" w:color="auto" w:fill="auto"/>
            <w:noWrap/>
            <w:vAlign w:val="center"/>
          </w:tcPr>
          <w:p w14:paraId="049589C0">
            <w:pPr>
              <w:widowControl/>
              <w:jc w:val="left"/>
              <w:rPr>
                <w:rFonts w:ascii="宋体" w:hAnsi="宋体" w:cs="Arial"/>
                <w:color w:val="000000"/>
                <w:kern w:val="0"/>
                <w:sz w:val="22"/>
              </w:rPr>
            </w:pPr>
            <w:r>
              <w:rPr>
                <w:rFonts w:hint="eastAsia" w:ascii="宋体" w:hAnsi="宋体" w:cs="Arial"/>
                <w:color w:val="000000"/>
                <w:kern w:val="0"/>
                <w:sz w:val="22"/>
              </w:rPr>
              <w:t xml:space="preserve">  行政单位离退休</w:t>
            </w:r>
          </w:p>
        </w:tc>
        <w:tc>
          <w:tcPr>
            <w:tcW w:w="1646" w:type="dxa"/>
            <w:tcBorders>
              <w:top w:val="nil"/>
              <w:left w:val="nil"/>
              <w:bottom w:val="single" w:color="000000" w:sz="4" w:space="0"/>
              <w:right w:val="single" w:color="000000" w:sz="4" w:space="0"/>
            </w:tcBorders>
            <w:shd w:val="clear" w:color="auto" w:fill="auto"/>
            <w:noWrap/>
            <w:vAlign w:val="center"/>
          </w:tcPr>
          <w:p w14:paraId="78B5F609">
            <w:pPr>
              <w:widowControl/>
              <w:jc w:val="right"/>
              <w:rPr>
                <w:rFonts w:ascii="宋体" w:hAnsi="宋体" w:cs="Arial"/>
                <w:color w:val="000000"/>
                <w:kern w:val="0"/>
                <w:sz w:val="22"/>
              </w:rPr>
            </w:pPr>
            <w:r>
              <w:rPr>
                <w:rFonts w:hint="eastAsia" w:ascii="宋体" w:hAnsi="宋体" w:cs="Arial"/>
                <w:color w:val="000000"/>
                <w:kern w:val="0"/>
                <w:sz w:val="22"/>
              </w:rPr>
              <w:t>10,328.57</w:t>
            </w:r>
          </w:p>
        </w:tc>
        <w:tc>
          <w:tcPr>
            <w:tcW w:w="1536" w:type="dxa"/>
            <w:tcBorders>
              <w:top w:val="nil"/>
              <w:left w:val="nil"/>
              <w:bottom w:val="single" w:color="000000" w:sz="4" w:space="0"/>
              <w:right w:val="single" w:color="000000" w:sz="4" w:space="0"/>
            </w:tcBorders>
            <w:shd w:val="clear" w:color="auto" w:fill="auto"/>
            <w:noWrap/>
            <w:vAlign w:val="center"/>
          </w:tcPr>
          <w:p w14:paraId="21B11902">
            <w:pPr>
              <w:widowControl/>
              <w:jc w:val="right"/>
              <w:rPr>
                <w:rFonts w:ascii="宋体" w:hAnsi="宋体" w:cs="Arial"/>
                <w:color w:val="000000"/>
                <w:kern w:val="0"/>
                <w:sz w:val="22"/>
              </w:rPr>
            </w:pPr>
            <w:r>
              <w:rPr>
                <w:rFonts w:hint="eastAsia" w:ascii="宋体" w:hAnsi="宋体" w:cs="Arial"/>
                <w:color w:val="000000"/>
                <w:kern w:val="0"/>
                <w:sz w:val="22"/>
              </w:rPr>
              <w:t>10,328.57</w:t>
            </w:r>
          </w:p>
        </w:tc>
        <w:tc>
          <w:tcPr>
            <w:tcW w:w="1496" w:type="dxa"/>
            <w:tcBorders>
              <w:top w:val="nil"/>
              <w:left w:val="nil"/>
              <w:bottom w:val="single" w:color="000000" w:sz="4" w:space="0"/>
              <w:right w:val="single" w:color="000000" w:sz="4" w:space="0"/>
            </w:tcBorders>
            <w:shd w:val="clear" w:color="auto" w:fill="auto"/>
            <w:noWrap/>
            <w:vAlign w:val="center"/>
          </w:tcPr>
          <w:p w14:paraId="3D593147">
            <w:pPr>
              <w:widowControl/>
              <w:jc w:val="right"/>
              <w:rPr>
                <w:rFonts w:ascii="宋体" w:hAnsi="宋体" w:cs="Arial"/>
                <w:color w:val="000000"/>
                <w:kern w:val="0"/>
                <w:sz w:val="22"/>
              </w:rPr>
            </w:pPr>
            <w:r>
              <w:rPr>
                <w:rFonts w:hint="eastAsia" w:ascii="宋体" w:hAnsi="宋体" w:cs="Arial"/>
                <w:color w:val="000000"/>
                <w:kern w:val="0"/>
                <w:sz w:val="22"/>
              </w:rPr>
              <w:t>　</w:t>
            </w:r>
          </w:p>
        </w:tc>
      </w:tr>
      <w:tr w14:paraId="70ED9C1E">
        <w:tblPrEx>
          <w:tblCellMar>
            <w:top w:w="0" w:type="dxa"/>
            <w:left w:w="108" w:type="dxa"/>
            <w:bottom w:w="0" w:type="dxa"/>
            <w:right w:w="108" w:type="dxa"/>
          </w:tblCellMar>
        </w:tblPrEx>
        <w:trPr>
          <w:trHeight w:val="309" w:hRule="atLeast"/>
        </w:trPr>
        <w:tc>
          <w:tcPr>
            <w:tcW w:w="1308" w:type="dxa"/>
            <w:gridSpan w:val="3"/>
            <w:tcBorders>
              <w:top w:val="nil"/>
              <w:left w:val="single" w:color="000000" w:sz="4" w:space="0"/>
              <w:bottom w:val="single" w:color="000000" w:sz="4" w:space="0"/>
              <w:right w:val="single" w:color="000000" w:sz="4" w:space="0"/>
            </w:tcBorders>
            <w:shd w:val="clear" w:color="auto" w:fill="auto"/>
            <w:noWrap/>
            <w:vAlign w:val="center"/>
          </w:tcPr>
          <w:p w14:paraId="481971F5">
            <w:pPr>
              <w:widowControl/>
              <w:jc w:val="left"/>
              <w:rPr>
                <w:rFonts w:ascii="宋体" w:hAnsi="宋体" w:cs="Arial"/>
                <w:color w:val="000000"/>
                <w:kern w:val="0"/>
                <w:sz w:val="22"/>
              </w:rPr>
            </w:pPr>
            <w:r>
              <w:rPr>
                <w:rFonts w:hint="eastAsia" w:ascii="宋体" w:hAnsi="宋体" w:cs="Arial"/>
                <w:color w:val="000000"/>
                <w:kern w:val="0"/>
                <w:sz w:val="22"/>
              </w:rPr>
              <w:t>2080505</w:t>
            </w:r>
          </w:p>
        </w:tc>
        <w:tc>
          <w:tcPr>
            <w:tcW w:w="2815" w:type="dxa"/>
            <w:tcBorders>
              <w:top w:val="nil"/>
              <w:left w:val="nil"/>
              <w:bottom w:val="single" w:color="000000" w:sz="4" w:space="0"/>
              <w:right w:val="single" w:color="000000" w:sz="4" w:space="0"/>
            </w:tcBorders>
            <w:shd w:val="clear" w:color="auto" w:fill="auto"/>
            <w:noWrap/>
            <w:vAlign w:val="center"/>
          </w:tcPr>
          <w:p w14:paraId="4B10F04E">
            <w:pPr>
              <w:widowControl/>
              <w:jc w:val="left"/>
              <w:rPr>
                <w:rFonts w:ascii="宋体" w:hAnsi="宋体" w:cs="Arial"/>
                <w:color w:val="000000"/>
                <w:kern w:val="0"/>
                <w:sz w:val="22"/>
              </w:rPr>
            </w:pPr>
            <w:r>
              <w:rPr>
                <w:rFonts w:hint="eastAsia" w:ascii="宋体" w:hAnsi="宋体" w:cs="Arial"/>
                <w:color w:val="000000"/>
                <w:kern w:val="0"/>
                <w:sz w:val="22"/>
              </w:rPr>
              <w:t xml:space="preserve">  机关事业单位基本养老保险缴费支出</w:t>
            </w:r>
          </w:p>
        </w:tc>
        <w:tc>
          <w:tcPr>
            <w:tcW w:w="1646" w:type="dxa"/>
            <w:tcBorders>
              <w:top w:val="nil"/>
              <w:left w:val="nil"/>
              <w:bottom w:val="single" w:color="000000" w:sz="4" w:space="0"/>
              <w:right w:val="single" w:color="000000" w:sz="4" w:space="0"/>
            </w:tcBorders>
            <w:shd w:val="clear" w:color="auto" w:fill="auto"/>
            <w:noWrap/>
            <w:vAlign w:val="center"/>
          </w:tcPr>
          <w:p w14:paraId="20CB93E6">
            <w:pPr>
              <w:widowControl/>
              <w:jc w:val="right"/>
              <w:rPr>
                <w:rFonts w:ascii="宋体" w:hAnsi="宋体" w:cs="Arial"/>
                <w:color w:val="000000"/>
                <w:kern w:val="0"/>
                <w:sz w:val="22"/>
              </w:rPr>
            </w:pPr>
            <w:r>
              <w:rPr>
                <w:rFonts w:hint="eastAsia" w:ascii="宋体" w:hAnsi="宋体" w:cs="Arial"/>
                <w:color w:val="000000"/>
                <w:kern w:val="0"/>
                <w:sz w:val="22"/>
              </w:rPr>
              <w:t>204,581.22</w:t>
            </w:r>
          </w:p>
        </w:tc>
        <w:tc>
          <w:tcPr>
            <w:tcW w:w="1536" w:type="dxa"/>
            <w:tcBorders>
              <w:top w:val="nil"/>
              <w:left w:val="nil"/>
              <w:bottom w:val="single" w:color="000000" w:sz="4" w:space="0"/>
              <w:right w:val="single" w:color="000000" w:sz="4" w:space="0"/>
            </w:tcBorders>
            <w:shd w:val="clear" w:color="auto" w:fill="auto"/>
            <w:noWrap/>
            <w:vAlign w:val="center"/>
          </w:tcPr>
          <w:p w14:paraId="09839EB3">
            <w:pPr>
              <w:widowControl/>
              <w:jc w:val="right"/>
              <w:rPr>
                <w:rFonts w:ascii="宋体" w:hAnsi="宋体" w:cs="Arial"/>
                <w:color w:val="000000"/>
                <w:kern w:val="0"/>
                <w:sz w:val="22"/>
              </w:rPr>
            </w:pPr>
            <w:r>
              <w:rPr>
                <w:rFonts w:hint="eastAsia" w:ascii="宋体" w:hAnsi="宋体" w:cs="Arial"/>
                <w:color w:val="000000"/>
                <w:kern w:val="0"/>
                <w:sz w:val="22"/>
              </w:rPr>
              <w:t>204,581.22</w:t>
            </w:r>
          </w:p>
        </w:tc>
        <w:tc>
          <w:tcPr>
            <w:tcW w:w="1496" w:type="dxa"/>
            <w:tcBorders>
              <w:top w:val="nil"/>
              <w:left w:val="nil"/>
              <w:bottom w:val="single" w:color="000000" w:sz="4" w:space="0"/>
              <w:right w:val="single" w:color="000000" w:sz="4" w:space="0"/>
            </w:tcBorders>
            <w:shd w:val="clear" w:color="auto" w:fill="auto"/>
            <w:noWrap/>
            <w:vAlign w:val="center"/>
          </w:tcPr>
          <w:p w14:paraId="34FA1800">
            <w:pPr>
              <w:widowControl/>
              <w:jc w:val="right"/>
              <w:rPr>
                <w:rFonts w:ascii="宋体" w:hAnsi="宋体" w:cs="Arial"/>
                <w:color w:val="000000"/>
                <w:kern w:val="0"/>
                <w:sz w:val="22"/>
              </w:rPr>
            </w:pPr>
            <w:r>
              <w:rPr>
                <w:rFonts w:hint="eastAsia" w:ascii="宋体" w:hAnsi="宋体" w:cs="Arial"/>
                <w:color w:val="000000"/>
                <w:kern w:val="0"/>
                <w:sz w:val="22"/>
              </w:rPr>
              <w:t>　</w:t>
            </w:r>
          </w:p>
        </w:tc>
      </w:tr>
      <w:tr w14:paraId="7BA5D963">
        <w:tblPrEx>
          <w:tblCellMar>
            <w:top w:w="0" w:type="dxa"/>
            <w:left w:w="108" w:type="dxa"/>
            <w:bottom w:w="0" w:type="dxa"/>
            <w:right w:w="108" w:type="dxa"/>
          </w:tblCellMar>
        </w:tblPrEx>
        <w:trPr>
          <w:trHeight w:val="309" w:hRule="atLeast"/>
        </w:trPr>
        <w:tc>
          <w:tcPr>
            <w:tcW w:w="1308" w:type="dxa"/>
            <w:gridSpan w:val="3"/>
            <w:tcBorders>
              <w:top w:val="nil"/>
              <w:left w:val="single" w:color="000000" w:sz="4" w:space="0"/>
              <w:bottom w:val="single" w:color="000000" w:sz="4" w:space="0"/>
              <w:right w:val="single" w:color="000000" w:sz="4" w:space="0"/>
            </w:tcBorders>
            <w:shd w:val="clear" w:color="auto" w:fill="auto"/>
            <w:noWrap/>
            <w:vAlign w:val="center"/>
          </w:tcPr>
          <w:p w14:paraId="1F234177">
            <w:pPr>
              <w:widowControl/>
              <w:jc w:val="left"/>
              <w:rPr>
                <w:rFonts w:ascii="宋体" w:hAnsi="宋体" w:cs="Arial"/>
                <w:color w:val="000000"/>
                <w:kern w:val="0"/>
                <w:sz w:val="22"/>
              </w:rPr>
            </w:pPr>
            <w:r>
              <w:rPr>
                <w:rFonts w:hint="eastAsia" w:ascii="宋体" w:hAnsi="宋体" w:cs="Arial"/>
                <w:color w:val="000000"/>
                <w:kern w:val="0"/>
                <w:sz w:val="22"/>
              </w:rPr>
              <w:t>210</w:t>
            </w:r>
          </w:p>
        </w:tc>
        <w:tc>
          <w:tcPr>
            <w:tcW w:w="2815" w:type="dxa"/>
            <w:tcBorders>
              <w:top w:val="nil"/>
              <w:left w:val="nil"/>
              <w:bottom w:val="single" w:color="000000" w:sz="4" w:space="0"/>
              <w:right w:val="single" w:color="000000" w:sz="4" w:space="0"/>
            </w:tcBorders>
            <w:shd w:val="clear" w:color="auto" w:fill="auto"/>
            <w:noWrap/>
            <w:vAlign w:val="center"/>
          </w:tcPr>
          <w:p w14:paraId="591B0271">
            <w:pPr>
              <w:widowControl/>
              <w:jc w:val="left"/>
              <w:rPr>
                <w:rFonts w:ascii="宋体" w:hAnsi="宋体" w:cs="Arial"/>
                <w:color w:val="000000"/>
                <w:kern w:val="0"/>
                <w:sz w:val="22"/>
              </w:rPr>
            </w:pPr>
            <w:r>
              <w:rPr>
                <w:rFonts w:hint="eastAsia" w:ascii="宋体" w:hAnsi="宋体" w:cs="Arial"/>
                <w:color w:val="000000"/>
                <w:kern w:val="0"/>
                <w:sz w:val="22"/>
              </w:rPr>
              <w:t>卫生健康支出</w:t>
            </w:r>
          </w:p>
        </w:tc>
        <w:tc>
          <w:tcPr>
            <w:tcW w:w="1646" w:type="dxa"/>
            <w:tcBorders>
              <w:top w:val="nil"/>
              <w:left w:val="nil"/>
              <w:bottom w:val="single" w:color="000000" w:sz="4" w:space="0"/>
              <w:right w:val="single" w:color="000000" w:sz="4" w:space="0"/>
            </w:tcBorders>
            <w:shd w:val="clear" w:color="auto" w:fill="auto"/>
            <w:noWrap/>
            <w:vAlign w:val="center"/>
          </w:tcPr>
          <w:p w14:paraId="0A89A0EA">
            <w:pPr>
              <w:widowControl/>
              <w:jc w:val="right"/>
              <w:rPr>
                <w:rFonts w:ascii="宋体" w:hAnsi="宋体" w:cs="Arial"/>
                <w:color w:val="000000"/>
                <w:kern w:val="0"/>
                <w:sz w:val="22"/>
              </w:rPr>
            </w:pPr>
            <w:r>
              <w:rPr>
                <w:rFonts w:hint="eastAsia" w:ascii="宋体" w:hAnsi="宋体" w:cs="Arial"/>
                <w:color w:val="000000"/>
                <w:kern w:val="0"/>
                <w:sz w:val="22"/>
              </w:rPr>
              <w:t>12,228,433.07</w:t>
            </w:r>
          </w:p>
        </w:tc>
        <w:tc>
          <w:tcPr>
            <w:tcW w:w="1536" w:type="dxa"/>
            <w:tcBorders>
              <w:top w:val="nil"/>
              <w:left w:val="nil"/>
              <w:bottom w:val="single" w:color="000000" w:sz="4" w:space="0"/>
              <w:right w:val="single" w:color="000000" w:sz="4" w:space="0"/>
            </w:tcBorders>
            <w:shd w:val="clear" w:color="auto" w:fill="auto"/>
            <w:noWrap/>
            <w:vAlign w:val="center"/>
          </w:tcPr>
          <w:p w14:paraId="1C0B7085">
            <w:pPr>
              <w:widowControl/>
              <w:jc w:val="right"/>
              <w:rPr>
                <w:rFonts w:ascii="宋体" w:hAnsi="宋体" w:cs="Arial"/>
                <w:color w:val="000000"/>
                <w:kern w:val="0"/>
                <w:sz w:val="22"/>
              </w:rPr>
            </w:pPr>
            <w:r>
              <w:rPr>
                <w:rFonts w:hint="eastAsia" w:ascii="宋体" w:hAnsi="宋体" w:cs="Arial"/>
                <w:color w:val="000000"/>
                <w:kern w:val="0"/>
                <w:sz w:val="22"/>
              </w:rPr>
              <w:t>2,567,258.41</w:t>
            </w:r>
          </w:p>
        </w:tc>
        <w:tc>
          <w:tcPr>
            <w:tcW w:w="1496" w:type="dxa"/>
            <w:tcBorders>
              <w:top w:val="nil"/>
              <w:left w:val="nil"/>
              <w:bottom w:val="single" w:color="000000" w:sz="4" w:space="0"/>
              <w:right w:val="single" w:color="000000" w:sz="4" w:space="0"/>
            </w:tcBorders>
            <w:shd w:val="clear" w:color="auto" w:fill="auto"/>
            <w:noWrap/>
            <w:vAlign w:val="center"/>
          </w:tcPr>
          <w:p w14:paraId="28FE2D65">
            <w:pPr>
              <w:widowControl/>
              <w:jc w:val="right"/>
              <w:rPr>
                <w:rFonts w:ascii="宋体" w:hAnsi="宋体" w:cs="Arial"/>
                <w:color w:val="000000"/>
                <w:kern w:val="0"/>
                <w:sz w:val="22"/>
              </w:rPr>
            </w:pPr>
            <w:r>
              <w:rPr>
                <w:rFonts w:hint="eastAsia" w:ascii="宋体" w:hAnsi="宋体" w:cs="Arial"/>
                <w:color w:val="000000"/>
                <w:kern w:val="0"/>
                <w:sz w:val="22"/>
              </w:rPr>
              <w:t>9,661,174.66</w:t>
            </w:r>
          </w:p>
        </w:tc>
      </w:tr>
      <w:tr w14:paraId="1076D770">
        <w:tblPrEx>
          <w:tblCellMar>
            <w:top w:w="0" w:type="dxa"/>
            <w:left w:w="108" w:type="dxa"/>
            <w:bottom w:w="0" w:type="dxa"/>
            <w:right w:w="108" w:type="dxa"/>
          </w:tblCellMar>
        </w:tblPrEx>
        <w:trPr>
          <w:trHeight w:val="309" w:hRule="atLeast"/>
        </w:trPr>
        <w:tc>
          <w:tcPr>
            <w:tcW w:w="1308" w:type="dxa"/>
            <w:gridSpan w:val="3"/>
            <w:tcBorders>
              <w:top w:val="nil"/>
              <w:left w:val="single" w:color="000000" w:sz="4" w:space="0"/>
              <w:bottom w:val="single" w:color="000000" w:sz="4" w:space="0"/>
              <w:right w:val="single" w:color="000000" w:sz="4" w:space="0"/>
            </w:tcBorders>
            <w:shd w:val="clear" w:color="auto" w:fill="auto"/>
            <w:noWrap/>
            <w:vAlign w:val="center"/>
          </w:tcPr>
          <w:p w14:paraId="0536D802">
            <w:pPr>
              <w:widowControl/>
              <w:jc w:val="left"/>
              <w:rPr>
                <w:rFonts w:ascii="宋体" w:hAnsi="宋体" w:cs="Arial"/>
                <w:color w:val="000000"/>
                <w:kern w:val="0"/>
                <w:sz w:val="22"/>
              </w:rPr>
            </w:pPr>
            <w:r>
              <w:rPr>
                <w:rFonts w:hint="eastAsia" w:ascii="宋体" w:hAnsi="宋体" w:cs="Arial"/>
                <w:color w:val="000000"/>
                <w:kern w:val="0"/>
                <w:sz w:val="22"/>
              </w:rPr>
              <w:t>21011</w:t>
            </w:r>
          </w:p>
        </w:tc>
        <w:tc>
          <w:tcPr>
            <w:tcW w:w="2815" w:type="dxa"/>
            <w:tcBorders>
              <w:top w:val="nil"/>
              <w:left w:val="nil"/>
              <w:bottom w:val="single" w:color="000000" w:sz="4" w:space="0"/>
              <w:right w:val="single" w:color="000000" w:sz="4" w:space="0"/>
            </w:tcBorders>
            <w:shd w:val="clear" w:color="auto" w:fill="auto"/>
            <w:noWrap/>
            <w:vAlign w:val="center"/>
          </w:tcPr>
          <w:p w14:paraId="68E43F10">
            <w:pPr>
              <w:widowControl/>
              <w:jc w:val="left"/>
              <w:rPr>
                <w:rFonts w:ascii="宋体" w:hAnsi="宋体" w:cs="Arial"/>
                <w:color w:val="000000"/>
                <w:kern w:val="0"/>
                <w:sz w:val="22"/>
              </w:rPr>
            </w:pPr>
            <w:r>
              <w:rPr>
                <w:rFonts w:hint="eastAsia" w:ascii="宋体" w:hAnsi="宋体" w:cs="Arial"/>
                <w:color w:val="000000"/>
                <w:kern w:val="0"/>
                <w:sz w:val="22"/>
              </w:rPr>
              <w:t>行政事业单位医疗</w:t>
            </w:r>
          </w:p>
        </w:tc>
        <w:tc>
          <w:tcPr>
            <w:tcW w:w="1646" w:type="dxa"/>
            <w:tcBorders>
              <w:top w:val="nil"/>
              <w:left w:val="nil"/>
              <w:bottom w:val="single" w:color="000000" w:sz="4" w:space="0"/>
              <w:right w:val="single" w:color="000000" w:sz="4" w:space="0"/>
            </w:tcBorders>
            <w:shd w:val="clear" w:color="auto" w:fill="auto"/>
            <w:noWrap/>
            <w:vAlign w:val="center"/>
          </w:tcPr>
          <w:p w14:paraId="0335D7AB">
            <w:pPr>
              <w:widowControl/>
              <w:jc w:val="right"/>
              <w:rPr>
                <w:rFonts w:ascii="宋体" w:hAnsi="宋体" w:cs="Arial"/>
                <w:color w:val="000000"/>
                <w:kern w:val="0"/>
                <w:sz w:val="22"/>
              </w:rPr>
            </w:pPr>
            <w:r>
              <w:rPr>
                <w:rFonts w:hint="eastAsia" w:ascii="宋体" w:hAnsi="宋体" w:cs="Arial"/>
                <w:color w:val="000000"/>
                <w:kern w:val="0"/>
                <w:sz w:val="22"/>
              </w:rPr>
              <w:t>173,111.40</w:t>
            </w:r>
          </w:p>
        </w:tc>
        <w:tc>
          <w:tcPr>
            <w:tcW w:w="1536" w:type="dxa"/>
            <w:tcBorders>
              <w:top w:val="nil"/>
              <w:left w:val="nil"/>
              <w:bottom w:val="single" w:color="000000" w:sz="4" w:space="0"/>
              <w:right w:val="single" w:color="000000" w:sz="4" w:space="0"/>
            </w:tcBorders>
            <w:shd w:val="clear" w:color="auto" w:fill="auto"/>
            <w:noWrap/>
            <w:vAlign w:val="center"/>
          </w:tcPr>
          <w:p w14:paraId="74F36E28">
            <w:pPr>
              <w:widowControl/>
              <w:jc w:val="right"/>
              <w:rPr>
                <w:rFonts w:ascii="宋体" w:hAnsi="宋体" w:cs="Arial"/>
                <w:color w:val="000000"/>
                <w:kern w:val="0"/>
                <w:sz w:val="22"/>
              </w:rPr>
            </w:pPr>
            <w:r>
              <w:rPr>
                <w:rFonts w:hint="eastAsia" w:ascii="宋体" w:hAnsi="宋体" w:cs="Arial"/>
                <w:color w:val="000000"/>
                <w:kern w:val="0"/>
                <w:sz w:val="22"/>
              </w:rPr>
              <w:t>173,111.40</w:t>
            </w:r>
          </w:p>
        </w:tc>
        <w:tc>
          <w:tcPr>
            <w:tcW w:w="1496" w:type="dxa"/>
            <w:tcBorders>
              <w:top w:val="nil"/>
              <w:left w:val="nil"/>
              <w:bottom w:val="single" w:color="000000" w:sz="4" w:space="0"/>
              <w:right w:val="single" w:color="000000" w:sz="4" w:space="0"/>
            </w:tcBorders>
            <w:shd w:val="clear" w:color="auto" w:fill="auto"/>
            <w:noWrap/>
            <w:vAlign w:val="center"/>
          </w:tcPr>
          <w:p w14:paraId="1A778B0C">
            <w:pPr>
              <w:widowControl/>
              <w:jc w:val="right"/>
              <w:rPr>
                <w:rFonts w:ascii="宋体" w:hAnsi="宋体" w:cs="Arial"/>
                <w:color w:val="000000"/>
                <w:kern w:val="0"/>
                <w:sz w:val="22"/>
              </w:rPr>
            </w:pPr>
            <w:r>
              <w:rPr>
                <w:rFonts w:hint="eastAsia" w:ascii="宋体" w:hAnsi="宋体" w:cs="Arial"/>
                <w:color w:val="000000"/>
                <w:kern w:val="0"/>
                <w:sz w:val="22"/>
              </w:rPr>
              <w:t>　</w:t>
            </w:r>
          </w:p>
        </w:tc>
      </w:tr>
      <w:tr w14:paraId="25A10B7B">
        <w:tblPrEx>
          <w:tblCellMar>
            <w:top w:w="0" w:type="dxa"/>
            <w:left w:w="108" w:type="dxa"/>
            <w:bottom w:w="0" w:type="dxa"/>
            <w:right w:w="108" w:type="dxa"/>
          </w:tblCellMar>
        </w:tblPrEx>
        <w:trPr>
          <w:trHeight w:val="309" w:hRule="atLeast"/>
        </w:trPr>
        <w:tc>
          <w:tcPr>
            <w:tcW w:w="1308" w:type="dxa"/>
            <w:gridSpan w:val="3"/>
            <w:tcBorders>
              <w:top w:val="nil"/>
              <w:left w:val="single" w:color="000000" w:sz="4" w:space="0"/>
              <w:bottom w:val="single" w:color="000000" w:sz="4" w:space="0"/>
              <w:right w:val="single" w:color="000000" w:sz="4" w:space="0"/>
            </w:tcBorders>
            <w:shd w:val="clear" w:color="auto" w:fill="auto"/>
            <w:noWrap/>
            <w:vAlign w:val="center"/>
          </w:tcPr>
          <w:p w14:paraId="31115ABE">
            <w:pPr>
              <w:widowControl/>
              <w:jc w:val="left"/>
              <w:rPr>
                <w:rFonts w:ascii="宋体" w:hAnsi="宋体" w:cs="Arial"/>
                <w:color w:val="000000"/>
                <w:kern w:val="0"/>
                <w:sz w:val="22"/>
              </w:rPr>
            </w:pPr>
            <w:r>
              <w:rPr>
                <w:rFonts w:hint="eastAsia" w:ascii="宋体" w:hAnsi="宋体" w:cs="Arial"/>
                <w:color w:val="000000"/>
                <w:kern w:val="0"/>
                <w:sz w:val="22"/>
              </w:rPr>
              <w:t>2101101</w:t>
            </w:r>
          </w:p>
        </w:tc>
        <w:tc>
          <w:tcPr>
            <w:tcW w:w="2815" w:type="dxa"/>
            <w:tcBorders>
              <w:top w:val="nil"/>
              <w:left w:val="nil"/>
              <w:bottom w:val="single" w:color="000000" w:sz="4" w:space="0"/>
              <w:right w:val="single" w:color="000000" w:sz="4" w:space="0"/>
            </w:tcBorders>
            <w:shd w:val="clear" w:color="auto" w:fill="auto"/>
            <w:noWrap/>
            <w:vAlign w:val="center"/>
          </w:tcPr>
          <w:p w14:paraId="0242B8AA">
            <w:pPr>
              <w:widowControl/>
              <w:jc w:val="left"/>
              <w:rPr>
                <w:rFonts w:ascii="宋体" w:hAnsi="宋体" w:cs="Arial"/>
                <w:color w:val="000000"/>
                <w:kern w:val="0"/>
                <w:sz w:val="22"/>
              </w:rPr>
            </w:pPr>
            <w:r>
              <w:rPr>
                <w:rFonts w:hint="eastAsia" w:ascii="宋体" w:hAnsi="宋体" w:cs="Arial"/>
                <w:color w:val="000000"/>
                <w:kern w:val="0"/>
                <w:sz w:val="22"/>
              </w:rPr>
              <w:t xml:space="preserve">  行政单位医疗</w:t>
            </w:r>
          </w:p>
        </w:tc>
        <w:tc>
          <w:tcPr>
            <w:tcW w:w="1646" w:type="dxa"/>
            <w:tcBorders>
              <w:top w:val="nil"/>
              <w:left w:val="nil"/>
              <w:bottom w:val="single" w:color="000000" w:sz="4" w:space="0"/>
              <w:right w:val="single" w:color="000000" w:sz="4" w:space="0"/>
            </w:tcBorders>
            <w:shd w:val="clear" w:color="auto" w:fill="auto"/>
            <w:noWrap/>
            <w:vAlign w:val="center"/>
          </w:tcPr>
          <w:p w14:paraId="704FF8C1">
            <w:pPr>
              <w:widowControl/>
              <w:jc w:val="right"/>
              <w:rPr>
                <w:rFonts w:ascii="宋体" w:hAnsi="宋体" w:cs="Arial"/>
                <w:color w:val="000000"/>
                <w:kern w:val="0"/>
                <w:sz w:val="22"/>
              </w:rPr>
            </w:pPr>
            <w:r>
              <w:rPr>
                <w:rFonts w:hint="eastAsia" w:ascii="宋体" w:hAnsi="宋体" w:cs="Arial"/>
                <w:color w:val="000000"/>
                <w:kern w:val="0"/>
                <w:sz w:val="22"/>
              </w:rPr>
              <w:t>159,511.40</w:t>
            </w:r>
          </w:p>
        </w:tc>
        <w:tc>
          <w:tcPr>
            <w:tcW w:w="1536" w:type="dxa"/>
            <w:tcBorders>
              <w:top w:val="nil"/>
              <w:left w:val="nil"/>
              <w:bottom w:val="single" w:color="000000" w:sz="4" w:space="0"/>
              <w:right w:val="single" w:color="000000" w:sz="4" w:space="0"/>
            </w:tcBorders>
            <w:shd w:val="clear" w:color="auto" w:fill="auto"/>
            <w:noWrap/>
            <w:vAlign w:val="center"/>
          </w:tcPr>
          <w:p w14:paraId="37EDF98E">
            <w:pPr>
              <w:widowControl/>
              <w:jc w:val="right"/>
              <w:rPr>
                <w:rFonts w:ascii="宋体" w:hAnsi="宋体" w:cs="Arial"/>
                <w:color w:val="000000"/>
                <w:kern w:val="0"/>
                <w:sz w:val="22"/>
              </w:rPr>
            </w:pPr>
            <w:r>
              <w:rPr>
                <w:rFonts w:hint="eastAsia" w:ascii="宋体" w:hAnsi="宋体" w:cs="Arial"/>
                <w:color w:val="000000"/>
                <w:kern w:val="0"/>
                <w:sz w:val="22"/>
              </w:rPr>
              <w:t>159,511.40</w:t>
            </w:r>
          </w:p>
        </w:tc>
        <w:tc>
          <w:tcPr>
            <w:tcW w:w="1496" w:type="dxa"/>
            <w:tcBorders>
              <w:top w:val="nil"/>
              <w:left w:val="nil"/>
              <w:bottom w:val="single" w:color="000000" w:sz="4" w:space="0"/>
              <w:right w:val="single" w:color="000000" w:sz="4" w:space="0"/>
            </w:tcBorders>
            <w:shd w:val="clear" w:color="auto" w:fill="auto"/>
            <w:noWrap/>
            <w:vAlign w:val="center"/>
          </w:tcPr>
          <w:p w14:paraId="7AC6D9B2">
            <w:pPr>
              <w:widowControl/>
              <w:jc w:val="right"/>
              <w:rPr>
                <w:rFonts w:ascii="宋体" w:hAnsi="宋体" w:cs="Arial"/>
                <w:color w:val="000000"/>
                <w:kern w:val="0"/>
                <w:sz w:val="22"/>
              </w:rPr>
            </w:pPr>
            <w:r>
              <w:rPr>
                <w:rFonts w:hint="eastAsia" w:ascii="宋体" w:hAnsi="宋体" w:cs="Arial"/>
                <w:color w:val="000000"/>
                <w:kern w:val="0"/>
                <w:sz w:val="22"/>
              </w:rPr>
              <w:t>　</w:t>
            </w:r>
          </w:p>
        </w:tc>
      </w:tr>
      <w:tr w14:paraId="41D33FEA">
        <w:tblPrEx>
          <w:tblCellMar>
            <w:top w:w="0" w:type="dxa"/>
            <w:left w:w="108" w:type="dxa"/>
            <w:bottom w:w="0" w:type="dxa"/>
            <w:right w:w="108" w:type="dxa"/>
          </w:tblCellMar>
        </w:tblPrEx>
        <w:trPr>
          <w:trHeight w:val="309" w:hRule="atLeast"/>
        </w:trPr>
        <w:tc>
          <w:tcPr>
            <w:tcW w:w="1308" w:type="dxa"/>
            <w:gridSpan w:val="3"/>
            <w:tcBorders>
              <w:top w:val="nil"/>
              <w:left w:val="single" w:color="000000" w:sz="4" w:space="0"/>
              <w:bottom w:val="single" w:color="000000" w:sz="4" w:space="0"/>
              <w:right w:val="single" w:color="000000" w:sz="4" w:space="0"/>
            </w:tcBorders>
            <w:shd w:val="clear" w:color="auto" w:fill="auto"/>
            <w:noWrap/>
            <w:vAlign w:val="center"/>
          </w:tcPr>
          <w:p w14:paraId="2112E1CF">
            <w:pPr>
              <w:widowControl/>
              <w:jc w:val="left"/>
              <w:rPr>
                <w:rFonts w:ascii="宋体" w:hAnsi="宋体" w:cs="Arial"/>
                <w:color w:val="000000"/>
                <w:kern w:val="0"/>
                <w:sz w:val="22"/>
              </w:rPr>
            </w:pPr>
            <w:r>
              <w:rPr>
                <w:rFonts w:hint="eastAsia" w:ascii="宋体" w:hAnsi="宋体" w:cs="Arial"/>
                <w:color w:val="000000"/>
                <w:kern w:val="0"/>
                <w:sz w:val="22"/>
              </w:rPr>
              <w:t>2101103</w:t>
            </w:r>
          </w:p>
        </w:tc>
        <w:tc>
          <w:tcPr>
            <w:tcW w:w="2815" w:type="dxa"/>
            <w:tcBorders>
              <w:top w:val="nil"/>
              <w:left w:val="nil"/>
              <w:bottom w:val="single" w:color="000000" w:sz="4" w:space="0"/>
              <w:right w:val="single" w:color="000000" w:sz="4" w:space="0"/>
            </w:tcBorders>
            <w:shd w:val="clear" w:color="auto" w:fill="auto"/>
            <w:noWrap/>
            <w:vAlign w:val="center"/>
          </w:tcPr>
          <w:p w14:paraId="44CFB406">
            <w:pPr>
              <w:widowControl/>
              <w:jc w:val="left"/>
              <w:rPr>
                <w:rFonts w:ascii="宋体" w:hAnsi="宋体" w:cs="Arial"/>
                <w:color w:val="000000"/>
                <w:kern w:val="0"/>
                <w:sz w:val="22"/>
              </w:rPr>
            </w:pPr>
            <w:r>
              <w:rPr>
                <w:rFonts w:hint="eastAsia" w:ascii="宋体" w:hAnsi="宋体" w:cs="Arial"/>
                <w:color w:val="000000"/>
                <w:kern w:val="0"/>
                <w:sz w:val="22"/>
              </w:rPr>
              <w:t xml:space="preserve">  公务员医疗补助</w:t>
            </w:r>
          </w:p>
        </w:tc>
        <w:tc>
          <w:tcPr>
            <w:tcW w:w="1646" w:type="dxa"/>
            <w:tcBorders>
              <w:top w:val="nil"/>
              <w:left w:val="nil"/>
              <w:bottom w:val="single" w:color="000000" w:sz="4" w:space="0"/>
              <w:right w:val="single" w:color="000000" w:sz="4" w:space="0"/>
            </w:tcBorders>
            <w:shd w:val="clear" w:color="auto" w:fill="auto"/>
            <w:noWrap/>
            <w:vAlign w:val="center"/>
          </w:tcPr>
          <w:p w14:paraId="256A05E8">
            <w:pPr>
              <w:widowControl/>
              <w:jc w:val="right"/>
              <w:rPr>
                <w:rFonts w:ascii="宋体" w:hAnsi="宋体" w:cs="Arial"/>
                <w:color w:val="000000"/>
                <w:kern w:val="0"/>
                <w:sz w:val="22"/>
              </w:rPr>
            </w:pPr>
            <w:r>
              <w:rPr>
                <w:rFonts w:hint="eastAsia" w:ascii="宋体" w:hAnsi="宋体" w:cs="Arial"/>
                <w:color w:val="000000"/>
                <w:kern w:val="0"/>
                <w:sz w:val="22"/>
              </w:rPr>
              <w:t>13,600.00</w:t>
            </w:r>
          </w:p>
        </w:tc>
        <w:tc>
          <w:tcPr>
            <w:tcW w:w="1536" w:type="dxa"/>
            <w:tcBorders>
              <w:top w:val="nil"/>
              <w:left w:val="nil"/>
              <w:bottom w:val="single" w:color="000000" w:sz="4" w:space="0"/>
              <w:right w:val="single" w:color="000000" w:sz="4" w:space="0"/>
            </w:tcBorders>
            <w:shd w:val="clear" w:color="auto" w:fill="auto"/>
            <w:noWrap/>
            <w:vAlign w:val="center"/>
          </w:tcPr>
          <w:p w14:paraId="3DFE8DFD">
            <w:pPr>
              <w:widowControl/>
              <w:jc w:val="right"/>
              <w:rPr>
                <w:rFonts w:ascii="宋体" w:hAnsi="宋体" w:cs="Arial"/>
                <w:color w:val="000000"/>
                <w:kern w:val="0"/>
                <w:sz w:val="22"/>
              </w:rPr>
            </w:pPr>
            <w:r>
              <w:rPr>
                <w:rFonts w:hint="eastAsia" w:ascii="宋体" w:hAnsi="宋体" w:cs="Arial"/>
                <w:color w:val="000000"/>
                <w:kern w:val="0"/>
                <w:sz w:val="22"/>
              </w:rPr>
              <w:t>13,600.00</w:t>
            </w:r>
          </w:p>
        </w:tc>
        <w:tc>
          <w:tcPr>
            <w:tcW w:w="1496" w:type="dxa"/>
            <w:tcBorders>
              <w:top w:val="nil"/>
              <w:left w:val="nil"/>
              <w:bottom w:val="single" w:color="000000" w:sz="4" w:space="0"/>
              <w:right w:val="single" w:color="000000" w:sz="4" w:space="0"/>
            </w:tcBorders>
            <w:shd w:val="clear" w:color="auto" w:fill="auto"/>
            <w:noWrap/>
            <w:vAlign w:val="center"/>
          </w:tcPr>
          <w:p w14:paraId="337EBC7E">
            <w:pPr>
              <w:widowControl/>
              <w:jc w:val="right"/>
              <w:rPr>
                <w:rFonts w:ascii="宋体" w:hAnsi="宋体" w:cs="Arial"/>
                <w:color w:val="000000"/>
                <w:kern w:val="0"/>
                <w:sz w:val="22"/>
              </w:rPr>
            </w:pPr>
            <w:r>
              <w:rPr>
                <w:rFonts w:hint="eastAsia" w:ascii="宋体" w:hAnsi="宋体" w:cs="Arial"/>
                <w:color w:val="000000"/>
                <w:kern w:val="0"/>
                <w:sz w:val="22"/>
              </w:rPr>
              <w:t>　</w:t>
            </w:r>
          </w:p>
        </w:tc>
      </w:tr>
      <w:tr w14:paraId="7208A394">
        <w:tblPrEx>
          <w:tblCellMar>
            <w:top w:w="0" w:type="dxa"/>
            <w:left w:w="108" w:type="dxa"/>
            <w:bottom w:w="0" w:type="dxa"/>
            <w:right w:w="108" w:type="dxa"/>
          </w:tblCellMar>
        </w:tblPrEx>
        <w:trPr>
          <w:trHeight w:val="309" w:hRule="atLeast"/>
        </w:trPr>
        <w:tc>
          <w:tcPr>
            <w:tcW w:w="1308" w:type="dxa"/>
            <w:gridSpan w:val="3"/>
            <w:tcBorders>
              <w:top w:val="nil"/>
              <w:left w:val="single" w:color="000000" w:sz="4" w:space="0"/>
              <w:bottom w:val="single" w:color="000000" w:sz="4" w:space="0"/>
              <w:right w:val="single" w:color="000000" w:sz="4" w:space="0"/>
            </w:tcBorders>
            <w:shd w:val="clear" w:color="auto" w:fill="auto"/>
            <w:noWrap/>
            <w:vAlign w:val="center"/>
          </w:tcPr>
          <w:p w14:paraId="4E60907E">
            <w:pPr>
              <w:widowControl/>
              <w:jc w:val="left"/>
              <w:rPr>
                <w:rFonts w:ascii="宋体" w:hAnsi="宋体" w:cs="Arial"/>
                <w:color w:val="000000"/>
                <w:kern w:val="0"/>
                <w:sz w:val="22"/>
              </w:rPr>
            </w:pPr>
            <w:r>
              <w:rPr>
                <w:rFonts w:hint="eastAsia" w:ascii="宋体" w:hAnsi="宋体" w:cs="Arial"/>
                <w:color w:val="000000"/>
                <w:kern w:val="0"/>
                <w:sz w:val="22"/>
              </w:rPr>
              <w:t>21013</w:t>
            </w:r>
          </w:p>
        </w:tc>
        <w:tc>
          <w:tcPr>
            <w:tcW w:w="2815" w:type="dxa"/>
            <w:tcBorders>
              <w:top w:val="nil"/>
              <w:left w:val="nil"/>
              <w:bottom w:val="single" w:color="000000" w:sz="4" w:space="0"/>
              <w:right w:val="single" w:color="000000" w:sz="4" w:space="0"/>
            </w:tcBorders>
            <w:shd w:val="clear" w:color="auto" w:fill="auto"/>
            <w:noWrap/>
            <w:vAlign w:val="center"/>
          </w:tcPr>
          <w:p w14:paraId="6E8BF293">
            <w:pPr>
              <w:widowControl/>
              <w:jc w:val="left"/>
              <w:rPr>
                <w:rFonts w:ascii="宋体" w:hAnsi="宋体" w:cs="Arial"/>
                <w:color w:val="000000"/>
                <w:kern w:val="0"/>
                <w:sz w:val="22"/>
              </w:rPr>
            </w:pPr>
            <w:r>
              <w:rPr>
                <w:rFonts w:hint="eastAsia" w:ascii="宋体" w:hAnsi="宋体" w:cs="Arial"/>
                <w:color w:val="000000"/>
                <w:kern w:val="0"/>
                <w:sz w:val="22"/>
              </w:rPr>
              <w:t>医疗救助</w:t>
            </w:r>
          </w:p>
        </w:tc>
        <w:tc>
          <w:tcPr>
            <w:tcW w:w="1646" w:type="dxa"/>
            <w:tcBorders>
              <w:top w:val="nil"/>
              <w:left w:val="nil"/>
              <w:bottom w:val="single" w:color="000000" w:sz="4" w:space="0"/>
              <w:right w:val="single" w:color="000000" w:sz="4" w:space="0"/>
            </w:tcBorders>
            <w:shd w:val="clear" w:color="auto" w:fill="auto"/>
            <w:noWrap/>
            <w:vAlign w:val="center"/>
          </w:tcPr>
          <w:p w14:paraId="3464E772">
            <w:pPr>
              <w:widowControl/>
              <w:jc w:val="right"/>
              <w:rPr>
                <w:rFonts w:ascii="宋体" w:hAnsi="宋体" w:cs="Arial"/>
                <w:color w:val="000000"/>
                <w:kern w:val="0"/>
                <w:sz w:val="22"/>
              </w:rPr>
            </w:pPr>
            <w:r>
              <w:rPr>
                <w:rFonts w:hint="eastAsia" w:ascii="宋体" w:hAnsi="宋体" w:cs="Arial"/>
                <w:color w:val="000000"/>
                <w:kern w:val="0"/>
                <w:sz w:val="22"/>
              </w:rPr>
              <w:t>8,179,247.73</w:t>
            </w:r>
          </w:p>
        </w:tc>
        <w:tc>
          <w:tcPr>
            <w:tcW w:w="1536" w:type="dxa"/>
            <w:tcBorders>
              <w:top w:val="nil"/>
              <w:left w:val="nil"/>
              <w:bottom w:val="single" w:color="000000" w:sz="4" w:space="0"/>
              <w:right w:val="single" w:color="000000" w:sz="4" w:space="0"/>
            </w:tcBorders>
            <w:shd w:val="clear" w:color="auto" w:fill="auto"/>
            <w:noWrap/>
            <w:vAlign w:val="center"/>
          </w:tcPr>
          <w:p w14:paraId="0CA708E2">
            <w:pPr>
              <w:widowControl/>
              <w:jc w:val="right"/>
              <w:rPr>
                <w:rFonts w:ascii="宋体" w:hAnsi="宋体" w:cs="Arial"/>
                <w:color w:val="000000"/>
                <w:kern w:val="0"/>
                <w:sz w:val="22"/>
              </w:rPr>
            </w:pPr>
            <w:r>
              <w:rPr>
                <w:rFonts w:hint="eastAsia" w:ascii="宋体" w:hAnsi="宋体" w:cs="Arial"/>
                <w:color w:val="000000"/>
                <w:kern w:val="0"/>
                <w:sz w:val="22"/>
              </w:rPr>
              <w:t>　</w:t>
            </w:r>
          </w:p>
        </w:tc>
        <w:tc>
          <w:tcPr>
            <w:tcW w:w="1496" w:type="dxa"/>
            <w:tcBorders>
              <w:top w:val="nil"/>
              <w:left w:val="nil"/>
              <w:bottom w:val="single" w:color="000000" w:sz="4" w:space="0"/>
              <w:right w:val="single" w:color="000000" w:sz="4" w:space="0"/>
            </w:tcBorders>
            <w:shd w:val="clear" w:color="auto" w:fill="auto"/>
            <w:noWrap/>
            <w:vAlign w:val="center"/>
          </w:tcPr>
          <w:p w14:paraId="7955412B">
            <w:pPr>
              <w:widowControl/>
              <w:jc w:val="right"/>
              <w:rPr>
                <w:rFonts w:ascii="宋体" w:hAnsi="宋体" w:cs="Arial"/>
                <w:color w:val="000000"/>
                <w:kern w:val="0"/>
                <w:sz w:val="22"/>
              </w:rPr>
            </w:pPr>
            <w:r>
              <w:rPr>
                <w:rFonts w:hint="eastAsia" w:ascii="宋体" w:hAnsi="宋体" w:cs="Arial"/>
                <w:color w:val="000000"/>
                <w:kern w:val="0"/>
                <w:sz w:val="22"/>
              </w:rPr>
              <w:t>8,179,247.73</w:t>
            </w:r>
          </w:p>
        </w:tc>
      </w:tr>
      <w:tr w14:paraId="7BA29A6B">
        <w:tblPrEx>
          <w:tblCellMar>
            <w:top w:w="0" w:type="dxa"/>
            <w:left w:w="108" w:type="dxa"/>
            <w:bottom w:w="0" w:type="dxa"/>
            <w:right w:w="108" w:type="dxa"/>
          </w:tblCellMar>
        </w:tblPrEx>
        <w:trPr>
          <w:trHeight w:val="309" w:hRule="atLeast"/>
        </w:trPr>
        <w:tc>
          <w:tcPr>
            <w:tcW w:w="1308" w:type="dxa"/>
            <w:gridSpan w:val="3"/>
            <w:tcBorders>
              <w:top w:val="nil"/>
              <w:left w:val="single" w:color="000000" w:sz="4" w:space="0"/>
              <w:bottom w:val="single" w:color="000000" w:sz="4" w:space="0"/>
              <w:right w:val="single" w:color="000000" w:sz="4" w:space="0"/>
            </w:tcBorders>
            <w:shd w:val="clear" w:color="auto" w:fill="auto"/>
            <w:noWrap/>
            <w:vAlign w:val="center"/>
          </w:tcPr>
          <w:p w14:paraId="23F23218">
            <w:pPr>
              <w:widowControl/>
              <w:jc w:val="left"/>
              <w:rPr>
                <w:rFonts w:ascii="宋体" w:hAnsi="宋体" w:cs="Arial"/>
                <w:color w:val="000000"/>
                <w:kern w:val="0"/>
                <w:sz w:val="22"/>
              </w:rPr>
            </w:pPr>
            <w:r>
              <w:rPr>
                <w:rFonts w:hint="eastAsia" w:ascii="宋体" w:hAnsi="宋体" w:cs="Arial"/>
                <w:color w:val="000000"/>
                <w:kern w:val="0"/>
                <w:sz w:val="22"/>
              </w:rPr>
              <w:t>2101301</w:t>
            </w:r>
          </w:p>
        </w:tc>
        <w:tc>
          <w:tcPr>
            <w:tcW w:w="2815" w:type="dxa"/>
            <w:tcBorders>
              <w:top w:val="nil"/>
              <w:left w:val="nil"/>
              <w:bottom w:val="single" w:color="000000" w:sz="4" w:space="0"/>
              <w:right w:val="single" w:color="000000" w:sz="4" w:space="0"/>
            </w:tcBorders>
            <w:shd w:val="clear" w:color="auto" w:fill="auto"/>
            <w:noWrap/>
            <w:vAlign w:val="center"/>
          </w:tcPr>
          <w:p w14:paraId="0AA6BC5B">
            <w:pPr>
              <w:widowControl/>
              <w:jc w:val="left"/>
              <w:rPr>
                <w:rFonts w:ascii="宋体" w:hAnsi="宋体" w:cs="Arial"/>
                <w:color w:val="000000"/>
                <w:kern w:val="0"/>
                <w:sz w:val="22"/>
              </w:rPr>
            </w:pPr>
            <w:r>
              <w:rPr>
                <w:rFonts w:hint="eastAsia" w:ascii="宋体" w:hAnsi="宋体" w:cs="Arial"/>
                <w:color w:val="000000"/>
                <w:kern w:val="0"/>
                <w:sz w:val="22"/>
              </w:rPr>
              <w:t xml:space="preserve">  城乡医疗救助</w:t>
            </w:r>
          </w:p>
        </w:tc>
        <w:tc>
          <w:tcPr>
            <w:tcW w:w="1646" w:type="dxa"/>
            <w:tcBorders>
              <w:top w:val="nil"/>
              <w:left w:val="nil"/>
              <w:bottom w:val="single" w:color="000000" w:sz="4" w:space="0"/>
              <w:right w:val="single" w:color="000000" w:sz="4" w:space="0"/>
            </w:tcBorders>
            <w:shd w:val="clear" w:color="auto" w:fill="auto"/>
            <w:noWrap/>
            <w:vAlign w:val="center"/>
          </w:tcPr>
          <w:p w14:paraId="1F93A3A5">
            <w:pPr>
              <w:widowControl/>
              <w:jc w:val="right"/>
              <w:rPr>
                <w:rFonts w:ascii="宋体" w:hAnsi="宋体" w:cs="Arial"/>
                <w:color w:val="000000"/>
                <w:kern w:val="0"/>
                <w:sz w:val="22"/>
              </w:rPr>
            </w:pPr>
            <w:r>
              <w:rPr>
                <w:rFonts w:hint="eastAsia" w:ascii="宋体" w:hAnsi="宋体" w:cs="Arial"/>
                <w:color w:val="000000"/>
                <w:kern w:val="0"/>
                <w:sz w:val="22"/>
              </w:rPr>
              <w:t>8,179,247.73</w:t>
            </w:r>
          </w:p>
        </w:tc>
        <w:tc>
          <w:tcPr>
            <w:tcW w:w="1536" w:type="dxa"/>
            <w:tcBorders>
              <w:top w:val="nil"/>
              <w:left w:val="nil"/>
              <w:bottom w:val="single" w:color="000000" w:sz="4" w:space="0"/>
              <w:right w:val="single" w:color="000000" w:sz="4" w:space="0"/>
            </w:tcBorders>
            <w:shd w:val="clear" w:color="auto" w:fill="auto"/>
            <w:noWrap/>
            <w:vAlign w:val="center"/>
          </w:tcPr>
          <w:p w14:paraId="4AC6CFDC">
            <w:pPr>
              <w:widowControl/>
              <w:jc w:val="right"/>
              <w:rPr>
                <w:rFonts w:ascii="宋体" w:hAnsi="宋体" w:cs="Arial"/>
                <w:color w:val="000000"/>
                <w:kern w:val="0"/>
                <w:sz w:val="22"/>
              </w:rPr>
            </w:pPr>
            <w:r>
              <w:rPr>
                <w:rFonts w:hint="eastAsia" w:ascii="宋体" w:hAnsi="宋体" w:cs="Arial"/>
                <w:color w:val="000000"/>
                <w:kern w:val="0"/>
                <w:sz w:val="22"/>
              </w:rPr>
              <w:t>　</w:t>
            </w:r>
          </w:p>
        </w:tc>
        <w:tc>
          <w:tcPr>
            <w:tcW w:w="1496" w:type="dxa"/>
            <w:tcBorders>
              <w:top w:val="nil"/>
              <w:left w:val="nil"/>
              <w:bottom w:val="single" w:color="000000" w:sz="4" w:space="0"/>
              <w:right w:val="single" w:color="000000" w:sz="4" w:space="0"/>
            </w:tcBorders>
            <w:shd w:val="clear" w:color="auto" w:fill="auto"/>
            <w:noWrap/>
            <w:vAlign w:val="center"/>
          </w:tcPr>
          <w:p w14:paraId="75D3929E">
            <w:pPr>
              <w:widowControl/>
              <w:jc w:val="right"/>
              <w:rPr>
                <w:rFonts w:ascii="宋体" w:hAnsi="宋体" w:cs="Arial"/>
                <w:color w:val="000000"/>
                <w:kern w:val="0"/>
                <w:sz w:val="22"/>
              </w:rPr>
            </w:pPr>
            <w:r>
              <w:rPr>
                <w:rFonts w:hint="eastAsia" w:ascii="宋体" w:hAnsi="宋体" w:cs="Arial"/>
                <w:color w:val="000000"/>
                <w:kern w:val="0"/>
                <w:sz w:val="22"/>
              </w:rPr>
              <w:t>8,179,247.73</w:t>
            </w:r>
          </w:p>
        </w:tc>
      </w:tr>
      <w:tr w14:paraId="59F1C2A4">
        <w:tblPrEx>
          <w:tblCellMar>
            <w:top w:w="0" w:type="dxa"/>
            <w:left w:w="108" w:type="dxa"/>
            <w:bottom w:w="0" w:type="dxa"/>
            <w:right w:w="108" w:type="dxa"/>
          </w:tblCellMar>
        </w:tblPrEx>
        <w:trPr>
          <w:trHeight w:val="309" w:hRule="atLeast"/>
        </w:trPr>
        <w:tc>
          <w:tcPr>
            <w:tcW w:w="1308" w:type="dxa"/>
            <w:gridSpan w:val="3"/>
            <w:tcBorders>
              <w:top w:val="nil"/>
              <w:left w:val="single" w:color="000000" w:sz="4" w:space="0"/>
              <w:bottom w:val="single" w:color="000000" w:sz="4" w:space="0"/>
              <w:right w:val="single" w:color="000000" w:sz="4" w:space="0"/>
            </w:tcBorders>
            <w:shd w:val="clear" w:color="auto" w:fill="auto"/>
            <w:noWrap/>
            <w:vAlign w:val="center"/>
          </w:tcPr>
          <w:p w14:paraId="63355DE0">
            <w:pPr>
              <w:widowControl/>
              <w:jc w:val="left"/>
              <w:rPr>
                <w:rFonts w:ascii="宋体" w:hAnsi="宋体" w:cs="Arial"/>
                <w:color w:val="000000"/>
                <w:kern w:val="0"/>
                <w:sz w:val="22"/>
              </w:rPr>
            </w:pPr>
            <w:r>
              <w:rPr>
                <w:rFonts w:hint="eastAsia" w:ascii="宋体" w:hAnsi="宋体" w:cs="Arial"/>
                <w:color w:val="000000"/>
                <w:kern w:val="0"/>
                <w:sz w:val="22"/>
              </w:rPr>
              <w:t>21015</w:t>
            </w:r>
          </w:p>
        </w:tc>
        <w:tc>
          <w:tcPr>
            <w:tcW w:w="2815" w:type="dxa"/>
            <w:tcBorders>
              <w:top w:val="nil"/>
              <w:left w:val="nil"/>
              <w:bottom w:val="single" w:color="000000" w:sz="4" w:space="0"/>
              <w:right w:val="single" w:color="000000" w:sz="4" w:space="0"/>
            </w:tcBorders>
            <w:shd w:val="clear" w:color="auto" w:fill="auto"/>
            <w:noWrap/>
            <w:vAlign w:val="center"/>
          </w:tcPr>
          <w:p w14:paraId="0397B2D2">
            <w:pPr>
              <w:widowControl/>
              <w:jc w:val="left"/>
              <w:rPr>
                <w:rFonts w:ascii="宋体" w:hAnsi="宋体" w:cs="Arial"/>
                <w:color w:val="000000"/>
                <w:kern w:val="0"/>
                <w:sz w:val="22"/>
              </w:rPr>
            </w:pPr>
            <w:r>
              <w:rPr>
                <w:rFonts w:hint="eastAsia" w:ascii="宋体" w:hAnsi="宋体" w:cs="Arial"/>
                <w:color w:val="000000"/>
                <w:kern w:val="0"/>
                <w:sz w:val="22"/>
              </w:rPr>
              <w:t>医疗保障管理事务</w:t>
            </w:r>
          </w:p>
        </w:tc>
        <w:tc>
          <w:tcPr>
            <w:tcW w:w="1646" w:type="dxa"/>
            <w:tcBorders>
              <w:top w:val="nil"/>
              <w:left w:val="nil"/>
              <w:bottom w:val="single" w:color="000000" w:sz="4" w:space="0"/>
              <w:right w:val="single" w:color="000000" w:sz="4" w:space="0"/>
            </w:tcBorders>
            <w:shd w:val="clear" w:color="auto" w:fill="auto"/>
            <w:noWrap/>
            <w:vAlign w:val="center"/>
          </w:tcPr>
          <w:p w14:paraId="219026E1">
            <w:pPr>
              <w:widowControl/>
              <w:jc w:val="right"/>
              <w:rPr>
                <w:rFonts w:ascii="宋体" w:hAnsi="宋体" w:cs="Arial"/>
                <w:color w:val="000000"/>
                <w:kern w:val="0"/>
                <w:sz w:val="22"/>
              </w:rPr>
            </w:pPr>
            <w:r>
              <w:rPr>
                <w:rFonts w:hint="eastAsia" w:ascii="宋体" w:hAnsi="宋体" w:cs="Arial"/>
                <w:color w:val="000000"/>
                <w:kern w:val="0"/>
                <w:sz w:val="22"/>
              </w:rPr>
              <w:t>3,862,746.63</w:t>
            </w:r>
          </w:p>
        </w:tc>
        <w:tc>
          <w:tcPr>
            <w:tcW w:w="1536" w:type="dxa"/>
            <w:tcBorders>
              <w:top w:val="nil"/>
              <w:left w:val="nil"/>
              <w:bottom w:val="single" w:color="000000" w:sz="4" w:space="0"/>
              <w:right w:val="single" w:color="000000" w:sz="4" w:space="0"/>
            </w:tcBorders>
            <w:shd w:val="clear" w:color="auto" w:fill="auto"/>
            <w:noWrap/>
            <w:vAlign w:val="center"/>
          </w:tcPr>
          <w:p w14:paraId="799CB768">
            <w:pPr>
              <w:widowControl/>
              <w:jc w:val="right"/>
              <w:rPr>
                <w:rFonts w:ascii="宋体" w:hAnsi="宋体" w:cs="Arial"/>
                <w:color w:val="000000"/>
                <w:kern w:val="0"/>
                <w:sz w:val="22"/>
              </w:rPr>
            </w:pPr>
            <w:r>
              <w:rPr>
                <w:rFonts w:hint="eastAsia" w:ascii="宋体" w:hAnsi="宋体" w:cs="Arial"/>
                <w:color w:val="000000"/>
                <w:kern w:val="0"/>
                <w:sz w:val="22"/>
              </w:rPr>
              <w:t>2,394,147.01</w:t>
            </w:r>
          </w:p>
        </w:tc>
        <w:tc>
          <w:tcPr>
            <w:tcW w:w="1496" w:type="dxa"/>
            <w:tcBorders>
              <w:top w:val="nil"/>
              <w:left w:val="nil"/>
              <w:bottom w:val="single" w:color="000000" w:sz="4" w:space="0"/>
              <w:right w:val="single" w:color="000000" w:sz="4" w:space="0"/>
            </w:tcBorders>
            <w:shd w:val="clear" w:color="auto" w:fill="auto"/>
            <w:noWrap/>
            <w:vAlign w:val="center"/>
          </w:tcPr>
          <w:p w14:paraId="40A81916">
            <w:pPr>
              <w:widowControl/>
              <w:jc w:val="right"/>
              <w:rPr>
                <w:rFonts w:ascii="宋体" w:hAnsi="宋体" w:cs="Arial"/>
                <w:color w:val="000000"/>
                <w:kern w:val="0"/>
                <w:sz w:val="22"/>
              </w:rPr>
            </w:pPr>
            <w:r>
              <w:rPr>
                <w:rFonts w:hint="eastAsia" w:ascii="宋体" w:hAnsi="宋体" w:cs="Arial"/>
                <w:color w:val="000000"/>
                <w:kern w:val="0"/>
                <w:sz w:val="22"/>
              </w:rPr>
              <w:t>1,468,599.62</w:t>
            </w:r>
          </w:p>
        </w:tc>
      </w:tr>
      <w:tr w14:paraId="63E2D36C">
        <w:tblPrEx>
          <w:tblCellMar>
            <w:top w:w="0" w:type="dxa"/>
            <w:left w:w="108" w:type="dxa"/>
            <w:bottom w:w="0" w:type="dxa"/>
            <w:right w:w="108" w:type="dxa"/>
          </w:tblCellMar>
        </w:tblPrEx>
        <w:trPr>
          <w:trHeight w:val="309" w:hRule="atLeast"/>
        </w:trPr>
        <w:tc>
          <w:tcPr>
            <w:tcW w:w="1308" w:type="dxa"/>
            <w:gridSpan w:val="3"/>
            <w:tcBorders>
              <w:top w:val="nil"/>
              <w:left w:val="single" w:color="000000" w:sz="4" w:space="0"/>
              <w:bottom w:val="single" w:color="000000" w:sz="4" w:space="0"/>
              <w:right w:val="single" w:color="000000" w:sz="4" w:space="0"/>
            </w:tcBorders>
            <w:shd w:val="clear" w:color="auto" w:fill="auto"/>
            <w:noWrap/>
            <w:vAlign w:val="center"/>
          </w:tcPr>
          <w:p w14:paraId="3033202A">
            <w:pPr>
              <w:widowControl/>
              <w:jc w:val="left"/>
              <w:rPr>
                <w:rFonts w:ascii="宋体" w:hAnsi="宋体" w:cs="Arial"/>
                <w:color w:val="000000"/>
                <w:kern w:val="0"/>
                <w:sz w:val="22"/>
              </w:rPr>
            </w:pPr>
            <w:r>
              <w:rPr>
                <w:rFonts w:hint="eastAsia" w:ascii="宋体" w:hAnsi="宋体" w:cs="Arial"/>
                <w:color w:val="000000"/>
                <w:kern w:val="0"/>
                <w:sz w:val="22"/>
              </w:rPr>
              <w:t>2101501</w:t>
            </w:r>
          </w:p>
        </w:tc>
        <w:tc>
          <w:tcPr>
            <w:tcW w:w="2815" w:type="dxa"/>
            <w:tcBorders>
              <w:top w:val="nil"/>
              <w:left w:val="nil"/>
              <w:bottom w:val="single" w:color="000000" w:sz="4" w:space="0"/>
              <w:right w:val="single" w:color="000000" w:sz="4" w:space="0"/>
            </w:tcBorders>
            <w:shd w:val="clear" w:color="auto" w:fill="auto"/>
            <w:noWrap/>
            <w:vAlign w:val="center"/>
          </w:tcPr>
          <w:p w14:paraId="4707AADD">
            <w:pPr>
              <w:widowControl/>
              <w:jc w:val="left"/>
              <w:rPr>
                <w:rFonts w:ascii="宋体" w:hAnsi="宋体" w:cs="Arial"/>
                <w:color w:val="000000"/>
                <w:kern w:val="0"/>
                <w:sz w:val="22"/>
              </w:rPr>
            </w:pPr>
            <w:r>
              <w:rPr>
                <w:rFonts w:hint="eastAsia" w:ascii="宋体" w:hAnsi="宋体" w:cs="Arial"/>
                <w:color w:val="000000"/>
                <w:kern w:val="0"/>
                <w:sz w:val="22"/>
              </w:rPr>
              <w:t xml:space="preserve">  行政运行</w:t>
            </w:r>
          </w:p>
        </w:tc>
        <w:tc>
          <w:tcPr>
            <w:tcW w:w="1646" w:type="dxa"/>
            <w:tcBorders>
              <w:top w:val="nil"/>
              <w:left w:val="nil"/>
              <w:bottom w:val="single" w:color="000000" w:sz="4" w:space="0"/>
              <w:right w:val="single" w:color="000000" w:sz="4" w:space="0"/>
            </w:tcBorders>
            <w:shd w:val="clear" w:color="auto" w:fill="auto"/>
            <w:noWrap/>
            <w:vAlign w:val="center"/>
          </w:tcPr>
          <w:p w14:paraId="5D56F8B0">
            <w:pPr>
              <w:widowControl/>
              <w:jc w:val="right"/>
              <w:rPr>
                <w:rFonts w:ascii="宋体" w:hAnsi="宋体" w:cs="Arial"/>
                <w:color w:val="000000"/>
                <w:kern w:val="0"/>
                <w:sz w:val="22"/>
              </w:rPr>
            </w:pPr>
            <w:r>
              <w:rPr>
                <w:rFonts w:hint="eastAsia" w:ascii="宋体" w:hAnsi="宋体" w:cs="Arial"/>
                <w:color w:val="000000"/>
                <w:kern w:val="0"/>
                <w:sz w:val="22"/>
              </w:rPr>
              <w:t>2,394,147.01</w:t>
            </w:r>
          </w:p>
        </w:tc>
        <w:tc>
          <w:tcPr>
            <w:tcW w:w="1536" w:type="dxa"/>
            <w:tcBorders>
              <w:top w:val="nil"/>
              <w:left w:val="nil"/>
              <w:bottom w:val="single" w:color="000000" w:sz="4" w:space="0"/>
              <w:right w:val="single" w:color="000000" w:sz="4" w:space="0"/>
            </w:tcBorders>
            <w:shd w:val="clear" w:color="auto" w:fill="auto"/>
            <w:noWrap/>
            <w:vAlign w:val="center"/>
          </w:tcPr>
          <w:p w14:paraId="392C3D6E">
            <w:pPr>
              <w:widowControl/>
              <w:jc w:val="right"/>
              <w:rPr>
                <w:rFonts w:ascii="宋体" w:hAnsi="宋体" w:cs="Arial"/>
                <w:color w:val="000000"/>
                <w:kern w:val="0"/>
                <w:sz w:val="22"/>
              </w:rPr>
            </w:pPr>
            <w:r>
              <w:rPr>
                <w:rFonts w:hint="eastAsia" w:ascii="宋体" w:hAnsi="宋体" w:cs="Arial"/>
                <w:color w:val="000000"/>
                <w:kern w:val="0"/>
                <w:sz w:val="22"/>
              </w:rPr>
              <w:t>2,394,147.01</w:t>
            </w:r>
          </w:p>
        </w:tc>
        <w:tc>
          <w:tcPr>
            <w:tcW w:w="1496" w:type="dxa"/>
            <w:tcBorders>
              <w:top w:val="nil"/>
              <w:left w:val="nil"/>
              <w:bottom w:val="single" w:color="000000" w:sz="4" w:space="0"/>
              <w:right w:val="single" w:color="000000" w:sz="4" w:space="0"/>
            </w:tcBorders>
            <w:shd w:val="clear" w:color="auto" w:fill="auto"/>
            <w:noWrap/>
            <w:vAlign w:val="center"/>
          </w:tcPr>
          <w:p w14:paraId="2BB3F0C8">
            <w:pPr>
              <w:widowControl/>
              <w:jc w:val="right"/>
              <w:rPr>
                <w:rFonts w:ascii="宋体" w:hAnsi="宋体" w:cs="Arial"/>
                <w:color w:val="000000"/>
                <w:kern w:val="0"/>
                <w:sz w:val="22"/>
              </w:rPr>
            </w:pPr>
            <w:r>
              <w:rPr>
                <w:rFonts w:hint="eastAsia" w:ascii="宋体" w:hAnsi="宋体" w:cs="Arial"/>
                <w:color w:val="000000"/>
                <w:kern w:val="0"/>
                <w:sz w:val="22"/>
              </w:rPr>
              <w:t>　</w:t>
            </w:r>
          </w:p>
        </w:tc>
      </w:tr>
      <w:tr w14:paraId="55C038F3">
        <w:tblPrEx>
          <w:tblCellMar>
            <w:top w:w="0" w:type="dxa"/>
            <w:left w:w="108" w:type="dxa"/>
            <w:bottom w:w="0" w:type="dxa"/>
            <w:right w:w="108" w:type="dxa"/>
          </w:tblCellMar>
        </w:tblPrEx>
        <w:trPr>
          <w:trHeight w:val="309" w:hRule="atLeast"/>
        </w:trPr>
        <w:tc>
          <w:tcPr>
            <w:tcW w:w="1308" w:type="dxa"/>
            <w:gridSpan w:val="3"/>
            <w:tcBorders>
              <w:top w:val="nil"/>
              <w:left w:val="single" w:color="000000" w:sz="4" w:space="0"/>
              <w:bottom w:val="single" w:color="000000" w:sz="4" w:space="0"/>
              <w:right w:val="single" w:color="000000" w:sz="4" w:space="0"/>
            </w:tcBorders>
            <w:shd w:val="clear" w:color="auto" w:fill="auto"/>
            <w:noWrap/>
            <w:vAlign w:val="center"/>
          </w:tcPr>
          <w:p w14:paraId="1AE2383C">
            <w:pPr>
              <w:widowControl/>
              <w:jc w:val="left"/>
              <w:rPr>
                <w:rFonts w:ascii="宋体" w:hAnsi="宋体" w:cs="Arial"/>
                <w:color w:val="000000"/>
                <w:kern w:val="0"/>
                <w:sz w:val="22"/>
              </w:rPr>
            </w:pPr>
            <w:r>
              <w:rPr>
                <w:rFonts w:hint="eastAsia" w:ascii="宋体" w:hAnsi="宋体" w:cs="Arial"/>
                <w:color w:val="000000"/>
                <w:kern w:val="0"/>
                <w:sz w:val="22"/>
              </w:rPr>
              <w:t>2101599</w:t>
            </w:r>
          </w:p>
        </w:tc>
        <w:tc>
          <w:tcPr>
            <w:tcW w:w="2815" w:type="dxa"/>
            <w:tcBorders>
              <w:top w:val="nil"/>
              <w:left w:val="nil"/>
              <w:bottom w:val="single" w:color="000000" w:sz="4" w:space="0"/>
              <w:right w:val="single" w:color="000000" w:sz="4" w:space="0"/>
            </w:tcBorders>
            <w:shd w:val="clear" w:color="auto" w:fill="auto"/>
            <w:noWrap/>
            <w:vAlign w:val="center"/>
          </w:tcPr>
          <w:p w14:paraId="3122BF87">
            <w:pPr>
              <w:widowControl/>
              <w:jc w:val="left"/>
              <w:rPr>
                <w:rFonts w:ascii="宋体" w:hAnsi="宋体" w:cs="Arial"/>
                <w:color w:val="000000"/>
                <w:kern w:val="0"/>
                <w:sz w:val="22"/>
              </w:rPr>
            </w:pPr>
            <w:r>
              <w:rPr>
                <w:rFonts w:hint="eastAsia" w:ascii="宋体" w:hAnsi="宋体" w:cs="Arial"/>
                <w:color w:val="000000"/>
                <w:kern w:val="0"/>
                <w:sz w:val="22"/>
              </w:rPr>
              <w:t xml:space="preserve">  其他医疗保障管理事务支出</w:t>
            </w:r>
          </w:p>
        </w:tc>
        <w:tc>
          <w:tcPr>
            <w:tcW w:w="1646" w:type="dxa"/>
            <w:tcBorders>
              <w:top w:val="nil"/>
              <w:left w:val="nil"/>
              <w:bottom w:val="single" w:color="000000" w:sz="4" w:space="0"/>
              <w:right w:val="single" w:color="000000" w:sz="4" w:space="0"/>
            </w:tcBorders>
            <w:shd w:val="clear" w:color="auto" w:fill="auto"/>
            <w:noWrap/>
            <w:vAlign w:val="center"/>
          </w:tcPr>
          <w:p w14:paraId="39E805C9">
            <w:pPr>
              <w:widowControl/>
              <w:jc w:val="right"/>
              <w:rPr>
                <w:rFonts w:ascii="宋体" w:hAnsi="宋体" w:cs="Arial"/>
                <w:color w:val="000000"/>
                <w:kern w:val="0"/>
                <w:sz w:val="22"/>
              </w:rPr>
            </w:pPr>
            <w:r>
              <w:rPr>
                <w:rFonts w:hint="eastAsia" w:ascii="宋体" w:hAnsi="宋体" w:cs="Arial"/>
                <w:color w:val="000000"/>
                <w:kern w:val="0"/>
                <w:sz w:val="22"/>
              </w:rPr>
              <w:t>1,468,599.62</w:t>
            </w:r>
          </w:p>
        </w:tc>
        <w:tc>
          <w:tcPr>
            <w:tcW w:w="1536" w:type="dxa"/>
            <w:tcBorders>
              <w:top w:val="nil"/>
              <w:left w:val="nil"/>
              <w:bottom w:val="single" w:color="000000" w:sz="4" w:space="0"/>
              <w:right w:val="single" w:color="000000" w:sz="4" w:space="0"/>
            </w:tcBorders>
            <w:shd w:val="clear" w:color="auto" w:fill="auto"/>
            <w:noWrap/>
            <w:vAlign w:val="center"/>
          </w:tcPr>
          <w:p w14:paraId="3C888980">
            <w:pPr>
              <w:widowControl/>
              <w:jc w:val="right"/>
              <w:rPr>
                <w:rFonts w:ascii="宋体" w:hAnsi="宋体" w:cs="Arial"/>
                <w:color w:val="000000"/>
                <w:kern w:val="0"/>
                <w:sz w:val="22"/>
              </w:rPr>
            </w:pPr>
            <w:r>
              <w:rPr>
                <w:rFonts w:hint="eastAsia" w:ascii="宋体" w:hAnsi="宋体" w:cs="Arial"/>
                <w:color w:val="000000"/>
                <w:kern w:val="0"/>
                <w:sz w:val="22"/>
              </w:rPr>
              <w:t>　</w:t>
            </w:r>
          </w:p>
        </w:tc>
        <w:tc>
          <w:tcPr>
            <w:tcW w:w="1496" w:type="dxa"/>
            <w:tcBorders>
              <w:top w:val="nil"/>
              <w:left w:val="nil"/>
              <w:bottom w:val="single" w:color="000000" w:sz="4" w:space="0"/>
              <w:right w:val="single" w:color="000000" w:sz="4" w:space="0"/>
            </w:tcBorders>
            <w:shd w:val="clear" w:color="auto" w:fill="auto"/>
            <w:noWrap/>
            <w:vAlign w:val="center"/>
          </w:tcPr>
          <w:p w14:paraId="6946D90B">
            <w:pPr>
              <w:widowControl/>
              <w:jc w:val="right"/>
              <w:rPr>
                <w:rFonts w:ascii="宋体" w:hAnsi="宋体" w:cs="Arial"/>
                <w:color w:val="000000"/>
                <w:kern w:val="0"/>
                <w:sz w:val="22"/>
              </w:rPr>
            </w:pPr>
            <w:r>
              <w:rPr>
                <w:rFonts w:hint="eastAsia" w:ascii="宋体" w:hAnsi="宋体" w:cs="Arial"/>
                <w:color w:val="000000"/>
                <w:kern w:val="0"/>
                <w:sz w:val="22"/>
              </w:rPr>
              <w:t>1,468,599.62</w:t>
            </w:r>
          </w:p>
        </w:tc>
      </w:tr>
      <w:tr w14:paraId="4E7887E7">
        <w:tblPrEx>
          <w:tblCellMar>
            <w:top w:w="0" w:type="dxa"/>
            <w:left w:w="108" w:type="dxa"/>
            <w:bottom w:w="0" w:type="dxa"/>
            <w:right w:w="108" w:type="dxa"/>
          </w:tblCellMar>
        </w:tblPrEx>
        <w:trPr>
          <w:trHeight w:val="309" w:hRule="atLeast"/>
        </w:trPr>
        <w:tc>
          <w:tcPr>
            <w:tcW w:w="1308" w:type="dxa"/>
            <w:gridSpan w:val="3"/>
            <w:tcBorders>
              <w:top w:val="nil"/>
              <w:left w:val="single" w:color="000000" w:sz="4" w:space="0"/>
              <w:bottom w:val="single" w:color="000000" w:sz="4" w:space="0"/>
              <w:right w:val="single" w:color="000000" w:sz="4" w:space="0"/>
            </w:tcBorders>
            <w:shd w:val="clear" w:color="auto" w:fill="auto"/>
            <w:noWrap/>
            <w:vAlign w:val="center"/>
          </w:tcPr>
          <w:p w14:paraId="7DBB8657">
            <w:pPr>
              <w:widowControl/>
              <w:jc w:val="left"/>
              <w:rPr>
                <w:rFonts w:ascii="宋体" w:hAnsi="宋体" w:cs="Arial"/>
                <w:color w:val="000000"/>
                <w:kern w:val="0"/>
                <w:sz w:val="22"/>
              </w:rPr>
            </w:pPr>
            <w:r>
              <w:rPr>
                <w:rFonts w:hint="eastAsia" w:ascii="宋体" w:hAnsi="宋体" w:cs="Arial"/>
                <w:color w:val="000000"/>
                <w:kern w:val="0"/>
                <w:sz w:val="22"/>
              </w:rPr>
              <w:t>21099</w:t>
            </w:r>
          </w:p>
        </w:tc>
        <w:tc>
          <w:tcPr>
            <w:tcW w:w="2815" w:type="dxa"/>
            <w:tcBorders>
              <w:top w:val="nil"/>
              <w:left w:val="nil"/>
              <w:bottom w:val="single" w:color="000000" w:sz="4" w:space="0"/>
              <w:right w:val="single" w:color="000000" w:sz="4" w:space="0"/>
            </w:tcBorders>
            <w:shd w:val="clear" w:color="auto" w:fill="auto"/>
            <w:noWrap/>
            <w:vAlign w:val="center"/>
          </w:tcPr>
          <w:p w14:paraId="2E79F81D">
            <w:pPr>
              <w:widowControl/>
              <w:jc w:val="left"/>
              <w:rPr>
                <w:rFonts w:ascii="宋体" w:hAnsi="宋体" w:cs="Arial"/>
                <w:color w:val="000000"/>
                <w:kern w:val="0"/>
                <w:sz w:val="22"/>
              </w:rPr>
            </w:pPr>
            <w:r>
              <w:rPr>
                <w:rFonts w:hint="eastAsia" w:ascii="宋体" w:hAnsi="宋体" w:cs="Arial"/>
                <w:color w:val="000000"/>
                <w:kern w:val="0"/>
                <w:sz w:val="22"/>
              </w:rPr>
              <w:t>其他卫生健康支出</w:t>
            </w:r>
          </w:p>
        </w:tc>
        <w:tc>
          <w:tcPr>
            <w:tcW w:w="1646" w:type="dxa"/>
            <w:tcBorders>
              <w:top w:val="nil"/>
              <w:left w:val="nil"/>
              <w:bottom w:val="single" w:color="000000" w:sz="4" w:space="0"/>
              <w:right w:val="single" w:color="000000" w:sz="4" w:space="0"/>
            </w:tcBorders>
            <w:shd w:val="clear" w:color="auto" w:fill="auto"/>
            <w:noWrap/>
            <w:vAlign w:val="center"/>
          </w:tcPr>
          <w:p w14:paraId="5DDCFF92">
            <w:pPr>
              <w:widowControl/>
              <w:jc w:val="right"/>
              <w:rPr>
                <w:rFonts w:ascii="宋体" w:hAnsi="宋体" w:cs="Arial"/>
                <w:color w:val="000000"/>
                <w:kern w:val="0"/>
                <w:sz w:val="22"/>
              </w:rPr>
            </w:pPr>
            <w:r>
              <w:rPr>
                <w:rFonts w:hint="eastAsia" w:ascii="宋体" w:hAnsi="宋体" w:cs="Arial"/>
                <w:color w:val="000000"/>
                <w:kern w:val="0"/>
                <w:sz w:val="22"/>
              </w:rPr>
              <w:t>13,327.31</w:t>
            </w:r>
          </w:p>
        </w:tc>
        <w:tc>
          <w:tcPr>
            <w:tcW w:w="1536" w:type="dxa"/>
            <w:tcBorders>
              <w:top w:val="nil"/>
              <w:left w:val="nil"/>
              <w:bottom w:val="single" w:color="000000" w:sz="4" w:space="0"/>
              <w:right w:val="single" w:color="000000" w:sz="4" w:space="0"/>
            </w:tcBorders>
            <w:shd w:val="clear" w:color="auto" w:fill="auto"/>
            <w:noWrap/>
            <w:vAlign w:val="center"/>
          </w:tcPr>
          <w:p w14:paraId="70C46F64">
            <w:pPr>
              <w:widowControl/>
              <w:jc w:val="right"/>
              <w:rPr>
                <w:rFonts w:ascii="宋体" w:hAnsi="宋体" w:cs="Arial"/>
                <w:color w:val="000000"/>
                <w:kern w:val="0"/>
                <w:sz w:val="22"/>
              </w:rPr>
            </w:pPr>
            <w:r>
              <w:rPr>
                <w:rFonts w:hint="eastAsia" w:ascii="宋体" w:hAnsi="宋体" w:cs="Arial"/>
                <w:color w:val="000000"/>
                <w:kern w:val="0"/>
                <w:sz w:val="22"/>
              </w:rPr>
              <w:t>　</w:t>
            </w:r>
          </w:p>
        </w:tc>
        <w:tc>
          <w:tcPr>
            <w:tcW w:w="1496" w:type="dxa"/>
            <w:tcBorders>
              <w:top w:val="nil"/>
              <w:left w:val="nil"/>
              <w:bottom w:val="single" w:color="000000" w:sz="4" w:space="0"/>
              <w:right w:val="single" w:color="000000" w:sz="4" w:space="0"/>
            </w:tcBorders>
            <w:shd w:val="clear" w:color="auto" w:fill="auto"/>
            <w:noWrap/>
            <w:vAlign w:val="center"/>
          </w:tcPr>
          <w:p w14:paraId="73B05AFC">
            <w:pPr>
              <w:widowControl/>
              <w:jc w:val="right"/>
              <w:rPr>
                <w:rFonts w:ascii="宋体" w:hAnsi="宋体" w:cs="Arial"/>
                <w:color w:val="000000"/>
                <w:kern w:val="0"/>
                <w:sz w:val="22"/>
              </w:rPr>
            </w:pPr>
            <w:r>
              <w:rPr>
                <w:rFonts w:hint="eastAsia" w:ascii="宋体" w:hAnsi="宋体" w:cs="Arial"/>
                <w:color w:val="000000"/>
                <w:kern w:val="0"/>
                <w:sz w:val="22"/>
              </w:rPr>
              <w:t>13,327.31</w:t>
            </w:r>
          </w:p>
        </w:tc>
      </w:tr>
      <w:tr w14:paraId="154FBD22">
        <w:tblPrEx>
          <w:tblCellMar>
            <w:top w:w="0" w:type="dxa"/>
            <w:left w:w="108" w:type="dxa"/>
            <w:bottom w:w="0" w:type="dxa"/>
            <w:right w:w="108" w:type="dxa"/>
          </w:tblCellMar>
        </w:tblPrEx>
        <w:trPr>
          <w:trHeight w:val="309" w:hRule="atLeast"/>
        </w:trPr>
        <w:tc>
          <w:tcPr>
            <w:tcW w:w="1308" w:type="dxa"/>
            <w:gridSpan w:val="3"/>
            <w:tcBorders>
              <w:top w:val="nil"/>
              <w:left w:val="single" w:color="000000" w:sz="4" w:space="0"/>
              <w:bottom w:val="single" w:color="000000" w:sz="4" w:space="0"/>
              <w:right w:val="single" w:color="000000" w:sz="4" w:space="0"/>
            </w:tcBorders>
            <w:shd w:val="clear" w:color="auto" w:fill="auto"/>
            <w:noWrap/>
            <w:vAlign w:val="center"/>
          </w:tcPr>
          <w:p w14:paraId="34BF71C1">
            <w:pPr>
              <w:widowControl/>
              <w:jc w:val="left"/>
              <w:rPr>
                <w:rFonts w:ascii="宋体" w:hAnsi="宋体" w:cs="Arial"/>
                <w:color w:val="000000"/>
                <w:kern w:val="0"/>
                <w:sz w:val="22"/>
              </w:rPr>
            </w:pPr>
            <w:r>
              <w:rPr>
                <w:rFonts w:hint="eastAsia" w:ascii="宋体" w:hAnsi="宋体" w:cs="Arial"/>
                <w:color w:val="000000"/>
                <w:kern w:val="0"/>
                <w:sz w:val="22"/>
              </w:rPr>
              <w:t>2109901</w:t>
            </w:r>
          </w:p>
        </w:tc>
        <w:tc>
          <w:tcPr>
            <w:tcW w:w="2815" w:type="dxa"/>
            <w:tcBorders>
              <w:top w:val="nil"/>
              <w:left w:val="nil"/>
              <w:bottom w:val="single" w:color="000000" w:sz="4" w:space="0"/>
              <w:right w:val="single" w:color="000000" w:sz="4" w:space="0"/>
            </w:tcBorders>
            <w:shd w:val="clear" w:color="auto" w:fill="auto"/>
            <w:noWrap/>
            <w:vAlign w:val="center"/>
          </w:tcPr>
          <w:p w14:paraId="2DA06EFF">
            <w:pPr>
              <w:widowControl/>
              <w:jc w:val="left"/>
              <w:rPr>
                <w:rFonts w:ascii="宋体" w:hAnsi="宋体" w:cs="Arial"/>
                <w:color w:val="000000"/>
                <w:kern w:val="0"/>
                <w:sz w:val="22"/>
              </w:rPr>
            </w:pPr>
            <w:r>
              <w:rPr>
                <w:rFonts w:hint="eastAsia" w:ascii="宋体" w:hAnsi="宋体" w:cs="Arial"/>
                <w:color w:val="000000"/>
                <w:kern w:val="0"/>
                <w:sz w:val="22"/>
              </w:rPr>
              <w:t xml:space="preserve">  其他卫生健康支出</w:t>
            </w:r>
          </w:p>
        </w:tc>
        <w:tc>
          <w:tcPr>
            <w:tcW w:w="1646" w:type="dxa"/>
            <w:tcBorders>
              <w:top w:val="nil"/>
              <w:left w:val="nil"/>
              <w:bottom w:val="single" w:color="000000" w:sz="4" w:space="0"/>
              <w:right w:val="single" w:color="000000" w:sz="4" w:space="0"/>
            </w:tcBorders>
            <w:shd w:val="clear" w:color="auto" w:fill="auto"/>
            <w:noWrap/>
            <w:vAlign w:val="center"/>
          </w:tcPr>
          <w:p w14:paraId="5922C83F">
            <w:pPr>
              <w:widowControl/>
              <w:jc w:val="right"/>
              <w:rPr>
                <w:rFonts w:ascii="宋体" w:hAnsi="宋体" w:cs="Arial"/>
                <w:color w:val="000000"/>
                <w:kern w:val="0"/>
                <w:sz w:val="22"/>
              </w:rPr>
            </w:pPr>
            <w:r>
              <w:rPr>
                <w:rFonts w:hint="eastAsia" w:ascii="宋体" w:hAnsi="宋体" w:cs="Arial"/>
                <w:color w:val="000000"/>
                <w:kern w:val="0"/>
                <w:sz w:val="22"/>
              </w:rPr>
              <w:t>13,327.31</w:t>
            </w:r>
          </w:p>
        </w:tc>
        <w:tc>
          <w:tcPr>
            <w:tcW w:w="1536" w:type="dxa"/>
            <w:tcBorders>
              <w:top w:val="nil"/>
              <w:left w:val="nil"/>
              <w:bottom w:val="single" w:color="000000" w:sz="4" w:space="0"/>
              <w:right w:val="single" w:color="000000" w:sz="4" w:space="0"/>
            </w:tcBorders>
            <w:shd w:val="clear" w:color="auto" w:fill="auto"/>
            <w:noWrap/>
            <w:vAlign w:val="center"/>
          </w:tcPr>
          <w:p w14:paraId="46AEBB3F">
            <w:pPr>
              <w:widowControl/>
              <w:jc w:val="right"/>
              <w:rPr>
                <w:rFonts w:ascii="宋体" w:hAnsi="宋体" w:cs="Arial"/>
                <w:color w:val="000000"/>
                <w:kern w:val="0"/>
                <w:sz w:val="22"/>
              </w:rPr>
            </w:pPr>
            <w:r>
              <w:rPr>
                <w:rFonts w:hint="eastAsia" w:ascii="宋体" w:hAnsi="宋体" w:cs="Arial"/>
                <w:color w:val="000000"/>
                <w:kern w:val="0"/>
                <w:sz w:val="22"/>
              </w:rPr>
              <w:t>　</w:t>
            </w:r>
          </w:p>
        </w:tc>
        <w:tc>
          <w:tcPr>
            <w:tcW w:w="1496" w:type="dxa"/>
            <w:tcBorders>
              <w:top w:val="nil"/>
              <w:left w:val="nil"/>
              <w:bottom w:val="single" w:color="000000" w:sz="4" w:space="0"/>
              <w:right w:val="single" w:color="000000" w:sz="4" w:space="0"/>
            </w:tcBorders>
            <w:shd w:val="clear" w:color="auto" w:fill="auto"/>
            <w:noWrap/>
            <w:vAlign w:val="center"/>
          </w:tcPr>
          <w:p w14:paraId="164559FA">
            <w:pPr>
              <w:widowControl/>
              <w:jc w:val="right"/>
              <w:rPr>
                <w:rFonts w:ascii="宋体" w:hAnsi="宋体" w:cs="Arial"/>
                <w:color w:val="000000"/>
                <w:kern w:val="0"/>
                <w:sz w:val="22"/>
              </w:rPr>
            </w:pPr>
            <w:r>
              <w:rPr>
                <w:rFonts w:hint="eastAsia" w:ascii="宋体" w:hAnsi="宋体" w:cs="Arial"/>
                <w:color w:val="000000"/>
                <w:kern w:val="0"/>
                <w:sz w:val="22"/>
              </w:rPr>
              <w:t>13,327.31</w:t>
            </w:r>
          </w:p>
        </w:tc>
      </w:tr>
      <w:tr w14:paraId="1FA224C9">
        <w:tblPrEx>
          <w:tblCellMar>
            <w:top w:w="0" w:type="dxa"/>
            <w:left w:w="108" w:type="dxa"/>
            <w:bottom w:w="0" w:type="dxa"/>
            <w:right w:w="108" w:type="dxa"/>
          </w:tblCellMar>
        </w:tblPrEx>
        <w:trPr>
          <w:trHeight w:val="309" w:hRule="atLeast"/>
        </w:trPr>
        <w:tc>
          <w:tcPr>
            <w:tcW w:w="1308" w:type="dxa"/>
            <w:gridSpan w:val="3"/>
            <w:tcBorders>
              <w:top w:val="nil"/>
              <w:left w:val="single" w:color="000000" w:sz="4" w:space="0"/>
              <w:bottom w:val="single" w:color="000000" w:sz="4" w:space="0"/>
              <w:right w:val="single" w:color="000000" w:sz="4" w:space="0"/>
            </w:tcBorders>
            <w:shd w:val="clear" w:color="auto" w:fill="auto"/>
            <w:noWrap/>
            <w:vAlign w:val="center"/>
          </w:tcPr>
          <w:p w14:paraId="70941E81">
            <w:pPr>
              <w:widowControl/>
              <w:jc w:val="left"/>
              <w:rPr>
                <w:rFonts w:ascii="宋体" w:hAnsi="宋体" w:cs="Arial"/>
                <w:color w:val="000000"/>
                <w:kern w:val="0"/>
                <w:sz w:val="22"/>
              </w:rPr>
            </w:pPr>
            <w:r>
              <w:rPr>
                <w:rFonts w:hint="eastAsia" w:ascii="宋体" w:hAnsi="宋体" w:cs="Arial"/>
                <w:color w:val="000000"/>
                <w:kern w:val="0"/>
                <w:sz w:val="22"/>
              </w:rPr>
              <w:t>212</w:t>
            </w:r>
          </w:p>
        </w:tc>
        <w:tc>
          <w:tcPr>
            <w:tcW w:w="2815" w:type="dxa"/>
            <w:tcBorders>
              <w:top w:val="nil"/>
              <w:left w:val="nil"/>
              <w:bottom w:val="single" w:color="000000" w:sz="4" w:space="0"/>
              <w:right w:val="single" w:color="000000" w:sz="4" w:space="0"/>
            </w:tcBorders>
            <w:shd w:val="clear" w:color="auto" w:fill="auto"/>
            <w:noWrap/>
            <w:vAlign w:val="center"/>
          </w:tcPr>
          <w:p w14:paraId="49EC4884">
            <w:pPr>
              <w:widowControl/>
              <w:jc w:val="left"/>
              <w:rPr>
                <w:rFonts w:ascii="宋体" w:hAnsi="宋体" w:cs="Arial"/>
                <w:color w:val="000000"/>
                <w:kern w:val="0"/>
                <w:sz w:val="22"/>
              </w:rPr>
            </w:pPr>
            <w:r>
              <w:rPr>
                <w:rFonts w:hint="eastAsia" w:ascii="宋体" w:hAnsi="宋体" w:cs="Arial"/>
                <w:color w:val="000000"/>
                <w:kern w:val="0"/>
                <w:sz w:val="22"/>
              </w:rPr>
              <w:t>城乡社区支出</w:t>
            </w:r>
          </w:p>
        </w:tc>
        <w:tc>
          <w:tcPr>
            <w:tcW w:w="1646" w:type="dxa"/>
            <w:tcBorders>
              <w:top w:val="nil"/>
              <w:left w:val="nil"/>
              <w:bottom w:val="single" w:color="000000" w:sz="4" w:space="0"/>
              <w:right w:val="single" w:color="000000" w:sz="4" w:space="0"/>
            </w:tcBorders>
            <w:shd w:val="clear" w:color="auto" w:fill="auto"/>
            <w:noWrap/>
            <w:vAlign w:val="center"/>
          </w:tcPr>
          <w:p w14:paraId="15790D08">
            <w:pPr>
              <w:widowControl/>
              <w:jc w:val="right"/>
              <w:rPr>
                <w:rFonts w:ascii="宋体" w:hAnsi="宋体" w:cs="Arial"/>
                <w:color w:val="000000"/>
                <w:kern w:val="0"/>
                <w:sz w:val="22"/>
              </w:rPr>
            </w:pPr>
            <w:r>
              <w:rPr>
                <w:rFonts w:hint="eastAsia" w:ascii="宋体" w:hAnsi="宋体" w:cs="Arial"/>
                <w:color w:val="000000"/>
                <w:kern w:val="0"/>
                <w:sz w:val="22"/>
              </w:rPr>
              <w:t>227,228.67</w:t>
            </w:r>
          </w:p>
        </w:tc>
        <w:tc>
          <w:tcPr>
            <w:tcW w:w="1536" w:type="dxa"/>
            <w:tcBorders>
              <w:top w:val="nil"/>
              <w:left w:val="nil"/>
              <w:bottom w:val="single" w:color="000000" w:sz="4" w:space="0"/>
              <w:right w:val="single" w:color="000000" w:sz="4" w:space="0"/>
            </w:tcBorders>
            <w:shd w:val="clear" w:color="auto" w:fill="auto"/>
            <w:noWrap/>
            <w:vAlign w:val="center"/>
          </w:tcPr>
          <w:p w14:paraId="5F967CAC">
            <w:pPr>
              <w:widowControl/>
              <w:jc w:val="right"/>
              <w:rPr>
                <w:rFonts w:ascii="宋体" w:hAnsi="宋体" w:cs="Arial"/>
                <w:color w:val="000000"/>
                <w:kern w:val="0"/>
                <w:sz w:val="22"/>
              </w:rPr>
            </w:pPr>
            <w:r>
              <w:rPr>
                <w:rFonts w:hint="eastAsia" w:ascii="宋体" w:hAnsi="宋体" w:cs="Arial"/>
                <w:color w:val="000000"/>
                <w:kern w:val="0"/>
                <w:sz w:val="22"/>
              </w:rPr>
              <w:t>　</w:t>
            </w:r>
          </w:p>
        </w:tc>
        <w:tc>
          <w:tcPr>
            <w:tcW w:w="1496" w:type="dxa"/>
            <w:tcBorders>
              <w:top w:val="nil"/>
              <w:left w:val="nil"/>
              <w:bottom w:val="single" w:color="000000" w:sz="4" w:space="0"/>
              <w:right w:val="single" w:color="000000" w:sz="4" w:space="0"/>
            </w:tcBorders>
            <w:shd w:val="clear" w:color="auto" w:fill="auto"/>
            <w:noWrap/>
            <w:vAlign w:val="center"/>
          </w:tcPr>
          <w:p w14:paraId="403D3897">
            <w:pPr>
              <w:widowControl/>
              <w:jc w:val="right"/>
              <w:rPr>
                <w:rFonts w:ascii="宋体" w:hAnsi="宋体" w:cs="Arial"/>
                <w:color w:val="000000"/>
                <w:kern w:val="0"/>
                <w:sz w:val="22"/>
              </w:rPr>
            </w:pPr>
            <w:r>
              <w:rPr>
                <w:rFonts w:hint="eastAsia" w:ascii="宋体" w:hAnsi="宋体" w:cs="Arial"/>
                <w:color w:val="000000"/>
                <w:kern w:val="0"/>
                <w:sz w:val="22"/>
              </w:rPr>
              <w:t>227,228.67</w:t>
            </w:r>
          </w:p>
        </w:tc>
      </w:tr>
      <w:tr w14:paraId="498830A0">
        <w:tblPrEx>
          <w:tblCellMar>
            <w:top w:w="0" w:type="dxa"/>
            <w:left w:w="108" w:type="dxa"/>
            <w:bottom w:w="0" w:type="dxa"/>
            <w:right w:w="108" w:type="dxa"/>
          </w:tblCellMar>
        </w:tblPrEx>
        <w:trPr>
          <w:trHeight w:val="309" w:hRule="atLeast"/>
        </w:trPr>
        <w:tc>
          <w:tcPr>
            <w:tcW w:w="1308" w:type="dxa"/>
            <w:gridSpan w:val="3"/>
            <w:tcBorders>
              <w:top w:val="nil"/>
              <w:left w:val="single" w:color="000000" w:sz="4" w:space="0"/>
              <w:bottom w:val="single" w:color="000000" w:sz="4" w:space="0"/>
              <w:right w:val="single" w:color="000000" w:sz="4" w:space="0"/>
            </w:tcBorders>
            <w:shd w:val="clear" w:color="auto" w:fill="auto"/>
            <w:noWrap/>
            <w:vAlign w:val="center"/>
          </w:tcPr>
          <w:p w14:paraId="0A5DF1EA">
            <w:pPr>
              <w:widowControl/>
              <w:jc w:val="left"/>
              <w:rPr>
                <w:rFonts w:ascii="宋体" w:hAnsi="宋体" w:cs="Arial"/>
                <w:color w:val="000000"/>
                <w:kern w:val="0"/>
                <w:sz w:val="22"/>
              </w:rPr>
            </w:pPr>
            <w:r>
              <w:rPr>
                <w:rFonts w:hint="eastAsia" w:ascii="宋体" w:hAnsi="宋体" w:cs="Arial"/>
                <w:color w:val="000000"/>
                <w:kern w:val="0"/>
                <w:sz w:val="22"/>
              </w:rPr>
              <w:t>21208</w:t>
            </w:r>
          </w:p>
        </w:tc>
        <w:tc>
          <w:tcPr>
            <w:tcW w:w="2815" w:type="dxa"/>
            <w:tcBorders>
              <w:top w:val="nil"/>
              <w:left w:val="nil"/>
              <w:bottom w:val="single" w:color="000000" w:sz="4" w:space="0"/>
              <w:right w:val="single" w:color="000000" w:sz="4" w:space="0"/>
            </w:tcBorders>
            <w:shd w:val="clear" w:color="auto" w:fill="auto"/>
            <w:noWrap/>
            <w:vAlign w:val="center"/>
          </w:tcPr>
          <w:p w14:paraId="2FCF28F8">
            <w:pPr>
              <w:widowControl/>
              <w:jc w:val="left"/>
              <w:rPr>
                <w:rFonts w:ascii="宋体" w:hAnsi="宋体" w:cs="Arial"/>
                <w:color w:val="000000"/>
                <w:kern w:val="0"/>
                <w:sz w:val="22"/>
              </w:rPr>
            </w:pPr>
            <w:r>
              <w:rPr>
                <w:rFonts w:hint="eastAsia" w:ascii="宋体" w:hAnsi="宋体" w:cs="Arial"/>
                <w:color w:val="000000"/>
                <w:kern w:val="0"/>
                <w:sz w:val="22"/>
              </w:rPr>
              <w:t>国有土地使用权出让收入安排的支出</w:t>
            </w:r>
          </w:p>
        </w:tc>
        <w:tc>
          <w:tcPr>
            <w:tcW w:w="1646" w:type="dxa"/>
            <w:tcBorders>
              <w:top w:val="nil"/>
              <w:left w:val="nil"/>
              <w:bottom w:val="single" w:color="000000" w:sz="4" w:space="0"/>
              <w:right w:val="single" w:color="000000" w:sz="4" w:space="0"/>
            </w:tcBorders>
            <w:shd w:val="clear" w:color="auto" w:fill="auto"/>
            <w:noWrap/>
            <w:vAlign w:val="center"/>
          </w:tcPr>
          <w:p w14:paraId="5BA7CC4F">
            <w:pPr>
              <w:widowControl/>
              <w:jc w:val="right"/>
              <w:rPr>
                <w:rFonts w:ascii="宋体" w:hAnsi="宋体" w:cs="Arial"/>
                <w:color w:val="000000"/>
                <w:kern w:val="0"/>
                <w:sz w:val="22"/>
              </w:rPr>
            </w:pPr>
            <w:r>
              <w:rPr>
                <w:rFonts w:hint="eastAsia" w:ascii="宋体" w:hAnsi="宋体" w:cs="Arial"/>
                <w:color w:val="000000"/>
                <w:kern w:val="0"/>
                <w:sz w:val="22"/>
              </w:rPr>
              <w:t>227,228.67</w:t>
            </w:r>
          </w:p>
        </w:tc>
        <w:tc>
          <w:tcPr>
            <w:tcW w:w="1536" w:type="dxa"/>
            <w:tcBorders>
              <w:top w:val="nil"/>
              <w:left w:val="nil"/>
              <w:bottom w:val="single" w:color="000000" w:sz="4" w:space="0"/>
              <w:right w:val="single" w:color="000000" w:sz="4" w:space="0"/>
            </w:tcBorders>
            <w:shd w:val="clear" w:color="auto" w:fill="auto"/>
            <w:noWrap/>
            <w:vAlign w:val="center"/>
          </w:tcPr>
          <w:p w14:paraId="0A8091B5">
            <w:pPr>
              <w:widowControl/>
              <w:jc w:val="right"/>
              <w:rPr>
                <w:rFonts w:ascii="宋体" w:hAnsi="宋体" w:cs="Arial"/>
                <w:color w:val="000000"/>
                <w:kern w:val="0"/>
                <w:sz w:val="22"/>
              </w:rPr>
            </w:pPr>
            <w:r>
              <w:rPr>
                <w:rFonts w:hint="eastAsia" w:ascii="宋体" w:hAnsi="宋体" w:cs="Arial"/>
                <w:color w:val="000000"/>
                <w:kern w:val="0"/>
                <w:sz w:val="22"/>
              </w:rPr>
              <w:t>　</w:t>
            </w:r>
          </w:p>
        </w:tc>
        <w:tc>
          <w:tcPr>
            <w:tcW w:w="1496" w:type="dxa"/>
            <w:tcBorders>
              <w:top w:val="nil"/>
              <w:left w:val="nil"/>
              <w:bottom w:val="single" w:color="000000" w:sz="4" w:space="0"/>
              <w:right w:val="single" w:color="000000" w:sz="4" w:space="0"/>
            </w:tcBorders>
            <w:shd w:val="clear" w:color="auto" w:fill="auto"/>
            <w:noWrap/>
            <w:vAlign w:val="center"/>
          </w:tcPr>
          <w:p w14:paraId="5E5336DD">
            <w:pPr>
              <w:widowControl/>
              <w:jc w:val="right"/>
              <w:rPr>
                <w:rFonts w:ascii="宋体" w:hAnsi="宋体" w:cs="Arial"/>
                <w:color w:val="000000"/>
                <w:kern w:val="0"/>
                <w:sz w:val="22"/>
              </w:rPr>
            </w:pPr>
            <w:r>
              <w:rPr>
                <w:rFonts w:hint="eastAsia" w:ascii="宋体" w:hAnsi="宋体" w:cs="Arial"/>
                <w:color w:val="000000"/>
                <w:kern w:val="0"/>
                <w:sz w:val="22"/>
              </w:rPr>
              <w:t>227,228.67</w:t>
            </w:r>
          </w:p>
        </w:tc>
      </w:tr>
      <w:tr w14:paraId="2902C7BE">
        <w:tblPrEx>
          <w:tblCellMar>
            <w:top w:w="0" w:type="dxa"/>
            <w:left w:w="108" w:type="dxa"/>
            <w:bottom w:w="0" w:type="dxa"/>
            <w:right w:w="108" w:type="dxa"/>
          </w:tblCellMar>
        </w:tblPrEx>
        <w:trPr>
          <w:trHeight w:val="309" w:hRule="atLeast"/>
        </w:trPr>
        <w:tc>
          <w:tcPr>
            <w:tcW w:w="1308" w:type="dxa"/>
            <w:gridSpan w:val="3"/>
            <w:tcBorders>
              <w:top w:val="nil"/>
              <w:left w:val="single" w:color="000000" w:sz="4" w:space="0"/>
              <w:bottom w:val="single" w:color="000000" w:sz="4" w:space="0"/>
              <w:right w:val="single" w:color="000000" w:sz="4" w:space="0"/>
            </w:tcBorders>
            <w:shd w:val="clear" w:color="auto" w:fill="auto"/>
            <w:noWrap/>
            <w:vAlign w:val="center"/>
          </w:tcPr>
          <w:p w14:paraId="70A8AF26">
            <w:pPr>
              <w:widowControl/>
              <w:jc w:val="left"/>
              <w:rPr>
                <w:rFonts w:ascii="宋体" w:hAnsi="宋体" w:cs="Arial"/>
                <w:color w:val="000000"/>
                <w:kern w:val="0"/>
                <w:sz w:val="22"/>
              </w:rPr>
            </w:pPr>
            <w:r>
              <w:rPr>
                <w:rFonts w:hint="eastAsia" w:ascii="宋体" w:hAnsi="宋体" w:cs="Arial"/>
                <w:color w:val="000000"/>
                <w:kern w:val="0"/>
                <w:sz w:val="22"/>
              </w:rPr>
              <w:t>2120802</w:t>
            </w:r>
          </w:p>
        </w:tc>
        <w:tc>
          <w:tcPr>
            <w:tcW w:w="2815" w:type="dxa"/>
            <w:tcBorders>
              <w:top w:val="nil"/>
              <w:left w:val="nil"/>
              <w:bottom w:val="single" w:color="000000" w:sz="4" w:space="0"/>
              <w:right w:val="single" w:color="000000" w:sz="4" w:space="0"/>
            </w:tcBorders>
            <w:shd w:val="clear" w:color="auto" w:fill="auto"/>
            <w:noWrap/>
            <w:vAlign w:val="center"/>
          </w:tcPr>
          <w:p w14:paraId="4A8130DB">
            <w:pPr>
              <w:widowControl/>
              <w:jc w:val="left"/>
              <w:rPr>
                <w:rFonts w:ascii="宋体" w:hAnsi="宋体" w:cs="Arial"/>
                <w:color w:val="000000"/>
                <w:kern w:val="0"/>
                <w:sz w:val="22"/>
              </w:rPr>
            </w:pPr>
            <w:r>
              <w:rPr>
                <w:rFonts w:hint="eastAsia" w:ascii="宋体" w:hAnsi="宋体" w:cs="Arial"/>
                <w:color w:val="000000"/>
                <w:kern w:val="0"/>
                <w:sz w:val="22"/>
              </w:rPr>
              <w:t xml:space="preserve">  土地开发支出</w:t>
            </w:r>
          </w:p>
        </w:tc>
        <w:tc>
          <w:tcPr>
            <w:tcW w:w="1646" w:type="dxa"/>
            <w:tcBorders>
              <w:top w:val="nil"/>
              <w:left w:val="nil"/>
              <w:bottom w:val="single" w:color="000000" w:sz="4" w:space="0"/>
              <w:right w:val="single" w:color="000000" w:sz="4" w:space="0"/>
            </w:tcBorders>
            <w:shd w:val="clear" w:color="auto" w:fill="auto"/>
            <w:noWrap/>
            <w:vAlign w:val="center"/>
          </w:tcPr>
          <w:p w14:paraId="370BB741">
            <w:pPr>
              <w:widowControl/>
              <w:jc w:val="right"/>
              <w:rPr>
                <w:rFonts w:ascii="宋体" w:hAnsi="宋体" w:cs="Arial"/>
                <w:color w:val="000000"/>
                <w:kern w:val="0"/>
                <w:sz w:val="22"/>
              </w:rPr>
            </w:pPr>
            <w:r>
              <w:rPr>
                <w:rFonts w:hint="eastAsia" w:ascii="宋体" w:hAnsi="宋体" w:cs="Arial"/>
                <w:color w:val="000000"/>
                <w:kern w:val="0"/>
                <w:sz w:val="22"/>
              </w:rPr>
              <w:t>227,228.67</w:t>
            </w:r>
          </w:p>
        </w:tc>
        <w:tc>
          <w:tcPr>
            <w:tcW w:w="1536" w:type="dxa"/>
            <w:tcBorders>
              <w:top w:val="nil"/>
              <w:left w:val="nil"/>
              <w:bottom w:val="single" w:color="000000" w:sz="4" w:space="0"/>
              <w:right w:val="single" w:color="000000" w:sz="4" w:space="0"/>
            </w:tcBorders>
            <w:shd w:val="clear" w:color="auto" w:fill="auto"/>
            <w:noWrap/>
            <w:vAlign w:val="center"/>
          </w:tcPr>
          <w:p w14:paraId="78075440">
            <w:pPr>
              <w:widowControl/>
              <w:jc w:val="right"/>
              <w:rPr>
                <w:rFonts w:ascii="宋体" w:hAnsi="宋体" w:cs="Arial"/>
                <w:color w:val="000000"/>
                <w:kern w:val="0"/>
                <w:sz w:val="22"/>
              </w:rPr>
            </w:pPr>
            <w:r>
              <w:rPr>
                <w:rFonts w:hint="eastAsia" w:ascii="宋体" w:hAnsi="宋体" w:cs="Arial"/>
                <w:color w:val="000000"/>
                <w:kern w:val="0"/>
                <w:sz w:val="22"/>
              </w:rPr>
              <w:t>　</w:t>
            </w:r>
          </w:p>
        </w:tc>
        <w:tc>
          <w:tcPr>
            <w:tcW w:w="1496" w:type="dxa"/>
            <w:tcBorders>
              <w:top w:val="nil"/>
              <w:left w:val="nil"/>
              <w:bottom w:val="single" w:color="000000" w:sz="4" w:space="0"/>
              <w:right w:val="single" w:color="000000" w:sz="4" w:space="0"/>
            </w:tcBorders>
            <w:shd w:val="clear" w:color="auto" w:fill="auto"/>
            <w:noWrap/>
            <w:vAlign w:val="center"/>
          </w:tcPr>
          <w:p w14:paraId="26262330">
            <w:pPr>
              <w:widowControl/>
              <w:jc w:val="right"/>
              <w:rPr>
                <w:rFonts w:ascii="宋体" w:hAnsi="宋体" w:cs="Arial"/>
                <w:color w:val="000000"/>
                <w:kern w:val="0"/>
                <w:sz w:val="22"/>
              </w:rPr>
            </w:pPr>
            <w:r>
              <w:rPr>
                <w:rFonts w:hint="eastAsia" w:ascii="宋体" w:hAnsi="宋体" w:cs="Arial"/>
                <w:color w:val="000000"/>
                <w:kern w:val="0"/>
                <w:sz w:val="22"/>
              </w:rPr>
              <w:t>227,228.67</w:t>
            </w:r>
          </w:p>
        </w:tc>
      </w:tr>
      <w:tr w14:paraId="321B252B">
        <w:tblPrEx>
          <w:tblCellMar>
            <w:top w:w="0" w:type="dxa"/>
            <w:left w:w="108" w:type="dxa"/>
            <w:bottom w:w="0" w:type="dxa"/>
            <w:right w:w="108" w:type="dxa"/>
          </w:tblCellMar>
        </w:tblPrEx>
        <w:trPr>
          <w:trHeight w:val="309" w:hRule="atLeast"/>
        </w:trPr>
        <w:tc>
          <w:tcPr>
            <w:tcW w:w="1308" w:type="dxa"/>
            <w:gridSpan w:val="3"/>
            <w:tcBorders>
              <w:top w:val="nil"/>
              <w:left w:val="single" w:color="000000" w:sz="4" w:space="0"/>
              <w:bottom w:val="single" w:color="000000" w:sz="4" w:space="0"/>
              <w:right w:val="single" w:color="000000" w:sz="4" w:space="0"/>
            </w:tcBorders>
            <w:shd w:val="clear" w:color="auto" w:fill="auto"/>
            <w:noWrap/>
            <w:vAlign w:val="center"/>
          </w:tcPr>
          <w:p w14:paraId="6E779EA4">
            <w:pPr>
              <w:widowControl/>
              <w:jc w:val="left"/>
              <w:rPr>
                <w:rFonts w:ascii="宋体" w:hAnsi="宋体" w:cs="Arial"/>
                <w:color w:val="000000"/>
                <w:kern w:val="0"/>
                <w:sz w:val="22"/>
              </w:rPr>
            </w:pPr>
            <w:r>
              <w:rPr>
                <w:rFonts w:hint="eastAsia" w:ascii="宋体" w:hAnsi="宋体" w:cs="Arial"/>
                <w:color w:val="000000"/>
                <w:kern w:val="0"/>
                <w:sz w:val="22"/>
              </w:rPr>
              <w:t>213</w:t>
            </w:r>
          </w:p>
        </w:tc>
        <w:tc>
          <w:tcPr>
            <w:tcW w:w="2815" w:type="dxa"/>
            <w:tcBorders>
              <w:top w:val="nil"/>
              <w:left w:val="nil"/>
              <w:bottom w:val="single" w:color="000000" w:sz="4" w:space="0"/>
              <w:right w:val="single" w:color="000000" w:sz="4" w:space="0"/>
            </w:tcBorders>
            <w:shd w:val="clear" w:color="auto" w:fill="auto"/>
            <w:noWrap/>
            <w:vAlign w:val="center"/>
          </w:tcPr>
          <w:p w14:paraId="3F327576">
            <w:pPr>
              <w:widowControl/>
              <w:jc w:val="left"/>
              <w:rPr>
                <w:rFonts w:ascii="宋体" w:hAnsi="宋体" w:cs="Arial"/>
                <w:color w:val="000000"/>
                <w:kern w:val="0"/>
                <w:sz w:val="22"/>
              </w:rPr>
            </w:pPr>
            <w:r>
              <w:rPr>
                <w:rFonts w:hint="eastAsia" w:ascii="宋体" w:hAnsi="宋体" w:cs="Arial"/>
                <w:color w:val="000000"/>
                <w:kern w:val="0"/>
                <w:sz w:val="22"/>
              </w:rPr>
              <w:t>农林水支出</w:t>
            </w:r>
          </w:p>
        </w:tc>
        <w:tc>
          <w:tcPr>
            <w:tcW w:w="1646" w:type="dxa"/>
            <w:tcBorders>
              <w:top w:val="nil"/>
              <w:left w:val="nil"/>
              <w:bottom w:val="single" w:color="000000" w:sz="4" w:space="0"/>
              <w:right w:val="single" w:color="000000" w:sz="4" w:space="0"/>
            </w:tcBorders>
            <w:shd w:val="clear" w:color="auto" w:fill="auto"/>
            <w:noWrap/>
            <w:vAlign w:val="center"/>
          </w:tcPr>
          <w:p w14:paraId="134E99C1">
            <w:pPr>
              <w:widowControl/>
              <w:jc w:val="right"/>
              <w:rPr>
                <w:rFonts w:ascii="宋体" w:hAnsi="宋体" w:cs="Arial"/>
                <w:color w:val="000000"/>
                <w:kern w:val="0"/>
                <w:sz w:val="22"/>
              </w:rPr>
            </w:pPr>
            <w:r>
              <w:rPr>
                <w:rFonts w:hint="eastAsia" w:ascii="宋体" w:hAnsi="宋体" w:cs="Arial"/>
                <w:color w:val="000000"/>
                <w:kern w:val="0"/>
                <w:sz w:val="22"/>
              </w:rPr>
              <w:t>5,709,660.00</w:t>
            </w:r>
          </w:p>
        </w:tc>
        <w:tc>
          <w:tcPr>
            <w:tcW w:w="1536" w:type="dxa"/>
            <w:tcBorders>
              <w:top w:val="nil"/>
              <w:left w:val="nil"/>
              <w:bottom w:val="single" w:color="000000" w:sz="4" w:space="0"/>
              <w:right w:val="single" w:color="000000" w:sz="4" w:space="0"/>
            </w:tcBorders>
            <w:shd w:val="clear" w:color="auto" w:fill="auto"/>
            <w:noWrap/>
            <w:vAlign w:val="center"/>
          </w:tcPr>
          <w:p w14:paraId="4D9254CF">
            <w:pPr>
              <w:widowControl/>
              <w:jc w:val="right"/>
              <w:rPr>
                <w:rFonts w:ascii="宋体" w:hAnsi="宋体" w:cs="Arial"/>
                <w:color w:val="000000"/>
                <w:kern w:val="0"/>
                <w:sz w:val="22"/>
              </w:rPr>
            </w:pPr>
            <w:r>
              <w:rPr>
                <w:rFonts w:hint="eastAsia" w:ascii="宋体" w:hAnsi="宋体" w:cs="Arial"/>
                <w:color w:val="000000"/>
                <w:kern w:val="0"/>
                <w:sz w:val="22"/>
              </w:rPr>
              <w:t>　</w:t>
            </w:r>
          </w:p>
        </w:tc>
        <w:tc>
          <w:tcPr>
            <w:tcW w:w="1496" w:type="dxa"/>
            <w:tcBorders>
              <w:top w:val="nil"/>
              <w:left w:val="nil"/>
              <w:bottom w:val="single" w:color="000000" w:sz="4" w:space="0"/>
              <w:right w:val="single" w:color="000000" w:sz="4" w:space="0"/>
            </w:tcBorders>
            <w:shd w:val="clear" w:color="auto" w:fill="auto"/>
            <w:noWrap/>
            <w:vAlign w:val="center"/>
          </w:tcPr>
          <w:p w14:paraId="381E6DD4">
            <w:pPr>
              <w:widowControl/>
              <w:jc w:val="right"/>
              <w:rPr>
                <w:rFonts w:ascii="宋体" w:hAnsi="宋体" w:cs="Arial"/>
                <w:color w:val="000000"/>
                <w:kern w:val="0"/>
                <w:sz w:val="22"/>
              </w:rPr>
            </w:pPr>
            <w:r>
              <w:rPr>
                <w:rFonts w:hint="eastAsia" w:ascii="宋体" w:hAnsi="宋体" w:cs="Arial"/>
                <w:color w:val="000000"/>
                <w:kern w:val="0"/>
                <w:sz w:val="22"/>
              </w:rPr>
              <w:t>5,709,660.00</w:t>
            </w:r>
          </w:p>
        </w:tc>
      </w:tr>
      <w:tr w14:paraId="49B40214">
        <w:tblPrEx>
          <w:tblCellMar>
            <w:top w:w="0" w:type="dxa"/>
            <w:left w:w="108" w:type="dxa"/>
            <w:bottom w:w="0" w:type="dxa"/>
            <w:right w:w="108" w:type="dxa"/>
          </w:tblCellMar>
        </w:tblPrEx>
        <w:trPr>
          <w:trHeight w:val="309" w:hRule="atLeast"/>
        </w:trPr>
        <w:tc>
          <w:tcPr>
            <w:tcW w:w="1308" w:type="dxa"/>
            <w:gridSpan w:val="3"/>
            <w:tcBorders>
              <w:top w:val="nil"/>
              <w:left w:val="single" w:color="000000" w:sz="4" w:space="0"/>
              <w:bottom w:val="single" w:color="000000" w:sz="4" w:space="0"/>
              <w:right w:val="single" w:color="000000" w:sz="4" w:space="0"/>
            </w:tcBorders>
            <w:shd w:val="clear" w:color="auto" w:fill="auto"/>
            <w:noWrap/>
            <w:vAlign w:val="center"/>
          </w:tcPr>
          <w:p w14:paraId="58E1EC60">
            <w:pPr>
              <w:widowControl/>
              <w:jc w:val="left"/>
              <w:rPr>
                <w:rFonts w:ascii="宋体" w:hAnsi="宋体" w:cs="Arial"/>
                <w:color w:val="000000"/>
                <w:kern w:val="0"/>
                <w:sz w:val="22"/>
              </w:rPr>
            </w:pPr>
            <w:r>
              <w:rPr>
                <w:rFonts w:hint="eastAsia" w:ascii="宋体" w:hAnsi="宋体" w:cs="Arial"/>
                <w:color w:val="000000"/>
                <w:kern w:val="0"/>
                <w:sz w:val="22"/>
              </w:rPr>
              <w:t>21305</w:t>
            </w:r>
          </w:p>
        </w:tc>
        <w:tc>
          <w:tcPr>
            <w:tcW w:w="2815" w:type="dxa"/>
            <w:tcBorders>
              <w:top w:val="nil"/>
              <w:left w:val="nil"/>
              <w:bottom w:val="single" w:color="000000" w:sz="4" w:space="0"/>
              <w:right w:val="single" w:color="000000" w:sz="4" w:space="0"/>
            </w:tcBorders>
            <w:shd w:val="clear" w:color="auto" w:fill="auto"/>
            <w:noWrap/>
            <w:vAlign w:val="center"/>
          </w:tcPr>
          <w:p w14:paraId="3FDF2B54">
            <w:pPr>
              <w:widowControl/>
              <w:jc w:val="left"/>
              <w:rPr>
                <w:rFonts w:ascii="宋体" w:hAnsi="宋体" w:cs="Arial"/>
                <w:color w:val="000000"/>
                <w:kern w:val="0"/>
                <w:sz w:val="22"/>
              </w:rPr>
            </w:pPr>
            <w:r>
              <w:rPr>
                <w:rFonts w:hint="eastAsia" w:ascii="宋体" w:hAnsi="宋体" w:cs="Arial"/>
                <w:color w:val="000000"/>
                <w:kern w:val="0"/>
                <w:sz w:val="22"/>
              </w:rPr>
              <w:t>扶贫</w:t>
            </w:r>
          </w:p>
        </w:tc>
        <w:tc>
          <w:tcPr>
            <w:tcW w:w="1646" w:type="dxa"/>
            <w:tcBorders>
              <w:top w:val="nil"/>
              <w:left w:val="nil"/>
              <w:bottom w:val="single" w:color="000000" w:sz="4" w:space="0"/>
              <w:right w:val="single" w:color="000000" w:sz="4" w:space="0"/>
            </w:tcBorders>
            <w:shd w:val="clear" w:color="auto" w:fill="auto"/>
            <w:noWrap/>
            <w:vAlign w:val="center"/>
          </w:tcPr>
          <w:p w14:paraId="28D97837">
            <w:pPr>
              <w:widowControl/>
              <w:jc w:val="right"/>
              <w:rPr>
                <w:rFonts w:ascii="宋体" w:hAnsi="宋体" w:cs="Arial"/>
                <w:color w:val="000000"/>
                <w:kern w:val="0"/>
                <w:sz w:val="22"/>
              </w:rPr>
            </w:pPr>
            <w:r>
              <w:rPr>
                <w:rFonts w:hint="eastAsia" w:ascii="宋体" w:hAnsi="宋体" w:cs="Arial"/>
                <w:color w:val="000000"/>
                <w:kern w:val="0"/>
                <w:sz w:val="22"/>
              </w:rPr>
              <w:t>5,709,660.00</w:t>
            </w:r>
          </w:p>
        </w:tc>
        <w:tc>
          <w:tcPr>
            <w:tcW w:w="1536" w:type="dxa"/>
            <w:tcBorders>
              <w:top w:val="nil"/>
              <w:left w:val="nil"/>
              <w:bottom w:val="single" w:color="000000" w:sz="4" w:space="0"/>
              <w:right w:val="single" w:color="000000" w:sz="4" w:space="0"/>
            </w:tcBorders>
            <w:shd w:val="clear" w:color="auto" w:fill="auto"/>
            <w:noWrap/>
            <w:vAlign w:val="center"/>
          </w:tcPr>
          <w:p w14:paraId="0E57843E">
            <w:pPr>
              <w:widowControl/>
              <w:jc w:val="right"/>
              <w:rPr>
                <w:rFonts w:ascii="宋体" w:hAnsi="宋体" w:cs="Arial"/>
                <w:color w:val="000000"/>
                <w:kern w:val="0"/>
                <w:sz w:val="22"/>
              </w:rPr>
            </w:pPr>
            <w:r>
              <w:rPr>
                <w:rFonts w:hint="eastAsia" w:ascii="宋体" w:hAnsi="宋体" w:cs="Arial"/>
                <w:color w:val="000000"/>
                <w:kern w:val="0"/>
                <w:sz w:val="22"/>
              </w:rPr>
              <w:t>　</w:t>
            </w:r>
          </w:p>
        </w:tc>
        <w:tc>
          <w:tcPr>
            <w:tcW w:w="1496" w:type="dxa"/>
            <w:tcBorders>
              <w:top w:val="nil"/>
              <w:left w:val="nil"/>
              <w:bottom w:val="single" w:color="000000" w:sz="4" w:space="0"/>
              <w:right w:val="single" w:color="000000" w:sz="4" w:space="0"/>
            </w:tcBorders>
            <w:shd w:val="clear" w:color="auto" w:fill="auto"/>
            <w:noWrap/>
            <w:vAlign w:val="center"/>
          </w:tcPr>
          <w:p w14:paraId="1D6E008F">
            <w:pPr>
              <w:widowControl/>
              <w:jc w:val="right"/>
              <w:rPr>
                <w:rFonts w:ascii="宋体" w:hAnsi="宋体" w:cs="Arial"/>
                <w:color w:val="000000"/>
                <w:kern w:val="0"/>
                <w:sz w:val="22"/>
              </w:rPr>
            </w:pPr>
            <w:r>
              <w:rPr>
                <w:rFonts w:hint="eastAsia" w:ascii="宋体" w:hAnsi="宋体" w:cs="Arial"/>
                <w:color w:val="000000"/>
                <w:kern w:val="0"/>
                <w:sz w:val="22"/>
              </w:rPr>
              <w:t>5,709,660.00</w:t>
            </w:r>
          </w:p>
        </w:tc>
      </w:tr>
      <w:tr w14:paraId="6A3E2996">
        <w:tblPrEx>
          <w:tblCellMar>
            <w:top w:w="0" w:type="dxa"/>
            <w:left w:w="108" w:type="dxa"/>
            <w:bottom w:w="0" w:type="dxa"/>
            <w:right w:w="108" w:type="dxa"/>
          </w:tblCellMar>
        </w:tblPrEx>
        <w:trPr>
          <w:trHeight w:val="309" w:hRule="atLeast"/>
        </w:trPr>
        <w:tc>
          <w:tcPr>
            <w:tcW w:w="1308" w:type="dxa"/>
            <w:gridSpan w:val="3"/>
            <w:tcBorders>
              <w:top w:val="nil"/>
              <w:left w:val="single" w:color="000000" w:sz="4" w:space="0"/>
              <w:bottom w:val="single" w:color="000000" w:sz="4" w:space="0"/>
              <w:right w:val="single" w:color="000000" w:sz="4" w:space="0"/>
            </w:tcBorders>
            <w:shd w:val="clear" w:color="auto" w:fill="auto"/>
            <w:noWrap/>
            <w:vAlign w:val="center"/>
          </w:tcPr>
          <w:p w14:paraId="65BC3403">
            <w:pPr>
              <w:widowControl/>
              <w:jc w:val="left"/>
              <w:rPr>
                <w:rFonts w:ascii="宋体" w:hAnsi="宋体" w:cs="Arial"/>
                <w:color w:val="000000"/>
                <w:kern w:val="0"/>
                <w:sz w:val="22"/>
              </w:rPr>
            </w:pPr>
            <w:r>
              <w:rPr>
                <w:rFonts w:hint="eastAsia" w:ascii="宋体" w:hAnsi="宋体" w:cs="Arial"/>
                <w:color w:val="000000"/>
                <w:kern w:val="0"/>
                <w:sz w:val="22"/>
              </w:rPr>
              <w:t>2130506</w:t>
            </w:r>
          </w:p>
        </w:tc>
        <w:tc>
          <w:tcPr>
            <w:tcW w:w="2815" w:type="dxa"/>
            <w:tcBorders>
              <w:top w:val="nil"/>
              <w:left w:val="nil"/>
              <w:bottom w:val="single" w:color="000000" w:sz="4" w:space="0"/>
              <w:right w:val="single" w:color="000000" w:sz="4" w:space="0"/>
            </w:tcBorders>
            <w:shd w:val="clear" w:color="auto" w:fill="auto"/>
            <w:noWrap/>
            <w:vAlign w:val="center"/>
          </w:tcPr>
          <w:p w14:paraId="5364BC6E">
            <w:pPr>
              <w:widowControl/>
              <w:jc w:val="left"/>
              <w:rPr>
                <w:rFonts w:ascii="宋体" w:hAnsi="宋体" w:cs="Arial"/>
                <w:color w:val="000000"/>
                <w:kern w:val="0"/>
                <w:sz w:val="22"/>
              </w:rPr>
            </w:pPr>
            <w:r>
              <w:rPr>
                <w:rFonts w:hint="eastAsia" w:ascii="宋体" w:hAnsi="宋体" w:cs="Arial"/>
                <w:color w:val="000000"/>
                <w:kern w:val="0"/>
                <w:sz w:val="22"/>
              </w:rPr>
              <w:t xml:space="preserve">  社会发展</w:t>
            </w:r>
          </w:p>
        </w:tc>
        <w:tc>
          <w:tcPr>
            <w:tcW w:w="1646" w:type="dxa"/>
            <w:tcBorders>
              <w:top w:val="nil"/>
              <w:left w:val="nil"/>
              <w:bottom w:val="single" w:color="000000" w:sz="4" w:space="0"/>
              <w:right w:val="single" w:color="000000" w:sz="4" w:space="0"/>
            </w:tcBorders>
            <w:shd w:val="clear" w:color="auto" w:fill="auto"/>
            <w:noWrap/>
            <w:vAlign w:val="center"/>
          </w:tcPr>
          <w:p w14:paraId="00D8FAB3">
            <w:pPr>
              <w:widowControl/>
              <w:jc w:val="right"/>
              <w:rPr>
                <w:rFonts w:ascii="宋体" w:hAnsi="宋体" w:cs="Arial"/>
                <w:color w:val="000000"/>
                <w:kern w:val="0"/>
                <w:sz w:val="22"/>
              </w:rPr>
            </w:pPr>
            <w:r>
              <w:rPr>
                <w:rFonts w:hint="eastAsia" w:ascii="宋体" w:hAnsi="宋体" w:cs="Arial"/>
                <w:color w:val="000000"/>
                <w:kern w:val="0"/>
                <w:sz w:val="22"/>
              </w:rPr>
              <w:t>5,709,660.00</w:t>
            </w:r>
          </w:p>
        </w:tc>
        <w:tc>
          <w:tcPr>
            <w:tcW w:w="1536" w:type="dxa"/>
            <w:tcBorders>
              <w:top w:val="nil"/>
              <w:left w:val="nil"/>
              <w:bottom w:val="single" w:color="000000" w:sz="4" w:space="0"/>
              <w:right w:val="single" w:color="000000" w:sz="4" w:space="0"/>
            </w:tcBorders>
            <w:shd w:val="clear" w:color="auto" w:fill="auto"/>
            <w:noWrap/>
            <w:vAlign w:val="center"/>
          </w:tcPr>
          <w:p w14:paraId="005890FE">
            <w:pPr>
              <w:widowControl/>
              <w:jc w:val="right"/>
              <w:rPr>
                <w:rFonts w:ascii="宋体" w:hAnsi="宋体" w:cs="Arial"/>
                <w:color w:val="000000"/>
                <w:kern w:val="0"/>
                <w:sz w:val="22"/>
              </w:rPr>
            </w:pPr>
            <w:r>
              <w:rPr>
                <w:rFonts w:hint="eastAsia" w:ascii="宋体" w:hAnsi="宋体" w:cs="Arial"/>
                <w:color w:val="000000"/>
                <w:kern w:val="0"/>
                <w:sz w:val="22"/>
              </w:rPr>
              <w:t>　</w:t>
            </w:r>
          </w:p>
        </w:tc>
        <w:tc>
          <w:tcPr>
            <w:tcW w:w="1496" w:type="dxa"/>
            <w:tcBorders>
              <w:top w:val="nil"/>
              <w:left w:val="nil"/>
              <w:bottom w:val="single" w:color="000000" w:sz="4" w:space="0"/>
              <w:right w:val="single" w:color="000000" w:sz="4" w:space="0"/>
            </w:tcBorders>
            <w:shd w:val="clear" w:color="auto" w:fill="auto"/>
            <w:noWrap/>
            <w:vAlign w:val="center"/>
          </w:tcPr>
          <w:p w14:paraId="0F07D800">
            <w:pPr>
              <w:widowControl/>
              <w:jc w:val="right"/>
              <w:rPr>
                <w:rFonts w:ascii="宋体" w:hAnsi="宋体" w:cs="Arial"/>
                <w:color w:val="000000"/>
                <w:kern w:val="0"/>
                <w:sz w:val="22"/>
              </w:rPr>
            </w:pPr>
            <w:r>
              <w:rPr>
                <w:rFonts w:hint="eastAsia" w:ascii="宋体" w:hAnsi="宋体" w:cs="Arial"/>
                <w:color w:val="000000"/>
                <w:kern w:val="0"/>
                <w:sz w:val="22"/>
              </w:rPr>
              <w:t>5,709,660.00</w:t>
            </w:r>
          </w:p>
        </w:tc>
      </w:tr>
      <w:tr w14:paraId="48654BDC">
        <w:tblPrEx>
          <w:tblCellMar>
            <w:top w:w="0" w:type="dxa"/>
            <w:left w:w="108" w:type="dxa"/>
            <w:bottom w:w="0" w:type="dxa"/>
            <w:right w:w="108" w:type="dxa"/>
          </w:tblCellMar>
        </w:tblPrEx>
        <w:trPr>
          <w:trHeight w:val="309" w:hRule="atLeast"/>
        </w:trPr>
        <w:tc>
          <w:tcPr>
            <w:tcW w:w="1308" w:type="dxa"/>
            <w:gridSpan w:val="3"/>
            <w:tcBorders>
              <w:top w:val="nil"/>
              <w:left w:val="single" w:color="000000" w:sz="4" w:space="0"/>
              <w:bottom w:val="single" w:color="000000" w:sz="4" w:space="0"/>
              <w:right w:val="single" w:color="000000" w:sz="4" w:space="0"/>
            </w:tcBorders>
            <w:shd w:val="clear" w:color="auto" w:fill="auto"/>
            <w:noWrap/>
            <w:vAlign w:val="center"/>
          </w:tcPr>
          <w:p w14:paraId="76BF2CB6">
            <w:pPr>
              <w:widowControl/>
              <w:jc w:val="left"/>
              <w:rPr>
                <w:rFonts w:ascii="宋体" w:hAnsi="宋体" w:cs="Arial"/>
                <w:color w:val="000000"/>
                <w:kern w:val="0"/>
                <w:sz w:val="22"/>
              </w:rPr>
            </w:pPr>
            <w:r>
              <w:rPr>
                <w:rFonts w:hint="eastAsia" w:ascii="宋体" w:hAnsi="宋体" w:cs="Arial"/>
                <w:color w:val="000000"/>
                <w:kern w:val="0"/>
                <w:sz w:val="22"/>
              </w:rPr>
              <w:t>221</w:t>
            </w:r>
          </w:p>
        </w:tc>
        <w:tc>
          <w:tcPr>
            <w:tcW w:w="2815" w:type="dxa"/>
            <w:tcBorders>
              <w:top w:val="nil"/>
              <w:left w:val="nil"/>
              <w:bottom w:val="single" w:color="000000" w:sz="4" w:space="0"/>
              <w:right w:val="single" w:color="000000" w:sz="4" w:space="0"/>
            </w:tcBorders>
            <w:shd w:val="clear" w:color="auto" w:fill="auto"/>
            <w:noWrap/>
            <w:vAlign w:val="center"/>
          </w:tcPr>
          <w:p w14:paraId="277594C0">
            <w:pPr>
              <w:widowControl/>
              <w:jc w:val="left"/>
              <w:rPr>
                <w:rFonts w:ascii="宋体" w:hAnsi="宋体" w:cs="Arial"/>
                <w:color w:val="000000"/>
                <w:kern w:val="0"/>
                <w:sz w:val="22"/>
              </w:rPr>
            </w:pPr>
            <w:r>
              <w:rPr>
                <w:rFonts w:hint="eastAsia" w:ascii="宋体" w:hAnsi="宋体" w:cs="Arial"/>
                <w:color w:val="000000"/>
                <w:kern w:val="0"/>
                <w:sz w:val="22"/>
              </w:rPr>
              <w:t>住房保障支出</w:t>
            </w:r>
          </w:p>
        </w:tc>
        <w:tc>
          <w:tcPr>
            <w:tcW w:w="1646" w:type="dxa"/>
            <w:tcBorders>
              <w:top w:val="nil"/>
              <w:left w:val="nil"/>
              <w:bottom w:val="single" w:color="000000" w:sz="4" w:space="0"/>
              <w:right w:val="single" w:color="000000" w:sz="4" w:space="0"/>
            </w:tcBorders>
            <w:shd w:val="clear" w:color="auto" w:fill="auto"/>
            <w:noWrap/>
            <w:vAlign w:val="center"/>
          </w:tcPr>
          <w:p w14:paraId="3AAC7FC3">
            <w:pPr>
              <w:widowControl/>
              <w:jc w:val="right"/>
              <w:rPr>
                <w:rFonts w:ascii="宋体" w:hAnsi="宋体" w:cs="Arial"/>
                <w:color w:val="000000"/>
                <w:kern w:val="0"/>
                <w:sz w:val="22"/>
              </w:rPr>
            </w:pPr>
            <w:r>
              <w:rPr>
                <w:rFonts w:hint="eastAsia" w:ascii="宋体" w:hAnsi="宋体" w:cs="Arial"/>
                <w:color w:val="000000"/>
                <w:kern w:val="0"/>
                <w:sz w:val="22"/>
              </w:rPr>
              <w:t>276,857.00</w:t>
            </w:r>
          </w:p>
        </w:tc>
        <w:tc>
          <w:tcPr>
            <w:tcW w:w="1536" w:type="dxa"/>
            <w:tcBorders>
              <w:top w:val="nil"/>
              <w:left w:val="nil"/>
              <w:bottom w:val="single" w:color="000000" w:sz="4" w:space="0"/>
              <w:right w:val="single" w:color="000000" w:sz="4" w:space="0"/>
            </w:tcBorders>
            <w:shd w:val="clear" w:color="auto" w:fill="auto"/>
            <w:noWrap/>
            <w:vAlign w:val="center"/>
          </w:tcPr>
          <w:p w14:paraId="51AC83A8">
            <w:pPr>
              <w:widowControl/>
              <w:jc w:val="right"/>
              <w:rPr>
                <w:rFonts w:ascii="宋体" w:hAnsi="宋体" w:cs="Arial"/>
                <w:color w:val="000000"/>
                <w:kern w:val="0"/>
                <w:sz w:val="22"/>
              </w:rPr>
            </w:pPr>
            <w:r>
              <w:rPr>
                <w:rFonts w:hint="eastAsia" w:ascii="宋体" w:hAnsi="宋体" w:cs="Arial"/>
                <w:color w:val="000000"/>
                <w:kern w:val="0"/>
                <w:sz w:val="22"/>
              </w:rPr>
              <w:t>276,857.00</w:t>
            </w:r>
          </w:p>
        </w:tc>
        <w:tc>
          <w:tcPr>
            <w:tcW w:w="1496" w:type="dxa"/>
            <w:tcBorders>
              <w:top w:val="nil"/>
              <w:left w:val="nil"/>
              <w:bottom w:val="single" w:color="000000" w:sz="4" w:space="0"/>
              <w:right w:val="single" w:color="000000" w:sz="4" w:space="0"/>
            </w:tcBorders>
            <w:shd w:val="clear" w:color="auto" w:fill="auto"/>
            <w:noWrap/>
            <w:vAlign w:val="center"/>
          </w:tcPr>
          <w:p w14:paraId="0BA68CAB">
            <w:pPr>
              <w:widowControl/>
              <w:jc w:val="right"/>
              <w:rPr>
                <w:rFonts w:ascii="宋体" w:hAnsi="宋体" w:cs="Arial"/>
                <w:color w:val="000000"/>
                <w:kern w:val="0"/>
                <w:sz w:val="22"/>
              </w:rPr>
            </w:pPr>
            <w:r>
              <w:rPr>
                <w:rFonts w:hint="eastAsia" w:ascii="宋体" w:hAnsi="宋体" w:cs="Arial"/>
                <w:color w:val="000000"/>
                <w:kern w:val="0"/>
                <w:sz w:val="22"/>
              </w:rPr>
              <w:t>　</w:t>
            </w:r>
          </w:p>
        </w:tc>
      </w:tr>
      <w:tr w14:paraId="1E2E3ECB">
        <w:tblPrEx>
          <w:tblCellMar>
            <w:top w:w="0" w:type="dxa"/>
            <w:left w:w="108" w:type="dxa"/>
            <w:bottom w:w="0" w:type="dxa"/>
            <w:right w:w="108" w:type="dxa"/>
          </w:tblCellMar>
        </w:tblPrEx>
        <w:trPr>
          <w:trHeight w:val="309" w:hRule="atLeast"/>
        </w:trPr>
        <w:tc>
          <w:tcPr>
            <w:tcW w:w="1308" w:type="dxa"/>
            <w:gridSpan w:val="3"/>
            <w:tcBorders>
              <w:top w:val="nil"/>
              <w:left w:val="single" w:color="000000" w:sz="4" w:space="0"/>
              <w:bottom w:val="single" w:color="000000" w:sz="4" w:space="0"/>
              <w:right w:val="single" w:color="000000" w:sz="4" w:space="0"/>
            </w:tcBorders>
            <w:shd w:val="clear" w:color="auto" w:fill="auto"/>
            <w:noWrap/>
            <w:vAlign w:val="center"/>
          </w:tcPr>
          <w:p w14:paraId="175E2D05">
            <w:pPr>
              <w:widowControl/>
              <w:jc w:val="left"/>
              <w:rPr>
                <w:rFonts w:ascii="宋体" w:hAnsi="宋体" w:cs="Arial"/>
                <w:color w:val="000000"/>
                <w:kern w:val="0"/>
                <w:sz w:val="22"/>
              </w:rPr>
            </w:pPr>
            <w:r>
              <w:rPr>
                <w:rFonts w:hint="eastAsia" w:ascii="宋体" w:hAnsi="宋体" w:cs="Arial"/>
                <w:color w:val="000000"/>
                <w:kern w:val="0"/>
                <w:sz w:val="22"/>
              </w:rPr>
              <w:t>22102</w:t>
            </w:r>
          </w:p>
        </w:tc>
        <w:tc>
          <w:tcPr>
            <w:tcW w:w="2815" w:type="dxa"/>
            <w:tcBorders>
              <w:top w:val="nil"/>
              <w:left w:val="nil"/>
              <w:bottom w:val="single" w:color="000000" w:sz="4" w:space="0"/>
              <w:right w:val="single" w:color="000000" w:sz="4" w:space="0"/>
            </w:tcBorders>
            <w:shd w:val="clear" w:color="auto" w:fill="auto"/>
            <w:noWrap/>
            <w:vAlign w:val="center"/>
          </w:tcPr>
          <w:p w14:paraId="64B056F5">
            <w:pPr>
              <w:widowControl/>
              <w:jc w:val="left"/>
              <w:rPr>
                <w:rFonts w:ascii="宋体" w:hAnsi="宋体" w:cs="Arial"/>
                <w:color w:val="000000"/>
                <w:kern w:val="0"/>
                <w:sz w:val="22"/>
              </w:rPr>
            </w:pPr>
            <w:r>
              <w:rPr>
                <w:rFonts w:hint="eastAsia" w:ascii="宋体" w:hAnsi="宋体" w:cs="Arial"/>
                <w:color w:val="000000"/>
                <w:kern w:val="0"/>
                <w:sz w:val="22"/>
              </w:rPr>
              <w:t>住房改革支出</w:t>
            </w:r>
          </w:p>
        </w:tc>
        <w:tc>
          <w:tcPr>
            <w:tcW w:w="1646" w:type="dxa"/>
            <w:tcBorders>
              <w:top w:val="nil"/>
              <w:left w:val="nil"/>
              <w:bottom w:val="single" w:color="000000" w:sz="4" w:space="0"/>
              <w:right w:val="single" w:color="000000" w:sz="4" w:space="0"/>
            </w:tcBorders>
            <w:shd w:val="clear" w:color="auto" w:fill="auto"/>
            <w:noWrap/>
            <w:vAlign w:val="center"/>
          </w:tcPr>
          <w:p w14:paraId="2D7AA4A4">
            <w:pPr>
              <w:widowControl/>
              <w:jc w:val="right"/>
              <w:rPr>
                <w:rFonts w:ascii="宋体" w:hAnsi="宋体" w:cs="Arial"/>
                <w:color w:val="000000"/>
                <w:kern w:val="0"/>
                <w:sz w:val="22"/>
              </w:rPr>
            </w:pPr>
            <w:r>
              <w:rPr>
                <w:rFonts w:hint="eastAsia" w:ascii="宋体" w:hAnsi="宋体" w:cs="Arial"/>
                <w:color w:val="000000"/>
                <w:kern w:val="0"/>
                <w:sz w:val="22"/>
              </w:rPr>
              <w:t>276,857.00</w:t>
            </w:r>
          </w:p>
        </w:tc>
        <w:tc>
          <w:tcPr>
            <w:tcW w:w="1536" w:type="dxa"/>
            <w:tcBorders>
              <w:top w:val="nil"/>
              <w:left w:val="nil"/>
              <w:bottom w:val="single" w:color="000000" w:sz="4" w:space="0"/>
              <w:right w:val="single" w:color="000000" w:sz="4" w:space="0"/>
            </w:tcBorders>
            <w:shd w:val="clear" w:color="auto" w:fill="auto"/>
            <w:noWrap/>
            <w:vAlign w:val="center"/>
          </w:tcPr>
          <w:p w14:paraId="3BECF520">
            <w:pPr>
              <w:widowControl/>
              <w:jc w:val="right"/>
              <w:rPr>
                <w:rFonts w:ascii="宋体" w:hAnsi="宋体" w:cs="Arial"/>
                <w:color w:val="000000"/>
                <w:kern w:val="0"/>
                <w:sz w:val="22"/>
              </w:rPr>
            </w:pPr>
            <w:r>
              <w:rPr>
                <w:rFonts w:hint="eastAsia" w:ascii="宋体" w:hAnsi="宋体" w:cs="Arial"/>
                <w:color w:val="000000"/>
                <w:kern w:val="0"/>
                <w:sz w:val="22"/>
              </w:rPr>
              <w:t>276,857.00</w:t>
            </w:r>
          </w:p>
        </w:tc>
        <w:tc>
          <w:tcPr>
            <w:tcW w:w="1496" w:type="dxa"/>
            <w:tcBorders>
              <w:top w:val="nil"/>
              <w:left w:val="nil"/>
              <w:bottom w:val="single" w:color="000000" w:sz="4" w:space="0"/>
              <w:right w:val="single" w:color="000000" w:sz="4" w:space="0"/>
            </w:tcBorders>
            <w:shd w:val="clear" w:color="auto" w:fill="auto"/>
            <w:noWrap/>
            <w:vAlign w:val="center"/>
          </w:tcPr>
          <w:p w14:paraId="448AB879">
            <w:pPr>
              <w:widowControl/>
              <w:jc w:val="right"/>
              <w:rPr>
                <w:rFonts w:ascii="宋体" w:hAnsi="宋体" w:cs="Arial"/>
                <w:color w:val="000000"/>
                <w:kern w:val="0"/>
                <w:sz w:val="22"/>
              </w:rPr>
            </w:pPr>
            <w:r>
              <w:rPr>
                <w:rFonts w:hint="eastAsia" w:ascii="宋体" w:hAnsi="宋体" w:cs="Arial"/>
                <w:color w:val="000000"/>
                <w:kern w:val="0"/>
                <w:sz w:val="22"/>
              </w:rPr>
              <w:t>　</w:t>
            </w:r>
          </w:p>
        </w:tc>
      </w:tr>
      <w:tr w14:paraId="0CF2AF8F">
        <w:tblPrEx>
          <w:tblCellMar>
            <w:top w:w="0" w:type="dxa"/>
            <w:left w:w="108" w:type="dxa"/>
            <w:bottom w:w="0" w:type="dxa"/>
            <w:right w:w="108" w:type="dxa"/>
          </w:tblCellMar>
        </w:tblPrEx>
        <w:trPr>
          <w:trHeight w:val="309" w:hRule="atLeast"/>
        </w:trPr>
        <w:tc>
          <w:tcPr>
            <w:tcW w:w="1308" w:type="dxa"/>
            <w:gridSpan w:val="3"/>
            <w:tcBorders>
              <w:top w:val="nil"/>
              <w:left w:val="single" w:color="000000" w:sz="4" w:space="0"/>
              <w:bottom w:val="single" w:color="000000" w:sz="4" w:space="0"/>
              <w:right w:val="single" w:color="000000" w:sz="4" w:space="0"/>
            </w:tcBorders>
            <w:shd w:val="clear" w:color="auto" w:fill="auto"/>
            <w:noWrap/>
            <w:vAlign w:val="center"/>
          </w:tcPr>
          <w:p w14:paraId="265A3097">
            <w:pPr>
              <w:widowControl/>
              <w:jc w:val="left"/>
              <w:rPr>
                <w:rFonts w:ascii="宋体" w:hAnsi="宋体" w:cs="Arial"/>
                <w:color w:val="000000"/>
                <w:kern w:val="0"/>
                <w:sz w:val="22"/>
              </w:rPr>
            </w:pPr>
            <w:r>
              <w:rPr>
                <w:rFonts w:hint="eastAsia" w:ascii="宋体" w:hAnsi="宋体" w:cs="Arial"/>
                <w:color w:val="000000"/>
                <w:kern w:val="0"/>
                <w:sz w:val="22"/>
              </w:rPr>
              <w:t>2210201</w:t>
            </w:r>
          </w:p>
        </w:tc>
        <w:tc>
          <w:tcPr>
            <w:tcW w:w="2815" w:type="dxa"/>
            <w:tcBorders>
              <w:top w:val="nil"/>
              <w:left w:val="nil"/>
              <w:bottom w:val="single" w:color="000000" w:sz="4" w:space="0"/>
              <w:right w:val="single" w:color="000000" w:sz="4" w:space="0"/>
            </w:tcBorders>
            <w:shd w:val="clear" w:color="auto" w:fill="auto"/>
            <w:noWrap/>
            <w:vAlign w:val="center"/>
          </w:tcPr>
          <w:p w14:paraId="632C98CB">
            <w:pPr>
              <w:widowControl/>
              <w:jc w:val="left"/>
              <w:rPr>
                <w:rFonts w:ascii="宋体" w:hAnsi="宋体" w:cs="Arial"/>
                <w:color w:val="000000"/>
                <w:kern w:val="0"/>
                <w:sz w:val="22"/>
              </w:rPr>
            </w:pPr>
            <w:r>
              <w:rPr>
                <w:rFonts w:hint="eastAsia" w:ascii="宋体" w:hAnsi="宋体" w:cs="Arial"/>
                <w:color w:val="000000"/>
                <w:kern w:val="0"/>
                <w:sz w:val="22"/>
              </w:rPr>
              <w:t xml:space="preserve">  住房公积金</w:t>
            </w:r>
          </w:p>
        </w:tc>
        <w:tc>
          <w:tcPr>
            <w:tcW w:w="1646" w:type="dxa"/>
            <w:tcBorders>
              <w:top w:val="nil"/>
              <w:left w:val="nil"/>
              <w:bottom w:val="single" w:color="000000" w:sz="4" w:space="0"/>
              <w:right w:val="single" w:color="000000" w:sz="4" w:space="0"/>
            </w:tcBorders>
            <w:shd w:val="clear" w:color="auto" w:fill="auto"/>
            <w:noWrap/>
            <w:vAlign w:val="center"/>
          </w:tcPr>
          <w:p w14:paraId="247877DC">
            <w:pPr>
              <w:widowControl/>
              <w:jc w:val="right"/>
              <w:rPr>
                <w:rFonts w:ascii="宋体" w:hAnsi="宋体" w:cs="Arial"/>
                <w:color w:val="000000"/>
                <w:kern w:val="0"/>
                <w:sz w:val="22"/>
              </w:rPr>
            </w:pPr>
            <w:r>
              <w:rPr>
                <w:rFonts w:hint="eastAsia" w:ascii="宋体" w:hAnsi="宋体" w:cs="Arial"/>
                <w:color w:val="000000"/>
                <w:kern w:val="0"/>
                <w:sz w:val="22"/>
              </w:rPr>
              <w:t>276,857.00</w:t>
            </w:r>
          </w:p>
        </w:tc>
        <w:tc>
          <w:tcPr>
            <w:tcW w:w="1536" w:type="dxa"/>
            <w:tcBorders>
              <w:top w:val="nil"/>
              <w:left w:val="nil"/>
              <w:bottom w:val="single" w:color="000000" w:sz="4" w:space="0"/>
              <w:right w:val="single" w:color="000000" w:sz="4" w:space="0"/>
            </w:tcBorders>
            <w:shd w:val="clear" w:color="auto" w:fill="auto"/>
            <w:noWrap/>
            <w:vAlign w:val="center"/>
          </w:tcPr>
          <w:p w14:paraId="5CB946CD">
            <w:pPr>
              <w:widowControl/>
              <w:jc w:val="right"/>
              <w:rPr>
                <w:rFonts w:ascii="宋体" w:hAnsi="宋体" w:cs="Arial"/>
                <w:color w:val="000000"/>
                <w:kern w:val="0"/>
                <w:sz w:val="22"/>
              </w:rPr>
            </w:pPr>
            <w:r>
              <w:rPr>
                <w:rFonts w:hint="eastAsia" w:ascii="宋体" w:hAnsi="宋体" w:cs="Arial"/>
                <w:color w:val="000000"/>
                <w:kern w:val="0"/>
                <w:sz w:val="22"/>
              </w:rPr>
              <w:t>276,857.00</w:t>
            </w:r>
          </w:p>
        </w:tc>
        <w:tc>
          <w:tcPr>
            <w:tcW w:w="1496" w:type="dxa"/>
            <w:tcBorders>
              <w:top w:val="nil"/>
              <w:left w:val="nil"/>
              <w:bottom w:val="single" w:color="000000" w:sz="4" w:space="0"/>
              <w:right w:val="single" w:color="000000" w:sz="4" w:space="0"/>
            </w:tcBorders>
            <w:shd w:val="clear" w:color="auto" w:fill="auto"/>
            <w:noWrap/>
            <w:vAlign w:val="center"/>
          </w:tcPr>
          <w:p w14:paraId="64D9D7E4">
            <w:pPr>
              <w:widowControl/>
              <w:jc w:val="right"/>
              <w:rPr>
                <w:rFonts w:ascii="宋体" w:hAnsi="宋体" w:cs="Arial"/>
                <w:color w:val="000000"/>
                <w:kern w:val="0"/>
                <w:sz w:val="22"/>
              </w:rPr>
            </w:pPr>
            <w:r>
              <w:rPr>
                <w:rFonts w:hint="eastAsia" w:ascii="宋体" w:hAnsi="宋体" w:cs="Arial"/>
                <w:color w:val="000000"/>
                <w:kern w:val="0"/>
                <w:sz w:val="22"/>
              </w:rPr>
              <w:t>　</w:t>
            </w:r>
          </w:p>
        </w:tc>
      </w:tr>
      <w:tr w14:paraId="3CECF1D5">
        <w:tblPrEx>
          <w:tblCellMar>
            <w:top w:w="0" w:type="dxa"/>
            <w:left w:w="108" w:type="dxa"/>
            <w:bottom w:w="0" w:type="dxa"/>
            <w:right w:w="108" w:type="dxa"/>
          </w:tblCellMar>
        </w:tblPrEx>
        <w:trPr>
          <w:trHeight w:val="309" w:hRule="atLeast"/>
        </w:trPr>
        <w:tc>
          <w:tcPr>
            <w:tcW w:w="1308" w:type="dxa"/>
            <w:gridSpan w:val="3"/>
            <w:tcBorders>
              <w:top w:val="nil"/>
              <w:left w:val="single" w:color="000000" w:sz="4" w:space="0"/>
              <w:bottom w:val="single" w:color="000000" w:sz="4" w:space="0"/>
              <w:right w:val="single" w:color="000000" w:sz="4" w:space="0"/>
            </w:tcBorders>
            <w:shd w:val="clear" w:color="auto" w:fill="auto"/>
            <w:noWrap/>
            <w:vAlign w:val="center"/>
          </w:tcPr>
          <w:p w14:paraId="3DBB5E8A">
            <w:pPr>
              <w:widowControl/>
              <w:jc w:val="left"/>
              <w:rPr>
                <w:rFonts w:ascii="宋体" w:hAnsi="宋体" w:cs="Arial"/>
                <w:color w:val="000000"/>
                <w:kern w:val="0"/>
                <w:sz w:val="22"/>
              </w:rPr>
            </w:pPr>
            <w:r>
              <w:rPr>
                <w:rFonts w:hint="eastAsia" w:ascii="宋体" w:hAnsi="宋体" w:cs="Arial"/>
                <w:color w:val="000000"/>
                <w:kern w:val="0"/>
                <w:sz w:val="22"/>
              </w:rPr>
              <w:t>229</w:t>
            </w:r>
          </w:p>
        </w:tc>
        <w:tc>
          <w:tcPr>
            <w:tcW w:w="2815" w:type="dxa"/>
            <w:tcBorders>
              <w:top w:val="nil"/>
              <w:left w:val="nil"/>
              <w:bottom w:val="single" w:color="000000" w:sz="4" w:space="0"/>
              <w:right w:val="single" w:color="000000" w:sz="4" w:space="0"/>
            </w:tcBorders>
            <w:shd w:val="clear" w:color="auto" w:fill="auto"/>
            <w:noWrap/>
            <w:vAlign w:val="center"/>
          </w:tcPr>
          <w:p w14:paraId="2513D660">
            <w:pPr>
              <w:widowControl/>
              <w:jc w:val="left"/>
              <w:rPr>
                <w:rFonts w:ascii="宋体" w:hAnsi="宋体" w:cs="Arial"/>
                <w:color w:val="000000"/>
                <w:kern w:val="0"/>
                <w:sz w:val="22"/>
              </w:rPr>
            </w:pPr>
            <w:r>
              <w:rPr>
                <w:rFonts w:hint="eastAsia" w:ascii="宋体" w:hAnsi="宋体" w:cs="Arial"/>
                <w:color w:val="000000"/>
                <w:kern w:val="0"/>
                <w:sz w:val="22"/>
              </w:rPr>
              <w:t>其他支出</w:t>
            </w:r>
          </w:p>
        </w:tc>
        <w:tc>
          <w:tcPr>
            <w:tcW w:w="1646" w:type="dxa"/>
            <w:tcBorders>
              <w:top w:val="nil"/>
              <w:left w:val="nil"/>
              <w:bottom w:val="single" w:color="000000" w:sz="4" w:space="0"/>
              <w:right w:val="single" w:color="000000" w:sz="4" w:space="0"/>
            </w:tcBorders>
            <w:shd w:val="clear" w:color="auto" w:fill="auto"/>
            <w:noWrap/>
            <w:vAlign w:val="center"/>
          </w:tcPr>
          <w:p w14:paraId="7ACA597E">
            <w:pPr>
              <w:widowControl/>
              <w:jc w:val="right"/>
              <w:rPr>
                <w:rFonts w:ascii="宋体" w:hAnsi="宋体" w:cs="Arial"/>
                <w:color w:val="000000"/>
                <w:kern w:val="0"/>
                <w:sz w:val="22"/>
              </w:rPr>
            </w:pPr>
            <w:r>
              <w:rPr>
                <w:rFonts w:hint="eastAsia" w:ascii="宋体" w:hAnsi="宋体" w:cs="Arial"/>
                <w:color w:val="000000"/>
                <w:kern w:val="0"/>
                <w:sz w:val="22"/>
              </w:rPr>
              <w:t>1,365,741.71</w:t>
            </w:r>
          </w:p>
        </w:tc>
        <w:tc>
          <w:tcPr>
            <w:tcW w:w="1536" w:type="dxa"/>
            <w:tcBorders>
              <w:top w:val="nil"/>
              <w:left w:val="nil"/>
              <w:bottom w:val="single" w:color="000000" w:sz="4" w:space="0"/>
              <w:right w:val="single" w:color="000000" w:sz="4" w:space="0"/>
            </w:tcBorders>
            <w:shd w:val="clear" w:color="auto" w:fill="auto"/>
            <w:noWrap/>
            <w:vAlign w:val="center"/>
          </w:tcPr>
          <w:p w14:paraId="0A254652">
            <w:pPr>
              <w:widowControl/>
              <w:jc w:val="right"/>
              <w:rPr>
                <w:rFonts w:ascii="宋体" w:hAnsi="宋体" w:cs="Arial"/>
                <w:color w:val="000000"/>
                <w:kern w:val="0"/>
                <w:sz w:val="22"/>
              </w:rPr>
            </w:pPr>
            <w:r>
              <w:rPr>
                <w:rFonts w:hint="eastAsia" w:ascii="宋体" w:hAnsi="宋体" w:cs="Arial"/>
                <w:color w:val="000000"/>
                <w:kern w:val="0"/>
                <w:sz w:val="22"/>
              </w:rPr>
              <w:t>　</w:t>
            </w:r>
          </w:p>
        </w:tc>
        <w:tc>
          <w:tcPr>
            <w:tcW w:w="1496" w:type="dxa"/>
            <w:tcBorders>
              <w:top w:val="nil"/>
              <w:left w:val="nil"/>
              <w:bottom w:val="single" w:color="000000" w:sz="4" w:space="0"/>
              <w:right w:val="single" w:color="000000" w:sz="4" w:space="0"/>
            </w:tcBorders>
            <w:shd w:val="clear" w:color="auto" w:fill="auto"/>
            <w:noWrap/>
            <w:vAlign w:val="center"/>
          </w:tcPr>
          <w:p w14:paraId="4062AF30">
            <w:pPr>
              <w:widowControl/>
              <w:jc w:val="right"/>
              <w:rPr>
                <w:rFonts w:ascii="宋体" w:hAnsi="宋体" w:cs="Arial"/>
                <w:color w:val="000000"/>
                <w:kern w:val="0"/>
                <w:sz w:val="22"/>
              </w:rPr>
            </w:pPr>
            <w:r>
              <w:rPr>
                <w:rFonts w:hint="eastAsia" w:ascii="宋体" w:hAnsi="宋体" w:cs="Arial"/>
                <w:color w:val="000000"/>
                <w:kern w:val="0"/>
                <w:sz w:val="22"/>
              </w:rPr>
              <w:t>1,365,741.71</w:t>
            </w:r>
          </w:p>
        </w:tc>
      </w:tr>
      <w:tr w14:paraId="1254AAAB">
        <w:tblPrEx>
          <w:tblCellMar>
            <w:top w:w="0" w:type="dxa"/>
            <w:left w:w="108" w:type="dxa"/>
            <w:bottom w:w="0" w:type="dxa"/>
            <w:right w:w="108" w:type="dxa"/>
          </w:tblCellMar>
        </w:tblPrEx>
        <w:trPr>
          <w:trHeight w:val="309" w:hRule="atLeast"/>
        </w:trPr>
        <w:tc>
          <w:tcPr>
            <w:tcW w:w="1308" w:type="dxa"/>
            <w:gridSpan w:val="3"/>
            <w:tcBorders>
              <w:top w:val="nil"/>
              <w:left w:val="single" w:color="000000" w:sz="4" w:space="0"/>
              <w:bottom w:val="single" w:color="000000" w:sz="4" w:space="0"/>
              <w:right w:val="single" w:color="000000" w:sz="4" w:space="0"/>
            </w:tcBorders>
            <w:shd w:val="clear" w:color="auto" w:fill="auto"/>
            <w:noWrap/>
            <w:vAlign w:val="center"/>
          </w:tcPr>
          <w:p w14:paraId="0C5839D3">
            <w:pPr>
              <w:widowControl/>
              <w:jc w:val="left"/>
              <w:rPr>
                <w:rFonts w:ascii="宋体" w:hAnsi="宋体" w:cs="Arial"/>
                <w:color w:val="000000"/>
                <w:kern w:val="0"/>
                <w:sz w:val="22"/>
              </w:rPr>
            </w:pPr>
            <w:r>
              <w:rPr>
                <w:rFonts w:hint="eastAsia" w:ascii="宋体" w:hAnsi="宋体" w:cs="Arial"/>
                <w:color w:val="000000"/>
                <w:kern w:val="0"/>
                <w:sz w:val="22"/>
              </w:rPr>
              <w:t>22960</w:t>
            </w:r>
          </w:p>
        </w:tc>
        <w:tc>
          <w:tcPr>
            <w:tcW w:w="2815" w:type="dxa"/>
            <w:tcBorders>
              <w:top w:val="nil"/>
              <w:left w:val="nil"/>
              <w:bottom w:val="single" w:color="000000" w:sz="4" w:space="0"/>
              <w:right w:val="single" w:color="000000" w:sz="4" w:space="0"/>
            </w:tcBorders>
            <w:shd w:val="clear" w:color="auto" w:fill="auto"/>
            <w:noWrap/>
            <w:vAlign w:val="center"/>
          </w:tcPr>
          <w:p w14:paraId="3DC4CD0D">
            <w:pPr>
              <w:widowControl/>
              <w:jc w:val="left"/>
              <w:rPr>
                <w:rFonts w:ascii="宋体" w:hAnsi="宋体" w:cs="Arial"/>
                <w:color w:val="000000"/>
                <w:kern w:val="0"/>
                <w:sz w:val="22"/>
              </w:rPr>
            </w:pPr>
            <w:r>
              <w:rPr>
                <w:rFonts w:hint="eastAsia" w:ascii="宋体" w:hAnsi="宋体" w:cs="Arial"/>
                <w:color w:val="000000"/>
                <w:kern w:val="0"/>
                <w:sz w:val="22"/>
              </w:rPr>
              <w:t>彩票公益金安排的支出</w:t>
            </w:r>
          </w:p>
        </w:tc>
        <w:tc>
          <w:tcPr>
            <w:tcW w:w="1646" w:type="dxa"/>
            <w:tcBorders>
              <w:top w:val="nil"/>
              <w:left w:val="nil"/>
              <w:bottom w:val="single" w:color="000000" w:sz="4" w:space="0"/>
              <w:right w:val="single" w:color="000000" w:sz="4" w:space="0"/>
            </w:tcBorders>
            <w:shd w:val="clear" w:color="auto" w:fill="auto"/>
            <w:noWrap/>
            <w:vAlign w:val="center"/>
          </w:tcPr>
          <w:p w14:paraId="3454B881">
            <w:pPr>
              <w:widowControl/>
              <w:jc w:val="right"/>
              <w:rPr>
                <w:rFonts w:ascii="宋体" w:hAnsi="宋体" w:cs="Arial"/>
                <w:color w:val="000000"/>
                <w:kern w:val="0"/>
                <w:sz w:val="22"/>
              </w:rPr>
            </w:pPr>
            <w:r>
              <w:rPr>
                <w:rFonts w:hint="eastAsia" w:ascii="宋体" w:hAnsi="宋体" w:cs="Arial"/>
                <w:color w:val="000000"/>
                <w:kern w:val="0"/>
                <w:sz w:val="22"/>
              </w:rPr>
              <w:t>1,365,741.71</w:t>
            </w:r>
          </w:p>
        </w:tc>
        <w:tc>
          <w:tcPr>
            <w:tcW w:w="1536" w:type="dxa"/>
            <w:tcBorders>
              <w:top w:val="nil"/>
              <w:left w:val="nil"/>
              <w:bottom w:val="single" w:color="000000" w:sz="4" w:space="0"/>
              <w:right w:val="single" w:color="000000" w:sz="4" w:space="0"/>
            </w:tcBorders>
            <w:shd w:val="clear" w:color="auto" w:fill="auto"/>
            <w:noWrap/>
            <w:vAlign w:val="center"/>
          </w:tcPr>
          <w:p w14:paraId="7C1AF20D">
            <w:pPr>
              <w:widowControl/>
              <w:jc w:val="right"/>
              <w:rPr>
                <w:rFonts w:ascii="宋体" w:hAnsi="宋体" w:cs="Arial"/>
                <w:color w:val="000000"/>
                <w:kern w:val="0"/>
                <w:sz w:val="22"/>
              </w:rPr>
            </w:pPr>
            <w:r>
              <w:rPr>
                <w:rFonts w:hint="eastAsia" w:ascii="宋体" w:hAnsi="宋体" w:cs="Arial"/>
                <w:color w:val="000000"/>
                <w:kern w:val="0"/>
                <w:sz w:val="22"/>
              </w:rPr>
              <w:t>　</w:t>
            </w:r>
          </w:p>
        </w:tc>
        <w:tc>
          <w:tcPr>
            <w:tcW w:w="1496" w:type="dxa"/>
            <w:tcBorders>
              <w:top w:val="nil"/>
              <w:left w:val="nil"/>
              <w:bottom w:val="single" w:color="000000" w:sz="4" w:space="0"/>
              <w:right w:val="single" w:color="000000" w:sz="4" w:space="0"/>
            </w:tcBorders>
            <w:shd w:val="clear" w:color="auto" w:fill="auto"/>
            <w:noWrap/>
            <w:vAlign w:val="center"/>
          </w:tcPr>
          <w:p w14:paraId="5CF41BA6">
            <w:pPr>
              <w:widowControl/>
              <w:jc w:val="right"/>
              <w:rPr>
                <w:rFonts w:ascii="宋体" w:hAnsi="宋体" w:cs="Arial"/>
                <w:color w:val="000000"/>
                <w:kern w:val="0"/>
                <w:sz w:val="22"/>
              </w:rPr>
            </w:pPr>
            <w:r>
              <w:rPr>
                <w:rFonts w:hint="eastAsia" w:ascii="宋体" w:hAnsi="宋体" w:cs="Arial"/>
                <w:color w:val="000000"/>
                <w:kern w:val="0"/>
                <w:sz w:val="22"/>
              </w:rPr>
              <w:t>1,365,741.71</w:t>
            </w:r>
          </w:p>
        </w:tc>
      </w:tr>
      <w:tr w14:paraId="2B020520">
        <w:tblPrEx>
          <w:tblCellMar>
            <w:top w:w="0" w:type="dxa"/>
            <w:left w:w="108" w:type="dxa"/>
            <w:bottom w:w="0" w:type="dxa"/>
            <w:right w:w="108" w:type="dxa"/>
          </w:tblCellMar>
        </w:tblPrEx>
        <w:trPr>
          <w:trHeight w:val="309" w:hRule="atLeast"/>
        </w:trPr>
        <w:tc>
          <w:tcPr>
            <w:tcW w:w="1308" w:type="dxa"/>
            <w:gridSpan w:val="3"/>
            <w:tcBorders>
              <w:top w:val="nil"/>
              <w:left w:val="single" w:color="000000" w:sz="4" w:space="0"/>
              <w:bottom w:val="single" w:color="000000" w:sz="4" w:space="0"/>
              <w:right w:val="single" w:color="000000" w:sz="4" w:space="0"/>
            </w:tcBorders>
            <w:shd w:val="clear" w:color="auto" w:fill="auto"/>
            <w:noWrap/>
            <w:vAlign w:val="center"/>
          </w:tcPr>
          <w:p w14:paraId="7F550258">
            <w:pPr>
              <w:widowControl/>
              <w:jc w:val="left"/>
              <w:rPr>
                <w:rFonts w:ascii="宋体" w:hAnsi="宋体" w:cs="Arial"/>
                <w:color w:val="000000"/>
                <w:kern w:val="0"/>
                <w:sz w:val="22"/>
              </w:rPr>
            </w:pPr>
            <w:r>
              <w:rPr>
                <w:rFonts w:hint="eastAsia" w:ascii="宋体" w:hAnsi="宋体" w:cs="Arial"/>
                <w:color w:val="000000"/>
                <w:kern w:val="0"/>
                <w:sz w:val="22"/>
              </w:rPr>
              <w:t>2296002</w:t>
            </w:r>
          </w:p>
        </w:tc>
        <w:tc>
          <w:tcPr>
            <w:tcW w:w="2815" w:type="dxa"/>
            <w:tcBorders>
              <w:top w:val="nil"/>
              <w:left w:val="nil"/>
              <w:bottom w:val="single" w:color="000000" w:sz="4" w:space="0"/>
              <w:right w:val="single" w:color="000000" w:sz="4" w:space="0"/>
            </w:tcBorders>
            <w:shd w:val="clear" w:color="auto" w:fill="auto"/>
            <w:noWrap/>
            <w:vAlign w:val="center"/>
          </w:tcPr>
          <w:p w14:paraId="68BC4250">
            <w:pPr>
              <w:widowControl/>
              <w:jc w:val="left"/>
              <w:rPr>
                <w:rFonts w:ascii="宋体" w:hAnsi="宋体" w:cs="Arial"/>
                <w:color w:val="000000"/>
                <w:kern w:val="0"/>
                <w:sz w:val="22"/>
              </w:rPr>
            </w:pPr>
            <w:r>
              <w:rPr>
                <w:rFonts w:hint="eastAsia" w:ascii="宋体" w:hAnsi="宋体" w:cs="Arial"/>
                <w:color w:val="000000"/>
                <w:kern w:val="0"/>
                <w:sz w:val="22"/>
              </w:rPr>
              <w:t xml:space="preserve">  用于社会福利的彩票公益金支出</w:t>
            </w:r>
          </w:p>
        </w:tc>
        <w:tc>
          <w:tcPr>
            <w:tcW w:w="1646" w:type="dxa"/>
            <w:tcBorders>
              <w:top w:val="nil"/>
              <w:left w:val="nil"/>
              <w:bottom w:val="single" w:color="000000" w:sz="4" w:space="0"/>
              <w:right w:val="single" w:color="000000" w:sz="4" w:space="0"/>
            </w:tcBorders>
            <w:shd w:val="clear" w:color="auto" w:fill="auto"/>
            <w:noWrap/>
            <w:vAlign w:val="center"/>
          </w:tcPr>
          <w:p w14:paraId="26900C1F">
            <w:pPr>
              <w:widowControl/>
              <w:jc w:val="right"/>
              <w:rPr>
                <w:rFonts w:ascii="宋体" w:hAnsi="宋体" w:cs="Arial"/>
                <w:color w:val="000000"/>
                <w:kern w:val="0"/>
                <w:sz w:val="22"/>
              </w:rPr>
            </w:pPr>
            <w:r>
              <w:rPr>
                <w:rFonts w:hint="eastAsia" w:ascii="宋体" w:hAnsi="宋体" w:cs="Arial"/>
                <w:color w:val="000000"/>
                <w:kern w:val="0"/>
                <w:sz w:val="22"/>
              </w:rPr>
              <w:t>724,520.00</w:t>
            </w:r>
          </w:p>
        </w:tc>
        <w:tc>
          <w:tcPr>
            <w:tcW w:w="1536" w:type="dxa"/>
            <w:tcBorders>
              <w:top w:val="nil"/>
              <w:left w:val="nil"/>
              <w:bottom w:val="single" w:color="000000" w:sz="4" w:space="0"/>
              <w:right w:val="single" w:color="000000" w:sz="4" w:space="0"/>
            </w:tcBorders>
            <w:shd w:val="clear" w:color="auto" w:fill="auto"/>
            <w:noWrap/>
            <w:vAlign w:val="center"/>
          </w:tcPr>
          <w:p w14:paraId="08150050">
            <w:pPr>
              <w:widowControl/>
              <w:jc w:val="right"/>
              <w:rPr>
                <w:rFonts w:ascii="宋体" w:hAnsi="宋体" w:cs="Arial"/>
                <w:color w:val="000000"/>
                <w:kern w:val="0"/>
                <w:sz w:val="22"/>
              </w:rPr>
            </w:pPr>
            <w:r>
              <w:rPr>
                <w:rFonts w:hint="eastAsia" w:ascii="宋体" w:hAnsi="宋体" w:cs="Arial"/>
                <w:color w:val="000000"/>
                <w:kern w:val="0"/>
                <w:sz w:val="22"/>
              </w:rPr>
              <w:t>　</w:t>
            </w:r>
          </w:p>
        </w:tc>
        <w:tc>
          <w:tcPr>
            <w:tcW w:w="1496" w:type="dxa"/>
            <w:tcBorders>
              <w:top w:val="nil"/>
              <w:left w:val="nil"/>
              <w:bottom w:val="single" w:color="000000" w:sz="4" w:space="0"/>
              <w:right w:val="single" w:color="000000" w:sz="4" w:space="0"/>
            </w:tcBorders>
            <w:shd w:val="clear" w:color="auto" w:fill="auto"/>
            <w:noWrap/>
            <w:vAlign w:val="center"/>
          </w:tcPr>
          <w:p w14:paraId="3647B0F4">
            <w:pPr>
              <w:widowControl/>
              <w:jc w:val="right"/>
              <w:rPr>
                <w:rFonts w:ascii="宋体" w:hAnsi="宋体" w:cs="Arial"/>
                <w:color w:val="000000"/>
                <w:kern w:val="0"/>
                <w:sz w:val="22"/>
              </w:rPr>
            </w:pPr>
            <w:r>
              <w:rPr>
                <w:rFonts w:hint="eastAsia" w:ascii="宋体" w:hAnsi="宋体" w:cs="Arial"/>
                <w:color w:val="000000"/>
                <w:kern w:val="0"/>
                <w:sz w:val="22"/>
              </w:rPr>
              <w:t>724,520.00</w:t>
            </w:r>
          </w:p>
        </w:tc>
      </w:tr>
      <w:tr w14:paraId="3F66E0F6">
        <w:tblPrEx>
          <w:tblCellMar>
            <w:top w:w="0" w:type="dxa"/>
            <w:left w:w="108" w:type="dxa"/>
            <w:bottom w:w="0" w:type="dxa"/>
            <w:right w:w="108" w:type="dxa"/>
          </w:tblCellMar>
        </w:tblPrEx>
        <w:trPr>
          <w:trHeight w:val="309" w:hRule="atLeast"/>
        </w:trPr>
        <w:tc>
          <w:tcPr>
            <w:tcW w:w="1308" w:type="dxa"/>
            <w:gridSpan w:val="3"/>
            <w:tcBorders>
              <w:top w:val="nil"/>
              <w:left w:val="single" w:color="000000" w:sz="4" w:space="0"/>
              <w:bottom w:val="single" w:color="000000" w:sz="8" w:space="0"/>
              <w:right w:val="single" w:color="000000" w:sz="4" w:space="0"/>
            </w:tcBorders>
            <w:shd w:val="clear" w:color="auto" w:fill="auto"/>
            <w:noWrap/>
            <w:vAlign w:val="center"/>
          </w:tcPr>
          <w:p w14:paraId="111F0950">
            <w:pPr>
              <w:widowControl/>
              <w:jc w:val="left"/>
              <w:rPr>
                <w:rFonts w:ascii="宋体" w:hAnsi="宋体" w:cs="Arial"/>
                <w:color w:val="000000"/>
                <w:kern w:val="0"/>
                <w:sz w:val="22"/>
              </w:rPr>
            </w:pPr>
            <w:r>
              <w:rPr>
                <w:rFonts w:hint="eastAsia" w:ascii="宋体" w:hAnsi="宋体" w:cs="Arial"/>
                <w:color w:val="000000"/>
                <w:kern w:val="0"/>
                <w:sz w:val="22"/>
              </w:rPr>
              <w:t>2296013</w:t>
            </w:r>
          </w:p>
        </w:tc>
        <w:tc>
          <w:tcPr>
            <w:tcW w:w="2815" w:type="dxa"/>
            <w:tcBorders>
              <w:top w:val="nil"/>
              <w:left w:val="nil"/>
              <w:bottom w:val="single" w:color="000000" w:sz="8" w:space="0"/>
              <w:right w:val="single" w:color="000000" w:sz="4" w:space="0"/>
            </w:tcBorders>
            <w:shd w:val="clear" w:color="auto" w:fill="auto"/>
            <w:noWrap/>
            <w:vAlign w:val="center"/>
          </w:tcPr>
          <w:p w14:paraId="519C8063">
            <w:pPr>
              <w:widowControl/>
              <w:jc w:val="left"/>
              <w:rPr>
                <w:rFonts w:ascii="宋体" w:hAnsi="宋体" w:cs="Arial"/>
                <w:color w:val="000000"/>
                <w:kern w:val="0"/>
                <w:sz w:val="22"/>
              </w:rPr>
            </w:pPr>
            <w:r>
              <w:rPr>
                <w:rFonts w:hint="eastAsia" w:ascii="宋体" w:hAnsi="宋体" w:cs="Arial"/>
                <w:color w:val="000000"/>
                <w:kern w:val="0"/>
                <w:sz w:val="22"/>
              </w:rPr>
              <w:t xml:space="preserve">  用于城乡医疗救助的彩票公益金支出</w:t>
            </w:r>
          </w:p>
        </w:tc>
        <w:tc>
          <w:tcPr>
            <w:tcW w:w="1646" w:type="dxa"/>
            <w:tcBorders>
              <w:top w:val="nil"/>
              <w:left w:val="nil"/>
              <w:bottom w:val="single" w:color="000000" w:sz="8" w:space="0"/>
              <w:right w:val="single" w:color="000000" w:sz="4" w:space="0"/>
            </w:tcBorders>
            <w:shd w:val="clear" w:color="auto" w:fill="auto"/>
            <w:noWrap/>
            <w:vAlign w:val="center"/>
          </w:tcPr>
          <w:p w14:paraId="24BBEABC">
            <w:pPr>
              <w:widowControl/>
              <w:jc w:val="right"/>
              <w:rPr>
                <w:rFonts w:ascii="宋体" w:hAnsi="宋体" w:cs="Arial"/>
                <w:color w:val="000000"/>
                <w:kern w:val="0"/>
                <w:sz w:val="22"/>
              </w:rPr>
            </w:pPr>
            <w:r>
              <w:rPr>
                <w:rFonts w:hint="eastAsia" w:ascii="宋体" w:hAnsi="宋体" w:cs="Arial"/>
                <w:color w:val="000000"/>
                <w:kern w:val="0"/>
                <w:sz w:val="22"/>
              </w:rPr>
              <w:t>641,221.71</w:t>
            </w:r>
          </w:p>
        </w:tc>
        <w:tc>
          <w:tcPr>
            <w:tcW w:w="1536" w:type="dxa"/>
            <w:tcBorders>
              <w:top w:val="nil"/>
              <w:left w:val="nil"/>
              <w:bottom w:val="single" w:color="000000" w:sz="8" w:space="0"/>
              <w:right w:val="single" w:color="000000" w:sz="4" w:space="0"/>
            </w:tcBorders>
            <w:shd w:val="clear" w:color="auto" w:fill="auto"/>
            <w:noWrap/>
            <w:vAlign w:val="center"/>
          </w:tcPr>
          <w:p w14:paraId="1208AE30">
            <w:pPr>
              <w:widowControl/>
              <w:jc w:val="right"/>
              <w:rPr>
                <w:rFonts w:ascii="宋体" w:hAnsi="宋体" w:cs="Arial"/>
                <w:color w:val="000000"/>
                <w:kern w:val="0"/>
                <w:sz w:val="22"/>
              </w:rPr>
            </w:pPr>
            <w:r>
              <w:rPr>
                <w:rFonts w:hint="eastAsia" w:ascii="宋体" w:hAnsi="宋体" w:cs="Arial"/>
                <w:color w:val="000000"/>
                <w:kern w:val="0"/>
                <w:sz w:val="22"/>
              </w:rPr>
              <w:t>　</w:t>
            </w:r>
          </w:p>
        </w:tc>
        <w:tc>
          <w:tcPr>
            <w:tcW w:w="1496" w:type="dxa"/>
            <w:tcBorders>
              <w:top w:val="nil"/>
              <w:left w:val="nil"/>
              <w:bottom w:val="single" w:color="000000" w:sz="8" w:space="0"/>
              <w:right w:val="single" w:color="000000" w:sz="4" w:space="0"/>
            </w:tcBorders>
            <w:shd w:val="clear" w:color="auto" w:fill="auto"/>
            <w:noWrap/>
            <w:vAlign w:val="center"/>
          </w:tcPr>
          <w:p w14:paraId="27C1BAF7">
            <w:pPr>
              <w:widowControl/>
              <w:jc w:val="right"/>
              <w:rPr>
                <w:rFonts w:ascii="宋体" w:hAnsi="宋体" w:cs="Arial"/>
                <w:color w:val="000000"/>
                <w:kern w:val="0"/>
                <w:sz w:val="22"/>
              </w:rPr>
            </w:pPr>
            <w:r>
              <w:rPr>
                <w:rFonts w:hint="eastAsia" w:ascii="宋体" w:hAnsi="宋体" w:cs="Arial"/>
                <w:color w:val="000000"/>
                <w:kern w:val="0"/>
                <w:sz w:val="22"/>
              </w:rPr>
              <w:t>641,221.71</w:t>
            </w:r>
          </w:p>
        </w:tc>
      </w:tr>
    </w:tbl>
    <w:p w14:paraId="778AEBCE">
      <w:pPr>
        <w:pStyle w:val="46"/>
        <w:spacing w:line="560" w:lineRule="exact"/>
        <w:ind w:firstLine="643"/>
        <w:rPr>
          <w:rFonts w:ascii="Times New Roman" w:hAnsi="Times New Roman" w:eastAsia="楷体"/>
          <w:b/>
          <w:color w:val="000000"/>
          <w:sz w:val="32"/>
          <w:szCs w:val="32"/>
        </w:rPr>
      </w:pPr>
      <w:r>
        <w:rPr>
          <w:rFonts w:ascii="Times New Roman" w:hAnsi="楷体" w:eastAsia="楷体"/>
          <w:b/>
          <w:color w:val="000000"/>
          <w:sz w:val="32"/>
          <w:szCs w:val="32"/>
        </w:rPr>
        <w:t>（三）收入支出预算执行情况。</w:t>
      </w:r>
    </w:p>
    <w:p w14:paraId="7543F46C">
      <w:pPr>
        <w:pStyle w:val="46"/>
        <w:spacing w:line="560" w:lineRule="exact"/>
        <w:ind w:firstLine="64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2019年结</w:t>
      </w:r>
      <w:r>
        <w:rPr>
          <w:rFonts w:hint="eastAsia" w:ascii="仿宋_GB2312" w:hAnsi="宋体" w:eastAsia="仿宋_GB2312" w:cs="宋体"/>
          <w:color w:val="000000"/>
          <w:sz w:val="32"/>
          <w:szCs w:val="32"/>
        </w:rPr>
        <w:t>转结余</w:t>
      </w:r>
      <w:r>
        <w:rPr>
          <w:rFonts w:ascii="Times New Roman" w:hAnsi="Times New Roman"/>
          <w:color w:val="000000"/>
          <w:sz w:val="32"/>
          <w:szCs w:val="32"/>
        </w:rPr>
        <w:t>1,347,419.44</w:t>
      </w:r>
      <w:r>
        <w:rPr>
          <w:rFonts w:hint="eastAsia" w:ascii="宋体" w:hAnsi="宋体" w:cs="宋体"/>
          <w:color w:val="000000"/>
          <w:sz w:val="32"/>
          <w:szCs w:val="32"/>
        </w:rPr>
        <w:t>元。</w:t>
      </w:r>
      <w:r>
        <w:rPr>
          <w:rFonts w:ascii="Times New Roman" w:hAnsi="Times New Roman" w:eastAsia="仿宋_GB2312"/>
          <w:color w:val="000000"/>
          <w:sz w:val="32"/>
          <w:szCs w:val="32"/>
        </w:rPr>
        <w:t>2020</w:t>
      </w:r>
      <w:r>
        <w:rPr>
          <w:rFonts w:ascii="Times New Roman" w:hAnsi="仿宋_GB2312" w:eastAsia="仿宋_GB2312"/>
          <w:color w:val="000000"/>
          <w:sz w:val="32"/>
          <w:szCs w:val="32"/>
        </w:rPr>
        <w:t>年本年收入</w:t>
      </w:r>
      <w:r>
        <w:rPr>
          <w:rFonts w:ascii="Times New Roman" w:hAnsi="Times New Roman" w:eastAsia="仿宋_GB2312"/>
          <w:color w:val="000000"/>
          <w:sz w:val="32"/>
          <w:szCs w:val="32"/>
        </w:rPr>
        <w:t>18,814,516.49</w:t>
      </w:r>
      <w:r>
        <w:rPr>
          <w:rFonts w:ascii="Times New Roman" w:hAnsi="仿宋_GB2312" w:eastAsia="仿宋_GB2312"/>
          <w:color w:val="000000"/>
          <w:sz w:val="32"/>
          <w:szCs w:val="32"/>
        </w:rPr>
        <w:t>元，支出</w:t>
      </w:r>
      <w:r>
        <w:rPr>
          <w:rFonts w:ascii="Times New Roman" w:hAnsi="Times New Roman" w:eastAsia="仿宋_GB2312"/>
          <w:color w:val="000000"/>
          <w:sz w:val="32"/>
          <w:szCs w:val="32"/>
        </w:rPr>
        <w:t>20,161,935.93</w:t>
      </w:r>
      <w:r>
        <w:rPr>
          <w:rFonts w:ascii="Times New Roman" w:hAnsi="仿宋_GB2312" w:eastAsia="仿宋_GB2312"/>
          <w:color w:val="000000"/>
          <w:sz w:val="32"/>
          <w:szCs w:val="32"/>
        </w:rPr>
        <w:t>元，与上年度收入</w:t>
      </w:r>
      <w:r>
        <w:rPr>
          <w:rFonts w:ascii="Times New Roman" w:hAnsi="Times New Roman" w:eastAsia="仿宋_GB2312"/>
          <w:color w:val="000000"/>
          <w:sz w:val="32"/>
          <w:szCs w:val="32"/>
        </w:rPr>
        <w:t>7,876,774.46</w:t>
      </w:r>
      <w:r>
        <w:rPr>
          <w:rFonts w:ascii="Times New Roman" w:hAnsi="仿宋_GB2312" w:eastAsia="仿宋_GB2312"/>
          <w:color w:val="000000"/>
          <w:sz w:val="32"/>
          <w:szCs w:val="32"/>
        </w:rPr>
        <w:t>元，增加了</w:t>
      </w:r>
      <w:r>
        <w:rPr>
          <w:rFonts w:ascii="Times New Roman" w:hAnsi="Times New Roman" w:eastAsia="仿宋_GB2312"/>
          <w:color w:val="000000"/>
          <w:sz w:val="32"/>
          <w:szCs w:val="32"/>
        </w:rPr>
        <w:t>10,937,742.03</w:t>
      </w:r>
      <w:r>
        <w:rPr>
          <w:rFonts w:ascii="Times New Roman" w:hAnsi="仿宋_GB2312" w:eastAsia="仿宋_GB2312"/>
          <w:color w:val="000000"/>
          <w:sz w:val="32"/>
          <w:szCs w:val="32"/>
        </w:rPr>
        <w:t>元，增加了</w:t>
      </w:r>
      <w:r>
        <w:rPr>
          <w:rFonts w:ascii="Times New Roman" w:hAnsi="Times New Roman" w:eastAsia="仿宋_GB2312"/>
          <w:color w:val="000000"/>
          <w:sz w:val="32"/>
          <w:szCs w:val="32"/>
        </w:rPr>
        <w:t>138.86%</w:t>
      </w:r>
      <w:r>
        <w:rPr>
          <w:rFonts w:ascii="Times New Roman" w:hAnsi="仿宋_GB2312" w:eastAsia="仿宋_GB2312"/>
          <w:color w:val="000000"/>
          <w:sz w:val="32"/>
          <w:szCs w:val="32"/>
        </w:rPr>
        <w:t>；支出与上年支出</w:t>
      </w:r>
      <w:r>
        <w:rPr>
          <w:rFonts w:ascii="Times New Roman" w:hAnsi="Times New Roman" w:eastAsia="仿宋_GB2312"/>
          <w:color w:val="000000"/>
          <w:sz w:val="32"/>
          <w:szCs w:val="32"/>
        </w:rPr>
        <w:t>7,876,774.46</w:t>
      </w:r>
      <w:r>
        <w:rPr>
          <w:rFonts w:ascii="Times New Roman" w:hAnsi="仿宋_GB2312" w:eastAsia="仿宋_GB2312"/>
          <w:color w:val="000000"/>
          <w:sz w:val="32"/>
          <w:szCs w:val="32"/>
        </w:rPr>
        <w:t>元，增加了</w:t>
      </w:r>
      <w:r>
        <w:rPr>
          <w:rFonts w:ascii="Times New Roman" w:hAnsi="Times New Roman" w:eastAsia="仿宋_GB2312"/>
          <w:color w:val="000000"/>
          <w:sz w:val="32"/>
          <w:szCs w:val="32"/>
        </w:rPr>
        <w:t>12,285,161.47</w:t>
      </w:r>
      <w:r>
        <w:rPr>
          <w:rFonts w:ascii="Times New Roman" w:hAnsi="仿宋_GB2312" w:eastAsia="仿宋_GB2312"/>
          <w:color w:val="000000"/>
          <w:sz w:val="32"/>
          <w:szCs w:val="32"/>
        </w:rPr>
        <w:t>元，增加了</w:t>
      </w:r>
      <w:r>
        <w:rPr>
          <w:rFonts w:ascii="Times New Roman" w:hAnsi="Times New Roman" w:eastAsia="仿宋_GB2312"/>
          <w:color w:val="000000"/>
          <w:sz w:val="32"/>
          <w:szCs w:val="32"/>
        </w:rPr>
        <w:t>155.97%</w:t>
      </w:r>
      <w:r>
        <w:rPr>
          <w:rFonts w:ascii="Times New Roman" w:hAnsi="仿宋_GB2312" w:eastAsia="仿宋_GB2312"/>
          <w:color w:val="000000"/>
          <w:sz w:val="32"/>
          <w:szCs w:val="32"/>
        </w:rPr>
        <w:t>；增加的主要原因是医保事务中心</w:t>
      </w:r>
      <w:r>
        <w:rPr>
          <w:rFonts w:hint="eastAsia" w:ascii="Times New Roman" w:hAnsi="仿宋_GB2312" w:eastAsia="仿宋_GB2312"/>
          <w:color w:val="000000"/>
          <w:sz w:val="32"/>
          <w:szCs w:val="32"/>
        </w:rPr>
        <w:t>财务</w:t>
      </w:r>
      <w:r>
        <w:rPr>
          <w:rFonts w:ascii="Times New Roman" w:hAnsi="仿宋_GB2312" w:eastAsia="仿宋_GB2312"/>
          <w:color w:val="000000"/>
          <w:sz w:val="32"/>
          <w:szCs w:val="32"/>
        </w:rPr>
        <w:t>和医保局</w:t>
      </w:r>
      <w:r>
        <w:rPr>
          <w:rFonts w:hint="eastAsia" w:ascii="Times New Roman" w:hAnsi="仿宋_GB2312" w:eastAsia="仿宋_GB2312"/>
          <w:color w:val="000000"/>
          <w:sz w:val="32"/>
          <w:szCs w:val="32"/>
        </w:rPr>
        <w:t>进行了</w:t>
      </w:r>
      <w:r>
        <w:rPr>
          <w:rFonts w:ascii="Times New Roman" w:hAnsi="仿宋_GB2312" w:eastAsia="仿宋_GB2312"/>
          <w:color w:val="000000"/>
          <w:sz w:val="32"/>
          <w:szCs w:val="32"/>
        </w:rPr>
        <w:t>合并。</w:t>
      </w:r>
    </w:p>
    <w:p w14:paraId="1B25F708">
      <w:pPr>
        <w:spacing w:line="560" w:lineRule="exact"/>
        <w:ind w:firstLine="630" w:firstLineChars="196"/>
        <w:rPr>
          <w:rFonts w:eastAsia="楷体"/>
          <w:b/>
          <w:color w:val="000000"/>
          <w:sz w:val="32"/>
          <w:szCs w:val="32"/>
        </w:rPr>
      </w:pPr>
      <w:r>
        <w:rPr>
          <w:rFonts w:eastAsia="楷体"/>
          <w:b/>
          <w:color w:val="000000"/>
          <w:sz w:val="32"/>
          <w:szCs w:val="32"/>
        </w:rPr>
        <w:t>（四）结转和结余情况。</w:t>
      </w:r>
    </w:p>
    <w:p w14:paraId="0FCA09E7">
      <w:pPr>
        <w:spacing w:line="560" w:lineRule="exact"/>
        <w:ind w:firstLine="780" w:firstLineChars="244"/>
        <w:rPr>
          <w:rFonts w:eastAsia="楷体"/>
          <w:b/>
          <w:color w:val="000000"/>
          <w:sz w:val="32"/>
          <w:szCs w:val="32"/>
        </w:rPr>
      </w:pPr>
      <w:r>
        <w:rPr>
          <w:rFonts w:hint="eastAsia" w:hAnsi="仿宋_GB2312" w:eastAsia="仿宋_GB2312"/>
          <w:color w:val="000000"/>
          <w:sz w:val="32"/>
          <w:szCs w:val="32"/>
        </w:rPr>
        <w:t>2020</w:t>
      </w:r>
      <w:r>
        <w:rPr>
          <w:rFonts w:hAnsi="仿宋_GB2312" w:eastAsia="仿宋_GB2312"/>
          <w:color w:val="000000"/>
          <w:sz w:val="32"/>
          <w:szCs w:val="32"/>
        </w:rPr>
        <w:t>年</w:t>
      </w:r>
      <w:r>
        <w:rPr>
          <w:rFonts w:hint="eastAsia" w:hAnsi="仿宋_GB2312" w:eastAsia="仿宋_GB2312"/>
          <w:color w:val="000000"/>
          <w:sz w:val="32"/>
          <w:szCs w:val="32"/>
        </w:rPr>
        <w:t>年</w:t>
      </w:r>
      <w:r>
        <w:rPr>
          <w:rFonts w:hAnsi="仿宋_GB2312" w:eastAsia="仿宋_GB2312"/>
          <w:color w:val="000000"/>
          <w:sz w:val="32"/>
          <w:szCs w:val="32"/>
        </w:rPr>
        <w:t>终结转结余</w:t>
      </w:r>
      <w:r>
        <w:rPr>
          <w:rFonts w:eastAsia="仿宋_GB2312"/>
          <w:color w:val="000000"/>
          <w:sz w:val="32"/>
          <w:szCs w:val="32"/>
        </w:rPr>
        <w:t>139,105.69</w:t>
      </w:r>
      <w:r>
        <w:rPr>
          <w:rFonts w:hAnsi="仿宋_GB2312" w:eastAsia="仿宋_GB2312"/>
          <w:color w:val="000000"/>
          <w:sz w:val="32"/>
          <w:szCs w:val="32"/>
        </w:rPr>
        <w:t>元，主要是</w:t>
      </w:r>
      <w:r>
        <w:rPr>
          <w:rFonts w:eastAsia="仿宋_GB2312"/>
          <w:color w:val="000000"/>
          <w:sz w:val="32"/>
          <w:szCs w:val="32"/>
        </w:rPr>
        <w:t>2017</w:t>
      </w:r>
      <w:r>
        <w:rPr>
          <w:rFonts w:hAnsi="仿宋_GB2312" w:eastAsia="仿宋_GB2312"/>
          <w:color w:val="000000"/>
          <w:sz w:val="32"/>
          <w:szCs w:val="32"/>
        </w:rPr>
        <w:t>年医保监管工作经费资金结转结余。</w:t>
      </w:r>
    </w:p>
    <w:p w14:paraId="6A53D4E1">
      <w:pPr>
        <w:spacing w:line="560" w:lineRule="exact"/>
        <w:ind w:firstLine="780" w:firstLineChars="244"/>
        <w:rPr>
          <w:rFonts w:eastAsia="黑体"/>
          <w:color w:val="000000"/>
          <w:sz w:val="32"/>
          <w:szCs w:val="32"/>
        </w:rPr>
      </w:pPr>
      <w:r>
        <w:rPr>
          <w:rStyle w:val="40"/>
          <w:rFonts w:hint="default"/>
        </w:rPr>
        <w:t>四、部门财政支出管理情况</w:t>
      </w:r>
    </w:p>
    <w:p w14:paraId="0F1A6CE9">
      <w:pPr>
        <w:spacing w:line="560" w:lineRule="exact"/>
        <w:ind w:firstLine="774" w:firstLineChars="241"/>
        <w:rPr>
          <w:rFonts w:eastAsia="楷体"/>
          <w:b/>
          <w:color w:val="000000"/>
          <w:sz w:val="32"/>
          <w:szCs w:val="32"/>
        </w:rPr>
      </w:pPr>
      <w:r>
        <w:rPr>
          <w:rFonts w:eastAsia="楷体"/>
          <w:b/>
          <w:color w:val="000000"/>
          <w:sz w:val="32"/>
          <w:szCs w:val="32"/>
        </w:rPr>
        <w:t>（一）专项资金分配情况。</w:t>
      </w:r>
    </w:p>
    <w:p w14:paraId="2FA8E68B">
      <w:pPr>
        <w:spacing w:line="560" w:lineRule="exact"/>
        <w:ind w:firstLine="640" w:firstLineChars="200"/>
        <w:rPr>
          <w:rStyle w:val="44"/>
          <w:rFonts w:eastAsia="仿宋_GB2312"/>
        </w:rPr>
      </w:pPr>
      <w:r>
        <w:rPr>
          <w:rFonts w:eastAsia="仿宋_GB2312"/>
          <w:color w:val="000000"/>
          <w:sz w:val="32"/>
          <w:szCs w:val="32"/>
        </w:rPr>
        <w:t>米易县医疗保障局202</w:t>
      </w:r>
      <w:r>
        <w:rPr>
          <w:rFonts w:hint="eastAsia" w:eastAsia="仿宋_GB2312"/>
          <w:color w:val="000000"/>
          <w:sz w:val="32"/>
          <w:szCs w:val="32"/>
        </w:rPr>
        <w:t>0</w:t>
      </w:r>
      <w:r>
        <w:rPr>
          <w:rFonts w:eastAsia="仿宋_GB2312"/>
          <w:color w:val="000000"/>
          <w:sz w:val="32"/>
          <w:szCs w:val="32"/>
        </w:rPr>
        <w:t>年</w:t>
      </w:r>
      <w:r>
        <w:rPr>
          <w:rFonts w:hint="eastAsia" w:eastAsia="仿宋_GB2312"/>
          <w:color w:val="000000"/>
          <w:sz w:val="32"/>
          <w:szCs w:val="32"/>
        </w:rPr>
        <w:t>年初</w:t>
      </w:r>
      <w:r>
        <w:rPr>
          <w:rFonts w:eastAsia="仿宋_GB2312"/>
          <w:color w:val="000000"/>
          <w:sz w:val="32"/>
          <w:szCs w:val="32"/>
        </w:rPr>
        <w:t>预算项目支出4个,预算资金总额共计174.7万元，项目绩效目标编制率为100%。一是医保工作专项经费11.7万元。二是 “村医通”专项工作经费6.5万元。三是离休、二等乙级伤残军人和伤残人民警察、建国初期参加革命工作人员医疗费用150万元。四是办公室物业管理费6.5万元。</w:t>
      </w:r>
      <w:r>
        <w:rPr>
          <w:rFonts w:hint="eastAsia" w:eastAsia="仿宋_GB2312"/>
          <w:color w:val="000000"/>
          <w:sz w:val="32"/>
          <w:szCs w:val="32"/>
        </w:rPr>
        <w:t>年中追加财政代缴建档立卡贫困人口城乡居民医疗保险个人缴费570.97万元和城乡医疗救助补助资金954.5万元项目预算</w:t>
      </w:r>
    </w:p>
    <w:p w14:paraId="68A060E2">
      <w:pPr>
        <w:spacing w:line="560" w:lineRule="exact"/>
        <w:ind w:firstLine="643" w:firstLineChars="200"/>
        <w:rPr>
          <w:rFonts w:eastAsia="仿宋_GB2312"/>
          <w:b/>
          <w:bCs/>
          <w:color w:val="000000"/>
          <w:sz w:val="32"/>
          <w:szCs w:val="32"/>
        </w:rPr>
      </w:pPr>
      <w:r>
        <w:rPr>
          <w:rFonts w:eastAsia="楷体"/>
          <w:b/>
          <w:color w:val="000000"/>
          <w:sz w:val="32"/>
          <w:szCs w:val="32"/>
        </w:rPr>
        <w:t>（二）资产管理。</w:t>
      </w:r>
    </w:p>
    <w:p w14:paraId="086D46DB">
      <w:pPr>
        <w:pStyle w:val="46"/>
        <w:spacing w:line="560" w:lineRule="exact"/>
        <w:ind w:firstLine="640"/>
        <w:rPr>
          <w:rFonts w:ascii="Times New Roman" w:hAnsi="仿宋_GB2312" w:eastAsia="仿宋_GB2312"/>
          <w:color w:val="000000"/>
          <w:sz w:val="32"/>
          <w:szCs w:val="32"/>
        </w:rPr>
      </w:pPr>
      <w:r>
        <w:rPr>
          <w:rFonts w:ascii="Times New Roman" w:hAnsi="Times New Roman" w:eastAsia="仿宋_GB2312"/>
          <w:color w:val="000000"/>
          <w:sz w:val="32"/>
          <w:szCs w:val="32"/>
        </w:rPr>
        <w:t>本单位建立健全资产配置标准体系和资产管理使用制度。资产配置标准严格按照相关文件规定标准进行采购。为了推进党政机关厉行节约反对浪费，本单位即使在国有资产已到达规定使用年限但凡还能继续使用时都将继续使用至完全拟报废为止。2020</w:t>
      </w:r>
      <w:r>
        <w:rPr>
          <w:rFonts w:ascii="Times New Roman" w:hAnsi="仿宋_GB2312" w:eastAsia="仿宋_GB2312"/>
          <w:color w:val="000000"/>
          <w:sz w:val="32"/>
          <w:szCs w:val="32"/>
        </w:rPr>
        <w:t>年资产总计</w:t>
      </w:r>
      <w:r>
        <w:rPr>
          <w:rFonts w:ascii="Times New Roman" w:hAnsi="Times New Roman" w:eastAsia="仿宋_GB2312"/>
          <w:color w:val="000000"/>
          <w:sz w:val="32"/>
          <w:szCs w:val="32"/>
        </w:rPr>
        <w:t>762,549.76</w:t>
      </w:r>
      <w:r>
        <w:rPr>
          <w:rFonts w:ascii="Times New Roman" w:hAnsi="仿宋_GB2312" w:eastAsia="仿宋_GB2312"/>
          <w:color w:val="000000"/>
          <w:sz w:val="32"/>
          <w:szCs w:val="32"/>
        </w:rPr>
        <w:t>元，比上年</w:t>
      </w:r>
      <w:r>
        <w:rPr>
          <w:rFonts w:ascii="Times New Roman" w:hAnsi="Times New Roman" w:eastAsia="仿宋_GB2312"/>
          <w:color w:val="000000"/>
          <w:sz w:val="32"/>
          <w:szCs w:val="32"/>
        </w:rPr>
        <w:t>1,207,419.44</w:t>
      </w:r>
      <w:r>
        <w:rPr>
          <w:rFonts w:ascii="Times New Roman" w:hAnsi="仿宋_GB2312" w:eastAsia="仿宋_GB2312"/>
          <w:color w:val="000000"/>
          <w:sz w:val="32"/>
          <w:szCs w:val="32"/>
        </w:rPr>
        <w:t>元</w:t>
      </w:r>
      <w:r>
        <w:rPr>
          <w:rFonts w:ascii="Times New Roman" w:hAnsi="Times New Roman" w:eastAsia="仿宋_GB2312"/>
          <w:color w:val="000000"/>
          <w:sz w:val="32"/>
          <w:szCs w:val="32"/>
        </w:rPr>
        <w:t>,</w:t>
      </w:r>
      <w:r>
        <w:rPr>
          <w:rFonts w:ascii="Times New Roman" w:hAnsi="仿宋_GB2312" w:eastAsia="仿宋_GB2312"/>
          <w:color w:val="000000"/>
          <w:sz w:val="32"/>
          <w:szCs w:val="32"/>
        </w:rPr>
        <w:t>减少</w:t>
      </w:r>
      <w:r>
        <w:rPr>
          <w:rFonts w:ascii="Times New Roman" w:hAnsi="Times New Roman" w:eastAsia="仿宋_GB2312"/>
          <w:color w:val="000000"/>
          <w:sz w:val="32"/>
          <w:szCs w:val="32"/>
        </w:rPr>
        <w:t>36.84%</w:t>
      </w:r>
      <w:r>
        <w:rPr>
          <w:rFonts w:ascii="Times New Roman" w:hAnsi="仿宋_GB2312" w:eastAsia="仿宋_GB2312"/>
          <w:color w:val="000000"/>
          <w:sz w:val="32"/>
          <w:szCs w:val="32"/>
        </w:rPr>
        <w:t>，其中：货币资金</w:t>
      </w:r>
      <w:r>
        <w:rPr>
          <w:rFonts w:ascii="Times New Roman" w:hAnsi="Times New Roman" w:eastAsia="仿宋_GB2312"/>
          <w:color w:val="000000"/>
          <w:sz w:val="32"/>
          <w:szCs w:val="32"/>
        </w:rPr>
        <w:t>294,965.93</w:t>
      </w:r>
      <w:r>
        <w:rPr>
          <w:rFonts w:ascii="Times New Roman" w:hAnsi="仿宋_GB2312" w:eastAsia="仿宋_GB2312"/>
          <w:color w:val="000000"/>
          <w:sz w:val="32"/>
          <w:szCs w:val="32"/>
        </w:rPr>
        <w:t>元，固定资产净值</w:t>
      </w:r>
      <w:r>
        <w:rPr>
          <w:rFonts w:ascii="Times New Roman" w:hAnsi="Times New Roman" w:eastAsia="仿宋_GB2312"/>
          <w:color w:val="000000"/>
          <w:sz w:val="32"/>
          <w:szCs w:val="32"/>
        </w:rPr>
        <w:t>26,798.90</w:t>
      </w:r>
      <w:r>
        <w:rPr>
          <w:rFonts w:ascii="Times New Roman" w:hAnsi="仿宋_GB2312" w:eastAsia="仿宋_GB2312"/>
          <w:color w:val="000000"/>
          <w:sz w:val="32"/>
          <w:szCs w:val="32"/>
        </w:rPr>
        <w:t>元，净资产中累计盈余</w:t>
      </w:r>
      <w:r>
        <w:rPr>
          <w:rFonts w:ascii="Times New Roman" w:hAnsi="Times New Roman" w:eastAsia="仿宋_GB2312"/>
          <w:color w:val="000000"/>
          <w:sz w:val="32"/>
          <w:szCs w:val="32"/>
        </w:rPr>
        <w:t>165,904.59</w:t>
      </w:r>
      <w:r>
        <w:rPr>
          <w:rFonts w:ascii="Times New Roman" w:hAnsi="仿宋_GB2312" w:eastAsia="仿宋_GB2312"/>
          <w:color w:val="000000"/>
          <w:sz w:val="32"/>
          <w:szCs w:val="32"/>
        </w:rPr>
        <w:t>元，比上年减少</w:t>
      </w:r>
      <w:r>
        <w:rPr>
          <w:rFonts w:ascii="Times New Roman" w:hAnsi="Times New Roman" w:eastAsia="仿宋_GB2312"/>
          <w:color w:val="000000"/>
          <w:sz w:val="32"/>
          <w:szCs w:val="32"/>
        </w:rPr>
        <w:t>86.25%</w:t>
      </w:r>
      <w:r>
        <w:rPr>
          <w:rFonts w:ascii="Times New Roman" w:hAnsi="仿宋_GB2312" w:eastAsia="仿宋_GB2312"/>
          <w:color w:val="000000"/>
          <w:sz w:val="32"/>
          <w:szCs w:val="32"/>
        </w:rPr>
        <w:t>。</w:t>
      </w:r>
    </w:p>
    <w:p w14:paraId="216A406C">
      <w:pPr>
        <w:pStyle w:val="46"/>
        <w:spacing w:line="560" w:lineRule="exact"/>
        <w:ind w:firstLine="643"/>
        <w:rPr>
          <w:rFonts w:ascii="Times New Roman" w:hAnsi="Times New Roman" w:eastAsia="楷体"/>
          <w:b/>
          <w:color w:val="000000"/>
          <w:sz w:val="32"/>
          <w:szCs w:val="32"/>
        </w:rPr>
      </w:pPr>
      <w:r>
        <w:rPr>
          <w:rFonts w:ascii="Times New Roman" w:hAnsi="Times New Roman" w:eastAsia="楷体"/>
          <w:b/>
          <w:color w:val="000000"/>
          <w:sz w:val="32"/>
          <w:szCs w:val="32"/>
        </w:rPr>
        <w:t>（三）内控制度管理。</w:t>
      </w:r>
    </w:p>
    <w:p w14:paraId="0C7D6FB6">
      <w:pPr>
        <w:pStyle w:val="46"/>
        <w:spacing w:line="560" w:lineRule="exact"/>
        <w:ind w:firstLine="643"/>
        <w:rPr>
          <w:rFonts w:ascii="Times New Roman" w:hAnsi="Times New Roman" w:eastAsia="仿宋_GB2312"/>
          <w:color w:val="000000"/>
          <w:sz w:val="32"/>
          <w:szCs w:val="32"/>
        </w:rPr>
      </w:pPr>
      <w:r>
        <w:rPr>
          <w:rFonts w:ascii="Times New Roman" w:hAnsi="Times New Roman" w:eastAsia="仿宋_GB2312"/>
          <w:b/>
          <w:color w:val="000000"/>
          <w:sz w:val="32"/>
          <w:szCs w:val="32"/>
        </w:rPr>
        <w:t>（1）内部控制制度的设置及执行情况。</w:t>
      </w:r>
      <w:r>
        <w:rPr>
          <w:rFonts w:ascii="Times New Roman" w:hAnsi="Times New Roman" w:eastAsia="仿宋_GB2312"/>
          <w:color w:val="000000"/>
          <w:sz w:val="32"/>
          <w:szCs w:val="32"/>
        </w:rPr>
        <w:t>一是单位层面内控建设。成立单位内控领导小组及工作小组;明确内控建设牵头责任人及主体责任。二是业务层面内控建设。内控建设涵盖预算管理、收支管理、政府采购管理、国有资产管理、合同管理、建设项目管理等主要经济业务领域;按照分事行权、分岗设权、分级授权要求落实不相容岗位分离和定期轮岗等内部权力制衡基本举措;是否建立决策权、管理权、执行权和监督权“四权分立”机制;建立重大事项议事决策机制，建立健全集体研究、专家论证和技术咨询相结合的辅助决策机制。三是自我评价监督及信息化建设。建立经济活动风险定期评估和内部监督机制;执行内控报告制度，开展内控自我评价工作;通过信息化手段实现内部控制制度与信息化建设工作同步开展、相互促进。</w:t>
      </w:r>
    </w:p>
    <w:p w14:paraId="1A15A7D2">
      <w:pPr>
        <w:pStyle w:val="46"/>
        <w:spacing w:line="560" w:lineRule="exact"/>
        <w:ind w:firstLine="643"/>
        <w:rPr>
          <w:rFonts w:ascii="Times New Roman" w:hAnsi="Times New Roman" w:eastAsia="仿宋_GB2312"/>
          <w:color w:val="000000"/>
          <w:sz w:val="32"/>
          <w:szCs w:val="32"/>
        </w:rPr>
      </w:pPr>
      <w:r>
        <w:rPr>
          <w:rFonts w:ascii="Times New Roman" w:hAnsi="Times New Roman" w:eastAsia="仿宋_GB2312"/>
          <w:b/>
          <w:color w:val="000000"/>
          <w:sz w:val="32"/>
          <w:szCs w:val="32"/>
        </w:rPr>
        <w:t>（2）部门内部控制制度的执行。</w:t>
      </w:r>
      <w:r>
        <w:rPr>
          <w:rFonts w:ascii="Times New Roman" w:hAnsi="Times New Roman" w:eastAsia="仿宋_GB2312"/>
          <w:color w:val="000000"/>
          <w:sz w:val="32"/>
          <w:szCs w:val="32"/>
        </w:rPr>
        <w:t>我单位根据规定编制了内部控制手册，对资金的收入、支出，财务报销，采购等环节都具体的制作了想关流程和管理制度，会计、出纳业务做到不相容岗位分离，合理规避财务风险。</w:t>
      </w:r>
    </w:p>
    <w:p w14:paraId="59E620B7">
      <w:pPr>
        <w:pStyle w:val="46"/>
        <w:spacing w:line="560" w:lineRule="exact"/>
        <w:ind w:firstLine="643"/>
        <w:rPr>
          <w:rFonts w:ascii="Times New Roman" w:hAnsi="Times New Roman" w:eastAsia="楷体"/>
          <w:b/>
          <w:color w:val="000000"/>
          <w:sz w:val="32"/>
          <w:szCs w:val="32"/>
        </w:rPr>
      </w:pPr>
      <w:r>
        <w:rPr>
          <w:rFonts w:ascii="Times New Roman" w:hAnsi="Times New Roman" w:eastAsia="楷体"/>
          <w:b/>
          <w:color w:val="000000"/>
          <w:sz w:val="32"/>
          <w:szCs w:val="32"/>
        </w:rPr>
        <w:t>（四）信息公开。</w:t>
      </w:r>
    </w:p>
    <w:p w14:paraId="708359BE">
      <w:pPr>
        <w:pStyle w:val="46"/>
        <w:spacing w:line="560" w:lineRule="exact"/>
        <w:ind w:firstLine="643"/>
        <w:rPr>
          <w:rFonts w:ascii="Times New Roman" w:hAnsi="Times New Roman" w:eastAsia="仿宋_GB2312"/>
          <w:color w:val="000000"/>
          <w:sz w:val="32"/>
          <w:szCs w:val="32"/>
        </w:rPr>
      </w:pPr>
      <w:r>
        <w:rPr>
          <w:rFonts w:ascii="Times New Roman" w:hAnsi="Times New Roman" w:eastAsia="仿宋_GB2312"/>
          <w:b/>
          <w:color w:val="000000"/>
          <w:sz w:val="32"/>
          <w:szCs w:val="32"/>
        </w:rPr>
        <w:t>1.</w:t>
      </w:r>
      <w:r>
        <w:rPr>
          <w:rFonts w:ascii="Times New Roman" w:hAnsi="Times New Roman" w:eastAsia="仿宋_GB2312"/>
          <w:color w:val="000000"/>
          <w:sz w:val="32"/>
          <w:szCs w:val="32"/>
        </w:rPr>
        <w:t>及时公开预算相关内容。按照米易县财政局的要求,我局于2020年7月17日对2020年预算进行了公开，于2020年9月2日对2019年部门决算进行了公开，确保了在本级政府财政部门批复后20日内及时向社会公开。</w:t>
      </w:r>
    </w:p>
    <w:p w14:paraId="6A82ED74">
      <w:pPr>
        <w:pStyle w:val="46"/>
        <w:spacing w:line="560" w:lineRule="exact"/>
        <w:ind w:firstLine="643"/>
        <w:rPr>
          <w:rFonts w:ascii="Times New Roman" w:hAnsi="Times New Roman" w:eastAsia="仿宋_GB2312"/>
          <w:color w:val="000000"/>
          <w:sz w:val="32"/>
          <w:szCs w:val="32"/>
        </w:rPr>
      </w:pPr>
      <w:r>
        <w:rPr>
          <w:rFonts w:ascii="Times New Roman" w:hAnsi="Times New Roman" w:eastAsia="仿宋_GB2312"/>
          <w:b/>
          <w:color w:val="000000"/>
          <w:sz w:val="32"/>
          <w:szCs w:val="32"/>
        </w:rPr>
        <w:t>2.</w:t>
      </w:r>
      <w:r>
        <w:rPr>
          <w:rFonts w:ascii="Times New Roman" w:hAnsi="Times New Roman" w:eastAsia="仿宋_GB2312"/>
          <w:color w:val="000000"/>
          <w:sz w:val="32"/>
          <w:szCs w:val="32"/>
        </w:rPr>
        <w:t>规范公开形式。我局按照米易县财政局要求, 我局及时在米易县人民政府官方网站公开了2020年度的部门预算信息。</w:t>
      </w:r>
    </w:p>
    <w:p w14:paraId="2D4E225A">
      <w:pPr>
        <w:spacing w:line="560" w:lineRule="exact"/>
        <w:ind w:firstLine="640" w:firstLineChars="200"/>
        <w:rPr>
          <w:rFonts w:eastAsia="仿宋_GB2312"/>
          <w:color w:val="000000"/>
          <w:sz w:val="32"/>
          <w:szCs w:val="32"/>
        </w:rPr>
      </w:pPr>
      <w:r>
        <w:rPr>
          <w:rFonts w:eastAsia="仿宋_GB2312"/>
          <w:color w:val="000000"/>
          <w:sz w:val="32"/>
          <w:szCs w:val="32"/>
        </w:rPr>
        <w:t>3. 做到决算公开内容真实。在网上公开之前,我局严格按照《会计准则》等财务制度编制决算报表，并通过分管领导审核、主要领导审定等程序,确保公开内容真实无差错。</w:t>
      </w:r>
    </w:p>
    <w:p w14:paraId="7DEAF320">
      <w:pPr>
        <w:spacing w:line="560" w:lineRule="exact"/>
        <w:ind w:firstLine="643" w:firstLineChars="200"/>
        <w:rPr>
          <w:rFonts w:eastAsia="仿宋_GB2312"/>
          <w:color w:val="000000"/>
          <w:sz w:val="32"/>
          <w:szCs w:val="32"/>
        </w:rPr>
      </w:pPr>
      <w:r>
        <w:rPr>
          <w:rFonts w:eastAsia="楷体"/>
          <w:b/>
          <w:color w:val="000000"/>
          <w:sz w:val="32"/>
          <w:szCs w:val="32"/>
        </w:rPr>
        <w:t>（五）绩效监控。</w:t>
      </w:r>
    </w:p>
    <w:p w14:paraId="446155BA">
      <w:pPr>
        <w:pStyle w:val="25"/>
        <w:spacing w:line="560" w:lineRule="exact"/>
        <w:ind w:firstLine="640"/>
        <w:rPr>
          <w:rFonts w:eastAsia="仿宋_GB2312"/>
          <w:color w:val="000000"/>
          <w:sz w:val="32"/>
          <w:szCs w:val="32"/>
        </w:rPr>
      </w:pPr>
      <w:r>
        <w:rPr>
          <w:rFonts w:eastAsia="仿宋_GB2312"/>
          <w:color w:val="000000"/>
          <w:sz w:val="32"/>
          <w:szCs w:val="32"/>
        </w:rPr>
        <w:t>按照县财政局《关于开展 2020 年度事中绩效监控工作的通知》（米财预〔2020〕142号）文件的工作安排，县医保局组织下属单位及机关各相关股室，认真开展了2020 年度1-8月事中绩效监控管理和绩效运行监控相关工作。</w:t>
      </w:r>
    </w:p>
    <w:p w14:paraId="1D97AAFB">
      <w:pPr>
        <w:pStyle w:val="25"/>
        <w:spacing w:line="560" w:lineRule="exact"/>
        <w:ind w:firstLine="640"/>
        <w:rPr>
          <w:rFonts w:eastAsia="仿宋_GB2312"/>
          <w:color w:val="000000"/>
          <w:sz w:val="32"/>
          <w:szCs w:val="32"/>
        </w:rPr>
      </w:pPr>
      <w:r>
        <w:rPr>
          <w:rFonts w:eastAsia="仿宋_GB2312"/>
          <w:color w:val="000000"/>
          <w:sz w:val="32"/>
          <w:szCs w:val="32"/>
        </w:rPr>
        <w:t>（1）医保专项支出</w:t>
      </w:r>
      <w:r>
        <w:rPr>
          <w:rFonts w:hint="eastAsia" w:eastAsia="仿宋_GB2312"/>
          <w:color w:val="000000"/>
          <w:sz w:val="32"/>
          <w:szCs w:val="32"/>
        </w:rPr>
        <w:t>预算下达11.7万元，执行</w:t>
      </w:r>
      <w:r>
        <w:rPr>
          <w:rFonts w:eastAsia="仿宋_GB2312"/>
          <w:color w:val="000000"/>
          <w:sz w:val="32"/>
          <w:szCs w:val="32"/>
        </w:rPr>
        <w:t>5.02万元</w:t>
      </w:r>
      <w:r>
        <w:rPr>
          <w:rFonts w:hint="eastAsia" w:eastAsia="仿宋_GB2312"/>
          <w:color w:val="000000"/>
          <w:sz w:val="32"/>
          <w:szCs w:val="32"/>
        </w:rPr>
        <w:t>，</w:t>
      </w:r>
      <w:r>
        <w:rPr>
          <w:rFonts w:hint="eastAsia" w:hAnsi="仿宋_GB2312" w:eastAsia="仿宋_GB2312"/>
          <w:color w:val="000000"/>
          <w:sz w:val="32"/>
          <w:szCs w:val="32"/>
        </w:rPr>
        <w:t>预计</w:t>
      </w:r>
      <w:r>
        <w:rPr>
          <w:rFonts w:hint="eastAsia" w:ascii="仿宋_GB2312" w:hAnsi="仿宋_GB2312" w:eastAsia="仿宋_GB2312" w:cs="仿宋_GB2312"/>
          <w:bCs/>
          <w:color w:val="000000"/>
          <w:sz w:val="32"/>
          <w:szCs w:val="32"/>
        </w:rPr>
        <w:t>年底在完成年初项目任务情况下节约资金0.7万元。</w:t>
      </w:r>
    </w:p>
    <w:p w14:paraId="4F07F07F">
      <w:pPr>
        <w:pStyle w:val="25"/>
        <w:spacing w:line="560" w:lineRule="exact"/>
        <w:ind w:firstLine="640"/>
        <w:rPr>
          <w:rFonts w:eastAsia="仿宋_GB2312"/>
          <w:color w:val="000000"/>
          <w:sz w:val="32"/>
          <w:szCs w:val="32"/>
        </w:rPr>
      </w:pPr>
      <w:r>
        <w:rPr>
          <w:rFonts w:eastAsia="仿宋_GB2312"/>
          <w:color w:val="000000"/>
          <w:sz w:val="32"/>
          <w:szCs w:val="32"/>
        </w:rPr>
        <w:t>（2）“村医通”专项支出</w:t>
      </w:r>
      <w:r>
        <w:rPr>
          <w:rFonts w:hint="eastAsia" w:eastAsia="仿宋_GB2312"/>
          <w:color w:val="000000"/>
          <w:sz w:val="32"/>
          <w:szCs w:val="32"/>
        </w:rPr>
        <w:t>预算下达6.5万元，执行</w:t>
      </w:r>
      <w:r>
        <w:rPr>
          <w:rFonts w:eastAsia="仿宋_GB2312"/>
          <w:color w:val="000000"/>
          <w:sz w:val="32"/>
          <w:szCs w:val="32"/>
        </w:rPr>
        <w:t>0.75万元。</w:t>
      </w:r>
      <w:r>
        <w:rPr>
          <w:rFonts w:hAnsi="仿宋_GB2312" w:eastAsia="仿宋_GB2312"/>
          <w:color w:val="000000"/>
          <w:sz w:val="32"/>
          <w:szCs w:val="32"/>
        </w:rPr>
        <w:t>截至</w:t>
      </w:r>
      <w:r>
        <w:rPr>
          <w:rFonts w:hint="eastAsia" w:eastAsia="仿宋_GB2312"/>
          <w:color w:val="000000"/>
          <w:sz w:val="32"/>
          <w:szCs w:val="32"/>
        </w:rPr>
        <w:t>12</w:t>
      </w:r>
      <w:r>
        <w:rPr>
          <w:rFonts w:hAnsi="仿宋_GB2312" w:eastAsia="仿宋_GB2312"/>
          <w:color w:val="000000"/>
          <w:sz w:val="32"/>
          <w:szCs w:val="32"/>
        </w:rPr>
        <w:t>月，全县</w:t>
      </w:r>
      <w:r>
        <w:rPr>
          <w:rFonts w:eastAsia="仿宋_GB2312"/>
          <w:color w:val="000000"/>
          <w:sz w:val="32"/>
          <w:szCs w:val="32"/>
        </w:rPr>
        <w:t>2</w:t>
      </w:r>
      <w:r>
        <w:rPr>
          <w:rFonts w:hint="eastAsia" w:eastAsia="仿宋_GB2312"/>
          <w:color w:val="000000"/>
          <w:sz w:val="32"/>
          <w:szCs w:val="32"/>
        </w:rPr>
        <w:t>8</w:t>
      </w:r>
      <w:r>
        <w:rPr>
          <w:rFonts w:hAnsi="仿宋_GB2312" w:eastAsia="仿宋_GB2312"/>
          <w:color w:val="000000"/>
          <w:sz w:val="32"/>
          <w:szCs w:val="32"/>
        </w:rPr>
        <w:t>个贫困村的村卫生室已经实现了</w:t>
      </w:r>
      <w:r>
        <w:rPr>
          <w:rFonts w:eastAsia="仿宋_GB2312"/>
          <w:color w:val="000000"/>
          <w:sz w:val="32"/>
          <w:szCs w:val="32"/>
        </w:rPr>
        <w:t>“</w:t>
      </w:r>
      <w:r>
        <w:rPr>
          <w:rFonts w:hAnsi="仿宋_GB2312" w:eastAsia="仿宋_GB2312"/>
          <w:color w:val="000000"/>
          <w:sz w:val="32"/>
          <w:szCs w:val="32"/>
        </w:rPr>
        <w:t>村医通</w:t>
      </w:r>
      <w:r>
        <w:rPr>
          <w:rFonts w:eastAsia="仿宋_GB2312"/>
          <w:color w:val="000000"/>
          <w:sz w:val="32"/>
          <w:szCs w:val="32"/>
        </w:rPr>
        <w:t>”</w:t>
      </w:r>
      <w:r>
        <w:rPr>
          <w:rFonts w:hAnsi="仿宋_GB2312" w:eastAsia="仿宋_GB2312"/>
          <w:color w:val="000000"/>
          <w:sz w:val="32"/>
          <w:szCs w:val="32"/>
        </w:rPr>
        <w:t>医保系统的全覆盖</w:t>
      </w:r>
      <w:r>
        <w:rPr>
          <w:rFonts w:hint="eastAsia" w:hAnsi="仿宋_GB2312" w:eastAsia="仿宋_GB2312"/>
          <w:color w:val="000000"/>
          <w:sz w:val="32"/>
          <w:szCs w:val="32"/>
        </w:rPr>
        <w:t>。按照上级部门要求，对贫困村以外的村暂不开通，预计</w:t>
      </w:r>
      <w:r>
        <w:rPr>
          <w:rFonts w:hint="eastAsia" w:ascii="仿宋_GB2312" w:hAnsi="仿宋_GB2312" w:eastAsia="仿宋_GB2312" w:cs="仿宋_GB2312"/>
          <w:bCs/>
          <w:color w:val="000000"/>
          <w:sz w:val="32"/>
          <w:szCs w:val="32"/>
        </w:rPr>
        <w:t>年底在完成年初项目任务情况下节约资金5.27元。</w:t>
      </w:r>
    </w:p>
    <w:p w14:paraId="50B61928">
      <w:pPr>
        <w:pStyle w:val="25"/>
        <w:spacing w:line="560" w:lineRule="exact"/>
        <w:ind w:firstLine="640"/>
        <w:rPr>
          <w:rFonts w:eastAsia="仿宋_GB2312"/>
          <w:color w:val="000000"/>
          <w:sz w:val="32"/>
          <w:szCs w:val="32"/>
        </w:rPr>
      </w:pPr>
      <w:r>
        <w:rPr>
          <w:rFonts w:eastAsia="仿宋_GB2312"/>
          <w:color w:val="000000"/>
          <w:sz w:val="32"/>
          <w:szCs w:val="32"/>
        </w:rPr>
        <w:t>（3）离休干部、二等乙级伤残军人和伤残人民警察、建国初期参加革命工作人员医疗费用</w:t>
      </w:r>
      <w:r>
        <w:rPr>
          <w:rFonts w:hint="eastAsia" w:eastAsia="仿宋_GB2312"/>
          <w:color w:val="000000"/>
          <w:sz w:val="32"/>
          <w:szCs w:val="32"/>
        </w:rPr>
        <w:t>预算下达126.13万元，</w:t>
      </w:r>
      <w:r>
        <w:rPr>
          <w:rFonts w:eastAsia="仿宋_GB2312"/>
          <w:color w:val="000000"/>
          <w:sz w:val="32"/>
          <w:szCs w:val="32"/>
        </w:rPr>
        <w:t>支出36.3万元。</w:t>
      </w:r>
      <w:r>
        <w:rPr>
          <w:rFonts w:hint="eastAsia" w:ascii="仿宋_GB2312" w:hAnsi="仿宋_GB2312" w:eastAsia="仿宋_GB2312" w:cs="仿宋_GB2312"/>
          <w:bCs/>
          <w:color w:val="000000"/>
          <w:sz w:val="32"/>
          <w:szCs w:val="32"/>
        </w:rPr>
        <w:t>年底在规定时间内资金支付和项目完成率100%。</w:t>
      </w:r>
    </w:p>
    <w:p w14:paraId="05256956">
      <w:pPr>
        <w:pStyle w:val="25"/>
        <w:spacing w:line="560" w:lineRule="exact"/>
        <w:ind w:firstLine="640"/>
        <w:rPr>
          <w:rFonts w:eastAsia="仿宋_GB2312"/>
          <w:color w:val="000000"/>
          <w:sz w:val="32"/>
          <w:szCs w:val="32"/>
        </w:rPr>
      </w:pPr>
      <w:r>
        <w:rPr>
          <w:rFonts w:eastAsia="仿宋_GB2312"/>
          <w:color w:val="000000"/>
          <w:sz w:val="32"/>
          <w:szCs w:val="32"/>
        </w:rPr>
        <w:t>（4）办公室物业管理费</w:t>
      </w:r>
      <w:r>
        <w:rPr>
          <w:rFonts w:hint="eastAsia" w:eastAsia="仿宋_GB2312"/>
          <w:color w:val="000000"/>
          <w:sz w:val="32"/>
          <w:szCs w:val="32"/>
        </w:rPr>
        <w:t>预算下达6.5万元，执行</w:t>
      </w:r>
      <w:r>
        <w:rPr>
          <w:rFonts w:eastAsia="仿宋_GB2312"/>
          <w:color w:val="000000"/>
          <w:sz w:val="32"/>
          <w:szCs w:val="32"/>
        </w:rPr>
        <w:t>3.25</w:t>
      </w:r>
      <w:r>
        <w:rPr>
          <w:rFonts w:hint="eastAsia" w:eastAsia="仿宋_GB2312"/>
          <w:color w:val="000000"/>
          <w:sz w:val="32"/>
          <w:szCs w:val="32"/>
        </w:rPr>
        <w:t>万元，</w:t>
      </w:r>
      <w:r>
        <w:rPr>
          <w:rFonts w:hint="eastAsia" w:ascii="仿宋_GB2312" w:hAnsi="仿宋_GB2312" w:eastAsia="仿宋_GB2312" w:cs="仿宋_GB2312"/>
          <w:bCs/>
          <w:color w:val="000000"/>
          <w:sz w:val="32"/>
          <w:szCs w:val="32"/>
        </w:rPr>
        <w:t>年底在规定时间内资金支付和项目完成率100%。</w:t>
      </w:r>
    </w:p>
    <w:p w14:paraId="7813878A">
      <w:pPr>
        <w:pStyle w:val="25"/>
        <w:spacing w:line="560" w:lineRule="exact"/>
        <w:ind w:firstLine="640"/>
        <w:rPr>
          <w:rFonts w:eastAsia="仿宋_GB2312"/>
          <w:color w:val="000000"/>
          <w:sz w:val="32"/>
          <w:szCs w:val="32"/>
        </w:rPr>
      </w:pPr>
      <w:r>
        <w:rPr>
          <w:rFonts w:eastAsia="仿宋_GB2312"/>
          <w:color w:val="000000"/>
          <w:sz w:val="32"/>
          <w:szCs w:val="32"/>
        </w:rPr>
        <w:t>（</w:t>
      </w:r>
      <w:r>
        <w:rPr>
          <w:rFonts w:hint="eastAsia" w:eastAsia="仿宋_GB2312"/>
          <w:color w:val="000000"/>
          <w:sz w:val="32"/>
          <w:szCs w:val="32"/>
        </w:rPr>
        <w:t>5</w:t>
      </w:r>
      <w:r>
        <w:rPr>
          <w:rFonts w:eastAsia="仿宋_GB2312"/>
          <w:color w:val="000000"/>
          <w:sz w:val="32"/>
          <w:szCs w:val="32"/>
        </w:rPr>
        <w:t>）</w:t>
      </w:r>
      <w:r>
        <w:rPr>
          <w:rFonts w:hint="eastAsia" w:eastAsia="仿宋_GB2312"/>
          <w:color w:val="000000"/>
          <w:sz w:val="32"/>
          <w:szCs w:val="32"/>
        </w:rPr>
        <w:t>城乡医疗救助补助资金预算下达954.5万元，执行954.5</w:t>
      </w:r>
      <w:r>
        <w:rPr>
          <w:rFonts w:eastAsia="仿宋_GB2312"/>
          <w:color w:val="000000"/>
          <w:sz w:val="32"/>
          <w:szCs w:val="32"/>
        </w:rPr>
        <w:t>万元</w:t>
      </w:r>
      <w:r>
        <w:rPr>
          <w:rFonts w:hint="eastAsia" w:eastAsia="仿宋_GB2312"/>
          <w:color w:val="000000"/>
          <w:sz w:val="32"/>
          <w:szCs w:val="32"/>
        </w:rPr>
        <w:t>，</w:t>
      </w:r>
      <w:r>
        <w:rPr>
          <w:rFonts w:hint="eastAsia" w:hAnsi="仿宋_GB2312" w:eastAsia="仿宋_GB2312"/>
          <w:color w:val="000000"/>
          <w:sz w:val="32"/>
          <w:szCs w:val="32"/>
        </w:rPr>
        <w:t>预计</w:t>
      </w:r>
      <w:r>
        <w:rPr>
          <w:rFonts w:hint="eastAsia" w:ascii="仿宋_GB2312" w:hAnsi="仿宋_GB2312" w:eastAsia="仿宋_GB2312" w:cs="仿宋_GB2312"/>
          <w:bCs/>
          <w:color w:val="000000"/>
          <w:sz w:val="32"/>
          <w:szCs w:val="32"/>
        </w:rPr>
        <w:t>年底在完成年初项目任务情况下节约资金0.7万元。</w:t>
      </w:r>
    </w:p>
    <w:p w14:paraId="26AB65AF">
      <w:pPr>
        <w:pStyle w:val="25"/>
        <w:spacing w:line="560" w:lineRule="exact"/>
        <w:ind w:firstLine="643"/>
        <w:rPr>
          <w:rFonts w:eastAsia="楷体"/>
          <w:b/>
          <w:color w:val="000000"/>
          <w:sz w:val="32"/>
          <w:szCs w:val="32"/>
        </w:rPr>
      </w:pPr>
      <w:r>
        <w:rPr>
          <w:rFonts w:eastAsia="楷体"/>
          <w:b/>
          <w:color w:val="000000"/>
          <w:sz w:val="32"/>
          <w:szCs w:val="32"/>
        </w:rPr>
        <w:t>（</w:t>
      </w:r>
      <w:r>
        <w:rPr>
          <w:rFonts w:hint="eastAsia" w:eastAsia="楷体"/>
          <w:b/>
          <w:color w:val="000000"/>
          <w:sz w:val="32"/>
          <w:szCs w:val="32"/>
        </w:rPr>
        <w:t>六</w:t>
      </w:r>
      <w:r>
        <w:rPr>
          <w:rFonts w:eastAsia="楷体"/>
          <w:b/>
          <w:color w:val="000000"/>
          <w:sz w:val="32"/>
          <w:szCs w:val="32"/>
        </w:rPr>
        <w:t>）部门绩效情况。</w:t>
      </w:r>
    </w:p>
    <w:p w14:paraId="72AEB4D6">
      <w:pPr>
        <w:pStyle w:val="25"/>
        <w:spacing w:line="560" w:lineRule="exact"/>
        <w:ind w:firstLine="643"/>
        <w:rPr>
          <w:rStyle w:val="41"/>
          <w:rFonts w:hint="default"/>
        </w:rPr>
      </w:pPr>
      <w:r>
        <w:rPr>
          <w:rStyle w:val="44"/>
        </w:rPr>
        <w:t>1.</w:t>
      </w:r>
      <w:r>
        <w:rPr>
          <w:rStyle w:val="41"/>
          <w:rFonts w:hint="default"/>
          <w:b/>
        </w:rPr>
        <w:t>总体绩效</w:t>
      </w:r>
    </w:p>
    <w:p w14:paraId="1A76677E">
      <w:pPr>
        <w:spacing w:line="560" w:lineRule="exact"/>
        <w:ind w:firstLine="640" w:firstLineChars="200"/>
        <w:rPr>
          <w:rStyle w:val="41"/>
          <w:rFonts w:hint="default"/>
          <w:lang w:val="zh-CN"/>
        </w:rPr>
      </w:pPr>
      <w:r>
        <w:rPr>
          <w:rStyle w:val="41"/>
          <w:rFonts w:hint="default"/>
          <w:lang w:val="zh-CN"/>
        </w:rPr>
        <w:t>（1）运转保障</w:t>
      </w:r>
    </w:p>
    <w:p w14:paraId="0B74F266">
      <w:pPr>
        <w:spacing w:line="560" w:lineRule="exact"/>
        <w:ind w:firstLine="200"/>
        <w:rPr>
          <w:rFonts w:hAnsi="仿宋_GB2312" w:eastAsia="仿宋_GB2312"/>
          <w:color w:val="000000"/>
          <w:sz w:val="32"/>
          <w:szCs w:val="32"/>
        </w:rPr>
      </w:pPr>
      <w:r>
        <w:rPr>
          <w:rFonts w:hAnsi="仿宋_GB2312" w:eastAsia="仿宋_GB2312"/>
          <w:color w:val="000000"/>
          <w:sz w:val="32"/>
          <w:szCs w:val="32"/>
        </w:rPr>
        <w:t>严格履行法定职责，完成县委、县政府决策部署和本单位职责；全面完成</w:t>
      </w:r>
      <w:r>
        <w:rPr>
          <w:rFonts w:eastAsia="仿宋_GB2312"/>
          <w:color w:val="000000"/>
          <w:sz w:val="32"/>
          <w:szCs w:val="32"/>
        </w:rPr>
        <w:t>2020</w:t>
      </w:r>
      <w:r>
        <w:rPr>
          <w:rFonts w:hAnsi="仿宋_GB2312" w:eastAsia="仿宋_GB2312"/>
          <w:color w:val="000000"/>
          <w:sz w:val="32"/>
          <w:szCs w:val="32"/>
        </w:rPr>
        <w:t>年度城乡居民医疗保险参保工作</w:t>
      </w:r>
      <w:r>
        <w:rPr>
          <w:rFonts w:eastAsia="仿宋_GB2312"/>
          <w:color w:val="000000"/>
          <w:sz w:val="32"/>
          <w:szCs w:val="32"/>
        </w:rPr>
        <w:t xml:space="preserve"> ,</w:t>
      </w:r>
      <w:r>
        <w:rPr>
          <w:rFonts w:hAnsi="仿宋_GB2312" w:eastAsia="仿宋_GB2312"/>
          <w:color w:val="000000"/>
          <w:sz w:val="32"/>
          <w:szCs w:val="32"/>
        </w:rPr>
        <w:t>完成</w:t>
      </w:r>
      <w:r>
        <w:rPr>
          <w:rFonts w:eastAsia="方正仿宋_GBK"/>
          <w:color w:val="000000"/>
          <w:sz w:val="32"/>
          <w:szCs w:val="32"/>
        </w:rPr>
        <w:t>2.18万人</w:t>
      </w:r>
      <w:r>
        <w:rPr>
          <w:rFonts w:hAnsi="仿宋_GB2312" w:eastAsia="仿宋_GB2312"/>
          <w:color w:val="000000"/>
          <w:sz w:val="32"/>
          <w:szCs w:val="32"/>
        </w:rPr>
        <w:t>的城乡居民医疗保险的参保工作，征收医保基金</w:t>
      </w:r>
      <w:r>
        <w:rPr>
          <w:rStyle w:val="36"/>
          <w:rFonts w:hint="default" w:eastAsia="方正仿宋_GBK"/>
        </w:rPr>
        <w:t>10909.11</w:t>
      </w:r>
      <w:r>
        <w:rPr>
          <w:rFonts w:hAnsi="仿宋_GB2312" w:eastAsia="仿宋_GB2312"/>
          <w:color w:val="000000"/>
          <w:sz w:val="32"/>
          <w:szCs w:val="32"/>
        </w:rPr>
        <w:t>万元。</w:t>
      </w:r>
      <w:r>
        <w:rPr>
          <w:rFonts w:eastAsia="方正仿宋_GBK"/>
          <w:color w:val="000000"/>
          <w:sz w:val="32"/>
          <w:szCs w:val="32"/>
        </w:rPr>
        <w:t>落实参保扩面工作，2020年共有</w:t>
      </w:r>
      <w:r>
        <w:rPr>
          <w:rStyle w:val="36"/>
          <w:rFonts w:hint="default" w:eastAsia="方正仿宋_GBK"/>
        </w:rPr>
        <w:t>190015</w:t>
      </w:r>
      <w:r>
        <w:rPr>
          <w:rFonts w:eastAsia="方正仿宋_GBK"/>
          <w:color w:val="000000"/>
          <w:sz w:val="32"/>
          <w:szCs w:val="32"/>
        </w:rPr>
        <w:t>人参加城乡居民医疗保险，征收参保资金5044.36万元，参保率达98%。</w:t>
      </w:r>
      <w:r>
        <w:rPr>
          <w:rFonts w:eastAsia="仿宋_GB2312"/>
          <w:color w:val="000000"/>
          <w:sz w:val="32"/>
          <w:szCs w:val="32"/>
        </w:rPr>
        <w:t>离休干部、二等乙级伤残军人和伤残人民警察、建国初期参加革命工作人员医疗费用支出</w:t>
      </w:r>
      <w:r>
        <w:rPr>
          <w:rFonts w:hint="eastAsia" w:eastAsia="仿宋_GB2312"/>
          <w:color w:val="000000"/>
          <w:sz w:val="32"/>
          <w:szCs w:val="32"/>
        </w:rPr>
        <w:t>126.13</w:t>
      </w:r>
      <w:r>
        <w:rPr>
          <w:rFonts w:eastAsia="仿宋_GB2312"/>
          <w:color w:val="000000"/>
          <w:sz w:val="32"/>
          <w:szCs w:val="32"/>
        </w:rPr>
        <w:t>万元。</w:t>
      </w:r>
      <w:r>
        <w:rPr>
          <w:rFonts w:eastAsia="方正仿宋_GBK"/>
          <w:color w:val="000000"/>
          <w:sz w:val="32"/>
          <w:szCs w:val="32"/>
        </w:rPr>
        <w:t>全面落实“一单制结算、一窗口办理、一站式服务”的医保改革服务工作。审核</w:t>
      </w:r>
      <w:r>
        <w:rPr>
          <w:rFonts w:hint="eastAsia" w:eastAsia="方正仿宋_GBK"/>
          <w:color w:val="000000"/>
          <w:sz w:val="32"/>
          <w:szCs w:val="32"/>
        </w:rPr>
        <w:t>18.24</w:t>
      </w:r>
      <w:r>
        <w:rPr>
          <w:rFonts w:eastAsia="方正仿宋_GBK"/>
          <w:color w:val="000000"/>
          <w:sz w:val="32"/>
          <w:szCs w:val="32"/>
        </w:rPr>
        <w:t>万人次的城镇职工</w:t>
      </w:r>
      <w:r>
        <w:rPr>
          <w:rFonts w:hint="eastAsia" w:eastAsia="方正仿宋_GBK"/>
          <w:color w:val="000000"/>
          <w:sz w:val="32"/>
          <w:szCs w:val="32"/>
        </w:rPr>
        <w:t>住院</w:t>
      </w:r>
      <w:r>
        <w:rPr>
          <w:rFonts w:eastAsia="方正仿宋_GBK"/>
          <w:color w:val="000000"/>
          <w:sz w:val="32"/>
          <w:szCs w:val="32"/>
        </w:rPr>
        <w:t>费用，支付医保基金</w:t>
      </w:r>
      <w:r>
        <w:rPr>
          <w:rFonts w:hint="eastAsia" w:eastAsia="方正仿宋_GBK"/>
          <w:color w:val="000000"/>
          <w:sz w:val="32"/>
          <w:szCs w:val="32"/>
        </w:rPr>
        <w:t>3042</w:t>
      </w:r>
      <w:r>
        <w:rPr>
          <w:rFonts w:eastAsia="方正仿宋_GBK"/>
          <w:color w:val="000000"/>
          <w:sz w:val="32"/>
          <w:szCs w:val="32"/>
        </w:rPr>
        <w:t>万元，审核</w:t>
      </w:r>
      <w:r>
        <w:rPr>
          <w:rFonts w:hint="eastAsia" w:eastAsia="方正仿宋_GBK"/>
          <w:color w:val="000000"/>
          <w:sz w:val="32"/>
          <w:szCs w:val="32"/>
        </w:rPr>
        <w:t>4.29</w:t>
      </w:r>
      <w:r>
        <w:rPr>
          <w:rFonts w:eastAsia="方正仿宋_GBK"/>
          <w:color w:val="000000"/>
          <w:sz w:val="32"/>
          <w:szCs w:val="32"/>
        </w:rPr>
        <w:t>万人次的城乡居民</w:t>
      </w:r>
      <w:r>
        <w:rPr>
          <w:rFonts w:hint="eastAsia" w:eastAsia="方正仿宋_GBK"/>
          <w:color w:val="000000"/>
          <w:sz w:val="32"/>
          <w:szCs w:val="32"/>
        </w:rPr>
        <w:t>住院</w:t>
      </w:r>
      <w:r>
        <w:rPr>
          <w:rFonts w:eastAsia="方正仿宋_GBK"/>
          <w:color w:val="000000"/>
          <w:sz w:val="32"/>
          <w:szCs w:val="32"/>
        </w:rPr>
        <w:t>费用，支付医保基金</w:t>
      </w:r>
      <w:r>
        <w:rPr>
          <w:rFonts w:hint="eastAsia" w:eastAsia="方正仿宋_GBK"/>
          <w:color w:val="000000"/>
          <w:sz w:val="32"/>
          <w:szCs w:val="32"/>
        </w:rPr>
        <w:t>9652</w:t>
      </w:r>
      <w:r>
        <w:rPr>
          <w:rFonts w:eastAsia="方正仿宋_GBK"/>
          <w:color w:val="000000"/>
          <w:sz w:val="32"/>
          <w:szCs w:val="32"/>
        </w:rPr>
        <w:t>万元。</w:t>
      </w:r>
      <w:r>
        <w:rPr>
          <w:rFonts w:hAnsi="仿宋_GB2312" w:eastAsia="仿宋_GB2312"/>
          <w:color w:val="000000"/>
          <w:sz w:val="32"/>
          <w:szCs w:val="32"/>
        </w:rPr>
        <w:t>通过基本医保、大病（补充）保险、医保扶贫等各项政策落地落实和各项待遇的及时兑付，切实增强参保群众的获得感和幸福感。</w:t>
      </w:r>
    </w:p>
    <w:p w14:paraId="75092B54">
      <w:pPr>
        <w:spacing w:line="560" w:lineRule="exact"/>
        <w:ind w:firstLine="640" w:firstLineChars="200"/>
        <w:rPr>
          <w:rFonts w:hAnsi="仿宋_GB2312" w:eastAsia="仿宋_GB2312"/>
          <w:color w:val="000000"/>
          <w:sz w:val="32"/>
          <w:szCs w:val="32"/>
        </w:rPr>
      </w:pPr>
      <w:r>
        <w:rPr>
          <w:rFonts w:hAnsi="仿宋_GB2312" w:eastAsia="仿宋_GB2312"/>
          <w:color w:val="000000"/>
          <w:sz w:val="32"/>
          <w:szCs w:val="32"/>
          <w:lang w:val="zh-CN"/>
        </w:rPr>
        <w:t>（</w:t>
      </w:r>
      <w:r>
        <w:rPr>
          <w:rFonts w:eastAsia="仿宋_GB2312"/>
          <w:color w:val="000000"/>
          <w:sz w:val="32"/>
          <w:szCs w:val="32"/>
          <w:lang w:val="zh-CN"/>
        </w:rPr>
        <w:t>2</w:t>
      </w:r>
      <w:r>
        <w:rPr>
          <w:rFonts w:hAnsi="仿宋_GB2312" w:eastAsia="仿宋_GB2312"/>
          <w:color w:val="000000"/>
          <w:sz w:val="32"/>
          <w:szCs w:val="32"/>
          <w:lang w:val="zh-CN"/>
        </w:rPr>
        <w:t>）厉行节约。</w:t>
      </w:r>
      <w:r>
        <w:rPr>
          <w:rFonts w:hAnsi="仿宋_GB2312" w:eastAsia="仿宋_GB2312"/>
          <w:color w:val="000000"/>
          <w:sz w:val="32"/>
          <w:szCs w:val="32"/>
        </w:rPr>
        <w:t>我单位在保证单位正常工作需要和人员经费的前提下，严格控制</w:t>
      </w:r>
      <w:r>
        <w:rPr>
          <w:rFonts w:eastAsia="仿宋_GB2312"/>
          <w:color w:val="000000"/>
          <w:sz w:val="32"/>
          <w:szCs w:val="32"/>
        </w:rPr>
        <w:t>“</w:t>
      </w:r>
      <w:r>
        <w:rPr>
          <w:rFonts w:hAnsi="仿宋_GB2312" w:eastAsia="仿宋_GB2312"/>
          <w:color w:val="000000"/>
          <w:sz w:val="32"/>
          <w:szCs w:val="32"/>
        </w:rPr>
        <w:t>三公</w:t>
      </w:r>
      <w:r>
        <w:rPr>
          <w:rFonts w:eastAsia="仿宋_GB2312"/>
          <w:color w:val="000000"/>
          <w:sz w:val="32"/>
          <w:szCs w:val="32"/>
        </w:rPr>
        <w:t>”</w:t>
      </w:r>
      <w:r>
        <w:rPr>
          <w:rFonts w:hAnsi="仿宋_GB2312" w:eastAsia="仿宋_GB2312"/>
          <w:color w:val="000000"/>
          <w:sz w:val="32"/>
          <w:szCs w:val="32"/>
        </w:rPr>
        <w:t>经费和会议费支出。</w:t>
      </w:r>
      <w:r>
        <w:rPr>
          <w:rFonts w:eastAsia="仿宋_GB2312"/>
          <w:color w:val="000000"/>
          <w:sz w:val="32"/>
          <w:szCs w:val="32"/>
        </w:rPr>
        <w:t xml:space="preserve"> 2020</w:t>
      </w:r>
      <w:r>
        <w:rPr>
          <w:rFonts w:hAnsi="仿宋_GB2312" w:eastAsia="仿宋_GB2312"/>
          <w:color w:val="000000"/>
          <w:sz w:val="32"/>
          <w:szCs w:val="32"/>
        </w:rPr>
        <w:t>年度我单位无</w:t>
      </w:r>
      <w:r>
        <w:rPr>
          <w:rFonts w:hAnsi="仿宋_GB2312" w:eastAsia="仿宋_GB2312"/>
          <w:color w:val="000000"/>
          <w:sz w:val="32"/>
          <w:szCs w:val="32"/>
          <w:lang w:val="zh-CN"/>
        </w:rPr>
        <w:t>机关因公出国（境）费用、无会议费、无车辆购置及运行费用的发生。</w:t>
      </w:r>
      <w:r>
        <w:rPr>
          <w:rFonts w:eastAsia="仿宋_GB2312"/>
          <w:color w:val="000000"/>
          <w:sz w:val="32"/>
          <w:szCs w:val="32"/>
        </w:rPr>
        <w:t>2020</w:t>
      </w:r>
      <w:r>
        <w:rPr>
          <w:rFonts w:hAnsi="仿宋_GB2312" w:eastAsia="仿宋_GB2312"/>
          <w:color w:val="000000"/>
          <w:sz w:val="32"/>
          <w:szCs w:val="32"/>
        </w:rPr>
        <w:t>年在</w:t>
      </w:r>
      <w:r>
        <w:rPr>
          <w:rFonts w:eastAsia="仿宋_GB2312"/>
          <w:color w:val="000000"/>
          <w:sz w:val="32"/>
          <w:szCs w:val="32"/>
        </w:rPr>
        <w:t>“</w:t>
      </w:r>
      <w:r>
        <w:rPr>
          <w:rFonts w:hAnsi="仿宋_GB2312" w:eastAsia="仿宋_GB2312"/>
          <w:color w:val="000000"/>
          <w:sz w:val="32"/>
          <w:szCs w:val="32"/>
        </w:rPr>
        <w:t>三公</w:t>
      </w:r>
      <w:r>
        <w:rPr>
          <w:rFonts w:eastAsia="仿宋_GB2312"/>
          <w:color w:val="000000"/>
          <w:sz w:val="32"/>
          <w:szCs w:val="32"/>
        </w:rPr>
        <w:t>”</w:t>
      </w:r>
      <w:r>
        <w:rPr>
          <w:rFonts w:hAnsi="仿宋_GB2312" w:eastAsia="仿宋_GB2312"/>
          <w:color w:val="000000"/>
          <w:sz w:val="32"/>
          <w:szCs w:val="32"/>
        </w:rPr>
        <w:t>经费支出</w:t>
      </w:r>
      <w:r>
        <w:rPr>
          <w:rFonts w:hint="eastAsia" w:eastAsia="仿宋_GB2312"/>
          <w:color w:val="000000"/>
          <w:sz w:val="32"/>
          <w:szCs w:val="32"/>
        </w:rPr>
        <w:t>0.61万</w:t>
      </w:r>
      <w:r>
        <w:rPr>
          <w:rFonts w:hAnsi="仿宋_GB2312" w:eastAsia="仿宋_GB2312"/>
          <w:color w:val="000000"/>
          <w:sz w:val="32"/>
          <w:szCs w:val="32"/>
        </w:rPr>
        <w:t>元，其中</w:t>
      </w:r>
      <w:r>
        <w:rPr>
          <w:rFonts w:eastAsia="仿宋_GB2312"/>
          <w:color w:val="000000"/>
          <w:sz w:val="32"/>
          <w:szCs w:val="32"/>
        </w:rPr>
        <w:t xml:space="preserve"> </w:t>
      </w:r>
      <w:r>
        <w:rPr>
          <w:rFonts w:hAnsi="仿宋_GB2312" w:eastAsia="仿宋_GB2312"/>
          <w:color w:val="000000"/>
          <w:sz w:val="32"/>
          <w:szCs w:val="32"/>
        </w:rPr>
        <w:t>：公务接待费</w:t>
      </w:r>
      <w:r>
        <w:rPr>
          <w:rFonts w:hint="eastAsia" w:eastAsia="仿宋_GB2312"/>
          <w:color w:val="000000"/>
          <w:sz w:val="32"/>
          <w:szCs w:val="32"/>
        </w:rPr>
        <w:t>0.61万</w:t>
      </w:r>
      <w:r>
        <w:rPr>
          <w:rFonts w:hAnsi="仿宋_GB2312" w:eastAsia="仿宋_GB2312"/>
          <w:color w:val="000000"/>
          <w:sz w:val="32"/>
          <w:szCs w:val="32"/>
        </w:rPr>
        <w:t>元，国内公务接待批次</w:t>
      </w:r>
      <w:r>
        <w:rPr>
          <w:rFonts w:eastAsia="仿宋_GB2312"/>
          <w:color w:val="000000"/>
          <w:sz w:val="32"/>
          <w:szCs w:val="32"/>
        </w:rPr>
        <w:t>8</w:t>
      </w:r>
      <w:r>
        <w:rPr>
          <w:rFonts w:hAnsi="仿宋_GB2312" w:eastAsia="仿宋_GB2312"/>
          <w:color w:val="000000"/>
          <w:sz w:val="32"/>
          <w:szCs w:val="32"/>
        </w:rPr>
        <w:t>批次，接待</w:t>
      </w:r>
      <w:r>
        <w:rPr>
          <w:rFonts w:eastAsia="仿宋_GB2312"/>
          <w:color w:val="000000"/>
          <w:sz w:val="32"/>
          <w:szCs w:val="32"/>
        </w:rPr>
        <w:t>109</w:t>
      </w:r>
      <w:r>
        <w:rPr>
          <w:rFonts w:hAnsi="仿宋_GB2312" w:eastAsia="仿宋_GB2312"/>
          <w:color w:val="000000"/>
          <w:sz w:val="32"/>
          <w:szCs w:val="32"/>
        </w:rPr>
        <w:t>人次。</w:t>
      </w:r>
    </w:p>
    <w:p w14:paraId="1D0CB3A1">
      <w:pPr>
        <w:spacing w:line="560" w:lineRule="exact"/>
        <w:ind w:firstLine="640" w:firstLineChars="200"/>
        <w:rPr>
          <w:rStyle w:val="44"/>
        </w:rPr>
      </w:pPr>
      <w:r>
        <w:rPr>
          <w:rFonts w:hAnsi="仿宋_GB2312" w:eastAsia="仿宋_GB2312"/>
          <w:color w:val="000000"/>
          <w:sz w:val="32"/>
          <w:szCs w:val="32"/>
          <w:lang w:val="zh-CN"/>
        </w:rPr>
        <w:t>（</w:t>
      </w:r>
      <w:r>
        <w:rPr>
          <w:rFonts w:eastAsia="仿宋_GB2312"/>
          <w:color w:val="000000"/>
          <w:sz w:val="32"/>
          <w:szCs w:val="32"/>
          <w:lang w:val="zh-CN"/>
        </w:rPr>
        <w:t>3</w:t>
      </w:r>
      <w:r>
        <w:rPr>
          <w:rFonts w:hAnsi="仿宋_GB2312" w:eastAsia="仿宋_GB2312"/>
          <w:color w:val="000000"/>
          <w:sz w:val="32"/>
          <w:szCs w:val="32"/>
          <w:lang w:val="zh-CN"/>
        </w:rPr>
        <w:t>）机关节能降耗</w:t>
      </w:r>
      <w:r>
        <w:rPr>
          <w:rFonts w:hAnsi="仿宋_GB2312" w:eastAsia="仿宋_GB2312"/>
          <w:color w:val="000000"/>
          <w:sz w:val="32"/>
          <w:szCs w:val="32"/>
        </w:rPr>
        <w:t>我单位</w:t>
      </w:r>
      <w:r>
        <w:rPr>
          <w:rFonts w:hAnsi="仿宋_GB2312" w:eastAsia="仿宋_GB2312"/>
          <w:color w:val="000000"/>
          <w:sz w:val="32"/>
          <w:szCs w:val="32"/>
          <w:lang w:val="zh-CN"/>
        </w:rPr>
        <w:t>整体入驻县政府政务服务中心</w:t>
      </w:r>
      <w:r>
        <w:rPr>
          <w:rFonts w:hAnsi="仿宋_GB2312" w:eastAsia="仿宋_GB2312"/>
          <w:color w:val="000000"/>
          <w:sz w:val="32"/>
          <w:szCs w:val="32"/>
        </w:rPr>
        <w:t>，</w:t>
      </w:r>
      <w:r>
        <w:rPr>
          <w:rFonts w:eastAsia="仿宋_GB2312"/>
          <w:color w:val="000000"/>
          <w:sz w:val="32"/>
          <w:szCs w:val="32"/>
        </w:rPr>
        <w:t>2020</w:t>
      </w:r>
      <w:r>
        <w:rPr>
          <w:rFonts w:hAnsi="仿宋_GB2312" w:eastAsia="仿宋_GB2312"/>
          <w:color w:val="000000"/>
          <w:sz w:val="32"/>
          <w:szCs w:val="32"/>
        </w:rPr>
        <w:t>年水、电等费用由县机关事务服务中心统一支付。我局未配备公务用车，</w:t>
      </w:r>
      <w:r>
        <w:rPr>
          <w:rFonts w:eastAsia="仿宋_GB2312"/>
          <w:color w:val="000000"/>
          <w:sz w:val="32"/>
          <w:szCs w:val="32"/>
        </w:rPr>
        <w:t>2020</w:t>
      </w:r>
      <w:r>
        <w:rPr>
          <w:rFonts w:hAnsi="仿宋_GB2312" w:eastAsia="仿宋_GB2312"/>
          <w:color w:val="000000"/>
          <w:sz w:val="32"/>
          <w:szCs w:val="32"/>
        </w:rPr>
        <w:t>年无燃油费。</w:t>
      </w:r>
    </w:p>
    <w:p w14:paraId="59F2419A">
      <w:pPr>
        <w:spacing w:line="560" w:lineRule="exact"/>
        <w:ind w:firstLine="835" w:firstLineChars="260"/>
        <w:rPr>
          <w:rStyle w:val="41"/>
          <w:rFonts w:hint="default"/>
        </w:rPr>
      </w:pPr>
      <w:r>
        <w:rPr>
          <w:rStyle w:val="44"/>
        </w:rPr>
        <w:t>2.</w:t>
      </w:r>
      <w:r>
        <w:rPr>
          <w:rStyle w:val="41"/>
          <w:rFonts w:hint="default"/>
          <w:b/>
        </w:rPr>
        <w:t>主要目标绩效完成情况</w:t>
      </w:r>
    </w:p>
    <w:p w14:paraId="4306DB03">
      <w:pPr>
        <w:pStyle w:val="46"/>
        <w:spacing w:line="560" w:lineRule="exact"/>
        <w:ind w:firstLine="643"/>
        <w:rPr>
          <w:rFonts w:ascii="Times New Roman" w:hAnsi="Times New Roman" w:eastAsia="仿宋_GB2312"/>
          <w:b/>
          <w:color w:val="000000"/>
          <w:sz w:val="32"/>
          <w:szCs w:val="32"/>
        </w:rPr>
      </w:pPr>
      <w:r>
        <w:rPr>
          <w:rFonts w:ascii="Times New Roman" w:hAnsi="仿宋_GB2312" w:eastAsia="仿宋_GB2312"/>
          <w:b/>
          <w:color w:val="000000"/>
          <w:sz w:val="32"/>
          <w:szCs w:val="32"/>
        </w:rPr>
        <w:t>（</w:t>
      </w:r>
      <w:r>
        <w:rPr>
          <w:rFonts w:ascii="Times New Roman" w:hAnsi="Times New Roman" w:eastAsia="仿宋_GB2312"/>
          <w:b/>
          <w:color w:val="000000"/>
          <w:sz w:val="32"/>
          <w:szCs w:val="32"/>
        </w:rPr>
        <w:t>1</w:t>
      </w:r>
      <w:r>
        <w:rPr>
          <w:rFonts w:ascii="Times New Roman" w:hAnsi="仿宋_GB2312" w:eastAsia="仿宋_GB2312"/>
          <w:b/>
          <w:color w:val="000000"/>
          <w:sz w:val="32"/>
          <w:szCs w:val="32"/>
        </w:rPr>
        <w:t>）确保资助建档立卡贫困人口</w:t>
      </w:r>
      <w:r>
        <w:rPr>
          <w:rFonts w:ascii="Times New Roman" w:hAnsi="Times New Roman" w:eastAsia="仿宋_GB2312"/>
          <w:b/>
          <w:color w:val="000000"/>
          <w:sz w:val="32"/>
          <w:szCs w:val="32"/>
        </w:rPr>
        <w:t>100%</w:t>
      </w:r>
      <w:r>
        <w:rPr>
          <w:rFonts w:ascii="Times New Roman" w:hAnsi="仿宋_GB2312" w:eastAsia="仿宋_GB2312"/>
          <w:b/>
          <w:color w:val="000000"/>
          <w:sz w:val="32"/>
          <w:szCs w:val="32"/>
        </w:rPr>
        <w:t>参加城乡居民基本医疗保险。</w:t>
      </w:r>
    </w:p>
    <w:p w14:paraId="0CCA69D6">
      <w:pPr>
        <w:pStyle w:val="46"/>
        <w:spacing w:line="560" w:lineRule="exact"/>
        <w:ind w:firstLine="640"/>
        <w:rPr>
          <w:rFonts w:ascii="Times New Roman" w:hAnsi="Times New Roman" w:eastAsia="仿宋_GB2312"/>
          <w:color w:val="000000"/>
          <w:sz w:val="32"/>
          <w:szCs w:val="32"/>
        </w:rPr>
      </w:pPr>
      <w:r>
        <w:rPr>
          <w:rFonts w:ascii="Times New Roman" w:hAnsi="仿宋_GB2312" w:eastAsia="仿宋_GB2312"/>
          <w:color w:val="000000"/>
          <w:sz w:val="32"/>
          <w:szCs w:val="32"/>
        </w:rPr>
        <w:t>一是</w:t>
      </w:r>
      <w:r>
        <w:rPr>
          <w:rFonts w:ascii="Times New Roman" w:hAnsi="Times New Roman" w:eastAsia="仿宋_GB2312"/>
          <w:color w:val="000000"/>
          <w:sz w:val="32"/>
          <w:szCs w:val="32"/>
        </w:rPr>
        <w:t>2020</w:t>
      </w:r>
      <w:r>
        <w:rPr>
          <w:rFonts w:ascii="Times New Roman" w:hAnsi="仿宋_GB2312" w:eastAsia="仿宋_GB2312"/>
          <w:color w:val="000000"/>
          <w:sz w:val="32"/>
          <w:szCs w:val="32"/>
        </w:rPr>
        <w:t>年全面完成建档立卡贫困人口</w:t>
      </w:r>
      <w:r>
        <w:rPr>
          <w:rFonts w:ascii="Times New Roman" w:hAnsi="Times New Roman" w:eastAsia="仿宋_GB2312"/>
          <w:color w:val="000000"/>
          <w:sz w:val="32"/>
          <w:szCs w:val="32"/>
        </w:rPr>
        <w:t>18774</w:t>
      </w:r>
      <w:r>
        <w:rPr>
          <w:rFonts w:ascii="Times New Roman" w:hAnsi="仿宋_GB2312" w:eastAsia="仿宋_GB2312"/>
          <w:color w:val="000000"/>
          <w:sz w:val="32"/>
          <w:szCs w:val="32"/>
        </w:rPr>
        <w:t>人（含凉山自发搬迁贫困户</w:t>
      </w:r>
      <w:r>
        <w:rPr>
          <w:rFonts w:ascii="Times New Roman" w:hAnsi="Times New Roman" w:eastAsia="仿宋_GB2312"/>
          <w:color w:val="000000"/>
          <w:sz w:val="32"/>
          <w:szCs w:val="32"/>
        </w:rPr>
        <w:t>589</w:t>
      </w:r>
      <w:r>
        <w:rPr>
          <w:rFonts w:ascii="Times New Roman" w:hAnsi="仿宋_GB2312" w:eastAsia="仿宋_GB2312"/>
          <w:color w:val="000000"/>
          <w:sz w:val="32"/>
          <w:szCs w:val="32"/>
        </w:rPr>
        <w:t>户</w:t>
      </w:r>
      <w:r>
        <w:rPr>
          <w:rFonts w:ascii="Times New Roman" w:hAnsi="Times New Roman" w:eastAsia="仿宋_GB2312"/>
          <w:color w:val="000000"/>
          <w:sz w:val="32"/>
          <w:szCs w:val="32"/>
        </w:rPr>
        <w:t>2921</w:t>
      </w:r>
      <w:r>
        <w:rPr>
          <w:rFonts w:ascii="Times New Roman" w:hAnsi="仿宋_GB2312" w:eastAsia="仿宋_GB2312"/>
          <w:color w:val="000000"/>
          <w:sz w:val="32"/>
          <w:szCs w:val="32"/>
        </w:rPr>
        <w:t>人）和非建档立卡特殊困难户全额资助参保工作，参保率</w:t>
      </w:r>
      <w:r>
        <w:rPr>
          <w:rFonts w:ascii="Times New Roman" w:hAnsi="Times New Roman" w:eastAsia="仿宋_GB2312"/>
          <w:color w:val="000000"/>
          <w:sz w:val="32"/>
          <w:szCs w:val="32"/>
        </w:rPr>
        <w:t>100%</w:t>
      </w:r>
      <w:r>
        <w:rPr>
          <w:rFonts w:ascii="Times New Roman" w:hAnsi="仿宋_GB2312" w:eastAsia="仿宋_GB2312"/>
          <w:color w:val="000000"/>
          <w:sz w:val="32"/>
          <w:szCs w:val="32"/>
        </w:rPr>
        <w:t>。二是做好动态新增贫困人口资助缴费工作，县医疗保障局和县扶贫开发局建立数据共享和比对机制，做到</w:t>
      </w:r>
      <w:r>
        <w:rPr>
          <w:rFonts w:ascii="Times New Roman" w:hAnsi="Times New Roman" w:eastAsia="仿宋_GB2312"/>
          <w:color w:val="000000"/>
          <w:sz w:val="32"/>
          <w:szCs w:val="32"/>
        </w:rPr>
        <w:t>“</w:t>
      </w:r>
      <w:r>
        <w:rPr>
          <w:rFonts w:ascii="Times New Roman" w:hAnsi="仿宋_GB2312" w:eastAsia="仿宋_GB2312"/>
          <w:color w:val="000000"/>
          <w:sz w:val="32"/>
          <w:szCs w:val="32"/>
        </w:rPr>
        <w:t>日交换、周汇总</w:t>
      </w:r>
      <w:r>
        <w:rPr>
          <w:rFonts w:ascii="Times New Roman" w:hAnsi="Times New Roman" w:eastAsia="仿宋_GB2312"/>
          <w:color w:val="000000"/>
          <w:sz w:val="32"/>
          <w:szCs w:val="32"/>
        </w:rPr>
        <w:t>”</w:t>
      </w:r>
      <w:r>
        <w:rPr>
          <w:rFonts w:ascii="Times New Roman" w:hAnsi="仿宋_GB2312" w:eastAsia="仿宋_GB2312"/>
          <w:color w:val="000000"/>
          <w:sz w:val="32"/>
          <w:szCs w:val="32"/>
        </w:rPr>
        <w:t>。三是联合县卫健局制定《米易县非建档立卡特殊困难户医疗保障工作措</w:t>
      </w:r>
      <w:r>
        <w:rPr>
          <w:rFonts w:ascii="Times New Roman" w:hAnsi="仿宋_GB2312" w:eastAsia="仿宋_GB2312"/>
          <w:color w:val="000000"/>
          <w:spacing w:val="-20"/>
          <w:sz w:val="32"/>
          <w:szCs w:val="32"/>
        </w:rPr>
        <w:t>施》，将非建档立卡特殊困难户纳入资助参保和医疗救助范围。</w:t>
      </w:r>
    </w:p>
    <w:p w14:paraId="6924A9DE">
      <w:pPr>
        <w:pStyle w:val="46"/>
        <w:spacing w:line="560" w:lineRule="exact"/>
        <w:ind w:firstLine="643"/>
        <w:rPr>
          <w:rFonts w:ascii="Times New Roman" w:hAnsi="Times New Roman" w:eastAsia="仿宋_GB2312"/>
          <w:b/>
          <w:color w:val="000000"/>
          <w:sz w:val="32"/>
          <w:szCs w:val="32"/>
        </w:rPr>
      </w:pPr>
      <w:r>
        <w:rPr>
          <w:rFonts w:ascii="Times New Roman" w:hAnsi="仿宋_GB2312" w:eastAsia="仿宋_GB2312"/>
          <w:b/>
          <w:color w:val="000000"/>
          <w:sz w:val="32"/>
          <w:szCs w:val="32"/>
        </w:rPr>
        <w:t>（</w:t>
      </w:r>
      <w:r>
        <w:rPr>
          <w:rFonts w:ascii="Times New Roman" w:hAnsi="Times New Roman" w:eastAsia="仿宋_GB2312"/>
          <w:b/>
          <w:color w:val="000000"/>
          <w:sz w:val="32"/>
          <w:szCs w:val="32"/>
        </w:rPr>
        <w:t>2</w:t>
      </w:r>
      <w:r>
        <w:rPr>
          <w:rFonts w:ascii="Times New Roman" w:hAnsi="仿宋_GB2312" w:eastAsia="仿宋_GB2312"/>
          <w:b/>
          <w:color w:val="000000"/>
          <w:sz w:val="32"/>
          <w:szCs w:val="32"/>
        </w:rPr>
        <w:t>）确保贫困人口享受医保待遇</w:t>
      </w:r>
    </w:p>
    <w:p w14:paraId="1E36621A">
      <w:pPr>
        <w:pStyle w:val="46"/>
        <w:spacing w:line="560" w:lineRule="exact"/>
        <w:ind w:firstLine="640"/>
        <w:rPr>
          <w:rFonts w:ascii="Times New Roman" w:hAnsi="Times New Roman" w:eastAsia="仿宋_GB2312"/>
          <w:color w:val="000000"/>
          <w:sz w:val="32"/>
          <w:szCs w:val="32"/>
        </w:rPr>
      </w:pPr>
      <w:r>
        <w:rPr>
          <w:rFonts w:ascii="Times New Roman" w:hAnsi="仿宋_GB2312" w:eastAsia="仿宋_GB2312"/>
          <w:color w:val="000000"/>
          <w:sz w:val="32"/>
          <w:szCs w:val="32"/>
        </w:rPr>
        <w:t>全县定点医疗机构均实行了基本医疗、大病保险、补充保险及基本医疗倾斜支付、医疗救助的</w:t>
      </w:r>
      <w:r>
        <w:rPr>
          <w:rFonts w:ascii="Times New Roman" w:hAnsi="Times New Roman" w:eastAsia="仿宋_GB2312"/>
          <w:color w:val="000000"/>
          <w:sz w:val="32"/>
          <w:szCs w:val="32"/>
        </w:rPr>
        <w:t>“</w:t>
      </w:r>
      <w:r>
        <w:rPr>
          <w:rFonts w:ascii="Times New Roman" w:hAnsi="仿宋_GB2312" w:eastAsia="仿宋_GB2312"/>
          <w:color w:val="000000"/>
          <w:sz w:val="32"/>
          <w:szCs w:val="32"/>
        </w:rPr>
        <w:t>一单制结算</w:t>
      </w:r>
      <w:r>
        <w:rPr>
          <w:rFonts w:ascii="Times New Roman" w:hAnsi="Times New Roman" w:eastAsia="仿宋_GB2312"/>
          <w:color w:val="000000"/>
          <w:sz w:val="32"/>
          <w:szCs w:val="32"/>
        </w:rPr>
        <w:t>”</w:t>
      </w:r>
      <w:r>
        <w:rPr>
          <w:rFonts w:ascii="Times New Roman" w:hAnsi="仿宋_GB2312" w:eastAsia="仿宋_GB2312"/>
          <w:color w:val="000000"/>
          <w:sz w:val="32"/>
          <w:szCs w:val="32"/>
        </w:rPr>
        <w:t>，并实现与卫生扶贫救助基金</w:t>
      </w:r>
      <w:r>
        <w:rPr>
          <w:rFonts w:ascii="Times New Roman" w:hAnsi="Times New Roman" w:eastAsia="仿宋_GB2312"/>
          <w:color w:val="000000"/>
          <w:sz w:val="32"/>
          <w:szCs w:val="32"/>
        </w:rPr>
        <w:t>“</w:t>
      </w:r>
      <w:r>
        <w:rPr>
          <w:rFonts w:ascii="Times New Roman" w:hAnsi="仿宋_GB2312" w:eastAsia="仿宋_GB2312"/>
          <w:color w:val="000000"/>
          <w:sz w:val="32"/>
          <w:szCs w:val="32"/>
        </w:rPr>
        <w:t>一站式服务、一窗口办理</w:t>
      </w:r>
      <w:r>
        <w:rPr>
          <w:rFonts w:ascii="Times New Roman" w:hAnsi="Times New Roman" w:eastAsia="仿宋_GB2312"/>
          <w:color w:val="000000"/>
          <w:sz w:val="32"/>
          <w:szCs w:val="32"/>
        </w:rPr>
        <w:t>”</w:t>
      </w:r>
      <w:r>
        <w:rPr>
          <w:rFonts w:ascii="Times New Roman" w:hAnsi="仿宋_GB2312" w:eastAsia="仿宋_GB2312"/>
          <w:color w:val="000000"/>
          <w:sz w:val="32"/>
          <w:szCs w:val="32"/>
        </w:rPr>
        <w:t>，最大限度减轻困难群众垫付医疗费负担。</w:t>
      </w:r>
    </w:p>
    <w:p w14:paraId="65E43920">
      <w:pPr>
        <w:pStyle w:val="46"/>
        <w:spacing w:line="560" w:lineRule="exact"/>
        <w:ind w:firstLine="643"/>
        <w:rPr>
          <w:rFonts w:ascii="Times New Roman" w:hAnsi="Times New Roman" w:eastAsia="仿宋_GB2312"/>
          <w:b/>
          <w:color w:val="000000"/>
          <w:sz w:val="32"/>
          <w:szCs w:val="32"/>
        </w:rPr>
      </w:pPr>
      <w:r>
        <w:rPr>
          <w:rFonts w:ascii="Times New Roman" w:hAnsi="仿宋_GB2312" w:eastAsia="仿宋_GB2312"/>
          <w:b/>
          <w:color w:val="000000"/>
          <w:sz w:val="32"/>
          <w:szCs w:val="32"/>
        </w:rPr>
        <w:t>（</w:t>
      </w:r>
      <w:r>
        <w:rPr>
          <w:rFonts w:ascii="Times New Roman" w:hAnsi="Times New Roman" w:eastAsia="仿宋_GB2312"/>
          <w:b/>
          <w:color w:val="000000"/>
          <w:sz w:val="32"/>
          <w:szCs w:val="32"/>
        </w:rPr>
        <w:t>3</w:t>
      </w:r>
      <w:r>
        <w:rPr>
          <w:rFonts w:ascii="Times New Roman" w:hAnsi="仿宋_GB2312" w:eastAsia="仿宋_GB2312"/>
          <w:b/>
          <w:color w:val="000000"/>
          <w:sz w:val="32"/>
          <w:szCs w:val="32"/>
        </w:rPr>
        <w:t>）坚决落实医疗保障脱贫攻坚领域问题整改工作，确保整改措施有力有效、问题清零销号。</w:t>
      </w:r>
    </w:p>
    <w:p w14:paraId="014068F8">
      <w:pPr>
        <w:pStyle w:val="46"/>
        <w:spacing w:line="560" w:lineRule="exact"/>
        <w:ind w:firstLine="640"/>
        <w:rPr>
          <w:rFonts w:ascii="Times New Roman" w:hAnsi="Times New Roman" w:eastAsia="仿宋_GB2312"/>
          <w:color w:val="000000"/>
          <w:sz w:val="32"/>
          <w:szCs w:val="32"/>
        </w:rPr>
      </w:pPr>
      <w:r>
        <w:rPr>
          <w:rFonts w:ascii="Times New Roman" w:hAnsi="仿宋_GB2312" w:eastAsia="仿宋_GB2312"/>
          <w:color w:val="000000"/>
          <w:sz w:val="32"/>
          <w:szCs w:val="32"/>
        </w:rPr>
        <w:t>完成</w:t>
      </w:r>
      <w:r>
        <w:rPr>
          <w:rFonts w:ascii="Times New Roman" w:hAnsi="Times New Roman" w:eastAsia="仿宋_GB2312"/>
          <w:color w:val="000000"/>
          <w:sz w:val="32"/>
          <w:szCs w:val="32"/>
        </w:rPr>
        <w:t>2019</w:t>
      </w:r>
      <w:r>
        <w:rPr>
          <w:rFonts w:ascii="Times New Roman" w:hAnsi="仿宋_GB2312" w:eastAsia="仿宋_GB2312"/>
          <w:color w:val="000000"/>
          <w:sz w:val="32"/>
          <w:szCs w:val="32"/>
        </w:rPr>
        <w:t>年国家脱贫攻坚成效考核问题整改工作。通过开通</w:t>
      </w:r>
      <w:r>
        <w:rPr>
          <w:rFonts w:ascii="Times New Roman" w:hAnsi="Times New Roman" w:eastAsia="仿宋_GB2312"/>
          <w:color w:val="000000"/>
          <w:sz w:val="32"/>
          <w:szCs w:val="32"/>
        </w:rPr>
        <w:t>“</w:t>
      </w:r>
      <w:r>
        <w:rPr>
          <w:rFonts w:ascii="Times New Roman" w:hAnsi="仿宋_GB2312" w:eastAsia="仿宋_GB2312"/>
          <w:color w:val="000000"/>
          <w:sz w:val="32"/>
          <w:szCs w:val="32"/>
        </w:rPr>
        <w:t>绿色通道</w:t>
      </w:r>
      <w:r>
        <w:rPr>
          <w:rFonts w:ascii="Times New Roman" w:hAnsi="Times New Roman" w:eastAsia="仿宋_GB2312"/>
          <w:color w:val="000000"/>
          <w:sz w:val="32"/>
          <w:szCs w:val="32"/>
        </w:rPr>
        <w:t>”</w:t>
      </w:r>
      <w:r>
        <w:rPr>
          <w:rFonts w:ascii="Times New Roman" w:hAnsi="仿宋_GB2312" w:eastAsia="仿宋_GB2312"/>
          <w:color w:val="000000"/>
          <w:sz w:val="32"/>
          <w:szCs w:val="32"/>
        </w:rPr>
        <w:t>、实行</w:t>
      </w:r>
      <w:r>
        <w:rPr>
          <w:rFonts w:ascii="Times New Roman" w:hAnsi="Times New Roman" w:eastAsia="仿宋_GB2312"/>
          <w:color w:val="000000"/>
          <w:sz w:val="32"/>
          <w:szCs w:val="32"/>
        </w:rPr>
        <w:t>“</w:t>
      </w:r>
      <w:r>
        <w:rPr>
          <w:rFonts w:ascii="Times New Roman" w:hAnsi="仿宋_GB2312" w:eastAsia="仿宋_GB2312"/>
          <w:color w:val="000000"/>
          <w:sz w:val="32"/>
          <w:szCs w:val="32"/>
        </w:rPr>
        <w:t>容缺受理</w:t>
      </w:r>
      <w:r>
        <w:rPr>
          <w:rFonts w:ascii="Times New Roman" w:hAnsi="Times New Roman" w:eastAsia="仿宋_GB2312"/>
          <w:color w:val="000000"/>
          <w:sz w:val="32"/>
          <w:szCs w:val="32"/>
        </w:rPr>
        <w:t>”</w:t>
      </w:r>
      <w:r>
        <w:rPr>
          <w:rFonts w:ascii="Times New Roman" w:hAnsi="仿宋_GB2312" w:eastAsia="仿宋_GB2312"/>
          <w:color w:val="000000"/>
          <w:sz w:val="32"/>
          <w:szCs w:val="32"/>
        </w:rPr>
        <w:t>、加大宣传力度、制定慢病核查流程，按照</w:t>
      </w:r>
      <w:r>
        <w:rPr>
          <w:rFonts w:ascii="Times New Roman" w:hAnsi="Times New Roman" w:eastAsia="仿宋_GB2312"/>
          <w:color w:val="000000"/>
          <w:sz w:val="32"/>
          <w:szCs w:val="32"/>
        </w:rPr>
        <w:t>“</w:t>
      </w:r>
      <w:r>
        <w:rPr>
          <w:rFonts w:ascii="Times New Roman" w:hAnsi="仿宋_GB2312" w:eastAsia="仿宋_GB2312"/>
          <w:color w:val="000000"/>
          <w:sz w:val="32"/>
          <w:szCs w:val="32"/>
        </w:rPr>
        <w:t>应认尽认</w:t>
      </w:r>
      <w:r>
        <w:rPr>
          <w:rFonts w:ascii="Times New Roman" w:hAnsi="Times New Roman" w:eastAsia="仿宋_GB2312"/>
          <w:color w:val="000000"/>
          <w:sz w:val="32"/>
          <w:szCs w:val="32"/>
        </w:rPr>
        <w:t>”</w:t>
      </w:r>
      <w:r>
        <w:rPr>
          <w:rFonts w:ascii="Times New Roman" w:hAnsi="仿宋_GB2312" w:eastAsia="仿宋_GB2312"/>
          <w:color w:val="000000"/>
          <w:sz w:val="32"/>
          <w:szCs w:val="32"/>
        </w:rPr>
        <w:t>的原则，联合县卫健局、县医疗集团开展现场审核认定。截至</w:t>
      </w:r>
      <w:r>
        <w:rPr>
          <w:rFonts w:ascii="Times New Roman" w:hAnsi="Times New Roman" w:eastAsia="仿宋_GB2312"/>
          <w:color w:val="000000"/>
          <w:sz w:val="32"/>
          <w:szCs w:val="32"/>
        </w:rPr>
        <w:t>10</w:t>
      </w:r>
      <w:r>
        <w:rPr>
          <w:rFonts w:ascii="Times New Roman" w:hAnsi="仿宋_GB2312" w:eastAsia="仿宋_GB2312"/>
          <w:color w:val="000000"/>
          <w:sz w:val="32"/>
          <w:szCs w:val="32"/>
        </w:rPr>
        <w:t>月，全县符合条件的建档立卡贫困人口门特认定备案累计</w:t>
      </w:r>
      <w:r>
        <w:rPr>
          <w:rFonts w:ascii="Times New Roman" w:hAnsi="Times New Roman" w:eastAsia="仿宋_GB2312"/>
          <w:color w:val="000000"/>
          <w:sz w:val="32"/>
          <w:szCs w:val="32"/>
        </w:rPr>
        <w:t>2105</w:t>
      </w:r>
      <w:r>
        <w:rPr>
          <w:rFonts w:ascii="Times New Roman" w:hAnsi="仿宋_GB2312" w:eastAsia="仿宋_GB2312"/>
          <w:color w:val="000000"/>
          <w:sz w:val="32"/>
          <w:szCs w:val="32"/>
        </w:rPr>
        <w:t>人次，其中：一类</w:t>
      </w:r>
      <w:r>
        <w:rPr>
          <w:rFonts w:ascii="Times New Roman" w:hAnsi="Times New Roman" w:eastAsia="仿宋_GB2312"/>
          <w:color w:val="000000"/>
          <w:sz w:val="32"/>
          <w:szCs w:val="32"/>
        </w:rPr>
        <w:t>291</w:t>
      </w:r>
      <w:r>
        <w:rPr>
          <w:rFonts w:ascii="Times New Roman" w:hAnsi="仿宋_GB2312" w:eastAsia="仿宋_GB2312"/>
          <w:color w:val="000000"/>
          <w:sz w:val="32"/>
          <w:szCs w:val="32"/>
        </w:rPr>
        <w:t>人次，二类</w:t>
      </w:r>
      <w:r>
        <w:rPr>
          <w:rFonts w:ascii="Times New Roman" w:hAnsi="Times New Roman" w:eastAsia="仿宋_GB2312"/>
          <w:color w:val="000000"/>
          <w:sz w:val="32"/>
          <w:szCs w:val="32"/>
        </w:rPr>
        <w:t>352</w:t>
      </w:r>
      <w:r>
        <w:rPr>
          <w:rFonts w:ascii="Times New Roman" w:hAnsi="仿宋_GB2312" w:eastAsia="仿宋_GB2312"/>
          <w:color w:val="000000"/>
          <w:sz w:val="32"/>
          <w:szCs w:val="32"/>
        </w:rPr>
        <w:t>人次，三类</w:t>
      </w:r>
      <w:r>
        <w:rPr>
          <w:rFonts w:ascii="Times New Roman" w:hAnsi="Times New Roman" w:eastAsia="仿宋_GB2312"/>
          <w:color w:val="000000"/>
          <w:sz w:val="32"/>
          <w:szCs w:val="32"/>
        </w:rPr>
        <w:t>1416</w:t>
      </w:r>
      <w:r>
        <w:rPr>
          <w:rFonts w:ascii="Times New Roman" w:hAnsi="仿宋_GB2312" w:eastAsia="仿宋_GB2312"/>
          <w:color w:val="000000"/>
          <w:sz w:val="32"/>
          <w:szCs w:val="32"/>
        </w:rPr>
        <w:t>人次。非建档立卡特殊困难户门特认定备案累计</w:t>
      </w:r>
      <w:r>
        <w:rPr>
          <w:rFonts w:ascii="Times New Roman" w:hAnsi="Times New Roman" w:eastAsia="仿宋_GB2312"/>
          <w:color w:val="000000"/>
          <w:sz w:val="32"/>
          <w:szCs w:val="32"/>
        </w:rPr>
        <w:t>153</w:t>
      </w:r>
      <w:r>
        <w:rPr>
          <w:rFonts w:ascii="Times New Roman" w:hAnsi="仿宋_GB2312" w:eastAsia="仿宋_GB2312"/>
          <w:color w:val="000000"/>
          <w:sz w:val="32"/>
          <w:szCs w:val="32"/>
        </w:rPr>
        <w:t>人次，其中：一类</w:t>
      </w:r>
      <w:r>
        <w:rPr>
          <w:rFonts w:ascii="Times New Roman" w:hAnsi="Times New Roman" w:eastAsia="仿宋_GB2312"/>
          <w:color w:val="000000"/>
          <w:sz w:val="32"/>
          <w:szCs w:val="32"/>
        </w:rPr>
        <w:t>30</w:t>
      </w:r>
      <w:r>
        <w:rPr>
          <w:rFonts w:ascii="Times New Roman" w:hAnsi="仿宋_GB2312" w:eastAsia="仿宋_GB2312"/>
          <w:color w:val="000000"/>
          <w:sz w:val="32"/>
          <w:szCs w:val="32"/>
        </w:rPr>
        <w:t>人次，二类</w:t>
      </w:r>
      <w:r>
        <w:rPr>
          <w:rFonts w:ascii="Times New Roman" w:hAnsi="Times New Roman" w:eastAsia="仿宋_GB2312"/>
          <w:color w:val="000000"/>
          <w:sz w:val="32"/>
          <w:szCs w:val="32"/>
        </w:rPr>
        <w:t>33</w:t>
      </w:r>
      <w:r>
        <w:rPr>
          <w:rFonts w:ascii="Times New Roman" w:hAnsi="仿宋_GB2312" w:eastAsia="仿宋_GB2312"/>
          <w:color w:val="000000"/>
          <w:sz w:val="32"/>
          <w:szCs w:val="32"/>
        </w:rPr>
        <w:t>人次，三类</w:t>
      </w:r>
      <w:r>
        <w:rPr>
          <w:rFonts w:ascii="Times New Roman" w:hAnsi="Times New Roman" w:eastAsia="仿宋_GB2312"/>
          <w:color w:val="000000"/>
          <w:sz w:val="32"/>
          <w:szCs w:val="32"/>
        </w:rPr>
        <w:t>90</w:t>
      </w:r>
      <w:r>
        <w:rPr>
          <w:rFonts w:ascii="Times New Roman" w:hAnsi="仿宋_GB2312" w:eastAsia="仿宋_GB2312"/>
          <w:color w:val="000000"/>
          <w:sz w:val="32"/>
          <w:szCs w:val="32"/>
        </w:rPr>
        <w:t>人次。</w:t>
      </w:r>
    </w:p>
    <w:p w14:paraId="17F61934">
      <w:pPr>
        <w:pStyle w:val="46"/>
        <w:spacing w:line="560" w:lineRule="exact"/>
        <w:ind w:firstLine="640"/>
        <w:rPr>
          <w:rFonts w:ascii="Times New Roman" w:hAnsi="Times New Roman" w:eastAsia="仿宋_GB2312"/>
          <w:color w:val="000000"/>
          <w:sz w:val="32"/>
          <w:szCs w:val="32"/>
        </w:rPr>
      </w:pPr>
      <w:r>
        <w:rPr>
          <w:rFonts w:ascii="Times New Roman" w:hAnsi="仿宋_GB2312" w:eastAsia="仿宋_GB2312"/>
          <w:color w:val="000000"/>
          <w:sz w:val="32"/>
          <w:szCs w:val="32"/>
        </w:rPr>
        <w:t>完成</w:t>
      </w:r>
      <w:r>
        <w:rPr>
          <w:rFonts w:ascii="Times New Roman" w:hAnsi="Times New Roman" w:eastAsia="仿宋_GB2312"/>
          <w:color w:val="000000"/>
          <w:sz w:val="32"/>
          <w:szCs w:val="32"/>
        </w:rPr>
        <w:t>2019</w:t>
      </w:r>
      <w:r>
        <w:rPr>
          <w:rFonts w:ascii="Times New Roman" w:hAnsi="仿宋_GB2312" w:eastAsia="仿宋_GB2312"/>
          <w:color w:val="000000"/>
          <w:sz w:val="32"/>
          <w:szCs w:val="32"/>
        </w:rPr>
        <w:t>年脱贫攻坚成效省级交叉考核反馈问题整改工作。为确保动态调整新增贫困人口城乡居民基本医疗保险个人缴费部分实行财政全额代缴，积极与县扶贫开发局对接，及时交换动态调整新增贫困人口信息，及时参保，确保对其参加本年度的城乡居民基本医疗保险个人缴费部分实现财政全额代缴。</w:t>
      </w:r>
    </w:p>
    <w:p w14:paraId="319D3980">
      <w:pPr>
        <w:pStyle w:val="46"/>
        <w:spacing w:line="560" w:lineRule="exact"/>
        <w:ind w:firstLine="643"/>
        <w:rPr>
          <w:rFonts w:ascii="Times New Roman" w:hAnsi="Times New Roman" w:eastAsia="仿宋_GB2312"/>
          <w:b/>
          <w:color w:val="000000"/>
          <w:sz w:val="32"/>
          <w:szCs w:val="32"/>
        </w:rPr>
      </w:pPr>
      <w:r>
        <w:rPr>
          <w:rFonts w:ascii="Times New Roman" w:hAnsi="Times New Roman" w:eastAsia="仿宋_GB2312"/>
          <w:b/>
          <w:color w:val="000000"/>
          <w:sz w:val="32"/>
          <w:szCs w:val="32"/>
        </w:rPr>
        <w:t xml:space="preserve">(4) </w:t>
      </w:r>
      <w:r>
        <w:rPr>
          <w:rFonts w:ascii="Times New Roman" w:hAnsi="Times New Roman" w:eastAsia="仿宋_GB2312"/>
          <w:b/>
          <w:color w:val="000000"/>
          <w:spacing w:val="-20"/>
          <w:sz w:val="32"/>
          <w:szCs w:val="32"/>
        </w:rPr>
        <w:t>“</w:t>
      </w:r>
      <w:r>
        <w:rPr>
          <w:rFonts w:ascii="Times New Roman" w:hAnsi="仿宋_GB2312" w:eastAsia="仿宋_GB2312"/>
          <w:b/>
          <w:color w:val="000000"/>
          <w:spacing w:val="-20"/>
          <w:sz w:val="32"/>
          <w:szCs w:val="32"/>
        </w:rPr>
        <w:t>村医通</w:t>
      </w:r>
      <w:r>
        <w:rPr>
          <w:rFonts w:ascii="Times New Roman" w:hAnsi="Times New Roman" w:eastAsia="仿宋_GB2312"/>
          <w:b/>
          <w:color w:val="000000"/>
          <w:spacing w:val="-20"/>
          <w:sz w:val="32"/>
          <w:szCs w:val="32"/>
        </w:rPr>
        <w:t>”</w:t>
      </w:r>
      <w:r>
        <w:rPr>
          <w:rFonts w:ascii="Times New Roman" w:hAnsi="仿宋_GB2312" w:eastAsia="仿宋_GB2312"/>
          <w:b/>
          <w:color w:val="000000"/>
          <w:spacing w:val="-20"/>
          <w:sz w:val="32"/>
          <w:szCs w:val="32"/>
        </w:rPr>
        <w:t>医保系统打通医保联网即时结算</w:t>
      </w:r>
      <w:r>
        <w:rPr>
          <w:rFonts w:ascii="Times New Roman" w:hAnsi="Times New Roman" w:eastAsia="仿宋_GB2312"/>
          <w:b/>
          <w:color w:val="000000"/>
          <w:spacing w:val="-20"/>
          <w:sz w:val="32"/>
          <w:szCs w:val="32"/>
        </w:rPr>
        <w:t>“</w:t>
      </w:r>
      <w:r>
        <w:rPr>
          <w:rFonts w:ascii="Times New Roman" w:hAnsi="仿宋_GB2312" w:eastAsia="仿宋_GB2312"/>
          <w:b/>
          <w:color w:val="000000"/>
          <w:spacing w:val="-20"/>
          <w:sz w:val="32"/>
          <w:szCs w:val="32"/>
        </w:rPr>
        <w:t>最后一公里</w:t>
      </w:r>
      <w:r>
        <w:rPr>
          <w:rFonts w:ascii="Times New Roman" w:hAnsi="Times New Roman" w:eastAsia="仿宋_GB2312"/>
          <w:b/>
          <w:color w:val="000000"/>
          <w:spacing w:val="-20"/>
          <w:sz w:val="32"/>
          <w:szCs w:val="32"/>
        </w:rPr>
        <w:t>”</w:t>
      </w:r>
      <w:r>
        <w:rPr>
          <w:rFonts w:ascii="Times New Roman" w:hAnsi="仿宋_GB2312" w:eastAsia="仿宋_GB2312"/>
          <w:b/>
          <w:color w:val="000000"/>
          <w:spacing w:val="-20"/>
          <w:sz w:val="32"/>
          <w:szCs w:val="32"/>
        </w:rPr>
        <w:t>。</w:t>
      </w:r>
    </w:p>
    <w:p w14:paraId="27DE3ECD">
      <w:pPr>
        <w:pStyle w:val="46"/>
        <w:spacing w:line="560" w:lineRule="exact"/>
        <w:ind w:firstLine="640"/>
        <w:rPr>
          <w:rFonts w:ascii="Times New Roman" w:hAnsi="仿宋_GB2312" w:eastAsia="仿宋_GB2312"/>
          <w:color w:val="000000"/>
          <w:sz w:val="32"/>
          <w:szCs w:val="32"/>
        </w:rPr>
      </w:pPr>
      <w:r>
        <w:rPr>
          <w:rFonts w:ascii="Times New Roman" w:hAnsi="仿宋_GB2312" w:eastAsia="仿宋_GB2312"/>
          <w:color w:val="000000"/>
          <w:sz w:val="32"/>
          <w:szCs w:val="32"/>
        </w:rPr>
        <w:t>解决村卫生室使用</w:t>
      </w:r>
      <w:r>
        <w:rPr>
          <w:rFonts w:ascii="Times New Roman" w:hAnsi="Times New Roman" w:eastAsia="仿宋_GB2312"/>
          <w:color w:val="000000"/>
          <w:sz w:val="32"/>
          <w:szCs w:val="32"/>
        </w:rPr>
        <w:t>“</w:t>
      </w:r>
      <w:r>
        <w:rPr>
          <w:rFonts w:ascii="Times New Roman" w:hAnsi="仿宋_GB2312" w:eastAsia="仿宋_GB2312"/>
          <w:color w:val="000000"/>
          <w:sz w:val="32"/>
          <w:szCs w:val="32"/>
        </w:rPr>
        <w:t>村医通</w:t>
      </w:r>
      <w:r>
        <w:rPr>
          <w:rFonts w:ascii="Times New Roman" w:hAnsi="Times New Roman" w:eastAsia="仿宋_GB2312"/>
          <w:color w:val="000000"/>
          <w:sz w:val="32"/>
          <w:szCs w:val="32"/>
        </w:rPr>
        <w:t>”</w:t>
      </w:r>
      <w:r>
        <w:rPr>
          <w:rFonts w:ascii="Times New Roman" w:hAnsi="仿宋_GB2312" w:eastAsia="仿宋_GB2312"/>
          <w:color w:val="000000"/>
          <w:sz w:val="32"/>
          <w:szCs w:val="32"/>
        </w:rPr>
        <w:t>进行医保结算存在的网络使用、系统维护、刷卡机具购买经费等问题。全县</w:t>
      </w:r>
      <w:r>
        <w:rPr>
          <w:rFonts w:ascii="Times New Roman" w:hAnsi="Times New Roman" w:eastAsia="仿宋_GB2312"/>
          <w:color w:val="000000"/>
          <w:sz w:val="32"/>
          <w:szCs w:val="32"/>
        </w:rPr>
        <w:t>2</w:t>
      </w:r>
      <w:r>
        <w:rPr>
          <w:rFonts w:hint="eastAsia" w:ascii="Times New Roman" w:hAnsi="Times New Roman" w:eastAsia="仿宋_GB2312"/>
          <w:color w:val="000000"/>
          <w:sz w:val="32"/>
          <w:szCs w:val="32"/>
        </w:rPr>
        <w:t>8</w:t>
      </w:r>
      <w:r>
        <w:rPr>
          <w:rFonts w:ascii="Times New Roman" w:hAnsi="仿宋_GB2312" w:eastAsia="仿宋_GB2312"/>
          <w:color w:val="000000"/>
          <w:sz w:val="32"/>
          <w:szCs w:val="32"/>
        </w:rPr>
        <w:t>个贫困村的村卫生室已经实现了</w:t>
      </w:r>
      <w:r>
        <w:rPr>
          <w:rFonts w:ascii="Times New Roman" w:hAnsi="Times New Roman" w:eastAsia="仿宋_GB2312"/>
          <w:color w:val="000000"/>
          <w:sz w:val="32"/>
          <w:szCs w:val="32"/>
        </w:rPr>
        <w:t>“</w:t>
      </w:r>
      <w:r>
        <w:rPr>
          <w:rFonts w:ascii="Times New Roman" w:hAnsi="仿宋_GB2312" w:eastAsia="仿宋_GB2312"/>
          <w:color w:val="000000"/>
          <w:sz w:val="32"/>
          <w:szCs w:val="32"/>
        </w:rPr>
        <w:t>村医通</w:t>
      </w:r>
      <w:r>
        <w:rPr>
          <w:rFonts w:ascii="Times New Roman" w:hAnsi="Times New Roman" w:eastAsia="仿宋_GB2312"/>
          <w:color w:val="000000"/>
          <w:sz w:val="32"/>
          <w:szCs w:val="32"/>
        </w:rPr>
        <w:t>”</w:t>
      </w:r>
      <w:r>
        <w:rPr>
          <w:rFonts w:ascii="Times New Roman" w:hAnsi="仿宋_GB2312" w:eastAsia="仿宋_GB2312"/>
          <w:color w:val="000000"/>
          <w:sz w:val="32"/>
          <w:szCs w:val="32"/>
        </w:rPr>
        <w:t>医保系统的全覆盖，让农村参保群众</w:t>
      </w:r>
      <w:r>
        <w:rPr>
          <w:rFonts w:ascii="Times New Roman" w:hAnsi="Times New Roman" w:eastAsia="仿宋_GB2312"/>
          <w:color w:val="000000"/>
          <w:sz w:val="32"/>
          <w:szCs w:val="32"/>
        </w:rPr>
        <w:t>“</w:t>
      </w:r>
      <w:r>
        <w:rPr>
          <w:rFonts w:ascii="Times New Roman" w:hAnsi="仿宋_GB2312" w:eastAsia="仿宋_GB2312"/>
          <w:color w:val="000000"/>
          <w:sz w:val="32"/>
          <w:szCs w:val="32"/>
        </w:rPr>
        <w:t>足不出村</w:t>
      </w:r>
      <w:r>
        <w:rPr>
          <w:rFonts w:ascii="Times New Roman" w:hAnsi="Times New Roman" w:eastAsia="仿宋_GB2312"/>
          <w:color w:val="000000"/>
          <w:sz w:val="32"/>
          <w:szCs w:val="32"/>
        </w:rPr>
        <w:t>”</w:t>
      </w:r>
      <w:r>
        <w:rPr>
          <w:rFonts w:ascii="Times New Roman" w:hAnsi="仿宋_GB2312" w:eastAsia="仿宋_GB2312"/>
          <w:color w:val="000000"/>
          <w:sz w:val="32"/>
          <w:szCs w:val="32"/>
        </w:rPr>
        <w:t>就能享受医保即时结算服务。截至</w:t>
      </w:r>
      <w:r>
        <w:rPr>
          <w:rFonts w:ascii="Times New Roman" w:hAnsi="Times New Roman" w:eastAsia="仿宋_GB2312"/>
          <w:color w:val="000000"/>
          <w:sz w:val="32"/>
          <w:szCs w:val="32"/>
        </w:rPr>
        <w:t>10</w:t>
      </w:r>
      <w:r>
        <w:rPr>
          <w:rFonts w:ascii="Times New Roman" w:hAnsi="仿宋_GB2312" w:eastAsia="仿宋_GB2312"/>
          <w:color w:val="000000"/>
          <w:sz w:val="32"/>
          <w:szCs w:val="32"/>
        </w:rPr>
        <w:t>月，</w:t>
      </w:r>
      <w:r>
        <w:rPr>
          <w:rFonts w:ascii="Times New Roman" w:hAnsi="Times New Roman" w:eastAsia="仿宋_GB2312"/>
          <w:color w:val="000000"/>
          <w:sz w:val="32"/>
          <w:szCs w:val="32"/>
        </w:rPr>
        <w:t>“</w:t>
      </w:r>
      <w:r>
        <w:rPr>
          <w:rFonts w:ascii="Times New Roman" w:hAnsi="仿宋_GB2312" w:eastAsia="仿宋_GB2312"/>
          <w:color w:val="000000"/>
          <w:sz w:val="32"/>
          <w:szCs w:val="32"/>
        </w:rPr>
        <w:t>村医通</w:t>
      </w:r>
      <w:r>
        <w:rPr>
          <w:rFonts w:ascii="Times New Roman" w:hAnsi="Times New Roman" w:eastAsia="仿宋_GB2312"/>
          <w:color w:val="000000"/>
          <w:sz w:val="32"/>
          <w:szCs w:val="32"/>
        </w:rPr>
        <w:t>”</w:t>
      </w:r>
      <w:r>
        <w:rPr>
          <w:rFonts w:ascii="Times New Roman" w:hAnsi="仿宋_GB2312" w:eastAsia="仿宋_GB2312"/>
          <w:color w:val="000000"/>
          <w:sz w:val="32"/>
          <w:szCs w:val="32"/>
        </w:rPr>
        <w:t>医保系统结算</w:t>
      </w:r>
      <w:r>
        <w:rPr>
          <w:rFonts w:ascii="Times New Roman" w:hAnsi="Times New Roman" w:eastAsia="仿宋_GB2312"/>
          <w:color w:val="000000"/>
          <w:sz w:val="32"/>
          <w:szCs w:val="32"/>
        </w:rPr>
        <w:t>1596</w:t>
      </w:r>
      <w:r>
        <w:rPr>
          <w:rFonts w:ascii="Times New Roman" w:hAnsi="仿宋_GB2312" w:eastAsia="仿宋_GB2312"/>
          <w:color w:val="000000"/>
          <w:sz w:val="32"/>
          <w:szCs w:val="32"/>
        </w:rPr>
        <w:t>人次，医保报销</w:t>
      </w:r>
      <w:r>
        <w:rPr>
          <w:rFonts w:ascii="Times New Roman" w:hAnsi="Times New Roman" w:eastAsia="仿宋_GB2312"/>
          <w:color w:val="000000"/>
          <w:sz w:val="32"/>
          <w:szCs w:val="32"/>
        </w:rPr>
        <w:t>5.49</w:t>
      </w:r>
      <w:r>
        <w:rPr>
          <w:rFonts w:ascii="Times New Roman" w:hAnsi="仿宋_GB2312" w:eastAsia="仿宋_GB2312"/>
          <w:color w:val="000000"/>
          <w:sz w:val="32"/>
          <w:szCs w:val="32"/>
        </w:rPr>
        <w:t>万元。</w:t>
      </w:r>
    </w:p>
    <w:p w14:paraId="2C21EF8B">
      <w:pPr>
        <w:pStyle w:val="46"/>
        <w:spacing w:line="560" w:lineRule="exact"/>
        <w:ind w:firstLine="640"/>
        <w:rPr>
          <w:rFonts w:ascii="仿宋_GB2312" w:hAnsi="仿宋_GB2312" w:eastAsia="仿宋_GB2312"/>
          <w:color w:val="000000"/>
          <w:sz w:val="32"/>
          <w:szCs w:val="32"/>
        </w:rPr>
      </w:pPr>
      <w:r>
        <w:rPr>
          <w:rFonts w:hint="eastAsia" w:ascii="仿宋_GB2312" w:hAnsi="宋体" w:eastAsia="仿宋_GB2312" w:cs="宋体"/>
          <w:bCs/>
          <w:color w:val="000000"/>
          <w:kern w:val="0"/>
          <w:sz w:val="32"/>
          <w:szCs w:val="32"/>
        </w:rPr>
        <w:t>主要项目绩效完成情况参见下表：</w:t>
      </w:r>
    </w:p>
    <w:p w14:paraId="745E8C9A">
      <w:pPr>
        <w:pStyle w:val="46"/>
        <w:spacing w:line="560" w:lineRule="exact"/>
        <w:ind w:firstLine="640"/>
        <w:rPr>
          <w:rFonts w:ascii="Times New Roman" w:hAnsi="仿宋_GB2312" w:eastAsia="仿宋_GB2312"/>
          <w:color w:val="000000"/>
          <w:sz w:val="32"/>
          <w:szCs w:val="32"/>
        </w:rPr>
        <w:sectPr>
          <w:footerReference r:id="rId5" w:type="first"/>
          <w:footerReference r:id="rId3" w:type="default"/>
          <w:footerReference r:id="rId4" w:type="even"/>
          <w:pgSz w:w="11906" w:h="16838"/>
          <w:pgMar w:top="1440" w:right="1800" w:bottom="1440" w:left="1800" w:header="851" w:footer="992" w:gutter="0"/>
          <w:pgNumType w:fmt="numberInDash"/>
          <w:cols w:space="425" w:num="1"/>
          <w:titlePg/>
          <w:docGrid w:type="lines" w:linePitch="312" w:charSpace="0"/>
        </w:sectPr>
      </w:pPr>
    </w:p>
    <w:p w14:paraId="0BED7417">
      <w:pPr>
        <w:pStyle w:val="46"/>
        <w:spacing w:line="560" w:lineRule="exact"/>
        <w:ind w:firstLine="0" w:firstLineChars="0"/>
        <w:jc w:val="center"/>
        <w:rPr>
          <w:rFonts w:ascii="仿宋_GB2312" w:hAnsi="仿宋_GB2312" w:eastAsia="仿宋_GB2312"/>
          <w:color w:val="000000"/>
          <w:sz w:val="32"/>
          <w:szCs w:val="32"/>
        </w:rPr>
      </w:pPr>
      <w:r>
        <w:rPr>
          <w:rFonts w:hint="eastAsia" w:ascii="仿宋_GB2312" w:hAnsi="宋体" w:eastAsia="仿宋_GB2312" w:cs="宋体"/>
          <w:b/>
          <w:bCs/>
          <w:color w:val="000000"/>
          <w:kern w:val="0"/>
          <w:sz w:val="32"/>
          <w:szCs w:val="32"/>
        </w:rPr>
        <w:t>项目支出绩效目标完成情况表</w:t>
      </w:r>
    </w:p>
    <w:tbl>
      <w:tblPr>
        <w:tblStyle w:val="14"/>
        <w:tblW w:w="15813" w:type="dxa"/>
        <w:tblInd w:w="-743" w:type="dxa"/>
        <w:tblLayout w:type="autofit"/>
        <w:tblCellMar>
          <w:top w:w="0" w:type="dxa"/>
          <w:left w:w="108" w:type="dxa"/>
          <w:bottom w:w="0" w:type="dxa"/>
          <w:right w:w="108" w:type="dxa"/>
        </w:tblCellMar>
      </w:tblPr>
      <w:tblGrid>
        <w:gridCol w:w="462"/>
        <w:gridCol w:w="1017"/>
        <w:gridCol w:w="1536"/>
        <w:gridCol w:w="2246"/>
        <w:gridCol w:w="1559"/>
        <w:gridCol w:w="1451"/>
        <w:gridCol w:w="1488"/>
        <w:gridCol w:w="1659"/>
        <w:gridCol w:w="3519"/>
        <w:gridCol w:w="876"/>
      </w:tblGrid>
      <w:tr w14:paraId="1073F263">
        <w:tblPrEx>
          <w:tblCellMar>
            <w:top w:w="0" w:type="dxa"/>
            <w:left w:w="108" w:type="dxa"/>
            <w:bottom w:w="0" w:type="dxa"/>
            <w:right w:w="108" w:type="dxa"/>
          </w:tblCellMar>
        </w:tblPrEx>
        <w:trPr>
          <w:trHeight w:val="300" w:hRule="atLeast"/>
        </w:trPr>
        <w:tc>
          <w:tcPr>
            <w:tcW w:w="462" w:type="dxa"/>
            <w:vMerge w:val="restart"/>
            <w:tcBorders>
              <w:top w:val="single" w:color="auto" w:sz="4" w:space="0"/>
              <w:left w:val="single" w:color="auto" w:sz="8" w:space="0"/>
              <w:bottom w:val="single" w:color="000000" w:sz="4" w:space="0"/>
              <w:right w:val="single" w:color="auto" w:sz="8" w:space="0"/>
            </w:tcBorders>
            <w:shd w:val="clear" w:color="auto" w:fill="auto"/>
            <w:vAlign w:val="center"/>
          </w:tcPr>
          <w:p w14:paraId="04BA2B5F">
            <w:pPr>
              <w:widowControl/>
              <w:jc w:val="center"/>
              <w:rPr>
                <w:color w:val="000000"/>
                <w:kern w:val="0"/>
                <w:sz w:val="18"/>
                <w:szCs w:val="18"/>
              </w:rPr>
            </w:pPr>
            <w:r>
              <w:rPr>
                <w:rFonts w:hAnsi="宋体"/>
                <w:color w:val="000000"/>
                <w:kern w:val="0"/>
                <w:sz w:val="18"/>
                <w:szCs w:val="18"/>
              </w:rPr>
              <w:t>序号</w:t>
            </w:r>
          </w:p>
        </w:tc>
        <w:tc>
          <w:tcPr>
            <w:tcW w:w="1017" w:type="dxa"/>
            <w:vMerge w:val="restart"/>
            <w:tcBorders>
              <w:top w:val="single" w:color="auto" w:sz="4" w:space="0"/>
              <w:left w:val="single" w:color="auto" w:sz="8" w:space="0"/>
              <w:bottom w:val="single" w:color="000000" w:sz="4" w:space="0"/>
              <w:right w:val="single" w:color="auto" w:sz="8" w:space="0"/>
            </w:tcBorders>
            <w:shd w:val="clear" w:color="auto" w:fill="auto"/>
            <w:vAlign w:val="center"/>
          </w:tcPr>
          <w:p w14:paraId="2C3F920E">
            <w:pPr>
              <w:widowControl/>
              <w:jc w:val="center"/>
              <w:rPr>
                <w:color w:val="000000"/>
                <w:kern w:val="0"/>
                <w:sz w:val="18"/>
                <w:szCs w:val="18"/>
              </w:rPr>
            </w:pPr>
            <w:r>
              <w:rPr>
                <w:rFonts w:hAnsi="宋体"/>
                <w:color w:val="000000"/>
                <w:kern w:val="0"/>
                <w:sz w:val="18"/>
                <w:szCs w:val="18"/>
              </w:rPr>
              <w:t>项目名称</w:t>
            </w:r>
          </w:p>
        </w:tc>
        <w:tc>
          <w:tcPr>
            <w:tcW w:w="1536" w:type="dxa"/>
            <w:vMerge w:val="restart"/>
            <w:tcBorders>
              <w:top w:val="single" w:color="auto" w:sz="4" w:space="0"/>
              <w:left w:val="single" w:color="auto" w:sz="8" w:space="0"/>
              <w:bottom w:val="single" w:color="000000" w:sz="4" w:space="0"/>
              <w:right w:val="single" w:color="auto" w:sz="8" w:space="0"/>
            </w:tcBorders>
            <w:shd w:val="clear" w:color="auto" w:fill="auto"/>
            <w:vAlign w:val="center"/>
          </w:tcPr>
          <w:p w14:paraId="14DF6E5A">
            <w:pPr>
              <w:widowControl/>
              <w:jc w:val="center"/>
              <w:rPr>
                <w:color w:val="000000"/>
                <w:kern w:val="0"/>
                <w:sz w:val="18"/>
                <w:szCs w:val="18"/>
              </w:rPr>
            </w:pPr>
            <w:r>
              <w:rPr>
                <w:rFonts w:hAnsi="宋体"/>
                <w:color w:val="000000"/>
                <w:kern w:val="0"/>
                <w:sz w:val="18"/>
                <w:szCs w:val="18"/>
              </w:rPr>
              <w:t>年度资金支出总额（元）</w:t>
            </w:r>
          </w:p>
        </w:tc>
        <w:tc>
          <w:tcPr>
            <w:tcW w:w="2246" w:type="dxa"/>
            <w:vMerge w:val="restart"/>
            <w:tcBorders>
              <w:top w:val="single" w:color="auto" w:sz="4" w:space="0"/>
              <w:left w:val="single" w:color="auto" w:sz="8" w:space="0"/>
              <w:bottom w:val="single" w:color="000000" w:sz="4" w:space="0"/>
              <w:right w:val="single" w:color="auto" w:sz="8" w:space="0"/>
            </w:tcBorders>
            <w:shd w:val="clear" w:color="auto" w:fill="auto"/>
            <w:vAlign w:val="center"/>
          </w:tcPr>
          <w:p w14:paraId="453887EB">
            <w:pPr>
              <w:widowControl/>
              <w:jc w:val="center"/>
              <w:rPr>
                <w:color w:val="000000"/>
                <w:kern w:val="0"/>
                <w:sz w:val="18"/>
                <w:szCs w:val="18"/>
              </w:rPr>
            </w:pPr>
            <w:r>
              <w:rPr>
                <w:rFonts w:hAnsi="宋体"/>
                <w:color w:val="000000"/>
                <w:kern w:val="0"/>
                <w:sz w:val="18"/>
                <w:szCs w:val="18"/>
              </w:rPr>
              <w:t>年度目标</w:t>
            </w:r>
          </w:p>
        </w:tc>
        <w:tc>
          <w:tcPr>
            <w:tcW w:w="10552" w:type="dxa"/>
            <w:gridSpan w:val="6"/>
            <w:tcBorders>
              <w:top w:val="single" w:color="auto" w:sz="4" w:space="0"/>
              <w:left w:val="nil"/>
              <w:bottom w:val="single" w:color="auto" w:sz="8" w:space="0"/>
              <w:right w:val="single" w:color="000000" w:sz="8" w:space="0"/>
            </w:tcBorders>
            <w:shd w:val="clear" w:color="auto" w:fill="auto"/>
            <w:vAlign w:val="center"/>
          </w:tcPr>
          <w:p w14:paraId="24220752">
            <w:pPr>
              <w:widowControl/>
              <w:jc w:val="center"/>
              <w:rPr>
                <w:color w:val="000000"/>
                <w:kern w:val="0"/>
                <w:sz w:val="18"/>
                <w:szCs w:val="18"/>
              </w:rPr>
            </w:pPr>
            <w:r>
              <w:rPr>
                <w:rFonts w:hAnsi="宋体"/>
                <w:color w:val="000000"/>
                <w:kern w:val="0"/>
                <w:sz w:val="18"/>
                <w:szCs w:val="18"/>
              </w:rPr>
              <w:t>绩效指标</w:t>
            </w:r>
          </w:p>
        </w:tc>
      </w:tr>
      <w:tr w14:paraId="035D2E89">
        <w:tblPrEx>
          <w:tblCellMar>
            <w:top w:w="0" w:type="dxa"/>
            <w:left w:w="108" w:type="dxa"/>
            <w:bottom w:w="0" w:type="dxa"/>
            <w:right w:w="108" w:type="dxa"/>
          </w:tblCellMar>
        </w:tblPrEx>
        <w:trPr>
          <w:trHeight w:val="600" w:hRule="atLeast"/>
        </w:trPr>
        <w:tc>
          <w:tcPr>
            <w:tcW w:w="462" w:type="dxa"/>
            <w:vMerge w:val="continue"/>
            <w:tcBorders>
              <w:top w:val="nil"/>
              <w:left w:val="single" w:color="auto" w:sz="8" w:space="0"/>
              <w:bottom w:val="single" w:color="000000" w:sz="4" w:space="0"/>
              <w:right w:val="single" w:color="auto" w:sz="8" w:space="0"/>
            </w:tcBorders>
            <w:vAlign w:val="center"/>
          </w:tcPr>
          <w:p w14:paraId="5066C909">
            <w:pPr>
              <w:widowControl/>
              <w:jc w:val="center"/>
              <w:rPr>
                <w:color w:val="000000"/>
                <w:kern w:val="0"/>
                <w:sz w:val="18"/>
                <w:szCs w:val="18"/>
              </w:rPr>
            </w:pPr>
          </w:p>
        </w:tc>
        <w:tc>
          <w:tcPr>
            <w:tcW w:w="1017" w:type="dxa"/>
            <w:vMerge w:val="continue"/>
            <w:tcBorders>
              <w:top w:val="nil"/>
              <w:left w:val="single" w:color="auto" w:sz="8" w:space="0"/>
              <w:bottom w:val="single" w:color="000000" w:sz="4" w:space="0"/>
              <w:right w:val="single" w:color="auto" w:sz="8" w:space="0"/>
            </w:tcBorders>
            <w:vAlign w:val="center"/>
          </w:tcPr>
          <w:p w14:paraId="3FF0FB8D">
            <w:pPr>
              <w:widowControl/>
              <w:jc w:val="center"/>
              <w:rPr>
                <w:color w:val="000000"/>
                <w:kern w:val="0"/>
                <w:sz w:val="18"/>
                <w:szCs w:val="18"/>
              </w:rPr>
            </w:pPr>
          </w:p>
        </w:tc>
        <w:tc>
          <w:tcPr>
            <w:tcW w:w="1536" w:type="dxa"/>
            <w:vMerge w:val="continue"/>
            <w:tcBorders>
              <w:top w:val="nil"/>
              <w:left w:val="single" w:color="auto" w:sz="8" w:space="0"/>
              <w:bottom w:val="single" w:color="000000" w:sz="4" w:space="0"/>
              <w:right w:val="single" w:color="auto" w:sz="8" w:space="0"/>
            </w:tcBorders>
            <w:vAlign w:val="center"/>
          </w:tcPr>
          <w:p w14:paraId="75DD4E72">
            <w:pPr>
              <w:widowControl/>
              <w:jc w:val="center"/>
              <w:rPr>
                <w:color w:val="000000"/>
                <w:kern w:val="0"/>
                <w:sz w:val="18"/>
                <w:szCs w:val="18"/>
              </w:rPr>
            </w:pPr>
          </w:p>
        </w:tc>
        <w:tc>
          <w:tcPr>
            <w:tcW w:w="2246" w:type="dxa"/>
            <w:vMerge w:val="continue"/>
            <w:tcBorders>
              <w:top w:val="nil"/>
              <w:left w:val="single" w:color="auto" w:sz="8" w:space="0"/>
              <w:bottom w:val="single" w:color="000000" w:sz="4" w:space="0"/>
              <w:right w:val="single" w:color="auto" w:sz="8" w:space="0"/>
            </w:tcBorders>
            <w:vAlign w:val="center"/>
          </w:tcPr>
          <w:p w14:paraId="713B5C54">
            <w:pPr>
              <w:widowControl/>
              <w:jc w:val="center"/>
              <w:rPr>
                <w:color w:val="000000"/>
                <w:kern w:val="0"/>
                <w:sz w:val="18"/>
                <w:szCs w:val="18"/>
              </w:rPr>
            </w:pPr>
          </w:p>
        </w:tc>
        <w:tc>
          <w:tcPr>
            <w:tcW w:w="1559" w:type="dxa"/>
            <w:tcBorders>
              <w:top w:val="nil"/>
              <w:left w:val="nil"/>
              <w:bottom w:val="nil"/>
              <w:right w:val="single" w:color="auto" w:sz="8" w:space="0"/>
            </w:tcBorders>
            <w:shd w:val="clear" w:color="auto" w:fill="auto"/>
            <w:vAlign w:val="center"/>
          </w:tcPr>
          <w:p w14:paraId="798D30AC">
            <w:pPr>
              <w:widowControl/>
              <w:jc w:val="center"/>
              <w:rPr>
                <w:color w:val="000000"/>
                <w:kern w:val="0"/>
                <w:sz w:val="18"/>
                <w:szCs w:val="18"/>
              </w:rPr>
            </w:pPr>
            <w:r>
              <w:rPr>
                <w:rFonts w:hAnsi="宋体"/>
                <w:color w:val="000000"/>
                <w:kern w:val="0"/>
                <w:sz w:val="18"/>
                <w:szCs w:val="18"/>
              </w:rPr>
              <w:t>数量指标</w:t>
            </w:r>
          </w:p>
        </w:tc>
        <w:tc>
          <w:tcPr>
            <w:tcW w:w="1451" w:type="dxa"/>
            <w:tcBorders>
              <w:top w:val="nil"/>
              <w:left w:val="nil"/>
              <w:bottom w:val="nil"/>
              <w:right w:val="single" w:color="auto" w:sz="8" w:space="0"/>
            </w:tcBorders>
            <w:shd w:val="clear" w:color="auto" w:fill="auto"/>
            <w:vAlign w:val="center"/>
          </w:tcPr>
          <w:p w14:paraId="2EE0ACC5">
            <w:pPr>
              <w:widowControl/>
              <w:jc w:val="center"/>
              <w:rPr>
                <w:color w:val="000000"/>
                <w:kern w:val="0"/>
                <w:sz w:val="18"/>
                <w:szCs w:val="18"/>
              </w:rPr>
            </w:pPr>
            <w:r>
              <w:rPr>
                <w:rFonts w:hAnsi="宋体"/>
                <w:color w:val="000000"/>
                <w:kern w:val="0"/>
                <w:sz w:val="18"/>
                <w:szCs w:val="18"/>
              </w:rPr>
              <w:t>质量指标</w:t>
            </w:r>
          </w:p>
        </w:tc>
        <w:tc>
          <w:tcPr>
            <w:tcW w:w="1488" w:type="dxa"/>
            <w:tcBorders>
              <w:top w:val="nil"/>
              <w:left w:val="nil"/>
              <w:bottom w:val="nil"/>
              <w:right w:val="single" w:color="auto" w:sz="8" w:space="0"/>
            </w:tcBorders>
            <w:shd w:val="clear" w:color="auto" w:fill="auto"/>
            <w:vAlign w:val="center"/>
          </w:tcPr>
          <w:p w14:paraId="1E37CA8C">
            <w:pPr>
              <w:widowControl/>
              <w:jc w:val="center"/>
              <w:rPr>
                <w:color w:val="000000"/>
                <w:kern w:val="0"/>
                <w:sz w:val="18"/>
                <w:szCs w:val="18"/>
              </w:rPr>
            </w:pPr>
            <w:r>
              <w:rPr>
                <w:rFonts w:hAnsi="宋体"/>
                <w:color w:val="000000"/>
                <w:kern w:val="0"/>
                <w:sz w:val="18"/>
                <w:szCs w:val="18"/>
              </w:rPr>
              <w:t>时效指标</w:t>
            </w:r>
          </w:p>
        </w:tc>
        <w:tc>
          <w:tcPr>
            <w:tcW w:w="1659" w:type="dxa"/>
            <w:tcBorders>
              <w:top w:val="nil"/>
              <w:left w:val="nil"/>
              <w:bottom w:val="nil"/>
              <w:right w:val="nil"/>
            </w:tcBorders>
            <w:shd w:val="clear" w:color="auto" w:fill="auto"/>
            <w:noWrap/>
            <w:vAlign w:val="center"/>
          </w:tcPr>
          <w:p w14:paraId="43E3A3AA">
            <w:pPr>
              <w:widowControl/>
              <w:jc w:val="center"/>
              <w:rPr>
                <w:color w:val="000000"/>
                <w:kern w:val="0"/>
                <w:sz w:val="18"/>
                <w:szCs w:val="18"/>
              </w:rPr>
            </w:pPr>
            <w:r>
              <w:rPr>
                <w:rFonts w:hAnsi="宋体"/>
                <w:color w:val="000000"/>
                <w:kern w:val="0"/>
                <w:sz w:val="18"/>
                <w:szCs w:val="18"/>
              </w:rPr>
              <w:t>社会效益指标</w:t>
            </w:r>
          </w:p>
        </w:tc>
        <w:tc>
          <w:tcPr>
            <w:tcW w:w="3519" w:type="dxa"/>
            <w:tcBorders>
              <w:top w:val="nil"/>
              <w:left w:val="single" w:color="auto" w:sz="8" w:space="0"/>
              <w:bottom w:val="nil"/>
              <w:right w:val="single" w:color="auto" w:sz="8" w:space="0"/>
            </w:tcBorders>
            <w:shd w:val="clear" w:color="auto" w:fill="auto"/>
            <w:vAlign w:val="center"/>
          </w:tcPr>
          <w:p w14:paraId="33985D5F">
            <w:pPr>
              <w:widowControl/>
              <w:jc w:val="center"/>
              <w:rPr>
                <w:color w:val="000000"/>
                <w:kern w:val="0"/>
                <w:sz w:val="18"/>
                <w:szCs w:val="18"/>
              </w:rPr>
            </w:pPr>
            <w:r>
              <w:rPr>
                <w:rFonts w:hAnsi="宋体"/>
                <w:color w:val="000000"/>
                <w:kern w:val="0"/>
                <w:sz w:val="18"/>
                <w:szCs w:val="18"/>
              </w:rPr>
              <w:t>完成情况</w:t>
            </w:r>
          </w:p>
        </w:tc>
        <w:tc>
          <w:tcPr>
            <w:tcW w:w="876" w:type="dxa"/>
            <w:tcBorders>
              <w:top w:val="nil"/>
              <w:left w:val="nil"/>
              <w:bottom w:val="nil"/>
              <w:right w:val="single" w:color="auto" w:sz="8" w:space="0"/>
            </w:tcBorders>
            <w:shd w:val="clear" w:color="auto" w:fill="auto"/>
            <w:vAlign w:val="center"/>
          </w:tcPr>
          <w:p w14:paraId="6B141FB9">
            <w:pPr>
              <w:widowControl/>
              <w:jc w:val="left"/>
              <w:rPr>
                <w:rFonts w:ascii="宋体" w:hAnsi="宋体" w:cs="宋体"/>
                <w:color w:val="000000"/>
                <w:kern w:val="0"/>
                <w:sz w:val="18"/>
                <w:szCs w:val="18"/>
              </w:rPr>
            </w:pPr>
            <w:r>
              <w:rPr>
                <w:rFonts w:hint="eastAsia" w:ascii="宋体" w:hAnsi="宋体" w:cs="宋体"/>
                <w:color w:val="000000"/>
                <w:kern w:val="0"/>
                <w:sz w:val="18"/>
                <w:szCs w:val="18"/>
              </w:rPr>
              <w:t>服务对象满意度指标</w:t>
            </w:r>
          </w:p>
        </w:tc>
      </w:tr>
      <w:tr w14:paraId="40F19984">
        <w:tblPrEx>
          <w:tblCellMar>
            <w:top w:w="0" w:type="dxa"/>
            <w:left w:w="108" w:type="dxa"/>
            <w:bottom w:w="0" w:type="dxa"/>
            <w:right w:w="108" w:type="dxa"/>
          </w:tblCellMar>
        </w:tblPrEx>
        <w:trPr>
          <w:trHeight w:val="2292" w:hRule="atLeast"/>
        </w:trPr>
        <w:tc>
          <w:tcPr>
            <w:tcW w:w="462" w:type="dxa"/>
            <w:tcBorders>
              <w:top w:val="nil"/>
              <w:left w:val="single" w:color="auto" w:sz="4" w:space="0"/>
              <w:bottom w:val="single" w:color="auto" w:sz="4" w:space="0"/>
              <w:right w:val="single" w:color="auto" w:sz="4" w:space="0"/>
            </w:tcBorders>
            <w:shd w:val="clear" w:color="auto" w:fill="auto"/>
            <w:vAlign w:val="center"/>
          </w:tcPr>
          <w:p w14:paraId="0BD6B21B">
            <w:pPr>
              <w:widowControl/>
              <w:jc w:val="center"/>
              <w:rPr>
                <w:color w:val="000000"/>
                <w:kern w:val="0"/>
                <w:sz w:val="18"/>
                <w:szCs w:val="18"/>
              </w:rPr>
            </w:pPr>
            <w:r>
              <w:rPr>
                <w:color w:val="000000"/>
                <w:kern w:val="0"/>
                <w:sz w:val="18"/>
                <w:szCs w:val="18"/>
              </w:rPr>
              <w:t>1</w:t>
            </w:r>
          </w:p>
        </w:tc>
        <w:tc>
          <w:tcPr>
            <w:tcW w:w="1017" w:type="dxa"/>
            <w:tcBorders>
              <w:top w:val="nil"/>
              <w:left w:val="nil"/>
              <w:bottom w:val="single" w:color="auto" w:sz="4" w:space="0"/>
              <w:right w:val="single" w:color="auto" w:sz="4" w:space="0"/>
            </w:tcBorders>
            <w:shd w:val="clear" w:color="auto" w:fill="auto"/>
            <w:vAlign w:val="center"/>
          </w:tcPr>
          <w:p w14:paraId="1190EC72">
            <w:pPr>
              <w:widowControl/>
              <w:jc w:val="center"/>
              <w:rPr>
                <w:color w:val="000000"/>
                <w:kern w:val="0"/>
                <w:sz w:val="18"/>
                <w:szCs w:val="18"/>
              </w:rPr>
            </w:pPr>
            <w:r>
              <w:rPr>
                <w:rFonts w:hAnsi="宋体"/>
                <w:color w:val="000000"/>
                <w:kern w:val="0"/>
                <w:sz w:val="18"/>
                <w:szCs w:val="18"/>
              </w:rPr>
              <w:t>医保专项工作经费</w:t>
            </w:r>
          </w:p>
        </w:tc>
        <w:tc>
          <w:tcPr>
            <w:tcW w:w="1536" w:type="dxa"/>
            <w:tcBorders>
              <w:top w:val="nil"/>
              <w:left w:val="nil"/>
              <w:bottom w:val="single" w:color="000000" w:sz="4" w:space="0"/>
              <w:right w:val="single" w:color="000000" w:sz="4" w:space="0"/>
            </w:tcBorders>
            <w:shd w:val="clear" w:color="auto" w:fill="auto"/>
            <w:noWrap/>
            <w:vAlign w:val="center"/>
          </w:tcPr>
          <w:p w14:paraId="5B76FBFB">
            <w:pPr>
              <w:widowControl/>
              <w:jc w:val="center"/>
              <w:rPr>
                <w:color w:val="000000"/>
                <w:kern w:val="0"/>
                <w:sz w:val="22"/>
              </w:rPr>
            </w:pPr>
            <w:r>
              <w:rPr>
                <w:color w:val="000000"/>
                <w:kern w:val="0"/>
                <w:sz w:val="22"/>
              </w:rPr>
              <w:t>109,987.00</w:t>
            </w:r>
          </w:p>
        </w:tc>
        <w:tc>
          <w:tcPr>
            <w:tcW w:w="2246" w:type="dxa"/>
            <w:tcBorders>
              <w:top w:val="nil"/>
              <w:left w:val="nil"/>
              <w:bottom w:val="single" w:color="auto" w:sz="4" w:space="0"/>
              <w:right w:val="single" w:color="auto" w:sz="4" w:space="0"/>
            </w:tcBorders>
            <w:shd w:val="clear" w:color="auto" w:fill="auto"/>
            <w:vAlign w:val="center"/>
          </w:tcPr>
          <w:p w14:paraId="06F7E569">
            <w:pPr>
              <w:widowControl/>
              <w:rPr>
                <w:color w:val="000000"/>
                <w:kern w:val="0"/>
                <w:sz w:val="18"/>
                <w:szCs w:val="18"/>
              </w:rPr>
            </w:pPr>
            <w:r>
              <w:rPr>
                <w:rFonts w:hAnsi="宋体"/>
                <w:color w:val="000000"/>
                <w:kern w:val="0"/>
                <w:sz w:val="18"/>
                <w:szCs w:val="18"/>
              </w:rPr>
              <w:t>做好医保征收、医保支付方式改革工作，重点推行按疾病诊断相关分组与点数法相结合付费方式改革。完成各项医疗保险待遇审核结算、工伤生育保险核定及待遇审核支付，定点药店刷卡审核结算，做好医保经办风险防控工作。</w:t>
            </w:r>
          </w:p>
        </w:tc>
        <w:tc>
          <w:tcPr>
            <w:tcW w:w="1559" w:type="dxa"/>
            <w:tcBorders>
              <w:top w:val="single" w:color="auto" w:sz="4" w:space="0"/>
              <w:left w:val="nil"/>
              <w:bottom w:val="single" w:color="auto" w:sz="4" w:space="0"/>
              <w:right w:val="nil"/>
            </w:tcBorders>
            <w:shd w:val="clear" w:color="auto" w:fill="auto"/>
            <w:vAlign w:val="center"/>
          </w:tcPr>
          <w:p w14:paraId="7F9E37EE">
            <w:pPr>
              <w:widowControl/>
              <w:rPr>
                <w:color w:val="000000"/>
                <w:kern w:val="0"/>
                <w:sz w:val="18"/>
                <w:szCs w:val="18"/>
              </w:rPr>
            </w:pPr>
            <w:r>
              <w:rPr>
                <w:rFonts w:hAnsi="宋体"/>
                <w:color w:val="000000"/>
                <w:kern w:val="0"/>
                <w:sz w:val="18"/>
                <w:szCs w:val="18"/>
              </w:rPr>
              <w:t>参保人数</w:t>
            </w:r>
            <w:r>
              <w:rPr>
                <w:color w:val="000000"/>
                <w:kern w:val="0"/>
                <w:sz w:val="18"/>
                <w:szCs w:val="18"/>
              </w:rPr>
              <w:t>:189627</w:t>
            </w:r>
          </w:p>
        </w:tc>
        <w:tc>
          <w:tcPr>
            <w:tcW w:w="1451" w:type="dxa"/>
            <w:tcBorders>
              <w:top w:val="single" w:color="auto" w:sz="4" w:space="0"/>
              <w:left w:val="single" w:color="auto" w:sz="4" w:space="0"/>
              <w:bottom w:val="single" w:color="auto" w:sz="4" w:space="0"/>
              <w:right w:val="nil"/>
            </w:tcBorders>
            <w:shd w:val="clear" w:color="auto" w:fill="auto"/>
            <w:vAlign w:val="center"/>
          </w:tcPr>
          <w:p w14:paraId="38057C31">
            <w:pPr>
              <w:widowControl/>
              <w:rPr>
                <w:color w:val="000000"/>
                <w:kern w:val="0"/>
                <w:sz w:val="18"/>
                <w:szCs w:val="18"/>
              </w:rPr>
            </w:pPr>
          </w:p>
        </w:tc>
        <w:tc>
          <w:tcPr>
            <w:tcW w:w="1488" w:type="dxa"/>
            <w:tcBorders>
              <w:top w:val="single" w:color="auto" w:sz="4" w:space="0"/>
              <w:left w:val="single" w:color="auto" w:sz="4" w:space="0"/>
              <w:bottom w:val="single" w:color="auto" w:sz="4" w:space="0"/>
              <w:right w:val="nil"/>
            </w:tcBorders>
            <w:shd w:val="clear" w:color="auto" w:fill="auto"/>
            <w:vAlign w:val="center"/>
          </w:tcPr>
          <w:p w14:paraId="6DB4F731">
            <w:pPr>
              <w:widowControl/>
              <w:rPr>
                <w:color w:val="000000"/>
                <w:kern w:val="0"/>
                <w:sz w:val="18"/>
                <w:szCs w:val="18"/>
              </w:rPr>
            </w:pPr>
            <w:r>
              <w:rPr>
                <w:rFonts w:hAnsi="宋体"/>
                <w:color w:val="000000"/>
                <w:kern w:val="0"/>
                <w:sz w:val="18"/>
                <w:szCs w:val="18"/>
              </w:rPr>
              <w:t>各项完成时间</w:t>
            </w:r>
            <w:r>
              <w:rPr>
                <w:color w:val="000000"/>
                <w:kern w:val="0"/>
                <w:sz w:val="18"/>
                <w:szCs w:val="18"/>
              </w:rPr>
              <w:t>:2020</w:t>
            </w:r>
            <w:r>
              <w:rPr>
                <w:rFonts w:hAnsi="宋体"/>
                <w:color w:val="000000"/>
                <w:kern w:val="0"/>
                <w:sz w:val="18"/>
                <w:szCs w:val="18"/>
              </w:rPr>
              <w:t>年</w:t>
            </w:r>
            <w:r>
              <w:rPr>
                <w:color w:val="000000"/>
                <w:kern w:val="0"/>
                <w:sz w:val="18"/>
                <w:szCs w:val="18"/>
              </w:rPr>
              <w:t>12</w:t>
            </w:r>
            <w:r>
              <w:rPr>
                <w:rFonts w:hAnsi="宋体"/>
                <w:color w:val="000000"/>
                <w:kern w:val="0"/>
                <w:sz w:val="18"/>
                <w:szCs w:val="18"/>
              </w:rPr>
              <w:t>月</w:t>
            </w:r>
            <w:r>
              <w:rPr>
                <w:color w:val="000000"/>
                <w:kern w:val="0"/>
                <w:sz w:val="18"/>
                <w:szCs w:val="18"/>
              </w:rPr>
              <w:t>31</w:t>
            </w:r>
            <w:r>
              <w:rPr>
                <w:rFonts w:hAnsi="宋体"/>
                <w:color w:val="000000"/>
                <w:kern w:val="0"/>
                <w:sz w:val="18"/>
                <w:szCs w:val="18"/>
              </w:rPr>
              <w:t>日</w:t>
            </w:r>
          </w:p>
        </w:tc>
        <w:tc>
          <w:tcPr>
            <w:tcW w:w="1659" w:type="dxa"/>
            <w:tcBorders>
              <w:top w:val="single" w:color="auto" w:sz="4" w:space="0"/>
              <w:left w:val="single" w:color="auto" w:sz="4" w:space="0"/>
              <w:bottom w:val="single" w:color="auto" w:sz="4" w:space="0"/>
              <w:right w:val="nil"/>
            </w:tcBorders>
            <w:shd w:val="clear" w:color="auto" w:fill="auto"/>
            <w:vAlign w:val="center"/>
          </w:tcPr>
          <w:p w14:paraId="2B44CD13">
            <w:pPr>
              <w:widowControl/>
              <w:rPr>
                <w:color w:val="000000"/>
                <w:kern w:val="0"/>
                <w:sz w:val="18"/>
                <w:szCs w:val="18"/>
              </w:rPr>
            </w:pPr>
            <w:r>
              <w:rPr>
                <w:rFonts w:hAnsi="宋体"/>
                <w:color w:val="000000"/>
                <w:kern w:val="0"/>
                <w:sz w:val="18"/>
                <w:szCs w:val="18"/>
              </w:rPr>
              <w:t>参保率</w:t>
            </w:r>
            <w:r>
              <w:rPr>
                <w:color w:val="000000"/>
                <w:kern w:val="0"/>
                <w:sz w:val="18"/>
                <w:szCs w:val="18"/>
              </w:rPr>
              <w:t>:≥98%</w:t>
            </w:r>
          </w:p>
        </w:tc>
        <w:tc>
          <w:tcPr>
            <w:tcW w:w="3519" w:type="dxa"/>
            <w:tcBorders>
              <w:top w:val="single" w:color="auto" w:sz="4" w:space="0"/>
              <w:left w:val="single" w:color="auto" w:sz="4" w:space="0"/>
              <w:bottom w:val="single" w:color="auto" w:sz="4" w:space="0"/>
              <w:right w:val="nil"/>
            </w:tcBorders>
            <w:shd w:val="clear" w:color="auto" w:fill="auto"/>
            <w:vAlign w:val="center"/>
          </w:tcPr>
          <w:p w14:paraId="236A583F">
            <w:pPr>
              <w:widowControl/>
              <w:rPr>
                <w:color w:val="000000"/>
                <w:kern w:val="0"/>
                <w:sz w:val="18"/>
                <w:szCs w:val="18"/>
              </w:rPr>
            </w:pPr>
            <w:r>
              <w:rPr>
                <w:color w:val="000000"/>
                <w:kern w:val="0"/>
                <w:sz w:val="18"/>
                <w:szCs w:val="18"/>
              </w:rPr>
              <w:t>1.</w:t>
            </w:r>
            <w:r>
              <w:rPr>
                <w:rFonts w:hAnsi="宋体"/>
                <w:color w:val="000000"/>
                <w:kern w:val="0"/>
                <w:sz w:val="18"/>
                <w:szCs w:val="18"/>
              </w:rPr>
              <w:t>职工医保参保单位</w:t>
            </w:r>
            <w:r>
              <w:rPr>
                <w:color w:val="000000"/>
                <w:kern w:val="0"/>
                <w:sz w:val="18"/>
                <w:szCs w:val="18"/>
              </w:rPr>
              <w:t>611</w:t>
            </w:r>
            <w:r>
              <w:rPr>
                <w:rFonts w:hAnsi="宋体"/>
                <w:color w:val="000000"/>
                <w:kern w:val="0"/>
                <w:sz w:val="18"/>
                <w:szCs w:val="18"/>
              </w:rPr>
              <w:t>家，其中机关事业单位</w:t>
            </w:r>
            <w:r>
              <w:rPr>
                <w:color w:val="000000"/>
                <w:kern w:val="0"/>
                <w:sz w:val="18"/>
                <w:szCs w:val="18"/>
              </w:rPr>
              <w:t>137</w:t>
            </w:r>
            <w:r>
              <w:rPr>
                <w:rFonts w:hAnsi="宋体"/>
                <w:color w:val="000000"/>
                <w:kern w:val="0"/>
                <w:sz w:val="18"/>
                <w:szCs w:val="18"/>
              </w:rPr>
              <w:t>家。缴费总人数</w:t>
            </w:r>
            <w:r>
              <w:rPr>
                <w:color w:val="000000"/>
                <w:kern w:val="0"/>
                <w:sz w:val="18"/>
                <w:szCs w:val="18"/>
              </w:rPr>
              <w:t>21768</w:t>
            </w:r>
            <w:r>
              <w:rPr>
                <w:rFonts w:hAnsi="宋体"/>
                <w:color w:val="000000"/>
                <w:kern w:val="0"/>
                <w:sz w:val="18"/>
                <w:szCs w:val="18"/>
              </w:rPr>
              <w:t>人。城乡居民参保</w:t>
            </w:r>
            <w:r>
              <w:rPr>
                <w:color w:val="000000"/>
                <w:kern w:val="0"/>
                <w:sz w:val="18"/>
                <w:szCs w:val="18"/>
              </w:rPr>
              <w:t>190015</w:t>
            </w:r>
            <w:r>
              <w:rPr>
                <w:rFonts w:hAnsi="宋体"/>
                <w:color w:val="000000"/>
                <w:kern w:val="0"/>
                <w:sz w:val="18"/>
                <w:szCs w:val="18"/>
              </w:rPr>
              <w:t>人。</w:t>
            </w:r>
            <w:r>
              <w:rPr>
                <w:color w:val="000000"/>
                <w:kern w:val="0"/>
                <w:sz w:val="18"/>
                <w:szCs w:val="18"/>
              </w:rPr>
              <w:br w:type="textWrapping"/>
            </w:r>
            <w:r>
              <w:rPr>
                <w:color w:val="000000"/>
                <w:kern w:val="0"/>
                <w:sz w:val="18"/>
                <w:szCs w:val="18"/>
              </w:rPr>
              <w:t>2.</w:t>
            </w:r>
            <w:r>
              <w:rPr>
                <w:rFonts w:hAnsi="宋体"/>
                <w:color w:val="000000"/>
                <w:kern w:val="0"/>
                <w:sz w:val="18"/>
                <w:szCs w:val="18"/>
              </w:rPr>
              <w:t>审核职工医疗待遇</w:t>
            </w:r>
            <w:r>
              <w:rPr>
                <w:color w:val="000000"/>
                <w:kern w:val="0"/>
                <w:sz w:val="18"/>
                <w:szCs w:val="18"/>
              </w:rPr>
              <w:t>182382</w:t>
            </w:r>
            <w:r>
              <w:rPr>
                <w:rFonts w:hAnsi="宋体"/>
                <w:color w:val="000000"/>
                <w:kern w:val="0"/>
                <w:sz w:val="18"/>
                <w:szCs w:val="18"/>
              </w:rPr>
              <w:t>人次，支付医保基金</w:t>
            </w:r>
            <w:r>
              <w:rPr>
                <w:color w:val="000000"/>
                <w:kern w:val="0"/>
                <w:sz w:val="18"/>
                <w:szCs w:val="18"/>
              </w:rPr>
              <w:t>3042.1</w:t>
            </w:r>
            <w:r>
              <w:rPr>
                <w:rFonts w:hAnsi="宋体"/>
                <w:color w:val="000000"/>
                <w:kern w:val="0"/>
                <w:sz w:val="18"/>
                <w:szCs w:val="18"/>
              </w:rPr>
              <w:t>万元。</w:t>
            </w:r>
            <w:r>
              <w:rPr>
                <w:color w:val="000000"/>
                <w:kern w:val="0"/>
                <w:sz w:val="18"/>
                <w:szCs w:val="18"/>
              </w:rPr>
              <w:br w:type="textWrapping"/>
            </w:r>
            <w:r>
              <w:rPr>
                <w:color w:val="000000"/>
                <w:kern w:val="0"/>
                <w:sz w:val="18"/>
                <w:szCs w:val="18"/>
              </w:rPr>
              <w:t>3.</w:t>
            </w:r>
            <w:r>
              <w:rPr>
                <w:rFonts w:hAnsi="宋体"/>
                <w:color w:val="000000"/>
                <w:kern w:val="0"/>
                <w:sz w:val="18"/>
                <w:szCs w:val="18"/>
              </w:rPr>
              <w:t>审核城乡居民住院待遇（含一类门特）</w:t>
            </w:r>
            <w:r>
              <w:rPr>
                <w:color w:val="000000"/>
                <w:kern w:val="0"/>
                <w:sz w:val="18"/>
                <w:szCs w:val="18"/>
              </w:rPr>
              <w:t>42921</w:t>
            </w:r>
            <w:r>
              <w:rPr>
                <w:rFonts w:hAnsi="宋体"/>
                <w:color w:val="000000"/>
                <w:kern w:val="0"/>
                <w:sz w:val="18"/>
                <w:szCs w:val="18"/>
              </w:rPr>
              <w:t>人次，医保基金报销</w:t>
            </w:r>
            <w:r>
              <w:rPr>
                <w:color w:val="000000"/>
                <w:kern w:val="0"/>
                <w:sz w:val="18"/>
                <w:szCs w:val="18"/>
              </w:rPr>
              <w:t>9652.77</w:t>
            </w:r>
            <w:r>
              <w:rPr>
                <w:rFonts w:hAnsi="宋体"/>
                <w:color w:val="000000"/>
                <w:kern w:val="0"/>
                <w:sz w:val="18"/>
                <w:szCs w:val="18"/>
              </w:rPr>
              <w:t>万元。</w:t>
            </w:r>
            <w:r>
              <w:rPr>
                <w:color w:val="000000"/>
                <w:kern w:val="0"/>
                <w:sz w:val="18"/>
                <w:szCs w:val="18"/>
              </w:rPr>
              <w:br w:type="textWrapping"/>
            </w:r>
            <w:r>
              <w:rPr>
                <w:color w:val="000000"/>
                <w:kern w:val="0"/>
                <w:sz w:val="18"/>
                <w:szCs w:val="18"/>
              </w:rPr>
              <w:t>4.</w:t>
            </w:r>
            <w:r>
              <w:rPr>
                <w:rFonts w:hAnsi="宋体"/>
                <w:color w:val="000000"/>
                <w:kern w:val="0"/>
                <w:sz w:val="18"/>
                <w:szCs w:val="18"/>
              </w:rPr>
              <w:t>异地就医联网结算（住院）</w:t>
            </w:r>
            <w:r>
              <w:rPr>
                <w:color w:val="000000"/>
                <w:kern w:val="0"/>
                <w:sz w:val="18"/>
                <w:szCs w:val="18"/>
              </w:rPr>
              <w:t>1114</w:t>
            </w:r>
            <w:r>
              <w:rPr>
                <w:rFonts w:hAnsi="宋体"/>
                <w:color w:val="000000"/>
                <w:kern w:val="0"/>
                <w:sz w:val="18"/>
                <w:szCs w:val="18"/>
              </w:rPr>
              <w:t>人次，医保结算金额</w:t>
            </w:r>
            <w:r>
              <w:rPr>
                <w:color w:val="000000"/>
                <w:kern w:val="0"/>
                <w:sz w:val="18"/>
                <w:szCs w:val="18"/>
              </w:rPr>
              <w:t xml:space="preserve"> 375.92</w:t>
            </w:r>
            <w:r>
              <w:rPr>
                <w:rFonts w:hAnsi="宋体"/>
                <w:color w:val="000000"/>
                <w:kern w:val="0"/>
                <w:sz w:val="18"/>
                <w:szCs w:val="18"/>
              </w:rPr>
              <w:t>万元。</w:t>
            </w:r>
            <w:r>
              <w:rPr>
                <w:color w:val="000000"/>
                <w:kern w:val="0"/>
                <w:sz w:val="18"/>
                <w:szCs w:val="18"/>
              </w:rPr>
              <w:br w:type="textWrapping"/>
            </w:r>
            <w:r>
              <w:rPr>
                <w:color w:val="000000"/>
                <w:kern w:val="0"/>
                <w:sz w:val="18"/>
                <w:szCs w:val="18"/>
              </w:rPr>
              <w:t>5.</w:t>
            </w:r>
            <w:r>
              <w:rPr>
                <w:rFonts w:hAnsi="宋体"/>
                <w:color w:val="000000"/>
                <w:kern w:val="0"/>
                <w:sz w:val="18"/>
                <w:szCs w:val="18"/>
              </w:rPr>
              <w:t>审核生育保险待遇</w:t>
            </w:r>
            <w:r>
              <w:rPr>
                <w:color w:val="000000"/>
                <w:kern w:val="0"/>
                <w:sz w:val="18"/>
                <w:szCs w:val="18"/>
              </w:rPr>
              <w:t xml:space="preserve"> 410</w:t>
            </w:r>
            <w:r>
              <w:rPr>
                <w:rFonts w:hAnsi="宋体"/>
                <w:color w:val="000000"/>
                <w:kern w:val="0"/>
                <w:sz w:val="18"/>
                <w:szCs w:val="18"/>
              </w:rPr>
              <w:t>人次，支付生育保险基金</w:t>
            </w:r>
            <w:r>
              <w:rPr>
                <w:color w:val="000000"/>
                <w:kern w:val="0"/>
                <w:sz w:val="18"/>
                <w:szCs w:val="18"/>
              </w:rPr>
              <w:t xml:space="preserve"> 385.35</w:t>
            </w:r>
            <w:r>
              <w:rPr>
                <w:rFonts w:hAnsi="宋体"/>
                <w:color w:val="000000"/>
                <w:kern w:val="0"/>
                <w:sz w:val="18"/>
                <w:szCs w:val="18"/>
              </w:rPr>
              <w:t>万元。</w:t>
            </w:r>
          </w:p>
        </w:tc>
        <w:tc>
          <w:tcPr>
            <w:tcW w:w="876" w:type="dxa"/>
            <w:tcBorders>
              <w:top w:val="single" w:color="auto" w:sz="4" w:space="0"/>
              <w:left w:val="single" w:color="auto" w:sz="4" w:space="0"/>
              <w:bottom w:val="single" w:color="auto" w:sz="4" w:space="0"/>
              <w:right w:val="single" w:color="auto" w:sz="4" w:space="0"/>
            </w:tcBorders>
            <w:shd w:val="clear" w:color="auto" w:fill="auto"/>
            <w:vAlign w:val="center"/>
          </w:tcPr>
          <w:p w14:paraId="7396A4B5">
            <w:pPr>
              <w:widowControl/>
              <w:jc w:val="left"/>
              <w:rPr>
                <w:rFonts w:ascii="宋体" w:hAnsi="宋体" w:cs="宋体"/>
                <w:color w:val="000000"/>
                <w:kern w:val="0"/>
                <w:sz w:val="18"/>
                <w:szCs w:val="18"/>
              </w:rPr>
            </w:pPr>
            <w:r>
              <w:rPr>
                <w:rFonts w:hint="eastAsia" w:ascii="宋体" w:hAnsi="宋体" w:cs="宋体"/>
                <w:color w:val="000000"/>
                <w:kern w:val="0"/>
                <w:sz w:val="18"/>
                <w:szCs w:val="18"/>
              </w:rPr>
              <w:t>参保人员满意95%及以上。</w:t>
            </w:r>
          </w:p>
        </w:tc>
      </w:tr>
      <w:tr w14:paraId="2082A660">
        <w:tblPrEx>
          <w:tblCellMar>
            <w:top w:w="0" w:type="dxa"/>
            <w:left w:w="108" w:type="dxa"/>
            <w:bottom w:w="0" w:type="dxa"/>
            <w:right w:w="108" w:type="dxa"/>
          </w:tblCellMar>
        </w:tblPrEx>
        <w:trPr>
          <w:trHeight w:val="996" w:hRule="atLeast"/>
        </w:trPr>
        <w:tc>
          <w:tcPr>
            <w:tcW w:w="462" w:type="dxa"/>
            <w:tcBorders>
              <w:top w:val="nil"/>
              <w:left w:val="single" w:color="auto" w:sz="4" w:space="0"/>
              <w:bottom w:val="single" w:color="auto" w:sz="4" w:space="0"/>
              <w:right w:val="single" w:color="auto" w:sz="4" w:space="0"/>
            </w:tcBorders>
            <w:shd w:val="clear" w:color="auto" w:fill="auto"/>
            <w:vAlign w:val="center"/>
          </w:tcPr>
          <w:p w14:paraId="21469421">
            <w:pPr>
              <w:widowControl/>
              <w:jc w:val="center"/>
              <w:rPr>
                <w:color w:val="000000"/>
                <w:kern w:val="0"/>
                <w:sz w:val="18"/>
                <w:szCs w:val="18"/>
              </w:rPr>
            </w:pPr>
            <w:r>
              <w:rPr>
                <w:color w:val="000000"/>
                <w:kern w:val="0"/>
                <w:sz w:val="18"/>
                <w:szCs w:val="18"/>
              </w:rPr>
              <w:t>2</w:t>
            </w:r>
          </w:p>
        </w:tc>
        <w:tc>
          <w:tcPr>
            <w:tcW w:w="1017" w:type="dxa"/>
            <w:tcBorders>
              <w:top w:val="nil"/>
              <w:left w:val="nil"/>
              <w:bottom w:val="single" w:color="auto" w:sz="4" w:space="0"/>
              <w:right w:val="single" w:color="auto" w:sz="4" w:space="0"/>
            </w:tcBorders>
            <w:shd w:val="clear" w:color="auto" w:fill="auto"/>
            <w:vAlign w:val="center"/>
          </w:tcPr>
          <w:p w14:paraId="6EB7E6B5">
            <w:pPr>
              <w:widowControl/>
              <w:jc w:val="center"/>
              <w:rPr>
                <w:color w:val="000000"/>
                <w:kern w:val="0"/>
                <w:sz w:val="18"/>
                <w:szCs w:val="18"/>
              </w:rPr>
            </w:pPr>
            <w:r>
              <w:rPr>
                <w:rFonts w:hAnsi="宋体"/>
                <w:color w:val="000000"/>
                <w:kern w:val="0"/>
                <w:sz w:val="18"/>
                <w:szCs w:val="18"/>
              </w:rPr>
              <w:t>办公室物业管理费</w:t>
            </w:r>
          </w:p>
        </w:tc>
        <w:tc>
          <w:tcPr>
            <w:tcW w:w="1536" w:type="dxa"/>
            <w:tcBorders>
              <w:top w:val="nil"/>
              <w:left w:val="nil"/>
              <w:bottom w:val="single" w:color="auto" w:sz="4" w:space="0"/>
              <w:right w:val="single" w:color="auto" w:sz="4" w:space="0"/>
            </w:tcBorders>
            <w:shd w:val="clear" w:color="auto" w:fill="auto"/>
            <w:noWrap/>
            <w:vAlign w:val="center"/>
          </w:tcPr>
          <w:p w14:paraId="5265D64F">
            <w:pPr>
              <w:widowControl/>
              <w:jc w:val="center"/>
              <w:rPr>
                <w:color w:val="000000"/>
                <w:kern w:val="0"/>
                <w:sz w:val="18"/>
                <w:szCs w:val="18"/>
              </w:rPr>
            </w:pPr>
            <w:r>
              <w:rPr>
                <w:color w:val="000000"/>
                <w:kern w:val="0"/>
                <w:sz w:val="18"/>
                <w:szCs w:val="18"/>
              </w:rPr>
              <w:t>65,033</w:t>
            </w:r>
          </w:p>
        </w:tc>
        <w:tc>
          <w:tcPr>
            <w:tcW w:w="2246" w:type="dxa"/>
            <w:tcBorders>
              <w:top w:val="nil"/>
              <w:left w:val="nil"/>
              <w:bottom w:val="single" w:color="auto" w:sz="4" w:space="0"/>
              <w:right w:val="single" w:color="auto" w:sz="4" w:space="0"/>
            </w:tcBorders>
            <w:shd w:val="clear" w:color="auto" w:fill="auto"/>
            <w:vAlign w:val="center"/>
          </w:tcPr>
          <w:p w14:paraId="790F3957">
            <w:pPr>
              <w:widowControl/>
              <w:rPr>
                <w:color w:val="000000"/>
                <w:kern w:val="0"/>
                <w:sz w:val="18"/>
                <w:szCs w:val="18"/>
              </w:rPr>
            </w:pPr>
            <w:r>
              <w:rPr>
                <w:rFonts w:hAnsi="宋体"/>
                <w:color w:val="000000"/>
                <w:kern w:val="0"/>
                <w:sz w:val="18"/>
                <w:szCs w:val="18"/>
              </w:rPr>
              <w:t>为办事群众及工作人员提供办事区域安全保卫、绿化、环卫、车辆管理等。</w:t>
            </w:r>
          </w:p>
        </w:tc>
        <w:tc>
          <w:tcPr>
            <w:tcW w:w="1559" w:type="dxa"/>
            <w:tcBorders>
              <w:top w:val="nil"/>
              <w:left w:val="nil"/>
              <w:bottom w:val="single" w:color="auto" w:sz="4" w:space="0"/>
              <w:right w:val="nil"/>
            </w:tcBorders>
            <w:shd w:val="clear" w:color="auto" w:fill="auto"/>
            <w:vAlign w:val="center"/>
          </w:tcPr>
          <w:p w14:paraId="0613C01C">
            <w:pPr>
              <w:widowControl/>
              <w:rPr>
                <w:color w:val="000000"/>
                <w:kern w:val="0"/>
                <w:sz w:val="18"/>
                <w:szCs w:val="18"/>
              </w:rPr>
            </w:pPr>
            <w:r>
              <w:rPr>
                <w:rFonts w:hAnsi="宋体"/>
                <w:color w:val="000000"/>
                <w:kern w:val="0"/>
                <w:sz w:val="18"/>
                <w:szCs w:val="18"/>
              </w:rPr>
              <w:t>美化办公区域环境</w:t>
            </w:r>
            <w:r>
              <w:rPr>
                <w:color w:val="000000"/>
                <w:kern w:val="0"/>
                <w:sz w:val="18"/>
                <w:szCs w:val="18"/>
              </w:rPr>
              <w:t>:1268.2</w:t>
            </w:r>
            <w:r>
              <w:rPr>
                <w:rFonts w:hAnsi="宋体"/>
                <w:color w:val="000000"/>
                <w:kern w:val="0"/>
                <w:sz w:val="18"/>
                <w:szCs w:val="18"/>
              </w:rPr>
              <w:t>平方米</w:t>
            </w:r>
          </w:p>
        </w:tc>
        <w:tc>
          <w:tcPr>
            <w:tcW w:w="1451" w:type="dxa"/>
            <w:tcBorders>
              <w:top w:val="nil"/>
              <w:left w:val="single" w:color="auto" w:sz="4" w:space="0"/>
              <w:bottom w:val="single" w:color="auto" w:sz="4" w:space="0"/>
              <w:right w:val="nil"/>
            </w:tcBorders>
            <w:shd w:val="clear" w:color="auto" w:fill="auto"/>
            <w:vAlign w:val="center"/>
          </w:tcPr>
          <w:p w14:paraId="7CA2930C">
            <w:pPr>
              <w:widowControl/>
              <w:rPr>
                <w:color w:val="000000"/>
                <w:kern w:val="0"/>
                <w:sz w:val="18"/>
                <w:szCs w:val="18"/>
              </w:rPr>
            </w:pPr>
            <w:r>
              <w:rPr>
                <w:rFonts w:hAnsi="宋体"/>
                <w:color w:val="000000"/>
                <w:kern w:val="0"/>
                <w:sz w:val="18"/>
                <w:szCs w:val="18"/>
              </w:rPr>
              <w:t>保持办公区域内无杂物、污渍</w:t>
            </w:r>
            <w:r>
              <w:rPr>
                <w:color w:val="000000"/>
                <w:kern w:val="0"/>
                <w:sz w:val="18"/>
                <w:szCs w:val="18"/>
              </w:rPr>
              <w:t>:</w:t>
            </w:r>
            <w:r>
              <w:rPr>
                <w:rFonts w:hAnsi="宋体"/>
                <w:color w:val="000000"/>
                <w:kern w:val="0"/>
                <w:sz w:val="18"/>
                <w:szCs w:val="18"/>
              </w:rPr>
              <w:t>每周一次、每天随时清洁、擦拭</w:t>
            </w:r>
          </w:p>
        </w:tc>
        <w:tc>
          <w:tcPr>
            <w:tcW w:w="1488" w:type="dxa"/>
            <w:tcBorders>
              <w:top w:val="nil"/>
              <w:left w:val="single" w:color="auto" w:sz="4" w:space="0"/>
              <w:bottom w:val="single" w:color="auto" w:sz="4" w:space="0"/>
              <w:right w:val="nil"/>
            </w:tcBorders>
            <w:shd w:val="clear" w:color="auto" w:fill="auto"/>
            <w:vAlign w:val="center"/>
          </w:tcPr>
          <w:p w14:paraId="016AB9B2">
            <w:pPr>
              <w:widowControl/>
              <w:rPr>
                <w:color w:val="000000"/>
                <w:kern w:val="0"/>
                <w:sz w:val="18"/>
                <w:szCs w:val="18"/>
              </w:rPr>
            </w:pPr>
            <w:r>
              <w:rPr>
                <w:rFonts w:hAnsi="宋体"/>
                <w:color w:val="000000"/>
                <w:kern w:val="0"/>
                <w:sz w:val="18"/>
                <w:szCs w:val="18"/>
              </w:rPr>
              <w:t>合同每年一签</w:t>
            </w:r>
            <w:r>
              <w:rPr>
                <w:color w:val="000000"/>
                <w:kern w:val="0"/>
                <w:sz w:val="18"/>
                <w:szCs w:val="18"/>
              </w:rPr>
              <w:t>:2020</w:t>
            </w:r>
            <w:r>
              <w:rPr>
                <w:rFonts w:hAnsi="宋体"/>
                <w:color w:val="000000"/>
                <w:kern w:val="0"/>
                <w:sz w:val="18"/>
                <w:szCs w:val="18"/>
              </w:rPr>
              <w:t>年</w:t>
            </w:r>
            <w:r>
              <w:rPr>
                <w:color w:val="000000"/>
                <w:kern w:val="0"/>
                <w:sz w:val="18"/>
                <w:szCs w:val="18"/>
              </w:rPr>
              <w:t>1</w:t>
            </w:r>
            <w:r>
              <w:rPr>
                <w:rFonts w:hAnsi="宋体"/>
                <w:color w:val="000000"/>
                <w:kern w:val="0"/>
                <w:sz w:val="18"/>
                <w:szCs w:val="18"/>
              </w:rPr>
              <w:t>月</w:t>
            </w:r>
            <w:r>
              <w:rPr>
                <w:color w:val="000000"/>
                <w:kern w:val="0"/>
                <w:sz w:val="18"/>
                <w:szCs w:val="18"/>
              </w:rPr>
              <w:t>1</w:t>
            </w:r>
            <w:r>
              <w:rPr>
                <w:rFonts w:hAnsi="宋体"/>
                <w:color w:val="000000"/>
                <w:kern w:val="0"/>
                <w:sz w:val="18"/>
                <w:szCs w:val="18"/>
              </w:rPr>
              <w:t>日</w:t>
            </w:r>
            <w:r>
              <w:rPr>
                <w:color w:val="000000"/>
                <w:kern w:val="0"/>
                <w:sz w:val="18"/>
                <w:szCs w:val="18"/>
              </w:rPr>
              <w:t>-2020</w:t>
            </w:r>
            <w:r>
              <w:rPr>
                <w:rFonts w:hAnsi="宋体"/>
                <w:color w:val="000000"/>
                <w:kern w:val="0"/>
                <w:sz w:val="18"/>
                <w:szCs w:val="18"/>
              </w:rPr>
              <w:t>年</w:t>
            </w:r>
            <w:r>
              <w:rPr>
                <w:color w:val="000000"/>
                <w:kern w:val="0"/>
                <w:sz w:val="18"/>
                <w:szCs w:val="18"/>
              </w:rPr>
              <w:t>12</w:t>
            </w:r>
            <w:r>
              <w:rPr>
                <w:rFonts w:hAnsi="宋体"/>
                <w:color w:val="000000"/>
                <w:kern w:val="0"/>
                <w:sz w:val="18"/>
                <w:szCs w:val="18"/>
              </w:rPr>
              <w:t>月</w:t>
            </w:r>
            <w:r>
              <w:rPr>
                <w:color w:val="000000"/>
                <w:kern w:val="0"/>
                <w:sz w:val="18"/>
                <w:szCs w:val="18"/>
              </w:rPr>
              <w:t>31</w:t>
            </w:r>
            <w:r>
              <w:rPr>
                <w:rFonts w:hAnsi="宋体"/>
                <w:color w:val="000000"/>
                <w:kern w:val="0"/>
                <w:sz w:val="18"/>
                <w:szCs w:val="18"/>
              </w:rPr>
              <w:t>日</w:t>
            </w:r>
          </w:p>
        </w:tc>
        <w:tc>
          <w:tcPr>
            <w:tcW w:w="1659" w:type="dxa"/>
            <w:tcBorders>
              <w:top w:val="nil"/>
              <w:left w:val="single" w:color="auto" w:sz="4" w:space="0"/>
              <w:bottom w:val="single" w:color="auto" w:sz="4" w:space="0"/>
              <w:right w:val="nil"/>
            </w:tcBorders>
            <w:shd w:val="clear" w:color="auto" w:fill="auto"/>
            <w:vAlign w:val="center"/>
          </w:tcPr>
          <w:p w14:paraId="46B936B0">
            <w:pPr>
              <w:widowControl/>
              <w:rPr>
                <w:color w:val="000000"/>
                <w:kern w:val="0"/>
                <w:sz w:val="18"/>
                <w:szCs w:val="18"/>
              </w:rPr>
            </w:pPr>
          </w:p>
        </w:tc>
        <w:tc>
          <w:tcPr>
            <w:tcW w:w="3519" w:type="dxa"/>
            <w:tcBorders>
              <w:top w:val="nil"/>
              <w:left w:val="single" w:color="auto" w:sz="4" w:space="0"/>
              <w:bottom w:val="single" w:color="auto" w:sz="4" w:space="0"/>
              <w:right w:val="single" w:color="auto" w:sz="4" w:space="0"/>
            </w:tcBorders>
            <w:shd w:val="clear" w:color="auto" w:fill="auto"/>
            <w:vAlign w:val="center"/>
          </w:tcPr>
          <w:p w14:paraId="2514218C">
            <w:pPr>
              <w:widowControl/>
              <w:rPr>
                <w:color w:val="000000"/>
                <w:kern w:val="0"/>
                <w:sz w:val="18"/>
                <w:szCs w:val="18"/>
              </w:rPr>
            </w:pPr>
            <w:r>
              <w:rPr>
                <w:rFonts w:hAnsi="宋体"/>
                <w:color w:val="000000"/>
                <w:kern w:val="0"/>
                <w:sz w:val="18"/>
                <w:szCs w:val="18"/>
              </w:rPr>
              <w:t>每天区域内清洁度≧</w:t>
            </w:r>
            <w:r>
              <w:rPr>
                <w:color w:val="000000"/>
                <w:kern w:val="0"/>
                <w:sz w:val="18"/>
                <w:szCs w:val="18"/>
              </w:rPr>
              <w:t xml:space="preserve">95% </w:t>
            </w:r>
            <w:r>
              <w:rPr>
                <w:rFonts w:hAnsi="宋体"/>
                <w:color w:val="000000"/>
                <w:kern w:val="0"/>
                <w:sz w:val="18"/>
                <w:szCs w:val="18"/>
              </w:rPr>
              <w:t>，使办公区域保持整洁有序。</w:t>
            </w:r>
          </w:p>
        </w:tc>
        <w:tc>
          <w:tcPr>
            <w:tcW w:w="876" w:type="dxa"/>
            <w:tcBorders>
              <w:top w:val="nil"/>
              <w:left w:val="nil"/>
              <w:bottom w:val="single" w:color="auto" w:sz="4" w:space="0"/>
              <w:right w:val="single" w:color="auto" w:sz="4" w:space="0"/>
            </w:tcBorders>
            <w:shd w:val="clear" w:color="auto" w:fill="auto"/>
            <w:vAlign w:val="center"/>
          </w:tcPr>
          <w:p w14:paraId="24CE8D1C">
            <w:pPr>
              <w:widowControl/>
              <w:jc w:val="left"/>
              <w:rPr>
                <w:rFonts w:ascii="宋体" w:hAnsi="宋体" w:cs="宋体"/>
                <w:color w:val="000000"/>
                <w:kern w:val="0"/>
                <w:sz w:val="18"/>
                <w:szCs w:val="18"/>
              </w:rPr>
            </w:pPr>
            <w:r>
              <w:rPr>
                <w:rFonts w:hint="eastAsia" w:ascii="宋体" w:hAnsi="宋体" w:cs="宋体"/>
                <w:color w:val="000000"/>
                <w:kern w:val="0"/>
                <w:sz w:val="18"/>
                <w:szCs w:val="18"/>
              </w:rPr>
              <w:t>服务本区域内工作人员满意度95%及以上。</w:t>
            </w:r>
          </w:p>
        </w:tc>
      </w:tr>
      <w:tr w14:paraId="2CF1B85B">
        <w:tblPrEx>
          <w:tblCellMar>
            <w:top w:w="0" w:type="dxa"/>
            <w:left w:w="108" w:type="dxa"/>
            <w:bottom w:w="0" w:type="dxa"/>
            <w:right w:w="108" w:type="dxa"/>
          </w:tblCellMar>
        </w:tblPrEx>
        <w:trPr>
          <w:trHeight w:val="1212" w:hRule="atLeast"/>
        </w:trPr>
        <w:tc>
          <w:tcPr>
            <w:tcW w:w="462" w:type="dxa"/>
            <w:tcBorders>
              <w:top w:val="nil"/>
              <w:left w:val="single" w:color="auto" w:sz="4" w:space="0"/>
              <w:bottom w:val="single" w:color="auto" w:sz="4" w:space="0"/>
              <w:right w:val="single" w:color="auto" w:sz="4" w:space="0"/>
            </w:tcBorders>
            <w:shd w:val="clear" w:color="auto" w:fill="auto"/>
            <w:vAlign w:val="center"/>
          </w:tcPr>
          <w:p w14:paraId="7F839538">
            <w:pPr>
              <w:widowControl/>
              <w:jc w:val="center"/>
              <w:rPr>
                <w:color w:val="000000"/>
                <w:kern w:val="0"/>
                <w:sz w:val="18"/>
                <w:szCs w:val="18"/>
              </w:rPr>
            </w:pPr>
            <w:r>
              <w:rPr>
                <w:color w:val="000000"/>
                <w:kern w:val="0"/>
                <w:sz w:val="18"/>
                <w:szCs w:val="18"/>
              </w:rPr>
              <w:t>3</w:t>
            </w:r>
          </w:p>
        </w:tc>
        <w:tc>
          <w:tcPr>
            <w:tcW w:w="1017" w:type="dxa"/>
            <w:tcBorders>
              <w:top w:val="nil"/>
              <w:left w:val="nil"/>
              <w:bottom w:val="single" w:color="auto" w:sz="4" w:space="0"/>
              <w:right w:val="single" w:color="auto" w:sz="4" w:space="0"/>
            </w:tcBorders>
            <w:shd w:val="clear" w:color="auto" w:fill="auto"/>
            <w:vAlign w:val="center"/>
          </w:tcPr>
          <w:p w14:paraId="5110E575">
            <w:pPr>
              <w:widowControl/>
              <w:jc w:val="center"/>
              <w:rPr>
                <w:color w:val="000000"/>
                <w:kern w:val="0"/>
                <w:sz w:val="18"/>
                <w:szCs w:val="18"/>
              </w:rPr>
            </w:pPr>
            <w:r>
              <w:rPr>
                <w:color w:val="000000"/>
                <w:kern w:val="0"/>
                <w:sz w:val="18"/>
                <w:szCs w:val="18"/>
              </w:rPr>
              <w:t>“</w:t>
            </w:r>
            <w:r>
              <w:rPr>
                <w:rFonts w:hAnsi="宋体"/>
                <w:color w:val="000000"/>
                <w:kern w:val="0"/>
                <w:sz w:val="18"/>
                <w:szCs w:val="18"/>
              </w:rPr>
              <w:t>村医通</w:t>
            </w:r>
            <w:r>
              <w:rPr>
                <w:color w:val="000000"/>
                <w:kern w:val="0"/>
                <w:sz w:val="18"/>
                <w:szCs w:val="18"/>
              </w:rPr>
              <w:t>”</w:t>
            </w:r>
            <w:r>
              <w:rPr>
                <w:rFonts w:hAnsi="宋体"/>
                <w:color w:val="000000"/>
                <w:kern w:val="0"/>
                <w:sz w:val="18"/>
                <w:szCs w:val="18"/>
              </w:rPr>
              <w:t>专项工作经费</w:t>
            </w:r>
          </w:p>
        </w:tc>
        <w:tc>
          <w:tcPr>
            <w:tcW w:w="1536" w:type="dxa"/>
            <w:tcBorders>
              <w:top w:val="nil"/>
              <w:left w:val="nil"/>
              <w:bottom w:val="single" w:color="000000" w:sz="4" w:space="0"/>
              <w:right w:val="single" w:color="000000" w:sz="4" w:space="0"/>
            </w:tcBorders>
            <w:shd w:val="clear" w:color="auto" w:fill="auto"/>
            <w:noWrap/>
            <w:vAlign w:val="center"/>
          </w:tcPr>
          <w:p w14:paraId="67CB7C46">
            <w:pPr>
              <w:widowControl/>
              <w:jc w:val="center"/>
              <w:rPr>
                <w:color w:val="000000"/>
                <w:kern w:val="0"/>
                <w:sz w:val="22"/>
              </w:rPr>
            </w:pPr>
            <w:r>
              <w:rPr>
                <w:color w:val="000000"/>
                <w:kern w:val="0"/>
                <w:sz w:val="22"/>
              </w:rPr>
              <w:t>12,286.49</w:t>
            </w:r>
          </w:p>
        </w:tc>
        <w:tc>
          <w:tcPr>
            <w:tcW w:w="2246" w:type="dxa"/>
            <w:tcBorders>
              <w:top w:val="nil"/>
              <w:left w:val="nil"/>
              <w:bottom w:val="single" w:color="auto" w:sz="4" w:space="0"/>
              <w:right w:val="single" w:color="auto" w:sz="4" w:space="0"/>
            </w:tcBorders>
            <w:shd w:val="clear" w:color="auto" w:fill="auto"/>
            <w:vAlign w:val="center"/>
          </w:tcPr>
          <w:p w14:paraId="0E30DDD2">
            <w:pPr>
              <w:widowControl/>
              <w:rPr>
                <w:color w:val="000000"/>
                <w:kern w:val="0"/>
                <w:sz w:val="18"/>
                <w:szCs w:val="18"/>
              </w:rPr>
            </w:pPr>
            <w:r>
              <w:rPr>
                <w:rFonts w:hAnsi="宋体"/>
                <w:color w:val="000000"/>
                <w:kern w:val="0"/>
                <w:sz w:val="18"/>
                <w:szCs w:val="18"/>
              </w:rPr>
              <w:t>保障村卫生室医保就医结算业务能够正常办理，切实解决偏远地区老百姓普通门诊医疗费用报销问题</w:t>
            </w:r>
          </w:p>
        </w:tc>
        <w:tc>
          <w:tcPr>
            <w:tcW w:w="1559" w:type="dxa"/>
            <w:tcBorders>
              <w:top w:val="nil"/>
              <w:left w:val="nil"/>
              <w:bottom w:val="single" w:color="auto" w:sz="4" w:space="0"/>
              <w:right w:val="nil"/>
            </w:tcBorders>
            <w:shd w:val="clear" w:color="auto" w:fill="auto"/>
            <w:vAlign w:val="center"/>
          </w:tcPr>
          <w:p w14:paraId="1794BDEF">
            <w:pPr>
              <w:widowControl/>
              <w:rPr>
                <w:color w:val="000000"/>
                <w:kern w:val="0"/>
                <w:sz w:val="18"/>
                <w:szCs w:val="18"/>
              </w:rPr>
            </w:pPr>
            <w:r>
              <w:rPr>
                <w:rFonts w:hAnsi="宋体"/>
                <w:color w:val="000000"/>
                <w:kern w:val="0"/>
                <w:sz w:val="18"/>
                <w:szCs w:val="18"/>
              </w:rPr>
              <w:t>全县所有村卫生室开通金保</w:t>
            </w:r>
            <w:r>
              <w:rPr>
                <w:rFonts w:hint="eastAsia" w:hAnsi="宋体"/>
                <w:color w:val="000000"/>
                <w:kern w:val="0"/>
                <w:sz w:val="18"/>
                <w:szCs w:val="18"/>
              </w:rPr>
              <w:t>系统</w:t>
            </w:r>
            <w:r>
              <w:rPr>
                <w:color w:val="000000"/>
                <w:kern w:val="0"/>
                <w:sz w:val="18"/>
                <w:szCs w:val="18"/>
              </w:rPr>
              <w:t>:87</w:t>
            </w:r>
            <w:r>
              <w:rPr>
                <w:rFonts w:hAnsi="宋体"/>
                <w:color w:val="000000"/>
                <w:kern w:val="0"/>
                <w:sz w:val="18"/>
                <w:szCs w:val="18"/>
              </w:rPr>
              <w:t>个村卫生室</w:t>
            </w:r>
          </w:p>
        </w:tc>
        <w:tc>
          <w:tcPr>
            <w:tcW w:w="1451" w:type="dxa"/>
            <w:tcBorders>
              <w:top w:val="nil"/>
              <w:left w:val="single" w:color="auto" w:sz="4" w:space="0"/>
              <w:bottom w:val="single" w:color="auto" w:sz="4" w:space="0"/>
              <w:right w:val="nil"/>
            </w:tcBorders>
            <w:shd w:val="clear" w:color="auto" w:fill="auto"/>
            <w:vAlign w:val="center"/>
          </w:tcPr>
          <w:p w14:paraId="13F1299F">
            <w:pPr>
              <w:widowControl/>
              <w:rPr>
                <w:color w:val="000000"/>
                <w:kern w:val="0"/>
                <w:sz w:val="18"/>
                <w:szCs w:val="18"/>
              </w:rPr>
            </w:pPr>
            <w:r>
              <w:rPr>
                <w:rFonts w:hAnsi="宋体"/>
                <w:color w:val="000000"/>
                <w:kern w:val="0"/>
                <w:sz w:val="18"/>
                <w:szCs w:val="18"/>
              </w:rPr>
              <w:t>村卫生室金保网开通率</w:t>
            </w:r>
            <w:r>
              <w:rPr>
                <w:color w:val="000000"/>
                <w:kern w:val="0"/>
                <w:sz w:val="18"/>
                <w:szCs w:val="18"/>
              </w:rPr>
              <w:t>:≥95</w:t>
            </w:r>
          </w:p>
        </w:tc>
        <w:tc>
          <w:tcPr>
            <w:tcW w:w="1488" w:type="dxa"/>
            <w:tcBorders>
              <w:top w:val="nil"/>
              <w:left w:val="single" w:color="auto" w:sz="4" w:space="0"/>
              <w:bottom w:val="single" w:color="auto" w:sz="4" w:space="0"/>
              <w:right w:val="nil"/>
            </w:tcBorders>
            <w:shd w:val="clear" w:color="auto" w:fill="auto"/>
            <w:vAlign w:val="center"/>
          </w:tcPr>
          <w:p w14:paraId="19E2C8EB">
            <w:pPr>
              <w:widowControl/>
              <w:rPr>
                <w:color w:val="000000"/>
                <w:kern w:val="0"/>
                <w:sz w:val="18"/>
                <w:szCs w:val="18"/>
              </w:rPr>
            </w:pPr>
            <w:r>
              <w:rPr>
                <w:color w:val="000000"/>
                <w:kern w:val="0"/>
                <w:sz w:val="18"/>
                <w:szCs w:val="18"/>
              </w:rPr>
              <w:t>2020</w:t>
            </w:r>
            <w:r>
              <w:rPr>
                <w:rFonts w:hAnsi="宋体"/>
                <w:color w:val="000000"/>
                <w:kern w:val="0"/>
                <w:sz w:val="18"/>
                <w:szCs w:val="18"/>
              </w:rPr>
              <w:t>年</w:t>
            </w:r>
            <w:r>
              <w:rPr>
                <w:color w:val="000000"/>
                <w:kern w:val="0"/>
                <w:sz w:val="18"/>
                <w:szCs w:val="18"/>
              </w:rPr>
              <w:t>6</w:t>
            </w:r>
            <w:r>
              <w:rPr>
                <w:rFonts w:hAnsi="宋体"/>
                <w:color w:val="000000"/>
                <w:kern w:val="0"/>
                <w:sz w:val="18"/>
                <w:szCs w:val="18"/>
              </w:rPr>
              <w:t>月前完成</w:t>
            </w:r>
            <w:r>
              <w:rPr>
                <w:color w:val="000000"/>
                <w:kern w:val="0"/>
                <w:sz w:val="18"/>
                <w:szCs w:val="18"/>
              </w:rPr>
              <w:t>:87</w:t>
            </w:r>
            <w:r>
              <w:rPr>
                <w:rFonts w:hAnsi="宋体"/>
                <w:color w:val="000000"/>
                <w:kern w:val="0"/>
                <w:sz w:val="18"/>
                <w:szCs w:val="18"/>
              </w:rPr>
              <w:t>个村卫生室</w:t>
            </w:r>
          </w:p>
        </w:tc>
        <w:tc>
          <w:tcPr>
            <w:tcW w:w="1659" w:type="dxa"/>
            <w:tcBorders>
              <w:top w:val="nil"/>
              <w:left w:val="single" w:color="auto" w:sz="4" w:space="0"/>
              <w:bottom w:val="single" w:color="auto" w:sz="4" w:space="0"/>
              <w:right w:val="nil"/>
            </w:tcBorders>
            <w:shd w:val="clear" w:color="auto" w:fill="auto"/>
            <w:vAlign w:val="center"/>
          </w:tcPr>
          <w:p w14:paraId="47B6CCA3">
            <w:pPr>
              <w:widowControl/>
              <w:rPr>
                <w:color w:val="000000"/>
                <w:kern w:val="0"/>
                <w:sz w:val="18"/>
                <w:szCs w:val="18"/>
              </w:rPr>
            </w:pPr>
            <w:r>
              <w:rPr>
                <w:rFonts w:hAnsi="宋体"/>
                <w:color w:val="000000"/>
                <w:kern w:val="0"/>
                <w:sz w:val="18"/>
                <w:szCs w:val="18"/>
              </w:rPr>
              <w:t>村级就医结算率</w:t>
            </w:r>
            <w:r>
              <w:rPr>
                <w:color w:val="000000"/>
                <w:kern w:val="0"/>
                <w:sz w:val="18"/>
                <w:szCs w:val="18"/>
              </w:rPr>
              <w:t>:90</w:t>
            </w:r>
            <w:r>
              <w:rPr>
                <w:rFonts w:hAnsi="宋体"/>
                <w:color w:val="000000"/>
                <w:kern w:val="0"/>
                <w:sz w:val="18"/>
                <w:szCs w:val="18"/>
              </w:rPr>
              <w:t>及以上</w:t>
            </w:r>
          </w:p>
        </w:tc>
        <w:tc>
          <w:tcPr>
            <w:tcW w:w="3519" w:type="dxa"/>
            <w:tcBorders>
              <w:top w:val="nil"/>
              <w:left w:val="single" w:color="auto" w:sz="4" w:space="0"/>
              <w:bottom w:val="single" w:color="auto" w:sz="4" w:space="0"/>
              <w:right w:val="single" w:color="auto" w:sz="4" w:space="0"/>
            </w:tcBorders>
            <w:shd w:val="clear" w:color="auto" w:fill="auto"/>
            <w:vAlign w:val="center"/>
          </w:tcPr>
          <w:p w14:paraId="42B579A3">
            <w:pPr>
              <w:widowControl/>
              <w:rPr>
                <w:color w:val="000000"/>
                <w:kern w:val="0"/>
                <w:sz w:val="18"/>
                <w:szCs w:val="18"/>
              </w:rPr>
            </w:pPr>
            <w:r>
              <w:rPr>
                <w:rFonts w:hAnsi="宋体"/>
                <w:color w:val="000000"/>
                <w:kern w:val="0"/>
                <w:sz w:val="18"/>
                <w:szCs w:val="18"/>
              </w:rPr>
              <w:t>全面完成</w:t>
            </w:r>
            <w:r>
              <w:rPr>
                <w:color w:val="000000"/>
                <w:kern w:val="0"/>
                <w:sz w:val="18"/>
                <w:szCs w:val="18"/>
              </w:rPr>
              <w:t>2</w:t>
            </w:r>
            <w:r>
              <w:rPr>
                <w:rFonts w:hint="eastAsia"/>
                <w:color w:val="000000"/>
                <w:kern w:val="0"/>
                <w:sz w:val="18"/>
                <w:szCs w:val="18"/>
              </w:rPr>
              <w:t>8</w:t>
            </w:r>
            <w:r>
              <w:rPr>
                <w:rFonts w:hAnsi="宋体"/>
                <w:color w:val="000000"/>
                <w:kern w:val="0"/>
                <w:sz w:val="18"/>
                <w:szCs w:val="18"/>
              </w:rPr>
              <w:t>个贫困村</w:t>
            </w:r>
            <w:r>
              <w:rPr>
                <w:color w:val="000000"/>
                <w:kern w:val="0"/>
                <w:sz w:val="18"/>
                <w:szCs w:val="18"/>
              </w:rPr>
              <w:t>“</w:t>
            </w:r>
            <w:r>
              <w:rPr>
                <w:rFonts w:hAnsi="宋体"/>
                <w:color w:val="000000"/>
                <w:kern w:val="0"/>
                <w:sz w:val="18"/>
                <w:szCs w:val="18"/>
              </w:rPr>
              <w:t>村医通</w:t>
            </w:r>
            <w:r>
              <w:rPr>
                <w:color w:val="000000"/>
                <w:kern w:val="0"/>
                <w:sz w:val="18"/>
                <w:szCs w:val="18"/>
              </w:rPr>
              <w:t>”</w:t>
            </w:r>
            <w:r>
              <w:rPr>
                <w:rFonts w:hAnsi="宋体"/>
                <w:color w:val="000000"/>
                <w:kern w:val="0"/>
                <w:sz w:val="18"/>
                <w:szCs w:val="18"/>
              </w:rPr>
              <w:t>医保即时结算系统的安装工作，让贫困人口足不出村即在</w:t>
            </w:r>
            <w:r>
              <w:rPr>
                <w:color w:val="000000"/>
                <w:kern w:val="0"/>
                <w:sz w:val="18"/>
                <w:szCs w:val="18"/>
              </w:rPr>
              <w:t>“</w:t>
            </w:r>
            <w:r>
              <w:rPr>
                <w:rFonts w:hAnsi="宋体"/>
                <w:color w:val="000000"/>
                <w:kern w:val="0"/>
                <w:sz w:val="18"/>
                <w:szCs w:val="18"/>
              </w:rPr>
              <w:t>家门口</w:t>
            </w:r>
            <w:r>
              <w:rPr>
                <w:color w:val="000000"/>
                <w:kern w:val="0"/>
                <w:sz w:val="18"/>
                <w:szCs w:val="18"/>
              </w:rPr>
              <w:t>”</w:t>
            </w:r>
            <w:r>
              <w:rPr>
                <w:rFonts w:hAnsi="宋体"/>
                <w:color w:val="000000"/>
                <w:kern w:val="0"/>
                <w:sz w:val="18"/>
                <w:szCs w:val="18"/>
              </w:rPr>
              <w:t>就能享受到医保报销政策。</w:t>
            </w:r>
            <w:r>
              <w:rPr>
                <w:color w:val="000000"/>
                <w:kern w:val="0"/>
                <w:sz w:val="18"/>
                <w:szCs w:val="18"/>
              </w:rPr>
              <w:t>2020</w:t>
            </w:r>
            <w:r>
              <w:rPr>
                <w:rFonts w:hAnsi="宋体"/>
                <w:color w:val="000000"/>
                <w:kern w:val="0"/>
                <w:sz w:val="18"/>
                <w:szCs w:val="18"/>
              </w:rPr>
              <w:t>年，</w:t>
            </w:r>
            <w:r>
              <w:rPr>
                <w:color w:val="000000"/>
                <w:kern w:val="0"/>
                <w:sz w:val="18"/>
                <w:szCs w:val="18"/>
              </w:rPr>
              <w:t>“</w:t>
            </w:r>
            <w:r>
              <w:rPr>
                <w:rFonts w:hAnsi="宋体"/>
                <w:color w:val="000000"/>
                <w:kern w:val="0"/>
                <w:sz w:val="18"/>
                <w:szCs w:val="18"/>
              </w:rPr>
              <w:t>村医通</w:t>
            </w:r>
            <w:r>
              <w:rPr>
                <w:color w:val="000000"/>
                <w:kern w:val="0"/>
                <w:sz w:val="18"/>
                <w:szCs w:val="18"/>
              </w:rPr>
              <w:t>”</w:t>
            </w:r>
            <w:r>
              <w:rPr>
                <w:rFonts w:hAnsi="宋体"/>
                <w:color w:val="000000"/>
                <w:kern w:val="0"/>
                <w:sz w:val="18"/>
                <w:szCs w:val="18"/>
              </w:rPr>
              <w:t>结算</w:t>
            </w:r>
            <w:r>
              <w:rPr>
                <w:color w:val="000000"/>
                <w:kern w:val="0"/>
                <w:sz w:val="18"/>
                <w:szCs w:val="18"/>
              </w:rPr>
              <w:t>1454</w:t>
            </w:r>
            <w:r>
              <w:rPr>
                <w:rFonts w:hAnsi="宋体"/>
                <w:color w:val="000000"/>
                <w:kern w:val="0"/>
                <w:sz w:val="18"/>
                <w:szCs w:val="18"/>
              </w:rPr>
              <w:t>人次，基本医疗保险报销</w:t>
            </w:r>
            <w:r>
              <w:rPr>
                <w:color w:val="000000"/>
                <w:kern w:val="0"/>
                <w:sz w:val="18"/>
                <w:szCs w:val="18"/>
              </w:rPr>
              <w:t>5</w:t>
            </w:r>
            <w:r>
              <w:rPr>
                <w:rFonts w:hAnsi="宋体"/>
                <w:color w:val="000000"/>
                <w:kern w:val="0"/>
                <w:sz w:val="18"/>
                <w:szCs w:val="18"/>
              </w:rPr>
              <w:t>万元。</w:t>
            </w:r>
          </w:p>
        </w:tc>
        <w:tc>
          <w:tcPr>
            <w:tcW w:w="876" w:type="dxa"/>
            <w:tcBorders>
              <w:top w:val="nil"/>
              <w:left w:val="nil"/>
              <w:bottom w:val="single" w:color="auto" w:sz="4" w:space="0"/>
              <w:right w:val="single" w:color="auto" w:sz="4" w:space="0"/>
            </w:tcBorders>
            <w:shd w:val="clear" w:color="auto" w:fill="auto"/>
            <w:vAlign w:val="center"/>
          </w:tcPr>
          <w:p w14:paraId="02B0CC80">
            <w:pPr>
              <w:widowControl/>
              <w:jc w:val="left"/>
              <w:rPr>
                <w:rFonts w:ascii="宋体" w:hAnsi="宋体" w:cs="宋体"/>
                <w:color w:val="000000"/>
                <w:kern w:val="0"/>
                <w:sz w:val="18"/>
                <w:szCs w:val="18"/>
              </w:rPr>
            </w:pPr>
            <w:r>
              <w:rPr>
                <w:rFonts w:hint="eastAsia" w:ascii="宋体" w:hAnsi="宋体" w:cs="宋体"/>
                <w:color w:val="000000"/>
                <w:kern w:val="0"/>
                <w:sz w:val="18"/>
                <w:szCs w:val="18"/>
              </w:rPr>
              <w:t>群众满意度90%及以上。</w:t>
            </w:r>
          </w:p>
        </w:tc>
      </w:tr>
      <w:tr w14:paraId="7F1D98DE">
        <w:tblPrEx>
          <w:tblCellMar>
            <w:top w:w="0" w:type="dxa"/>
            <w:left w:w="108" w:type="dxa"/>
            <w:bottom w:w="0" w:type="dxa"/>
            <w:right w:w="108" w:type="dxa"/>
          </w:tblCellMar>
        </w:tblPrEx>
        <w:trPr>
          <w:trHeight w:val="1416" w:hRule="atLeast"/>
        </w:trPr>
        <w:tc>
          <w:tcPr>
            <w:tcW w:w="462" w:type="dxa"/>
            <w:tcBorders>
              <w:top w:val="nil"/>
              <w:left w:val="single" w:color="auto" w:sz="4" w:space="0"/>
              <w:bottom w:val="single" w:color="auto" w:sz="4" w:space="0"/>
              <w:right w:val="single" w:color="auto" w:sz="4" w:space="0"/>
            </w:tcBorders>
            <w:shd w:val="clear" w:color="auto" w:fill="auto"/>
            <w:vAlign w:val="center"/>
          </w:tcPr>
          <w:p w14:paraId="12CC53E8">
            <w:pPr>
              <w:widowControl/>
              <w:jc w:val="center"/>
              <w:rPr>
                <w:color w:val="000000"/>
                <w:kern w:val="0"/>
                <w:sz w:val="18"/>
                <w:szCs w:val="18"/>
              </w:rPr>
            </w:pPr>
            <w:r>
              <w:rPr>
                <w:color w:val="000000"/>
                <w:kern w:val="0"/>
                <w:sz w:val="18"/>
                <w:szCs w:val="18"/>
              </w:rPr>
              <w:t>4</w:t>
            </w:r>
          </w:p>
        </w:tc>
        <w:tc>
          <w:tcPr>
            <w:tcW w:w="1017" w:type="dxa"/>
            <w:tcBorders>
              <w:top w:val="nil"/>
              <w:left w:val="nil"/>
              <w:bottom w:val="single" w:color="auto" w:sz="4" w:space="0"/>
              <w:right w:val="single" w:color="auto" w:sz="4" w:space="0"/>
            </w:tcBorders>
            <w:shd w:val="clear" w:color="auto" w:fill="auto"/>
            <w:vAlign w:val="center"/>
          </w:tcPr>
          <w:p w14:paraId="7FF3C891">
            <w:pPr>
              <w:widowControl/>
              <w:jc w:val="center"/>
              <w:rPr>
                <w:color w:val="000000"/>
                <w:kern w:val="0"/>
                <w:sz w:val="18"/>
                <w:szCs w:val="18"/>
              </w:rPr>
            </w:pPr>
            <w:r>
              <w:rPr>
                <w:rFonts w:hAnsi="宋体"/>
                <w:color w:val="000000"/>
                <w:kern w:val="0"/>
                <w:sz w:val="18"/>
                <w:szCs w:val="18"/>
              </w:rPr>
              <w:t>离休干部、二等乙级伤残军人和伤残人民警察、建国初期参加革命工作人员医疗费用</w:t>
            </w:r>
          </w:p>
        </w:tc>
        <w:tc>
          <w:tcPr>
            <w:tcW w:w="1536" w:type="dxa"/>
            <w:tcBorders>
              <w:top w:val="nil"/>
              <w:left w:val="nil"/>
              <w:bottom w:val="single" w:color="000000" w:sz="4" w:space="0"/>
              <w:right w:val="single" w:color="000000" w:sz="4" w:space="0"/>
            </w:tcBorders>
            <w:shd w:val="clear" w:color="auto" w:fill="auto"/>
            <w:noWrap/>
            <w:vAlign w:val="center"/>
          </w:tcPr>
          <w:p w14:paraId="6254E27C">
            <w:pPr>
              <w:widowControl/>
              <w:jc w:val="center"/>
              <w:rPr>
                <w:color w:val="000000"/>
                <w:kern w:val="0"/>
                <w:sz w:val="22"/>
              </w:rPr>
            </w:pPr>
            <w:r>
              <w:rPr>
                <w:color w:val="000000"/>
                <w:kern w:val="0"/>
                <w:sz w:val="22"/>
              </w:rPr>
              <w:t>1,261,333.13</w:t>
            </w:r>
          </w:p>
        </w:tc>
        <w:tc>
          <w:tcPr>
            <w:tcW w:w="2246" w:type="dxa"/>
            <w:tcBorders>
              <w:top w:val="nil"/>
              <w:left w:val="nil"/>
              <w:bottom w:val="single" w:color="auto" w:sz="4" w:space="0"/>
              <w:right w:val="single" w:color="auto" w:sz="4" w:space="0"/>
            </w:tcBorders>
            <w:shd w:val="clear" w:color="auto" w:fill="auto"/>
            <w:vAlign w:val="center"/>
          </w:tcPr>
          <w:p w14:paraId="403D09DE">
            <w:pPr>
              <w:widowControl/>
              <w:rPr>
                <w:color w:val="000000"/>
                <w:kern w:val="0"/>
                <w:sz w:val="18"/>
                <w:szCs w:val="18"/>
              </w:rPr>
            </w:pPr>
            <w:r>
              <w:rPr>
                <w:rFonts w:hAnsi="宋体"/>
                <w:color w:val="000000"/>
                <w:kern w:val="0"/>
                <w:sz w:val="18"/>
                <w:szCs w:val="18"/>
              </w:rPr>
              <w:t>确保全县离休干部</w:t>
            </w:r>
            <w:r>
              <w:rPr>
                <w:color w:val="000000"/>
                <w:kern w:val="0"/>
                <w:sz w:val="18"/>
                <w:szCs w:val="18"/>
              </w:rPr>
              <w:t>18</w:t>
            </w:r>
            <w:r>
              <w:rPr>
                <w:rFonts w:hAnsi="宋体"/>
                <w:color w:val="000000"/>
                <w:kern w:val="0"/>
                <w:sz w:val="18"/>
                <w:szCs w:val="18"/>
              </w:rPr>
              <w:t>人，二等乙级伤残人员</w:t>
            </w:r>
            <w:r>
              <w:rPr>
                <w:color w:val="000000"/>
                <w:kern w:val="0"/>
                <w:sz w:val="18"/>
                <w:szCs w:val="18"/>
              </w:rPr>
              <w:t>21</w:t>
            </w:r>
            <w:r>
              <w:rPr>
                <w:rFonts w:hAnsi="宋体"/>
                <w:color w:val="000000"/>
                <w:kern w:val="0"/>
                <w:sz w:val="18"/>
                <w:szCs w:val="18"/>
              </w:rPr>
              <w:t>人，建国初期参加革命工作人员</w:t>
            </w:r>
            <w:r>
              <w:rPr>
                <w:color w:val="000000"/>
                <w:kern w:val="0"/>
                <w:sz w:val="18"/>
                <w:szCs w:val="18"/>
              </w:rPr>
              <w:t>7</w:t>
            </w:r>
            <w:r>
              <w:rPr>
                <w:rFonts w:hAnsi="宋体"/>
                <w:color w:val="000000"/>
                <w:kern w:val="0"/>
                <w:sz w:val="18"/>
                <w:szCs w:val="18"/>
              </w:rPr>
              <w:t>人医疗费用足额安排拨付</w:t>
            </w:r>
          </w:p>
        </w:tc>
        <w:tc>
          <w:tcPr>
            <w:tcW w:w="1559" w:type="dxa"/>
            <w:tcBorders>
              <w:top w:val="nil"/>
              <w:left w:val="nil"/>
              <w:bottom w:val="single" w:color="auto" w:sz="4" w:space="0"/>
              <w:right w:val="nil"/>
            </w:tcBorders>
            <w:shd w:val="clear" w:color="auto" w:fill="auto"/>
            <w:vAlign w:val="center"/>
          </w:tcPr>
          <w:p w14:paraId="0F5665D6">
            <w:pPr>
              <w:widowControl/>
              <w:rPr>
                <w:color w:val="000000"/>
                <w:kern w:val="0"/>
                <w:sz w:val="18"/>
                <w:szCs w:val="18"/>
              </w:rPr>
            </w:pPr>
            <w:r>
              <w:rPr>
                <w:rFonts w:hAnsi="宋体"/>
                <w:color w:val="000000"/>
                <w:kern w:val="0"/>
                <w:sz w:val="18"/>
                <w:szCs w:val="18"/>
              </w:rPr>
              <w:t>离休干部</w:t>
            </w:r>
            <w:r>
              <w:rPr>
                <w:color w:val="000000"/>
                <w:kern w:val="0"/>
                <w:sz w:val="18"/>
                <w:szCs w:val="18"/>
              </w:rPr>
              <w:t>18</w:t>
            </w:r>
            <w:r>
              <w:rPr>
                <w:rFonts w:hAnsi="宋体"/>
                <w:color w:val="000000"/>
                <w:kern w:val="0"/>
                <w:sz w:val="18"/>
                <w:szCs w:val="18"/>
              </w:rPr>
              <w:t>人，二等乙级伤残人员</w:t>
            </w:r>
            <w:r>
              <w:rPr>
                <w:color w:val="000000"/>
                <w:kern w:val="0"/>
                <w:sz w:val="18"/>
                <w:szCs w:val="18"/>
              </w:rPr>
              <w:t>21</w:t>
            </w:r>
            <w:r>
              <w:rPr>
                <w:rFonts w:hAnsi="宋体"/>
                <w:color w:val="000000"/>
                <w:kern w:val="0"/>
                <w:sz w:val="18"/>
                <w:szCs w:val="18"/>
              </w:rPr>
              <w:t>人，建国初期参加革命工作人员</w:t>
            </w:r>
            <w:r>
              <w:rPr>
                <w:color w:val="000000"/>
                <w:kern w:val="0"/>
                <w:sz w:val="18"/>
                <w:szCs w:val="18"/>
              </w:rPr>
              <w:t>7</w:t>
            </w:r>
            <w:r>
              <w:rPr>
                <w:rFonts w:hAnsi="宋体"/>
                <w:color w:val="000000"/>
                <w:kern w:val="0"/>
                <w:sz w:val="18"/>
                <w:szCs w:val="18"/>
              </w:rPr>
              <w:t>人</w:t>
            </w:r>
          </w:p>
        </w:tc>
        <w:tc>
          <w:tcPr>
            <w:tcW w:w="1451" w:type="dxa"/>
            <w:tcBorders>
              <w:top w:val="nil"/>
              <w:left w:val="single" w:color="auto" w:sz="4" w:space="0"/>
              <w:bottom w:val="single" w:color="auto" w:sz="4" w:space="0"/>
              <w:right w:val="nil"/>
            </w:tcBorders>
            <w:shd w:val="clear" w:color="auto" w:fill="auto"/>
            <w:vAlign w:val="center"/>
          </w:tcPr>
          <w:p w14:paraId="4CD90E6C">
            <w:pPr>
              <w:widowControl/>
              <w:rPr>
                <w:color w:val="000000"/>
                <w:kern w:val="0"/>
                <w:sz w:val="18"/>
                <w:szCs w:val="18"/>
              </w:rPr>
            </w:pPr>
            <w:r>
              <w:rPr>
                <w:rFonts w:hAnsi="宋体"/>
                <w:color w:val="000000"/>
                <w:kern w:val="0"/>
                <w:sz w:val="18"/>
                <w:szCs w:val="18"/>
              </w:rPr>
              <w:t>离休干部、二乙伤残人员及建国初期参加工作人员的医疗费用足额拨付</w:t>
            </w:r>
            <w:r>
              <w:rPr>
                <w:color w:val="000000"/>
                <w:kern w:val="0"/>
                <w:sz w:val="18"/>
                <w:szCs w:val="18"/>
              </w:rPr>
              <w:t>:</w:t>
            </w:r>
            <w:r>
              <w:rPr>
                <w:rFonts w:hAnsi="宋体"/>
                <w:color w:val="000000"/>
                <w:kern w:val="0"/>
                <w:sz w:val="18"/>
                <w:szCs w:val="18"/>
              </w:rPr>
              <w:t>保障足额拨付。</w:t>
            </w:r>
          </w:p>
        </w:tc>
        <w:tc>
          <w:tcPr>
            <w:tcW w:w="1488" w:type="dxa"/>
            <w:tcBorders>
              <w:top w:val="nil"/>
              <w:left w:val="single" w:color="auto" w:sz="4" w:space="0"/>
              <w:bottom w:val="single" w:color="auto" w:sz="4" w:space="0"/>
              <w:right w:val="nil"/>
            </w:tcBorders>
            <w:shd w:val="clear" w:color="auto" w:fill="auto"/>
            <w:vAlign w:val="center"/>
          </w:tcPr>
          <w:p w14:paraId="3974E3E7">
            <w:pPr>
              <w:widowControl/>
              <w:rPr>
                <w:color w:val="000000"/>
                <w:kern w:val="0"/>
                <w:sz w:val="18"/>
                <w:szCs w:val="18"/>
              </w:rPr>
            </w:pPr>
            <w:r>
              <w:rPr>
                <w:rFonts w:hAnsi="宋体"/>
                <w:color w:val="000000"/>
                <w:kern w:val="0"/>
                <w:sz w:val="18"/>
                <w:szCs w:val="18"/>
              </w:rPr>
              <w:t>离休干部、二乙伤残人员所产生的医疗费用及时足额拨付</w:t>
            </w:r>
            <w:r>
              <w:rPr>
                <w:color w:val="000000"/>
                <w:kern w:val="0"/>
                <w:sz w:val="18"/>
                <w:szCs w:val="18"/>
              </w:rPr>
              <w:t>:2020</w:t>
            </w:r>
            <w:r>
              <w:rPr>
                <w:rFonts w:hAnsi="宋体"/>
                <w:color w:val="000000"/>
                <w:kern w:val="0"/>
                <w:sz w:val="18"/>
                <w:szCs w:val="18"/>
              </w:rPr>
              <w:t>年</w:t>
            </w:r>
            <w:r>
              <w:rPr>
                <w:color w:val="000000"/>
                <w:kern w:val="0"/>
                <w:sz w:val="18"/>
                <w:szCs w:val="18"/>
              </w:rPr>
              <w:t>1</w:t>
            </w:r>
            <w:r>
              <w:rPr>
                <w:rFonts w:hAnsi="宋体"/>
                <w:color w:val="000000"/>
                <w:kern w:val="0"/>
                <w:sz w:val="18"/>
                <w:szCs w:val="18"/>
              </w:rPr>
              <w:t>月</w:t>
            </w:r>
            <w:r>
              <w:rPr>
                <w:color w:val="000000"/>
                <w:kern w:val="0"/>
                <w:sz w:val="18"/>
                <w:szCs w:val="18"/>
              </w:rPr>
              <w:t>1</w:t>
            </w:r>
            <w:r>
              <w:rPr>
                <w:rFonts w:hAnsi="宋体"/>
                <w:color w:val="000000"/>
                <w:kern w:val="0"/>
                <w:sz w:val="18"/>
                <w:szCs w:val="18"/>
              </w:rPr>
              <w:t>日</w:t>
            </w:r>
            <w:r>
              <w:rPr>
                <w:color w:val="000000"/>
                <w:kern w:val="0"/>
                <w:sz w:val="18"/>
                <w:szCs w:val="18"/>
              </w:rPr>
              <w:t>-2020</w:t>
            </w:r>
            <w:r>
              <w:rPr>
                <w:rFonts w:hAnsi="宋体"/>
                <w:color w:val="000000"/>
                <w:kern w:val="0"/>
                <w:sz w:val="18"/>
                <w:szCs w:val="18"/>
              </w:rPr>
              <w:t>年</w:t>
            </w:r>
            <w:r>
              <w:rPr>
                <w:color w:val="000000"/>
                <w:kern w:val="0"/>
                <w:sz w:val="18"/>
                <w:szCs w:val="18"/>
              </w:rPr>
              <w:t>12</w:t>
            </w:r>
            <w:r>
              <w:rPr>
                <w:rFonts w:hAnsi="宋体"/>
                <w:color w:val="000000"/>
                <w:kern w:val="0"/>
                <w:sz w:val="18"/>
                <w:szCs w:val="18"/>
              </w:rPr>
              <w:t>月</w:t>
            </w:r>
            <w:r>
              <w:rPr>
                <w:color w:val="000000"/>
                <w:kern w:val="0"/>
                <w:sz w:val="18"/>
                <w:szCs w:val="18"/>
              </w:rPr>
              <w:t>31</w:t>
            </w:r>
            <w:r>
              <w:rPr>
                <w:rFonts w:hAnsi="宋体"/>
                <w:color w:val="000000"/>
                <w:kern w:val="0"/>
                <w:sz w:val="18"/>
                <w:szCs w:val="18"/>
              </w:rPr>
              <w:t>日</w:t>
            </w:r>
          </w:p>
        </w:tc>
        <w:tc>
          <w:tcPr>
            <w:tcW w:w="1659" w:type="dxa"/>
            <w:tcBorders>
              <w:top w:val="nil"/>
              <w:left w:val="single" w:color="auto" w:sz="4" w:space="0"/>
              <w:bottom w:val="single" w:color="auto" w:sz="4" w:space="0"/>
              <w:right w:val="nil"/>
            </w:tcBorders>
            <w:shd w:val="clear" w:color="auto" w:fill="auto"/>
            <w:vAlign w:val="center"/>
          </w:tcPr>
          <w:p w14:paraId="6ED11707">
            <w:pPr>
              <w:widowControl/>
              <w:rPr>
                <w:color w:val="000000"/>
                <w:kern w:val="0"/>
                <w:sz w:val="18"/>
                <w:szCs w:val="18"/>
              </w:rPr>
            </w:pPr>
            <w:r>
              <w:rPr>
                <w:rFonts w:hAnsi="宋体"/>
                <w:color w:val="000000"/>
                <w:kern w:val="0"/>
                <w:sz w:val="18"/>
                <w:szCs w:val="18"/>
              </w:rPr>
              <w:t>保障离休干部、二乙伤残人员、建国初期参加革命人员的医疗需求</w:t>
            </w:r>
            <w:r>
              <w:rPr>
                <w:color w:val="000000"/>
                <w:kern w:val="0"/>
                <w:sz w:val="18"/>
                <w:szCs w:val="18"/>
              </w:rPr>
              <w:t>:≥90%</w:t>
            </w:r>
          </w:p>
        </w:tc>
        <w:tc>
          <w:tcPr>
            <w:tcW w:w="3519" w:type="dxa"/>
            <w:tcBorders>
              <w:top w:val="nil"/>
              <w:left w:val="single" w:color="auto" w:sz="4" w:space="0"/>
              <w:bottom w:val="single" w:color="auto" w:sz="4" w:space="0"/>
              <w:right w:val="single" w:color="auto" w:sz="4" w:space="0"/>
            </w:tcBorders>
            <w:shd w:val="clear" w:color="auto" w:fill="auto"/>
            <w:vAlign w:val="center"/>
          </w:tcPr>
          <w:p w14:paraId="778ECBAA">
            <w:pPr>
              <w:widowControl/>
              <w:rPr>
                <w:color w:val="000000"/>
                <w:kern w:val="0"/>
                <w:sz w:val="18"/>
                <w:szCs w:val="18"/>
              </w:rPr>
            </w:pPr>
            <w:r>
              <w:rPr>
                <w:rFonts w:hAnsi="宋体"/>
                <w:color w:val="000000"/>
                <w:kern w:val="0"/>
                <w:sz w:val="18"/>
                <w:szCs w:val="18"/>
              </w:rPr>
              <w:t>离休，二乙，建国初期特殊人员门诊报销</w:t>
            </w:r>
            <w:r>
              <w:rPr>
                <w:color w:val="000000"/>
                <w:kern w:val="0"/>
                <w:sz w:val="18"/>
                <w:szCs w:val="18"/>
              </w:rPr>
              <w:t>588</w:t>
            </w:r>
            <w:r>
              <w:rPr>
                <w:rFonts w:hAnsi="宋体"/>
                <w:color w:val="000000"/>
                <w:kern w:val="0"/>
                <w:sz w:val="18"/>
                <w:szCs w:val="18"/>
              </w:rPr>
              <w:t>人次，住院报销</w:t>
            </w:r>
            <w:r>
              <w:rPr>
                <w:color w:val="000000"/>
                <w:kern w:val="0"/>
                <w:sz w:val="18"/>
                <w:szCs w:val="18"/>
              </w:rPr>
              <w:t>104</w:t>
            </w:r>
            <w:r>
              <w:rPr>
                <w:rFonts w:hAnsi="宋体"/>
                <w:color w:val="000000"/>
                <w:kern w:val="0"/>
                <w:sz w:val="18"/>
                <w:szCs w:val="18"/>
              </w:rPr>
              <w:t>人次。</w:t>
            </w:r>
          </w:p>
        </w:tc>
        <w:tc>
          <w:tcPr>
            <w:tcW w:w="876" w:type="dxa"/>
            <w:tcBorders>
              <w:top w:val="nil"/>
              <w:left w:val="nil"/>
              <w:bottom w:val="single" w:color="auto" w:sz="4" w:space="0"/>
              <w:right w:val="single" w:color="auto" w:sz="4" w:space="0"/>
            </w:tcBorders>
            <w:shd w:val="clear" w:color="auto" w:fill="auto"/>
            <w:vAlign w:val="center"/>
          </w:tcPr>
          <w:p w14:paraId="35937446">
            <w:pPr>
              <w:widowControl/>
              <w:jc w:val="left"/>
              <w:rPr>
                <w:rFonts w:ascii="宋体" w:hAnsi="宋体" w:cs="宋体"/>
                <w:color w:val="000000"/>
                <w:kern w:val="0"/>
                <w:sz w:val="18"/>
                <w:szCs w:val="18"/>
              </w:rPr>
            </w:pPr>
            <w:r>
              <w:rPr>
                <w:rFonts w:hint="eastAsia" w:ascii="宋体" w:hAnsi="宋体" w:cs="宋体"/>
                <w:color w:val="000000"/>
                <w:kern w:val="0"/>
                <w:sz w:val="18"/>
                <w:szCs w:val="18"/>
              </w:rPr>
              <w:t>离休干部、二乙伤残人员满意度95%及以上</w:t>
            </w:r>
          </w:p>
        </w:tc>
      </w:tr>
      <w:tr w14:paraId="22B09A6D">
        <w:tblPrEx>
          <w:tblCellMar>
            <w:top w:w="0" w:type="dxa"/>
            <w:left w:w="108" w:type="dxa"/>
            <w:bottom w:w="0" w:type="dxa"/>
            <w:right w:w="108" w:type="dxa"/>
          </w:tblCellMar>
        </w:tblPrEx>
        <w:trPr>
          <w:trHeight w:val="1572" w:hRule="atLeast"/>
        </w:trPr>
        <w:tc>
          <w:tcPr>
            <w:tcW w:w="462" w:type="dxa"/>
            <w:tcBorders>
              <w:top w:val="nil"/>
              <w:left w:val="single" w:color="auto" w:sz="4" w:space="0"/>
              <w:bottom w:val="single" w:color="auto" w:sz="4" w:space="0"/>
              <w:right w:val="single" w:color="auto" w:sz="4" w:space="0"/>
            </w:tcBorders>
            <w:shd w:val="clear" w:color="auto" w:fill="auto"/>
            <w:vAlign w:val="center"/>
          </w:tcPr>
          <w:p w14:paraId="6E8AE4D4">
            <w:pPr>
              <w:widowControl/>
              <w:jc w:val="center"/>
              <w:rPr>
                <w:color w:val="000000"/>
                <w:kern w:val="0"/>
                <w:sz w:val="18"/>
                <w:szCs w:val="18"/>
              </w:rPr>
            </w:pPr>
            <w:r>
              <w:rPr>
                <w:color w:val="000000"/>
                <w:kern w:val="0"/>
                <w:sz w:val="18"/>
                <w:szCs w:val="18"/>
              </w:rPr>
              <w:t>5</w:t>
            </w:r>
          </w:p>
        </w:tc>
        <w:tc>
          <w:tcPr>
            <w:tcW w:w="1017" w:type="dxa"/>
            <w:tcBorders>
              <w:top w:val="nil"/>
              <w:left w:val="nil"/>
              <w:bottom w:val="single" w:color="auto" w:sz="4" w:space="0"/>
              <w:right w:val="single" w:color="auto" w:sz="4" w:space="0"/>
            </w:tcBorders>
            <w:shd w:val="clear" w:color="auto" w:fill="auto"/>
            <w:vAlign w:val="center"/>
          </w:tcPr>
          <w:p w14:paraId="323DB39A">
            <w:pPr>
              <w:widowControl/>
              <w:jc w:val="center"/>
              <w:rPr>
                <w:color w:val="000000"/>
                <w:kern w:val="0"/>
                <w:sz w:val="18"/>
                <w:szCs w:val="18"/>
              </w:rPr>
            </w:pPr>
            <w:r>
              <w:rPr>
                <w:rFonts w:hAnsi="宋体"/>
                <w:color w:val="000000"/>
                <w:kern w:val="0"/>
                <w:sz w:val="18"/>
                <w:szCs w:val="18"/>
              </w:rPr>
              <w:t>财政代缴建档立卡贫困人口城乡居民医疗保险个人缴费</w:t>
            </w:r>
          </w:p>
        </w:tc>
        <w:tc>
          <w:tcPr>
            <w:tcW w:w="1536" w:type="dxa"/>
            <w:tcBorders>
              <w:top w:val="nil"/>
              <w:left w:val="nil"/>
              <w:bottom w:val="single" w:color="000000" w:sz="4" w:space="0"/>
              <w:right w:val="single" w:color="000000" w:sz="4" w:space="0"/>
            </w:tcBorders>
            <w:shd w:val="clear" w:color="auto" w:fill="auto"/>
            <w:noWrap/>
            <w:vAlign w:val="center"/>
          </w:tcPr>
          <w:p w14:paraId="4BCCE136">
            <w:pPr>
              <w:widowControl/>
              <w:jc w:val="center"/>
              <w:rPr>
                <w:color w:val="000000"/>
                <w:kern w:val="0"/>
                <w:sz w:val="22"/>
              </w:rPr>
            </w:pPr>
            <w:r>
              <w:rPr>
                <w:color w:val="000000"/>
                <w:kern w:val="0"/>
                <w:sz w:val="22"/>
              </w:rPr>
              <w:t>5,709,660.00</w:t>
            </w:r>
          </w:p>
        </w:tc>
        <w:tc>
          <w:tcPr>
            <w:tcW w:w="2246" w:type="dxa"/>
            <w:tcBorders>
              <w:top w:val="nil"/>
              <w:left w:val="nil"/>
              <w:bottom w:val="single" w:color="auto" w:sz="4" w:space="0"/>
              <w:right w:val="single" w:color="auto" w:sz="4" w:space="0"/>
            </w:tcBorders>
            <w:shd w:val="clear" w:color="auto" w:fill="auto"/>
            <w:vAlign w:val="center"/>
          </w:tcPr>
          <w:p w14:paraId="4EF3514F">
            <w:pPr>
              <w:widowControl/>
              <w:rPr>
                <w:color w:val="000000"/>
                <w:kern w:val="0"/>
                <w:sz w:val="18"/>
                <w:szCs w:val="18"/>
              </w:rPr>
            </w:pPr>
            <w:r>
              <w:rPr>
                <w:rFonts w:hAnsi="宋体"/>
                <w:color w:val="000000"/>
                <w:kern w:val="0"/>
                <w:sz w:val="18"/>
                <w:szCs w:val="18"/>
              </w:rPr>
              <w:t>保障建档立卡贫困人口基本医疗保险，确保建档立卡贫困人员持续参保，进一步减轻建档立卡贫困人口医疗费用负担，防止因病致贫、因病返贫，助力脱贫攻坚。</w:t>
            </w:r>
          </w:p>
        </w:tc>
        <w:tc>
          <w:tcPr>
            <w:tcW w:w="1559" w:type="dxa"/>
            <w:tcBorders>
              <w:top w:val="nil"/>
              <w:left w:val="nil"/>
              <w:bottom w:val="single" w:color="auto" w:sz="4" w:space="0"/>
              <w:right w:val="single" w:color="auto" w:sz="4" w:space="0"/>
            </w:tcBorders>
            <w:shd w:val="clear" w:color="auto" w:fill="auto"/>
            <w:vAlign w:val="center"/>
          </w:tcPr>
          <w:p w14:paraId="4D11C6F3">
            <w:pPr>
              <w:widowControl/>
              <w:rPr>
                <w:color w:val="000000"/>
                <w:kern w:val="0"/>
                <w:sz w:val="18"/>
                <w:szCs w:val="18"/>
              </w:rPr>
            </w:pPr>
            <w:r>
              <w:rPr>
                <w:rFonts w:hAnsi="宋体"/>
                <w:color w:val="000000"/>
                <w:kern w:val="0"/>
                <w:sz w:val="18"/>
                <w:szCs w:val="18"/>
              </w:rPr>
              <w:t>代缴建档立卡贫困人口基本医疗保险个人缴费人数</w:t>
            </w:r>
            <w:r>
              <w:rPr>
                <w:color w:val="000000"/>
                <w:kern w:val="0"/>
                <w:sz w:val="18"/>
                <w:szCs w:val="18"/>
              </w:rPr>
              <w:t>≥18067</w:t>
            </w:r>
            <w:r>
              <w:rPr>
                <w:rFonts w:hAnsi="宋体"/>
                <w:color w:val="000000"/>
                <w:kern w:val="0"/>
                <w:sz w:val="18"/>
                <w:szCs w:val="18"/>
              </w:rPr>
              <w:t>人</w:t>
            </w:r>
          </w:p>
        </w:tc>
        <w:tc>
          <w:tcPr>
            <w:tcW w:w="1451" w:type="dxa"/>
            <w:tcBorders>
              <w:top w:val="nil"/>
              <w:left w:val="nil"/>
              <w:bottom w:val="single" w:color="auto" w:sz="4" w:space="0"/>
              <w:right w:val="single" w:color="auto" w:sz="4" w:space="0"/>
            </w:tcBorders>
            <w:shd w:val="clear" w:color="auto" w:fill="auto"/>
            <w:vAlign w:val="center"/>
          </w:tcPr>
          <w:p w14:paraId="10034DF8">
            <w:pPr>
              <w:widowControl/>
              <w:rPr>
                <w:color w:val="000000"/>
                <w:kern w:val="0"/>
                <w:sz w:val="18"/>
                <w:szCs w:val="18"/>
              </w:rPr>
            </w:pPr>
            <w:r>
              <w:rPr>
                <w:rFonts w:hAnsi="宋体"/>
                <w:color w:val="000000"/>
                <w:kern w:val="0"/>
                <w:sz w:val="18"/>
                <w:szCs w:val="18"/>
              </w:rPr>
              <w:t>建档立卡贫困户参保率</w:t>
            </w:r>
            <w:r>
              <w:rPr>
                <w:color w:val="000000"/>
                <w:kern w:val="0"/>
                <w:sz w:val="18"/>
                <w:szCs w:val="18"/>
              </w:rPr>
              <w:t>100%</w:t>
            </w:r>
            <w:r>
              <w:rPr>
                <w:rFonts w:hAnsi="宋体"/>
                <w:color w:val="000000"/>
                <w:kern w:val="0"/>
                <w:sz w:val="18"/>
                <w:szCs w:val="18"/>
              </w:rPr>
              <w:t>、在县域内的住院政策范围内报销比例</w:t>
            </w:r>
            <w:r>
              <w:rPr>
                <w:color w:val="000000"/>
                <w:kern w:val="0"/>
                <w:sz w:val="18"/>
                <w:szCs w:val="18"/>
              </w:rPr>
              <w:t>100%</w:t>
            </w:r>
          </w:p>
        </w:tc>
        <w:tc>
          <w:tcPr>
            <w:tcW w:w="1488" w:type="dxa"/>
            <w:tcBorders>
              <w:top w:val="nil"/>
              <w:left w:val="nil"/>
              <w:bottom w:val="single" w:color="auto" w:sz="4" w:space="0"/>
              <w:right w:val="single" w:color="auto" w:sz="4" w:space="0"/>
            </w:tcBorders>
            <w:shd w:val="clear" w:color="auto" w:fill="auto"/>
            <w:vAlign w:val="center"/>
          </w:tcPr>
          <w:p w14:paraId="3CA0E669">
            <w:pPr>
              <w:widowControl/>
              <w:rPr>
                <w:color w:val="000000"/>
                <w:kern w:val="0"/>
                <w:sz w:val="18"/>
                <w:szCs w:val="18"/>
              </w:rPr>
            </w:pPr>
            <w:r>
              <w:rPr>
                <w:rFonts w:hAnsi="宋体"/>
                <w:color w:val="000000"/>
                <w:kern w:val="0"/>
                <w:sz w:val="18"/>
                <w:szCs w:val="18"/>
              </w:rPr>
              <w:t>县域内三重保障（基本医疗、大病保险、兜底保障）</w:t>
            </w:r>
            <w:r>
              <w:rPr>
                <w:color w:val="000000"/>
                <w:kern w:val="0"/>
                <w:sz w:val="18"/>
                <w:szCs w:val="18"/>
              </w:rPr>
              <w:t>“</w:t>
            </w:r>
            <w:r>
              <w:rPr>
                <w:rFonts w:hAnsi="宋体"/>
                <w:color w:val="000000"/>
                <w:kern w:val="0"/>
                <w:sz w:val="18"/>
                <w:szCs w:val="18"/>
              </w:rPr>
              <w:t>一站式</w:t>
            </w:r>
            <w:r>
              <w:rPr>
                <w:color w:val="000000"/>
                <w:kern w:val="0"/>
                <w:sz w:val="18"/>
                <w:szCs w:val="18"/>
              </w:rPr>
              <w:t>”</w:t>
            </w:r>
            <w:r>
              <w:rPr>
                <w:rFonts w:hAnsi="宋体"/>
                <w:color w:val="000000"/>
                <w:kern w:val="0"/>
                <w:sz w:val="18"/>
                <w:szCs w:val="18"/>
              </w:rPr>
              <w:t>结算率</w:t>
            </w:r>
            <w:r>
              <w:rPr>
                <w:color w:val="000000"/>
                <w:kern w:val="0"/>
                <w:sz w:val="18"/>
                <w:szCs w:val="18"/>
              </w:rPr>
              <w:t>100%</w:t>
            </w:r>
          </w:p>
        </w:tc>
        <w:tc>
          <w:tcPr>
            <w:tcW w:w="1659" w:type="dxa"/>
            <w:tcBorders>
              <w:top w:val="nil"/>
              <w:left w:val="nil"/>
              <w:bottom w:val="single" w:color="auto" w:sz="4" w:space="0"/>
              <w:right w:val="single" w:color="auto" w:sz="4" w:space="0"/>
            </w:tcBorders>
            <w:shd w:val="clear" w:color="auto" w:fill="auto"/>
            <w:vAlign w:val="center"/>
          </w:tcPr>
          <w:p w14:paraId="4065344E">
            <w:pPr>
              <w:widowControl/>
              <w:rPr>
                <w:color w:val="000000"/>
                <w:kern w:val="0"/>
                <w:sz w:val="18"/>
                <w:szCs w:val="18"/>
              </w:rPr>
            </w:pPr>
            <w:r>
              <w:rPr>
                <w:color w:val="000000"/>
                <w:kern w:val="0"/>
                <w:sz w:val="18"/>
                <w:szCs w:val="18"/>
              </w:rPr>
              <w:t>1.</w:t>
            </w:r>
            <w:r>
              <w:rPr>
                <w:rFonts w:hAnsi="宋体"/>
                <w:color w:val="000000"/>
                <w:kern w:val="0"/>
                <w:sz w:val="18"/>
                <w:szCs w:val="18"/>
              </w:rPr>
              <w:t>建档立卡贫困户健康扶贫政策知晓率</w:t>
            </w:r>
            <w:r>
              <w:rPr>
                <w:color w:val="000000"/>
                <w:kern w:val="0"/>
                <w:sz w:val="18"/>
                <w:szCs w:val="18"/>
              </w:rPr>
              <w:t>≥95%</w:t>
            </w:r>
            <w:r>
              <w:rPr>
                <w:color w:val="000000"/>
                <w:kern w:val="0"/>
                <w:sz w:val="18"/>
                <w:szCs w:val="18"/>
              </w:rPr>
              <w:br w:type="textWrapping"/>
            </w:r>
            <w:r>
              <w:rPr>
                <w:color w:val="000000"/>
                <w:kern w:val="0"/>
                <w:sz w:val="18"/>
                <w:szCs w:val="18"/>
              </w:rPr>
              <w:t>2.</w:t>
            </w:r>
            <w:r>
              <w:rPr>
                <w:rFonts w:hAnsi="宋体"/>
                <w:color w:val="000000"/>
                <w:kern w:val="0"/>
                <w:sz w:val="18"/>
                <w:szCs w:val="18"/>
              </w:rPr>
              <w:t>代缴建档立卡贫困人口门诊享受人次</w:t>
            </w:r>
            <w:r>
              <w:rPr>
                <w:color w:val="000000"/>
                <w:kern w:val="0"/>
                <w:sz w:val="18"/>
                <w:szCs w:val="18"/>
              </w:rPr>
              <w:t>≥15000</w:t>
            </w:r>
            <w:r>
              <w:rPr>
                <w:rFonts w:hAnsi="宋体"/>
                <w:color w:val="000000"/>
                <w:kern w:val="0"/>
                <w:sz w:val="18"/>
                <w:szCs w:val="18"/>
              </w:rPr>
              <w:t>人次</w:t>
            </w:r>
            <w:r>
              <w:rPr>
                <w:color w:val="000000"/>
                <w:kern w:val="0"/>
                <w:sz w:val="18"/>
                <w:szCs w:val="18"/>
              </w:rPr>
              <w:br w:type="textWrapping"/>
            </w:r>
            <w:r>
              <w:rPr>
                <w:color w:val="000000"/>
                <w:kern w:val="0"/>
                <w:sz w:val="18"/>
                <w:szCs w:val="18"/>
              </w:rPr>
              <w:t>3.</w:t>
            </w:r>
            <w:r>
              <w:rPr>
                <w:rFonts w:hAnsi="宋体"/>
                <w:color w:val="000000"/>
                <w:kern w:val="0"/>
                <w:sz w:val="18"/>
                <w:szCs w:val="18"/>
              </w:rPr>
              <w:t>代缴建档立卡贫困人口住院享受人次</w:t>
            </w:r>
            <w:r>
              <w:rPr>
                <w:color w:val="000000"/>
                <w:kern w:val="0"/>
                <w:sz w:val="18"/>
                <w:szCs w:val="18"/>
              </w:rPr>
              <w:t>≥4800</w:t>
            </w:r>
            <w:r>
              <w:rPr>
                <w:rFonts w:hAnsi="宋体"/>
                <w:color w:val="000000"/>
                <w:kern w:val="0"/>
                <w:sz w:val="18"/>
                <w:szCs w:val="18"/>
              </w:rPr>
              <w:t>人次</w:t>
            </w:r>
          </w:p>
        </w:tc>
        <w:tc>
          <w:tcPr>
            <w:tcW w:w="3519" w:type="dxa"/>
            <w:tcBorders>
              <w:top w:val="nil"/>
              <w:left w:val="nil"/>
              <w:bottom w:val="single" w:color="auto" w:sz="4" w:space="0"/>
              <w:right w:val="single" w:color="auto" w:sz="4" w:space="0"/>
            </w:tcBorders>
            <w:shd w:val="clear" w:color="auto" w:fill="auto"/>
            <w:vAlign w:val="center"/>
          </w:tcPr>
          <w:p w14:paraId="3233CA94">
            <w:pPr>
              <w:widowControl/>
              <w:rPr>
                <w:color w:val="000000"/>
                <w:kern w:val="0"/>
                <w:sz w:val="18"/>
                <w:szCs w:val="18"/>
              </w:rPr>
            </w:pPr>
            <w:r>
              <w:rPr>
                <w:color w:val="000000"/>
                <w:kern w:val="0"/>
                <w:sz w:val="18"/>
                <w:szCs w:val="18"/>
              </w:rPr>
              <w:t>1.2020</w:t>
            </w:r>
            <w:r>
              <w:rPr>
                <w:rFonts w:hAnsi="宋体"/>
                <w:color w:val="000000"/>
                <w:kern w:val="0"/>
                <w:sz w:val="18"/>
                <w:szCs w:val="18"/>
              </w:rPr>
              <w:t>年，全额资助建档立卡贫困户</w:t>
            </w:r>
            <w:r>
              <w:rPr>
                <w:color w:val="000000"/>
                <w:kern w:val="0"/>
                <w:sz w:val="18"/>
                <w:szCs w:val="18"/>
              </w:rPr>
              <w:t>4412</w:t>
            </w:r>
            <w:r>
              <w:rPr>
                <w:rFonts w:hAnsi="宋体"/>
                <w:color w:val="000000"/>
                <w:kern w:val="0"/>
                <w:sz w:val="18"/>
                <w:szCs w:val="18"/>
              </w:rPr>
              <w:t>户，</w:t>
            </w:r>
            <w:r>
              <w:rPr>
                <w:color w:val="000000"/>
                <w:kern w:val="0"/>
                <w:sz w:val="18"/>
                <w:szCs w:val="18"/>
              </w:rPr>
              <w:t>18712</w:t>
            </w:r>
            <w:r>
              <w:rPr>
                <w:rFonts w:hAnsi="宋体"/>
                <w:color w:val="000000"/>
                <w:kern w:val="0"/>
                <w:sz w:val="18"/>
                <w:szCs w:val="18"/>
              </w:rPr>
              <w:t>人参保，建档立卡贫困户参保率为</w:t>
            </w:r>
            <w:r>
              <w:rPr>
                <w:color w:val="000000"/>
                <w:kern w:val="0"/>
                <w:sz w:val="18"/>
                <w:szCs w:val="18"/>
              </w:rPr>
              <w:t>100%</w:t>
            </w:r>
            <w:r>
              <w:rPr>
                <w:rFonts w:hAnsi="宋体"/>
                <w:color w:val="000000"/>
                <w:kern w:val="0"/>
                <w:sz w:val="18"/>
                <w:szCs w:val="18"/>
              </w:rPr>
              <w:t>。</w:t>
            </w:r>
            <w:r>
              <w:rPr>
                <w:color w:val="000000"/>
                <w:kern w:val="0"/>
                <w:sz w:val="18"/>
                <w:szCs w:val="18"/>
              </w:rPr>
              <w:br w:type="textWrapping"/>
            </w:r>
            <w:r>
              <w:rPr>
                <w:color w:val="000000"/>
                <w:kern w:val="0"/>
                <w:sz w:val="18"/>
                <w:szCs w:val="18"/>
              </w:rPr>
              <w:t>2.</w:t>
            </w:r>
            <w:r>
              <w:rPr>
                <w:rFonts w:hAnsi="宋体"/>
                <w:color w:val="000000"/>
                <w:kern w:val="0"/>
                <w:sz w:val="18"/>
                <w:szCs w:val="18"/>
              </w:rPr>
              <w:t>审核建档立卡贫困人员县域内医疗机构住院（含一类门特）待遇</w:t>
            </w:r>
            <w:r>
              <w:rPr>
                <w:color w:val="000000"/>
                <w:kern w:val="0"/>
                <w:sz w:val="18"/>
                <w:szCs w:val="18"/>
              </w:rPr>
              <w:t>6654</w:t>
            </w:r>
            <w:r>
              <w:rPr>
                <w:rFonts w:hAnsi="宋体"/>
                <w:color w:val="000000"/>
                <w:kern w:val="0"/>
                <w:sz w:val="18"/>
                <w:szCs w:val="18"/>
              </w:rPr>
              <w:t>人次；普通门诊（县域内医疗机构）待遇</w:t>
            </w:r>
            <w:r>
              <w:rPr>
                <w:color w:val="000000"/>
                <w:kern w:val="0"/>
                <w:sz w:val="18"/>
                <w:szCs w:val="18"/>
              </w:rPr>
              <w:t>23848</w:t>
            </w:r>
            <w:r>
              <w:rPr>
                <w:rFonts w:hAnsi="宋体"/>
                <w:color w:val="000000"/>
                <w:kern w:val="0"/>
                <w:sz w:val="18"/>
                <w:szCs w:val="18"/>
              </w:rPr>
              <w:t>人次，</w:t>
            </w:r>
            <w:r>
              <w:rPr>
                <w:color w:val="000000"/>
                <w:kern w:val="0"/>
                <w:sz w:val="18"/>
                <w:szCs w:val="18"/>
              </w:rPr>
              <w:t>“</w:t>
            </w:r>
            <w:r>
              <w:rPr>
                <w:rFonts w:hAnsi="宋体"/>
                <w:color w:val="000000"/>
                <w:kern w:val="0"/>
                <w:sz w:val="18"/>
                <w:szCs w:val="18"/>
              </w:rPr>
              <w:t>一站式</w:t>
            </w:r>
            <w:r>
              <w:rPr>
                <w:color w:val="000000"/>
                <w:kern w:val="0"/>
                <w:sz w:val="18"/>
                <w:szCs w:val="18"/>
              </w:rPr>
              <w:t>”</w:t>
            </w:r>
            <w:r>
              <w:rPr>
                <w:rFonts w:hAnsi="宋体"/>
                <w:color w:val="000000"/>
                <w:kern w:val="0"/>
                <w:sz w:val="18"/>
                <w:szCs w:val="18"/>
              </w:rPr>
              <w:t>结算率</w:t>
            </w:r>
            <w:r>
              <w:rPr>
                <w:color w:val="000000"/>
                <w:kern w:val="0"/>
                <w:sz w:val="18"/>
                <w:szCs w:val="18"/>
              </w:rPr>
              <w:t>100%</w:t>
            </w:r>
            <w:r>
              <w:rPr>
                <w:rFonts w:hAnsi="宋体"/>
                <w:color w:val="000000"/>
                <w:kern w:val="0"/>
                <w:sz w:val="18"/>
                <w:szCs w:val="18"/>
              </w:rPr>
              <w:t>。</w:t>
            </w:r>
          </w:p>
        </w:tc>
        <w:tc>
          <w:tcPr>
            <w:tcW w:w="876" w:type="dxa"/>
            <w:tcBorders>
              <w:top w:val="nil"/>
              <w:left w:val="nil"/>
              <w:bottom w:val="single" w:color="auto" w:sz="4" w:space="0"/>
              <w:right w:val="single" w:color="auto" w:sz="4" w:space="0"/>
            </w:tcBorders>
            <w:shd w:val="clear" w:color="auto" w:fill="auto"/>
            <w:vAlign w:val="center"/>
          </w:tcPr>
          <w:p w14:paraId="00495C05">
            <w:pPr>
              <w:widowControl/>
              <w:jc w:val="left"/>
              <w:rPr>
                <w:rFonts w:ascii="宋体" w:hAnsi="宋体" w:cs="宋体"/>
                <w:color w:val="000000"/>
                <w:kern w:val="0"/>
                <w:sz w:val="18"/>
                <w:szCs w:val="18"/>
              </w:rPr>
            </w:pPr>
            <w:r>
              <w:rPr>
                <w:rFonts w:hint="eastAsia" w:ascii="宋体" w:hAnsi="宋体" w:cs="宋体"/>
                <w:color w:val="000000"/>
                <w:kern w:val="0"/>
                <w:sz w:val="18"/>
                <w:szCs w:val="18"/>
              </w:rPr>
              <w:t>参保受益建档立卡贫困人口满意度≥95%</w:t>
            </w:r>
          </w:p>
        </w:tc>
      </w:tr>
      <w:tr w14:paraId="4C4DB81B">
        <w:tblPrEx>
          <w:tblCellMar>
            <w:top w:w="0" w:type="dxa"/>
            <w:left w:w="108" w:type="dxa"/>
            <w:bottom w:w="0" w:type="dxa"/>
            <w:right w:w="108" w:type="dxa"/>
          </w:tblCellMar>
        </w:tblPrEx>
        <w:trPr>
          <w:trHeight w:val="1404" w:hRule="atLeast"/>
        </w:trPr>
        <w:tc>
          <w:tcPr>
            <w:tcW w:w="462" w:type="dxa"/>
            <w:tcBorders>
              <w:top w:val="nil"/>
              <w:left w:val="single" w:color="auto" w:sz="4" w:space="0"/>
              <w:bottom w:val="single" w:color="auto" w:sz="4" w:space="0"/>
              <w:right w:val="single" w:color="auto" w:sz="4" w:space="0"/>
            </w:tcBorders>
            <w:shd w:val="clear" w:color="auto" w:fill="auto"/>
            <w:vAlign w:val="center"/>
          </w:tcPr>
          <w:p w14:paraId="30935A41">
            <w:pPr>
              <w:widowControl/>
              <w:jc w:val="center"/>
              <w:rPr>
                <w:color w:val="000000"/>
                <w:kern w:val="0"/>
                <w:sz w:val="18"/>
                <w:szCs w:val="18"/>
              </w:rPr>
            </w:pPr>
            <w:r>
              <w:rPr>
                <w:color w:val="000000"/>
                <w:kern w:val="0"/>
                <w:sz w:val="18"/>
                <w:szCs w:val="18"/>
              </w:rPr>
              <w:t>6</w:t>
            </w:r>
          </w:p>
        </w:tc>
        <w:tc>
          <w:tcPr>
            <w:tcW w:w="1017" w:type="dxa"/>
            <w:tcBorders>
              <w:top w:val="nil"/>
              <w:left w:val="nil"/>
              <w:bottom w:val="single" w:color="auto" w:sz="4" w:space="0"/>
              <w:right w:val="single" w:color="auto" w:sz="4" w:space="0"/>
            </w:tcBorders>
            <w:shd w:val="clear" w:color="auto" w:fill="auto"/>
            <w:vAlign w:val="center"/>
          </w:tcPr>
          <w:p w14:paraId="47A0B07D">
            <w:pPr>
              <w:widowControl/>
              <w:jc w:val="center"/>
              <w:rPr>
                <w:color w:val="000000"/>
                <w:kern w:val="0"/>
                <w:sz w:val="18"/>
                <w:szCs w:val="18"/>
              </w:rPr>
            </w:pPr>
            <w:r>
              <w:rPr>
                <w:rFonts w:hAnsi="宋体"/>
                <w:color w:val="000000"/>
                <w:kern w:val="0"/>
                <w:sz w:val="18"/>
                <w:szCs w:val="18"/>
              </w:rPr>
              <w:t>城乡医疗救助补助资金</w:t>
            </w:r>
          </w:p>
        </w:tc>
        <w:tc>
          <w:tcPr>
            <w:tcW w:w="1536" w:type="dxa"/>
            <w:tcBorders>
              <w:top w:val="nil"/>
              <w:left w:val="nil"/>
              <w:bottom w:val="single" w:color="auto" w:sz="4" w:space="0"/>
              <w:right w:val="single" w:color="auto" w:sz="4" w:space="0"/>
            </w:tcBorders>
            <w:shd w:val="clear" w:color="auto" w:fill="auto"/>
            <w:vAlign w:val="center"/>
          </w:tcPr>
          <w:p w14:paraId="4DE448DB">
            <w:pPr>
              <w:widowControl/>
              <w:jc w:val="center"/>
              <w:rPr>
                <w:color w:val="000000"/>
                <w:kern w:val="0"/>
                <w:sz w:val="18"/>
                <w:szCs w:val="18"/>
              </w:rPr>
            </w:pPr>
            <w:r>
              <w:rPr>
                <w:color w:val="000000"/>
                <w:kern w:val="0"/>
                <w:sz w:val="18"/>
                <w:szCs w:val="18"/>
              </w:rPr>
              <w:t>9544989.4</w:t>
            </w:r>
          </w:p>
        </w:tc>
        <w:tc>
          <w:tcPr>
            <w:tcW w:w="2246" w:type="dxa"/>
            <w:tcBorders>
              <w:top w:val="nil"/>
              <w:left w:val="nil"/>
              <w:bottom w:val="single" w:color="auto" w:sz="4" w:space="0"/>
              <w:right w:val="single" w:color="auto" w:sz="4" w:space="0"/>
            </w:tcBorders>
            <w:shd w:val="clear" w:color="auto" w:fill="auto"/>
            <w:vAlign w:val="center"/>
          </w:tcPr>
          <w:p w14:paraId="70F018AA">
            <w:pPr>
              <w:widowControl/>
              <w:rPr>
                <w:color w:val="000000"/>
                <w:kern w:val="0"/>
                <w:sz w:val="18"/>
                <w:szCs w:val="18"/>
              </w:rPr>
            </w:pPr>
            <w:r>
              <w:rPr>
                <w:rFonts w:hAnsi="宋体"/>
                <w:color w:val="000000"/>
                <w:kern w:val="0"/>
                <w:sz w:val="18"/>
                <w:szCs w:val="18"/>
              </w:rPr>
              <w:t>持续做好困难群众参保资助工作；重点救助对象自付医疗费用按规定年度限额内住院救助比例达到</w:t>
            </w:r>
            <w:r>
              <w:rPr>
                <w:color w:val="000000"/>
                <w:kern w:val="0"/>
                <w:sz w:val="18"/>
                <w:szCs w:val="18"/>
              </w:rPr>
              <w:t>70%</w:t>
            </w:r>
            <w:r>
              <w:rPr>
                <w:rFonts w:hAnsi="宋体"/>
                <w:color w:val="000000"/>
                <w:kern w:val="0"/>
                <w:sz w:val="18"/>
                <w:szCs w:val="18"/>
              </w:rPr>
              <w:t>；年度救助对象人次符合客观需要；</w:t>
            </w:r>
          </w:p>
        </w:tc>
        <w:tc>
          <w:tcPr>
            <w:tcW w:w="1559" w:type="dxa"/>
            <w:tcBorders>
              <w:top w:val="nil"/>
              <w:left w:val="nil"/>
              <w:bottom w:val="single" w:color="auto" w:sz="4" w:space="0"/>
              <w:right w:val="single" w:color="auto" w:sz="4" w:space="0"/>
            </w:tcBorders>
            <w:shd w:val="clear" w:color="auto" w:fill="auto"/>
            <w:vAlign w:val="center"/>
          </w:tcPr>
          <w:p w14:paraId="575C8C77">
            <w:pPr>
              <w:widowControl/>
              <w:rPr>
                <w:color w:val="000000"/>
                <w:kern w:val="0"/>
                <w:sz w:val="18"/>
                <w:szCs w:val="18"/>
              </w:rPr>
            </w:pPr>
            <w:r>
              <w:rPr>
                <w:color w:val="000000"/>
                <w:kern w:val="0"/>
                <w:sz w:val="18"/>
                <w:szCs w:val="18"/>
              </w:rPr>
              <w:t>1.</w:t>
            </w:r>
            <w:r>
              <w:rPr>
                <w:rFonts w:hAnsi="宋体"/>
                <w:color w:val="000000"/>
                <w:kern w:val="0"/>
                <w:sz w:val="18"/>
                <w:szCs w:val="18"/>
              </w:rPr>
              <w:t>资助参保人次数</w:t>
            </w:r>
            <w:r>
              <w:rPr>
                <w:color w:val="000000"/>
                <w:kern w:val="0"/>
                <w:sz w:val="18"/>
                <w:szCs w:val="18"/>
              </w:rPr>
              <w:t>≥3800</w:t>
            </w:r>
            <w:r>
              <w:rPr>
                <w:rFonts w:hAnsi="宋体"/>
                <w:color w:val="000000"/>
                <w:kern w:val="0"/>
                <w:sz w:val="18"/>
                <w:szCs w:val="18"/>
              </w:rPr>
              <w:t>人</w:t>
            </w:r>
            <w:r>
              <w:rPr>
                <w:color w:val="000000"/>
                <w:kern w:val="0"/>
                <w:sz w:val="18"/>
                <w:szCs w:val="18"/>
              </w:rPr>
              <w:br w:type="textWrapping"/>
            </w:r>
            <w:r>
              <w:rPr>
                <w:color w:val="000000"/>
                <w:kern w:val="0"/>
                <w:sz w:val="18"/>
                <w:szCs w:val="18"/>
              </w:rPr>
              <w:t>2.</w:t>
            </w:r>
            <w:r>
              <w:rPr>
                <w:rFonts w:hAnsi="宋体"/>
                <w:color w:val="000000"/>
                <w:kern w:val="0"/>
                <w:sz w:val="18"/>
                <w:szCs w:val="18"/>
              </w:rPr>
              <w:t>住院救助人次数</w:t>
            </w:r>
            <w:r>
              <w:rPr>
                <w:color w:val="000000"/>
                <w:kern w:val="0"/>
                <w:sz w:val="18"/>
                <w:szCs w:val="18"/>
              </w:rPr>
              <w:t>≥6000</w:t>
            </w:r>
          </w:p>
        </w:tc>
        <w:tc>
          <w:tcPr>
            <w:tcW w:w="1451" w:type="dxa"/>
            <w:tcBorders>
              <w:top w:val="nil"/>
              <w:left w:val="nil"/>
              <w:bottom w:val="single" w:color="auto" w:sz="4" w:space="0"/>
              <w:right w:val="single" w:color="auto" w:sz="4" w:space="0"/>
            </w:tcBorders>
            <w:shd w:val="clear" w:color="auto" w:fill="auto"/>
            <w:vAlign w:val="center"/>
          </w:tcPr>
          <w:p w14:paraId="10436C05">
            <w:pPr>
              <w:widowControl/>
              <w:rPr>
                <w:color w:val="000000"/>
                <w:kern w:val="0"/>
                <w:sz w:val="18"/>
                <w:szCs w:val="18"/>
              </w:rPr>
            </w:pPr>
            <w:r>
              <w:rPr>
                <w:rFonts w:hAnsi="宋体"/>
                <w:color w:val="000000"/>
                <w:kern w:val="0"/>
                <w:sz w:val="18"/>
                <w:szCs w:val="18"/>
              </w:rPr>
              <w:t>政策范围内的住院医疗费用救助比例</w:t>
            </w:r>
            <w:r>
              <w:rPr>
                <w:color w:val="000000"/>
                <w:kern w:val="0"/>
                <w:sz w:val="18"/>
                <w:szCs w:val="18"/>
              </w:rPr>
              <w:t>≥70%</w:t>
            </w:r>
          </w:p>
        </w:tc>
        <w:tc>
          <w:tcPr>
            <w:tcW w:w="1488" w:type="dxa"/>
            <w:tcBorders>
              <w:top w:val="nil"/>
              <w:left w:val="nil"/>
              <w:bottom w:val="single" w:color="auto" w:sz="4" w:space="0"/>
              <w:right w:val="single" w:color="auto" w:sz="4" w:space="0"/>
            </w:tcBorders>
            <w:shd w:val="clear" w:color="auto" w:fill="auto"/>
            <w:vAlign w:val="center"/>
          </w:tcPr>
          <w:p w14:paraId="501D7DE9">
            <w:pPr>
              <w:widowControl/>
              <w:rPr>
                <w:color w:val="000000"/>
                <w:kern w:val="0"/>
                <w:sz w:val="18"/>
                <w:szCs w:val="18"/>
              </w:rPr>
            </w:pPr>
            <w:r>
              <w:rPr>
                <w:color w:val="000000"/>
                <w:kern w:val="0"/>
                <w:sz w:val="18"/>
                <w:szCs w:val="18"/>
              </w:rPr>
              <w:t>“</w:t>
            </w:r>
            <w:r>
              <w:rPr>
                <w:rFonts w:hAnsi="宋体"/>
                <w:color w:val="000000"/>
                <w:kern w:val="0"/>
                <w:sz w:val="18"/>
                <w:szCs w:val="18"/>
              </w:rPr>
              <w:t>一站式</w:t>
            </w:r>
            <w:r>
              <w:rPr>
                <w:color w:val="000000"/>
                <w:kern w:val="0"/>
                <w:sz w:val="18"/>
                <w:szCs w:val="18"/>
              </w:rPr>
              <w:t>”</w:t>
            </w:r>
            <w:r>
              <w:rPr>
                <w:rFonts w:hAnsi="宋体"/>
                <w:color w:val="000000"/>
                <w:kern w:val="0"/>
                <w:sz w:val="18"/>
                <w:szCs w:val="18"/>
              </w:rPr>
              <w:t>结算率</w:t>
            </w:r>
            <w:r>
              <w:rPr>
                <w:color w:val="000000"/>
                <w:kern w:val="0"/>
                <w:sz w:val="18"/>
                <w:szCs w:val="18"/>
              </w:rPr>
              <w:t>100%</w:t>
            </w:r>
          </w:p>
        </w:tc>
        <w:tc>
          <w:tcPr>
            <w:tcW w:w="1659" w:type="dxa"/>
            <w:tcBorders>
              <w:top w:val="nil"/>
              <w:left w:val="nil"/>
              <w:bottom w:val="single" w:color="auto" w:sz="4" w:space="0"/>
              <w:right w:val="single" w:color="auto" w:sz="4" w:space="0"/>
            </w:tcBorders>
            <w:shd w:val="clear" w:color="auto" w:fill="auto"/>
            <w:vAlign w:val="center"/>
          </w:tcPr>
          <w:p w14:paraId="1E1C40A1">
            <w:pPr>
              <w:widowControl/>
              <w:rPr>
                <w:color w:val="000000"/>
                <w:kern w:val="0"/>
                <w:sz w:val="18"/>
                <w:szCs w:val="18"/>
              </w:rPr>
            </w:pPr>
            <w:r>
              <w:rPr>
                <w:rFonts w:hAnsi="宋体"/>
                <w:color w:val="000000"/>
                <w:kern w:val="0"/>
                <w:sz w:val="18"/>
                <w:szCs w:val="18"/>
              </w:rPr>
              <w:t>医疗救助对象覆盖范围</w:t>
            </w:r>
            <w:r>
              <w:rPr>
                <w:color w:val="000000"/>
                <w:kern w:val="0"/>
                <w:sz w:val="18"/>
                <w:szCs w:val="18"/>
              </w:rPr>
              <w:t>100%</w:t>
            </w:r>
          </w:p>
        </w:tc>
        <w:tc>
          <w:tcPr>
            <w:tcW w:w="3519" w:type="dxa"/>
            <w:tcBorders>
              <w:top w:val="nil"/>
              <w:left w:val="nil"/>
              <w:bottom w:val="single" w:color="auto" w:sz="4" w:space="0"/>
              <w:right w:val="single" w:color="auto" w:sz="4" w:space="0"/>
            </w:tcBorders>
            <w:shd w:val="clear" w:color="auto" w:fill="auto"/>
            <w:vAlign w:val="center"/>
          </w:tcPr>
          <w:p w14:paraId="437915D5">
            <w:pPr>
              <w:widowControl/>
              <w:rPr>
                <w:color w:val="000000"/>
                <w:kern w:val="0"/>
                <w:sz w:val="18"/>
                <w:szCs w:val="18"/>
              </w:rPr>
            </w:pPr>
            <w:r>
              <w:rPr>
                <w:color w:val="000000"/>
                <w:kern w:val="0"/>
                <w:sz w:val="18"/>
                <w:szCs w:val="18"/>
              </w:rPr>
              <w:t>1.</w:t>
            </w:r>
            <w:r>
              <w:rPr>
                <w:rFonts w:hAnsi="宋体"/>
                <w:color w:val="000000"/>
                <w:kern w:val="0"/>
                <w:sz w:val="18"/>
                <w:szCs w:val="18"/>
              </w:rPr>
              <w:t>全额资助民政特殊困难居民参保人员共</w:t>
            </w:r>
            <w:r>
              <w:rPr>
                <w:color w:val="000000"/>
                <w:kern w:val="0"/>
                <w:sz w:val="18"/>
                <w:szCs w:val="18"/>
              </w:rPr>
              <w:t>4020</w:t>
            </w:r>
            <w:r>
              <w:rPr>
                <w:rFonts w:hAnsi="宋体"/>
                <w:color w:val="000000"/>
                <w:kern w:val="0"/>
                <w:sz w:val="18"/>
                <w:szCs w:val="18"/>
              </w:rPr>
              <w:t>人。</w:t>
            </w:r>
            <w:r>
              <w:rPr>
                <w:color w:val="000000"/>
                <w:kern w:val="0"/>
                <w:sz w:val="18"/>
                <w:szCs w:val="18"/>
              </w:rPr>
              <w:br w:type="textWrapping"/>
            </w:r>
            <w:r>
              <w:rPr>
                <w:color w:val="000000"/>
                <w:kern w:val="0"/>
                <w:sz w:val="18"/>
                <w:szCs w:val="18"/>
              </w:rPr>
              <w:t>2.2020</w:t>
            </w:r>
            <w:r>
              <w:rPr>
                <w:rFonts w:hAnsi="宋体"/>
                <w:color w:val="000000"/>
                <w:kern w:val="0"/>
                <w:sz w:val="18"/>
                <w:szCs w:val="18"/>
              </w:rPr>
              <w:t>年，一单制结算医疗救助</w:t>
            </w:r>
            <w:r>
              <w:rPr>
                <w:color w:val="000000"/>
                <w:kern w:val="0"/>
                <w:sz w:val="18"/>
                <w:szCs w:val="18"/>
              </w:rPr>
              <w:t>8025</w:t>
            </w:r>
            <w:r>
              <w:rPr>
                <w:rFonts w:hAnsi="宋体"/>
                <w:color w:val="000000"/>
                <w:kern w:val="0"/>
                <w:sz w:val="18"/>
                <w:szCs w:val="18"/>
              </w:rPr>
              <w:t>人次，救助金额</w:t>
            </w:r>
            <w:r>
              <w:rPr>
                <w:color w:val="000000"/>
                <w:kern w:val="0"/>
                <w:sz w:val="18"/>
                <w:szCs w:val="18"/>
              </w:rPr>
              <w:t>470.67</w:t>
            </w:r>
            <w:r>
              <w:rPr>
                <w:rFonts w:hAnsi="宋体"/>
                <w:color w:val="000000"/>
                <w:kern w:val="0"/>
                <w:sz w:val="18"/>
                <w:szCs w:val="18"/>
              </w:rPr>
              <w:t>万元。</w:t>
            </w:r>
          </w:p>
        </w:tc>
        <w:tc>
          <w:tcPr>
            <w:tcW w:w="876" w:type="dxa"/>
            <w:tcBorders>
              <w:top w:val="nil"/>
              <w:left w:val="nil"/>
              <w:bottom w:val="single" w:color="auto" w:sz="4" w:space="0"/>
              <w:right w:val="single" w:color="auto" w:sz="4" w:space="0"/>
            </w:tcBorders>
            <w:shd w:val="clear" w:color="auto" w:fill="auto"/>
            <w:vAlign w:val="center"/>
          </w:tcPr>
          <w:p w14:paraId="14781270">
            <w:pPr>
              <w:widowControl/>
              <w:jc w:val="left"/>
              <w:rPr>
                <w:rFonts w:ascii="宋体" w:hAnsi="宋体" w:cs="宋体"/>
                <w:color w:val="000000"/>
                <w:kern w:val="0"/>
                <w:sz w:val="18"/>
                <w:szCs w:val="18"/>
              </w:rPr>
            </w:pPr>
            <w:r>
              <w:rPr>
                <w:rFonts w:hint="eastAsia" w:ascii="宋体" w:hAnsi="宋体" w:cs="宋体"/>
                <w:color w:val="000000"/>
                <w:kern w:val="0"/>
                <w:sz w:val="18"/>
                <w:szCs w:val="18"/>
              </w:rPr>
              <w:t>救助对象满意度≥95%</w:t>
            </w:r>
          </w:p>
        </w:tc>
      </w:tr>
    </w:tbl>
    <w:p w14:paraId="4CFCFE64">
      <w:pPr>
        <w:pStyle w:val="46"/>
        <w:spacing w:line="560" w:lineRule="exact"/>
        <w:ind w:firstLine="640"/>
        <w:rPr>
          <w:rFonts w:ascii="Times New Roman" w:hAnsi="仿宋_GB2312" w:eastAsia="仿宋_GB2312"/>
          <w:color w:val="000000"/>
          <w:sz w:val="32"/>
          <w:szCs w:val="32"/>
        </w:rPr>
      </w:pPr>
    </w:p>
    <w:p w14:paraId="48CFA084">
      <w:pPr>
        <w:pStyle w:val="46"/>
        <w:spacing w:line="560" w:lineRule="exact"/>
        <w:ind w:firstLine="640"/>
        <w:rPr>
          <w:rFonts w:ascii="Times New Roman" w:hAnsi="仿宋_GB2312" w:eastAsia="仿宋_GB2312"/>
          <w:color w:val="000000"/>
          <w:sz w:val="32"/>
          <w:szCs w:val="32"/>
        </w:rPr>
      </w:pPr>
    </w:p>
    <w:p w14:paraId="312F8D16">
      <w:pPr>
        <w:pStyle w:val="46"/>
        <w:spacing w:line="560" w:lineRule="exact"/>
        <w:ind w:firstLine="640"/>
        <w:rPr>
          <w:rFonts w:ascii="Times New Roman" w:hAnsi="仿宋_GB2312" w:eastAsia="仿宋_GB2312"/>
          <w:color w:val="000000"/>
          <w:sz w:val="32"/>
          <w:szCs w:val="32"/>
        </w:rPr>
        <w:sectPr>
          <w:pgSz w:w="16838" w:h="11906" w:orient="landscape"/>
          <w:pgMar w:top="1797" w:right="1440" w:bottom="1797" w:left="1440" w:header="851" w:footer="992" w:gutter="0"/>
          <w:pgNumType w:fmt="numberInDash"/>
          <w:cols w:space="425" w:num="1"/>
          <w:docGrid w:linePitch="312" w:charSpace="0"/>
        </w:sectPr>
      </w:pPr>
    </w:p>
    <w:p w14:paraId="6C24474D">
      <w:pPr>
        <w:spacing w:line="560" w:lineRule="exact"/>
        <w:ind w:firstLine="140" w:firstLineChars="44"/>
        <w:rPr>
          <w:rFonts w:eastAsia="黑体"/>
          <w:color w:val="000000"/>
          <w:kern w:val="0"/>
          <w:sz w:val="32"/>
          <w:szCs w:val="32"/>
          <w:shd w:val="clear" w:color="auto" w:fill="FFFFFF"/>
        </w:rPr>
      </w:pPr>
      <w:r>
        <w:rPr>
          <w:rStyle w:val="40"/>
          <w:rFonts w:hint="default"/>
        </w:rPr>
        <w:t>四</w:t>
      </w:r>
      <w:r>
        <w:rPr>
          <w:rFonts w:eastAsia="黑体"/>
          <w:color w:val="000000"/>
          <w:kern w:val="0"/>
          <w:sz w:val="32"/>
          <w:szCs w:val="32"/>
          <w:shd w:val="clear" w:color="auto" w:fill="FFFFFF"/>
        </w:rPr>
        <w:t>、评价结论及建议</w:t>
      </w:r>
    </w:p>
    <w:p w14:paraId="3A1ABC89">
      <w:pPr>
        <w:spacing w:line="560" w:lineRule="exact"/>
        <w:ind w:firstLine="643" w:firstLineChars="200"/>
        <w:rPr>
          <w:rFonts w:eastAsia="楷体"/>
          <w:b/>
          <w:bCs/>
          <w:color w:val="000000"/>
          <w:sz w:val="32"/>
          <w:szCs w:val="32"/>
          <w:lang w:val="zh-CN"/>
        </w:rPr>
      </w:pPr>
      <w:r>
        <w:rPr>
          <w:rFonts w:hAnsi="楷体" w:eastAsia="楷体"/>
          <w:b/>
          <w:bCs/>
          <w:color w:val="000000"/>
          <w:sz w:val="32"/>
          <w:szCs w:val="32"/>
          <w:lang w:val="zh-CN"/>
        </w:rPr>
        <w:t>（一）评价结论</w:t>
      </w:r>
    </w:p>
    <w:p w14:paraId="698391FE">
      <w:pPr>
        <w:spacing w:line="560" w:lineRule="exact"/>
        <w:ind w:firstLine="640" w:firstLineChars="200"/>
        <w:rPr>
          <w:rFonts w:eastAsia="仿宋_GB2312"/>
          <w:color w:val="000000"/>
          <w:sz w:val="32"/>
          <w:szCs w:val="32"/>
          <w:lang w:val="zh-CN"/>
        </w:rPr>
      </w:pPr>
      <w:r>
        <w:rPr>
          <w:rFonts w:eastAsia="仿宋_GB2312"/>
          <w:color w:val="000000"/>
          <w:sz w:val="32"/>
          <w:szCs w:val="32"/>
        </w:rPr>
        <w:t>2020年，我单位整体支出情况良好</w:t>
      </w:r>
      <w:r>
        <w:rPr>
          <w:rFonts w:eastAsia="仿宋_GB2312"/>
          <w:color w:val="000000"/>
          <w:sz w:val="32"/>
          <w:szCs w:val="32"/>
          <w:lang w:val="zh-CN"/>
        </w:rPr>
        <w:t>，经费执行、资产采购及管理、信息公开等方面都严格按相关要求推进，全年收支平衡，圆满完成了上级下达的目标任务，受到了社会各界的好评。2020年度我单位支出绩效评价指标体系自评得分</w:t>
      </w:r>
      <w:r>
        <w:rPr>
          <w:rFonts w:hint="eastAsia" w:eastAsia="仿宋_GB2312"/>
          <w:color w:val="000000"/>
          <w:sz w:val="32"/>
          <w:szCs w:val="32"/>
          <w:lang w:val="zh-CN"/>
        </w:rPr>
        <w:t>76.5</w:t>
      </w:r>
      <w:r>
        <w:rPr>
          <w:rFonts w:eastAsia="仿宋_GB2312"/>
          <w:color w:val="000000"/>
          <w:sz w:val="32"/>
          <w:szCs w:val="32"/>
          <w:lang w:val="zh-CN"/>
        </w:rPr>
        <w:t>分</w:t>
      </w:r>
      <w:r>
        <w:rPr>
          <w:rFonts w:hint="eastAsia" w:eastAsia="仿宋_GB2312"/>
          <w:color w:val="000000"/>
          <w:sz w:val="32"/>
          <w:szCs w:val="32"/>
          <w:lang w:val="zh-CN"/>
        </w:rPr>
        <w:t>，折算评分98.08分</w:t>
      </w:r>
      <w:r>
        <w:rPr>
          <w:rFonts w:eastAsia="仿宋_GB2312"/>
          <w:color w:val="000000"/>
          <w:sz w:val="32"/>
          <w:szCs w:val="32"/>
          <w:lang w:val="zh-CN"/>
        </w:rPr>
        <w:t>。</w:t>
      </w:r>
      <w:r>
        <w:rPr>
          <w:rFonts w:hint="eastAsia" w:eastAsia="仿宋_GB2312"/>
          <w:color w:val="000000"/>
          <w:sz w:val="32"/>
          <w:szCs w:val="32"/>
          <w:lang w:val="zh-CN"/>
        </w:rPr>
        <w:t>见附表《县级部门预算整体绩效评价指标体系自评分》</w:t>
      </w:r>
    </w:p>
    <w:p w14:paraId="6040E163">
      <w:pPr>
        <w:spacing w:line="560" w:lineRule="exact"/>
        <w:ind w:firstLine="643" w:firstLineChars="200"/>
        <w:rPr>
          <w:rFonts w:eastAsia="楷体"/>
          <w:b/>
          <w:color w:val="000000"/>
          <w:sz w:val="32"/>
          <w:szCs w:val="32"/>
        </w:rPr>
      </w:pPr>
      <w:r>
        <w:rPr>
          <w:rFonts w:hAnsi="楷体" w:eastAsia="楷体"/>
          <w:b/>
          <w:color w:val="000000"/>
          <w:sz w:val="32"/>
          <w:szCs w:val="32"/>
          <w:lang w:val="zh-CN"/>
        </w:rPr>
        <w:t>（二）</w:t>
      </w:r>
      <w:r>
        <w:rPr>
          <w:rFonts w:hAnsi="楷体" w:eastAsia="楷体"/>
          <w:b/>
          <w:color w:val="000000"/>
          <w:sz w:val="32"/>
          <w:szCs w:val="32"/>
        </w:rPr>
        <w:t>存在主要问题</w:t>
      </w:r>
    </w:p>
    <w:p w14:paraId="494D68A4">
      <w:pPr>
        <w:spacing w:line="560" w:lineRule="exact"/>
        <w:ind w:firstLine="640" w:firstLineChars="200"/>
        <w:rPr>
          <w:rFonts w:eastAsia="仿宋_GB2312"/>
          <w:color w:val="000000"/>
          <w:sz w:val="32"/>
          <w:szCs w:val="32"/>
        </w:rPr>
      </w:pPr>
      <w:r>
        <w:rPr>
          <w:rFonts w:eastAsia="仿宋_GB2312"/>
          <w:color w:val="000000"/>
          <w:sz w:val="32"/>
          <w:szCs w:val="32"/>
        </w:rPr>
        <w:t>米易县医疗保障局于2019年2月新组建，在新形势下医疗保障工作面临多项新使命，承担多项新任务，需要面对更多的新情况和接受新挑战。</w:t>
      </w:r>
      <w:r>
        <w:rPr>
          <w:rFonts w:hint="eastAsia" w:eastAsia="仿宋_GB2312"/>
          <w:color w:val="000000"/>
          <w:sz w:val="32"/>
          <w:szCs w:val="32"/>
        </w:rPr>
        <w:t>一是预算管理工作</w:t>
      </w:r>
      <w:r>
        <w:rPr>
          <w:rFonts w:hint="eastAsia" w:ascii="仿宋_GB2312" w:hAnsi="仿宋_GB2312" w:eastAsia="仿宋_GB2312" w:cs="仿宋_GB2312"/>
          <w:color w:val="000000"/>
          <w:sz w:val="32"/>
          <w:szCs w:val="32"/>
        </w:rPr>
        <w:t>还有待进一步细化和量化，强化机关经费预算管理的刚性约束，项目支出按预算和工作进度执行；二是财务管理工作有待提高。财务工作在制度建设和经办环节上还需要进一步完善，财务人员还需提高财务经办水平。</w:t>
      </w:r>
    </w:p>
    <w:p w14:paraId="48B8AD04">
      <w:pPr>
        <w:spacing w:line="560" w:lineRule="exact"/>
        <w:ind w:firstLine="630" w:firstLineChars="196"/>
        <w:rPr>
          <w:rFonts w:eastAsia="楷体"/>
          <w:b/>
          <w:color w:val="000000"/>
          <w:sz w:val="32"/>
          <w:szCs w:val="32"/>
          <w:lang w:val="zh-CN"/>
        </w:rPr>
      </w:pPr>
      <w:r>
        <w:rPr>
          <w:rFonts w:hAnsi="楷体" w:eastAsia="楷体"/>
          <w:b/>
          <w:color w:val="000000"/>
          <w:sz w:val="32"/>
          <w:szCs w:val="32"/>
          <w:lang w:val="zh-CN"/>
        </w:rPr>
        <w:t>（三）改进建议</w:t>
      </w:r>
    </w:p>
    <w:p w14:paraId="785A6603">
      <w:pPr>
        <w:spacing w:line="560" w:lineRule="exact"/>
        <w:ind w:firstLine="640" w:firstLineChars="200"/>
        <w:rPr>
          <w:rFonts w:eastAsia="仿宋_GB2312"/>
          <w:color w:val="000000"/>
          <w:sz w:val="32"/>
          <w:szCs w:val="32"/>
          <w:lang w:val="zh-CN"/>
        </w:rPr>
      </w:pPr>
      <w:r>
        <w:rPr>
          <w:rFonts w:eastAsia="仿宋_GB2312"/>
          <w:color w:val="000000"/>
          <w:sz w:val="32"/>
          <w:szCs w:val="32"/>
          <w:lang w:val="zh-CN"/>
        </w:rPr>
        <w:t>1.按照</w:t>
      </w:r>
      <w:r>
        <w:rPr>
          <w:rFonts w:eastAsia="仿宋_GB2312"/>
          <w:color w:val="000000"/>
          <w:sz w:val="32"/>
          <w:szCs w:val="32"/>
        </w:rPr>
        <w:t>新《预算法》及其实施条例的相关规定，科学合理编制预算，并严格执行预算。</w:t>
      </w:r>
    </w:p>
    <w:p w14:paraId="617BB40A">
      <w:pPr>
        <w:spacing w:line="560" w:lineRule="exact"/>
        <w:ind w:firstLine="640" w:firstLineChars="200"/>
        <w:rPr>
          <w:rFonts w:eastAsia="仿宋_GB2312"/>
          <w:color w:val="000000"/>
          <w:sz w:val="32"/>
          <w:szCs w:val="32"/>
        </w:rPr>
      </w:pPr>
      <w:r>
        <w:rPr>
          <w:rFonts w:eastAsia="仿宋_GB2312"/>
          <w:color w:val="000000"/>
          <w:sz w:val="32"/>
          <w:szCs w:val="32"/>
        </w:rPr>
        <w:t>2.按照国家政策法规规定和单位实际情况，进一步完善财务基础管理制度、经费开支审批制度和约束机制，严格经费开支报销程序，加强经费开支的监督，控制经费增长，依法、有效地使用财政资金，提高财政资金使用效率，在完成单位职能目标中合理分配人、财、物，使之达到较高的工作效率和水平，适时公开相关信息，更好地服务全县参保职工。</w:t>
      </w:r>
    </w:p>
    <w:p w14:paraId="2555737A">
      <w:pPr>
        <w:tabs>
          <w:tab w:val="left" w:pos="1418"/>
        </w:tabs>
        <w:spacing w:line="560" w:lineRule="exact"/>
        <w:ind w:firstLine="640" w:firstLineChars="200"/>
        <w:rPr>
          <w:rFonts w:eastAsia="仿宋_GB2312"/>
          <w:color w:val="000000"/>
          <w:sz w:val="32"/>
          <w:szCs w:val="32"/>
        </w:rPr>
      </w:pPr>
      <w:r>
        <w:rPr>
          <w:rFonts w:eastAsia="仿宋_GB2312"/>
          <w:color w:val="000000"/>
          <w:sz w:val="32"/>
          <w:szCs w:val="32"/>
        </w:rPr>
        <w:t>3.建议县级政府及财政加大对医疗保障经费和人员的投入力度，能足额安排年初财政预算及补充工作人员，确保我县医疗保障工作的顺利推进。</w:t>
      </w:r>
    </w:p>
    <w:p w14:paraId="7EC34E7B">
      <w:pPr>
        <w:tabs>
          <w:tab w:val="left" w:pos="1418"/>
        </w:tabs>
        <w:spacing w:line="560" w:lineRule="exact"/>
        <w:ind w:firstLine="640" w:firstLineChars="200"/>
        <w:rPr>
          <w:rFonts w:eastAsia="仿宋_GB2312"/>
          <w:color w:val="000000"/>
          <w:sz w:val="32"/>
          <w:szCs w:val="32"/>
        </w:rPr>
      </w:pPr>
    </w:p>
    <w:p w14:paraId="43B61B1A">
      <w:pPr>
        <w:tabs>
          <w:tab w:val="left" w:pos="1418"/>
        </w:tabs>
        <w:spacing w:line="560" w:lineRule="exact"/>
        <w:ind w:firstLine="640" w:firstLineChars="200"/>
        <w:rPr>
          <w:rFonts w:eastAsia="仿宋_GB2312"/>
          <w:color w:val="000000"/>
          <w:sz w:val="32"/>
          <w:szCs w:val="32"/>
        </w:rPr>
      </w:pPr>
    </w:p>
    <w:p w14:paraId="5C1204FD">
      <w:pPr>
        <w:tabs>
          <w:tab w:val="left" w:pos="1418"/>
        </w:tabs>
        <w:spacing w:line="560" w:lineRule="exact"/>
        <w:ind w:firstLine="4640" w:firstLineChars="1450"/>
        <w:rPr>
          <w:rFonts w:eastAsia="仿宋_GB2312"/>
          <w:color w:val="000000"/>
          <w:sz w:val="32"/>
          <w:szCs w:val="32"/>
        </w:rPr>
      </w:pPr>
    </w:p>
    <w:p w14:paraId="121F4C12">
      <w:pPr>
        <w:tabs>
          <w:tab w:val="left" w:pos="1418"/>
        </w:tabs>
        <w:spacing w:line="560" w:lineRule="exact"/>
        <w:ind w:firstLine="4640" w:firstLineChars="1450"/>
        <w:rPr>
          <w:rFonts w:eastAsia="仿宋_GB2312"/>
          <w:color w:val="000000"/>
          <w:sz w:val="32"/>
          <w:szCs w:val="32"/>
        </w:rPr>
      </w:pPr>
    </w:p>
    <w:p w14:paraId="73900C1B">
      <w:pPr>
        <w:tabs>
          <w:tab w:val="left" w:pos="1418"/>
        </w:tabs>
        <w:spacing w:line="560" w:lineRule="exact"/>
        <w:ind w:firstLine="4640" w:firstLineChars="1450"/>
        <w:rPr>
          <w:rFonts w:eastAsia="仿宋_GB2312"/>
          <w:color w:val="000000"/>
          <w:sz w:val="32"/>
          <w:szCs w:val="32"/>
        </w:rPr>
      </w:pPr>
    </w:p>
    <w:p w14:paraId="46637251">
      <w:pPr>
        <w:tabs>
          <w:tab w:val="left" w:pos="1418"/>
        </w:tabs>
        <w:spacing w:line="560" w:lineRule="exact"/>
        <w:ind w:firstLine="4640" w:firstLineChars="1450"/>
        <w:rPr>
          <w:rStyle w:val="41"/>
          <w:rFonts w:hint="default"/>
        </w:rPr>
        <w:sectPr>
          <w:pgSz w:w="11906" w:h="16838"/>
          <w:pgMar w:top="1440" w:right="1797" w:bottom="1440" w:left="1797" w:header="851" w:footer="992" w:gutter="0"/>
          <w:pgNumType w:fmt="numberInDash"/>
          <w:cols w:space="425" w:num="1"/>
          <w:docGrid w:linePitch="312" w:charSpace="0"/>
        </w:sectPr>
      </w:pPr>
    </w:p>
    <w:p w14:paraId="121B2780">
      <w:pPr>
        <w:tabs>
          <w:tab w:val="left" w:pos="1418"/>
        </w:tabs>
        <w:spacing w:line="560" w:lineRule="exact"/>
        <w:jc w:val="left"/>
        <w:rPr>
          <w:rStyle w:val="41"/>
          <w:rFonts w:hint="default" w:ascii="黑体" w:hAnsi="黑体" w:eastAsia="黑体"/>
        </w:rPr>
      </w:pPr>
      <w:r>
        <w:rPr>
          <w:rStyle w:val="41"/>
          <w:rFonts w:hint="default" w:ascii="黑体" w:hAnsi="黑体" w:eastAsia="黑体"/>
        </w:rPr>
        <w:t>附件：</w:t>
      </w:r>
    </w:p>
    <w:tbl>
      <w:tblPr>
        <w:tblStyle w:val="14"/>
        <w:tblW w:w="13620" w:type="dxa"/>
        <w:tblInd w:w="96" w:type="dxa"/>
        <w:tblLayout w:type="autofit"/>
        <w:tblCellMar>
          <w:top w:w="0" w:type="dxa"/>
          <w:left w:w="108" w:type="dxa"/>
          <w:bottom w:w="0" w:type="dxa"/>
          <w:right w:w="108" w:type="dxa"/>
        </w:tblCellMar>
      </w:tblPr>
      <w:tblGrid>
        <w:gridCol w:w="1100"/>
        <w:gridCol w:w="1160"/>
        <w:gridCol w:w="1100"/>
        <w:gridCol w:w="660"/>
        <w:gridCol w:w="3820"/>
        <w:gridCol w:w="5072"/>
        <w:gridCol w:w="708"/>
      </w:tblGrid>
      <w:tr w14:paraId="31732D83">
        <w:tblPrEx>
          <w:tblCellMar>
            <w:top w:w="0" w:type="dxa"/>
            <w:left w:w="108" w:type="dxa"/>
            <w:bottom w:w="0" w:type="dxa"/>
            <w:right w:w="108" w:type="dxa"/>
          </w:tblCellMar>
        </w:tblPrEx>
        <w:trPr>
          <w:trHeight w:val="690" w:hRule="atLeast"/>
        </w:trPr>
        <w:tc>
          <w:tcPr>
            <w:tcW w:w="13620" w:type="dxa"/>
            <w:gridSpan w:val="7"/>
            <w:tcBorders>
              <w:top w:val="nil"/>
              <w:left w:val="nil"/>
              <w:bottom w:val="single" w:color="auto" w:sz="4" w:space="0"/>
              <w:right w:val="nil"/>
            </w:tcBorders>
            <w:shd w:val="clear" w:color="auto" w:fill="auto"/>
            <w:vAlign w:val="center"/>
          </w:tcPr>
          <w:p w14:paraId="199D7D8F">
            <w:pPr>
              <w:widowControl/>
              <w:jc w:val="center"/>
              <w:rPr>
                <w:rFonts w:ascii="宋体" w:hAnsi="宋体" w:cs="宋体"/>
                <w:b/>
                <w:bCs/>
                <w:color w:val="000000"/>
                <w:kern w:val="0"/>
                <w:sz w:val="32"/>
                <w:szCs w:val="32"/>
              </w:rPr>
            </w:pPr>
            <w:r>
              <w:rPr>
                <w:rFonts w:hint="eastAsia" w:ascii="宋体" w:hAnsi="宋体" w:cs="宋体"/>
                <w:b/>
                <w:bCs/>
                <w:color w:val="000000"/>
                <w:kern w:val="0"/>
                <w:sz w:val="32"/>
                <w:szCs w:val="32"/>
              </w:rPr>
              <w:t>县级部门预算整体绩效评价指标体系自评分</w:t>
            </w:r>
          </w:p>
        </w:tc>
      </w:tr>
      <w:tr w14:paraId="2BFDEB2A">
        <w:tblPrEx>
          <w:tblCellMar>
            <w:top w:w="0" w:type="dxa"/>
            <w:left w:w="108" w:type="dxa"/>
            <w:bottom w:w="0" w:type="dxa"/>
            <w:right w:w="108" w:type="dxa"/>
          </w:tblCellMar>
        </w:tblPrEx>
        <w:trPr>
          <w:trHeight w:val="450" w:hRule="atLeast"/>
        </w:trPr>
        <w:tc>
          <w:tcPr>
            <w:tcW w:w="336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730904C1">
            <w:pPr>
              <w:widowControl/>
              <w:jc w:val="center"/>
              <w:rPr>
                <w:rFonts w:ascii="宋体" w:hAnsi="宋体" w:cs="宋体"/>
                <w:b/>
                <w:bCs/>
                <w:color w:val="000000"/>
                <w:kern w:val="0"/>
                <w:sz w:val="24"/>
              </w:rPr>
            </w:pPr>
            <w:r>
              <w:rPr>
                <w:rFonts w:hint="eastAsia" w:ascii="宋体" w:hAnsi="宋体" w:cs="宋体"/>
                <w:b/>
                <w:bCs/>
                <w:color w:val="000000"/>
                <w:kern w:val="0"/>
                <w:sz w:val="24"/>
              </w:rPr>
              <w:t>绩效指标</w:t>
            </w:r>
          </w:p>
        </w:tc>
        <w:tc>
          <w:tcPr>
            <w:tcW w:w="660" w:type="dxa"/>
            <w:vMerge w:val="restart"/>
            <w:tcBorders>
              <w:top w:val="nil"/>
              <w:left w:val="single" w:color="auto" w:sz="4" w:space="0"/>
              <w:bottom w:val="single" w:color="auto" w:sz="4" w:space="0"/>
              <w:right w:val="single" w:color="auto" w:sz="4" w:space="0"/>
            </w:tcBorders>
            <w:shd w:val="clear" w:color="auto" w:fill="auto"/>
            <w:vAlign w:val="center"/>
          </w:tcPr>
          <w:p w14:paraId="7FA6A36A">
            <w:pPr>
              <w:widowControl/>
              <w:jc w:val="center"/>
              <w:rPr>
                <w:rFonts w:ascii="宋体" w:hAnsi="宋体" w:cs="宋体"/>
                <w:b/>
                <w:bCs/>
                <w:color w:val="000000"/>
                <w:kern w:val="0"/>
                <w:sz w:val="24"/>
              </w:rPr>
            </w:pPr>
            <w:r>
              <w:rPr>
                <w:rFonts w:hint="eastAsia" w:ascii="宋体" w:hAnsi="宋体" w:cs="宋体"/>
                <w:b/>
                <w:bCs/>
                <w:color w:val="000000"/>
                <w:kern w:val="0"/>
                <w:sz w:val="24"/>
              </w:rPr>
              <w:t>指标分值</w:t>
            </w:r>
          </w:p>
        </w:tc>
        <w:tc>
          <w:tcPr>
            <w:tcW w:w="3820" w:type="dxa"/>
            <w:vMerge w:val="restart"/>
            <w:tcBorders>
              <w:top w:val="nil"/>
              <w:left w:val="single" w:color="auto" w:sz="4" w:space="0"/>
              <w:bottom w:val="single" w:color="auto" w:sz="4" w:space="0"/>
              <w:right w:val="single" w:color="auto" w:sz="4" w:space="0"/>
            </w:tcBorders>
            <w:shd w:val="clear" w:color="auto" w:fill="auto"/>
            <w:vAlign w:val="center"/>
          </w:tcPr>
          <w:p w14:paraId="339D03BE">
            <w:pPr>
              <w:widowControl/>
              <w:jc w:val="center"/>
              <w:rPr>
                <w:rFonts w:ascii="宋体" w:hAnsi="宋体" w:cs="宋体"/>
                <w:b/>
                <w:bCs/>
                <w:color w:val="000000"/>
                <w:kern w:val="0"/>
                <w:sz w:val="24"/>
              </w:rPr>
            </w:pPr>
            <w:r>
              <w:rPr>
                <w:rFonts w:hint="eastAsia" w:ascii="宋体" w:hAnsi="宋体" w:cs="宋体"/>
                <w:b/>
                <w:bCs/>
                <w:color w:val="000000"/>
                <w:kern w:val="0"/>
                <w:sz w:val="24"/>
              </w:rPr>
              <w:t>指标解释</w:t>
            </w:r>
          </w:p>
        </w:tc>
        <w:tc>
          <w:tcPr>
            <w:tcW w:w="5072" w:type="dxa"/>
            <w:vMerge w:val="restart"/>
            <w:tcBorders>
              <w:top w:val="nil"/>
              <w:left w:val="single" w:color="auto" w:sz="4" w:space="0"/>
              <w:bottom w:val="single" w:color="auto" w:sz="4" w:space="0"/>
              <w:right w:val="single" w:color="auto" w:sz="4" w:space="0"/>
            </w:tcBorders>
            <w:shd w:val="clear" w:color="auto" w:fill="auto"/>
            <w:vAlign w:val="center"/>
          </w:tcPr>
          <w:p w14:paraId="4B7639CF">
            <w:pPr>
              <w:widowControl/>
              <w:jc w:val="center"/>
              <w:rPr>
                <w:rFonts w:ascii="宋体" w:hAnsi="宋体" w:cs="宋体"/>
                <w:b/>
                <w:bCs/>
                <w:color w:val="000000"/>
                <w:kern w:val="0"/>
                <w:sz w:val="24"/>
              </w:rPr>
            </w:pPr>
            <w:r>
              <w:rPr>
                <w:rFonts w:hint="eastAsia" w:ascii="宋体" w:hAnsi="宋体" w:cs="宋体"/>
                <w:b/>
                <w:bCs/>
                <w:color w:val="000000"/>
                <w:kern w:val="0"/>
                <w:sz w:val="24"/>
              </w:rPr>
              <w:t>计分标准</w:t>
            </w:r>
          </w:p>
        </w:tc>
        <w:tc>
          <w:tcPr>
            <w:tcW w:w="708" w:type="dxa"/>
            <w:vMerge w:val="restart"/>
            <w:tcBorders>
              <w:top w:val="nil"/>
              <w:left w:val="single" w:color="auto" w:sz="4" w:space="0"/>
              <w:bottom w:val="single" w:color="000000" w:sz="4" w:space="0"/>
              <w:right w:val="single" w:color="auto" w:sz="4" w:space="0"/>
            </w:tcBorders>
            <w:shd w:val="clear" w:color="auto" w:fill="auto"/>
            <w:vAlign w:val="center"/>
          </w:tcPr>
          <w:p w14:paraId="65548E03">
            <w:pPr>
              <w:widowControl/>
              <w:jc w:val="center"/>
              <w:rPr>
                <w:rFonts w:ascii="宋体" w:hAnsi="宋体" w:cs="宋体"/>
                <w:b/>
                <w:bCs/>
                <w:color w:val="000000"/>
                <w:kern w:val="0"/>
                <w:sz w:val="24"/>
              </w:rPr>
            </w:pPr>
            <w:r>
              <w:rPr>
                <w:rFonts w:hint="eastAsia" w:ascii="宋体" w:hAnsi="宋体" w:cs="宋体"/>
                <w:b/>
                <w:bCs/>
                <w:color w:val="000000"/>
                <w:kern w:val="0"/>
                <w:sz w:val="24"/>
              </w:rPr>
              <w:t>自评分</w:t>
            </w:r>
          </w:p>
        </w:tc>
      </w:tr>
      <w:tr w14:paraId="32030B8E">
        <w:tblPrEx>
          <w:tblCellMar>
            <w:top w:w="0" w:type="dxa"/>
            <w:left w:w="108" w:type="dxa"/>
            <w:bottom w:w="0" w:type="dxa"/>
            <w:right w:w="108" w:type="dxa"/>
          </w:tblCellMar>
        </w:tblPrEx>
        <w:trPr>
          <w:trHeight w:val="645" w:hRule="atLeast"/>
        </w:trPr>
        <w:tc>
          <w:tcPr>
            <w:tcW w:w="1100" w:type="dxa"/>
            <w:tcBorders>
              <w:top w:val="nil"/>
              <w:left w:val="single" w:color="auto" w:sz="4" w:space="0"/>
              <w:bottom w:val="single" w:color="auto" w:sz="4" w:space="0"/>
              <w:right w:val="single" w:color="auto" w:sz="4" w:space="0"/>
            </w:tcBorders>
            <w:shd w:val="clear" w:color="auto" w:fill="auto"/>
            <w:vAlign w:val="center"/>
          </w:tcPr>
          <w:p w14:paraId="5B021C5B">
            <w:pPr>
              <w:widowControl/>
              <w:jc w:val="center"/>
              <w:rPr>
                <w:rFonts w:ascii="宋体" w:hAnsi="宋体" w:cs="宋体"/>
                <w:b/>
                <w:bCs/>
                <w:color w:val="000000"/>
                <w:kern w:val="0"/>
                <w:sz w:val="24"/>
              </w:rPr>
            </w:pPr>
            <w:r>
              <w:rPr>
                <w:rFonts w:hint="eastAsia" w:ascii="宋体" w:hAnsi="宋体" w:cs="宋体"/>
                <w:b/>
                <w:bCs/>
                <w:color w:val="000000"/>
                <w:kern w:val="0"/>
                <w:sz w:val="24"/>
              </w:rPr>
              <w:t>一级指标</w:t>
            </w:r>
          </w:p>
        </w:tc>
        <w:tc>
          <w:tcPr>
            <w:tcW w:w="1160" w:type="dxa"/>
            <w:tcBorders>
              <w:top w:val="nil"/>
              <w:left w:val="nil"/>
              <w:bottom w:val="single" w:color="auto" w:sz="4" w:space="0"/>
              <w:right w:val="single" w:color="auto" w:sz="4" w:space="0"/>
            </w:tcBorders>
            <w:shd w:val="clear" w:color="auto" w:fill="auto"/>
            <w:vAlign w:val="center"/>
          </w:tcPr>
          <w:p w14:paraId="2D1A6E47">
            <w:pPr>
              <w:widowControl/>
              <w:jc w:val="center"/>
              <w:rPr>
                <w:rFonts w:ascii="宋体" w:hAnsi="宋体" w:cs="宋体"/>
                <w:b/>
                <w:bCs/>
                <w:color w:val="000000"/>
                <w:kern w:val="0"/>
                <w:sz w:val="24"/>
              </w:rPr>
            </w:pPr>
            <w:r>
              <w:rPr>
                <w:rFonts w:hint="eastAsia" w:ascii="宋体" w:hAnsi="宋体" w:cs="宋体"/>
                <w:b/>
                <w:bCs/>
                <w:color w:val="000000"/>
                <w:kern w:val="0"/>
                <w:sz w:val="24"/>
              </w:rPr>
              <w:t>二级指标</w:t>
            </w:r>
          </w:p>
        </w:tc>
        <w:tc>
          <w:tcPr>
            <w:tcW w:w="1100" w:type="dxa"/>
            <w:tcBorders>
              <w:top w:val="nil"/>
              <w:left w:val="nil"/>
              <w:bottom w:val="single" w:color="auto" w:sz="4" w:space="0"/>
              <w:right w:val="single" w:color="auto" w:sz="4" w:space="0"/>
            </w:tcBorders>
            <w:shd w:val="clear" w:color="auto" w:fill="auto"/>
            <w:vAlign w:val="center"/>
          </w:tcPr>
          <w:p w14:paraId="22B1E21F">
            <w:pPr>
              <w:widowControl/>
              <w:jc w:val="center"/>
              <w:rPr>
                <w:rFonts w:ascii="宋体" w:hAnsi="宋体" w:cs="宋体"/>
                <w:b/>
                <w:bCs/>
                <w:color w:val="000000"/>
                <w:kern w:val="0"/>
                <w:sz w:val="24"/>
              </w:rPr>
            </w:pPr>
            <w:r>
              <w:rPr>
                <w:rFonts w:hint="eastAsia" w:ascii="宋体" w:hAnsi="宋体" w:cs="宋体"/>
                <w:b/>
                <w:bCs/>
                <w:color w:val="000000"/>
                <w:kern w:val="0"/>
                <w:sz w:val="24"/>
              </w:rPr>
              <w:t>三级指标</w:t>
            </w:r>
          </w:p>
        </w:tc>
        <w:tc>
          <w:tcPr>
            <w:tcW w:w="660" w:type="dxa"/>
            <w:vMerge w:val="continue"/>
            <w:tcBorders>
              <w:top w:val="nil"/>
              <w:left w:val="single" w:color="auto" w:sz="4" w:space="0"/>
              <w:bottom w:val="single" w:color="auto" w:sz="4" w:space="0"/>
              <w:right w:val="single" w:color="auto" w:sz="4" w:space="0"/>
            </w:tcBorders>
            <w:vAlign w:val="center"/>
          </w:tcPr>
          <w:p w14:paraId="28FD86EF">
            <w:pPr>
              <w:widowControl/>
              <w:jc w:val="left"/>
              <w:rPr>
                <w:rFonts w:ascii="宋体" w:hAnsi="宋体" w:cs="宋体"/>
                <w:b/>
                <w:bCs/>
                <w:color w:val="000000"/>
                <w:kern w:val="0"/>
                <w:sz w:val="24"/>
              </w:rPr>
            </w:pPr>
          </w:p>
        </w:tc>
        <w:tc>
          <w:tcPr>
            <w:tcW w:w="3820" w:type="dxa"/>
            <w:vMerge w:val="continue"/>
            <w:tcBorders>
              <w:top w:val="nil"/>
              <w:left w:val="single" w:color="auto" w:sz="4" w:space="0"/>
              <w:bottom w:val="single" w:color="auto" w:sz="4" w:space="0"/>
              <w:right w:val="single" w:color="auto" w:sz="4" w:space="0"/>
            </w:tcBorders>
            <w:vAlign w:val="center"/>
          </w:tcPr>
          <w:p w14:paraId="04E886F8">
            <w:pPr>
              <w:widowControl/>
              <w:jc w:val="left"/>
              <w:rPr>
                <w:rFonts w:ascii="宋体" w:hAnsi="宋体" w:cs="宋体"/>
                <w:b/>
                <w:bCs/>
                <w:color w:val="000000"/>
                <w:kern w:val="0"/>
                <w:sz w:val="24"/>
              </w:rPr>
            </w:pPr>
          </w:p>
        </w:tc>
        <w:tc>
          <w:tcPr>
            <w:tcW w:w="5072" w:type="dxa"/>
            <w:vMerge w:val="continue"/>
            <w:tcBorders>
              <w:top w:val="nil"/>
              <w:left w:val="single" w:color="auto" w:sz="4" w:space="0"/>
              <w:bottom w:val="single" w:color="auto" w:sz="4" w:space="0"/>
              <w:right w:val="single" w:color="auto" w:sz="4" w:space="0"/>
            </w:tcBorders>
            <w:vAlign w:val="center"/>
          </w:tcPr>
          <w:p w14:paraId="34CB87F6">
            <w:pPr>
              <w:widowControl/>
              <w:jc w:val="left"/>
              <w:rPr>
                <w:rFonts w:ascii="宋体" w:hAnsi="宋体" w:cs="宋体"/>
                <w:b/>
                <w:bCs/>
                <w:color w:val="000000"/>
                <w:kern w:val="0"/>
                <w:sz w:val="24"/>
              </w:rPr>
            </w:pPr>
          </w:p>
        </w:tc>
        <w:tc>
          <w:tcPr>
            <w:tcW w:w="708" w:type="dxa"/>
            <w:vMerge w:val="continue"/>
            <w:tcBorders>
              <w:top w:val="nil"/>
              <w:left w:val="single" w:color="auto" w:sz="4" w:space="0"/>
              <w:bottom w:val="single" w:color="000000" w:sz="4" w:space="0"/>
              <w:right w:val="single" w:color="auto" w:sz="4" w:space="0"/>
            </w:tcBorders>
            <w:vAlign w:val="center"/>
          </w:tcPr>
          <w:p w14:paraId="21E15D59">
            <w:pPr>
              <w:widowControl/>
              <w:jc w:val="left"/>
              <w:rPr>
                <w:rFonts w:ascii="宋体" w:hAnsi="宋体" w:cs="宋体"/>
                <w:b/>
                <w:bCs/>
                <w:color w:val="000000"/>
                <w:kern w:val="0"/>
                <w:sz w:val="24"/>
              </w:rPr>
            </w:pPr>
          </w:p>
        </w:tc>
      </w:tr>
      <w:tr w14:paraId="06494BF2">
        <w:tblPrEx>
          <w:tblCellMar>
            <w:top w:w="0" w:type="dxa"/>
            <w:left w:w="108" w:type="dxa"/>
            <w:bottom w:w="0" w:type="dxa"/>
            <w:right w:w="108" w:type="dxa"/>
          </w:tblCellMar>
        </w:tblPrEx>
        <w:trPr>
          <w:trHeight w:val="648" w:hRule="atLeast"/>
        </w:trPr>
        <w:tc>
          <w:tcPr>
            <w:tcW w:w="1100" w:type="dxa"/>
            <w:vMerge w:val="restart"/>
            <w:tcBorders>
              <w:top w:val="nil"/>
              <w:left w:val="single" w:color="auto" w:sz="4" w:space="0"/>
              <w:bottom w:val="single" w:color="auto" w:sz="4" w:space="0"/>
              <w:right w:val="single" w:color="auto" w:sz="4" w:space="0"/>
            </w:tcBorders>
            <w:shd w:val="clear" w:color="auto" w:fill="auto"/>
            <w:vAlign w:val="center"/>
          </w:tcPr>
          <w:p w14:paraId="6FFF3DBB">
            <w:pPr>
              <w:widowControl/>
              <w:jc w:val="center"/>
              <w:rPr>
                <w:rFonts w:ascii="宋体" w:hAnsi="宋体" w:cs="宋体"/>
                <w:color w:val="000000"/>
                <w:kern w:val="0"/>
                <w:sz w:val="20"/>
                <w:szCs w:val="20"/>
              </w:rPr>
            </w:pPr>
            <w:r>
              <w:rPr>
                <w:rFonts w:hint="eastAsia" w:ascii="宋体" w:hAnsi="宋体" w:cs="宋体"/>
                <w:color w:val="000000"/>
                <w:kern w:val="0"/>
                <w:sz w:val="20"/>
                <w:szCs w:val="20"/>
              </w:rPr>
              <w:t>部门预算管理（50分）</w:t>
            </w:r>
          </w:p>
        </w:tc>
        <w:tc>
          <w:tcPr>
            <w:tcW w:w="1160" w:type="dxa"/>
            <w:vMerge w:val="restart"/>
            <w:tcBorders>
              <w:top w:val="nil"/>
              <w:left w:val="single" w:color="auto" w:sz="4" w:space="0"/>
              <w:bottom w:val="single" w:color="000000" w:sz="4" w:space="0"/>
              <w:right w:val="single" w:color="auto" w:sz="4" w:space="0"/>
            </w:tcBorders>
            <w:shd w:val="clear" w:color="auto" w:fill="auto"/>
            <w:vAlign w:val="center"/>
          </w:tcPr>
          <w:p w14:paraId="634207FF">
            <w:pPr>
              <w:widowControl/>
              <w:jc w:val="center"/>
              <w:rPr>
                <w:rFonts w:ascii="宋体" w:hAnsi="宋体" w:cs="宋体"/>
                <w:color w:val="000000"/>
                <w:kern w:val="0"/>
                <w:sz w:val="20"/>
                <w:szCs w:val="20"/>
              </w:rPr>
            </w:pPr>
            <w:r>
              <w:rPr>
                <w:rFonts w:hint="eastAsia" w:ascii="宋体" w:hAnsi="宋体" w:cs="宋体"/>
                <w:color w:val="000000"/>
                <w:kern w:val="0"/>
                <w:sz w:val="20"/>
                <w:szCs w:val="20"/>
              </w:rPr>
              <w:t>预算编制（18分）</w:t>
            </w:r>
          </w:p>
        </w:tc>
        <w:tc>
          <w:tcPr>
            <w:tcW w:w="1100" w:type="dxa"/>
            <w:tcBorders>
              <w:top w:val="nil"/>
              <w:left w:val="nil"/>
              <w:bottom w:val="single" w:color="auto" w:sz="4" w:space="0"/>
              <w:right w:val="single" w:color="auto" w:sz="4" w:space="0"/>
            </w:tcBorders>
            <w:shd w:val="clear" w:color="auto" w:fill="auto"/>
            <w:vAlign w:val="center"/>
          </w:tcPr>
          <w:p w14:paraId="00074376">
            <w:pPr>
              <w:widowControl/>
              <w:jc w:val="center"/>
              <w:rPr>
                <w:rFonts w:ascii="宋体" w:hAnsi="宋体" w:cs="宋体"/>
                <w:color w:val="000000"/>
                <w:kern w:val="0"/>
                <w:sz w:val="20"/>
                <w:szCs w:val="20"/>
              </w:rPr>
            </w:pPr>
            <w:r>
              <w:rPr>
                <w:rFonts w:hint="eastAsia" w:ascii="宋体" w:hAnsi="宋体" w:cs="宋体"/>
                <w:color w:val="000000"/>
                <w:kern w:val="0"/>
                <w:sz w:val="20"/>
                <w:szCs w:val="20"/>
              </w:rPr>
              <w:t>目标制定</w:t>
            </w:r>
          </w:p>
        </w:tc>
        <w:tc>
          <w:tcPr>
            <w:tcW w:w="660" w:type="dxa"/>
            <w:tcBorders>
              <w:top w:val="nil"/>
              <w:left w:val="nil"/>
              <w:bottom w:val="single" w:color="auto" w:sz="4" w:space="0"/>
              <w:right w:val="single" w:color="auto" w:sz="4" w:space="0"/>
            </w:tcBorders>
            <w:shd w:val="clear" w:color="auto" w:fill="auto"/>
            <w:vAlign w:val="center"/>
          </w:tcPr>
          <w:p w14:paraId="4F313BBF">
            <w:pPr>
              <w:widowControl/>
              <w:jc w:val="center"/>
              <w:rPr>
                <w:rFonts w:ascii="宋体" w:hAnsi="宋体" w:cs="宋体"/>
                <w:color w:val="000000"/>
                <w:kern w:val="0"/>
                <w:sz w:val="20"/>
                <w:szCs w:val="20"/>
              </w:rPr>
            </w:pPr>
            <w:r>
              <w:rPr>
                <w:rFonts w:hint="eastAsia" w:ascii="宋体" w:hAnsi="宋体" w:cs="宋体"/>
                <w:color w:val="000000"/>
                <w:kern w:val="0"/>
                <w:sz w:val="20"/>
                <w:szCs w:val="20"/>
              </w:rPr>
              <w:t>6</w:t>
            </w:r>
          </w:p>
        </w:tc>
        <w:tc>
          <w:tcPr>
            <w:tcW w:w="3820" w:type="dxa"/>
            <w:tcBorders>
              <w:top w:val="nil"/>
              <w:left w:val="nil"/>
              <w:bottom w:val="single" w:color="auto" w:sz="4" w:space="0"/>
              <w:right w:val="single" w:color="auto" w:sz="4" w:space="0"/>
            </w:tcBorders>
            <w:shd w:val="clear" w:color="auto" w:fill="auto"/>
            <w:vAlign w:val="center"/>
          </w:tcPr>
          <w:p w14:paraId="776589E5">
            <w:pPr>
              <w:widowControl/>
              <w:jc w:val="left"/>
              <w:rPr>
                <w:rFonts w:ascii="宋体" w:hAnsi="宋体" w:cs="宋体"/>
                <w:color w:val="000000"/>
                <w:kern w:val="0"/>
                <w:sz w:val="20"/>
                <w:szCs w:val="20"/>
              </w:rPr>
            </w:pPr>
            <w:r>
              <w:rPr>
                <w:rFonts w:hint="eastAsia" w:ascii="宋体" w:hAnsi="宋体" w:cs="宋体"/>
                <w:color w:val="000000"/>
                <w:kern w:val="0"/>
                <w:sz w:val="20"/>
                <w:szCs w:val="20"/>
              </w:rPr>
              <w:t>评价部门绩效目标是否要素完整、细化量化。</w:t>
            </w:r>
          </w:p>
        </w:tc>
        <w:tc>
          <w:tcPr>
            <w:tcW w:w="5072" w:type="dxa"/>
            <w:tcBorders>
              <w:top w:val="nil"/>
              <w:left w:val="nil"/>
              <w:bottom w:val="single" w:color="auto" w:sz="4" w:space="0"/>
              <w:right w:val="single" w:color="auto" w:sz="4" w:space="0"/>
            </w:tcBorders>
            <w:shd w:val="clear" w:color="auto" w:fill="auto"/>
            <w:vAlign w:val="center"/>
          </w:tcPr>
          <w:p w14:paraId="5EBEC98B">
            <w:pPr>
              <w:widowControl/>
              <w:jc w:val="left"/>
              <w:rPr>
                <w:rFonts w:ascii="宋体" w:hAnsi="宋体" w:cs="宋体"/>
                <w:color w:val="000000"/>
                <w:kern w:val="0"/>
                <w:sz w:val="20"/>
                <w:szCs w:val="20"/>
              </w:rPr>
            </w:pPr>
            <w:r>
              <w:rPr>
                <w:rFonts w:hint="eastAsia" w:ascii="宋体" w:hAnsi="宋体" w:cs="宋体"/>
                <w:color w:val="000000"/>
                <w:kern w:val="0"/>
                <w:sz w:val="20"/>
                <w:szCs w:val="20"/>
              </w:rPr>
              <w:t xml:space="preserve">1.绩效目标编制要素完整的，得3分，否则酌情扣分。                                                       2.绩效指标细化量化的，得3分，否则酌情扣分。                                                                    </w:t>
            </w:r>
          </w:p>
        </w:tc>
        <w:tc>
          <w:tcPr>
            <w:tcW w:w="708" w:type="dxa"/>
            <w:tcBorders>
              <w:top w:val="nil"/>
              <w:left w:val="nil"/>
              <w:bottom w:val="single" w:color="auto" w:sz="4" w:space="0"/>
              <w:right w:val="single" w:color="auto" w:sz="4" w:space="0"/>
            </w:tcBorders>
            <w:shd w:val="clear" w:color="auto" w:fill="auto"/>
            <w:vAlign w:val="center"/>
          </w:tcPr>
          <w:p w14:paraId="61BEB71A">
            <w:pPr>
              <w:widowControl/>
              <w:jc w:val="center"/>
              <w:rPr>
                <w:rFonts w:ascii="宋体" w:hAnsi="宋体" w:cs="宋体"/>
                <w:color w:val="000000"/>
                <w:kern w:val="0"/>
                <w:sz w:val="20"/>
                <w:szCs w:val="20"/>
              </w:rPr>
            </w:pPr>
            <w:r>
              <w:rPr>
                <w:rFonts w:hint="eastAsia" w:ascii="宋体" w:hAnsi="宋体" w:cs="宋体"/>
                <w:color w:val="000000"/>
                <w:kern w:val="0"/>
                <w:sz w:val="20"/>
                <w:szCs w:val="20"/>
              </w:rPr>
              <w:t>6</w:t>
            </w:r>
          </w:p>
        </w:tc>
      </w:tr>
      <w:tr w14:paraId="2001CEFA">
        <w:tblPrEx>
          <w:tblCellMar>
            <w:top w:w="0" w:type="dxa"/>
            <w:left w:w="108" w:type="dxa"/>
            <w:bottom w:w="0" w:type="dxa"/>
            <w:right w:w="108" w:type="dxa"/>
          </w:tblCellMar>
        </w:tblPrEx>
        <w:trPr>
          <w:trHeight w:val="864" w:hRule="atLeast"/>
        </w:trPr>
        <w:tc>
          <w:tcPr>
            <w:tcW w:w="1100" w:type="dxa"/>
            <w:vMerge w:val="continue"/>
            <w:tcBorders>
              <w:top w:val="nil"/>
              <w:left w:val="single" w:color="auto" w:sz="4" w:space="0"/>
              <w:bottom w:val="single" w:color="auto" w:sz="4" w:space="0"/>
              <w:right w:val="single" w:color="auto" w:sz="4" w:space="0"/>
            </w:tcBorders>
            <w:vAlign w:val="center"/>
          </w:tcPr>
          <w:p w14:paraId="6C00CA9C">
            <w:pPr>
              <w:widowControl/>
              <w:jc w:val="left"/>
              <w:rPr>
                <w:rFonts w:ascii="宋体" w:hAnsi="宋体" w:cs="宋体"/>
                <w:color w:val="000000"/>
                <w:kern w:val="0"/>
                <w:sz w:val="20"/>
                <w:szCs w:val="20"/>
              </w:rPr>
            </w:pPr>
          </w:p>
        </w:tc>
        <w:tc>
          <w:tcPr>
            <w:tcW w:w="1160" w:type="dxa"/>
            <w:vMerge w:val="continue"/>
            <w:tcBorders>
              <w:top w:val="nil"/>
              <w:left w:val="single" w:color="auto" w:sz="4" w:space="0"/>
              <w:bottom w:val="single" w:color="000000" w:sz="4" w:space="0"/>
              <w:right w:val="single" w:color="auto" w:sz="4" w:space="0"/>
            </w:tcBorders>
            <w:vAlign w:val="center"/>
          </w:tcPr>
          <w:p w14:paraId="1143B59C">
            <w:pPr>
              <w:widowControl/>
              <w:jc w:val="left"/>
              <w:rPr>
                <w:rFonts w:ascii="宋体" w:hAnsi="宋体" w:cs="宋体"/>
                <w:color w:val="000000"/>
                <w:kern w:val="0"/>
                <w:sz w:val="20"/>
                <w:szCs w:val="20"/>
              </w:rPr>
            </w:pPr>
          </w:p>
        </w:tc>
        <w:tc>
          <w:tcPr>
            <w:tcW w:w="1100" w:type="dxa"/>
            <w:tcBorders>
              <w:top w:val="nil"/>
              <w:left w:val="nil"/>
              <w:bottom w:val="single" w:color="auto" w:sz="4" w:space="0"/>
              <w:right w:val="single" w:color="auto" w:sz="4" w:space="0"/>
            </w:tcBorders>
            <w:shd w:val="clear" w:color="auto" w:fill="auto"/>
            <w:vAlign w:val="center"/>
          </w:tcPr>
          <w:p w14:paraId="4BF11F2E">
            <w:pPr>
              <w:widowControl/>
              <w:jc w:val="center"/>
              <w:rPr>
                <w:rFonts w:ascii="宋体" w:hAnsi="宋体" w:cs="宋体"/>
                <w:color w:val="000000"/>
                <w:kern w:val="0"/>
                <w:sz w:val="20"/>
                <w:szCs w:val="20"/>
              </w:rPr>
            </w:pPr>
            <w:r>
              <w:rPr>
                <w:rFonts w:hint="eastAsia" w:ascii="宋体" w:hAnsi="宋体" w:cs="宋体"/>
                <w:color w:val="000000"/>
                <w:kern w:val="0"/>
                <w:sz w:val="20"/>
                <w:szCs w:val="20"/>
              </w:rPr>
              <w:t>目标完成</w:t>
            </w:r>
          </w:p>
        </w:tc>
        <w:tc>
          <w:tcPr>
            <w:tcW w:w="660" w:type="dxa"/>
            <w:tcBorders>
              <w:top w:val="nil"/>
              <w:left w:val="nil"/>
              <w:bottom w:val="single" w:color="auto" w:sz="4" w:space="0"/>
              <w:right w:val="single" w:color="auto" w:sz="4" w:space="0"/>
            </w:tcBorders>
            <w:shd w:val="clear" w:color="auto" w:fill="auto"/>
            <w:vAlign w:val="center"/>
          </w:tcPr>
          <w:p w14:paraId="243D43BD">
            <w:pPr>
              <w:widowControl/>
              <w:jc w:val="center"/>
              <w:rPr>
                <w:rFonts w:ascii="宋体" w:hAnsi="宋体" w:cs="宋体"/>
                <w:color w:val="000000"/>
                <w:kern w:val="0"/>
                <w:sz w:val="20"/>
                <w:szCs w:val="20"/>
              </w:rPr>
            </w:pPr>
            <w:r>
              <w:rPr>
                <w:rFonts w:hint="eastAsia" w:ascii="宋体" w:hAnsi="宋体" w:cs="宋体"/>
                <w:color w:val="000000"/>
                <w:kern w:val="0"/>
                <w:sz w:val="20"/>
                <w:szCs w:val="20"/>
              </w:rPr>
              <w:t>6</w:t>
            </w:r>
          </w:p>
        </w:tc>
        <w:tc>
          <w:tcPr>
            <w:tcW w:w="3820" w:type="dxa"/>
            <w:tcBorders>
              <w:top w:val="nil"/>
              <w:left w:val="nil"/>
              <w:bottom w:val="single" w:color="auto" w:sz="4" w:space="0"/>
              <w:right w:val="single" w:color="auto" w:sz="4" w:space="0"/>
            </w:tcBorders>
            <w:shd w:val="clear" w:color="auto" w:fill="auto"/>
            <w:vAlign w:val="center"/>
          </w:tcPr>
          <w:p w14:paraId="1474CC11">
            <w:pPr>
              <w:widowControl/>
              <w:jc w:val="left"/>
              <w:rPr>
                <w:rFonts w:ascii="宋体" w:hAnsi="宋体" w:cs="宋体"/>
                <w:color w:val="000000"/>
                <w:kern w:val="0"/>
                <w:sz w:val="20"/>
                <w:szCs w:val="20"/>
              </w:rPr>
            </w:pPr>
            <w:r>
              <w:rPr>
                <w:rFonts w:hint="eastAsia" w:ascii="宋体" w:hAnsi="宋体" w:cs="宋体"/>
                <w:color w:val="000000"/>
                <w:kern w:val="0"/>
                <w:sz w:val="20"/>
                <w:szCs w:val="20"/>
              </w:rPr>
              <w:t>评价部门绩效目标实际实现程度与预期目标的偏离度。</w:t>
            </w:r>
          </w:p>
        </w:tc>
        <w:tc>
          <w:tcPr>
            <w:tcW w:w="5072" w:type="dxa"/>
            <w:tcBorders>
              <w:top w:val="nil"/>
              <w:left w:val="nil"/>
              <w:bottom w:val="single" w:color="auto" w:sz="4" w:space="0"/>
              <w:right w:val="single" w:color="auto" w:sz="4" w:space="0"/>
            </w:tcBorders>
            <w:shd w:val="clear" w:color="auto" w:fill="auto"/>
            <w:vAlign w:val="center"/>
          </w:tcPr>
          <w:p w14:paraId="31A690D7">
            <w:pPr>
              <w:widowControl/>
              <w:jc w:val="left"/>
              <w:rPr>
                <w:rFonts w:ascii="宋体" w:hAnsi="宋体" w:cs="宋体"/>
                <w:color w:val="000000"/>
                <w:kern w:val="0"/>
                <w:sz w:val="20"/>
                <w:szCs w:val="20"/>
              </w:rPr>
            </w:pPr>
            <w:r>
              <w:rPr>
                <w:rFonts w:hint="eastAsia" w:ascii="宋体" w:hAnsi="宋体" w:cs="宋体"/>
                <w:color w:val="000000"/>
                <w:kern w:val="0"/>
                <w:sz w:val="20"/>
                <w:szCs w:val="20"/>
              </w:rPr>
              <w:t>以项目完成数量指标为核心，评价项目实际完成情况是否达到预期绩效目标，指标得分=达到预期绩效目标的部门项目个数/纳入绩效目标管理的部门预算项目个数*6</w:t>
            </w:r>
          </w:p>
        </w:tc>
        <w:tc>
          <w:tcPr>
            <w:tcW w:w="708" w:type="dxa"/>
            <w:tcBorders>
              <w:top w:val="nil"/>
              <w:left w:val="nil"/>
              <w:bottom w:val="single" w:color="auto" w:sz="4" w:space="0"/>
              <w:right w:val="single" w:color="auto" w:sz="4" w:space="0"/>
            </w:tcBorders>
            <w:shd w:val="clear" w:color="auto" w:fill="auto"/>
            <w:vAlign w:val="center"/>
          </w:tcPr>
          <w:p w14:paraId="2780E625">
            <w:pPr>
              <w:widowControl/>
              <w:jc w:val="center"/>
              <w:rPr>
                <w:rFonts w:ascii="宋体" w:hAnsi="宋体" w:cs="宋体"/>
                <w:color w:val="000000"/>
                <w:kern w:val="0"/>
                <w:sz w:val="20"/>
                <w:szCs w:val="20"/>
              </w:rPr>
            </w:pPr>
            <w:r>
              <w:rPr>
                <w:rFonts w:hint="eastAsia" w:ascii="宋体" w:hAnsi="宋体" w:cs="宋体"/>
                <w:color w:val="000000"/>
                <w:kern w:val="0"/>
                <w:sz w:val="20"/>
                <w:szCs w:val="20"/>
              </w:rPr>
              <w:t>5.5</w:t>
            </w:r>
          </w:p>
        </w:tc>
      </w:tr>
      <w:tr w14:paraId="6986A3CD">
        <w:tblPrEx>
          <w:tblCellMar>
            <w:top w:w="0" w:type="dxa"/>
            <w:left w:w="108" w:type="dxa"/>
            <w:bottom w:w="0" w:type="dxa"/>
            <w:right w:w="108" w:type="dxa"/>
          </w:tblCellMar>
        </w:tblPrEx>
        <w:trPr>
          <w:trHeight w:val="645" w:hRule="atLeast"/>
        </w:trPr>
        <w:tc>
          <w:tcPr>
            <w:tcW w:w="1100" w:type="dxa"/>
            <w:vMerge w:val="continue"/>
            <w:tcBorders>
              <w:top w:val="nil"/>
              <w:left w:val="single" w:color="auto" w:sz="4" w:space="0"/>
              <w:bottom w:val="single" w:color="auto" w:sz="4" w:space="0"/>
              <w:right w:val="single" w:color="auto" w:sz="4" w:space="0"/>
            </w:tcBorders>
            <w:vAlign w:val="center"/>
          </w:tcPr>
          <w:p w14:paraId="4823EDC9">
            <w:pPr>
              <w:widowControl/>
              <w:jc w:val="left"/>
              <w:rPr>
                <w:rFonts w:ascii="宋体" w:hAnsi="宋体" w:cs="宋体"/>
                <w:color w:val="000000"/>
                <w:kern w:val="0"/>
                <w:sz w:val="20"/>
                <w:szCs w:val="20"/>
              </w:rPr>
            </w:pPr>
          </w:p>
        </w:tc>
        <w:tc>
          <w:tcPr>
            <w:tcW w:w="1160" w:type="dxa"/>
            <w:vMerge w:val="continue"/>
            <w:tcBorders>
              <w:top w:val="nil"/>
              <w:left w:val="single" w:color="auto" w:sz="4" w:space="0"/>
              <w:bottom w:val="single" w:color="000000" w:sz="4" w:space="0"/>
              <w:right w:val="single" w:color="auto" w:sz="4" w:space="0"/>
            </w:tcBorders>
            <w:vAlign w:val="center"/>
          </w:tcPr>
          <w:p w14:paraId="550D72E1">
            <w:pPr>
              <w:widowControl/>
              <w:jc w:val="left"/>
              <w:rPr>
                <w:rFonts w:ascii="宋体" w:hAnsi="宋体" w:cs="宋体"/>
                <w:color w:val="000000"/>
                <w:kern w:val="0"/>
                <w:sz w:val="20"/>
                <w:szCs w:val="20"/>
              </w:rPr>
            </w:pPr>
          </w:p>
        </w:tc>
        <w:tc>
          <w:tcPr>
            <w:tcW w:w="1100" w:type="dxa"/>
            <w:tcBorders>
              <w:top w:val="nil"/>
              <w:left w:val="nil"/>
              <w:bottom w:val="single" w:color="auto" w:sz="4" w:space="0"/>
              <w:right w:val="single" w:color="auto" w:sz="4" w:space="0"/>
            </w:tcBorders>
            <w:shd w:val="clear" w:color="auto" w:fill="auto"/>
            <w:vAlign w:val="center"/>
          </w:tcPr>
          <w:p w14:paraId="4D91EBF3">
            <w:pPr>
              <w:widowControl/>
              <w:jc w:val="center"/>
              <w:rPr>
                <w:rFonts w:ascii="宋体" w:hAnsi="宋体" w:cs="宋体"/>
                <w:color w:val="000000"/>
                <w:kern w:val="0"/>
                <w:sz w:val="20"/>
                <w:szCs w:val="20"/>
              </w:rPr>
            </w:pPr>
            <w:r>
              <w:rPr>
                <w:rFonts w:hint="eastAsia" w:ascii="宋体" w:hAnsi="宋体" w:cs="宋体"/>
                <w:color w:val="000000"/>
                <w:kern w:val="0"/>
                <w:sz w:val="20"/>
                <w:szCs w:val="20"/>
              </w:rPr>
              <w:t>报送时效</w:t>
            </w:r>
          </w:p>
        </w:tc>
        <w:tc>
          <w:tcPr>
            <w:tcW w:w="660" w:type="dxa"/>
            <w:tcBorders>
              <w:top w:val="nil"/>
              <w:left w:val="nil"/>
              <w:bottom w:val="single" w:color="auto" w:sz="4" w:space="0"/>
              <w:right w:val="single" w:color="auto" w:sz="4" w:space="0"/>
            </w:tcBorders>
            <w:shd w:val="clear" w:color="auto" w:fill="auto"/>
            <w:vAlign w:val="center"/>
          </w:tcPr>
          <w:p w14:paraId="417421F3">
            <w:pPr>
              <w:widowControl/>
              <w:jc w:val="center"/>
              <w:rPr>
                <w:rFonts w:ascii="宋体" w:hAnsi="宋体" w:cs="宋体"/>
                <w:color w:val="000000"/>
                <w:kern w:val="0"/>
                <w:sz w:val="20"/>
                <w:szCs w:val="20"/>
              </w:rPr>
            </w:pPr>
            <w:r>
              <w:rPr>
                <w:rFonts w:hint="eastAsia" w:ascii="宋体" w:hAnsi="宋体" w:cs="宋体"/>
                <w:color w:val="000000"/>
                <w:kern w:val="0"/>
                <w:sz w:val="20"/>
                <w:szCs w:val="20"/>
              </w:rPr>
              <w:t>6</w:t>
            </w:r>
          </w:p>
        </w:tc>
        <w:tc>
          <w:tcPr>
            <w:tcW w:w="3820" w:type="dxa"/>
            <w:tcBorders>
              <w:top w:val="nil"/>
              <w:left w:val="nil"/>
              <w:bottom w:val="single" w:color="auto" w:sz="4" w:space="0"/>
              <w:right w:val="single" w:color="auto" w:sz="4" w:space="0"/>
            </w:tcBorders>
            <w:shd w:val="clear" w:color="auto" w:fill="auto"/>
            <w:vAlign w:val="center"/>
          </w:tcPr>
          <w:p w14:paraId="1246EF8D">
            <w:pPr>
              <w:widowControl/>
              <w:jc w:val="left"/>
              <w:rPr>
                <w:rFonts w:ascii="宋体" w:hAnsi="宋体" w:cs="宋体"/>
                <w:color w:val="000000"/>
                <w:kern w:val="0"/>
                <w:sz w:val="20"/>
                <w:szCs w:val="20"/>
              </w:rPr>
            </w:pPr>
            <w:r>
              <w:rPr>
                <w:rFonts w:hint="eastAsia" w:ascii="宋体" w:hAnsi="宋体" w:cs="宋体"/>
                <w:color w:val="000000"/>
                <w:kern w:val="0"/>
                <w:sz w:val="20"/>
                <w:szCs w:val="20"/>
              </w:rPr>
              <w:t>部门是否在规定时间内完成绩效目标填报及修改完善。</w:t>
            </w:r>
          </w:p>
        </w:tc>
        <w:tc>
          <w:tcPr>
            <w:tcW w:w="5072" w:type="dxa"/>
            <w:tcBorders>
              <w:top w:val="nil"/>
              <w:left w:val="nil"/>
              <w:bottom w:val="single" w:color="auto" w:sz="4" w:space="0"/>
              <w:right w:val="single" w:color="auto" w:sz="4" w:space="0"/>
            </w:tcBorders>
            <w:shd w:val="clear" w:color="auto" w:fill="auto"/>
            <w:vAlign w:val="center"/>
          </w:tcPr>
          <w:p w14:paraId="0AC42372">
            <w:pPr>
              <w:widowControl/>
              <w:jc w:val="left"/>
              <w:rPr>
                <w:rFonts w:ascii="宋体" w:hAnsi="宋体" w:cs="宋体"/>
                <w:color w:val="000000"/>
                <w:kern w:val="0"/>
                <w:sz w:val="20"/>
                <w:szCs w:val="20"/>
              </w:rPr>
            </w:pPr>
            <w:r>
              <w:rPr>
                <w:rFonts w:hint="eastAsia" w:ascii="宋体" w:hAnsi="宋体" w:cs="宋体"/>
                <w:color w:val="000000"/>
                <w:kern w:val="0"/>
                <w:sz w:val="20"/>
                <w:szCs w:val="20"/>
              </w:rPr>
              <w:t>根据年初部门预算绩效目标填报情况打分</w:t>
            </w:r>
          </w:p>
        </w:tc>
        <w:tc>
          <w:tcPr>
            <w:tcW w:w="708" w:type="dxa"/>
            <w:tcBorders>
              <w:top w:val="nil"/>
              <w:left w:val="nil"/>
              <w:bottom w:val="single" w:color="auto" w:sz="4" w:space="0"/>
              <w:right w:val="single" w:color="auto" w:sz="4" w:space="0"/>
            </w:tcBorders>
            <w:shd w:val="clear" w:color="auto" w:fill="auto"/>
            <w:vAlign w:val="center"/>
          </w:tcPr>
          <w:p w14:paraId="2E7BA747">
            <w:pPr>
              <w:widowControl/>
              <w:jc w:val="center"/>
              <w:rPr>
                <w:rFonts w:ascii="宋体" w:hAnsi="宋体" w:cs="宋体"/>
                <w:color w:val="000000"/>
                <w:kern w:val="0"/>
                <w:sz w:val="20"/>
                <w:szCs w:val="20"/>
              </w:rPr>
            </w:pPr>
            <w:r>
              <w:rPr>
                <w:rFonts w:hint="eastAsia" w:ascii="宋体" w:hAnsi="宋体" w:cs="宋体"/>
                <w:color w:val="000000"/>
                <w:kern w:val="0"/>
                <w:sz w:val="20"/>
                <w:szCs w:val="20"/>
              </w:rPr>
              <w:t>6</w:t>
            </w:r>
          </w:p>
        </w:tc>
      </w:tr>
      <w:tr w14:paraId="4FFDE3A9">
        <w:tblPrEx>
          <w:tblCellMar>
            <w:top w:w="0" w:type="dxa"/>
            <w:left w:w="108" w:type="dxa"/>
            <w:bottom w:w="0" w:type="dxa"/>
            <w:right w:w="108" w:type="dxa"/>
          </w:tblCellMar>
        </w:tblPrEx>
        <w:trPr>
          <w:trHeight w:val="1080" w:hRule="atLeast"/>
        </w:trPr>
        <w:tc>
          <w:tcPr>
            <w:tcW w:w="1100" w:type="dxa"/>
            <w:vMerge w:val="continue"/>
            <w:tcBorders>
              <w:top w:val="nil"/>
              <w:left w:val="single" w:color="auto" w:sz="4" w:space="0"/>
              <w:bottom w:val="single" w:color="auto" w:sz="4" w:space="0"/>
              <w:right w:val="single" w:color="auto" w:sz="4" w:space="0"/>
            </w:tcBorders>
            <w:vAlign w:val="center"/>
          </w:tcPr>
          <w:p w14:paraId="381BD016">
            <w:pPr>
              <w:widowControl/>
              <w:jc w:val="left"/>
              <w:rPr>
                <w:rFonts w:ascii="宋体" w:hAnsi="宋体" w:cs="宋体"/>
                <w:color w:val="000000"/>
                <w:kern w:val="0"/>
                <w:sz w:val="20"/>
                <w:szCs w:val="20"/>
              </w:rPr>
            </w:pPr>
          </w:p>
        </w:tc>
        <w:tc>
          <w:tcPr>
            <w:tcW w:w="1160" w:type="dxa"/>
            <w:vMerge w:val="restart"/>
            <w:tcBorders>
              <w:top w:val="nil"/>
              <w:left w:val="single" w:color="auto" w:sz="4" w:space="0"/>
              <w:bottom w:val="single" w:color="000000" w:sz="4" w:space="0"/>
              <w:right w:val="single" w:color="auto" w:sz="4" w:space="0"/>
            </w:tcBorders>
            <w:shd w:val="clear" w:color="auto" w:fill="auto"/>
            <w:vAlign w:val="center"/>
          </w:tcPr>
          <w:p w14:paraId="215F0361">
            <w:pPr>
              <w:widowControl/>
              <w:jc w:val="center"/>
              <w:rPr>
                <w:rFonts w:ascii="宋体" w:hAnsi="宋体" w:cs="宋体"/>
                <w:color w:val="000000"/>
                <w:kern w:val="0"/>
                <w:sz w:val="20"/>
                <w:szCs w:val="20"/>
              </w:rPr>
            </w:pPr>
            <w:r>
              <w:rPr>
                <w:rFonts w:hint="eastAsia" w:ascii="宋体" w:hAnsi="宋体" w:cs="宋体"/>
                <w:color w:val="000000"/>
                <w:kern w:val="0"/>
                <w:sz w:val="20"/>
                <w:szCs w:val="20"/>
              </w:rPr>
              <w:t xml:space="preserve">                                                                             预算执行（18分）</w:t>
            </w:r>
          </w:p>
        </w:tc>
        <w:tc>
          <w:tcPr>
            <w:tcW w:w="1100" w:type="dxa"/>
            <w:tcBorders>
              <w:top w:val="nil"/>
              <w:left w:val="nil"/>
              <w:bottom w:val="single" w:color="auto" w:sz="4" w:space="0"/>
              <w:right w:val="single" w:color="auto" w:sz="4" w:space="0"/>
            </w:tcBorders>
            <w:shd w:val="clear" w:color="auto" w:fill="auto"/>
            <w:vAlign w:val="center"/>
          </w:tcPr>
          <w:p w14:paraId="3FC51CF4">
            <w:pPr>
              <w:widowControl/>
              <w:jc w:val="center"/>
              <w:rPr>
                <w:rFonts w:ascii="宋体" w:hAnsi="宋体" w:cs="宋体"/>
                <w:color w:val="000000"/>
                <w:kern w:val="0"/>
                <w:sz w:val="20"/>
                <w:szCs w:val="20"/>
              </w:rPr>
            </w:pPr>
            <w:r>
              <w:rPr>
                <w:rFonts w:hint="eastAsia" w:ascii="宋体" w:hAnsi="宋体" w:cs="宋体"/>
                <w:color w:val="000000"/>
                <w:kern w:val="0"/>
                <w:sz w:val="20"/>
                <w:szCs w:val="20"/>
              </w:rPr>
              <w:t>动态调整</w:t>
            </w:r>
          </w:p>
        </w:tc>
        <w:tc>
          <w:tcPr>
            <w:tcW w:w="660" w:type="dxa"/>
            <w:tcBorders>
              <w:top w:val="nil"/>
              <w:left w:val="nil"/>
              <w:bottom w:val="single" w:color="auto" w:sz="4" w:space="0"/>
              <w:right w:val="single" w:color="auto" w:sz="4" w:space="0"/>
            </w:tcBorders>
            <w:shd w:val="clear" w:color="auto" w:fill="auto"/>
            <w:vAlign w:val="center"/>
          </w:tcPr>
          <w:p w14:paraId="7176CD82">
            <w:pPr>
              <w:widowControl/>
              <w:jc w:val="center"/>
              <w:rPr>
                <w:rFonts w:ascii="宋体" w:hAnsi="宋体" w:cs="宋体"/>
                <w:color w:val="000000"/>
                <w:kern w:val="0"/>
                <w:sz w:val="20"/>
                <w:szCs w:val="20"/>
              </w:rPr>
            </w:pPr>
            <w:r>
              <w:rPr>
                <w:rFonts w:hint="eastAsia" w:ascii="宋体" w:hAnsi="宋体" w:cs="宋体"/>
                <w:color w:val="000000"/>
                <w:kern w:val="0"/>
                <w:sz w:val="20"/>
                <w:szCs w:val="20"/>
              </w:rPr>
              <w:t>6</w:t>
            </w:r>
          </w:p>
        </w:tc>
        <w:tc>
          <w:tcPr>
            <w:tcW w:w="3820" w:type="dxa"/>
            <w:tcBorders>
              <w:top w:val="nil"/>
              <w:left w:val="nil"/>
              <w:bottom w:val="single" w:color="auto" w:sz="4" w:space="0"/>
              <w:right w:val="single" w:color="auto" w:sz="4" w:space="0"/>
            </w:tcBorders>
            <w:shd w:val="clear" w:color="auto" w:fill="auto"/>
            <w:vAlign w:val="center"/>
          </w:tcPr>
          <w:p w14:paraId="4C9D1BD8">
            <w:pPr>
              <w:widowControl/>
              <w:jc w:val="left"/>
              <w:rPr>
                <w:rFonts w:ascii="宋体" w:hAnsi="宋体" w:cs="宋体"/>
                <w:color w:val="000000"/>
                <w:kern w:val="0"/>
                <w:sz w:val="20"/>
                <w:szCs w:val="20"/>
              </w:rPr>
            </w:pPr>
            <w:r>
              <w:rPr>
                <w:rFonts w:hint="eastAsia" w:ascii="宋体" w:hAnsi="宋体" w:cs="宋体"/>
                <w:color w:val="000000"/>
                <w:kern w:val="0"/>
                <w:sz w:val="20"/>
                <w:szCs w:val="20"/>
              </w:rPr>
              <w:t>评价部门开展绩效运行监控后，将绩效监控结果应用到预算调整的情况。</w:t>
            </w:r>
          </w:p>
        </w:tc>
        <w:tc>
          <w:tcPr>
            <w:tcW w:w="5072" w:type="dxa"/>
            <w:tcBorders>
              <w:top w:val="nil"/>
              <w:left w:val="nil"/>
              <w:bottom w:val="single" w:color="auto" w:sz="4" w:space="0"/>
              <w:right w:val="single" w:color="auto" w:sz="4" w:space="0"/>
            </w:tcBorders>
            <w:shd w:val="clear" w:color="auto" w:fill="auto"/>
            <w:vAlign w:val="center"/>
          </w:tcPr>
          <w:p w14:paraId="33F4EEBE">
            <w:pPr>
              <w:widowControl/>
              <w:jc w:val="left"/>
              <w:rPr>
                <w:rFonts w:ascii="宋体" w:hAnsi="宋体" w:cs="宋体"/>
                <w:color w:val="000000"/>
                <w:kern w:val="0"/>
                <w:sz w:val="20"/>
                <w:szCs w:val="20"/>
              </w:rPr>
            </w:pPr>
            <w:r>
              <w:rPr>
                <w:rFonts w:hint="eastAsia" w:ascii="宋体" w:hAnsi="宋体" w:cs="宋体"/>
                <w:color w:val="000000"/>
                <w:kern w:val="0"/>
                <w:sz w:val="20"/>
                <w:szCs w:val="20"/>
              </w:rPr>
              <w:t>在绩效监控完成后，根据绩效监控结果对当年执行进度落后、无法实现或需进行调整的项目进行预算及绩效目标调整的，指标得分=落实绩效监控结果项目个数/绩效监控需调整项目总数*6分                                                                当部门项目无调整项目并按照原定绩效目标实施的，得满分。</w:t>
            </w:r>
          </w:p>
        </w:tc>
        <w:tc>
          <w:tcPr>
            <w:tcW w:w="708" w:type="dxa"/>
            <w:tcBorders>
              <w:top w:val="nil"/>
              <w:left w:val="nil"/>
              <w:bottom w:val="single" w:color="auto" w:sz="4" w:space="0"/>
              <w:right w:val="single" w:color="auto" w:sz="4" w:space="0"/>
            </w:tcBorders>
            <w:shd w:val="clear" w:color="auto" w:fill="auto"/>
            <w:vAlign w:val="center"/>
          </w:tcPr>
          <w:p w14:paraId="54BD1A76">
            <w:pPr>
              <w:widowControl/>
              <w:jc w:val="center"/>
              <w:rPr>
                <w:rFonts w:ascii="宋体" w:hAnsi="宋体" w:cs="宋体"/>
                <w:color w:val="000000"/>
                <w:kern w:val="0"/>
                <w:sz w:val="20"/>
                <w:szCs w:val="20"/>
              </w:rPr>
            </w:pPr>
            <w:r>
              <w:rPr>
                <w:rFonts w:hint="eastAsia" w:ascii="宋体" w:hAnsi="宋体" w:cs="宋体"/>
                <w:color w:val="000000"/>
                <w:kern w:val="0"/>
                <w:sz w:val="20"/>
                <w:szCs w:val="20"/>
              </w:rPr>
              <w:t>6</w:t>
            </w:r>
          </w:p>
        </w:tc>
      </w:tr>
      <w:tr w14:paraId="12E22054">
        <w:tblPrEx>
          <w:tblCellMar>
            <w:top w:w="0" w:type="dxa"/>
            <w:left w:w="108" w:type="dxa"/>
            <w:bottom w:w="0" w:type="dxa"/>
            <w:right w:w="108" w:type="dxa"/>
          </w:tblCellMar>
        </w:tblPrEx>
        <w:trPr>
          <w:trHeight w:val="1170" w:hRule="atLeast"/>
        </w:trPr>
        <w:tc>
          <w:tcPr>
            <w:tcW w:w="1100" w:type="dxa"/>
            <w:vMerge w:val="continue"/>
            <w:tcBorders>
              <w:top w:val="nil"/>
              <w:left w:val="single" w:color="auto" w:sz="4" w:space="0"/>
              <w:bottom w:val="single" w:color="auto" w:sz="4" w:space="0"/>
              <w:right w:val="single" w:color="auto" w:sz="4" w:space="0"/>
            </w:tcBorders>
            <w:vAlign w:val="center"/>
          </w:tcPr>
          <w:p w14:paraId="4F7EC668">
            <w:pPr>
              <w:widowControl/>
              <w:jc w:val="left"/>
              <w:rPr>
                <w:rFonts w:ascii="宋体" w:hAnsi="宋体" w:cs="宋体"/>
                <w:color w:val="000000"/>
                <w:kern w:val="0"/>
                <w:sz w:val="20"/>
                <w:szCs w:val="20"/>
              </w:rPr>
            </w:pPr>
          </w:p>
        </w:tc>
        <w:tc>
          <w:tcPr>
            <w:tcW w:w="1160" w:type="dxa"/>
            <w:vMerge w:val="continue"/>
            <w:tcBorders>
              <w:top w:val="nil"/>
              <w:left w:val="single" w:color="auto" w:sz="4" w:space="0"/>
              <w:bottom w:val="single" w:color="000000" w:sz="4" w:space="0"/>
              <w:right w:val="single" w:color="auto" w:sz="4" w:space="0"/>
            </w:tcBorders>
            <w:vAlign w:val="center"/>
          </w:tcPr>
          <w:p w14:paraId="233B5C32">
            <w:pPr>
              <w:widowControl/>
              <w:jc w:val="left"/>
              <w:rPr>
                <w:rFonts w:ascii="宋体" w:hAnsi="宋体" w:cs="宋体"/>
                <w:color w:val="000000"/>
                <w:kern w:val="0"/>
                <w:sz w:val="20"/>
                <w:szCs w:val="20"/>
              </w:rPr>
            </w:pPr>
          </w:p>
        </w:tc>
        <w:tc>
          <w:tcPr>
            <w:tcW w:w="1100" w:type="dxa"/>
            <w:tcBorders>
              <w:top w:val="nil"/>
              <w:left w:val="nil"/>
              <w:bottom w:val="single" w:color="auto" w:sz="4" w:space="0"/>
              <w:right w:val="single" w:color="auto" w:sz="4" w:space="0"/>
            </w:tcBorders>
            <w:shd w:val="clear" w:color="auto" w:fill="auto"/>
            <w:vAlign w:val="center"/>
          </w:tcPr>
          <w:p w14:paraId="416EEC43">
            <w:pPr>
              <w:widowControl/>
              <w:jc w:val="center"/>
              <w:rPr>
                <w:rFonts w:ascii="宋体" w:hAnsi="宋体" w:cs="宋体"/>
                <w:color w:val="000000"/>
                <w:kern w:val="0"/>
                <w:sz w:val="20"/>
                <w:szCs w:val="20"/>
              </w:rPr>
            </w:pPr>
            <w:r>
              <w:rPr>
                <w:rFonts w:hint="eastAsia" w:ascii="宋体" w:hAnsi="宋体" w:cs="宋体"/>
                <w:color w:val="000000"/>
                <w:kern w:val="0"/>
                <w:sz w:val="20"/>
                <w:szCs w:val="20"/>
              </w:rPr>
              <w:t>执行进度</w:t>
            </w:r>
          </w:p>
        </w:tc>
        <w:tc>
          <w:tcPr>
            <w:tcW w:w="660" w:type="dxa"/>
            <w:tcBorders>
              <w:top w:val="nil"/>
              <w:left w:val="nil"/>
              <w:bottom w:val="single" w:color="auto" w:sz="4" w:space="0"/>
              <w:right w:val="single" w:color="auto" w:sz="4" w:space="0"/>
            </w:tcBorders>
            <w:shd w:val="clear" w:color="auto" w:fill="auto"/>
            <w:vAlign w:val="center"/>
          </w:tcPr>
          <w:p w14:paraId="08DBA903">
            <w:pPr>
              <w:widowControl/>
              <w:jc w:val="center"/>
              <w:rPr>
                <w:rFonts w:ascii="宋体" w:hAnsi="宋体" w:cs="宋体"/>
                <w:color w:val="000000"/>
                <w:kern w:val="0"/>
                <w:sz w:val="20"/>
                <w:szCs w:val="20"/>
              </w:rPr>
            </w:pPr>
            <w:r>
              <w:rPr>
                <w:rFonts w:hint="eastAsia" w:ascii="宋体" w:hAnsi="宋体" w:cs="宋体"/>
                <w:color w:val="000000"/>
                <w:kern w:val="0"/>
                <w:sz w:val="20"/>
                <w:szCs w:val="20"/>
              </w:rPr>
              <w:t>6</w:t>
            </w:r>
          </w:p>
        </w:tc>
        <w:tc>
          <w:tcPr>
            <w:tcW w:w="3820" w:type="dxa"/>
            <w:tcBorders>
              <w:top w:val="nil"/>
              <w:left w:val="nil"/>
              <w:bottom w:val="single" w:color="auto" w:sz="4" w:space="0"/>
              <w:right w:val="single" w:color="auto" w:sz="4" w:space="0"/>
            </w:tcBorders>
            <w:shd w:val="clear" w:color="auto" w:fill="auto"/>
            <w:vAlign w:val="center"/>
          </w:tcPr>
          <w:p w14:paraId="29AC97E2">
            <w:pPr>
              <w:widowControl/>
              <w:jc w:val="left"/>
              <w:rPr>
                <w:rFonts w:ascii="宋体" w:hAnsi="宋体" w:cs="宋体"/>
                <w:color w:val="000000"/>
                <w:kern w:val="0"/>
                <w:sz w:val="20"/>
                <w:szCs w:val="20"/>
              </w:rPr>
            </w:pPr>
            <w:r>
              <w:rPr>
                <w:rFonts w:hint="eastAsia" w:ascii="宋体" w:hAnsi="宋体" w:cs="宋体"/>
                <w:color w:val="000000"/>
                <w:kern w:val="0"/>
                <w:sz w:val="20"/>
                <w:szCs w:val="20"/>
              </w:rPr>
              <w:t>评价部门在6、9、10月的预算执行情况。</w:t>
            </w:r>
          </w:p>
        </w:tc>
        <w:tc>
          <w:tcPr>
            <w:tcW w:w="5072" w:type="dxa"/>
            <w:tcBorders>
              <w:top w:val="nil"/>
              <w:left w:val="nil"/>
              <w:bottom w:val="single" w:color="auto" w:sz="4" w:space="0"/>
              <w:right w:val="single" w:color="auto" w:sz="4" w:space="0"/>
            </w:tcBorders>
            <w:shd w:val="clear" w:color="auto" w:fill="auto"/>
            <w:vAlign w:val="center"/>
          </w:tcPr>
          <w:p w14:paraId="20159981">
            <w:pPr>
              <w:widowControl/>
              <w:jc w:val="left"/>
              <w:rPr>
                <w:rFonts w:ascii="宋体" w:hAnsi="宋体" w:cs="宋体"/>
                <w:color w:val="000000"/>
                <w:kern w:val="0"/>
                <w:sz w:val="20"/>
                <w:szCs w:val="20"/>
              </w:rPr>
            </w:pPr>
            <w:r>
              <w:rPr>
                <w:rFonts w:hint="eastAsia" w:ascii="宋体" w:hAnsi="宋体" w:cs="宋体"/>
                <w:color w:val="000000"/>
                <w:kern w:val="0"/>
                <w:sz w:val="20"/>
                <w:szCs w:val="20"/>
              </w:rPr>
              <w:t>部门预算支出执行进度在6、9、11月应达到序时进度的80%、90%、90%，即实际支出进度分别达到40%、67.5%、82.5%。                                                     6、9、11月部门预算执行进度达到量化指标的各得1分，未达到目标进度的的按其实际进度占目标进度的比重计算得分。</w:t>
            </w:r>
          </w:p>
        </w:tc>
        <w:tc>
          <w:tcPr>
            <w:tcW w:w="708" w:type="dxa"/>
            <w:tcBorders>
              <w:top w:val="nil"/>
              <w:left w:val="nil"/>
              <w:bottom w:val="single" w:color="auto" w:sz="4" w:space="0"/>
              <w:right w:val="single" w:color="auto" w:sz="4" w:space="0"/>
            </w:tcBorders>
            <w:shd w:val="clear" w:color="auto" w:fill="auto"/>
            <w:vAlign w:val="center"/>
          </w:tcPr>
          <w:p w14:paraId="14FF546F">
            <w:pPr>
              <w:widowControl/>
              <w:jc w:val="center"/>
              <w:rPr>
                <w:rFonts w:ascii="宋体" w:hAnsi="宋体" w:cs="宋体"/>
                <w:color w:val="000000"/>
                <w:kern w:val="0"/>
                <w:sz w:val="20"/>
                <w:szCs w:val="20"/>
              </w:rPr>
            </w:pPr>
            <w:r>
              <w:rPr>
                <w:rFonts w:hint="eastAsia" w:ascii="宋体" w:hAnsi="宋体" w:cs="宋体"/>
                <w:color w:val="000000"/>
                <w:kern w:val="0"/>
                <w:sz w:val="20"/>
                <w:szCs w:val="20"/>
              </w:rPr>
              <w:t>6</w:t>
            </w:r>
          </w:p>
        </w:tc>
      </w:tr>
      <w:tr w14:paraId="20A46EAF">
        <w:tblPrEx>
          <w:tblCellMar>
            <w:top w:w="0" w:type="dxa"/>
            <w:left w:w="108" w:type="dxa"/>
            <w:bottom w:w="0" w:type="dxa"/>
            <w:right w:w="108" w:type="dxa"/>
          </w:tblCellMar>
        </w:tblPrEx>
        <w:trPr>
          <w:trHeight w:val="1080" w:hRule="atLeast"/>
        </w:trPr>
        <w:tc>
          <w:tcPr>
            <w:tcW w:w="1100" w:type="dxa"/>
            <w:vMerge w:val="continue"/>
            <w:tcBorders>
              <w:top w:val="nil"/>
              <w:left w:val="single" w:color="auto" w:sz="4" w:space="0"/>
              <w:bottom w:val="single" w:color="auto" w:sz="4" w:space="0"/>
              <w:right w:val="single" w:color="auto" w:sz="4" w:space="0"/>
            </w:tcBorders>
            <w:vAlign w:val="center"/>
          </w:tcPr>
          <w:p w14:paraId="7A9212B1">
            <w:pPr>
              <w:widowControl/>
              <w:jc w:val="left"/>
              <w:rPr>
                <w:rFonts w:ascii="宋体" w:hAnsi="宋体" w:cs="宋体"/>
                <w:color w:val="000000"/>
                <w:kern w:val="0"/>
                <w:sz w:val="20"/>
                <w:szCs w:val="20"/>
              </w:rPr>
            </w:pPr>
          </w:p>
        </w:tc>
        <w:tc>
          <w:tcPr>
            <w:tcW w:w="1160" w:type="dxa"/>
            <w:vMerge w:val="continue"/>
            <w:tcBorders>
              <w:top w:val="nil"/>
              <w:left w:val="single" w:color="auto" w:sz="4" w:space="0"/>
              <w:bottom w:val="single" w:color="000000" w:sz="4" w:space="0"/>
              <w:right w:val="single" w:color="auto" w:sz="4" w:space="0"/>
            </w:tcBorders>
            <w:vAlign w:val="center"/>
          </w:tcPr>
          <w:p w14:paraId="503F33D8">
            <w:pPr>
              <w:widowControl/>
              <w:jc w:val="left"/>
              <w:rPr>
                <w:rFonts w:ascii="宋体" w:hAnsi="宋体" w:cs="宋体"/>
                <w:color w:val="000000"/>
                <w:kern w:val="0"/>
                <w:sz w:val="20"/>
                <w:szCs w:val="20"/>
              </w:rPr>
            </w:pPr>
          </w:p>
        </w:tc>
        <w:tc>
          <w:tcPr>
            <w:tcW w:w="1100" w:type="dxa"/>
            <w:tcBorders>
              <w:top w:val="nil"/>
              <w:left w:val="nil"/>
              <w:bottom w:val="single" w:color="auto" w:sz="4" w:space="0"/>
              <w:right w:val="single" w:color="auto" w:sz="4" w:space="0"/>
            </w:tcBorders>
            <w:shd w:val="clear" w:color="auto" w:fill="auto"/>
            <w:vAlign w:val="center"/>
          </w:tcPr>
          <w:p w14:paraId="3DAAFAD5">
            <w:pPr>
              <w:widowControl/>
              <w:jc w:val="center"/>
              <w:rPr>
                <w:rFonts w:ascii="宋体" w:hAnsi="宋体" w:cs="宋体"/>
                <w:color w:val="000000"/>
                <w:kern w:val="0"/>
                <w:sz w:val="20"/>
                <w:szCs w:val="20"/>
              </w:rPr>
            </w:pPr>
            <w:r>
              <w:rPr>
                <w:rFonts w:hint="eastAsia" w:ascii="宋体" w:hAnsi="宋体" w:cs="宋体"/>
                <w:color w:val="000000"/>
                <w:kern w:val="0"/>
                <w:sz w:val="20"/>
                <w:szCs w:val="20"/>
              </w:rPr>
              <w:t>报送时效</w:t>
            </w:r>
          </w:p>
        </w:tc>
        <w:tc>
          <w:tcPr>
            <w:tcW w:w="660" w:type="dxa"/>
            <w:tcBorders>
              <w:top w:val="nil"/>
              <w:left w:val="nil"/>
              <w:bottom w:val="single" w:color="auto" w:sz="4" w:space="0"/>
              <w:right w:val="single" w:color="auto" w:sz="4" w:space="0"/>
            </w:tcBorders>
            <w:shd w:val="clear" w:color="auto" w:fill="auto"/>
            <w:vAlign w:val="center"/>
          </w:tcPr>
          <w:p w14:paraId="78CC091B">
            <w:pPr>
              <w:widowControl/>
              <w:jc w:val="center"/>
              <w:rPr>
                <w:rFonts w:ascii="宋体" w:hAnsi="宋体" w:cs="宋体"/>
                <w:color w:val="000000"/>
                <w:kern w:val="0"/>
                <w:sz w:val="20"/>
                <w:szCs w:val="20"/>
              </w:rPr>
            </w:pPr>
            <w:r>
              <w:rPr>
                <w:rFonts w:hint="eastAsia" w:ascii="宋体" w:hAnsi="宋体" w:cs="宋体"/>
                <w:color w:val="000000"/>
                <w:kern w:val="0"/>
                <w:sz w:val="20"/>
                <w:szCs w:val="20"/>
              </w:rPr>
              <w:t>6</w:t>
            </w:r>
          </w:p>
        </w:tc>
        <w:tc>
          <w:tcPr>
            <w:tcW w:w="3820" w:type="dxa"/>
            <w:tcBorders>
              <w:top w:val="nil"/>
              <w:left w:val="nil"/>
              <w:bottom w:val="single" w:color="auto" w:sz="4" w:space="0"/>
              <w:right w:val="single" w:color="auto" w:sz="4" w:space="0"/>
            </w:tcBorders>
            <w:shd w:val="clear" w:color="auto" w:fill="auto"/>
            <w:vAlign w:val="center"/>
          </w:tcPr>
          <w:p w14:paraId="66860C77">
            <w:pPr>
              <w:widowControl/>
              <w:jc w:val="left"/>
              <w:rPr>
                <w:rFonts w:ascii="宋体" w:hAnsi="宋体" w:cs="宋体"/>
                <w:color w:val="000000"/>
                <w:kern w:val="0"/>
                <w:sz w:val="20"/>
                <w:szCs w:val="20"/>
              </w:rPr>
            </w:pPr>
            <w:r>
              <w:rPr>
                <w:rFonts w:hint="eastAsia" w:ascii="宋体" w:hAnsi="宋体" w:cs="宋体"/>
                <w:color w:val="000000"/>
                <w:kern w:val="0"/>
                <w:sz w:val="20"/>
                <w:szCs w:val="20"/>
              </w:rPr>
              <w:t>评价部门是否在规定时间内将绩效监控报告报送市财政局。</w:t>
            </w:r>
          </w:p>
        </w:tc>
        <w:tc>
          <w:tcPr>
            <w:tcW w:w="5072" w:type="dxa"/>
            <w:tcBorders>
              <w:top w:val="nil"/>
              <w:left w:val="nil"/>
              <w:bottom w:val="single" w:color="auto" w:sz="4" w:space="0"/>
              <w:right w:val="single" w:color="auto" w:sz="4" w:space="0"/>
            </w:tcBorders>
            <w:shd w:val="clear" w:color="auto" w:fill="auto"/>
            <w:vAlign w:val="center"/>
          </w:tcPr>
          <w:p w14:paraId="432A64CC">
            <w:pPr>
              <w:widowControl/>
              <w:jc w:val="left"/>
              <w:rPr>
                <w:rFonts w:ascii="宋体" w:hAnsi="宋体" w:cs="宋体"/>
                <w:color w:val="000000"/>
                <w:kern w:val="0"/>
                <w:sz w:val="20"/>
                <w:szCs w:val="20"/>
              </w:rPr>
            </w:pPr>
            <w:r>
              <w:rPr>
                <w:rFonts w:hint="eastAsia" w:ascii="宋体" w:hAnsi="宋体" w:cs="宋体"/>
                <w:color w:val="000000"/>
                <w:kern w:val="0"/>
                <w:sz w:val="20"/>
                <w:szCs w:val="20"/>
              </w:rPr>
              <w:t>市级主管部门应在规定时间内将本级及下属二级预算单位1-8月绩效监控报告报送市财政局，延迟报送的酌情扣分，未报送的不得分。</w:t>
            </w:r>
          </w:p>
        </w:tc>
        <w:tc>
          <w:tcPr>
            <w:tcW w:w="708" w:type="dxa"/>
            <w:tcBorders>
              <w:top w:val="nil"/>
              <w:left w:val="nil"/>
              <w:bottom w:val="single" w:color="auto" w:sz="4" w:space="0"/>
              <w:right w:val="single" w:color="auto" w:sz="4" w:space="0"/>
            </w:tcBorders>
            <w:shd w:val="clear" w:color="auto" w:fill="auto"/>
            <w:vAlign w:val="center"/>
          </w:tcPr>
          <w:p w14:paraId="7DBF71D8">
            <w:pPr>
              <w:widowControl/>
              <w:jc w:val="center"/>
              <w:rPr>
                <w:rFonts w:ascii="宋体" w:hAnsi="宋体" w:cs="宋体"/>
                <w:color w:val="000000"/>
                <w:kern w:val="0"/>
                <w:sz w:val="20"/>
                <w:szCs w:val="20"/>
              </w:rPr>
            </w:pPr>
            <w:r>
              <w:rPr>
                <w:rFonts w:hint="eastAsia" w:ascii="宋体" w:hAnsi="宋体" w:cs="宋体"/>
                <w:color w:val="000000"/>
                <w:kern w:val="0"/>
                <w:sz w:val="20"/>
                <w:szCs w:val="20"/>
              </w:rPr>
              <w:t>6</w:t>
            </w:r>
          </w:p>
        </w:tc>
      </w:tr>
      <w:tr w14:paraId="5A9EA847">
        <w:tblPrEx>
          <w:tblCellMar>
            <w:top w:w="0" w:type="dxa"/>
            <w:left w:w="108" w:type="dxa"/>
            <w:bottom w:w="0" w:type="dxa"/>
            <w:right w:w="108" w:type="dxa"/>
          </w:tblCellMar>
        </w:tblPrEx>
        <w:trPr>
          <w:trHeight w:val="480" w:hRule="atLeast"/>
        </w:trPr>
        <w:tc>
          <w:tcPr>
            <w:tcW w:w="1100" w:type="dxa"/>
            <w:vMerge w:val="continue"/>
            <w:tcBorders>
              <w:top w:val="nil"/>
              <w:left w:val="single" w:color="auto" w:sz="4" w:space="0"/>
              <w:bottom w:val="single" w:color="auto" w:sz="4" w:space="0"/>
              <w:right w:val="single" w:color="auto" w:sz="4" w:space="0"/>
            </w:tcBorders>
            <w:vAlign w:val="center"/>
          </w:tcPr>
          <w:p w14:paraId="7E9DDC72">
            <w:pPr>
              <w:widowControl/>
              <w:jc w:val="left"/>
              <w:rPr>
                <w:rFonts w:ascii="宋体" w:hAnsi="宋体" w:cs="宋体"/>
                <w:color w:val="000000"/>
                <w:kern w:val="0"/>
                <w:sz w:val="20"/>
                <w:szCs w:val="20"/>
              </w:rPr>
            </w:pPr>
          </w:p>
        </w:tc>
        <w:tc>
          <w:tcPr>
            <w:tcW w:w="1160" w:type="dxa"/>
            <w:vMerge w:val="restart"/>
            <w:tcBorders>
              <w:top w:val="nil"/>
              <w:left w:val="single" w:color="auto" w:sz="4" w:space="0"/>
              <w:bottom w:val="single" w:color="auto" w:sz="4" w:space="0"/>
              <w:right w:val="single" w:color="auto" w:sz="4" w:space="0"/>
            </w:tcBorders>
            <w:shd w:val="clear" w:color="auto" w:fill="auto"/>
            <w:vAlign w:val="center"/>
          </w:tcPr>
          <w:p w14:paraId="479490A9">
            <w:pPr>
              <w:widowControl/>
              <w:jc w:val="center"/>
              <w:rPr>
                <w:rFonts w:ascii="宋体" w:hAnsi="宋体" w:cs="宋体"/>
                <w:color w:val="000000"/>
                <w:kern w:val="0"/>
                <w:sz w:val="20"/>
                <w:szCs w:val="20"/>
              </w:rPr>
            </w:pPr>
            <w:r>
              <w:rPr>
                <w:rFonts w:hint="eastAsia" w:ascii="宋体" w:hAnsi="宋体" w:cs="宋体"/>
                <w:color w:val="000000"/>
                <w:kern w:val="0"/>
                <w:sz w:val="20"/>
                <w:szCs w:val="20"/>
              </w:rPr>
              <w:t>完成结果（14分）</w:t>
            </w:r>
          </w:p>
        </w:tc>
        <w:tc>
          <w:tcPr>
            <w:tcW w:w="1100" w:type="dxa"/>
            <w:tcBorders>
              <w:top w:val="nil"/>
              <w:left w:val="nil"/>
              <w:bottom w:val="single" w:color="auto" w:sz="4" w:space="0"/>
              <w:right w:val="single" w:color="auto" w:sz="4" w:space="0"/>
            </w:tcBorders>
            <w:shd w:val="clear" w:color="auto" w:fill="auto"/>
            <w:vAlign w:val="center"/>
          </w:tcPr>
          <w:p w14:paraId="7C932D3E">
            <w:pPr>
              <w:widowControl/>
              <w:jc w:val="center"/>
              <w:rPr>
                <w:rFonts w:ascii="宋体" w:hAnsi="宋体" w:cs="宋体"/>
                <w:color w:val="000000"/>
                <w:kern w:val="0"/>
                <w:sz w:val="20"/>
                <w:szCs w:val="20"/>
              </w:rPr>
            </w:pPr>
            <w:r>
              <w:rPr>
                <w:rFonts w:hint="eastAsia" w:ascii="宋体" w:hAnsi="宋体" w:cs="宋体"/>
                <w:color w:val="000000"/>
                <w:kern w:val="0"/>
                <w:sz w:val="20"/>
                <w:szCs w:val="20"/>
              </w:rPr>
              <w:t>预算完成</w:t>
            </w:r>
          </w:p>
        </w:tc>
        <w:tc>
          <w:tcPr>
            <w:tcW w:w="660" w:type="dxa"/>
            <w:tcBorders>
              <w:top w:val="nil"/>
              <w:left w:val="nil"/>
              <w:bottom w:val="single" w:color="auto" w:sz="4" w:space="0"/>
              <w:right w:val="single" w:color="auto" w:sz="4" w:space="0"/>
            </w:tcBorders>
            <w:shd w:val="clear" w:color="auto" w:fill="auto"/>
            <w:vAlign w:val="center"/>
          </w:tcPr>
          <w:p w14:paraId="16BB778D">
            <w:pPr>
              <w:widowControl/>
              <w:jc w:val="center"/>
              <w:rPr>
                <w:rFonts w:ascii="宋体" w:hAnsi="宋体" w:cs="宋体"/>
                <w:color w:val="000000"/>
                <w:kern w:val="0"/>
                <w:sz w:val="20"/>
                <w:szCs w:val="20"/>
              </w:rPr>
            </w:pPr>
            <w:r>
              <w:rPr>
                <w:rFonts w:hint="eastAsia" w:ascii="宋体" w:hAnsi="宋体" w:cs="宋体"/>
                <w:color w:val="000000"/>
                <w:kern w:val="0"/>
                <w:sz w:val="20"/>
                <w:szCs w:val="20"/>
              </w:rPr>
              <w:t>7</w:t>
            </w:r>
          </w:p>
        </w:tc>
        <w:tc>
          <w:tcPr>
            <w:tcW w:w="3820" w:type="dxa"/>
            <w:tcBorders>
              <w:top w:val="nil"/>
              <w:left w:val="nil"/>
              <w:bottom w:val="single" w:color="auto" w:sz="4" w:space="0"/>
              <w:right w:val="single" w:color="auto" w:sz="4" w:space="0"/>
            </w:tcBorders>
            <w:shd w:val="clear" w:color="auto" w:fill="auto"/>
            <w:vAlign w:val="center"/>
          </w:tcPr>
          <w:p w14:paraId="03831EBD">
            <w:pPr>
              <w:widowControl/>
              <w:jc w:val="left"/>
              <w:rPr>
                <w:rFonts w:ascii="宋体" w:hAnsi="宋体" w:cs="宋体"/>
                <w:color w:val="000000"/>
                <w:kern w:val="0"/>
                <w:sz w:val="20"/>
                <w:szCs w:val="20"/>
              </w:rPr>
            </w:pPr>
            <w:r>
              <w:rPr>
                <w:rFonts w:hint="eastAsia" w:ascii="宋体" w:hAnsi="宋体" w:cs="宋体"/>
                <w:color w:val="000000"/>
                <w:kern w:val="0"/>
                <w:sz w:val="20"/>
                <w:szCs w:val="20"/>
              </w:rPr>
              <w:t>评价部门预算项目年终预算执行情况。</w:t>
            </w:r>
          </w:p>
        </w:tc>
        <w:tc>
          <w:tcPr>
            <w:tcW w:w="5072" w:type="dxa"/>
            <w:tcBorders>
              <w:top w:val="nil"/>
              <w:left w:val="nil"/>
              <w:bottom w:val="single" w:color="auto" w:sz="4" w:space="0"/>
              <w:right w:val="single" w:color="auto" w:sz="4" w:space="0"/>
            </w:tcBorders>
            <w:shd w:val="clear" w:color="auto" w:fill="auto"/>
            <w:vAlign w:val="center"/>
          </w:tcPr>
          <w:p w14:paraId="767857E8">
            <w:pPr>
              <w:widowControl/>
              <w:jc w:val="left"/>
              <w:rPr>
                <w:rFonts w:ascii="宋体" w:hAnsi="宋体" w:cs="宋体"/>
                <w:color w:val="000000"/>
                <w:kern w:val="0"/>
                <w:sz w:val="20"/>
                <w:szCs w:val="20"/>
              </w:rPr>
            </w:pPr>
            <w:r>
              <w:rPr>
                <w:rFonts w:hint="eastAsia" w:ascii="宋体" w:hAnsi="宋体" w:cs="宋体"/>
                <w:color w:val="000000"/>
                <w:kern w:val="0"/>
                <w:sz w:val="20"/>
                <w:szCs w:val="20"/>
              </w:rPr>
              <w:t>部门预算项目12月预算执行进度达到100%的，得7分，未达100%的，按照实际进度量化计算得分。</w:t>
            </w:r>
          </w:p>
        </w:tc>
        <w:tc>
          <w:tcPr>
            <w:tcW w:w="708" w:type="dxa"/>
            <w:tcBorders>
              <w:top w:val="nil"/>
              <w:left w:val="nil"/>
              <w:bottom w:val="single" w:color="auto" w:sz="4" w:space="0"/>
              <w:right w:val="single" w:color="auto" w:sz="4" w:space="0"/>
            </w:tcBorders>
            <w:shd w:val="clear" w:color="auto" w:fill="auto"/>
            <w:vAlign w:val="center"/>
          </w:tcPr>
          <w:p w14:paraId="4A0F6056">
            <w:pPr>
              <w:widowControl/>
              <w:jc w:val="center"/>
              <w:rPr>
                <w:rFonts w:ascii="宋体" w:hAnsi="宋体" w:cs="宋体"/>
                <w:color w:val="000000"/>
                <w:kern w:val="0"/>
                <w:sz w:val="20"/>
                <w:szCs w:val="20"/>
              </w:rPr>
            </w:pPr>
            <w:r>
              <w:rPr>
                <w:rFonts w:hint="eastAsia" w:ascii="宋体" w:hAnsi="宋体" w:cs="宋体"/>
                <w:color w:val="000000"/>
                <w:kern w:val="0"/>
                <w:sz w:val="20"/>
                <w:szCs w:val="20"/>
              </w:rPr>
              <w:t>7</w:t>
            </w:r>
          </w:p>
        </w:tc>
      </w:tr>
      <w:tr w14:paraId="71BF829B">
        <w:tblPrEx>
          <w:tblCellMar>
            <w:top w:w="0" w:type="dxa"/>
            <w:left w:w="108" w:type="dxa"/>
            <w:bottom w:w="0" w:type="dxa"/>
            <w:right w:w="108" w:type="dxa"/>
          </w:tblCellMar>
        </w:tblPrEx>
        <w:trPr>
          <w:trHeight w:val="720" w:hRule="atLeast"/>
        </w:trPr>
        <w:tc>
          <w:tcPr>
            <w:tcW w:w="1100" w:type="dxa"/>
            <w:vMerge w:val="continue"/>
            <w:tcBorders>
              <w:top w:val="nil"/>
              <w:left w:val="single" w:color="auto" w:sz="4" w:space="0"/>
              <w:bottom w:val="single" w:color="auto" w:sz="4" w:space="0"/>
              <w:right w:val="single" w:color="auto" w:sz="4" w:space="0"/>
            </w:tcBorders>
            <w:vAlign w:val="center"/>
          </w:tcPr>
          <w:p w14:paraId="4104734C">
            <w:pPr>
              <w:widowControl/>
              <w:jc w:val="left"/>
              <w:rPr>
                <w:rFonts w:ascii="宋体" w:hAnsi="宋体" w:cs="宋体"/>
                <w:color w:val="000000"/>
                <w:kern w:val="0"/>
                <w:sz w:val="20"/>
                <w:szCs w:val="20"/>
              </w:rPr>
            </w:pPr>
          </w:p>
        </w:tc>
        <w:tc>
          <w:tcPr>
            <w:tcW w:w="1160" w:type="dxa"/>
            <w:vMerge w:val="continue"/>
            <w:tcBorders>
              <w:top w:val="nil"/>
              <w:left w:val="single" w:color="auto" w:sz="4" w:space="0"/>
              <w:bottom w:val="single" w:color="auto" w:sz="4" w:space="0"/>
              <w:right w:val="single" w:color="auto" w:sz="4" w:space="0"/>
            </w:tcBorders>
            <w:vAlign w:val="center"/>
          </w:tcPr>
          <w:p w14:paraId="4085B5E1">
            <w:pPr>
              <w:widowControl/>
              <w:jc w:val="left"/>
              <w:rPr>
                <w:rFonts w:ascii="宋体" w:hAnsi="宋体" w:cs="宋体"/>
                <w:color w:val="000000"/>
                <w:kern w:val="0"/>
                <w:sz w:val="20"/>
                <w:szCs w:val="20"/>
              </w:rPr>
            </w:pPr>
          </w:p>
        </w:tc>
        <w:tc>
          <w:tcPr>
            <w:tcW w:w="1100" w:type="dxa"/>
            <w:tcBorders>
              <w:top w:val="nil"/>
              <w:left w:val="nil"/>
              <w:bottom w:val="single" w:color="auto" w:sz="4" w:space="0"/>
              <w:right w:val="single" w:color="auto" w:sz="4" w:space="0"/>
            </w:tcBorders>
            <w:shd w:val="clear" w:color="auto" w:fill="auto"/>
            <w:vAlign w:val="center"/>
          </w:tcPr>
          <w:p w14:paraId="411372A7">
            <w:pPr>
              <w:widowControl/>
              <w:jc w:val="center"/>
              <w:rPr>
                <w:rFonts w:ascii="宋体" w:hAnsi="宋体" w:cs="宋体"/>
                <w:color w:val="000000"/>
                <w:kern w:val="0"/>
                <w:sz w:val="20"/>
                <w:szCs w:val="20"/>
              </w:rPr>
            </w:pPr>
            <w:r>
              <w:rPr>
                <w:rFonts w:hint="eastAsia" w:ascii="宋体" w:hAnsi="宋体" w:cs="宋体"/>
                <w:color w:val="000000"/>
                <w:kern w:val="0"/>
                <w:sz w:val="20"/>
                <w:szCs w:val="20"/>
              </w:rPr>
              <w:t>违规记录</w:t>
            </w:r>
          </w:p>
        </w:tc>
        <w:tc>
          <w:tcPr>
            <w:tcW w:w="660" w:type="dxa"/>
            <w:tcBorders>
              <w:top w:val="nil"/>
              <w:left w:val="nil"/>
              <w:bottom w:val="single" w:color="auto" w:sz="4" w:space="0"/>
              <w:right w:val="single" w:color="auto" w:sz="4" w:space="0"/>
            </w:tcBorders>
            <w:shd w:val="clear" w:color="auto" w:fill="auto"/>
            <w:vAlign w:val="center"/>
          </w:tcPr>
          <w:p w14:paraId="68E40D7B">
            <w:pPr>
              <w:widowControl/>
              <w:jc w:val="center"/>
              <w:rPr>
                <w:rFonts w:ascii="宋体" w:hAnsi="宋体" w:cs="宋体"/>
                <w:color w:val="000000"/>
                <w:kern w:val="0"/>
                <w:sz w:val="20"/>
                <w:szCs w:val="20"/>
              </w:rPr>
            </w:pPr>
            <w:r>
              <w:rPr>
                <w:rFonts w:hint="eastAsia" w:ascii="宋体" w:hAnsi="宋体" w:cs="宋体"/>
                <w:color w:val="000000"/>
                <w:kern w:val="0"/>
                <w:sz w:val="20"/>
                <w:szCs w:val="20"/>
              </w:rPr>
              <w:t>7</w:t>
            </w:r>
          </w:p>
        </w:tc>
        <w:tc>
          <w:tcPr>
            <w:tcW w:w="3820" w:type="dxa"/>
            <w:tcBorders>
              <w:top w:val="nil"/>
              <w:left w:val="nil"/>
              <w:bottom w:val="single" w:color="auto" w:sz="4" w:space="0"/>
              <w:right w:val="single" w:color="auto" w:sz="4" w:space="0"/>
            </w:tcBorders>
            <w:shd w:val="clear" w:color="auto" w:fill="auto"/>
            <w:vAlign w:val="center"/>
          </w:tcPr>
          <w:p w14:paraId="7DC7BEA8">
            <w:pPr>
              <w:widowControl/>
              <w:jc w:val="left"/>
              <w:rPr>
                <w:rFonts w:ascii="宋体" w:hAnsi="宋体" w:cs="宋体"/>
                <w:color w:val="000000"/>
                <w:kern w:val="0"/>
                <w:sz w:val="20"/>
                <w:szCs w:val="20"/>
              </w:rPr>
            </w:pPr>
            <w:r>
              <w:rPr>
                <w:rFonts w:hint="eastAsia" w:ascii="宋体" w:hAnsi="宋体" w:cs="宋体"/>
                <w:color w:val="000000"/>
                <w:kern w:val="0"/>
                <w:sz w:val="20"/>
                <w:szCs w:val="20"/>
              </w:rPr>
              <w:t>根据巡视巡察、审计监督、财政检查结果反映部门上一年度部门预算管理是否合规。</w:t>
            </w:r>
          </w:p>
        </w:tc>
        <w:tc>
          <w:tcPr>
            <w:tcW w:w="5072" w:type="dxa"/>
            <w:tcBorders>
              <w:top w:val="nil"/>
              <w:left w:val="nil"/>
              <w:bottom w:val="single" w:color="auto" w:sz="4" w:space="0"/>
              <w:right w:val="single" w:color="auto" w:sz="4" w:space="0"/>
            </w:tcBorders>
            <w:shd w:val="clear" w:color="auto" w:fill="auto"/>
            <w:vAlign w:val="center"/>
          </w:tcPr>
          <w:p w14:paraId="69D22CE0">
            <w:pPr>
              <w:widowControl/>
              <w:jc w:val="left"/>
              <w:rPr>
                <w:rFonts w:ascii="宋体" w:hAnsi="宋体" w:cs="宋体"/>
                <w:color w:val="000000"/>
                <w:kern w:val="0"/>
                <w:sz w:val="20"/>
                <w:szCs w:val="20"/>
              </w:rPr>
            </w:pPr>
            <w:r>
              <w:rPr>
                <w:rFonts w:hint="eastAsia" w:ascii="宋体" w:hAnsi="宋体" w:cs="宋体"/>
                <w:color w:val="000000"/>
                <w:kern w:val="0"/>
                <w:sz w:val="20"/>
                <w:szCs w:val="20"/>
              </w:rPr>
              <w:t>依据上一年度巡视巡察、审计监督、财政检查结果，出现部门预算管理方面违纪违规问题的，每个问题扣0.5分，直至扣完。</w:t>
            </w:r>
          </w:p>
        </w:tc>
        <w:tc>
          <w:tcPr>
            <w:tcW w:w="708" w:type="dxa"/>
            <w:tcBorders>
              <w:top w:val="nil"/>
              <w:left w:val="nil"/>
              <w:bottom w:val="single" w:color="auto" w:sz="4" w:space="0"/>
              <w:right w:val="single" w:color="auto" w:sz="4" w:space="0"/>
            </w:tcBorders>
            <w:shd w:val="clear" w:color="auto" w:fill="auto"/>
            <w:vAlign w:val="center"/>
          </w:tcPr>
          <w:p w14:paraId="659FDCBA">
            <w:pPr>
              <w:widowControl/>
              <w:jc w:val="center"/>
              <w:rPr>
                <w:rFonts w:ascii="宋体" w:hAnsi="宋体" w:cs="宋体"/>
                <w:color w:val="000000"/>
                <w:kern w:val="0"/>
                <w:sz w:val="20"/>
                <w:szCs w:val="20"/>
              </w:rPr>
            </w:pPr>
          </w:p>
        </w:tc>
      </w:tr>
      <w:tr w14:paraId="390BDFB9">
        <w:tblPrEx>
          <w:tblCellMar>
            <w:top w:w="0" w:type="dxa"/>
            <w:left w:w="108" w:type="dxa"/>
            <w:bottom w:w="0" w:type="dxa"/>
            <w:right w:w="108" w:type="dxa"/>
          </w:tblCellMar>
        </w:tblPrEx>
        <w:trPr>
          <w:trHeight w:val="960" w:hRule="atLeast"/>
        </w:trPr>
        <w:tc>
          <w:tcPr>
            <w:tcW w:w="1100" w:type="dxa"/>
            <w:vMerge w:val="restart"/>
            <w:tcBorders>
              <w:top w:val="nil"/>
              <w:left w:val="single" w:color="auto" w:sz="4" w:space="0"/>
              <w:bottom w:val="nil"/>
              <w:right w:val="single" w:color="auto" w:sz="4" w:space="0"/>
            </w:tcBorders>
            <w:shd w:val="clear" w:color="auto" w:fill="auto"/>
            <w:vAlign w:val="center"/>
          </w:tcPr>
          <w:p w14:paraId="7CE79CCE">
            <w:pPr>
              <w:widowControl/>
              <w:jc w:val="center"/>
              <w:rPr>
                <w:rFonts w:ascii="宋体" w:hAnsi="宋体" w:cs="宋体"/>
                <w:color w:val="000000"/>
                <w:kern w:val="0"/>
                <w:sz w:val="20"/>
                <w:szCs w:val="20"/>
              </w:rPr>
            </w:pPr>
            <w:r>
              <w:rPr>
                <w:rFonts w:hint="eastAsia" w:ascii="宋体" w:hAnsi="宋体" w:cs="宋体"/>
                <w:color w:val="000000"/>
                <w:kern w:val="0"/>
                <w:sz w:val="20"/>
                <w:szCs w:val="20"/>
              </w:rPr>
              <w:t>专项预算管理（20分）</w:t>
            </w:r>
          </w:p>
        </w:tc>
        <w:tc>
          <w:tcPr>
            <w:tcW w:w="1160" w:type="dxa"/>
            <w:vMerge w:val="restart"/>
            <w:tcBorders>
              <w:top w:val="nil"/>
              <w:left w:val="single" w:color="auto" w:sz="4" w:space="0"/>
              <w:bottom w:val="single" w:color="000000" w:sz="4" w:space="0"/>
              <w:right w:val="single" w:color="auto" w:sz="4" w:space="0"/>
            </w:tcBorders>
            <w:shd w:val="clear" w:color="auto" w:fill="auto"/>
            <w:vAlign w:val="center"/>
          </w:tcPr>
          <w:p w14:paraId="2F2C2B6F">
            <w:pPr>
              <w:widowControl/>
              <w:jc w:val="center"/>
              <w:rPr>
                <w:rFonts w:ascii="宋体" w:hAnsi="宋体" w:cs="宋体"/>
                <w:color w:val="000000"/>
                <w:kern w:val="0"/>
                <w:sz w:val="20"/>
                <w:szCs w:val="20"/>
              </w:rPr>
            </w:pPr>
            <w:r>
              <w:rPr>
                <w:rFonts w:hint="eastAsia" w:ascii="宋体" w:hAnsi="宋体" w:cs="宋体"/>
                <w:color w:val="000000"/>
                <w:kern w:val="0"/>
                <w:sz w:val="20"/>
                <w:szCs w:val="20"/>
              </w:rPr>
              <w:t>项目决策（8分）</w:t>
            </w:r>
          </w:p>
        </w:tc>
        <w:tc>
          <w:tcPr>
            <w:tcW w:w="1100" w:type="dxa"/>
            <w:tcBorders>
              <w:top w:val="nil"/>
              <w:left w:val="nil"/>
              <w:bottom w:val="single" w:color="auto" w:sz="4" w:space="0"/>
              <w:right w:val="single" w:color="auto" w:sz="4" w:space="0"/>
            </w:tcBorders>
            <w:shd w:val="clear" w:color="auto" w:fill="auto"/>
            <w:vAlign w:val="center"/>
          </w:tcPr>
          <w:p w14:paraId="7D5E9946">
            <w:pPr>
              <w:widowControl/>
              <w:jc w:val="center"/>
              <w:rPr>
                <w:rFonts w:ascii="宋体" w:hAnsi="宋体" w:cs="宋体"/>
                <w:color w:val="000000"/>
                <w:kern w:val="0"/>
                <w:sz w:val="20"/>
                <w:szCs w:val="20"/>
              </w:rPr>
            </w:pPr>
            <w:r>
              <w:rPr>
                <w:rFonts w:hint="eastAsia" w:ascii="宋体" w:hAnsi="宋体" w:cs="宋体"/>
                <w:color w:val="000000"/>
                <w:kern w:val="0"/>
                <w:sz w:val="20"/>
                <w:szCs w:val="20"/>
              </w:rPr>
              <w:t>程序严密</w:t>
            </w:r>
          </w:p>
        </w:tc>
        <w:tc>
          <w:tcPr>
            <w:tcW w:w="660" w:type="dxa"/>
            <w:tcBorders>
              <w:top w:val="nil"/>
              <w:left w:val="nil"/>
              <w:bottom w:val="single" w:color="auto" w:sz="4" w:space="0"/>
              <w:right w:val="single" w:color="auto" w:sz="4" w:space="0"/>
            </w:tcBorders>
            <w:shd w:val="clear" w:color="auto" w:fill="auto"/>
            <w:vAlign w:val="center"/>
          </w:tcPr>
          <w:p w14:paraId="1AAC0E6D">
            <w:pPr>
              <w:widowControl/>
              <w:jc w:val="center"/>
              <w:rPr>
                <w:rFonts w:ascii="宋体" w:hAnsi="宋体" w:cs="宋体"/>
                <w:color w:val="000000"/>
                <w:kern w:val="0"/>
                <w:sz w:val="20"/>
                <w:szCs w:val="20"/>
              </w:rPr>
            </w:pPr>
            <w:r>
              <w:rPr>
                <w:rFonts w:hint="eastAsia" w:ascii="宋体" w:hAnsi="宋体" w:cs="宋体"/>
                <w:color w:val="000000"/>
                <w:kern w:val="0"/>
                <w:sz w:val="20"/>
                <w:szCs w:val="20"/>
              </w:rPr>
              <w:t>3</w:t>
            </w:r>
          </w:p>
        </w:tc>
        <w:tc>
          <w:tcPr>
            <w:tcW w:w="3820" w:type="dxa"/>
            <w:tcBorders>
              <w:top w:val="nil"/>
              <w:left w:val="nil"/>
              <w:bottom w:val="single" w:color="auto" w:sz="4" w:space="0"/>
              <w:right w:val="single" w:color="auto" w:sz="4" w:space="0"/>
            </w:tcBorders>
            <w:shd w:val="clear" w:color="auto" w:fill="auto"/>
            <w:vAlign w:val="center"/>
          </w:tcPr>
          <w:p w14:paraId="4B2BFFA0">
            <w:pPr>
              <w:widowControl/>
              <w:jc w:val="left"/>
              <w:rPr>
                <w:rFonts w:ascii="宋体" w:hAnsi="宋体" w:cs="宋体"/>
                <w:color w:val="000000"/>
                <w:kern w:val="0"/>
                <w:sz w:val="20"/>
                <w:szCs w:val="20"/>
              </w:rPr>
            </w:pPr>
            <w:r>
              <w:rPr>
                <w:rFonts w:hint="eastAsia" w:ascii="宋体" w:hAnsi="宋体" w:cs="宋体"/>
                <w:color w:val="000000"/>
                <w:kern w:val="0"/>
                <w:sz w:val="20"/>
                <w:szCs w:val="20"/>
              </w:rPr>
              <w:t>评价专项项目的设立是否经过严格评估论证、管理制度是否完善健全。</w:t>
            </w:r>
          </w:p>
        </w:tc>
        <w:tc>
          <w:tcPr>
            <w:tcW w:w="5072" w:type="dxa"/>
            <w:tcBorders>
              <w:top w:val="nil"/>
              <w:left w:val="nil"/>
              <w:bottom w:val="single" w:color="auto" w:sz="4" w:space="0"/>
              <w:right w:val="single" w:color="auto" w:sz="4" w:space="0"/>
            </w:tcBorders>
            <w:shd w:val="clear" w:color="auto" w:fill="auto"/>
            <w:vAlign w:val="center"/>
          </w:tcPr>
          <w:p w14:paraId="6C332169">
            <w:pPr>
              <w:widowControl/>
              <w:jc w:val="left"/>
              <w:rPr>
                <w:rFonts w:ascii="宋体" w:hAnsi="宋体" w:cs="宋体"/>
                <w:color w:val="000000"/>
                <w:kern w:val="0"/>
                <w:sz w:val="20"/>
                <w:szCs w:val="20"/>
              </w:rPr>
            </w:pPr>
            <w:r>
              <w:rPr>
                <w:rFonts w:hint="eastAsia" w:ascii="宋体" w:hAnsi="宋体" w:cs="宋体"/>
                <w:color w:val="000000"/>
                <w:kern w:val="0"/>
                <w:sz w:val="20"/>
                <w:szCs w:val="20"/>
              </w:rPr>
              <w:t>1.专项项目设立时经过事前绩效评估或可行性论证的，得1.5分，否则不得分。                                                         2.专项资金的管理办法健全完善的，得1.5分，否则酌情扣分，无管理办法的，该指标不得分。</w:t>
            </w:r>
          </w:p>
        </w:tc>
        <w:tc>
          <w:tcPr>
            <w:tcW w:w="708" w:type="dxa"/>
            <w:tcBorders>
              <w:top w:val="nil"/>
              <w:left w:val="nil"/>
              <w:bottom w:val="single" w:color="auto" w:sz="4" w:space="0"/>
              <w:right w:val="single" w:color="auto" w:sz="4" w:space="0"/>
            </w:tcBorders>
            <w:shd w:val="clear" w:color="auto" w:fill="auto"/>
            <w:vAlign w:val="center"/>
          </w:tcPr>
          <w:p w14:paraId="6535B765">
            <w:pPr>
              <w:widowControl/>
              <w:jc w:val="center"/>
              <w:rPr>
                <w:rFonts w:ascii="宋体" w:hAnsi="宋体" w:cs="宋体"/>
                <w:color w:val="000000"/>
                <w:kern w:val="0"/>
                <w:sz w:val="20"/>
                <w:szCs w:val="20"/>
              </w:rPr>
            </w:pPr>
            <w:r>
              <w:rPr>
                <w:rFonts w:hint="eastAsia" w:ascii="宋体" w:hAnsi="宋体" w:cs="宋体"/>
                <w:color w:val="000000"/>
                <w:kern w:val="0"/>
                <w:sz w:val="20"/>
                <w:szCs w:val="20"/>
              </w:rPr>
              <w:t>3</w:t>
            </w:r>
          </w:p>
        </w:tc>
      </w:tr>
      <w:tr w14:paraId="3D51B4FD">
        <w:tblPrEx>
          <w:tblCellMar>
            <w:top w:w="0" w:type="dxa"/>
            <w:left w:w="108" w:type="dxa"/>
            <w:bottom w:w="0" w:type="dxa"/>
            <w:right w:w="108" w:type="dxa"/>
          </w:tblCellMar>
        </w:tblPrEx>
        <w:trPr>
          <w:trHeight w:val="1440" w:hRule="atLeast"/>
        </w:trPr>
        <w:tc>
          <w:tcPr>
            <w:tcW w:w="1100" w:type="dxa"/>
            <w:vMerge w:val="continue"/>
            <w:tcBorders>
              <w:top w:val="nil"/>
              <w:left w:val="single" w:color="auto" w:sz="4" w:space="0"/>
              <w:bottom w:val="nil"/>
              <w:right w:val="single" w:color="auto" w:sz="4" w:space="0"/>
            </w:tcBorders>
            <w:vAlign w:val="center"/>
          </w:tcPr>
          <w:p w14:paraId="2892C0DF">
            <w:pPr>
              <w:widowControl/>
              <w:jc w:val="left"/>
              <w:rPr>
                <w:rFonts w:ascii="宋体" w:hAnsi="宋体" w:cs="宋体"/>
                <w:color w:val="000000"/>
                <w:kern w:val="0"/>
                <w:sz w:val="20"/>
                <w:szCs w:val="20"/>
              </w:rPr>
            </w:pPr>
          </w:p>
        </w:tc>
        <w:tc>
          <w:tcPr>
            <w:tcW w:w="1160" w:type="dxa"/>
            <w:vMerge w:val="continue"/>
            <w:tcBorders>
              <w:top w:val="nil"/>
              <w:left w:val="single" w:color="auto" w:sz="4" w:space="0"/>
              <w:bottom w:val="single" w:color="000000" w:sz="4" w:space="0"/>
              <w:right w:val="single" w:color="auto" w:sz="4" w:space="0"/>
            </w:tcBorders>
            <w:vAlign w:val="center"/>
          </w:tcPr>
          <w:p w14:paraId="6949B2D5">
            <w:pPr>
              <w:widowControl/>
              <w:jc w:val="left"/>
              <w:rPr>
                <w:rFonts w:ascii="宋体" w:hAnsi="宋体" w:cs="宋体"/>
                <w:color w:val="000000"/>
                <w:kern w:val="0"/>
                <w:sz w:val="20"/>
                <w:szCs w:val="20"/>
              </w:rPr>
            </w:pPr>
          </w:p>
        </w:tc>
        <w:tc>
          <w:tcPr>
            <w:tcW w:w="1100" w:type="dxa"/>
            <w:tcBorders>
              <w:top w:val="nil"/>
              <w:left w:val="nil"/>
              <w:bottom w:val="single" w:color="auto" w:sz="4" w:space="0"/>
              <w:right w:val="single" w:color="auto" w:sz="4" w:space="0"/>
            </w:tcBorders>
            <w:shd w:val="clear" w:color="auto" w:fill="auto"/>
            <w:vAlign w:val="center"/>
          </w:tcPr>
          <w:p w14:paraId="7D357B0A">
            <w:pPr>
              <w:widowControl/>
              <w:jc w:val="center"/>
              <w:rPr>
                <w:rFonts w:ascii="宋体" w:hAnsi="宋体" w:cs="宋体"/>
                <w:color w:val="000000"/>
                <w:kern w:val="0"/>
                <w:sz w:val="20"/>
                <w:szCs w:val="20"/>
              </w:rPr>
            </w:pPr>
            <w:r>
              <w:rPr>
                <w:rFonts w:hint="eastAsia" w:ascii="宋体" w:hAnsi="宋体" w:cs="宋体"/>
                <w:color w:val="000000"/>
                <w:kern w:val="0"/>
                <w:sz w:val="20"/>
                <w:szCs w:val="20"/>
              </w:rPr>
              <w:t>规划合理</w:t>
            </w:r>
          </w:p>
        </w:tc>
        <w:tc>
          <w:tcPr>
            <w:tcW w:w="660" w:type="dxa"/>
            <w:tcBorders>
              <w:top w:val="nil"/>
              <w:left w:val="nil"/>
              <w:bottom w:val="single" w:color="auto" w:sz="4" w:space="0"/>
              <w:right w:val="single" w:color="auto" w:sz="4" w:space="0"/>
            </w:tcBorders>
            <w:shd w:val="clear" w:color="auto" w:fill="auto"/>
            <w:vAlign w:val="center"/>
          </w:tcPr>
          <w:p w14:paraId="332CF252">
            <w:pPr>
              <w:widowControl/>
              <w:jc w:val="center"/>
              <w:rPr>
                <w:rFonts w:ascii="宋体" w:hAnsi="宋体" w:cs="宋体"/>
                <w:color w:val="000000"/>
                <w:kern w:val="0"/>
                <w:sz w:val="20"/>
                <w:szCs w:val="20"/>
              </w:rPr>
            </w:pPr>
            <w:r>
              <w:rPr>
                <w:rFonts w:hint="eastAsia" w:ascii="宋体" w:hAnsi="宋体" w:cs="宋体"/>
                <w:color w:val="000000"/>
                <w:kern w:val="0"/>
                <w:sz w:val="20"/>
                <w:szCs w:val="20"/>
              </w:rPr>
              <w:t>3</w:t>
            </w:r>
          </w:p>
        </w:tc>
        <w:tc>
          <w:tcPr>
            <w:tcW w:w="3820" w:type="dxa"/>
            <w:tcBorders>
              <w:top w:val="nil"/>
              <w:left w:val="nil"/>
              <w:bottom w:val="single" w:color="auto" w:sz="4" w:space="0"/>
              <w:right w:val="single" w:color="auto" w:sz="4" w:space="0"/>
            </w:tcBorders>
            <w:shd w:val="clear" w:color="auto" w:fill="auto"/>
            <w:vAlign w:val="center"/>
          </w:tcPr>
          <w:p w14:paraId="317F37AC">
            <w:pPr>
              <w:widowControl/>
              <w:jc w:val="left"/>
              <w:rPr>
                <w:rFonts w:ascii="宋体" w:hAnsi="宋体" w:cs="宋体"/>
                <w:color w:val="000000"/>
                <w:kern w:val="0"/>
                <w:sz w:val="20"/>
                <w:szCs w:val="20"/>
              </w:rPr>
            </w:pPr>
            <w:r>
              <w:rPr>
                <w:rFonts w:hint="eastAsia" w:ascii="宋体" w:hAnsi="宋体" w:cs="宋体"/>
                <w:color w:val="000000"/>
                <w:kern w:val="0"/>
                <w:sz w:val="20"/>
                <w:szCs w:val="20"/>
              </w:rPr>
              <w:t>评价项目规划是否符合市委、市政府重大决策部署，项目年度绩效目标与规划是否一致。</w:t>
            </w:r>
          </w:p>
        </w:tc>
        <w:tc>
          <w:tcPr>
            <w:tcW w:w="5072" w:type="dxa"/>
            <w:tcBorders>
              <w:top w:val="nil"/>
              <w:left w:val="nil"/>
              <w:bottom w:val="single" w:color="auto" w:sz="4" w:space="0"/>
              <w:right w:val="single" w:color="auto" w:sz="4" w:space="0"/>
            </w:tcBorders>
            <w:shd w:val="clear" w:color="auto" w:fill="auto"/>
            <w:vAlign w:val="center"/>
          </w:tcPr>
          <w:p w14:paraId="0DDB0B92">
            <w:pPr>
              <w:widowControl/>
              <w:jc w:val="left"/>
              <w:rPr>
                <w:rFonts w:ascii="宋体" w:hAnsi="宋体" w:cs="宋体"/>
                <w:color w:val="000000"/>
                <w:kern w:val="0"/>
                <w:sz w:val="20"/>
                <w:szCs w:val="20"/>
              </w:rPr>
            </w:pPr>
            <w:r>
              <w:rPr>
                <w:rFonts w:hint="eastAsia" w:ascii="宋体" w:hAnsi="宋体" w:cs="宋体"/>
                <w:color w:val="000000"/>
                <w:kern w:val="0"/>
                <w:sz w:val="20"/>
                <w:szCs w:val="20"/>
              </w:rPr>
              <w:t>1.专项项目（除一次性项目外）制定了中长期规划的，得1分，否则该三级指标整体不得分。                                                           2.项目规划符合市委、市政府重大决策部署和宏观政策规划的，得1分。                                                                        3.项目年度绩效目标与专项中长期规划一致的，得1分，有一处不符合的扣0.2分。</w:t>
            </w:r>
          </w:p>
        </w:tc>
        <w:tc>
          <w:tcPr>
            <w:tcW w:w="708" w:type="dxa"/>
            <w:tcBorders>
              <w:top w:val="nil"/>
              <w:left w:val="nil"/>
              <w:bottom w:val="single" w:color="auto" w:sz="4" w:space="0"/>
              <w:right w:val="single" w:color="auto" w:sz="4" w:space="0"/>
            </w:tcBorders>
            <w:shd w:val="clear" w:color="auto" w:fill="auto"/>
            <w:vAlign w:val="center"/>
          </w:tcPr>
          <w:p w14:paraId="23181CB0">
            <w:pPr>
              <w:widowControl/>
              <w:jc w:val="center"/>
              <w:rPr>
                <w:rFonts w:ascii="宋体" w:hAnsi="宋体" w:cs="宋体"/>
                <w:color w:val="000000"/>
                <w:kern w:val="0"/>
                <w:sz w:val="20"/>
                <w:szCs w:val="20"/>
              </w:rPr>
            </w:pPr>
            <w:r>
              <w:rPr>
                <w:rFonts w:hint="eastAsia" w:ascii="宋体" w:hAnsi="宋体" w:cs="宋体"/>
                <w:color w:val="000000"/>
                <w:kern w:val="0"/>
                <w:sz w:val="20"/>
                <w:szCs w:val="20"/>
              </w:rPr>
              <w:t>3</w:t>
            </w:r>
          </w:p>
        </w:tc>
      </w:tr>
      <w:tr w14:paraId="5EE35351">
        <w:tblPrEx>
          <w:tblCellMar>
            <w:top w:w="0" w:type="dxa"/>
            <w:left w:w="108" w:type="dxa"/>
            <w:bottom w:w="0" w:type="dxa"/>
            <w:right w:w="108" w:type="dxa"/>
          </w:tblCellMar>
        </w:tblPrEx>
        <w:trPr>
          <w:trHeight w:val="1440" w:hRule="atLeast"/>
        </w:trPr>
        <w:tc>
          <w:tcPr>
            <w:tcW w:w="1100" w:type="dxa"/>
            <w:vMerge w:val="continue"/>
            <w:tcBorders>
              <w:top w:val="nil"/>
              <w:left w:val="single" w:color="auto" w:sz="4" w:space="0"/>
              <w:bottom w:val="nil"/>
              <w:right w:val="single" w:color="auto" w:sz="4" w:space="0"/>
            </w:tcBorders>
            <w:vAlign w:val="center"/>
          </w:tcPr>
          <w:p w14:paraId="778FFC4E">
            <w:pPr>
              <w:widowControl/>
              <w:jc w:val="left"/>
              <w:rPr>
                <w:rFonts w:ascii="宋体" w:hAnsi="宋体" w:cs="宋体"/>
                <w:color w:val="000000"/>
                <w:kern w:val="0"/>
                <w:sz w:val="20"/>
                <w:szCs w:val="20"/>
              </w:rPr>
            </w:pPr>
          </w:p>
        </w:tc>
        <w:tc>
          <w:tcPr>
            <w:tcW w:w="1160" w:type="dxa"/>
            <w:vMerge w:val="continue"/>
            <w:tcBorders>
              <w:top w:val="nil"/>
              <w:left w:val="single" w:color="auto" w:sz="4" w:space="0"/>
              <w:bottom w:val="single" w:color="000000" w:sz="4" w:space="0"/>
              <w:right w:val="single" w:color="auto" w:sz="4" w:space="0"/>
            </w:tcBorders>
            <w:vAlign w:val="center"/>
          </w:tcPr>
          <w:p w14:paraId="25231B1B">
            <w:pPr>
              <w:widowControl/>
              <w:jc w:val="left"/>
              <w:rPr>
                <w:rFonts w:ascii="宋体" w:hAnsi="宋体" w:cs="宋体"/>
                <w:color w:val="000000"/>
                <w:kern w:val="0"/>
                <w:sz w:val="20"/>
                <w:szCs w:val="20"/>
              </w:rPr>
            </w:pPr>
          </w:p>
        </w:tc>
        <w:tc>
          <w:tcPr>
            <w:tcW w:w="1100" w:type="dxa"/>
            <w:tcBorders>
              <w:top w:val="nil"/>
              <w:left w:val="nil"/>
              <w:bottom w:val="single" w:color="auto" w:sz="4" w:space="0"/>
              <w:right w:val="single" w:color="auto" w:sz="4" w:space="0"/>
            </w:tcBorders>
            <w:shd w:val="clear" w:color="auto" w:fill="auto"/>
            <w:vAlign w:val="center"/>
          </w:tcPr>
          <w:p w14:paraId="067CB525">
            <w:pPr>
              <w:widowControl/>
              <w:jc w:val="center"/>
              <w:rPr>
                <w:rFonts w:ascii="宋体" w:hAnsi="宋体" w:cs="宋体"/>
                <w:color w:val="000000"/>
                <w:kern w:val="0"/>
                <w:sz w:val="20"/>
                <w:szCs w:val="20"/>
              </w:rPr>
            </w:pPr>
            <w:r>
              <w:rPr>
                <w:rFonts w:hint="eastAsia" w:ascii="宋体" w:hAnsi="宋体" w:cs="宋体"/>
                <w:color w:val="000000"/>
                <w:kern w:val="0"/>
                <w:sz w:val="20"/>
                <w:szCs w:val="20"/>
              </w:rPr>
              <w:t>结果符合</w:t>
            </w:r>
          </w:p>
        </w:tc>
        <w:tc>
          <w:tcPr>
            <w:tcW w:w="660" w:type="dxa"/>
            <w:tcBorders>
              <w:top w:val="nil"/>
              <w:left w:val="nil"/>
              <w:bottom w:val="single" w:color="auto" w:sz="4" w:space="0"/>
              <w:right w:val="single" w:color="auto" w:sz="4" w:space="0"/>
            </w:tcBorders>
            <w:shd w:val="clear" w:color="auto" w:fill="auto"/>
            <w:vAlign w:val="center"/>
          </w:tcPr>
          <w:p w14:paraId="653B6C1F">
            <w:pPr>
              <w:widowControl/>
              <w:jc w:val="center"/>
              <w:rPr>
                <w:rFonts w:ascii="宋体" w:hAnsi="宋体" w:cs="宋体"/>
                <w:color w:val="000000"/>
                <w:kern w:val="0"/>
                <w:sz w:val="20"/>
                <w:szCs w:val="20"/>
              </w:rPr>
            </w:pPr>
            <w:r>
              <w:rPr>
                <w:rFonts w:hint="eastAsia" w:ascii="宋体" w:hAnsi="宋体" w:cs="宋体"/>
                <w:color w:val="000000"/>
                <w:kern w:val="0"/>
                <w:sz w:val="20"/>
                <w:szCs w:val="20"/>
              </w:rPr>
              <w:t>2</w:t>
            </w:r>
          </w:p>
        </w:tc>
        <w:tc>
          <w:tcPr>
            <w:tcW w:w="3820" w:type="dxa"/>
            <w:tcBorders>
              <w:top w:val="nil"/>
              <w:left w:val="nil"/>
              <w:bottom w:val="single" w:color="auto" w:sz="4" w:space="0"/>
              <w:right w:val="single" w:color="auto" w:sz="4" w:space="0"/>
            </w:tcBorders>
            <w:shd w:val="clear" w:color="auto" w:fill="auto"/>
            <w:vAlign w:val="center"/>
          </w:tcPr>
          <w:p w14:paraId="397C697F">
            <w:pPr>
              <w:widowControl/>
              <w:jc w:val="left"/>
              <w:rPr>
                <w:rFonts w:ascii="宋体" w:hAnsi="宋体" w:cs="宋体"/>
                <w:color w:val="000000"/>
                <w:kern w:val="0"/>
                <w:sz w:val="20"/>
                <w:szCs w:val="20"/>
              </w:rPr>
            </w:pPr>
            <w:r>
              <w:rPr>
                <w:rFonts w:hint="eastAsia" w:ascii="宋体" w:hAnsi="宋体" w:cs="宋体"/>
                <w:color w:val="000000"/>
                <w:kern w:val="0"/>
                <w:sz w:val="20"/>
                <w:szCs w:val="20"/>
              </w:rPr>
              <w:t>评价项目实施结果与项目总体规划计划是否一致。</w:t>
            </w:r>
          </w:p>
        </w:tc>
        <w:tc>
          <w:tcPr>
            <w:tcW w:w="5072" w:type="dxa"/>
            <w:tcBorders>
              <w:top w:val="nil"/>
              <w:left w:val="nil"/>
              <w:bottom w:val="single" w:color="auto" w:sz="4" w:space="0"/>
              <w:right w:val="single" w:color="auto" w:sz="4" w:space="0"/>
            </w:tcBorders>
            <w:shd w:val="clear" w:color="auto" w:fill="auto"/>
            <w:vAlign w:val="center"/>
          </w:tcPr>
          <w:p w14:paraId="3E2F940F">
            <w:pPr>
              <w:widowControl/>
              <w:jc w:val="left"/>
              <w:rPr>
                <w:rFonts w:ascii="宋体" w:hAnsi="宋体" w:cs="宋体"/>
                <w:color w:val="000000"/>
                <w:kern w:val="0"/>
                <w:sz w:val="20"/>
                <w:szCs w:val="20"/>
              </w:rPr>
            </w:pPr>
            <w:r>
              <w:rPr>
                <w:rFonts w:hint="eastAsia" w:ascii="宋体" w:hAnsi="宋体" w:cs="宋体"/>
                <w:color w:val="000000"/>
                <w:kern w:val="0"/>
                <w:sz w:val="20"/>
                <w:szCs w:val="20"/>
              </w:rPr>
              <w:t>项目实际完成任务量和效果达到规划预期情况的，得满分。按项目法分配的项目，以所有项目点实施完成情况与规划计划情况进行对比。按因素法分配的项目和据实据效分配的项目，将资金分配方向与规划计划支持方向进行对比。完全达到预期的得满分。未完全达到规划预期情况的，以达到预期情况的资金量占项目总金额占比计分。指标得分=项目实施实施结果符合规划的金额/项目总金额*2</w:t>
            </w:r>
          </w:p>
        </w:tc>
        <w:tc>
          <w:tcPr>
            <w:tcW w:w="708" w:type="dxa"/>
            <w:tcBorders>
              <w:top w:val="nil"/>
              <w:left w:val="nil"/>
              <w:bottom w:val="single" w:color="auto" w:sz="4" w:space="0"/>
              <w:right w:val="single" w:color="auto" w:sz="4" w:space="0"/>
            </w:tcBorders>
            <w:shd w:val="clear" w:color="auto" w:fill="auto"/>
            <w:vAlign w:val="center"/>
          </w:tcPr>
          <w:p w14:paraId="6E0F03FA">
            <w:pPr>
              <w:widowControl/>
              <w:jc w:val="center"/>
              <w:rPr>
                <w:rFonts w:ascii="宋体" w:hAnsi="宋体" w:cs="宋体"/>
                <w:color w:val="000000"/>
                <w:kern w:val="0"/>
                <w:sz w:val="20"/>
                <w:szCs w:val="20"/>
              </w:rPr>
            </w:pPr>
            <w:r>
              <w:rPr>
                <w:rFonts w:hint="eastAsia" w:ascii="宋体" w:hAnsi="宋体" w:cs="宋体"/>
                <w:color w:val="000000"/>
                <w:kern w:val="0"/>
                <w:sz w:val="20"/>
                <w:szCs w:val="20"/>
              </w:rPr>
              <w:t>2</w:t>
            </w:r>
          </w:p>
        </w:tc>
      </w:tr>
      <w:tr w14:paraId="719FBB86">
        <w:tblPrEx>
          <w:tblCellMar>
            <w:top w:w="0" w:type="dxa"/>
            <w:left w:w="108" w:type="dxa"/>
            <w:bottom w:w="0" w:type="dxa"/>
            <w:right w:w="108" w:type="dxa"/>
          </w:tblCellMar>
        </w:tblPrEx>
        <w:trPr>
          <w:trHeight w:val="280" w:hRule="atLeast"/>
        </w:trPr>
        <w:tc>
          <w:tcPr>
            <w:tcW w:w="1100" w:type="dxa"/>
            <w:vMerge w:val="continue"/>
            <w:tcBorders>
              <w:top w:val="nil"/>
              <w:left w:val="single" w:color="auto" w:sz="4" w:space="0"/>
              <w:bottom w:val="nil"/>
              <w:right w:val="single" w:color="auto" w:sz="4" w:space="0"/>
            </w:tcBorders>
            <w:vAlign w:val="center"/>
          </w:tcPr>
          <w:p w14:paraId="7BEFA442">
            <w:pPr>
              <w:widowControl/>
              <w:jc w:val="left"/>
              <w:rPr>
                <w:rFonts w:ascii="宋体" w:hAnsi="宋体" w:cs="宋体"/>
                <w:color w:val="000000"/>
                <w:kern w:val="0"/>
                <w:sz w:val="20"/>
                <w:szCs w:val="20"/>
              </w:rPr>
            </w:pPr>
          </w:p>
        </w:tc>
        <w:tc>
          <w:tcPr>
            <w:tcW w:w="1160" w:type="dxa"/>
            <w:vMerge w:val="restart"/>
            <w:tcBorders>
              <w:top w:val="nil"/>
              <w:left w:val="single" w:color="auto" w:sz="4" w:space="0"/>
              <w:bottom w:val="single" w:color="000000" w:sz="4" w:space="0"/>
              <w:right w:val="single" w:color="auto" w:sz="4" w:space="0"/>
            </w:tcBorders>
            <w:shd w:val="clear" w:color="auto" w:fill="auto"/>
            <w:vAlign w:val="center"/>
          </w:tcPr>
          <w:p w14:paraId="5E4AE0DA">
            <w:pPr>
              <w:widowControl/>
              <w:jc w:val="center"/>
              <w:rPr>
                <w:rFonts w:ascii="宋体" w:hAnsi="宋体" w:cs="宋体"/>
                <w:color w:val="000000"/>
                <w:kern w:val="0"/>
                <w:sz w:val="20"/>
                <w:szCs w:val="20"/>
              </w:rPr>
            </w:pPr>
            <w:r>
              <w:rPr>
                <w:rFonts w:hint="eastAsia" w:ascii="宋体" w:hAnsi="宋体" w:cs="宋体"/>
                <w:color w:val="000000"/>
                <w:kern w:val="0"/>
                <w:sz w:val="20"/>
                <w:szCs w:val="20"/>
              </w:rPr>
              <w:t>项目实施（4分）</w:t>
            </w:r>
          </w:p>
        </w:tc>
        <w:tc>
          <w:tcPr>
            <w:tcW w:w="1100" w:type="dxa"/>
            <w:tcBorders>
              <w:top w:val="nil"/>
              <w:left w:val="nil"/>
              <w:bottom w:val="single" w:color="auto" w:sz="4" w:space="0"/>
              <w:right w:val="single" w:color="auto" w:sz="4" w:space="0"/>
            </w:tcBorders>
            <w:shd w:val="clear" w:color="auto" w:fill="auto"/>
            <w:vAlign w:val="center"/>
          </w:tcPr>
          <w:p w14:paraId="6F10BE6A">
            <w:pPr>
              <w:widowControl/>
              <w:jc w:val="center"/>
              <w:rPr>
                <w:rFonts w:ascii="宋体" w:hAnsi="宋体" w:cs="宋体"/>
                <w:color w:val="000000"/>
                <w:kern w:val="0"/>
                <w:sz w:val="20"/>
                <w:szCs w:val="20"/>
              </w:rPr>
            </w:pPr>
            <w:r>
              <w:rPr>
                <w:rFonts w:hint="eastAsia" w:ascii="宋体" w:hAnsi="宋体" w:cs="宋体"/>
                <w:color w:val="000000"/>
                <w:kern w:val="0"/>
                <w:sz w:val="20"/>
                <w:szCs w:val="20"/>
              </w:rPr>
              <w:t>分配科学</w:t>
            </w:r>
          </w:p>
        </w:tc>
        <w:tc>
          <w:tcPr>
            <w:tcW w:w="660" w:type="dxa"/>
            <w:tcBorders>
              <w:top w:val="nil"/>
              <w:left w:val="nil"/>
              <w:bottom w:val="single" w:color="auto" w:sz="4" w:space="0"/>
              <w:right w:val="single" w:color="auto" w:sz="4" w:space="0"/>
            </w:tcBorders>
            <w:shd w:val="clear" w:color="auto" w:fill="auto"/>
            <w:vAlign w:val="center"/>
          </w:tcPr>
          <w:p w14:paraId="53C5E260">
            <w:pPr>
              <w:widowControl/>
              <w:jc w:val="center"/>
              <w:rPr>
                <w:rFonts w:ascii="宋体" w:hAnsi="宋体" w:cs="宋体"/>
                <w:color w:val="000000"/>
                <w:kern w:val="0"/>
                <w:sz w:val="20"/>
                <w:szCs w:val="20"/>
              </w:rPr>
            </w:pPr>
            <w:r>
              <w:rPr>
                <w:rFonts w:hint="eastAsia" w:ascii="宋体" w:hAnsi="宋体" w:cs="宋体"/>
                <w:color w:val="000000"/>
                <w:kern w:val="0"/>
                <w:sz w:val="20"/>
                <w:szCs w:val="20"/>
              </w:rPr>
              <w:t>2</w:t>
            </w:r>
          </w:p>
        </w:tc>
        <w:tc>
          <w:tcPr>
            <w:tcW w:w="3820" w:type="dxa"/>
            <w:tcBorders>
              <w:top w:val="nil"/>
              <w:left w:val="nil"/>
              <w:bottom w:val="single" w:color="auto" w:sz="4" w:space="0"/>
              <w:right w:val="single" w:color="auto" w:sz="4" w:space="0"/>
            </w:tcBorders>
            <w:shd w:val="clear" w:color="auto" w:fill="auto"/>
            <w:vAlign w:val="center"/>
          </w:tcPr>
          <w:p w14:paraId="15526F29">
            <w:pPr>
              <w:widowControl/>
              <w:jc w:val="left"/>
              <w:rPr>
                <w:rFonts w:ascii="宋体" w:hAnsi="宋体" w:cs="宋体"/>
                <w:color w:val="000000"/>
                <w:kern w:val="0"/>
                <w:sz w:val="20"/>
                <w:szCs w:val="20"/>
              </w:rPr>
            </w:pPr>
            <w:r>
              <w:rPr>
                <w:rFonts w:hint="eastAsia" w:ascii="宋体" w:hAnsi="宋体" w:cs="宋体"/>
                <w:color w:val="000000"/>
                <w:kern w:val="0"/>
                <w:sz w:val="20"/>
                <w:szCs w:val="20"/>
              </w:rPr>
              <w:t>评价项目分配方法选择是否科学，分类评价分配程序和过程管理是否规范。</w:t>
            </w:r>
          </w:p>
        </w:tc>
        <w:tc>
          <w:tcPr>
            <w:tcW w:w="5072" w:type="dxa"/>
            <w:tcBorders>
              <w:top w:val="nil"/>
              <w:left w:val="nil"/>
              <w:bottom w:val="single" w:color="auto" w:sz="4" w:space="0"/>
              <w:right w:val="single" w:color="auto" w:sz="4" w:space="0"/>
            </w:tcBorders>
            <w:shd w:val="clear" w:color="auto" w:fill="auto"/>
            <w:vAlign w:val="center"/>
          </w:tcPr>
          <w:p w14:paraId="659AE35E">
            <w:pPr>
              <w:widowControl/>
              <w:jc w:val="left"/>
              <w:rPr>
                <w:rFonts w:ascii="宋体" w:hAnsi="宋体" w:cs="宋体"/>
                <w:color w:val="000000"/>
                <w:kern w:val="0"/>
                <w:sz w:val="20"/>
                <w:szCs w:val="20"/>
              </w:rPr>
            </w:pPr>
            <w:r>
              <w:rPr>
                <w:rFonts w:hint="eastAsia" w:ascii="宋体" w:hAnsi="宋体" w:cs="宋体"/>
                <w:color w:val="000000"/>
                <w:kern w:val="0"/>
                <w:sz w:val="20"/>
                <w:szCs w:val="20"/>
              </w:rPr>
              <w:t>1.项目分配选取了科学的绩效分配方法，得1分；                                       2.采用因素分配法的项目，项目因素选取合理的，得1分；采用项目法分配的项目，评分标准和立项程序合理规范的，得1分；据实据效的项目，基础数据真实，测算精准的，得1分。否则，酌情扣分。</w:t>
            </w:r>
          </w:p>
        </w:tc>
        <w:tc>
          <w:tcPr>
            <w:tcW w:w="708" w:type="dxa"/>
            <w:tcBorders>
              <w:top w:val="nil"/>
              <w:left w:val="nil"/>
              <w:bottom w:val="single" w:color="auto" w:sz="4" w:space="0"/>
              <w:right w:val="single" w:color="auto" w:sz="4" w:space="0"/>
            </w:tcBorders>
            <w:shd w:val="clear" w:color="auto" w:fill="auto"/>
            <w:vAlign w:val="center"/>
          </w:tcPr>
          <w:p w14:paraId="4B84D063">
            <w:pPr>
              <w:widowControl/>
              <w:jc w:val="center"/>
              <w:rPr>
                <w:rFonts w:ascii="宋体" w:hAnsi="宋体" w:cs="宋体"/>
                <w:color w:val="000000"/>
                <w:kern w:val="0"/>
                <w:sz w:val="20"/>
                <w:szCs w:val="20"/>
              </w:rPr>
            </w:pPr>
            <w:r>
              <w:rPr>
                <w:rFonts w:hint="eastAsia" w:ascii="宋体" w:hAnsi="宋体" w:cs="宋体"/>
                <w:color w:val="000000"/>
                <w:kern w:val="0"/>
                <w:sz w:val="20"/>
                <w:szCs w:val="20"/>
              </w:rPr>
              <w:t>2</w:t>
            </w:r>
          </w:p>
        </w:tc>
      </w:tr>
      <w:tr w14:paraId="27AA619D">
        <w:tblPrEx>
          <w:tblCellMar>
            <w:top w:w="0" w:type="dxa"/>
            <w:left w:w="108" w:type="dxa"/>
            <w:bottom w:w="0" w:type="dxa"/>
            <w:right w:w="108" w:type="dxa"/>
          </w:tblCellMar>
        </w:tblPrEx>
        <w:trPr>
          <w:trHeight w:val="480" w:hRule="atLeast"/>
        </w:trPr>
        <w:tc>
          <w:tcPr>
            <w:tcW w:w="1100" w:type="dxa"/>
            <w:vMerge w:val="continue"/>
            <w:tcBorders>
              <w:top w:val="nil"/>
              <w:left w:val="single" w:color="auto" w:sz="4" w:space="0"/>
              <w:bottom w:val="nil"/>
              <w:right w:val="single" w:color="auto" w:sz="4" w:space="0"/>
            </w:tcBorders>
            <w:vAlign w:val="center"/>
          </w:tcPr>
          <w:p w14:paraId="47E9148D">
            <w:pPr>
              <w:widowControl/>
              <w:jc w:val="left"/>
              <w:rPr>
                <w:rFonts w:ascii="宋体" w:hAnsi="宋体" w:cs="宋体"/>
                <w:color w:val="000000"/>
                <w:kern w:val="0"/>
                <w:sz w:val="20"/>
                <w:szCs w:val="20"/>
              </w:rPr>
            </w:pPr>
          </w:p>
        </w:tc>
        <w:tc>
          <w:tcPr>
            <w:tcW w:w="1160" w:type="dxa"/>
            <w:vMerge w:val="continue"/>
            <w:tcBorders>
              <w:top w:val="nil"/>
              <w:left w:val="single" w:color="auto" w:sz="4" w:space="0"/>
              <w:bottom w:val="single" w:color="000000" w:sz="4" w:space="0"/>
              <w:right w:val="single" w:color="auto" w:sz="4" w:space="0"/>
            </w:tcBorders>
            <w:vAlign w:val="center"/>
          </w:tcPr>
          <w:p w14:paraId="3BB44016">
            <w:pPr>
              <w:widowControl/>
              <w:jc w:val="left"/>
              <w:rPr>
                <w:rFonts w:ascii="宋体" w:hAnsi="宋体" w:cs="宋体"/>
                <w:color w:val="000000"/>
                <w:kern w:val="0"/>
                <w:sz w:val="20"/>
                <w:szCs w:val="20"/>
              </w:rPr>
            </w:pPr>
          </w:p>
        </w:tc>
        <w:tc>
          <w:tcPr>
            <w:tcW w:w="1100" w:type="dxa"/>
            <w:tcBorders>
              <w:top w:val="nil"/>
              <w:left w:val="nil"/>
              <w:bottom w:val="single" w:color="auto" w:sz="4" w:space="0"/>
              <w:right w:val="single" w:color="auto" w:sz="4" w:space="0"/>
            </w:tcBorders>
            <w:shd w:val="clear" w:color="auto" w:fill="auto"/>
            <w:vAlign w:val="center"/>
          </w:tcPr>
          <w:p w14:paraId="5425A0CA">
            <w:pPr>
              <w:widowControl/>
              <w:jc w:val="center"/>
              <w:rPr>
                <w:rFonts w:ascii="宋体" w:hAnsi="宋体" w:cs="宋体"/>
                <w:color w:val="000000"/>
                <w:kern w:val="0"/>
                <w:sz w:val="20"/>
                <w:szCs w:val="20"/>
              </w:rPr>
            </w:pPr>
            <w:r>
              <w:rPr>
                <w:rFonts w:hint="eastAsia" w:ascii="宋体" w:hAnsi="宋体" w:cs="宋体"/>
                <w:color w:val="000000"/>
                <w:kern w:val="0"/>
                <w:sz w:val="20"/>
                <w:szCs w:val="20"/>
              </w:rPr>
              <w:t>分配及时</w:t>
            </w:r>
          </w:p>
        </w:tc>
        <w:tc>
          <w:tcPr>
            <w:tcW w:w="660" w:type="dxa"/>
            <w:tcBorders>
              <w:top w:val="nil"/>
              <w:left w:val="nil"/>
              <w:bottom w:val="single" w:color="auto" w:sz="4" w:space="0"/>
              <w:right w:val="single" w:color="auto" w:sz="4" w:space="0"/>
            </w:tcBorders>
            <w:shd w:val="clear" w:color="auto" w:fill="auto"/>
            <w:vAlign w:val="center"/>
          </w:tcPr>
          <w:p w14:paraId="5A272AF3">
            <w:pPr>
              <w:widowControl/>
              <w:jc w:val="center"/>
              <w:rPr>
                <w:rFonts w:ascii="宋体" w:hAnsi="宋体" w:cs="宋体"/>
                <w:color w:val="000000"/>
                <w:kern w:val="0"/>
                <w:sz w:val="20"/>
                <w:szCs w:val="20"/>
              </w:rPr>
            </w:pPr>
            <w:r>
              <w:rPr>
                <w:rFonts w:hint="eastAsia" w:ascii="宋体" w:hAnsi="宋体" w:cs="宋体"/>
                <w:color w:val="000000"/>
                <w:kern w:val="0"/>
                <w:sz w:val="20"/>
                <w:szCs w:val="20"/>
              </w:rPr>
              <w:t>2</w:t>
            </w:r>
          </w:p>
        </w:tc>
        <w:tc>
          <w:tcPr>
            <w:tcW w:w="3820" w:type="dxa"/>
            <w:tcBorders>
              <w:top w:val="nil"/>
              <w:left w:val="nil"/>
              <w:bottom w:val="single" w:color="auto" w:sz="4" w:space="0"/>
              <w:right w:val="single" w:color="auto" w:sz="4" w:space="0"/>
            </w:tcBorders>
            <w:shd w:val="clear" w:color="auto" w:fill="auto"/>
            <w:vAlign w:val="center"/>
          </w:tcPr>
          <w:p w14:paraId="6879DD58">
            <w:pPr>
              <w:widowControl/>
              <w:jc w:val="left"/>
              <w:rPr>
                <w:rFonts w:ascii="宋体" w:hAnsi="宋体" w:cs="宋体"/>
                <w:color w:val="000000"/>
                <w:kern w:val="0"/>
                <w:sz w:val="20"/>
                <w:szCs w:val="20"/>
              </w:rPr>
            </w:pPr>
            <w:r>
              <w:rPr>
                <w:rFonts w:hint="eastAsia" w:ascii="宋体" w:hAnsi="宋体" w:cs="宋体"/>
                <w:color w:val="000000"/>
                <w:kern w:val="0"/>
                <w:sz w:val="20"/>
                <w:szCs w:val="20"/>
              </w:rPr>
              <w:t xml:space="preserve">评价部门是否按规定时限及时分配专项预算资金。                    </w:t>
            </w:r>
          </w:p>
        </w:tc>
        <w:tc>
          <w:tcPr>
            <w:tcW w:w="5072" w:type="dxa"/>
            <w:tcBorders>
              <w:top w:val="nil"/>
              <w:left w:val="nil"/>
              <w:bottom w:val="single" w:color="auto" w:sz="4" w:space="0"/>
              <w:right w:val="single" w:color="auto" w:sz="4" w:space="0"/>
            </w:tcBorders>
            <w:shd w:val="clear" w:color="auto" w:fill="auto"/>
            <w:vAlign w:val="center"/>
          </w:tcPr>
          <w:p w14:paraId="139E2534">
            <w:pPr>
              <w:widowControl/>
              <w:jc w:val="left"/>
              <w:rPr>
                <w:rFonts w:ascii="宋体" w:hAnsi="宋体" w:cs="宋体"/>
                <w:color w:val="000000"/>
                <w:kern w:val="0"/>
                <w:sz w:val="20"/>
                <w:szCs w:val="20"/>
              </w:rPr>
            </w:pPr>
            <w:r>
              <w:rPr>
                <w:rFonts w:hint="eastAsia" w:ascii="宋体" w:hAnsi="宋体" w:cs="宋体"/>
                <w:color w:val="000000"/>
                <w:kern w:val="0"/>
                <w:sz w:val="20"/>
                <w:szCs w:val="20"/>
              </w:rPr>
              <w:t xml:space="preserve">按《预算法》规定时限完成分配的考核得2分，否则不得分。                                              </w:t>
            </w:r>
          </w:p>
        </w:tc>
        <w:tc>
          <w:tcPr>
            <w:tcW w:w="708" w:type="dxa"/>
            <w:tcBorders>
              <w:top w:val="nil"/>
              <w:left w:val="nil"/>
              <w:bottom w:val="single" w:color="auto" w:sz="4" w:space="0"/>
              <w:right w:val="single" w:color="auto" w:sz="4" w:space="0"/>
            </w:tcBorders>
            <w:shd w:val="clear" w:color="auto" w:fill="auto"/>
            <w:vAlign w:val="center"/>
          </w:tcPr>
          <w:p w14:paraId="5DCFF068">
            <w:pPr>
              <w:widowControl/>
              <w:jc w:val="center"/>
              <w:rPr>
                <w:rFonts w:ascii="宋体" w:hAnsi="宋体" w:cs="宋体"/>
                <w:color w:val="000000"/>
                <w:kern w:val="0"/>
                <w:sz w:val="20"/>
                <w:szCs w:val="20"/>
              </w:rPr>
            </w:pPr>
            <w:r>
              <w:rPr>
                <w:rFonts w:hint="eastAsia" w:ascii="宋体" w:hAnsi="宋体" w:cs="宋体"/>
                <w:color w:val="000000"/>
                <w:kern w:val="0"/>
                <w:sz w:val="20"/>
                <w:szCs w:val="20"/>
              </w:rPr>
              <w:t>2</w:t>
            </w:r>
          </w:p>
        </w:tc>
      </w:tr>
      <w:tr w14:paraId="24804112">
        <w:tblPrEx>
          <w:tblCellMar>
            <w:top w:w="0" w:type="dxa"/>
            <w:left w:w="108" w:type="dxa"/>
            <w:bottom w:w="0" w:type="dxa"/>
            <w:right w:w="108" w:type="dxa"/>
          </w:tblCellMar>
        </w:tblPrEx>
        <w:trPr>
          <w:trHeight w:val="870" w:hRule="atLeast"/>
        </w:trPr>
        <w:tc>
          <w:tcPr>
            <w:tcW w:w="1100" w:type="dxa"/>
            <w:vMerge w:val="continue"/>
            <w:tcBorders>
              <w:top w:val="nil"/>
              <w:left w:val="single" w:color="auto" w:sz="4" w:space="0"/>
              <w:bottom w:val="nil"/>
              <w:right w:val="single" w:color="auto" w:sz="4" w:space="0"/>
            </w:tcBorders>
            <w:vAlign w:val="center"/>
          </w:tcPr>
          <w:p w14:paraId="71F3E420">
            <w:pPr>
              <w:widowControl/>
              <w:jc w:val="left"/>
              <w:rPr>
                <w:rFonts w:ascii="宋体" w:hAnsi="宋体" w:cs="宋体"/>
                <w:color w:val="000000"/>
                <w:kern w:val="0"/>
                <w:sz w:val="20"/>
                <w:szCs w:val="20"/>
              </w:rPr>
            </w:pPr>
          </w:p>
        </w:tc>
        <w:tc>
          <w:tcPr>
            <w:tcW w:w="1160" w:type="dxa"/>
            <w:vMerge w:val="restart"/>
            <w:tcBorders>
              <w:top w:val="nil"/>
              <w:left w:val="single" w:color="auto" w:sz="4" w:space="0"/>
              <w:bottom w:val="single" w:color="000000" w:sz="4" w:space="0"/>
              <w:right w:val="single" w:color="auto" w:sz="4" w:space="0"/>
            </w:tcBorders>
            <w:shd w:val="clear" w:color="auto" w:fill="auto"/>
            <w:vAlign w:val="center"/>
          </w:tcPr>
          <w:p w14:paraId="01AE0BCE">
            <w:pPr>
              <w:widowControl/>
              <w:jc w:val="center"/>
              <w:rPr>
                <w:rFonts w:ascii="宋体" w:hAnsi="宋体" w:cs="宋体"/>
                <w:color w:val="000000"/>
                <w:kern w:val="0"/>
                <w:sz w:val="20"/>
                <w:szCs w:val="20"/>
              </w:rPr>
            </w:pPr>
            <w:r>
              <w:rPr>
                <w:rFonts w:hint="eastAsia" w:ascii="宋体" w:hAnsi="宋体" w:cs="宋体"/>
                <w:color w:val="000000"/>
                <w:kern w:val="0"/>
                <w:sz w:val="20"/>
                <w:szCs w:val="20"/>
              </w:rPr>
              <w:t>完成结果（8分）</w:t>
            </w:r>
          </w:p>
        </w:tc>
        <w:tc>
          <w:tcPr>
            <w:tcW w:w="1100" w:type="dxa"/>
            <w:tcBorders>
              <w:top w:val="nil"/>
              <w:left w:val="nil"/>
              <w:bottom w:val="single" w:color="auto" w:sz="4" w:space="0"/>
              <w:right w:val="single" w:color="auto" w:sz="4" w:space="0"/>
            </w:tcBorders>
            <w:shd w:val="clear" w:color="auto" w:fill="auto"/>
            <w:vAlign w:val="center"/>
          </w:tcPr>
          <w:p w14:paraId="7B2EF0EB">
            <w:pPr>
              <w:widowControl/>
              <w:jc w:val="center"/>
              <w:rPr>
                <w:rFonts w:ascii="宋体" w:hAnsi="宋体" w:cs="宋体"/>
                <w:color w:val="000000"/>
                <w:kern w:val="0"/>
                <w:sz w:val="20"/>
                <w:szCs w:val="20"/>
              </w:rPr>
            </w:pPr>
            <w:r>
              <w:rPr>
                <w:rFonts w:hint="eastAsia" w:ascii="宋体" w:hAnsi="宋体" w:cs="宋体"/>
                <w:color w:val="000000"/>
                <w:kern w:val="0"/>
                <w:sz w:val="20"/>
                <w:szCs w:val="20"/>
              </w:rPr>
              <w:t>预算完成</w:t>
            </w:r>
          </w:p>
        </w:tc>
        <w:tc>
          <w:tcPr>
            <w:tcW w:w="660" w:type="dxa"/>
            <w:tcBorders>
              <w:top w:val="nil"/>
              <w:left w:val="nil"/>
              <w:bottom w:val="single" w:color="auto" w:sz="4" w:space="0"/>
              <w:right w:val="single" w:color="auto" w:sz="4" w:space="0"/>
            </w:tcBorders>
            <w:shd w:val="clear" w:color="auto" w:fill="auto"/>
            <w:vAlign w:val="center"/>
          </w:tcPr>
          <w:p w14:paraId="784ABDBB">
            <w:pPr>
              <w:widowControl/>
              <w:jc w:val="center"/>
              <w:rPr>
                <w:rFonts w:ascii="宋体" w:hAnsi="宋体" w:cs="宋体"/>
                <w:color w:val="000000"/>
                <w:kern w:val="0"/>
                <w:sz w:val="20"/>
                <w:szCs w:val="20"/>
              </w:rPr>
            </w:pPr>
            <w:r>
              <w:rPr>
                <w:rFonts w:hint="eastAsia" w:ascii="宋体" w:hAnsi="宋体" w:cs="宋体"/>
                <w:color w:val="000000"/>
                <w:kern w:val="0"/>
                <w:sz w:val="20"/>
                <w:szCs w:val="20"/>
              </w:rPr>
              <w:t>3</w:t>
            </w:r>
          </w:p>
        </w:tc>
        <w:tc>
          <w:tcPr>
            <w:tcW w:w="3820" w:type="dxa"/>
            <w:tcBorders>
              <w:top w:val="nil"/>
              <w:left w:val="nil"/>
              <w:bottom w:val="single" w:color="auto" w:sz="4" w:space="0"/>
              <w:right w:val="single" w:color="auto" w:sz="4" w:space="0"/>
            </w:tcBorders>
            <w:shd w:val="clear" w:color="auto" w:fill="auto"/>
            <w:vAlign w:val="center"/>
          </w:tcPr>
          <w:p w14:paraId="2C47C0E4">
            <w:pPr>
              <w:widowControl/>
              <w:jc w:val="left"/>
              <w:rPr>
                <w:rFonts w:ascii="宋体" w:hAnsi="宋体" w:cs="宋体"/>
                <w:color w:val="000000"/>
                <w:kern w:val="0"/>
                <w:sz w:val="20"/>
                <w:szCs w:val="20"/>
              </w:rPr>
            </w:pPr>
            <w:r>
              <w:rPr>
                <w:rFonts w:hint="eastAsia" w:ascii="宋体" w:hAnsi="宋体" w:cs="宋体"/>
                <w:color w:val="000000"/>
                <w:kern w:val="0"/>
                <w:sz w:val="20"/>
                <w:szCs w:val="20"/>
              </w:rPr>
              <w:t>评价专项项目资金形成实际支出的情况。</w:t>
            </w:r>
          </w:p>
        </w:tc>
        <w:tc>
          <w:tcPr>
            <w:tcW w:w="5072" w:type="dxa"/>
            <w:tcBorders>
              <w:top w:val="nil"/>
              <w:left w:val="nil"/>
              <w:bottom w:val="single" w:color="auto" w:sz="4" w:space="0"/>
              <w:right w:val="single" w:color="auto" w:sz="4" w:space="0"/>
            </w:tcBorders>
            <w:shd w:val="clear" w:color="auto" w:fill="auto"/>
            <w:vAlign w:val="center"/>
          </w:tcPr>
          <w:p w14:paraId="27199883">
            <w:pPr>
              <w:widowControl/>
              <w:jc w:val="left"/>
              <w:rPr>
                <w:rFonts w:ascii="宋体" w:hAnsi="宋体" w:cs="宋体"/>
                <w:color w:val="000000"/>
                <w:kern w:val="0"/>
                <w:sz w:val="20"/>
                <w:szCs w:val="20"/>
              </w:rPr>
            </w:pPr>
            <w:r>
              <w:rPr>
                <w:rFonts w:hint="eastAsia" w:ascii="宋体" w:hAnsi="宋体" w:cs="宋体"/>
                <w:color w:val="000000"/>
                <w:kern w:val="0"/>
                <w:sz w:val="20"/>
                <w:szCs w:val="20"/>
              </w:rPr>
              <w:t>专项资金实际支出进度达到100%的，得3分，未达到100%的，指标得分=实际拨付使用金额/专项项目金额*3。</w:t>
            </w:r>
          </w:p>
        </w:tc>
        <w:tc>
          <w:tcPr>
            <w:tcW w:w="708" w:type="dxa"/>
            <w:tcBorders>
              <w:top w:val="nil"/>
              <w:left w:val="nil"/>
              <w:bottom w:val="single" w:color="auto" w:sz="4" w:space="0"/>
              <w:right w:val="single" w:color="auto" w:sz="4" w:space="0"/>
            </w:tcBorders>
            <w:shd w:val="clear" w:color="auto" w:fill="auto"/>
            <w:vAlign w:val="center"/>
          </w:tcPr>
          <w:p w14:paraId="5CD1CC62">
            <w:pPr>
              <w:widowControl/>
              <w:jc w:val="center"/>
              <w:rPr>
                <w:rFonts w:ascii="宋体" w:hAnsi="宋体" w:cs="宋体"/>
                <w:color w:val="000000"/>
                <w:kern w:val="0"/>
                <w:sz w:val="20"/>
                <w:szCs w:val="20"/>
              </w:rPr>
            </w:pPr>
            <w:r>
              <w:rPr>
                <w:rFonts w:hint="eastAsia" w:ascii="宋体" w:hAnsi="宋体" w:cs="宋体"/>
                <w:color w:val="000000"/>
                <w:kern w:val="0"/>
                <w:sz w:val="20"/>
                <w:szCs w:val="20"/>
              </w:rPr>
              <w:t>2</w:t>
            </w:r>
          </w:p>
        </w:tc>
      </w:tr>
      <w:tr w14:paraId="3F444A65">
        <w:tblPrEx>
          <w:tblCellMar>
            <w:top w:w="0" w:type="dxa"/>
            <w:left w:w="108" w:type="dxa"/>
            <w:bottom w:w="0" w:type="dxa"/>
            <w:right w:w="108" w:type="dxa"/>
          </w:tblCellMar>
        </w:tblPrEx>
        <w:trPr>
          <w:trHeight w:val="720" w:hRule="atLeast"/>
        </w:trPr>
        <w:tc>
          <w:tcPr>
            <w:tcW w:w="1100" w:type="dxa"/>
            <w:vMerge w:val="continue"/>
            <w:tcBorders>
              <w:top w:val="nil"/>
              <w:left w:val="single" w:color="auto" w:sz="4" w:space="0"/>
              <w:bottom w:val="nil"/>
              <w:right w:val="single" w:color="auto" w:sz="4" w:space="0"/>
            </w:tcBorders>
            <w:vAlign w:val="center"/>
          </w:tcPr>
          <w:p w14:paraId="19310104">
            <w:pPr>
              <w:widowControl/>
              <w:jc w:val="left"/>
              <w:rPr>
                <w:rFonts w:ascii="宋体" w:hAnsi="宋体" w:cs="宋体"/>
                <w:color w:val="000000"/>
                <w:kern w:val="0"/>
                <w:sz w:val="20"/>
                <w:szCs w:val="20"/>
              </w:rPr>
            </w:pPr>
          </w:p>
        </w:tc>
        <w:tc>
          <w:tcPr>
            <w:tcW w:w="1160" w:type="dxa"/>
            <w:vMerge w:val="continue"/>
            <w:tcBorders>
              <w:top w:val="nil"/>
              <w:left w:val="single" w:color="auto" w:sz="4" w:space="0"/>
              <w:bottom w:val="single" w:color="000000" w:sz="4" w:space="0"/>
              <w:right w:val="single" w:color="auto" w:sz="4" w:space="0"/>
            </w:tcBorders>
            <w:vAlign w:val="center"/>
          </w:tcPr>
          <w:p w14:paraId="505A76EF">
            <w:pPr>
              <w:widowControl/>
              <w:jc w:val="left"/>
              <w:rPr>
                <w:rFonts w:ascii="宋体" w:hAnsi="宋体" w:cs="宋体"/>
                <w:color w:val="000000"/>
                <w:kern w:val="0"/>
                <w:sz w:val="20"/>
                <w:szCs w:val="20"/>
              </w:rPr>
            </w:pPr>
          </w:p>
        </w:tc>
        <w:tc>
          <w:tcPr>
            <w:tcW w:w="1100" w:type="dxa"/>
            <w:tcBorders>
              <w:top w:val="nil"/>
              <w:left w:val="nil"/>
              <w:bottom w:val="single" w:color="auto" w:sz="4" w:space="0"/>
              <w:right w:val="single" w:color="auto" w:sz="4" w:space="0"/>
            </w:tcBorders>
            <w:shd w:val="clear" w:color="auto" w:fill="auto"/>
            <w:vAlign w:val="center"/>
          </w:tcPr>
          <w:p w14:paraId="13007AE2">
            <w:pPr>
              <w:widowControl/>
              <w:jc w:val="center"/>
              <w:rPr>
                <w:rFonts w:ascii="宋体" w:hAnsi="宋体" w:cs="宋体"/>
                <w:color w:val="000000"/>
                <w:kern w:val="0"/>
                <w:sz w:val="20"/>
                <w:szCs w:val="20"/>
              </w:rPr>
            </w:pPr>
            <w:r>
              <w:rPr>
                <w:rFonts w:hint="eastAsia" w:ascii="宋体" w:hAnsi="宋体" w:cs="宋体"/>
                <w:color w:val="000000"/>
                <w:kern w:val="0"/>
                <w:sz w:val="20"/>
                <w:szCs w:val="20"/>
              </w:rPr>
              <w:t>实施绩效</w:t>
            </w:r>
          </w:p>
        </w:tc>
        <w:tc>
          <w:tcPr>
            <w:tcW w:w="660" w:type="dxa"/>
            <w:tcBorders>
              <w:top w:val="nil"/>
              <w:left w:val="nil"/>
              <w:bottom w:val="single" w:color="auto" w:sz="4" w:space="0"/>
              <w:right w:val="single" w:color="auto" w:sz="4" w:space="0"/>
            </w:tcBorders>
            <w:shd w:val="clear" w:color="auto" w:fill="auto"/>
            <w:vAlign w:val="center"/>
          </w:tcPr>
          <w:p w14:paraId="3035574A">
            <w:pPr>
              <w:widowControl/>
              <w:jc w:val="center"/>
              <w:rPr>
                <w:rFonts w:ascii="宋体" w:hAnsi="宋体" w:cs="宋体"/>
                <w:color w:val="000000"/>
                <w:kern w:val="0"/>
                <w:sz w:val="20"/>
                <w:szCs w:val="20"/>
              </w:rPr>
            </w:pPr>
            <w:r>
              <w:rPr>
                <w:rFonts w:hint="eastAsia" w:ascii="宋体" w:hAnsi="宋体" w:cs="宋体"/>
                <w:color w:val="000000"/>
                <w:kern w:val="0"/>
                <w:sz w:val="20"/>
                <w:szCs w:val="20"/>
              </w:rPr>
              <w:t>3</w:t>
            </w:r>
          </w:p>
        </w:tc>
        <w:tc>
          <w:tcPr>
            <w:tcW w:w="3820" w:type="dxa"/>
            <w:tcBorders>
              <w:top w:val="nil"/>
              <w:left w:val="nil"/>
              <w:bottom w:val="single" w:color="auto" w:sz="4" w:space="0"/>
              <w:right w:val="single" w:color="auto" w:sz="4" w:space="0"/>
            </w:tcBorders>
            <w:shd w:val="clear" w:color="auto" w:fill="auto"/>
            <w:vAlign w:val="center"/>
          </w:tcPr>
          <w:p w14:paraId="2EC3E06E">
            <w:pPr>
              <w:widowControl/>
              <w:jc w:val="left"/>
              <w:rPr>
                <w:rFonts w:ascii="宋体" w:hAnsi="宋体" w:cs="宋体"/>
                <w:color w:val="000000"/>
                <w:kern w:val="0"/>
                <w:sz w:val="20"/>
                <w:szCs w:val="20"/>
              </w:rPr>
            </w:pPr>
            <w:r>
              <w:rPr>
                <w:rFonts w:hint="eastAsia" w:ascii="宋体" w:hAnsi="宋体" w:cs="宋体"/>
                <w:color w:val="000000"/>
                <w:kern w:val="0"/>
                <w:sz w:val="20"/>
                <w:szCs w:val="20"/>
              </w:rPr>
              <w:t xml:space="preserve">评价专项项目是否达到预期绩效                      </w:t>
            </w:r>
          </w:p>
        </w:tc>
        <w:tc>
          <w:tcPr>
            <w:tcW w:w="5072" w:type="dxa"/>
            <w:tcBorders>
              <w:top w:val="nil"/>
              <w:left w:val="nil"/>
              <w:bottom w:val="single" w:color="auto" w:sz="4" w:space="0"/>
              <w:right w:val="single" w:color="auto" w:sz="4" w:space="0"/>
            </w:tcBorders>
            <w:shd w:val="clear" w:color="auto" w:fill="auto"/>
            <w:vAlign w:val="center"/>
          </w:tcPr>
          <w:p w14:paraId="45C06E9D">
            <w:pPr>
              <w:widowControl/>
              <w:jc w:val="left"/>
              <w:rPr>
                <w:rFonts w:ascii="宋体" w:hAnsi="宋体" w:cs="宋体"/>
                <w:color w:val="000000"/>
                <w:kern w:val="0"/>
                <w:sz w:val="20"/>
                <w:szCs w:val="20"/>
              </w:rPr>
            </w:pPr>
            <w:r>
              <w:rPr>
                <w:rFonts w:hint="eastAsia" w:ascii="宋体" w:hAnsi="宋体" w:cs="宋体"/>
                <w:color w:val="000000"/>
                <w:kern w:val="0"/>
                <w:sz w:val="20"/>
                <w:szCs w:val="20"/>
              </w:rPr>
              <w:t>部门专项项目属于当年财政重点评价范围的，该项得分使用项目支出评价共性指标、特性指标和个性指标得分换算。若部门专项项目不属于当年重点评价范围的，采用最近年度重点评价相关指标得分换算。</w:t>
            </w:r>
          </w:p>
        </w:tc>
        <w:tc>
          <w:tcPr>
            <w:tcW w:w="708" w:type="dxa"/>
            <w:tcBorders>
              <w:top w:val="nil"/>
              <w:left w:val="nil"/>
              <w:bottom w:val="single" w:color="auto" w:sz="4" w:space="0"/>
              <w:right w:val="single" w:color="auto" w:sz="4" w:space="0"/>
            </w:tcBorders>
            <w:shd w:val="clear" w:color="auto" w:fill="auto"/>
            <w:vAlign w:val="center"/>
          </w:tcPr>
          <w:p w14:paraId="1DB95602">
            <w:pPr>
              <w:widowControl/>
              <w:jc w:val="center"/>
              <w:rPr>
                <w:rFonts w:ascii="宋体" w:hAnsi="宋体" w:cs="宋体"/>
                <w:color w:val="000000"/>
                <w:kern w:val="0"/>
                <w:sz w:val="20"/>
                <w:szCs w:val="20"/>
              </w:rPr>
            </w:pPr>
            <w:r>
              <w:rPr>
                <w:rFonts w:hint="eastAsia" w:ascii="宋体" w:hAnsi="宋体" w:cs="宋体"/>
                <w:color w:val="000000"/>
                <w:kern w:val="0"/>
                <w:sz w:val="20"/>
                <w:szCs w:val="20"/>
              </w:rPr>
              <w:t>3</w:t>
            </w:r>
          </w:p>
        </w:tc>
      </w:tr>
      <w:tr w14:paraId="06C8F7FF">
        <w:tblPrEx>
          <w:tblCellMar>
            <w:top w:w="0" w:type="dxa"/>
            <w:left w:w="108" w:type="dxa"/>
            <w:bottom w:w="0" w:type="dxa"/>
            <w:right w:w="108" w:type="dxa"/>
          </w:tblCellMar>
        </w:tblPrEx>
        <w:trPr>
          <w:trHeight w:val="720" w:hRule="atLeast"/>
        </w:trPr>
        <w:tc>
          <w:tcPr>
            <w:tcW w:w="1100" w:type="dxa"/>
            <w:vMerge w:val="continue"/>
            <w:tcBorders>
              <w:top w:val="nil"/>
              <w:left w:val="single" w:color="auto" w:sz="4" w:space="0"/>
              <w:bottom w:val="nil"/>
              <w:right w:val="single" w:color="auto" w:sz="4" w:space="0"/>
            </w:tcBorders>
            <w:vAlign w:val="center"/>
          </w:tcPr>
          <w:p w14:paraId="3027D4F6">
            <w:pPr>
              <w:widowControl/>
              <w:jc w:val="left"/>
              <w:rPr>
                <w:rFonts w:ascii="宋体" w:hAnsi="宋体" w:cs="宋体"/>
                <w:color w:val="000000"/>
                <w:kern w:val="0"/>
                <w:sz w:val="20"/>
                <w:szCs w:val="20"/>
              </w:rPr>
            </w:pPr>
          </w:p>
        </w:tc>
        <w:tc>
          <w:tcPr>
            <w:tcW w:w="1160" w:type="dxa"/>
            <w:vMerge w:val="continue"/>
            <w:tcBorders>
              <w:top w:val="nil"/>
              <w:left w:val="single" w:color="auto" w:sz="4" w:space="0"/>
              <w:bottom w:val="single" w:color="000000" w:sz="4" w:space="0"/>
              <w:right w:val="single" w:color="auto" w:sz="4" w:space="0"/>
            </w:tcBorders>
            <w:vAlign w:val="center"/>
          </w:tcPr>
          <w:p w14:paraId="21833783">
            <w:pPr>
              <w:widowControl/>
              <w:jc w:val="left"/>
              <w:rPr>
                <w:rFonts w:ascii="宋体" w:hAnsi="宋体" w:cs="宋体"/>
                <w:color w:val="000000"/>
                <w:kern w:val="0"/>
                <w:sz w:val="20"/>
                <w:szCs w:val="20"/>
              </w:rPr>
            </w:pPr>
          </w:p>
        </w:tc>
        <w:tc>
          <w:tcPr>
            <w:tcW w:w="1100" w:type="dxa"/>
            <w:tcBorders>
              <w:top w:val="nil"/>
              <w:left w:val="nil"/>
              <w:bottom w:val="single" w:color="auto" w:sz="4" w:space="0"/>
              <w:right w:val="single" w:color="auto" w:sz="4" w:space="0"/>
            </w:tcBorders>
            <w:shd w:val="clear" w:color="auto" w:fill="auto"/>
            <w:vAlign w:val="center"/>
          </w:tcPr>
          <w:p w14:paraId="02D9D54E">
            <w:pPr>
              <w:widowControl/>
              <w:jc w:val="center"/>
              <w:rPr>
                <w:rFonts w:ascii="宋体" w:hAnsi="宋体" w:cs="宋体"/>
                <w:color w:val="000000"/>
                <w:kern w:val="0"/>
                <w:sz w:val="20"/>
                <w:szCs w:val="20"/>
              </w:rPr>
            </w:pPr>
            <w:r>
              <w:rPr>
                <w:rFonts w:hint="eastAsia" w:ascii="宋体" w:hAnsi="宋体" w:cs="宋体"/>
                <w:color w:val="000000"/>
                <w:kern w:val="0"/>
                <w:sz w:val="20"/>
                <w:szCs w:val="20"/>
              </w:rPr>
              <w:t>违规记录</w:t>
            </w:r>
          </w:p>
        </w:tc>
        <w:tc>
          <w:tcPr>
            <w:tcW w:w="660" w:type="dxa"/>
            <w:tcBorders>
              <w:top w:val="nil"/>
              <w:left w:val="nil"/>
              <w:bottom w:val="single" w:color="auto" w:sz="4" w:space="0"/>
              <w:right w:val="single" w:color="auto" w:sz="4" w:space="0"/>
            </w:tcBorders>
            <w:shd w:val="clear" w:color="auto" w:fill="auto"/>
            <w:vAlign w:val="center"/>
          </w:tcPr>
          <w:p w14:paraId="4E52D295">
            <w:pPr>
              <w:widowControl/>
              <w:jc w:val="center"/>
              <w:rPr>
                <w:rFonts w:ascii="宋体" w:hAnsi="宋体" w:cs="宋体"/>
                <w:color w:val="000000"/>
                <w:kern w:val="0"/>
                <w:sz w:val="20"/>
                <w:szCs w:val="20"/>
              </w:rPr>
            </w:pPr>
            <w:r>
              <w:rPr>
                <w:rFonts w:hint="eastAsia" w:ascii="宋体" w:hAnsi="宋体" w:cs="宋体"/>
                <w:color w:val="000000"/>
                <w:kern w:val="0"/>
                <w:sz w:val="20"/>
                <w:szCs w:val="20"/>
              </w:rPr>
              <w:t>2</w:t>
            </w:r>
          </w:p>
        </w:tc>
        <w:tc>
          <w:tcPr>
            <w:tcW w:w="3820" w:type="dxa"/>
            <w:tcBorders>
              <w:top w:val="nil"/>
              <w:left w:val="nil"/>
              <w:bottom w:val="single" w:color="auto" w:sz="4" w:space="0"/>
              <w:right w:val="single" w:color="auto" w:sz="4" w:space="0"/>
            </w:tcBorders>
            <w:shd w:val="clear" w:color="auto" w:fill="auto"/>
            <w:vAlign w:val="center"/>
          </w:tcPr>
          <w:p w14:paraId="4DC73658">
            <w:pPr>
              <w:widowControl/>
              <w:jc w:val="left"/>
              <w:rPr>
                <w:rFonts w:ascii="宋体" w:hAnsi="宋体" w:cs="宋体"/>
                <w:color w:val="000000"/>
                <w:kern w:val="0"/>
                <w:sz w:val="20"/>
                <w:szCs w:val="20"/>
              </w:rPr>
            </w:pPr>
            <w:r>
              <w:rPr>
                <w:rFonts w:hint="eastAsia" w:ascii="宋体" w:hAnsi="宋体" w:cs="宋体"/>
                <w:color w:val="000000"/>
                <w:kern w:val="0"/>
                <w:sz w:val="20"/>
                <w:szCs w:val="20"/>
              </w:rPr>
              <w:t>根据巡视巡察、审计监督、财政检查结果反映部门上一年度部门专项预算管理是否合规。</w:t>
            </w:r>
          </w:p>
        </w:tc>
        <w:tc>
          <w:tcPr>
            <w:tcW w:w="5072" w:type="dxa"/>
            <w:tcBorders>
              <w:top w:val="nil"/>
              <w:left w:val="nil"/>
              <w:bottom w:val="single" w:color="auto" w:sz="4" w:space="0"/>
              <w:right w:val="single" w:color="auto" w:sz="4" w:space="0"/>
            </w:tcBorders>
            <w:shd w:val="clear" w:color="auto" w:fill="auto"/>
            <w:vAlign w:val="center"/>
          </w:tcPr>
          <w:p w14:paraId="57EA7385">
            <w:pPr>
              <w:widowControl/>
              <w:jc w:val="left"/>
              <w:rPr>
                <w:rFonts w:ascii="宋体" w:hAnsi="宋体" w:cs="宋体"/>
                <w:color w:val="000000"/>
                <w:kern w:val="0"/>
                <w:sz w:val="20"/>
                <w:szCs w:val="20"/>
              </w:rPr>
            </w:pPr>
            <w:r>
              <w:rPr>
                <w:rFonts w:hint="eastAsia" w:ascii="宋体" w:hAnsi="宋体" w:cs="宋体"/>
                <w:color w:val="000000"/>
                <w:kern w:val="0"/>
                <w:sz w:val="20"/>
                <w:szCs w:val="20"/>
              </w:rPr>
              <w:t>依据上一年度巡视巡察、审计、财政检查结果，出现专项预算管理方面违纪违规问题的，每个问题扣0.2分，直至扣完。</w:t>
            </w:r>
          </w:p>
        </w:tc>
        <w:tc>
          <w:tcPr>
            <w:tcW w:w="708" w:type="dxa"/>
            <w:tcBorders>
              <w:top w:val="nil"/>
              <w:left w:val="nil"/>
              <w:bottom w:val="single" w:color="auto" w:sz="4" w:space="0"/>
              <w:right w:val="single" w:color="auto" w:sz="4" w:space="0"/>
            </w:tcBorders>
            <w:shd w:val="clear" w:color="auto" w:fill="auto"/>
            <w:vAlign w:val="center"/>
          </w:tcPr>
          <w:p w14:paraId="50155ED9">
            <w:pPr>
              <w:widowControl/>
              <w:jc w:val="center"/>
              <w:rPr>
                <w:rFonts w:ascii="宋体" w:hAnsi="宋体" w:cs="宋体"/>
                <w:color w:val="000000"/>
                <w:kern w:val="0"/>
                <w:sz w:val="20"/>
                <w:szCs w:val="20"/>
              </w:rPr>
            </w:pPr>
            <w:r>
              <w:rPr>
                <w:rFonts w:hint="eastAsia" w:ascii="宋体" w:hAnsi="宋体" w:cs="宋体"/>
                <w:color w:val="000000"/>
                <w:kern w:val="0"/>
                <w:sz w:val="20"/>
                <w:szCs w:val="20"/>
              </w:rPr>
              <w:t>2</w:t>
            </w:r>
          </w:p>
        </w:tc>
      </w:tr>
      <w:tr w14:paraId="37E2F6E1">
        <w:tblPrEx>
          <w:tblCellMar>
            <w:top w:w="0" w:type="dxa"/>
            <w:left w:w="108" w:type="dxa"/>
            <w:bottom w:w="0" w:type="dxa"/>
            <w:right w:w="108" w:type="dxa"/>
          </w:tblCellMar>
        </w:tblPrEx>
        <w:trPr>
          <w:trHeight w:val="720" w:hRule="atLeast"/>
        </w:trPr>
        <w:tc>
          <w:tcPr>
            <w:tcW w:w="110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B5A3CE5">
            <w:pPr>
              <w:widowControl/>
              <w:jc w:val="center"/>
              <w:rPr>
                <w:rFonts w:ascii="宋体" w:hAnsi="宋体" w:cs="宋体"/>
                <w:color w:val="000000"/>
                <w:kern w:val="0"/>
                <w:sz w:val="20"/>
                <w:szCs w:val="20"/>
              </w:rPr>
            </w:pPr>
            <w:r>
              <w:rPr>
                <w:rFonts w:hint="eastAsia" w:ascii="宋体" w:hAnsi="宋体" w:cs="宋体"/>
                <w:color w:val="000000"/>
                <w:kern w:val="0"/>
                <w:sz w:val="20"/>
                <w:szCs w:val="20"/>
              </w:rPr>
              <w:t>绩效结果应用（30分）</w:t>
            </w:r>
          </w:p>
        </w:tc>
        <w:tc>
          <w:tcPr>
            <w:tcW w:w="1160" w:type="dxa"/>
            <w:tcBorders>
              <w:top w:val="nil"/>
              <w:left w:val="nil"/>
              <w:bottom w:val="single" w:color="auto" w:sz="4" w:space="0"/>
              <w:right w:val="single" w:color="auto" w:sz="4" w:space="0"/>
            </w:tcBorders>
            <w:shd w:val="clear" w:color="auto" w:fill="auto"/>
            <w:vAlign w:val="center"/>
          </w:tcPr>
          <w:p w14:paraId="40FBDE50">
            <w:pPr>
              <w:widowControl/>
              <w:jc w:val="center"/>
              <w:rPr>
                <w:rFonts w:ascii="宋体" w:hAnsi="宋体" w:cs="宋体"/>
                <w:color w:val="000000"/>
                <w:kern w:val="0"/>
                <w:sz w:val="20"/>
                <w:szCs w:val="20"/>
              </w:rPr>
            </w:pPr>
            <w:r>
              <w:rPr>
                <w:rFonts w:hint="eastAsia" w:ascii="宋体" w:hAnsi="宋体" w:cs="宋体"/>
                <w:color w:val="000000"/>
                <w:kern w:val="0"/>
                <w:sz w:val="20"/>
                <w:szCs w:val="20"/>
              </w:rPr>
              <w:t>自评质量（5分）</w:t>
            </w:r>
          </w:p>
        </w:tc>
        <w:tc>
          <w:tcPr>
            <w:tcW w:w="1100" w:type="dxa"/>
            <w:tcBorders>
              <w:top w:val="nil"/>
              <w:left w:val="nil"/>
              <w:bottom w:val="single" w:color="auto" w:sz="4" w:space="0"/>
              <w:right w:val="single" w:color="auto" w:sz="4" w:space="0"/>
            </w:tcBorders>
            <w:shd w:val="clear" w:color="auto" w:fill="auto"/>
            <w:vAlign w:val="center"/>
          </w:tcPr>
          <w:p w14:paraId="6D697BD0">
            <w:pPr>
              <w:widowControl/>
              <w:jc w:val="center"/>
              <w:rPr>
                <w:rFonts w:ascii="宋体" w:hAnsi="宋体" w:cs="宋体"/>
                <w:color w:val="000000"/>
                <w:kern w:val="0"/>
                <w:sz w:val="20"/>
                <w:szCs w:val="20"/>
              </w:rPr>
            </w:pPr>
            <w:r>
              <w:rPr>
                <w:rFonts w:hint="eastAsia" w:ascii="宋体" w:hAnsi="宋体" w:cs="宋体"/>
                <w:color w:val="000000"/>
                <w:kern w:val="0"/>
                <w:sz w:val="20"/>
                <w:szCs w:val="20"/>
              </w:rPr>
              <w:t>自评准确</w:t>
            </w:r>
          </w:p>
        </w:tc>
        <w:tc>
          <w:tcPr>
            <w:tcW w:w="660" w:type="dxa"/>
            <w:tcBorders>
              <w:top w:val="nil"/>
              <w:left w:val="nil"/>
              <w:bottom w:val="single" w:color="auto" w:sz="4" w:space="0"/>
              <w:right w:val="single" w:color="auto" w:sz="4" w:space="0"/>
            </w:tcBorders>
            <w:shd w:val="clear" w:color="auto" w:fill="auto"/>
            <w:vAlign w:val="center"/>
          </w:tcPr>
          <w:p w14:paraId="1CAE6799">
            <w:pPr>
              <w:widowControl/>
              <w:jc w:val="center"/>
              <w:rPr>
                <w:rFonts w:ascii="宋体" w:hAnsi="宋体" w:cs="宋体"/>
                <w:color w:val="000000"/>
                <w:kern w:val="0"/>
                <w:sz w:val="20"/>
                <w:szCs w:val="20"/>
              </w:rPr>
            </w:pPr>
            <w:r>
              <w:rPr>
                <w:rFonts w:hint="eastAsia" w:ascii="宋体" w:hAnsi="宋体" w:cs="宋体"/>
                <w:color w:val="000000"/>
                <w:kern w:val="0"/>
                <w:sz w:val="20"/>
                <w:szCs w:val="20"/>
              </w:rPr>
              <w:t>5</w:t>
            </w:r>
          </w:p>
        </w:tc>
        <w:tc>
          <w:tcPr>
            <w:tcW w:w="3820" w:type="dxa"/>
            <w:tcBorders>
              <w:top w:val="nil"/>
              <w:left w:val="nil"/>
              <w:bottom w:val="single" w:color="auto" w:sz="4" w:space="0"/>
              <w:right w:val="single" w:color="auto" w:sz="4" w:space="0"/>
            </w:tcBorders>
            <w:shd w:val="clear" w:color="auto" w:fill="auto"/>
            <w:vAlign w:val="center"/>
          </w:tcPr>
          <w:p w14:paraId="32D505D3">
            <w:pPr>
              <w:widowControl/>
              <w:jc w:val="left"/>
              <w:rPr>
                <w:rFonts w:ascii="宋体" w:hAnsi="宋体" w:cs="宋体"/>
                <w:color w:val="000000"/>
                <w:kern w:val="0"/>
                <w:sz w:val="20"/>
                <w:szCs w:val="20"/>
              </w:rPr>
            </w:pPr>
            <w:r>
              <w:rPr>
                <w:rFonts w:hint="eastAsia" w:ascii="宋体" w:hAnsi="宋体" w:cs="宋体"/>
                <w:color w:val="000000"/>
                <w:kern w:val="0"/>
                <w:sz w:val="20"/>
                <w:szCs w:val="20"/>
              </w:rPr>
              <w:t>评价部门整体支出自评准确率。</w:t>
            </w:r>
          </w:p>
        </w:tc>
        <w:tc>
          <w:tcPr>
            <w:tcW w:w="5072" w:type="dxa"/>
            <w:tcBorders>
              <w:top w:val="nil"/>
              <w:left w:val="nil"/>
              <w:bottom w:val="single" w:color="auto" w:sz="4" w:space="0"/>
              <w:right w:val="single" w:color="auto" w:sz="4" w:space="0"/>
            </w:tcBorders>
            <w:shd w:val="clear" w:color="auto" w:fill="auto"/>
            <w:vAlign w:val="center"/>
          </w:tcPr>
          <w:p w14:paraId="0021EB35">
            <w:pPr>
              <w:widowControl/>
              <w:jc w:val="left"/>
              <w:rPr>
                <w:rFonts w:ascii="宋体" w:hAnsi="宋体" w:cs="宋体"/>
                <w:color w:val="000000"/>
                <w:kern w:val="0"/>
                <w:sz w:val="20"/>
                <w:szCs w:val="20"/>
              </w:rPr>
            </w:pPr>
            <w:r>
              <w:rPr>
                <w:rFonts w:hint="eastAsia" w:ascii="宋体" w:hAnsi="宋体" w:cs="宋体"/>
                <w:color w:val="000000"/>
                <w:kern w:val="0"/>
                <w:sz w:val="20"/>
                <w:szCs w:val="20"/>
              </w:rPr>
              <w:t>部门整体支出自评得分与评价组抽查得分差异在5%以内的，不扣分；在5%-10%之间的，扣1分，在10%-20%的，扣2分，在20%以上的，扣5分。</w:t>
            </w:r>
          </w:p>
        </w:tc>
        <w:tc>
          <w:tcPr>
            <w:tcW w:w="708" w:type="dxa"/>
            <w:tcBorders>
              <w:top w:val="nil"/>
              <w:left w:val="nil"/>
              <w:bottom w:val="single" w:color="auto" w:sz="4" w:space="0"/>
              <w:right w:val="single" w:color="auto" w:sz="4" w:space="0"/>
            </w:tcBorders>
            <w:shd w:val="clear" w:color="auto" w:fill="auto"/>
            <w:vAlign w:val="center"/>
          </w:tcPr>
          <w:p w14:paraId="70651C3D">
            <w:pPr>
              <w:widowControl/>
              <w:jc w:val="center"/>
              <w:rPr>
                <w:rFonts w:ascii="宋体" w:hAnsi="宋体" w:cs="宋体"/>
                <w:color w:val="000000"/>
                <w:kern w:val="0"/>
                <w:sz w:val="20"/>
                <w:szCs w:val="20"/>
              </w:rPr>
            </w:pPr>
            <w:r>
              <w:rPr>
                <w:rFonts w:hint="eastAsia" w:ascii="宋体" w:hAnsi="宋体" w:cs="宋体"/>
                <w:color w:val="000000"/>
                <w:kern w:val="0"/>
                <w:sz w:val="20"/>
                <w:szCs w:val="20"/>
              </w:rPr>
              <w:t>5</w:t>
            </w:r>
          </w:p>
        </w:tc>
      </w:tr>
      <w:tr w14:paraId="1713B26E">
        <w:tblPrEx>
          <w:tblCellMar>
            <w:top w:w="0" w:type="dxa"/>
            <w:left w:w="108" w:type="dxa"/>
            <w:bottom w:w="0" w:type="dxa"/>
            <w:right w:w="108" w:type="dxa"/>
          </w:tblCellMar>
        </w:tblPrEx>
        <w:trPr>
          <w:trHeight w:val="480" w:hRule="atLeast"/>
        </w:trPr>
        <w:tc>
          <w:tcPr>
            <w:tcW w:w="1100" w:type="dxa"/>
            <w:vMerge w:val="continue"/>
            <w:tcBorders>
              <w:top w:val="single" w:color="auto" w:sz="4" w:space="0"/>
              <w:left w:val="single" w:color="auto" w:sz="4" w:space="0"/>
              <w:bottom w:val="single" w:color="auto" w:sz="4" w:space="0"/>
              <w:right w:val="single" w:color="auto" w:sz="4" w:space="0"/>
            </w:tcBorders>
            <w:vAlign w:val="center"/>
          </w:tcPr>
          <w:p w14:paraId="7BB69A82">
            <w:pPr>
              <w:widowControl/>
              <w:jc w:val="left"/>
              <w:rPr>
                <w:rFonts w:ascii="宋体" w:hAnsi="宋体" w:cs="宋体"/>
                <w:color w:val="000000"/>
                <w:kern w:val="0"/>
                <w:sz w:val="20"/>
                <w:szCs w:val="20"/>
              </w:rPr>
            </w:pPr>
          </w:p>
        </w:tc>
        <w:tc>
          <w:tcPr>
            <w:tcW w:w="1160" w:type="dxa"/>
            <w:vMerge w:val="restart"/>
            <w:tcBorders>
              <w:top w:val="nil"/>
              <w:left w:val="single" w:color="auto" w:sz="4" w:space="0"/>
              <w:bottom w:val="single" w:color="000000" w:sz="4" w:space="0"/>
              <w:right w:val="single" w:color="auto" w:sz="4" w:space="0"/>
            </w:tcBorders>
            <w:shd w:val="clear" w:color="auto" w:fill="auto"/>
            <w:vAlign w:val="center"/>
          </w:tcPr>
          <w:p w14:paraId="03376957">
            <w:pPr>
              <w:widowControl/>
              <w:jc w:val="center"/>
              <w:rPr>
                <w:rFonts w:ascii="宋体" w:hAnsi="宋体" w:cs="宋体"/>
                <w:color w:val="000000"/>
                <w:kern w:val="0"/>
                <w:sz w:val="20"/>
                <w:szCs w:val="20"/>
              </w:rPr>
            </w:pPr>
            <w:r>
              <w:rPr>
                <w:rFonts w:hint="eastAsia" w:ascii="宋体" w:hAnsi="宋体" w:cs="宋体"/>
                <w:color w:val="000000"/>
                <w:kern w:val="0"/>
                <w:sz w:val="20"/>
                <w:szCs w:val="20"/>
              </w:rPr>
              <w:t>信息公开（10分）</w:t>
            </w:r>
          </w:p>
        </w:tc>
        <w:tc>
          <w:tcPr>
            <w:tcW w:w="1100" w:type="dxa"/>
            <w:tcBorders>
              <w:top w:val="nil"/>
              <w:left w:val="nil"/>
              <w:bottom w:val="single" w:color="auto" w:sz="4" w:space="0"/>
              <w:right w:val="single" w:color="auto" w:sz="4" w:space="0"/>
            </w:tcBorders>
            <w:shd w:val="clear" w:color="auto" w:fill="auto"/>
            <w:vAlign w:val="center"/>
          </w:tcPr>
          <w:p w14:paraId="693F9401">
            <w:pPr>
              <w:widowControl/>
              <w:jc w:val="center"/>
              <w:rPr>
                <w:rFonts w:ascii="宋体" w:hAnsi="宋体" w:cs="宋体"/>
                <w:color w:val="000000"/>
                <w:kern w:val="0"/>
                <w:sz w:val="20"/>
                <w:szCs w:val="20"/>
              </w:rPr>
            </w:pPr>
            <w:r>
              <w:rPr>
                <w:rFonts w:hint="eastAsia" w:ascii="宋体" w:hAnsi="宋体" w:cs="宋体"/>
                <w:color w:val="000000"/>
                <w:kern w:val="0"/>
                <w:sz w:val="20"/>
                <w:szCs w:val="20"/>
              </w:rPr>
              <w:t>目标公开</w:t>
            </w:r>
          </w:p>
        </w:tc>
        <w:tc>
          <w:tcPr>
            <w:tcW w:w="660" w:type="dxa"/>
            <w:tcBorders>
              <w:top w:val="nil"/>
              <w:left w:val="nil"/>
              <w:bottom w:val="single" w:color="auto" w:sz="4" w:space="0"/>
              <w:right w:val="single" w:color="auto" w:sz="4" w:space="0"/>
            </w:tcBorders>
            <w:shd w:val="clear" w:color="auto" w:fill="auto"/>
            <w:vAlign w:val="center"/>
          </w:tcPr>
          <w:p w14:paraId="66184741">
            <w:pPr>
              <w:widowControl/>
              <w:jc w:val="center"/>
              <w:rPr>
                <w:rFonts w:ascii="宋体" w:hAnsi="宋体" w:cs="宋体"/>
                <w:color w:val="000000"/>
                <w:kern w:val="0"/>
                <w:sz w:val="20"/>
                <w:szCs w:val="20"/>
              </w:rPr>
            </w:pPr>
            <w:r>
              <w:rPr>
                <w:rFonts w:hint="eastAsia" w:ascii="宋体" w:hAnsi="宋体" w:cs="宋体"/>
                <w:color w:val="000000"/>
                <w:kern w:val="0"/>
                <w:sz w:val="20"/>
                <w:szCs w:val="20"/>
              </w:rPr>
              <w:t>5</w:t>
            </w:r>
          </w:p>
        </w:tc>
        <w:tc>
          <w:tcPr>
            <w:tcW w:w="3820" w:type="dxa"/>
            <w:tcBorders>
              <w:top w:val="nil"/>
              <w:left w:val="nil"/>
              <w:bottom w:val="single" w:color="auto" w:sz="4" w:space="0"/>
              <w:right w:val="single" w:color="auto" w:sz="4" w:space="0"/>
            </w:tcBorders>
            <w:shd w:val="clear" w:color="auto" w:fill="auto"/>
            <w:vAlign w:val="center"/>
          </w:tcPr>
          <w:p w14:paraId="66CA33FC">
            <w:pPr>
              <w:widowControl/>
              <w:jc w:val="left"/>
              <w:rPr>
                <w:rFonts w:ascii="宋体" w:hAnsi="宋体" w:cs="宋体"/>
                <w:color w:val="000000"/>
                <w:kern w:val="0"/>
                <w:sz w:val="20"/>
                <w:szCs w:val="20"/>
              </w:rPr>
            </w:pPr>
            <w:r>
              <w:rPr>
                <w:rFonts w:hint="eastAsia" w:ascii="宋体" w:hAnsi="宋体" w:cs="宋体"/>
                <w:color w:val="000000"/>
                <w:kern w:val="0"/>
                <w:sz w:val="20"/>
                <w:szCs w:val="20"/>
              </w:rPr>
              <w:t>评价部门绩效目标是否按要求向社会公开。</w:t>
            </w:r>
          </w:p>
        </w:tc>
        <w:tc>
          <w:tcPr>
            <w:tcW w:w="5072" w:type="dxa"/>
            <w:tcBorders>
              <w:top w:val="nil"/>
              <w:left w:val="nil"/>
              <w:bottom w:val="single" w:color="auto" w:sz="4" w:space="0"/>
              <w:right w:val="single" w:color="auto" w:sz="4" w:space="0"/>
            </w:tcBorders>
            <w:shd w:val="clear" w:color="auto" w:fill="auto"/>
            <w:vAlign w:val="center"/>
          </w:tcPr>
          <w:p w14:paraId="78CDFEC1">
            <w:pPr>
              <w:widowControl/>
              <w:jc w:val="left"/>
              <w:rPr>
                <w:rFonts w:ascii="宋体" w:hAnsi="宋体" w:cs="宋体"/>
                <w:color w:val="000000"/>
                <w:kern w:val="0"/>
                <w:sz w:val="20"/>
                <w:szCs w:val="20"/>
              </w:rPr>
            </w:pPr>
            <w:r>
              <w:rPr>
                <w:rFonts w:hint="eastAsia" w:ascii="宋体" w:hAnsi="宋体" w:cs="宋体"/>
                <w:color w:val="000000"/>
                <w:kern w:val="0"/>
                <w:sz w:val="20"/>
                <w:szCs w:val="20"/>
              </w:rPr>
              <w:t>按要求将部门预算绩效目标进行公开的，得5分。</w:t>
            </w:r>
          </w:p>
        </w:tc>
        <w:tc>
          <w:tcPr>
            <w:tcW w:w="708" w:type="dxa"/>
            <w:tcBorders>
              <w:top w:val="nil"/>
              <w:left w:val="nil"/>
              <w:bottom w:val="single" w:color="auto" w:sz="4" w:space="0"/>
              <w:right w:val="single" w:color="auto" w:sz="4" w:space="0"/>
            </w:tcBorders>
            <w:shd w:val="clear" w:color="auto" w:fill="auto"/>
            <w:vAlign w:val="center"/>
          </w:tcPr>
          <w:p w14:paraId="0FBC4E8A">
            <w:pPr>
              <w:widowControl/>
              <w:jc w:val="center"/>
              <w:rPr>
                <w:rFonts w:ascii="宋体" w:hAnsi="宋体" w:cs="宋体"/>
                <w:color w:val="000000"/>
                <w:kern w:val="0"/>
                <w:sz w:val="20"/>
                <w:szCs w:val="20"/>
              </w:rPr>
            </w:pPr>
            <w:r>
              <w:rPr>
                <w:rFonts w:hint="eastAsia" w:ascii="宋体" w:hAnsi="宋体" w:cs="宋体"/>
                <w:color w:val="000000"/>
                <w:kern w:val="0"/>
                <w:sz w:val="20"/>
                <w:szCs w:val="20"/>
              </w:rPr>
              <w:t>5</w:t>
            </w:r>
          </w:p>
        </w:tc>
      </w:tr>
      <w:tr w14:paraId="211FB3AD">
        <w:tblPrEx>
          <w:tblCellMar>
            <w:top w:w="0" w:type="dxa"/>
            <w:left w:w="108" w:type="dxa"/>
            <w:bottom w:w="0" w:type="dxa"/>
            <w:right w:w="108" w:type="dxa"/>
          </w:tblCellMar>
        </w:tblPrEx>
        <w:trPr>
          <w:trHeight w:val="480" w:hRule="atLeast"/>
        </w:trPr>
        <w:tc>
          <w:tcPr>
            <w:tcW w:w="1100" w:type="dxa"/>
            <w:vMerge w:val="continue"/>
            <w:tcBorders>
              <w:top w:val="single" w:color="auto" w:sz="4" w:space="0"/>
              <w:left w:val="single" w:color="auto" w:sz="4" w:space="0"/>
              <w:bottom w:val="single" w:color="auto" w:sz="4" w:space="0"/>
              <w:right w:val="single" w:color="auto" w:sz="4" w:space="0"/>
            </w:tcBorders>
            <w:vAlign w:val="center"/>
          </w:tcPr>
          <w:p w14:paraId="171E1851">
            <w:pPr>
              <w:widowControl/>
              <w:jc w:val="left"/>
              <w:rPr>
                <w:rFonts w:ascii="宋体" w:hAnsi="宋体" w:cs="宋体"/>
                <w:color w:val="000000"/>
                <w:kern w:val="0"/>
                <w:sz w:val="20"/>
                <w:szCs w:val="20"/>
              </w:rPr>
            </w:pPr>
          </w:p>
        </w:tc>
        <w:tc>
          <w:tcPr>
            <w:tcW w:w="1160" w:type="dxa"/>
            <w:vMerge w:val="continue"/>
            <w:tcBorders>
              <w:top w:val="nil"/>
              <w:left w:val="single" w:color="auto" w:sz="4" w:space="0"/>
              <w:bottom w:val="single" w:color="000000" w:sz="4" w:space="0"/>
              <w:right w:val="single" w:color="auto" w:sz="4" w:space="0"/>
            </w:tcBorders>
            <w:vAlign w:val="center"/>
          </w:tcPr>
          <w:p w14:paraId="2CB8D06D">
            <w:pPr>
              <w:widowControl/>
              <w:jc w:val="left"/>
              <w:rPr>
                <w:rFonts w:ascii="宋体" w:hAnsi="宋体" w:cs="宋体"/>
                <w:color w:val="000000"/>
                <w:kern w:val="0"/>
                <w:sz w:val="20"/>
                <w:szCs w:val="20"/>
              </w:rPr>
            </w:pPr>
          </w:p>
        </w:tc>
        <w:tc>
          <w:tcPr>
            <w:tcW w:w="1100" w:type="dxa"/>
            <w:tcBorders>
              <w:top w:val="nil"/>
              <w:left w:val="nil"/>
              <w:bottom w:val="single" w:color="auto" w:sz="4" w:space="0"/>
              <w:right w:val="single" w:color="auto" w:sz="4" w:space="0"/>
            </w:tcBorders>
            <w:shd w:val="clear" w:color="auto" w:fill="auto"/>
            <w:vAlign w:val="center"/>
          </w:tcPr>
          <w:p w14:paraId="23CAC793">
            <w:pPr>
              <w:widowControl/>
              <w:jc w:val="center"/>
              <w:rPr>
                <w:rFonts w:ascii="宋体" w:hAnsi="宋体" w:cs="宋体"/>
                <w:color w:val="000000"/>
                <w:kern w:val="0"/>
                <w:sz w:val="20"/>
                <w:szCs w:val="20"/>
              </w:rPr>
            </w:pPr>
            <w:r>
              <w:rPr>
                <w:rFonts w:hint="eastAsia" w:ascii="宋体" w:hAnsi="宋体" w:cs="宋体"/>
                <w:color w:val="000000"/>
                <w:kern w:val="0"/>
                <w:sz w:val="20"/>
                <w:szCs w:val="20"/>
              </w:rPr>
              <w:t>自评公开</w:t>
            </w:r>
          </w:p>
        </w:tc>
        <w:tc>
          <w:tcPr>
            <w:tcW w:w="660" w:type="dxa"/>
            <w:tcBorders>
              <w:top w:val="nil"/>
              <w:left w:val="nil"/>
              <w:bottom w:val="single" w:color="auto" w:sz="4" w:space="0"/>
              <w:right w:val="single" w:color="auto" w:sz="4" w:space="0"/>
            </w:tcBorders>
            <w:shd w:val="clear" w:color="auto" w:fill="auto"/>
            <w:vAlign w:val="center"/>
          </w:tcPr>
          <w:p w14:paraId="34B701C1">
            <w:pPr>
              <w:widowControl/>
              <w:jc w:val="center"/>
              <w:rPr>
                <w:rFonts w:ascii="宋体" w:hAnsi="宋体" w:cs="宋体"/>
                <w:color w:val="000000"/>
                <w:kern w:val="0"/>
                <w:sz w:val="20"/>
                <w:szCs w:val="20"/>
              </w:rPr>
            </w:pPr>
            <w:r>
              <w:rPr>
                <w:rFonts w:hint="eastAsia" w:ascii="宋体" w:hAnsi="宋体" w:cs="宋体"/>
                <w:color w:val="000000"/>
                <w:kern w:val="0"/>
                <w:sz w:val="20"/>
                <w:szCs w:val="20"/>
              </w:rPr>
              <w:t>5</w:t>
            </w:r>
          </w:p>
        </w:tc>
        <w:tc>
          <w:tcPr>
            <w:tcW w:w="3820" w:type="dxa"/>
            <w:tcBorders>
              <w:top w:val="nil"/>
              <w:left w:val="nil"/>
              <w:bottom w:val="single" w:color="auto" w:sz="4" w:space="0"/>
              <w:right w:val="single" w:color="auto" w:sz="4" w:space="0"/>
            </w:tcBorders>
            <w:shd w:val="clear" w:color="auto" w:fill="auto"/>
            <w:vAlign w:val="center"/>
          </w:tcPr>
          <w:p w14:paraId="5C224394">
            <w:pPr>
              <w:widowControl/>
              <w:jc w:val="left"/>
              <w:rPr>
                <w:rFonts w:ascii="宋体" w:hAnsi="宋体" w:cs="宋体"/>
                <w:color w:val="000000"/>
                <w:kern w:val="0"/>
                <w:sz w:val="20"/>
                <w:szCs w:val="20"/>
              </w:rPr>
            </w:pPr>
            <w:r>
              <w:rPr>
                <w:rFonts w:hint="eastAsia" w:ascii="宋体" w:hAnsi="宋体" w:cs="宋体"/>
                <w:color w:val="000000"/>
                <w:kern w:val="0"/>
                <w:sz w:val="20"/>
                <w:szCs w:val="20"/>
              </w:rPr>
              <w:t>评价部门是否按要求将部门整体绩效自评情况和自行组织的评价情况向社会公开。</w:t>
            </w:r>
          </w:p>
        </w:tc>
        <w:tc>
          <w:tcPr>
            <w:tcW w:w="5072" w:type="dxa"/>
            <w:tcBorders>
              <w:top w:val="nil"/>
              <w:left w:val="nil"/>
              <w:bottom w:val="single" w:color="auto" w:sz="4" w:space="0"/>
              <w:right w:val="single" w:color="auto" w:sz="4" w:space="0"/>
            </w:tcBorders>
            <w:shd w:val="clear" w:color="auto" w:fill="auto"/>
            <w:vAlign w:val="center"/>
          </w:tcPr>
          <w:p w14:paraId="6BBFB396">
            <w:pPr>
              <w:widowControl/>
              <w:jc w:val="left"/>
              <w:rPr>
                <w:rFonts w:ascii="宋体" w:hAnsi="宋体" w:cs="宋体"/>
                <w:color w:val="000000"/>
                <w:kern w:val="0"/>
                <w:sz w:val="20"/>
                <w:szCs w:val="20"/>
              </w:rPr>
            </w:pPr>
            <w:r>
              <w:rPr>
                <w:rFonts w:hint="eastAsia" w:ascii="宋体" w:hAnsi="宋体" w:cs="宋体"/>
                <w:color w:val="000000"/>
                <w:kern w:val="0"/>
                <w:sz w:val="20"/>
                <w:szCs w:val="20"/>
              </w:rPr>
              <w:t>按要求在内网或外网公开的，得5分。</w:t>
            </w:r>
          </w:p>
        </w:tc>
        <w:tc>
          <w:tcPr>
            <w:tcW w:w="708" w:type="dxa"/>
            <w:tcBorders>
              <w:top w:val="nil"/>
              <w:left w:val="nil"/>
              <w:bottom w:val="single" w:color="auto" w:sz="4" w:space="0"/>
              <w:right w:val="single" w:color="auto" w:sz="4" w:space="0"/>
            </w:tcBorders>
            <w:shd w:val="clear" w:color="auto" w:fill="auto"/>
            <w:vAlign w:val="center"/>
          </w:tcPr>
          <w:p w14:paraId="71DBA779">
            <w:pPr>
              <w:widowControl/>
              <w:jc w:val="center"/>
              <w:rPr>
                <w:rFonts w:ascii="宋体" w:hAnsi="宋体" w:cs="宋体"/>
                <w:color w:val="000000"/>
                <w:kern w:val="0"/>
                <w:sz w:val="20"/>
                <w:szCs w:val="20"/>
              </w:rPr>
            </w:pPr>
            <w:r>
              <w:rPr>
                <w:rFonts w:hint="eastAsia" w:ascii="宋体" w:hAnsi="宋体" w:cs="宋体"/>
                <w:color w:val="000000"/>
                <w:kern w:val="0"/>
                <w:sz w:val="20"/>
                <w:szCs w:val="20"/>
              </w:rPr>
              <w:t>5</w:t>
            </w:r>
          </w:p>
        </w:tc>
      </w:tr>
      <w:tr w14:paraId="72861DF4">
        <w:tblPrEx>
          <w:tblCellMar>
            <w:top w:w="0" w:type="dxa"/>
            <w:left w:w="108" w:type="dxa"/>
            <w:bottom w:w="0" w:type="dxa"/>
            <w:right w:w="108" w:type="dxa"/>
          </w:tblCellMar>
        </w:tblPrEx>
        <w:trPr>
          <w:trHeight w:val="975" w:hRule="atLeast"/>
        </w:trPr>
        <w:tc>
          <w:tcPr>
            <w:tcW w:w="1100" w:type="dxa"/>
            <w:vMerge w:val="continue"/>
            <w:tcBorders>
              <w:top w:val="single" w:color="auto" w:sz="4" w:space="0"/>
              <w:left w:val="single" w:color="auto" w:sz="4" w:space="0"/>
              <w:bottom w:val="single" w:color="auto" w:sz="4" w:space="0"/>
              <w:right w:val="single" w:color="auto" w:sz="4" w:space="0"/>
            </w:tcBorders>
            <w:vAlign w:val="center"/>
          </w:tcPr>
          <w:p w14:paraId="3A181900">
            <w:pPr>
              <w:widowControl/>
              <w:jc w:val="left"/>
              <w:rPr>
                <w:rFonts w:ascii="宋体" w:hAnsi="宋体" w:cs="宋体"/>
                <w:color w:val="000000"/>
                <w:kern w:val="0"/>
                <w:sz w:val="20"/>
                <w:szCs w:val="20"/>
              </w:rPr>
            </w:pPr>
          </w:p>
        </w:tc>
        <w:tc>
          <w:tcPr>
            <w:tcW w:w="1160" w:type="dxa"/>
            <w:vMerge w:val="restart"/>
            <w:tcBorders>
              <w:top w:val="nil"/>
              <w:left w:val="single" w:color="auto" w:sz="4" w:space="0"/>
              <w:bottom w:val="single" w:color="000000" w:sz="4" w:space="0"/>
              <w:right w:val="single" w:color="auto" w:sz="4" w:space="0"/>
            </w:tcBorders>
            <w:shd w:val="clear" w:color="auto" w:fill="auto"/>
            <w:vAlign w:val="center"/>
          </w:tcPr>
          <w:p w14:paraId="19C9F3FE">
            <w:pPr>
              <w:widowControl/>
              <w:jc w:val="center"/>
              <w:rPr>
                <w:rFonts w:ascii="宋体" w:hAnsi="宋体" w:cs="宋体"/>
                <w:color w:val="000000"/>
                <w:kern w:val="0"/>
                <w:sz w:val="20"/>
                <w:szCs w:val="20"/>
              </w:rPr>
            </w:pPr>
            <w:r>
              <w:rPr>
                <w:rFonts w:hint="eastAsia" w:ascii="宋体" w:hAnsi="宋体" w:cs="宋体"/>
                <w:color w:val="000000"/>
                <w:kern w:val="0"/>
                <w:sz w:val="20"/>
                <w:szCs w:val="20"/>
              </w:rPr>
              <w:t>整改反馈（15分）</w:t>
            </w:r>
          </w:p>
        </w:tc>
        <w:tc>
          <w:tcPr>
            <w:tcW w:w="1100" w:type="dxa"/>
            <w:tcBorders>
              <w:top w:val="nil"/>
              <w:left w:val="nil"/>
              <w:bottom w:val="single" w:color="auto" w:sz="4" w:space="0"/>
              <w:right w:val="single" w:color="auto" w:sz="4" w:space="0"/>
            </w:tcBorders>
            <w:shd w:val="clear" w:color="auto" w:fill="auto"/>
            <w:vAlign w:val="center"/>
          </w:tcPr>
          <w:p w14:paraId="64559548">
            <w:pPr>
              <w:widowControl/>
              <w:jc w:val="center"/>
              <w:rPr>
                <w:rFonts w:ascii="宋体" w:hAnsi="宋体" w:cs="宋体"/>
                <w:color w:val="000000"/>
                <w:kern w:val="0"/>
                <w:sz w:val="20"/>
                <w:szCs w:val="20"/>
              </w:rPr>
            </w:pPr>
            <w:r>
              <w:rPr>
                <w:rFonts w:hint="eastAsia" w:ascii="宋体" w:hAnsi="宋体" w:cs="宋体"/>
                <w:color w:val="000000"/>
                <w:kern w:val="0"/>
                <w:sz w:val="20"/>
                <w:szCs w:val="20"/>
              </w:rPr>
              <w:t>结果整改</w:t>
            </w:r>
          </w:p>
        </w:tc>
        <w:tc>
          <w:tcPr>
            <w:tcW w:w="660" w:type="dxa"/>
            <w:tcBorders>
              <w:top w:val="nil"/>
              <w:left w:val="nil"/>
              <w:bottom w:val="single" w:color="auto" w:sz="4" w:space="0"/>
              <w:right w:val="single" w:color="auto" w:sz="4" w:space="0"/>
            </w:tcBorders>
            <w:shd w:val="clear" w:color="auto" w:fill="auto"/>
            <w:vAlign w:val="center"/>
          </w:tcPr>
          <w:p w14:paraId="394AC025">
            <w:pPr>
              <w:widowControl/>
              <w:jc w:val="center"/>
              <w:rPr>
                <w:rFonts w:ascii="宋体" w:hAnsi="宋体" w:cs="宋体"/>
                <w:color w:val="000000"/>
                <w:kern w:val="0"/>
                <w:sz w:val="20"/>
                <w:szCs w:val="20"/>
              </w:rPr>
            </w:pPr>
            <w:r>
              <w:rPr>
                <w:rFonts w:hint="eastAsia" w:ascii="宋体" w:hAnsi="宋体" w:cs="宋体"/>
                <w:color w:val="000000"/>
                <w:kern w:val="0"/>
                <w:sz w:val="20"/>
                <w:szCs w:val="20"/>
              </w:rPr>
              <w:t>8</w:t>
            </w:r>
          </w:p>
        </w:tc>
        <w:tc>
          <w:tcPr>
            <w:tcW w:w="3820" w:type="dxa"/>
            <w:tcBorders>
              <w:top w:val="nil"/>
              <w:left w:val="nil"/>
              <w:bottom w:val="single" w:color="auto" w:sz="4" w:space="0"/>
              <w:right w:val="single" w:color="auto" w:sz="4" w:space="0"/>
            </w:tcBorders>
            <w:shd w:val="clear" w:color="auto" w:fill="auto"/>
            <w:vAlign w:val="center"/>
          </w:tcPr>
          <w:p w14:paraId="1494B354">
            <w:pPr>
              <w:widowControl/>
              <w:jc w:val="left"/>
              <w:rPr>
                <w:rFonts w:ascii="宋体" w:hAnsi="宋体" w:cs="宋体"/>
                <w:color w:val="000000"/>
                <w:kern w:val="0"/>
                <w:sz w:val="20"/>
                <w:szCs w:val="20"/>
              </w:rPr>
            </w:pPr>
            <w:r>
              <w:rPr>
                <w:rFonts w:hint="eastAsia" w:ascii="宋体" w:hAnsi="宋体" w:cs="宋体"/>
                <w:color w:val="000000"/>
                <w:kern w:val="0"/>
                <w:sz w:val="20"/>
                <w:szCs w:val="20"/>
              </w:rPr>
              <w:t>评价部门根据绩效管理结果整改问题、完善政策、改进管理的情况。</w:t>
            </w:r>
          </w:p>
        </w:tc>
        <w:tc>
          <w:tcPr>
            <w:tcW w:w="5072" w:type="dxa"/>
            <w:tcBorders>
              <w:top w:val="nil"/>
              <w:left w:val="nil"/>
              <w:bottom w:val="single" w:color="auto" w:sz="4" w:space="0"/>
              <w:right w:val="single" w:color="auto" w:sz="4" w:space="0"/>
            </w:tcBorders>
            <w:shd w:val="clear" w:color="auto" w:fill="auto"/>
            <w:vAlign w:val="center"/>
          </w:tcPr>
          <w:p w14:paraId="11A9E57D">
            <w:pPr>
              <w:widowControl/>
              <w:jc w:val="left"/>
              <w:rPr>
                <w:rFonts w:ascii="宋体" w:hAnsi="宋体" w:cs="宋体"/>
                <w:color w:val="000000"/>
                <w:kern w:val="0"/>
                <w:sz w:val="20"/>
                <w:szCs w:val="20"/>
              </w:rPr>
            </w:pPr>
            <w:r>
              <w:rPr>
                <w:rFonts w:hint="eastAsia" w:ascii="宋体" w:hAnsi="宋体" w:cs="宋体"/>
                <w:color w:val="000000"/>
                <w:kern w:val="0"/>
                <w:sz w:val="20"/>
                <w:szCs w:val="20"/>
              </w:rPr>
              <w:t>针对绩效管理过程中（包括绩效目标核查、绩效监控核查和重点绩效评价）提出的问题，发现一处未整改的，扣1分，直至扣完。</w:t>
            </w:r>
          </w:p>
        </w:tc>
        <w:tc>
          <w:tcPr>
            <w:tcW w:w="708" w:type="dxa"/>
            <w:tcBorders>
              <w:top w:val="nil"/>
              <w:left w:val="nil"/>
              <w:bottom w:val="single" w:color="auto" w:sz="4" w:space="0"/>
              <w:right w:val="single" w:color="auto" w:sz="4" w:space="0"/>
            </w:tcBorders>
            <w:shd w:val="clear" w:color="auto" w:fill="auto"/>
            <w:vAlign w:val="center"/>
          </w:tcPr>
          <w:p w14:paraId="586FB11C">
            <w:pPr>
              <w:widowControl/>
              <w:jc w:val="center"/>
              <w:rPr>
                <w:rFonts w:ascii="宋体" w:hAnsi="宋体" w:cs="宋体"/>
                <w:color w:val="000000"/>
                <w:kern w:val="0"/>
                <w:sz w:val="20"/>
                <w:szCs w:val="20"/>
              </w:rPr>
            </w:pPr>
          </w:p>
        </w:tc>
      </w:tr>
      <w:tr w14:paraId="18E93DDF">
        <w:tblPrEx>
          <w:tblCellMar>
            <w:top w:w="0" w:type="dxa"/>
            <w:left w:w="108" w:type="dxa"/>
            <w:bottom w:w="0" w:type="dxa"/>
            <w:right w:w="108" w:type="dxa"/>
          </w:tblCellMar>
        </w:tblPrEx>
        <w:trPr>
          <w:trHeight w:val="735" w:hRule="atLeast"/>
        </w:trPr>
        <w:tc>
          <w:tcPr>
            <w:tcW w:w="1100" w:type="dxa"/>
            <w:vMerge w:val="continue"/>
            <w:tcBorders>
              <w:top w:val="single" w:color="auto" w:sz="4" w:space="0"/>
              <w:left w:val="single" w:color="auto" w:sz="4" w:space="0"/>
              <w:bottom w:val="single" w:color="auto" w:sz="4" w:space="0"/>
              <w:right w:val="single" w:color="auto" w:sz="4" w:space="0"/>
            </w:tcBorders>
            <w:vAlign w:val="center"/>
          </w:tcPr>
          <w:p w14:paraId="2E830884">
            <w:pPr>
              <w:widowControl/>
              <w:jc w:val="left"/>
              <w:rPr>
                <w:rFonts w:ascii="宋体" w:hAnsi="宋体" w:cs="宋体"/>
                <w:color w:val="000000"/>
                <w:kern w:val="0"/>
                <w:sz w:val="20"/>
                <w:szCs w:val="20"/>
              </w:rPr>
            </w:pPr>
          </w:p>
        </w:tc>
        <w:tc>
          <w:tcPr>
            <w:tcW w:w="1160" w:type="dxa"/>
            <w:vMerge w:val="continue"/>
            <w:tcBorders>
              <w:top w:val="nil"/>
              <w:left w:val="single" w:color="auto" w:sz="4" w:space="0"/>
              <w:bottom w:val="single" w:color="000000" w:sz="4" w:space="0"/>
              <w:right w:val="single" w:color="auto" w:sz="4" w:space="0"/>
            </w:tcBorders>
            <w:vAlign w:val="center"/>
          </w:tcPr>
          <w:p w14:paraId="4E56B505">
            <w:pPr>
              <w:widowControl/>
              <w:jc w:val="left"/>
              <w:rPr>
                <w:rFonts w:ascii="宋体" w:hAnsi="宋体" w:cs="宋体"/>
                <w:color w:val="000000"/>
                <w:kern w:val="0"/>
                <w:sz w:val="20"/>
                <w:szCs w:val="20"/>
              </w:rPr>
            </w:pPr>
          </w:p>
        </w:tc>
        <w:tc>
          <w:tcPr>
            <w:tcW w:w="1100" w:type="dxa"/>
            <w:tcBorders>
              <w:top w:val="nil"/>
              <w:left w:val="nil"/>
              <w:bottom w:val="single" w:color="auto" w:sz="4" w:space="0"/>
              <w:right w:val="single" w:color="auto" w:sz="4" w:space="0"/>
            </w:tcBorders>
            <w:shd w:val="clear" w:color="auto" w:fill="auto"/>
            <w:vAlign w:val="center"/>
          </w:tcPr>
          <w:p w14:paraId="436ED05B">
            <w:pPr>
              <w:widowControl/>
              <w:jc w:val="center"/>
              <w:rPr>
                <w:rFonts w:ascii="宋体" w:hAnsi="宋体" w:cs="宋体"/>
                <w:color w:val="000000"/>
                <w:kern w:val="0"/>
                <w:sz w:val="20"/>
                <w:szCs w:val="20"/>
              </w:rPr>
            </w:pPr>
            <w:r>
              <w:rPr>
                <w:rFonts w:hint="eastAsia" w:ascii="宋体" w:hAnsi="宋体" w:cs="宋体"/>
                <w:color w:val="000000"/>
                <w:kern w:val="0"/>
                <w:sz w:val="20"/>
                <w:szCs w:val="20"/>
              </w:rPr>
              <w:t>应用反馈</w:t>
            </w:r>
          </w:p>
        </w:tc>
        <w:tc>
          <w:tcPr>
            <w:tcW w:w="660" w:type="dxa"/>
            <w:tcBorders>
              <w:top w:val="nil"/>
              <w:left w:val="nil"/>
              <w:bottom w:val="single" w:color="auto" w:sz="4" w:space="0"/>
              <w:right w:val="single" w:color="auto" w:sz="4" w:space="0"/>
            </w:tcBorders>
            <w:shd w:val="clear" w:color="auto" w:fill="auto"/>
            <w:vAlign w:val="center"/>
          </w:tcPr>
          <w:p w14:paraId="69649C2E">
            <w:pPr>
              <w:widowControl/>
              <w:jc w:val="center"/>
              <w:rPr>
                <w:rFonts w:ascii="宋体" w:hAnsi="宋体" w:cs="宋体"/>
                <w:color w:val="000000"/>
                <w:kern w:val="0"/>
                <w:sz w:val="20"/>
                <w:szCs w:val="20"/>
              </w:rPr>
            </w:pPr>
            <w:r>
              <w:rPr>
                <w:rFonts w:hint="eastAsia" w:ascii="宋体" w:hAnsi="宋体" w:cs="宋体"/>
                <w:color w:val="000000"/>
                <w:kern w:val="0"/>
                <w:sz w:val="20"/>
                <w:szCs w:val="20"/>
              </w:rPr>
              <w:t>7</w:t>
            </w:r>
          </w:p>
        </w:tc>
        <w:tc>
          <w:tcPr>
            <w:tcW w:w="3820" w:type="dxa"/>
            <w:tcBorders>
              <w:top w:val="nil"/>
              <w:left w:val="nil"/>
              <w:bottom w:val="single" w:color="auto" w:sz="4" w:space="0"/>
              <w:right w:val="single" w:color="auto" w:sz="4" w:space="0"/>
            </w:tcBorders>
            <w:shd w:val="clear" w:color="auto" w:fill="auto"/>
            <w:vAlign w:val="center"/>
          </w:tcPr>
          <w:p w14:paraId="7EE9D279">
            <w:pPr>
              <w:widowControl/>
              <w:jc w:val="left"/>
              <w:rPr>
                <w:rFonts w:ascii="宋体" w:hAnsi="宋体" w:cs="宋体"/>
                <w:color w:val="000000"/>
                <w:kern w:val="0"/>
                <w:sz w:val="20"/>
                <w:szCs w:val="20"/>
              </w:rPr>
            </w:pPr>
            <w:r>
              <w:rPr>
                <w:rFonts w:hint="eastAsia" w:ascii="宋体" w:hAnsi="宋体" w:cs="宋体"/>
                <w:color w:val="000000"/>
                <w:kern w:val="0"/>
                <w:sz w:val="20"/>
                <w:szCs w:val="20"/>
              </w:rPr>
              <w:t>评价部门按要求及时向财政部门反馈结果应用情况。</w:t>
            </w:r>
          </w:p>
        </w:tc>
        <w:tc>
          <w:tcPr>
            <w:tcW w:w="5072" w:type="dxa"/>
            <w:tcBorders>
              <w:top w:val="nil"/>
              <w:left w:val="nil"/>
              <w:bottom w:val="single" w:color="auto" w:sz="4" w:space="0"/>
              <w:right w:val="single" w:color="auto" w:sz="4" w:space="0"/>
            </w:tcBorders>
            <w:shd w:val="clear" w:color="auto" w:fill="auto"/>
            <w:vAlign w:val="center"/>
          </w:tcPr>
          <w:p w14:paraId="46E79E33">
            <w:pPr>
              <w:widowControl/>
              <w:jc w:val="left"/>
              <w:rPr>
                <w:rFonts w:ascii="宋体" w:hAnsi="宋体" w:cs="宋体"/>
                <w:color w:val="000000"/>
                <w:kern w:val="0"/>
                <w:sz w:val="20"/>
                <w:szCs w:val="20"/>
              </w:rPr>
            </w:pPr>
            <w:r>
              <w:rPr>
                <w:rFonts w:hint="eastAsia" w:ascii="宋体" w:hAnsi="宋体" w:cs="宋体"/>
                <w:color w:val="000000"/>
                <w:kern w:val="0"/>
                <w:sz w:val="20"/>
                <w:szCs w:val="20"/>
              </w:rPr>
              <w:t>部门在规定时间内向财政部门反馈应用绩效结果报告的，得满分，否则不得分。</w:t>
            </w:r>
          </w:p>
        </w:tc>
        <w:tc>
          <w:tcPr>
            <w:tcW w:w="708" w:type="dxa"/>
            <w:tcBorders>
              <w:top w:val="nil"/>
              <w:left w:val="nil"/>
              <w:bottom w:val="single" w:color="auto" w:sz="4" w:space="0"/>
              <w:right w:val="single" w:color="auto" w:sz="4" w:space="0"/>
            </w:tcBorders>
            <w:shd w:val="clear" w:color="auto" w:fill="auto"/>
            <w:vAlign w:val="center"/>
          </w:tcPr>
          <w:p w14:paraId="39604141">
            <w:pPr>
              <w:widowControl/>
              <w:jc w:val="center"/>
              <w:rPr>
                <w:rFonts w:ascii="宋体" w:hAnsi="宋体" w:cs="宋体"/>
                <w:color w:val="000000"/>
                <w:kern w:val="0"/>
                <w:sz w:val="20"/>
                <w:szCs w:val="20"/>
              </w:rPr>
            </w:pPr>
          </w:p>
        </w:tc>
      </w:tr>
      <w:tr w14:paraId="18F106BF">
        <w:tblPrEx>
          <w:tblCellMar>
            <w:top w:w="0" w:type="dxa"/>
            <w:left w:w="108" w:type="dxa"/>
            <w:bottom w:w="0" w:type="dxa"/>
            <w:right w:w="108" w:type="dxa"/>
          </w:tblCellMar>
        </w:tblPrEx>
        <w:trPr>
          <w:trHeight w:val="528" w:hRule="atLeast"/>
        </w:trPr>
        <w:tc>
          <w:tcPr>
            <w:tcW w:w="2260" w:type="dxa"/>
            <w:gridSpan w:val="2"/>
            <w:tcBorders>
              <w:top w:val="single" w:color="auto" w:sz="4" w:space="0"/>
              <w:left w:val="single" w:color="auto" w:sz="4" w:space="0"/>
              <w:bottom w:val="single" w:color="auto" w:sz="4" w:space="0"/>
              <w:right w:val="single" w:color="000000" w:sz="4" w:space="0"/>
            </w:tcBorders>
            <w:shd w:val="clear" w:color="auto" w:fill="auto"/>
            <w:vAlign w:val="center"/>
          </w:tcPr>
          <w:p w14:paraId="646C78AC">
            <w:pPr>
              <w:widowControl/>
              <w:jc w:val="center"/>
              <w:rPr>
                <w:rFonts w:ascii="宋体" w:hAnsi="宋体" w:cs="宋体"/>
                <w:color w:val="000000"/>
                <w:kern w:val="0"/>
                <w:sz w:val="24"/>
              </w:rPr>
            </w:pPr>
            <w:r>
              <w:rPr>
                <w:rFonts w:hint="eastAsia" w:ascii="宋体" w:hAnsi="宋体" w:cs="宋体"/>
                <w:color w:val="000000"/>
                <w:kern w:val="0"/>
                <w:sz w:val="24"/>
              </w:rPr>
              <w:t>评分合计</w:t>
            </w:r>
          </w:p>
        </w:tc>
        <w:tc>
          <w:tcPr>
            <w:tcW w:w="1100" w:type="dxa"/>
            <w:tcBorders>
              <w:top w:val="nil"/>
              <w:left w:val="nil"/>
              <w:bottom w:val="single" w:color="auto" w:sz="4" w:space="0"/>
              <w:right w:val="single" w:color="auto" w:sz="4" w:space="0"/>
            </w:tcBorders>
            <w:shd w:val="clear" w:color="auto" w:fill="auto"/>
            <w:vAlign w:val="center"/>
          </w:tcPr>
          <w:p w14:paraId="600E4CB3">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660" w:type="dxa"/>
            <w:tcBorders>
              <w:top w:val="nil"/>
              <w:left w:val="nil"/>
              <w:bottom w:val="single" w:color="auto" w:sz="4" w:space="0"/>
              <w:right w:val="single" w:color="auto" w:sz="4" w:space="0"/>
            </w:tcBorders>
            <w:shd w:val="clear" w:color="auto" w:fill="auto"/>
            <w:vAlign w:val="center"/>
          </w:tcPr>
          <w:p w14:paraId="37E620F6">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3820" w:type="dxa"/>
            <w:tcBorders>
              <w:top w:val="nil"/>
              <w:left w:val="nil"/>
              <w:bottom w:val="single" w:color="auto" w:sz="4" w:space="0"/>
              <w:right w:val="single" w:color="auto" w:sz="4" w:space="0"/>
            </w:tcBorders>
            <w:shd w:val="clear" w:color="auto" w:fill="auto"/>
            <w:vAlign w:val="center"/>
          </w:tcPr>
          <w:p w14:paraId="4642AF1B">
            <w:pPr>
              <w:widowControl/>
              <w:jc w:val="left"/>
              <w:rPr>
                <w:rFonts w:ascii="宋体" w:hAnsi="宋体" w:cs="宋体"/>
                <w:color w:val="000000"/>
                <w:kern w:val="0"/>
                <w:sz w:val="24"/>
              </w:rPr>
            </w:pPr>
            <w:r>
              <w:rPr>
                <w:rFonts w:hint="eastAsia" w:ascii="宋体" w:hAnsi="宋体" w:cs="宋体"/>
                <w:color w:val="000000"/>
                <w:kern w:val="0"/>
                <w:sz w:val="24"/>
              </w:rPr>
              <w:t>　</w:t>
            </w:r>
          </w:p>
        </w:tc>
        <w:tc>
          <w:tcPr>
            <w:tcW w:w="5072" w:type="dxa"/>
            <w:tcBorders>
              <w:top w:val="nil"/>
              <w:left w:val="nil"/>
              <w:bottom w:val="single" w:color="auto" w:sz="4" w:space="0"/>
              <w:right w:val="single" w:color="auto" w:sz="4" w:space="0"/>
            </w:tcBorders>
            <w:shd w:val="clear" w:color="auto" w:fill="auto"/>
            <w:vAlign w:val="center"/>
          </w:tcPr>
          <w:p w14:paraId="594FA32A">
            <w:pPr>
              <w:widowControl/>
              <w:jc w:val="left"/>
              <w:rPr>
                <w:rFonts w:ascii="宋体" w:hAnsi="宋体" w:cs="宋体"/>
                <w:color w:val="000000"/>
                <w:kern w:val="0"/>
                <w:sz w:val="16"/>
                <w:szCs w:val="16"/>
              </w:rPr>
            </w:pPr>
            <w:r>
              <w:rPr>
                <w:rFonts w:hint="eastAsia" w:ascii="宋体" w:hAnsi="宋体" w:cs="宋体"/>
                <w:color w:val="000000"/>
                <w:kern w:val="0"/>
                <w:sz w:val="16"/>
                <w:szCs w:val="16"/>
              </w:rPr>
              <w:t>　</w:t>
            </w:r>
          </w:p>
        </w:tc>
        <w:tc>
          <w:tcPr>
            <w:tcW w:w="708" w:type="dxa"/>
            <w:tcBorders>
              <w:top w:val="nil"/>
              <w:left w:val="nil"/>
              <w:bottom w:val="single" w:color="auto" w:sz="4" w:space="0"/>
              <w:right w:val="single" w:color="auto" w:sz="4" w:space="0"/>
            </w:tcBorders>
            <w:shd w:val="clear" w:color="auto" w:fill="auto"/>
            <w:vAlign w:val="center"/>
          </w:tcPr>
          <w:p w14:paraId="351B4B08">
            <w:pPr>
              <w:widowControl/>
              <w:jc w:val="center"/>
              <w:rPr>
                <w:rFonts w:ascii="宋体" w:hAnsi="宋体" w:cs="宋体"/>
                <w:color w:val="000000"/>
                <w:kern w:val="0"/>
                <w:sz w:val="24"/>
              </w:rPr>
            </w:pPr>
            <w:r>
              <w:rPr>
                <w:rFonts w:hint="eastAsia" w:ascii="宋体" w:hAnsi="宋体" w:cs="宋体"/>
                <w:color w:val="000000"/>
                <w:kern w:val="0"/>
                <w:sz w:val="24"/>
              </w:rPr>
              <w:t>76.5</w:t>
            </w:r>
          </w:p>
        </w:tc>
      </w:tr>
    </w:tbl>
    <w:p w14:paraId="6938A03B">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rPr>
      </w:pPr>
    </w:p>
    <w:p w14:paraId="52D29DE1">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rPr>
      </w:pPr>
    </w:p>
    <w:p w14:paraId="198AACCA">
      <w:pPr>
        <w:spacing w:line="580" w:lineRule="exact"/>
        <w:rPr>
          <w:rFonts w:ascii="黑体" w:hAnsi="黑体" w:eastAsia="黑体" w:cs="黑体"/>
          <w:sz w:val="32"/>
          <w:szCs w:val="32"/>
        </w:rPr>
      </w:pPr>
    </w:p>
    <w:p w14:paraId="5E36B25A">
      <w:pPr>
        <w:spacing w:line="580" w:lineRule="exact"/>
        <w:rPr>
          <w:rFonts w:ascii="黑体" w:hAnsi="黑体" w:eastAsia="黑体" w:cs="黑体"/>
          <w:sz w:val="32"/>
          <w:szCs w:val="32"/>
        </w:rPr>
      </w:pPr>
    </w:p>
    <w:p w14:paraId="4953E7B3">
      <w:pPr>
        <w:spacing w:line="580" w:lineRule="exact"/>
        <w:rPr>
          <w:rFonts w:ascii="黑体" w:hAnsi="黑体" w:eastAsia="黑体" w:cs="黑体"/>
          <w:sz w:val="32"/>
          <w:szCs w:val="32"/>
        </w:rPr>
      </w:pPr>
    </w:p>
    <w:p w14:paraId="009CC53C">
      <w:pPr>
        <w:spacing w:line="580" w:lineRule="exact"/>
        <w:rPr>
          <w:rFonts w:ascii="黑体" w:hAnsi="黑体" w:eastAsia="黑体" w:cs="黑体"/>
          <w:sz w:val="32"/>
          <w:szCs w:val="32"/>
        </w:rPr>
      </w:pPr>
    </w:p>
    <w:p w14:paraId="4CB7C47C">
      <w:pPr>
        <w:spacing w:line="580" w:lineRule="exact"/>
        <w:rPr>
          <w:rFonts w:ascii="黑体" w:hAnsi="黑体" w:eastAsia="黑体" w:cs="黑体"/>
          <w:sz w:val="32"/>
          <w:szCs w:val="32"/>
        </w:rPr>
        <w:sectPr>
          <w:headerReference r:id="rId6" w:type="default"/>
          <w:footerReference r:id="rId7" w:type="default"/>
          <w:pgSz w:w="16838" w:h="11906" w:orient="landscape"/>
          <w:pgMar w:top="1797" w:right="1134" w:bottom="1797" w:left="1440" w:header="851" w:footer="992" w:gutter="0"/>
          <w:pgNumType w:fmt="numberInDash" w:start="1"/>
          <w:cols w:space="425" w:num="1"/>
          <w:titlePg/>
          <w:docGrid w:type="lines" w:linePitch="312" w:charSpace="0"/>
        </w:sectPr>
      </w:pPr>
    </w:p>
    <w:p w14:paraId="402417CD">
      <w:pPr>
        <w:spacing w:line="580" w:lineRule="exact"/>
        <w:rPr>
          <w:rFonts w:ascii="仿宋_GB2312" w:hAnsi="仿宋_GB2312" w:eastAsia="仿宋_GB2312" w:cs="仿宋_GB2312"/>
          <w:sz w:val="32"/>
          <w:szCs w:val="32"/>
        </w:rPr>
      </w:pPr>
      <w:r>
        <w:rPr>
          <w:rFonts w:hint="eastAsia" w:ascii="黑体" w:hAnsi="黑体" w:eastAsia="黑体" w:cs="黑体"/>
          <w:sz w:val="32"/>
          <w:szCs w:val="32"/>
        </w:rPr>
        <w:t>附件2</w:t>
      </w:r>
    </w:p>
    <w:p w14:paraId="4B607D98">
      <w:pPr>
        <w:spacing w:line="580" w:lineRule="exact"/>
        <w:ind w:firstLine="640" w:firstLineChars="200"/>
        <w:rPr>
          <w:rFonts w:ascii="仿宋_GB2312" w:hAnsi="仿宋_GB2312" w:eastAsia="仿宋_GB2312" w:cs="仿宋_GB2312"/>
          <w:sz w:val="32"/>
          <w:szCs w:val="32"/>
        </w:rPr>
      </w:pPr>
    </w:p>
    <w:p w14:paraId="1F96AC98">
      <w:pPr>
        <w:spacing w:line="540" w:lineRule="exact"/>
        <w:rPr>
          <w:rFonts w:ascii="小标宋" w:hAnsi="黑体" w:eastAsia="小标宋" w:cs="方正小标宋简体"/>
          <w:sz w:val="44"/>
          <w:szCs w:val="44"/>
        </w:rPr>
      </w:pPr>
      <w:r>
        <w:rPr>
          <w:rFonts w:hint="eastAsia" w:ascii="小标宋" w:hAnsi="黑体" w:eastAsia="小标宋" w:cs="方正小标宋简体"/>
          <w:sz w:val="44"/>
          <w:szCs w:val="44"/>
        </w:rPr>
        <w:t>2020年度医疗救助转移支付绩效评价报告</w:t>
      </w:r>
    </w:p>
    <w:p w14:paraId="4566585D">
      <w:pPr>
        <w:spacing w:line="540" w:lineRule="exact"/>
        <w:ind w:firstLine="880" w:firstLineChars="200"/>
        <w:jc w:val="center"/>
        <w:rPr>
          <w:rFonts w:ascii="仿宋_GB2312" w:hAnsi="方正小标宋简体" w:eastAsia="仿宋_GB2312" w:cs="方正小标宋简体"/>
          <w:sz w:val="44"/>
          <w:szCs w:val="44"/>
        </w:rPr>
      </w:pPr>
    </w:p>
    <w:p w14:paraId="2F1F17B0">
      <w:pPr>
        <w:spacing w:line="540" w:lineRule="exact"/>
        <w:ind w:firstLine="880" w:firstLineChars="200"/>
        <w:jc w:val="center"/>
        <w:rPr>
          <w:rFonts w:ascii="仿宋_GB2312" w:hAnsi="方正小标宋简体" w:eastAsia="仿宋_GB2312" w:cs="方正小标宋简体"/>
          <w:sz w:val="44"/>
          <w:szCs w:val="44"/>
        </w:rPr>
      </w:pPr>
    </w:p>
    <w:p w14:paraId="5483821E">
      <w:pPr>
        <w:spacing w:line="540" w:lineRule="exact"/>
        <w:ind w:firstLine="640" w:firstLineChars="200"/>
        <w:jc w:val="left"/>
        <w:rPr>
          <w:rFonts w:ascii="仿宋_GB2312" w:hAnsi="方正小标宋简体" w:eastAsia="仿宋_GB2312" w:cs="方正小标宋简体"/>
          <w:sz w:val="32"/>
          <w:szCs w:val="32"/>
        </w:rPr>
      </w:pPr>
      <w:r>
        <w:rPr>
          <w:rFonts w:hint="eastAsia" w:ascii="仿宋" w:hAnsi="仿宋" w:eastAsia="仿宋" w:cs="方正小标宋简体"/>
          <w:sz w:val="32"/>
          <w:szCs w:val="32"/>
        </w:rPr>
        <w:t>根据财政部、民政部《城乡医疗救助基金管理办法》和</w:t>
      </w:r>
      <w:r>
        <w:rPr>
          <w:rFonts w:hint="eastAsia" w:ascii="仿宋" w:hAnsi="仿宋" w:eastAsia="仿宋"/>
          <w:sz w:val="32"/>
          <w:szCs w:val="32"/>
        </w:rPr>
        <w:t>四川省财政厅等部门《关于印发&lt;四川省中央和省级财政医疗救助补助资金管理办法&gt;的通知》（川财社【2020】66号）</w:t>
      </w:r>
      <w:r>
        <w:rPr>
          <w:rFonts w:hint="eastAsia" w:ascii="仿宋" w:hAnsi="仿宋" w:eastAsia="仿宋" w:cs="方正小标宋简体"/>
          <w:sz w:val="32"/>
          <w:szCs w:val="32"/>
        </w:rPr>
        <w:t>规定，现将我县城乡医疗救助（以下简称医疗救助）转移支付资金2020年度绩效情况报告如下：</w:t>
      </w:r>
    </w:p>
    <w:p w14:paraId="1B2A9108">
      <w:pPr>
        <w:spacing w:line="540" w:lineRule="exact"/>
        <w:ind w:firstLine="640" w:firstLineChars="200"/>
        <w:rPr>
          <w:rFonts w:ascii="黑体" w:hAnsi="黑体" w:eastAsia="黑体"/>
          <w:sz w:val="32"/>
          <w:szCs w:val="32"/>
        </w:rPr>
      </w:pPr>
      <w:r>
        <w:rPr>
          <w:rFonts w:hint="eastAsia" w:ascii="黑体" w:hAnsi="黑体" w:eastAsia="黑体"/>
          <w:sz w:val="32"/>
          <w:szCs w:val="32"/>
        </w:rPr>
        <w:t>一、基本情况</w:t>
      </w:r>
    </w:p>
    <w:p w14:paraId="42B61183">
      <w:pPr>
        <w:spacing w:line="540" w:lineRule="exact"/>
        <w:ind w:firstLine="640" w:firstLineChars="200"/>
        <w:rPr>
          <w:rFonts w:ascii="楷体" w:hAnsi="楷体" w:eastAsia="楷体"/>
          <w:b/>
          <w:sz w:val="32"/>
          <w:szCs w:val="32"/>
        </w:rPr>
      </w:pPr>
      <w:r>
        <w:rPr>
          <w:rFonts w:hint="eastAsia" w:ascii="楷体" w:hAnsi="楷体" w:eastAsia="楷体"/>
          <w:b/>
          <w:sz w:val="32"/>
          <w:szCs w:val="32"/>
        </w:rPr>
        <w:t>（一）项目总体情况。</w:t>
      </w:r>
    </w:p>
    <w:p w14:paraId="751E2547">
      <w:pPr>
        <w:spacing w:line="540" w:lineRule="exact"/>
        <w:ind w:firstLine="640" w:firstLineChars="200"/>
        <w:rPr>
          <w:rFonts w:ascii="仿宋" w:hAnsi="仿宋" w:eastAsia="仿宋"/>
          <w:sz w:val="32"/>
          <w:szCs w:val="32"/>
        </w:rPr>
      </w:pPr>
      <w:r>
        <w:rPr>
          <w:rFonts w:hint="eastAsia" w:ascii="仿宋_GB2312" w:hAnsi="楷体" w:eastAsia="仿宋_GB2312" w:cs="楷体_GB2312"/>
          <w:b/>
          <w:bCs/>
          <w:sz w:val="32"/>
          <w:szCs w:val="32"/>
        </w:rPr>
        <w:t>1.</w:t>
      </w:r>
      <w:r>
        <w:rPr>
          <w:rFonts w:hint="eastAsia" w:ascii="仿宋_GB2312" w:eastAsia="仿宋_GB2312"/>
          <w:b/>
          <w:sz w:val="32"/>
          <w:szCs w:val="32"/>
        </w:rPr>
        <w:t xml:space="preserve"> 项目背景。</w:t>
      </w:r>
      <w:r>
        <w:rPr>
          <w:rFonts w:hint="eastAsia" w:ascii="仿宋" w:hAnsi="仿宋" w:eastAsia="仿宋"/>
          <w:sz w:val="32"/>
          <w:szCs w:val="32"/>
        </w:rPr>
        <w:t>医疗救助2019年3月由民政部门转隶到医疗保障部门。医疗救助是针对城乡困难群众实施的专项社会救助工作。指导思想是以健全社会救助体系、保障困难群众基本医疗权益为目标，进一步健全工作机制，完善政策措施，强化规范管理，加强统筹衔接，不断提高医疗救助管理服务水平，最大限度减轻困难群众医疗费用支出负担。医疗救助基本原则</w:t>
      </w:r>
      <w:r>
        <w:rPr>
          <w:rFonts w:hint="eastAsia" w:ascii="仿宋" w:hAnsi="仿宋" w:eastAsia="仿宋"/>
          <w:b/>
          <w:sz w:val="32"/>
          <w:szCs w:val="32"/>
        </w:rPr>
        <w:t>一是托住底线，</w:t>
      </w:r>
      <w:r>
        <w:rPr>
          <w:rFonts w:hint="eastAsia" w:ascii="仿宋" w:hAnsi="仿宋" w:eastAsia="仿宋"/>
          <w:sz w:val="32"/>
          <w:szCs w:val="32"/>
        </w:rPr>
        <w:t>确保救助对象获得必需的基本医疗卫生服务；救助水平与经济社会发展水平相适应。</w:t>
      </w:r>
      <w:r>
        <w:rPr>
          <w:rFonts w:hint="eastAsia" w:ascii="仿宋" w:hAnsi="仿宋" w:eastAsia="仿宋"/>
          <w:b/>
          <w:sz w:val="32"/>
          <w:szCs w:val="32"/>
        </w:rPr>
        <w:t>二是统筹衔接，</w:t>
      </w:r>
      <w:r>
        <w:rPr>
          <w:rFonts w:hint="eastAsia" w:ascii="仿宋" w:hAnsi="仿宋" w:eastAsia="仿宋"/>
          <w:sz w:val="32"/>
          <w:szCs w:val="32"/>
        </w:rPr>
        <w:t>推进医疗救助制度城乡统筹发展，加强与基本医疗保险、城乡居民大病保险、疾病应急救助及各类补充医疗保险、商业保险等制度的有效衔接，形成制度合力。</w:t>
      </w:r>
      <w:r>
        <w:rPr>
          <w:rFonts w:hint="eastAsia" w:ascii="仿宋" w:hAnsi="仿宋" w:eastAsia="仿宋"/>
          <w:b/>
          <w:sz w:val="32"/>
          <w:szCs w:val="32"/>
        </w:rPr>
        <w:t>三是公开公正，</w:t>
      </w:r>
      <w:r>
        <w:rPr>
          <w:rFonts w:hint="eastAsia" w:ascii="仿宋" w:hAnsi="仿宋" w:eastAsia="仿宋"/>
          <w:sz w:val="32"/>
          <w:szCs w:val="32"/>
        </w:rPr>
        <w:t>公开救助政策、工作程序、救助情况，主动接受群众和社会监督，确保过程公开透明、结果公平公正。</w:t>
      </w:r>
      <w:r>
        <w:rPr>
          <w:rFonts w:hint="eastAsia" w:ascii="仿宋" w:hAnsi="仿宋" w:eastAsia="仿宋"/>
          <w:b/>
          <w:sz w:val="32"/>
          <w:szCs w:val="32"/>
        </w:rPr>
        <w:t>四是高效便捷，</w:t>
      </w:r>
      <w:r>
        <w:rPr>
          <w:rFonts w:hint="eastAsia" w:ascii="仿宋" w:hAnsi="仿宋" w:eastAsia="仿宋"/>
          <w:sz w:val="32"/>
          <w:szCs w:val="32"/>
        </w:rPr>
        <w:t>优化救助流程，简化结算程序，加快信息化建设，增强救助时效。</w:t>
      </w:r>
    </w:p>
    <w:p w14:paraId="79A3DDB6">
      <w:pPr>
        <w:spacing w:line="540" w:lineRule="exact"/>
        <w:ind w:firstLine="640" w:firstLineChars="200"/>
        <w:rPr>
          <w:rFonts w:ascii="仿宋_GB2312" w:hAnsi="楷体" w:eastAsia="仿宋_GB2312" w:cs="楷体_GB2312"/>
          <w:b/>
          <w:bCs/>
          <w:sz w:val="32"/>
          <w:szCs w:val="32"/>
        </w:rPr>
      </w:pPr>
      <w:r>
        <w:rPr>
          <w:rFonts w:hint="eastAsia" w:ascii="仿宋" w:hAnsi="仿宋" w:eastAsia="仿宋"/>
          <w:b/>
          <w:sz w:val="32"/>
          <w:szCs w:val="32"/>
        </w:rPr>
        <w:t>2.</w:t>
      </w:r>
      <w:r>
        <w:rPr>
          <w:rFonts w:hint="eastAsia" w:ascii="仿宋_GB2312" w:eastAsia="仿宋_GB2312"/>
          <w:b/>
          <w:sz w:val="32"/>
          <w:szCs w:val="32"/>
        </w:rPr>
        <w:t>救助对象。</w:t>
      </w:r>
      <w:r>
        <w:rPr>
          <w:rFonts w:hint="eastAsia" w:ascii="仿宋" w:hAnsi="仿宋" w:eastAsia="仿宋"/>
          <w:sz w:val="32"/>
          <w:szCs w:val="32"/>
        </w:rPr>
        <w:t>医疗救助对象主要是城乡特困人员、城乡低保、城市低收入、脱贫攻坚对象、非建档立卡特殊困难户，以及县政府认定的其他社会救助对象等。</w:t>
      </w:r>
    </w:p>
    <w:p w14:paraId="71EA3A20">
      <w:pPr>
        <w:spacing w:line="540" w:lineRule="exact"/>
        <w:ind w:firstLine="640" w:firstLineChars="200"/>
        <w:rPr>
          <w:rFonts w:ascii="仿宋_GB2312" w:eastAsia="仿宋_GB2312"/>
          <w:sz w:val="32"/>
          <w:szCs w:val="32"/>
        </w:rPr>
      </w:pPr>
      <w:r>
        <w:rPr>
          <w:rFonts w:hint="eastAsia" w:ascii="仿宋_GB2312" w:eastAsia="仿宋_GB2312"/>
          <w:b/>
          <w:sz w:val="32"/>
          <w:szCs w:val="32"/>
        </w:rPr>
        <w:t>3.主要内容。</w:t>
      </w:r>
      <w:r>
        <w:rPr>
          <w:rFonts w:hint="eastAsia" w:ascii="仿宋" w:hAnsi="仿宋" w:eastAsia="仿宋"/>
          <w:color w:val="000000" w:themeColor="text1"/>
          <w:sz w:val="32"/>
          <w:szCs w:val="32"/>
        </w:rPr>
        <w:t>医疗救助的主要内容是资助参保、住院救助、门诊救助。</w:t>
      </w:r>
    </w:p>
    <w:p w14:paraId="064FD721">
      <w:pPr>
        <w:spacing w:line="540" w:lineRule="exact"/>
        <w:ind w:firstLine="640" w:firstLineChars="200"/>
        <w:rPr>
          <w:rFonts w:ascii="仿宋" w:hAnsi="仿宋" w:eastAsia="仿宋" w:cs="仿宋_GB2312"/>
          <w:sz w:val="32"/>
          <w:szCs w:val="32"/>
        </w:rPr>
      </w:pPr>
      <w:r>
        <w:rPr>
          <w:rFonts w:hint="eastAsia" w:ascii="仿宋_GB2312" w:eastAsia="仿宋_GB2312"/>
          <w:b/>
          <w:sz w:val="32"/>
          <w:szCs w:val="32"/>
        </w:rPr>
        <w:t>4.资金分解下达。</w:t>
      </w:r>
      <w:r>
        <w:rPr>
          <w:rFonts w:hint="eastAsia" w:ascii="仿宋" w:hAnsi="仿宋" w:eastAsia="仿宋" w:cs="楷体_GB2312"/>
          <w:bCs/>
          <w:sz w:val="32"/>
          <w:szCs w:val="32"/>
        </w:rPr>
        <w:t>2020年，中央、</w:t>
      </w:r>
      <w:r>
        <w:rPr>
          <w:rFonts w:hint="eastAsia" w:ascii="仿宋" w:hAnsi="仿宋" w:eastAsia="仿宋" w:cs="仿宋_GB2312"/>
          <w:sz w:val="32"/>
          <w:szCs w:val="32"/>
        </w:rPr>
        <w:t>省财政厅下达我县657.79万元，其中：中央财政补助资金516.25万元，省级财政补助资金141.54万元。2019年结余125.06万元，县级安排资金175.97万元。</w:t>
      </w:r>
    </w:p>
    <w:p w14:paraId="0604D8AF">
      <w:pPr>
        <w:tabs>
          <w:tab w:val="left" w:pos="-1560"/>
        </w:tabs>
        <w:spacing w:line="540" w:lineRule="exact"/>
        <w:ind w:firstLine="640" w:firstLineChars="200"/>
        <w:rPr>
          <w:rFonts w:ascii="楷体" w:hAnsi="楷体" w:eastAsia="楷体"/>
          <w:b/>
          <w:sz w:val="32"/>
          <w:szCs w:val="32"/>
        </w:rPr>
      </w:pPr>
      <w:r>
        <w:rPr>
          <w:rFonts w:hint="eastAsia" w:ascii="楷体" w:hAnsi="楷体" w:eastAsia="楷体"/>
          <w:b/>
          <w:sz w:val="32"/>
          <w:szCs w:val="32"/>
        </w:rPr>
        <w:t>（二）项目绩效目标</w:t>
      </w:r>
    </w:p>
    <w:p w14:paraId="2E0A3DA4">
      <w:pPr>
        <w:spacing w:line="540" w:lineRule="exact"/>
        <w:ind w:firstLine="640" w:firstLineChars="200"/>
        <w:rPr>
          <w:rFonts w:ascii="仿宋_GB2312" w:eastAsia="仿宋_GB2312"/>
          <w:sz w:val="32"/>
          <w:szCs w:val="32"/>
        </w:rPr>
      </w:pPr>
      <w:r>
        <w:rPr>
          <w:rFonts w:hint="eastAsia" w:ascii="仿宋_GB2312" w:eastAsia="仿宋_GB2312"/>
          <w:b/>
          <w:sz w:val="32"/>
          <w:szCs w:val="32"/>
        </w:rPr>
        <w:t>1.年度总体目标。</w:t>
      </w:r>
      <w:r>
        <w:rPr>
          <w:rFonts w:hint="eastAsia" w:ascii="仿宋" w:hAnsi="仿宋" w:eastAsia="仿宋"/>
          <w:sz w:val="32"/>
          <w:szCs w:val="32"/>
        </w:rPr>
        <w:t>持续做好困难群众的</w:t>
      </w:r>
      <w:r>
        <w:rPr>
          <w:rFonts w:hint="eastAsia" w:ascii="仿宋" w:hAnsi="仿宋" w:eastAsia="仿宋"/>
          <w:color w:val="000000" w:themeColor="text1"/>
          <w:sz w:val="32"/>
          <w:szCs w:val="32"/>
        </w:rPr>
        <w:t>资助参保、住院救助、门诊救助</w:t>
      </w:r>
      <w:r>
        <w:rPr>
          <w:rFonts w:hint="eastAsia" w:ascii="仿宋" w:hAnsi="仿宋" w:eastAsia="仿宋"/>
          <w:sz w:val="32"/>
          <w:szCs w:val="32"/>
        </w:rPr>
        <w:t>工作。重点救助对象自付医疗费用按规定年度限额内住院救助比例达到70%。强化医疗救助规范管理，有效化解不合理累计结余。</w:t>
      </w:r>
    </w:p>
    <w:p w14:paraId="0516CC21">
      <w:pPr>
        <w:spacing w:line="540" w:lineRule="exact"/>
        <w:ind w:firstLine="640" w:firstLineChars="200"/>
        <w:rPr>
          <w:rFonts w:ascii="仿宋_GB2312" w:eastAsia="仿宋_GB2312"/>
          <w:sz w:val="32"/>
          <w:szCs w:val="32"/>
        </w:rPr>
      </w:pPr>
      <w:r>
        <w:rPr>
          <w:rFonts w:hint="eastAsia" w:ascii="仿宋_GB2312" w:eastAsia="仿宋_GB2312"/>
          <w:b/>
          <w:sz w:val="32"/>
          <w:szCs w:val="32"/>
        </w:rPr>
        <w:t>2．具体绩效指标。</w:t>
      </w:r>
      <w:r>
        <w:rPr>
          <w:rFonts w:hint="eastAsia" w:ascii="仿宋" w:hAnsi="仿宋" w:eastAsia="仿宋"/>
          <w:sz w:val="32"/>
          <w:szCs w:val="32"/>
        </w:rPr>
        <w:t>我县2020年绩效评价指标包括产出指标、效益指标、满意度指标。</w:t>
      </w:r>
    </w:p>
    <w:p w14:paraId="1820EA1C">
      <w:pPr>
        <w:spacing w:line="540" w:lineRule="exact"/>
        <w:ind w:firstLine="640" w:firstLineChars="200"/>
        <w:rPr>
          <w:rFonts w:ascii="仿宋_GB2312" w:eastAsia="仿宋_GB2312"/>
          <w:b/>
          <w:sz w:val="32"/>
          <w:szCs w:val="32"/>
        </w:rPr>
      </w:pPr>
      <w:r>
        <w:rPr>
          <w:rFonts w:hint="eastAsia" w:ascii="仿宋_GB2312" w:eastAsia="仿宋_GB2312"/>
          <w:b/>
          <w:sz w:val="32"/>
          <w:szCs w:val="32"/>
        </w:rPr>
        <w:t>（1）产出指标：</w:t>
      </w:r>
    </w:p>
    <w:p w14:paraId="502E7F24">
      <w:pPr>
        <w:spacing w:line="540" w:lineRule="exact"/>
        <w:ind w:firstLine="640" w:firstLineChars="200"/>
        <w:rPr>
          <w:rFonts w:ascii="仿宋_GB2312" w:hAnsi="宋体" w:eastAsia="仿宋_GB2312" w:cs="宋体"/>
          <w:color w:val="000000"/>
          <w:kern w:val="0"/>
          <w:sz w:val="32"/>
          <w:szCs w:val="32"/>
        </w:rPr>
      </w:pPr>
      <w:r>
        <w:rPr>
          <w:rFonts w:hint="eastAsia" w:ascii="仿宋_GB2312" w:hAnsi="宋体" w:eastAsia="仿宋_GB2312" w:cs="宋体"/>
          <w:kern w:val="0"/>
          <w:sz w:val="32"/>
          <w:szCs w:val="32"/>
        </w:rPr>
        <w:t>数量指标：</w:t>
      </w:r>
      <w:r>
        <w:rPr>
          <w:rFonts w:hint="eastAsia" w:ascii="仿宋" w:hAnsi="仿宋" w:eastAsia="仿宋" w:cs="宋体"/>
          <w:kern w:val="0"/>
          <w:sz w:val="32"/>
          <w:szCs w:val="32"/>
        </w:rPr>
        <w:t>资助参保人次数</w:t>
      </w:r>
      <w:r>
        <w:rPr>
          <w:rFonts w:hint="eastAsia" w:ascii="仿宋" w:hAnsi="仿宋" w:eastAsia="仿宋" w:cs="宋体"/>
          <w:color w:val="000000"/>
          <w:kern w:val="0"/>
          <w:sz w:val="32"/>
          <w:szCs w:val="32"/>
        </w:rPr>
        <w:t>11319人次，</w:t>
      </w:r>
      <w:r>
        <w:rPr>
          <w:rFonts w:hint="eastAsia" w:ascii="仿宋" w:hAnsi="仿宋" w:eastAsia="仿宋" w:cs="宋体"/>
          <w:kern w:val="0"/>
          <w:sz w:val="32"/>
          <w:szCs w:val="32"/>
        </w:rPr>
        <w:t>住院救助人次数</w:t>
      </w:r>
      <w:r>
        <w:rPr>
          <w:rFonts w:hint="eastAsia" w:ascii="仿宋" w:hAnsi="仿宋" w:eastAsia="仿宋" w:cs="宋体"/>
          <w:color w:val="000000"/>
          <w:kern w:val="0"/>
          <w:sz w:val="32"/>
          <w:szCs w:val="32"/>
        </w:rPr>
        <w:t>9931人次，</w:t>
      </w:r>
      <w:r>
        <w:rPr>
          <w:rFonts w:hint="eastAsia" w:ascii="仿宋" w:hAnsi="仿宋" w:eastAsia="仿宋" w:cs="宋体"/>
          <w:kern w:val="0"/>
          <w:sz w:val="32"/>
          <w:szCs w:val="32"/>
        </w:rPr>
        <w:t>门诊救助人次数</w:t>
      </w:r>
      <w:r>
        <w:rPr>
          <w:rFonts w:hint="eastAsia" w:ascii="仿宋" w:hAnsi="仿宋" w:eastAsia="仿宋" w:cs="宋体"/>
          <w:color w:val="000000"/>
          <w:kern w:val="0"/>
          <w:sz w:val="32"/>
          <w:szCs w:val="32"/>
        </w:rPr>
        <w:t>2503人次。</w:t>
      </w:r>
    </w:p>
    <w:p w14:paraId="65BBA63F">
      <w:pPr>
        <w:spacing w:line="540" w:lineRule="exact"/>
        <w:ind w:firstLine="640" w:firstLineChars="200"/>
        <w:rPr>
          <w:rFonts w:ascii="仿宋" w:hAnsi="仿宋" w:eastAsia="仿宋" w:cs="宋体"/>
          <w:color w:val="000000"/>
          <w:kern w:val="0"/>
          <w:sz w:val="32"/>
          <w:szCs w:val="32"/>
        </w:rPr>
      </w:pPr>
      <w:r>
        <w:rPr>
          <w:rFonts w:hint="eastAsia" w:ascii="仿宋_GB2312" w:hAnsi="宋体" w:eastAsia="仿宋_GB2312" w:cs="宋体"/>
          <w:kern w:val="0"/>
          <w:sz w:val="32"/>
          <w:szCs w:val="32"/>
        </w:rPr>
        <w:t>质量指标：</w:t>
      </w:r>
      <w:r>
        <w:rPr>
          <w:rFonts w:hint="eastAsia" w:ascii="仿宋" w:hAnsi="仿宋" w:eastAsia="仿宋" w:cs="宋体"/>
          <w:kern w:val="0"/>
          <w:sz w:val="32"/>
          <w:szCs w:val="32"/>
        </w:rPr>
        <w:t>门诊救助</w:t>
      </w:r>
      <w:r>
        <w:rPr>
          <w:rFonts w:hint="eastAsia" w:ascii="仿宋" w:hAnsi="仿宋" w:eastAsia="仿宋" w:cs="宋体"/>
          <w:color w:val="000000"/>
          <w:kern w:val="0"/>
          <w:sz w:val="32"/>
          <w:szCs w:val="32"/>
        </w:rPr>
        <w:t>为一次性发放，</w:t>
      </w:r>
      <w:r>
        <w:rPr>
          <w:rFonts w:hint="eastAsia" w:ascii="仿宋" w:hAnsi="仿宋" w:eastAsia="仿宋" w:cs="宋体"/>
          <w:kern w:val="0"/>
          <w:sz w:val="32"/>
          <w:szCs w:val="32"/>
        </w:rPr>
        <w:t>住院医疗费用救助比例</w:t>
      </w:r>
      <w:r>
        <w:rPr>
          <w:rFonts w:hint="eastAsia" w:ascii="仿宋" w:hAnsi="仿宋" w:eastAsia="仿宋" w:cs="宋体"/>
          <w:color w:val="000000"/>
          <w:kern w:val="0"/>
          <w:sz w:val="32"/>
          <w:szCs w:val="32"/>
        </w:rPr>
        <w:t>不低于70%，</w:t>
      </w:r>
      <w:r>
        <w:rPr>
          <w:rFonts w:hint="eastAsia" w:ascii="仿宋" w:hAnsi="仿宋" w:eastAsia="仿宋" w:cs="宋体"/>
          <w:kern w:val="0"/>
          <w:sz w:val="32"/>
          <w:szCs w:val="32"/>
        </w:rPr>
        <w:t>重点救助对象自付费用按规定年度限</w:t>
      </w:r>
      <w:r>
        <w:rPr>
          <w:rFonts w:hint="eastAsia" w:ascii="仿宋" w:hAnsi="仿宋" w:eastAsia="仿宋" w:cs="宋体"/>
          <w:color w:val="000000"/>
          <w:kern w:val="0"/>
          <w:sz w:val="32"/>
          <w:szCs w:val="32"/>
        </w:rPr>
        <w:t>额内住院救助比例不低于70%。</w:t>
      </w:r>
    </w:p>
    <w:p w14:paraId="053D1D7C">
      <w:pPr>
        <w:spacing w:line="540" w:lineRule="exact"/>
        <w:ind w:firstLine="640" w:firstLineChars="200"/>
        <w:rPr>
          <w:rFonts w:ascii="仿宋_GB2312" w:hAnsi="宋体" w:eastAsia="仿宋_GB2312" w:cs="宋体"/>
          <w:color w:val="000000"/>
          <w:kern w:val="0"/>
          <w:sz w:val="32"/>
          <w:szCs w:val="32"/>
        </w:rPr>
      </w:pPr>
      <w:r>
        <w:rPr>
          <w:rFonts w:hint="eastAsia" w:ascii="仿宋_GB2312" w:hAnsi="宋体" w:eastAsia="仿宋_GB2312" w:cs="宋体"/>
          <w:kern w:val="0"/>
          <w:sz w:val="32"/>
          <w:szCs w:val="32"/>
        </w:rPr>
        <w:t>实效指标：</w:t>
      </w:r>
      <w:r>
        <w:rPr>
          <w:rFonts w:hint="eastAsia" w:ascii="仿宋" w:hAnsi="仿宋" w:eastAsia="仿宋" w:cs="宋体"/>
          <w:kern w:val="0"/>
          <w:sz w:val="32"/>
          <w:szCs w:val="32"/>
        </w:rPr>
        <w:t>医疗救助“一单制”即时结算覆盖率</w:t>
      </w:r>
      <w:r>
        <w:rPr>
          <w:rFonts w:hint="eastAsia" w:ascii="仿宋" w:hAnsi="仿宋" w:eastAsia="仿宋" w:cs="宋体"/>
          <w:color w:val="000000"/>
          <w:kern w:val="0"/>
          <w:sz w:val="32"/>
          <w:szCs w:val="32"/>
        </w:rPr>
        <w:t>100%。</w:t>
      </w:r>
    </w:p>
    <w:p w14:paraId="19B54689">
      <w:pPr>
        <w:spacing w:line="54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b/>
          <w:kern w:val="0"/>
          <w:sz w:val="32"/>
          <w:szCs w:val="32"/>
        </w:rPr>
        <w:t>（2）效益指标：</w:t>
      </w:r>
    </w:p>
    <w:p w14:paraId="7417901A">
      <w:pPr>
        <w:spacing w:line="54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经济效益指标：</w:t>
      </w:r>
      <w:r>
        <w:rPr>
          <w:rFonts w:hint="eastAsia" w:ascii="仿宋" w:hAnsi="仿宋" w:eastAsia="仿宋" w:cs="宋体"/>
          <w:kern w:val="0"/>
          <w:sz w:val="32"/>
          <w:szCs w:val="32"/>
        </w:rPr>
        <w:t>不合理累计结余减少程度100%。</w:t>
      </w:r>
    </w:p>
    <w:p w14:paraId="06BEFA4F">
      <w:pPr>
        <w:spacing w:line="540" w:lineRule="exact"/>
        <w:ind w:firstLine="640" w:firstLineChars="200"/>
        <w:rPr>
          <w:rFonts w:ascii="仿宋" w:hAnsi="仿宋" w:eastAsia="仿宋" w:cs="宋体"/>
          <w:color w:val="000000"/>
          <w:kern w:val="0"/>
          <w:sz w:val="32"/>
          <w:szCs w:val="32"/>
        </w:rPr>
      </w:pPr>
      <w:r>
        <w:rPr>
          <w:rFonts w:hint="eastAsia" w:ascii="仿宋_GB2312" w:hAnsi="宋体" w:eastAsia="仿宋_GB2312" w:cs="宋体"/>
          <w:kern w:val="0"/>
          <w:sz w:val="32"/>
          <w:szCs w:val="32"/>
        </w:rPr>
        <w:t>社会效益指标：</w:t>
      </w:r>
      <w:r>
        <w:rPr>
          <w:rFonts w:hint="eastAsia" w:ascii="仿宋" w:hAnsi="仿宋" w:eastAsia="仿宋" w:cs="宋体"/>
          <w:kern w:val="0"/>
          <w:sz w:val="32"/>
          <w:szCs w:val="32"/>
        </w:rPr>
        <w:t>医疗救助对象覆盖范围</w:t>
      </w:r>
      <w:r>
        <w:rPr>
          <w:rFonts w:hint="eastAsia" w:ascii="仿宋" w:hAnsi="仿宋" w:eastAsia="仿宋" w:cs="宋体"/>
          <w:color w:val="000000"/>
          <w:kern w:val="0"/>
          <w:sz w:val="32"/>
          <w:szCs w:val="32"/>
        </w:rPr>
        <w:t>100%，</w:t>
      </w:r>
      <w:r>
        <w:rPr>
          <w:rFonts w:hint="eastAsia" w:ascii="仿宋" w:hAnsi="仿宋" w:eastAsia="仿宋" w:cs="宋体"/>
          <w:kern w:val="0"/>
          <w:sz w:val="32"/>
          <w:szCs w:val="32"/>
        </w:rPr>
        <w:t>困难群众看病就医方便程度</w:t>
      </w:r>
      <w:r>
        <w:rPr>
          <w:rFonts w:hint="eastAsia" w:ascii="仿宋" w:hAnsi="仿宋" w:eastAsia="仿宋" w:cs="宋体"/>
          <w:color w:val="000000"/>
          <w:kern w:val="0"/>
          <w:sz w:val="32"/>
          <w:szCs w:val="32"/>
        </w:rPr>
        <w:t>持续提高，</w:t>
      </w:r>
      <w:r>
        <w:rPr>
          <w:rFonts w:hint="eastAsia" w:ascii="仿宋" w:hAnsi="仿宋" w:eastAsia="仿宋" w:cs="宋体"/>
          <w:kern w:val="0"/>
          <w:sz w:val="32"/>
          <w:szCs w:val="32"/>
        </w:rPr>
        <w:t>对健全社会救助体系的影响具有</w:t>
      </w:r>
      <w:r>
        <w:rPr>
          <w:rFonts w:hint="eastAsia" w:ascii="仿宋" w:hAnsi="仿宋" w:eastAsia="仿宋" w:cs="宋体"/>
          <w:color w:val="000000"/>
          <w:kern w:val="0"/>
          <w:sz w:val="32"/>
          <w:szCs w:val="32"/>
        </w:rPr>
        <w:t>有效保障。</w:t>
      </w:r>
    </w:p>
    <w:p w14:paraId="010F38BD">
      <w:pPr>
        <w:spacing w:line="540" w:lineRule="exact"/>
        <w:ind w:firstLine="640" w:firstLineChars="200"/>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生态效益指标：</w:t>
      </w:r>
      <w:r>
        <w:rPr>
          <w:rFonts w:hint="eastAsia" w:ascii="仿宋" w:hAnsi="仿宋" w:eastAsia="仿宋" w:cs="宋体"/>
          <w:kern w:val="0"/>
          <w:sz w:val="32"/>
          <w:szCs w:val="32"/>
        </w:rPr>
        <w:t>困难群众医疗费用负担</w:t>
      </w:r>
      <w:r>
        <w:rPr>
          <w:rFonts w:hint="eastAsia" w:ascii="仿宋" w:hAnsi="仿宋" w:eastAsia="仿宋" w:cs="宋体"/>
          <w:color w:val="000000"/>
          <w:kern w:val="0"/>
          <w:sz w:val="32"/>
          <w:szCs w:val="32"/>
        </w:rPr>
        <w:t>有一定降低。</w:t>
      </w:r>
    </w:p>
    <w:p w14:paraId="3F57F1FB">
      <w:pPr>
        <w:spacing w:line="54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b/>
          <w:kern w:val="0"/>
          <w:sz w:val="32"/>
          <w:szCs w:val="32"/>
        </w:rPr>
        <w:t>（3）满意度指标：</w:t>
      </w:r>
    </w:p>
    <w:p w14:paraId="53D54E7E">
      <w:pPr>
        <w:spacing w:line="540" w:lineRule="exact"/>
        <w:ind w:firstLine="640" w:firstLineChars="200"/>
        <w:rPr>
          <w:rFonts w:ascii="仿宋" w:hAnsi="仿宋" w:eastAsia="仿宋" w:cs="Arial"/>
          <w:color w:val="000000"/>
          <w:kern w:val="0"/>
          <w:sz w:val="32"/>
          <w:szCs w:val="32"/>
        </w:rPr>
      </w:pPr>
      <w:r>
        <w:rPr>
          <w:rFonts w:hint="eastAsia" w:ascii="仿宋_GB2312" w:hAnsi="宋体" w:eastAsia="仿宋_GB2312" w:cs="宋体"/>
          <w:kern w:val="0"/>
          <w:sz w:val="32"/>
          <w:szCs w:val="32"/>
        </w:rPr>
        <w:t>服务对象满意度：</w:t>
      </w:r>
      <w:r>
        <w:rPr>
          <w:rFonts w:hint="eastAsia" w:ascii="仿宋" w:hAnsi="仿宋" w:eastAsia="仿宋" w:cs="宋体"/>
          <w:kern w:val="0"/>
          <w:sz w:val="32"/>
          <w:szCs w:val="32"/>
        </w:rPr>
        <w:t>政策知晓率</w:t>
      </w:r>
      <w:r>
        <w:rPr>
          <w:rFonts w:hint="eastAsia" w:ascii="仿宋" w:hAnsi="仿宋" w:eastAsia="仿宋" w:cs="宋体"/>
          <w:color w:val="000000"/>
          <w:kern w:val="0"/>
          <w:sz w:val="32"/>
          <w:szCs w:val="32"/>
        </w:rPr>
        <w:t>大于等于</w:t>
      </w:r>
      <w:r>
        <w:rPr>
          <w:rFonts w:hint="eastAsia" w:ascii="仿宋" w:hAnsi="仿宋" w:eastAsia="仿宋" w:cs="Arial"/>
          <w:color w:val="000000"/>
          <w:kern w:val="0"/>
          <w:sz w:val="32"/>
          <w:szCs w:val="32"/>
        </w:rPr>
        <w:t>85%，</w:t>
      </w:r>
      <w:r>
        <w:rPr>
          <w:rFonts w:hint="eastAsia" w:ascii="仿宋" w:hAnsi="仿宋" w:eastAsia="仿宋" w:cs="宋体"/>
          <w:kern w:val="0"/>
          <w:sz w:val="32"/>
          <w:szCs w:val="32"/>
        </w:rPr>
        <w:t>救助对象满意度</w:t>
      </w:r>
      <w:r>
        <w:rPr>
          <w:rFonts w:hint="eastAsia" w:ascii="仿宋" w:hAnsi="仿宋" w:eastAsia="仿宋" w:cs="宋体"/>
          <w:color w:val="000000"/>
          <w:kern w:val="0"/>
          <w:sz w:val="32"/>
          <w:szCs w:val="32"/>
        </w:rPr>
        <w:t>大于等于90</w:t>
      </w:r>
      <w:r>
        <w:rPr>
          <w:rFonts w:hint="eastAsia" w:ascii="仿宋" w:hAnsi="仿宋" w:eastAsia="仿宋" w:cs="Arial"/>
          <w:color w:val="000000"/>
          <w:kern w:val="0"/>
          <w:sz w:val="32"/>
          <w:szCs w:val="32"/>
        </w:rPr>
        <w:t>%。</w:t>
      </w:r>
    </w:p>
    <w:p w14:paraId="67DB974B">
      <w:pPr>
        <w:spacing w:line="540" w:lineRule="exact"/>
        <w:ind w:firstLine="640" w:firstLineChars="200"/>
        <w:rPr>
          <w:rFonts w:ascii="仿宋" w:hAnsi="仿宋" w:eastAsia="仿宋" w:cs="Arial"/>
          <w:color w:val="000000"/>
          <w:kern w:val="0"/>
          <w:sz w:val="32"/>
          <w:szCs w:val="32"/>
        </w:rPr>
      </w:pPr>
    </w:p>
    <w:tbl>
      <w:tblPr>
        <w:tblStyle w:val="14"/>
        <w:tblW w:w="8659" w:type="dxa"/>
        <w:tblInd w:w="96" w:type="dxa"/>
        <w:tblLayout w:type="autofit"/>
        <w:tblCellMar>
          <w:top w:w="0" w:type="dxa"/>
          <w:left w:w="108" w:type="dxa"/>
          <w:bottom w:w="0" w:type="dxa"/>
          <w:right w:w="108" w:type="dxa"/>
        </w:tblCellMar>
      </w:tblPr>
      <w:tblGrid>
        <w:gridCol w:w="1040"/>
        <w:gridCol w:w="920"/>
        <w:gridCol w:w="1220"/>
        <w:gridCol w:w="3353"/>
        <w:gridCol w:w="2126"/>
      </w:tblGrid>
      <w:tr w14:paraId="7307FE55">
        <w:tblPrEx>
          <w:tblCellMar>
            <w:top w:w="0" w:type="dxa"/>
            <w:left w:w="108" w:type="dxa"/>
            <w:bottom w:w="0" w:type="dxa"/>
            <w:right w:w="108" w:type="dxa"/>
          </w:tblCellMar>
        </w:tblPrEx>
        <w:trPr>
          <w:trHeight w:val="360" w:hRule="atLeast"/>
        </w:trPr>
        <w:tc>
          <w:tcPr>
            <w:tcW w:w="8659" w:type="dxa"/>
            <w:gridSpan w:val="5"/>
            <w:tcBorders>
              <w:top w:val="nil"/>
              <w:left w:val="nil"/>
              <w:bottom w:val="nil"/>
              <w:right w:val="nil"/>
            </w:tcBorders>
            <w:shd w:val="clear" w:color="auto" w:fill="auto"/>
            <w:vAlign w:val="center"/>
          </w:tcPr>
          <w:p w14:paraId="0BD5E3A2">
            <w:pPr>
              <w:widowControl/>
              <w:jc w:val="center"/>
              <w:rPr>
                <w:rFonts w:ascii="方正小标宋简体" w:hAnsi="宋体" w:eastAsia="方正小标宋简体" w:cs="宋体"/>
                <w:kern w:val="0"/>
                <w:sz w:val="28"/>
                <w:szCs w:val="28"/>
              </w:rPr>
            </w:pPr>
            <w:r>
              <w:rPr>
                <w:rFonts w:hint="eastAsia" w:ascii="方正小标宋简体" w:hAnsi="宋体" w:eastAsia="方正小标宋简体" w:cs="宋体"/>
                <w:kern w:val="0"/>
                <w:sz w:val="28"/>
                <w:szCs w:val="28"/>
              </w:rPr>
              <w:t>医疗救助补助资金市（州）区域绩效目标评价表</w:t>
            </w:r>
          </w:p>
        </w:tc>
      </w:tr>
      <w:tr w14:paraId="518BED67">
        <w:tblPrEx>
          <w:tblCellMar>
            <w:top w:w="0" w:type="dxa"/>
            <w:left w:w="108" w:type="dxa"/>
            <w:bottom w:w="0" w:type="dxa"/>
            <w:right w:w="108" w:type="dxa"/>
          </w:tblCellMar>
        </w:tblPrEx>
        <w:trPr>
          <w:trHeight w:val="318" w:hRule="atLeast"/>
        </w:trPr>
        <w:tc>
          <w:tcPr>
            <w:tcW w:w="8659" w:type="dxa"/>
            <w:gridSpan w:val="5"/>
            <w:tcBorders>
              <w:top w:val="nil"/>
              <w:left w:val="nil"/>
              <w:bottom w:val="single" w:color="auto" w:sz="4" w:space="0"/>
              <w:right w:val="nil"/>
            </w:tcBorders>
            <w:shd w:val="clear" w:color="auto" w:fill="auto"/>
            <w:vAlign w:val="center"/>
          </w:tcPr>
          <w:p w14:paraId="3CE0E377">
            <w:pPr>
              <w:widowControl/>
              <w:jc w:val="center"/>
              <w:rPr>
                <w:rFonts w:ascii="宋体" w:hAnsi="宋体" w:cs="宋体"/>
                <w:kern w:val="0"/>
                <w:sz w:val="22"/>
                <w:szCs w:val="22"/>
              </w:rPr>
            </w:pPr>
            <w:r>
              <w:rPr>
                <w:rFonts w:hint="eastAsia" w:ascii="宋体" w:hAnsi="宋体" w:cs="宋体"/>
                <w:kern w:val="0"/>
                <w:sz w:val="22"/>
                <w:szCs w:val="22"/>
              </w:rPr>
              <w:t>（2021年度）</w:t>
            </w:r>
          </w:p>
        </w:tc>
      </w:tr>
      <w:tr w14:paraId="28F84A00">
        <w:tblPrEx>
          <w:tblCellMar>
            <w:top w:w="0" w:type="dxa"/>
            <w:left w:w="108" w:type="dxa"/>
            <w:bottom w:w="0" w:type="dxa"/>
            <w:right w:w="108" w:type="dxa"/>
          </w:tblCellMar>
        </w:tblPrEx>
        <w:trPr>
          <w:trHeight w:val="420" w:hRule="atLeast"/>
        </w:trPr>
        <w:tc>
          <w:tcPr>
            <w:tcW w:w="1040" w:type="dxa"/>
            <w:tcBorders>
              <w:top w:val="nil"/>
              <w:left w:val="single" w:color="auto" w:sz="4" w:space="0"/>
              <w:bottom w:val="single" w:color="auto" w:sz="4" w:space="0"/>
              <w:right w:val="single" w:color="auto" w:sz="4" w:space="0"/>
            </w:tcBorders>
            <w:shd w:val="clear" w:color="auto" w:fill="auto"/>
            <w:vAlign w:val="center"/>
          </w:tcPr>
          <w:p w14:paraId="2BE56F91">
            <w:pPr>
              <w:widowControl/>
              <w:jc w:val="center"/>
              <w:rPr>
                <w:rFonts w:ascii="宋体" w:hAnsi="宋体" w:cs="宋体"/>
                <w:kern w:val="0"/>
                <w:sz w:val="20"/>
                <w:szCs w:val="20"/>
              </w:rPr>
            </w:pPr>
            <w:r>
              <w:rPr>
                <w:rFonts w:hint="eastAsia" w:ascii="宋体" w:hAnsi="宋体" w:cs="宋体"/>
                <w:kern w:val="0"/>
                <w:sz w:val="20"/>
                <w:szCs w:val="20"/>
              </w:rPr>
              <w:t>专项名称</w:t>
            </w:r>
          </w:p>
        </w:tc>
        <w:tc>
          <w:tcPr>
            <w:tcW w:w="7619" w:type="dxa"/>
            <w:gridSpan w:val="4"/>
            <w:tcBorders>
              <w:top w:val="single" w:color="auto" w:sz="4" w:space="0"/>
              <w:left w:val="nil"/>
              <w:bottom w:val="single" w:color="auto" w:sz="4" w:space="0"/>
              <w:right w:val="single" w:color="000000" w:sz="4" w:space="0"/>
            </w:tcBorders>
            <w:shd w:val="clear" w:color="auto" w:fill="auto"/>
            <w:vAlign w:val="center"/>
          </w:tcPr>
          <w:p w14:paraId="36E1EE8C">
            <w:pPr>
              <w:widowControl/>
              <w:jc w:val="center"/>
              <w:rPr>
                <w:rFonts w:ascii="宋体" w:hAnsi="宋体" w:cs="宋体"/>
                <w:kern w:val="0"/>
                <w:sz w:val="20"/>
                <w:szCs w:val="20"/>
              </w:rPr>
            </w:pPr>
            <w:r>
              <w:rPr>
                <w:rFonts w:hint="eastAsia" w:ascii="宋体" w:hAnsi="宋体" w:cs="宋体"/>
                <w:kern w:val="0"/>
                <w:sz w:val="20"/>
                <w:szCs w:val="20"/>
              </w:rPr>
              <w:t>2021年医疗救助补助资金</w:t>
            </w:r>
          </w:p>
        </w:tc>
      </w:tr>
      <w:tr w14:paraId="20420052">
        <w:tblPrEx>
          <w:tblCellMar>
            <w:top w:w="0" w:type="dxa"/>
            <w:left w:w="108" w:type="dxa"/>
            <w:bottom w:w="0" w:type="dxa"/>
            <w:right w:w="108" w:type="dxa"/>
          </w:tblCellMar>
        </w:tblPrEx>
        <w:trPr>
          <w:trHeight w:val="420" w:hRule="atLeast"/>
        </w:trPr>
        <w:tc>
          <w:tcPr>
            <w:tcW w:w="1040" w:type="dxa"/>
            <w:tcBorders>
              <w:top w:val="nil"/>
              <w:left w:val="single" w:color="auto" w:sz="4" w:space="0"/>
              <w:bottom w:val="single" w:color="auto" w:sz="4" w:space="0"/>
              <w:right w:val="single" w:color="auto" w:sz="4" w:space="0"/>
            </w:tcBorders>
            <w:shd w:val="clear" w:color="auto" w:fill="auto"/>
            <w:vAlign w:val="center"/>
          </w:tcPr>
          <w:p w14:paraId="3EF5CD94">
            <w:pPr>
              <w:widowControl/>
              <w:jc w:val="center"/>
              <w:rPr>
                <w:rFonts w:ascii="宋体" w:hAnsi="宋体" w:cs="宋体"/>
                <w:kern w:val="0"/>
                <w:sz w:val="20"/>
                <w:szCs w:val="20"/>
              </w:rPr>
            </w:pPr>
            <w:r>
              <w:rPr>
                <w:rFonts w:hint="eastAsia" w:ascii="宋体" w:hAnsi="宋体" w:cs="宋体"/>
                <w:kern w:val="0"/>
                <w:sz w:val="20"/>
                <w:szCs w:val="20"/>
              </w:rPr>
              <w:t>市县</w:t>
            </w:r>
          </w:p>
        </w:tc>
        <w:tc>
          <w:tcPr>
            <w:tcW w:w="7619" w:type="dxa"/>
            <w:gridSpan w:val="4"/>
            <w:tcBorders>
              <w:top w:val="single" w:color="auto" w:sz="4" w:space="0"/>
              <w:left w:val="nil"/>
              <w:bottom w:val="single" w:color="auto" w:sz="4" w:space="0"/>
              <w:right w:val="single" w:color="000000" w:sz="4" w:space="0"/>
            </w:tcBorders>
            <w:shd w:val="clear" w:color="auto" w:fill="auto"/>
            <w:vAlign w:val="center"/>
          </w:tcPr>
          <w:p w14:paraId="20D7DB3A">
            <w:pPr>
              <w:widowControl/>
              <w:jc w:val="center"/>
              <w:rPr>
                <w:rFonts w:ascii="宋体" w:hAnsi="宋体" w:cs="宋体"/>
                <w:kern w:val="0"/>
                <w:sz w:val="20"/>
                <w:szCs w:val="20"/>
              </w:rPr>
            </w:pPr>
            <w:r>
              <w:rPr>
                <w:rFonts w:hint="eastAsia" w:ascii="宋体" w:hAnsi="宋体" w:cs="宋体"/>
                <w:kern w:val="0"/>
                <w:sz w:val="20"/>
                <w:szCs w:val="20"/>
              </w:rPr>
              <w:t>米易县</w:t>
            </w:r>
          </w:p>
        </w:tc>
      </w:tr>
      <w:tr w14:paraId="28ECBA5C">
        <w:tblPrEx>
          <w:tblCellMar>
            <w:top w:w="0" w:type="dxa"/>
            <w:left w:w="108" w:type="dxa"/>
            <w:bottom w:w="0" w:type="dxa"/>
            <w:right w:w="108" w:type="dxa"/>
          </w:tblCellMar>
        </w:tblPrEx>
        <w:trPr>
          <w:trHeight w:val="480" w:hRule="atLeast"/>
        </w:trPr>
        <w:tc>
          <w:tcPr>
            <w:tcW w:w="1040" w:type="dxa"/>
            <w:tcBorders>
              <w:top w:val="nil"/>
              <w:left w:val="single" w:color="auto" w:sz="4" w:space="0"/>
              <w:bottom w:val="single" w:color="auto" w:sz="4" w:space="0"/>
              <w:right w:val="single" w:color="auto" w:sz="4" w:space="0"/>
            </w:tcBorders>
            <w:shd w:val="clear" w:color="auto" w:fill="auto"/>
            <w:vAlign w:val="center"/>
          </w:tcPr>
          <w:p w14:paraId="412D91B1">
            <w:pPr>
              <w:widowControl/>
              <w:jc w:val="center"/>
              <w:rPr>
                <w:rFonts w:ascii="宋体" w:hAnsi="宋体" w:cs="宋体"/>
                <w:kern w:val="0"/>
                <w:sz w:val="20"/>
                <w:szCs w:val="20"/>
              </w:rPr>
            </w:pPr>
            <w:r>
              <w:rPr>
                <w:rFonts w:hint="eastAsia" w:ascii="宋体" w:hAnsi="宋体" w:cs="宋体"/>
                <w:kern w:val="0"/>
                <w:sz w:val="20"/>
                <w:szCs w:val="20"/>
              </w:rPr>
              <w:t>市县级财政部门</w:t>
            </w:r>
          </w:p>
        </w:tc>
        <w:tc>
          <w:tcPr>
            <w:tcW w:w="7619" w:type="dxa"/>
            <w:gridSpan w:val="4"/>
            <w:tcBorders>
              <w:top w:val="single" w:color="auto" w:sz="4" w:space="0"/>
              <w:left w:val="nil"/>
              <w:bottom w:val="single" w:color="auto" w:sz="4" w:space="0"/>
              <w:right w:val="single" w:color="000000" w:sz="4" w:space="0"/>
            </w:tcBorders>
            <w:shd w:val="clear" w:color="auto" w:fill="auto"/>
            <w:vAlign w:val="center"/>
          </w:tcPr>
          <w:p w14:paraId="249C8E80">
            <w:pPr>
              <w:widowControl/>
              <w:jc w:val="center"/>
              <w:rPr>
                <w:rFonts w:ascii="宋体" w:hAnsi="宋体" w:cs="宋体"/>
                <w:kern w:val="0"/>
                <w:sz w:val="20"/>
                <w:szCs w:val="20"/>
              </w:rPr>
            </w:pPr>
            <w:r>
              <w:rPr>
                <w:rFonts w:hint="eastAsia" w:ascii="宋体" w:hAnsi="宋体" w:cs="宋体"/>
                <w:kern w:val="0"/>
                <w:sz w:val="20"/>
                <w:szCs w:val="20"/>
              </w:rPr>
              <w:t>米易县财政局</w:t>
            </w:r>
          </w:p>
        </w:tc>
      </w:tr>
      <w:tr w14:paraId="1C289FE9">
        <w:tblPrEx>
          <w:tblCellMar>
            <w:top w:w="0" w:type="dxa"/>
            <w:left w:w="108" w:type="dxa"/>
            <w:bottom w:w="0" w:type="dxa"/>
            <w:right w:w="108" w:type="dxa"/>
          </w:tblCellMar>
        </w:tblPrEx>
        <w:trPr>
          <w:trHeight w:val="645" w:hRule="atLeast"/>
        </w:trPr>
        <w:tc>
          <w:tcPr>
            <w:tcW w:w="1040" w:type="dxa"/>
            <w:tcBorders>
              <w:top w:val="nil"/>
              <w:left w:val="single" w:color="auto" w:sz="4" w:space="0"/>
              <w:bottom w:val="single" w:color="auto" w:sz="4" w:space="0"/>
              <w:right w:val="single" w:color="auto" w:sz="4" w:space="0"/>
            </w:tcBorders>
            <w:shd w:val="clear" w:color="auto" w:fill="auto"/>
            <w:vAlign w:val="center"/>
          </w:tcPr>
          <w:p w14:paraId="3B791215">
            <w:pPr>
              <w:widowControl/>
              <w:jc w:val="center"/>
              <w:rPr>
                <w:rFonts w:ascii="宋体" w:hAnsi="宋体" w:cs="宋体"/>
                <w:kern w:val="0"/>
                <w:sz w:val="20"/>
                <w:szCs w:val="20"/>
              </w:rPr>
            </w:pPr>
            <w:r>
              <w:rPr>
                <w:rFonts w:hint="eastAsia" w:ascii="宋体" w:hAnsi="宋体" w:cs="宋体"/>
                <w:kern w:val="0"/>
                <w:sz w:val="20"/>
                <w:szCs w:val="20"/>
              </w:rPr>
              <w:t>市县级业务主管部门</w:t>
            </w:r>
          </w:p>
        </w:tc>
        <w:tc>
          <w:tcPr>
            <w:tcW w:w="7619" w:type="dxa"/>
            <w:gridSpan w:val="4"/>
            <w:tcBorders>
              <w:top w:val="single" w:color="auto" w:sz="4" w:space="0"/>
              <w:left w:val="nil"/>
              <w:bottom w:val="single" w:color="auto" w:sz="4" w:space="0"/>
              <w:right w:val="single" w:color="000000" w:sz="4" w:space="0"/>
            </w:tcBorders>
            <w:shd w:val="clear" w:color="auto" w:fill="auto"/>
            <w:vAlign w:val="center"/>
          </w:tcPr>
          <w:p w14:paraId="634BB1FE">
            <w:pPr>
              <w:widowControl/>
              <w:jc w:val="center"/>
              <w:rPr>
                <w:rFonts w:ascii="宋体" w:hAnsi="宋体" w:cs="宋体"/>
                <w:kern w:val="0"/>
                <w:sz w:val="20"/>
                <w:szCs w:val="20"/>
              </w:rPr>
            </w:pPr>
            <w:r>
              <w:rPr>
                <w:rFonts w:hint="eastAsia" w:ascii="宋体" w:hAnsi="宋体" w:cs="宋体"/>
                <w:kern w:val="0"/>
                <w:sz w:val="20"/>
                <w:szCs w:val="20"/>
              </w:rPr>
              <w:t>米易县医疗保障局</w:t>
            </w:r>
          </w:p>
        </w:tc>
      </w:tr>
      <w:tr w14:paraId="3DD8151C">
        <w:tblPrEx>
          <w:tblCellMar>
            <w:top w:w="0" w:type="dxa"/>
            <w:left w:w="108" w:type="dxa"/>
            <w:bottom w:w="0" w:type="dxa"/>
            <w:right w:w="108" w:type="dxa"/>
          </w:tblCellMar>
        </w:tblPrEx>
        <w:trPr>
          <w:trHeight w:val="420" w:hRule="atLeast"/>
        </w:trPr>
        <w:tc>
          <w:tcPr>
            <w:tcW w:w="1040" w:type="dxa"/>
            <w:vMerge w:val="restart"/>
            <w:tcBorders>
              <w:top w:val="nil"/>
              <w:left w:val="single" w:color="auto" w:sz="4" w:space="0"/>
              <w:bottom w:val="single" w:color="000000" w:sz="4" w:space="0"/>
              <w:right w:val="single" w:color="auto" w:sz="4" w:space="0"/>
            </w:tcBorders>
            <w:shd w:val="clear" w:color="auto" w:fill="auto"/>
            <w:vAlign w:val="center"/>
          </w:tcPr>
          <w:p w14:paraId="58CB2BBA">
            <w:pPr>
              <w:widowControl/>
              <w:jc w:val="center"/>
              <w:rPr>
                <w:rFonts w:ascii="宋体" w:hAnsi="宋体" w:cs="宋体"/>
                <w:kern w:val="0"/>
                <w:sz w:val="20"/>
                <w:szCs w:val="20"/>
              </w:rPr>
            </w:pPr>
            <w:r>
              <w:rPr>
                <w:rFonts w:hint="eastAsia" w:ascii="宋体" w:hAnsi="宋体" w:cs="宋体"/>
                <w:kern w:val="0"/>
                <w:sz w:val="20"/>
                <w:szCs w:val="20"/>
              </w:rPr>
              <w:t>资金情况</w:t>
            </w:r>
            <w:r>
              <w:rPr>
                <w:rFonts w:hint="eastAsia" w:ascii="宋体" w:hAnsi="宋体" w:cs="宋体"/>
                <w:kern w:val="0"/>
                <w:sz w:val="20"/>
                <w:szCs w:val="20"/>
              </w:rPr>
              <w:br w:type="textWrapping"/>
            </w:r>
            <w:r>
              <w:rPr>
                <w:rFonts w:hint="eastAsia" w:ascii="宋体" w:hAnsi="宋体" w:cs="宋体"/>
                <w:kern w:val="0"/>
                <w:sz w:val="20"/>
                <w:szCs w:val="20"/>
              </w:rPr>
              <w:t>（万元）</w:t>
            </w:r>
          </w:p>
        </w:tc>
        <w:tc>
          <w:tcPr>
            <w:tcW w:w="2140" w:type="dxa"/>
            <w:gridSpan w:val="2"/>
            <w:tcBorders>
              <w:top w:val="single" w:color="auto" w:sz="4" w:space="0"/>
              <w:left w:val="nil"/>
              <w:bottom w:val="single" w:color="auto" w:sz="4" w:space="0"/>
              <w:right w:val="single" w:color="auto" w:sz="4" w:space="0"/>
            </w:tcBorders>
            <w:shd w:val="clear" w:color="auto" w:fill="auto"/>
            <w:vAlign w:val="center"/>
          </w:tcPr>
          <w:p w14:paraId="1C6BFF4B">
            <w:pPr>
              <w:widowControl/>
              <w:jc w:val="center"/>
              <w:rPr>
                <w:rFonts w:ascii="宋体" w:hAnsi="宋体" w:cs="宋体"/>
                <w:kern w:val="0"/>
                <w:sz w:val="20"/>
                <w:szCs w:val="20"/>
              </w:rPr>
            </w:pPr>
            <w:r>
              <w:rPr>
                <w:rFonts w:hint="eastAsia" w:ascii="宋体" w:hAnsi="宋体" w:cs="宋体"/>
                <w:kern w:val="0"/>
                <w:sz w:val="20"/>
                <w:szCs w:val="20"/>
              </w:rPr>
              <w:t>年度金额：</w:t>
            </w:r>
          </w:p>
        </w:tc>
        <w:tc>
          <w:tcPr>
            <w:tcW w:w="5479" w:type="dxa"/>
            <w:gridSpan w:val="2"/>
            <w:tcBorders>
              <w:top w:val="single" w:color="auto" w:sz="4" w:space="0"/>
              <w:left w:val="nil"/>
              <w:bottom w:val="single" w:color="auto" w:sz="4" w:space="0"/>
              <w:right w:val="single" w:color="000000" w:sz="4" w:space="0"/>
            </w:tcBorders>
            <w:shd w:val="clear" w:color="auto" w:fill="auto"/>
            <w:vAlign w:val="center"/>
          </w:tcPr>
          <w:p w14:paraId="43196D99">
            <w:pPr>
              <w:widowControl/>
              <w:jc w:val="center"/>
              <w:rPr>
                <w:rFonts w:ascii="宋体" w:hAnsi="宋体" w:cs="宋体"/>
                <w:kern w:val="0"/>
                <w:sz w:val="20"/>
                <w:szCs w:val="20"/>
              </w:rPr>
            </w:pPr>
            <w:r>
              <w:rPr>
                <w:rFonts w:hint="eastAsia" w:ascii="宋体" w:hAnsi="宋体" w:cs="宋体"/>
                <w:kern w:val="0"/>
                <w:sz w:val="20"/>
                <w:szCs w:val="20"/>
              </w:rPr>
              <w:t>531.46</w:t>
            </w:r>
          </w:p>
        </w:tc>
      </w:tr>
      <w:tr w14:paraId="68148321">
        <w:tblPrEx>
          <w:tblCellMar>
            <w:top w:w="0" w:type="dxa"/>
            <w:left w:w="108" w:type="dxa"/>
            <w:bottom w:w="0" w:type="dxa"/>
            <w:right w:w="108" w:type="dxa"/>
          </w:tblCellMar>
        </w:tblPrEx>
        <w:trPr>
          <w:trHeight w:val="420" w:hRule="atLeast"/>
        </w:trPr>
        <w:tc>
          <w:tcPr>
            <w:tcW w:w="1040" w:type="dxa"/>
            <w:vMerge w:val="continue"/>
            <w:tcBorders>
              <w:top w:val="nil"/>
              <w:left w:val="single" w:color="auto" w:sz="4" w:space="0"/>
              <w:bottom w:val="single" w:color="000000" w:sz="4" w:space="0"/>
              <w:right w:val="single" w:color="auto" w:sz="4" w:space="0"/>
            </w:tcBorders>
            <w:vAlign w:val="center"/>
          </w:tcPr>
          <w:p w14:paraId="582629A0">
            <w:pPr>
              <w:widowControl/>
              <w:jc w:val="left"/>
              <w:rPr>
                <w:rFonts w:ascii="宋体" w:hAnsi="宋体" w:cs="宋体"/>
                <w:kern w:val="0"/>
                <w:sz w:val="20"/>
                <w:szCs w:val="20"/>
              </w:rPr>
            </w:pPr>
          </w:p>
        </w:tc>
        <w:tc>
          <w:tcPr>
            <w:tcW w:w="2140" w:type="dxa"/>
            <w:gridSpan w:val="2"/>
            <w:tcBorders>
              <w:top w:val="single" w:color="auto" w:sz="4" w:space="0"/>
              <w:left w:val="nil"/>
              <w:bottom w:val="single" w:color="auto" w:sz="4" w:space="0"/>
              <w:right w:val="single" w:color="auto" w:sz="4" w:space="0"/>
            </w:tcBorders>
            <w:shd w:val="clear" w:color="auto" w:fill="auto"/>
            <w:vAlign w:val="center"/>
          </w:tcPr>
          <w:p w14:paraId="65870615">
            <w:pPr>
              <w:widowControl/>
              <w:jc w:val="center"/>
              <w:rPr>
                <w:rFonts w:ascii="宋体" w:hAnsi="宋体" w:cs="宋体"/>
                <w:kern w:val="0"/>
                <w:sz w:val="20"/>
                <w:szCs w:val="20"/>
              </w:rPr>
            </w:pPr>
            <w:r>
              <w:rPr>
                <w:rFonts w:hint="eastAsia" w:ascii="宋体" w:hAnsi="宋体" w:cs="宋体"/>
                <w:kern w:val="0"/>
                <w:sz w:val="20"/>
                <w:szCs w:val="20"/>
              </w:rPr>
              <w:t>其中：中央资金</w:t>
            </w:r>
          </w:p>
        </w:tc>
        <w:tc>
          <w:tcPr>
            <w:tcW w:w="5479" w:type="dxa"/>
            <w:gridSpan w:val="2"/>
            <w:tcBorders>
              <w:top w:val="single" w:color="auto" w:sz="4" w:space="0"/>
              <w:left w:val="nil"/>
              <w:bottom w:val="single" w:color="auto" w:sz="4" w:space="0"/>
              <w:right w:val="single" w:color="000000" w:sz="4" w:space="0"/>
            </w:tcBorders>
            <w:shd w:val="clear" w:color="auto" w:fill="auto"/>
            <w:vAlign w:val="center"/>
          </w:tcPr>
          <w:p w14:paraId="44597A5F">
            <w:pPr>
              <w:widowControl/>
              <w:jc w:val="center"/>
              <w:rPr>
                <w:rFonts w:ascii="宋体" w:hAnsi="宋体" w:cs="宋体"/>
                <w:kern w:val="0"/>
                <w:sz w:val="20"/>
                <w:szCs w:val="20"/>
              </w:rPr>
            </w:pPr>
            <w:r>
              <w:rPr>
                <w:rFonts w:hint="eastAsia" w:ascii="宋体" w:hAnsi="宋体" w:cs="宋体"/>
                <w:kern w:val="0"/>
                <w:sz w:val="20"/>
                <w:szCs w:val="20"/>
              </w:rPr>
              <w:t>445.28</w:t>
            </w:r>
          </w:p>
        </w:tc>
      </w:tr>
      <w:tr w14:paraId="1610BD68">
        <w:tblPrEx>
          <w:tblCellMar>
            <w:top w:w="0" w:type="dxa"/>
            <w:left w:w="108" w:type="dxa"/>
            <w:bottom w:w="0" w:type="dxa"/>
            <w:right w:w="108" w:type="dxa"/>
          </w:tblCellMar>
        </w:tblPrEx>
        <w:trPr>
          <w:trHeight w:val="420" w:hRule="atLeast"/>
        </w:trPr>
        <w:tc>
          <w:tcPr>
            <w:tcW w:w="1040" w:type="dxa"/>
            <w:vMerge w:val="continue"/>
            <w:tcBorders>
              <w:top w:val="nil"/>
              <w:left w:val="single" w:color="auto" w:sz="4" w:space="0"/>
              <w:bottom w:val="single" w:color="000000" w:sz="4" w:space="0"/>
              <w:right w:val="single" w:color="auto" w:sz="4" w:space="0"/>
            </w:tcBorders>
            <w:vAlign w:val="center"/>
          </w:tcPr>
          <w:p w14:paraId="12EA5E34">
            <w:pPr>
              <w:widowControl/>
              <w:jc w:val="left"/>
              <w:rPr>
                <w:rFonts w:ascii="宋体" w:hAnsi="宋体" w:cs="宋体"/>
                <w:kern w:val="0"/>
                <w:sz w:val="20"/>
                <w:szCs w:val="20"/>
              </w:rPr>
            </w:pPr>
          </w:p>
        </w:tc>
        <w:tc>
          <w:tcPr>
            <w:tcW w:w="2140" w:type="dxa"/>
            <w:gridSpan w:val="2"/>
            <w:tcBorders>
              <w:top w:val="single" w:color="auto" w:sz="4" w:space="0"/>
              <w:left w:val="nil"/>
              <w:bottom w:val="single" w:color="auto" w:sz="4" w:space="0"/>
              <w:right w:val="single" w:color="auto" w:sz="4" w:space="0"/>
            </w:tcBorders>
            <w:shd w:val="clear" w:color="auto" w:fill="auto"/>
            <w:vAlign w:val="center"/>
          </w:tcPr>
          <w:p w14:paraId="72CAE02D">
            <w:pPr>
              <w:widowControl/>
              <w:jc w:val="center"/>
              <w:rPr>
                <w:rFonts w:ascii="宋体" w:hAnsi="宋体" w:cs="宋体"/>
                <w:kern w:val="0"/>
                <w:sz w:val="20"/>
                <w:szCs w:val="20"/>
              </w:rPr>
            </w:pPr>
            <w:r>
              <w:rPr>
                <w:rFonts w:hint="eastAsia" w:ascii="宋体" w:hAnsi="宋体" w:cs="宋体"/>
                <w:kern w:val="0"/>
                <w:sz w:val="20"/>
                <w:szCs w:val="20"/>
              </w:rPr>
              <w:t>省级资金</w:t>
            </w:r>
          </w:p>
        </w:tc>
        <w:tc>
          <w:tcPr>
            <w:tcW w:w="5479" w:type="dxa"/>
            <w:gridSpan w:val="2"/>
            <w:tcBorders>
              <w:top w:val="single" w:color="auto" w:sz="4" w:space="0"/>
              <w:left w:val="nil"/>
              <w:bottom w:val="single" w:color="auto" w:sz="4" w:space="0"/>
              <w:right w:val="single" w:color="000000" w:sz="4" w:space="0"/>
            </w:tcBorders>
            <w:shd w:val="clear" w:color="auto" w:fill="auto"/>
            <w:vAlign w:val="center"/>
          </w:tcPr>
          <w:p w14:paraId="7F74900D">
            <w:pPr>
              <w:widowControl/>
              <w:jc w:val="center"/>
              <w:rPr>
                <w:rFonts w:ascii="宋体" w:hAnsi="宋体" w:cs="宋体"/>
                <w:kern w:val="0"/>
                <w:sz w:val="20"/>
                <w:szCs w:val="20"/>
              </w:rPr>
            </w:pPr>
            <w:r>
              <w:rPr>
                <w:rFonts w:hint="eastAsia" w:ascii="宋体" w:hAnsi="宋体" w:cs="宋体"/>
                <w:kern w:val="0"/>
                <w:sz w:val="20"/>
                <w:szCs w:val="20"/>
              </w:rPr>
              <w:t>86.18</w:t>
            </w:r>
          </w:p>
        </w:tc>
      </w:tr>
      <w:tr w14:paraId="55251FBE">
        <w:tblPrEx>
          <w:tblCellMar>
            <w:top w:w="0" w:type="dxa"/>
            <w:left w:w="108" w:type="dxa"/>
            <w:bottom w:w="0" w:type="dxa"/>
            <w:right w:w="108" w:type="dxa"/>
          </w:tblCellMar>
        </w:tblPrEx>
        <w:trPr>
          <w:trHeight w:val="420" w:hRule="atLeast"/>
        </w:trPr>
        <w:tc>
          <w:tcPr>
            <w:tcW w:w="1040" w:type="dxa"/>
            <w:vMerge w:val="continue"/>
            <w:tcBorders>
              <w:top w:val="nil"/>
              <w:left w:val="single" w:color="auto" w:sz="4" w:space="0"/>
              <w:bottom w:val="single" w:color="000000" w:sz="4" w:space="0"/>
              <w:right w:val="single" w:color="auto" w:sz="4" w:space="0"/>
            </w:tcBorders>
            <w:vAlign w:val="center"/>
          </w:tcPr>
          <w:p w14:paraId="795674D0">
            <w:pPr>
              <w:widowControl/>
              <w:jc w:val="left"/>
              <w:rPr>
                <w:rFonts w:ascii="宋体" w:hAnsi="宋体" w:cs="宋体"/>
                <w:kern w:val="0"/>
                <w:sz w:val="20"/>
                <w:szCs w:val="20"/>
              </w:rPr>
            </w:pPr>
          </w:p>
        </w:tc>
        <w:tc>
          <w:tcPr>
            <w:tcW w:w="2140" w:type="dxa"/>
            <w:gridSpan w:val="2"/>
            <w:tcBorders>
              <w:top w:val="single" w:color="auto" w:sz="4" w:space="0"/>
              <w:left w:val="nil"/>
              <w:bottom w:val="single" w:color="auto" w:sz="4" w:space="0"/>
              <w:right w:val="single" w:color="auto" w:sz="4" w:space="0"/>
            </w:tcBorders>
            <w:shd w:val="clear" w:color="auto" w:fill="auto"/>
            <w:vAlign w:val="center"/>
          </w:tcPr>
          <w:p w14:paraId="5980A798">
            <w:pPr>
              <w:widowControl/>
              <w:jc w:val="left"/>
              <w:rPr>
                <w:rFonts w:ascii="宋体" w:hAnsi="宋体" w:cs="宋体"/>
                <w:kern w:val="0"/>
                <w:sz w:val="20"/>
                <w:szCs w:val="20"/>
              </w:rPr>
            </w:pPr>
            <w:r>
              <w:rPr>
                <w:rFonts w:hint="eastAsia" w:ascii="宋体" w:hAnsi="宋体" w:cs="宋体"/>
                <w:kern w:val="0"/>
                <w:sz w:val="20"/>
                <w:szCs w:val="20"/>
              </w:rPr>
              <w:t xml:space="preserve">      市县资金</w:t>
            </w:r>
          </w:p>
        </w:tc>
        <w:tc>
          <w:tcPr>
            <w:tcW w:w="5479" w:type="dxa"/>
            <w:gridSpan w:val="2"/>
            <w:tcBorders>
              <w:top w:val="single" w:color="auto" w:sz="4" w:space="0"/>
              <w:left w:val="nil"/>
              <w:bottom w:val="single" w:color="auto" w:sz="4" w:space="0"/>
              <w:right w:val="single" w:color="000000" w:sz="4" w:space="0"/>
            </w:tcBorders>
            <w:shd w:val="clear" w:color="auto" w:fill="auto"/>
            <w:vAlign w:val="center"/>
          </w:tcPr>
          <w:p w14:paraId="302078EA">
            <w:pPr>
              <w:widowControl/>
              <w:jc w:val="center"/>
              <w:rPr>
                <w:rFonts w:ascii="宋体" w:hAnsi="宋体" w:cs="宋体"/>
                <w:kern w:val="0"/>
                <w:sz w:val="20"/>
                <w:szCs w:val="20"/>
              </w:rPr>
            </w:pPr>
            <w:r>
              <w:rPr>
                <w:rFonts w:hint="eastAsia" w:ascii="宋体" w:hAnsi="宋体" w:cs="宋体"/>
                <w:kern w:val="0"/>
                <w:sz w:val="20"/>
                <w:szCs w:val="20"/>
              </w:rPr>
              <w:t>　</w:t>
            </w:r>
          </w:p>
        </w:tc>
      </w:tr>
      <w:tr w14:paraId="40D860CC">
        <w:tblPrEx>
          <w:tblCellMar>
            <w:top w:w="0" w:type="dxa"/>
            <w:left w:w="108" w:type="dxa"/>
            <w:bottom w:w="0" w:type="dxa"/>
            <w:right w:w="108" w:type="dxa"/>
          </w:tblCellMar>
        </w:tblPrEx>
        <w:trPr>
          <w:trHeight w:val="420" w:hRule="atLeast"/>
        </w:trPr>
        <w:tc>
          <w:tcPr>
            <w:tcW w:w="1040" w:type="dxa"/>
            <w:vMerge w:val="continue"/>
            <w:tcBorders>
              <w:top w:val="nil"/>
              <w:left w:val="single" w:color="auto" w:sz="4" w:space="0"/>
              <w:bottom w:val="single" w:color="000000" w:sz="4" w:space="0"/>
              <w:right w:val="single" w:color="auto" w:sz="4" w:space="0"/>
            </w:tcBorders>
            <w:vAlign w:val="center"/>
          </w:tcPr>
          <w:p w14:paraId="38C604CA">
            <w:pPr>
              <w:widowControl/>
              <w:jc w:val="left"/>
              <w:rPr>
                <w:rFonts w:ascii="宋体" w:hAnsi="宋体" w:cs="宋体"/>
                <w:kern w:val="0"/>
                <w:sz w:val="20"/>
                <w:szCs w:val="20"/>
              </w:rPr>
            </w:pPr>
          </w:p>
        </w:tc>
        <w:tc>
          <w:tcPr>
            <w:tcW w:w="2140" w:type="dxa"/>
            <w:gridSpan w:val="2"/>
            <w:tcBorders>
              <w:top w:val="single" w:color="auto" w:sz="4" w:space="0"/>
              <w:left w:val="nil"/>
              <w:bottom w:val="single" w:color="auto" w:sz="4" w:space="0"/>
              <w:right w:val="single" w:color="000000" w:sz="4" w:space="0"/>
            </w:tcBorders>
            <w:shd w:val="clear" w:color="auto" w:fill="auto"/>
            <w:vAlign w:val="center"/>
          </w:tcPr>
          <w:p w14:paraId="7B25C32F">
            <w:pPr>
              <w:widowControl/>
              <w:jc w:val="center"/>
              <w:rPr>
                <w:rFonts w:ascii="宋体" w:hAnsi="宋体" w:cs="宋体"/>
                <w:kern w:val="0"/>
                <w:sz w:val="20"/>
                <w:szCs w:val="20"/>
              </w:rPr>
            </w:pPr>
            <w:r>
              <w:rPr>
                <w:rFonts w:hint="eastAsia" w:ascii="宋体" w:hAnsi="宋体" w:cs="宋体"/>
                <w:kern w:val="0"/>
                <w:sz w:val="20"/>
                <w:szCs w:val="20"/>
              </w:rPr>
              <w:t>其他资金</w:t>
            </w:r>
          </w:p>
        </w:tc>
        <w:tc>
          <w:tcPr>
            <w:tcW w:w="5479" w:type="dxa"/>
            <w:gridSpan w:val="2"/>
            <w:tcBorders>
              <w:top w:val="single" w:color="auto" w:sz="4" w:space="0"/>
              <w:left w:val="nil"/>
              <w:bottom w:val="single" w:color="auto" w:sz="4" w:space="0"/>
              <w:right w:val="single" w:color="000000" w:sz="4" w:space="0"/>
            </w:tcBorders>
            <w:shd w:val="clear" w:color="auto" w:fill="auto"/>
            <w:vAlign w:val="center"/>
          </w:tcPr>
          <w:p w14:paraId="63915B37">
            <w:pPr>
              <w:widowControl/>
              <w:jc w:val="center"/>
              <w:rPr>
                <w:rFonts w:ascii="宋体" w:hAnsi="宋体" w:cs="宋体"/>
                <w:kern w:val="0"/>
                <w:sz w:val="20"/>
                <w:szCs w:val="20"/>
              </w:rPr>
            </w:pPr>
            <w:r>
              <w:rPr>
                <w:rFonts w:hint="eastAsia" w:ascii="宋体" w:hAnsi="宋体" w:cs="宋体"/>
                <w:kern w:val="0"/>
                <w:sz w:val="20"/>
                <w:szCs w:val="20"/>
              </w:rPr>
              <w:t>　</w:t>
            </w:r>
          </w:p>
        </w:tc>
      </w:tr>
      <w:tr w14:paraId="37BD7F4A">
        <w:tblPrEx>
          <w:tblCellMar>
            <w:top w:w="0" w:type="dxa"/>
            <w:left w:w="108" w:type="dxa"/>
            <w:bottom w:w="0" w:type="dxa"/>
            <w:right w:w="108" w:type="dxa"/>
          </w:tblCellMar>
        </w:tblPrEx>
        <w:trPr>
          <w:trHeight w:val="1170" w:hRule="atLeast"/>
        </w:trPr>
        <w:tc>
          <w:tcPr>
            <w:tcW w:w="1040" w:type="dxa"/>
            <w:tcBorders>
              <w:top w:val="nil"/>
              <w:left w:val="single" w:color="auto" w:sz="4" w:space="0"/>
              <w:bottom w:val="single" w:color="auto" w:sz="4" w:space="0"/>
              <w:right w:val="single" w:color="auto" w:sz="4" w:space="0"/>
            </w:tcBorders>
            <w:shd w:val="clear" w:color="auto" w:fill="auto"/>
            <w:vAlign w:val="center"/>
          </w:tcPr>
          <w:p w14:paraId="2B6495BD">
            <w:pPr>
              <w:widowControl/>
              <w:jc w:val="center"/>
              <w:rPr>
                <w:rFonts w:ascii="宋体" w:hAnsi="宋体" w:cs="宋体"/>
                <w:kern w:val="0"/>
                <w:sz w:val="20"/>
                <w:szCs w:val="20"/>
              </w:rPr>
            </w:pPr>
            <w:r>
              <w:rPr>
                <w:rFonts w:hint="eastAsia" w:ascii="宋体" w:hAnsi="宋体" w:cs="宋体"/>
                <w:kern w:val="0"/>
                <w:sz w:val="20"/>
                <w:szCs w:val="20"/>
              </w:rPr>
              <w:t>总体目标</w:t>
            </w:r>
          </w:p>
        </w:tc>
        <w:tc>
          <w:tcPr>
            <w:tcW w:w="7619" w:type="dxa"/>
            <w:gridSpan w:val="4"/>
            <w:tcBorders>
              <w:top w:val="single" w:color="auto" w:sz="4" w:space="0"/>
              <w:left w:val="nil"/>
              <w:bottom w:val="single" w:color="auto" w:sz="4" w:space="0"/>
              <w:right w:val="single" w:color="000000" w:sz="4" w:space="0"/>
            </w:tcBorders>
            <w:shd w:val="clear" w:color="auto" w:fill="auto"/>
            <w:vAlign w:val="center"/>
          </w:tcPr>
          <w:p w14:paraId="19AE22ED">
            <w:pPr>
              <w:widowControl/>
              <w:jc w:val="left"/>
              <w:rPr>
                <w:rFonts w:ascii="宋体" w:hAnsi="宋体" w:cs="宋体"/>
                <w:kern w:val="0"/>
                <w:sz w:val="20"/>
                <w:szCs w:val="20"/>
              </w:rPr>
            </w:pPr>
            <w:r>
              <w:rPr>
                <w:rFonts w:hint="eastAsia" w:ascii="宋体" w:hAnsi="宋体" w:cs="宋体"/>
                <w:kern w:val="0"/>
                <w:sz w:val="20"/>
                <w:szCs w:val="20"/>
              </w:rPr>
              <w:t>与彩票公益金统筹使用，通过实施城乡医疗救助，开展重特大疾病医疗救助工作，将符合条件的救助对象按规定纳入救助范围，重点对象自付费用年度限额内住院救助比例达到70%，符合条件的农村低收入人口资助参保政策覆盖率达99%以上。</w:t>
            </w:r>
          </w:p>
        </w:tc>
      </w:tr>
      <w:tr w14:paraId="2D026C5B">
        <w:tblPrEx>
          <w:tblCellMar>
            <w:top w:w="0" w:type="dxa"/>
            <w:left w:w="108" w:type="dxa"/>
            <w:bottom w:w="0" w:type="dxa"/>
            <w:right w:w="108" w:type="dxa"/>
          </w:tblCellMar>
        </w:tblPrEx>
        <w:trPr>
          <w:trHeight w:val="480" w:hRule="atLeast"/>
        </w:trPr>
        <w:tc>
          <w:tcPr>
            <w:tcW w:w="1040" w:type="dxa"/>
            <w:vMerge w:val="restart"/>
            <w:tcBorders>
              <w:top w:val="nil"/>
              <w:left w:val="single" w:color="auto" w:sz="4" w:space="0"/>
              <w:bottom w:val="single" w:color="auto" w:sz="4" w:space="0"/>
              <w:right w:val="single" w:color="auto" w:sz="4" w:space="0"/>
            </w:tcBorders>
            <w:shd w:val="clear" w:color="auto" w:fill="auto"/>
            <w:vAlign w:val="center"/>
          </w:tcPr>
          <w:p w14:paraId="11C97C9D">
            <w:pPr>
              <w:widowControl/>
              <w:jc w:val="center"/>
              <w:rPr>
                <w:rFonts w:ascii="宋体" w:hAnsi="宋体" w:cs="宋体"/>
                <w:kern w:val="0"/>
                <w:sz w:val="20"/>
                <w:szCs w:val="20"/>
              </w:rPr>
            </w:pPr>
            <w:r>
              <w:rPr>
                <w:rFonts w:hint="eastAsia" w:ascii="宋体" w:hAnsi="宋体" w:cs="宋体"/>
                <w:kern w:val="0"/>
                <w:sz w:val="20"/>
                <w:szCs w:val="20"/>
              </w:rPr>
              <w:t>绩效指标</w:t>
            </w:r>
          </w:p>
        </w:tc>
        <w:tc>
          <w:tcPr>
            <w:tcW w:w="920" w:type="dxa"/>
            <w:tcBorders>
              <w:top w:val="nil"/>
              <w:left w:val="nil"/>
              <w:bottom w:val="single" w:color="auto" w:sz="4" w:space="0"/>
              <w:right w:val="single" w:color="auto" w:sz="4" w:space="0"/>
            </w:tcBorders>
            <w:shd w:val="clear" w:color="auto" w:fill="auto"/>
            <w:vAlign w:val="center"/>
          </w:tcPr>
          <w:p w14:paraId="34E3575D">
            <w:pPr>
              <w:widowControl/>
              <w:jc w:val="center"/>
              <w:rPr>
                <w:rFonts w:ascii="宋体" w:hAnsi="宋体" w:cs="宋体"/>
                <w:kern w:val="0"/>
                <w:sz w:val="20"/>
                <w:szCs w:val="20"/>
              </w:rPr>
            </w:pPr>
            <w:r>
              <w:rPr>
                <w:rFonts w:hint="eastAsia" w:ascii="宋体" w:hAnsi="宋体" w:cs="宋体"/>
                <w:kern w:val="0"/>
                <w:sz w:val="20"/>
                <w:szCs w:val="20"/>
              </w:rPr>
              <w:t>一级指标</w:t>
            </w:r>
          </w:p>
        </w:tc>
        <w:tc>
          <w:tcPr>
            <w:tcW w:w="1220" w:type="dxa"/>
            <w:tcBorders>
              <w:top w:val="nil"/>
              <w:left w:val="nil"/>
              <w:bottom w:val="single" w:color="auto" w:sz="4" w:space="0"/>
              <w:right w:val="single" w:color="auto" w:sz="4" w:space="0"/>
            </w:tcBorders>
            <w:shd w:val="clear" w:color="auto" w:fill="auto"/>
            <w:vAlign w:val="center"/>
          </w:tcPr>
          <w:p w14:paraId="1CC55501">
            <w:pPr>
              <w:widowControl/>
              <w:jc w:val="center"/>
              <w:rPr>
                <w:rFonts w:ascii="宋体" w:hAnsi="宋体" w:cs="宋体"/>
                <w:kern w:val="0"/>
                <w:sz w:val="20"/>
                <w:szCs w:val="20"/>
              </w:rPr>
            </w:pPr>
            <w:r>
              <w:rPr>
                <w:rFonts w:hint="eastAsia" w:ascii="宋体" w:hAnsi="宋体" w:cs="宋体"/>
                <w:kern w:val="0"/>
                <w:sz w:val="20"/>
                <w:szCs w:val="20"/>
              </w:rPr>
              <w:t>二级指标</w:t>
            </w:r>
          </w:p>
        </w:tc>
        <w:tc>
          <w:tcPr>
            <w:tcW w:w="3353" w:type="dxa"/>
            <w:tcBorders>
              <w:top w:val="single" w:color="auto" w:sz="4" w:space="0"/>
              <w:left w:val="nil"/>
              <w:bottom w:val="single" w:color="auto" w:sz="4" w:space="0"/>
              <w:right w:val="single" w:color="000000" w:sz="4" w:space="0"/>
            </w:tcBorders>
            <w:shd w:val="clear" w:color="auto" w:fill="auto"/>
            <w:vAlign w:val="center"/>
          </w:tcPr>
          <w:p w14:paraId="7B02DCCA">
            <w:pPr>
              <w:widowControl/>
              <w:jc w:val="center"/>
              <w:rPr>
                <w:rFonts w:ascii="宋体" w:hAnsi="宋体" w:cs="宋体"/>
                <w:kern w:val="0"/>
                <w:sz w:val="20"/>
                <w:szCs w:val="20"/>
              </w:rPr>
            </w:pPr>
            <w:r>
              <w:rPr>
                <w:rFonts w:hint="eastAsia" w:ascii="宋体" w:hAnsi="宋体" w:cs="宋体"/>
                <w:kern w:val="0"/>
                <w:sz w:val="20"/>
                <w:szCs w:val="20"/>
              </w:rPr>
              <w:t>三级指标</w:t>
            </w:r>
          </w:p>
        </w:tc>
        <w:tc>
          <w:tcPr>
            <w:tcW w:w="2126" w:type="dxa"/>
            <w:tcBorders>
              <w:top w:val="nil"/>
              <w:left w:val="nil"/>
              <w:bottom w:val="single" w:color="auto" w:sz="4" w:space="0"/>
              <w:right w:val="single" w:color="auto" w:sz="4" w:space="0"/>
            </w:tcBorders>
            <w:shd w:val="clear" w:color="auto" w:fill="auto"/>
            <w:vAlign w:val="center"/>
          </w:tcPr>
          <w:p w14:paraId="2DA55024">
            <w:pPr>
              <w:widowControl/>
              <w:jc w:val="center"/>
              <w:rPr>
                <w:rFonts w:ascii="宋体" w:hAnsi="宋体" w:cs="宋体"/>
                <w:kern w:val="0"/>
                <w:sz w:val="20"/>
                <w:szCs w:val="20"/>
              </w:rPr>
            </w:pPr>
            <w:r>
              <w:rPr>
                <w:rFonts w:hint="eastAsia" w:ascii="宋体" w:hAnsi="宋体" w:cs="宋体"/>
                <w:kern w:val="0"/>
                <w:sz w:val="20"/>
                <w:szCs w:val="20"/>
              </w:rPr>
              <w:t>指标值</w:t>
            </w:r>
          </w:p>
        </w:tc>
      </w:tr>
      <w:tr w14:paraId="199D3089">
        <w:tblPrEx>
          <w:tblCellMar>
            <w:top w:w="0" w:type="dxa"/>
            <w:left w:w="108" w:type="dxa"/>
            <w:bottom w:w="0" w:type="dxa"/>
            <w:right w:w="108" w:type="dxa"/>
          </w:tblCellMar>
        </w:tblPrEx>
        <w:trPr>
          <w:trHeight w:val="1320" w:hRule="atLeast"/>
        </w:trPr>
        <w:tc>
          <w:tcPr>
            <w:tcW w:w="1040" w:type="dxa"/>
            <w:vMerge w:val="continue"/>
            <w:tcBorders>
              <w:top w:val="nil"/>
              <w:left w:val="single" w:color="auto" w:sz="4" w:space="0"/>
              <w:bottom w:val="single" w:color="auto" w:sz="4" w:space="0"/>
              <w:right w:val="single" w:color="auto" w:sz="4" w:space="0"/>
            </w:tcBorders>
            <w:vAlign w:val="center"/>
          </w:tcPr>
          <w:p w14:paraId="408459E2">
            <w:pPr>
              <w:widowControl/>
              <w:jc w:val="left"/>
              <w:rPr>
                <w:rFonts w:ascii="宋体" w:hAnsi="宋体" w:cs="宋体"/>
                <w:kern w:val="0"/>
                <w:sz w:val="20"/>
                <w:szCs w:val="20"/>
              </w:rPr>
            </w:pPr>
          </w:p>
        </w:tc>
        <w:tc>
          <w:tcPr>
            <w:tcW w:w="920" w:type="dxa"/>
            <w:vMerge w:val="restart"/>
            <w:tcBorders>
              <w:top w:val="nil"/>
              <w:left w:val="single" w:color="auto" w:sz="4" w:space="0"/>
              <w:bottom w:val="single" w:color="auto" w:sz="4" w:space="0"/>
              <w:right w:val="single" w:color="auto" w:sz="4" w:space="0"/>
            </w:tcBorders>
            <w:shd w:val="clear" w:color="auto" w:fill="auto"/>
            <w:vAlign w:val="center"/>
          </w:tcPr>
          <w:p w14:paraId="1C1C128A">
            <w:pPr>
              <w:widowControl/>
              <w:jc w:val="center"/>
              <w:rPr>
                <w:rFonts w:ascii="宋体" w:hAnsi="宋体" w:cs="宋体"/>
                <w:kern w:val="0"/>
                <w:sz w:val="20"/>
                <w:szCs w:val="20"/>
              </w:rPr>
            </w:pPr>
            <w:r>
              <w:rPr>
                <w:rFonts w:hint="eastAsia" w:ascii="宋体" w:hAnsi="宋体" w:cs="宋体"/>
                <w:kern w:val="0"/>
                <w:sz w:val="20"/>
                <w:szCs w:val="20"/>
              </w:rPr>
              <w:t>产出指标</w:t>
            </w:r>
          </w:p>
        </w:tc>
        <w:tc>
          <w:tcPr>
            <w:tcW w:w="1220" w:type="dxa"/>
            <w:tcBorders>
              <w:top w:val="nil"/>
              <w:left w:val="nil"/>
              <w:bottom w:val="single" w:color="auto" w:sz="4" w:space="0"/>
              <w:right w:val="single" w:color="auto" w:sz="4" w:space="0"/>
            </w:tcBorders>
            <w:shd w:val="clear" w:color="auto" w:fill="auto"/>
            <w:vAlign w:val="center"/>
          </w:tcPr>
          <w:p w14:paraId="1B6B9855">
            <w:pPr>
              <w:widowControl/>
              <w:jc w:val="center"/>
              <w:rPr>
                <w:rFonts w:ascii="宋体" w:hAnsi="宋体" w:cs="宋体"/>
                <w:kern w:val="0"/>
                <w:sz w:val="20"/>
                <w:szCs w:val="20"/>
              </w:rPr>
            </w:pPr>
            <w:r>
              <w:rPr>
                <w:rFonts w:hint="eastAsia" w:ascii="宋体" w:hAnsi="宋体" w:cs="宋体"/>
                <w:kern w:val="0"/>
                <w:sz w:val="20"/>
                <w:szCs w:val="20"/>
              </w:rPr>
              <w:t>数量指标</w:t>
            </w:r>
          </w:p>
        </w:tc>
        <w:tc>
          <w:tcPr>
            <w:tcW w:w="3353" w:type="dxa"/>
            <w:tcBorders>
              <w:top w:val="single" w:color="auto" w:sz="4" w:space="0"/>
              <w:left w:val="nil"/>
              <w:bottom w:val="single" w:color="auto" w:sz="4" w:space="0"/>
              <w:right w:val="single" w:color="000000" w:sz="4" w:space="0"/>
            </w:tcBorders>
            <w:shd w:val="clear" w:color="auto" w:fill="auto"/>
            <w:vAlign w:val="center"/>
          </w:tcPr>
          <w:p w14:paraId="46AEA6A8">
            <w:pPr>
              <w:widowControl/>
              <w:jc w:val="center"/>
              <w:rPr>
                <w:rFonts w:ascii="宋体" w:hAnsi="宋体" w:cs="宋体"/>
                <w:kern w:val="0"/>
                <w:sz w:val="20"/>
                <w:szCs w:val="20"/>
              </w:rPr>
            </w:pPr>
            <w:r>
              <w:rPr>
                <w:rFonts w:hint="eastAsia" w:ascii="宋体" w:hAnsi="宋体" w:cs="宋体"/>
                <w:kern w:val="0"/>
                <w:sz w:val="20"/>
                <w:szCs w:val="20"/>
              </w:rPr>
              <w:t>医疗救助对象人次规模</w:t>
            </w:r>
          </w:p>
        </w:tc>
        <w:tc>
          <w:tcPr>
            <w:tcW w:w="2126" w:type="dxa"/>
            <w:tcBorders>
              <w:top w:val="nil"/>
              <w:left w:val="nil"/>
              <w:bottom w:val="single" w:color="auto" w:sz="4" w:space="0"/>
              <w:right w:val="single" w:color="auto" w:sz="4" w:space="0"/>
            </w:tcBorders>
            <w:shd w:val="clear" w:color="auto" w:fill="auto"/>
            <w:vAlign w:val="center"/>
          </w:tcPr>
          <w:p w14:paraId="58C2EF97">
            <w:pPr>
              <w:widowControl/>
              <w:jc w:val="center"/>
              <w:rPr>
                <w:rFonts w:ascii="宋体" w:hAnsi="宋体" w:cs="宋体"/>
                <w:kern w:val="0"/>
                <w:sz w:val="20"/>
                <w:szCs w:val="20"/>
              </w:rPr>
            </w:pPr>
            <w:r>
              <w:rPr>
                <w:rFonts w:hint="eastAsia" w:ascii="宋体" w:hAnsi="宋体" w:cs="宋体"/>
                <w:kern w:val="0"/>
                <w:sz w:val="20"/>
                <w:szCs w:val="20"/>
              </w:rPr>
              <w:t>符合救助条件的低保、低收入、建档立卡贫困户、边缘易致贫户、特困供养人员等对象按规定纳入救助范围。</w:t>
            </w:r>
          </w:p>
        </w:tc>
      </w:tr>
      <w:tr w14:paraId="49008178">
        <w:tblPrEx>
          <w:tblCellMar>
            <w:top w:w="0" w:type="dxa"/>
            <w:left w:w="108" w:type="dxa"/>
            <w:bottom w:w="0" w:type="dxa"/>
            <w:right w:w="108" w:type="dxa"/>
          </w:tblCellMar>
        </w:tblPrEx>
        <w:trPr>
          <w:trHeight w:val="624" w:hRule="atLeast"/>
        </w:trPr>
        <w:tc>
          <w:tcPr>
            <w:tcW w:w="1040" w:type="dxa"/>
            <w:vMerge w:val="continue"/>
            <w:tcBorders>
              <w:top w:val="nil"/>
              <w:left w:val="single" w:color="auto" w:sz="4" w:space="0"/>
              <w:bottom w:val="single" w:color="auto" w:sz="4" w:space="0"/>
              <w:right w:val="single" w:color="auto" w:sz="4" w:space="0"/>
            </w:tcBorders>
            <w:vAlign w:val="center"/>
          </w:tcPr>
          <w:p w14:paraId="436AB0A4">
            <w:pPr>
              <w:widowControl/>
              <w:jc w:val="left"/>
              <w:rPr>
                <w:rFonts w:ascii="宋体" w:hAnsi="宋体" w:cs="宋体"/>
                <w:kern w:val="0"/>
                <w:sz w:val="20"/>
                <w:szCs w:val="20"/>
              </w:rPr>
            </w:pPr>
          </w:p>
        </w:tc>
        <w:tc>
          <w:tcPr>
            <w:tcW w:w="920" w:type="dxa"/>
            <w:vMerge w:val="continue"/>
            <w:tcBorders>
              <w:top w:val="nil"/>
              <w:left w:val="single" w:color="auto" w:sz="4" w:space="0"/>
              <w:bottom w:val="single" w:color="auto" w:sz="4" w:space="0"/>
              <w:right w:val="single" w:color="auto" w:sz="4" w:space="0"/>
            </w:tcBorders>
            <w:vAlign w:val="center"/>
          </w:tcPr>
          <w:p w14:paraId="09714B50">
            <w:pPr>
              <w:widowControl/>
              <w:jc w:val="left"/>
              <w:rPr>
                <w:rFonts w:ascii="宋体" w:hAnsi="宋体" w:cs="宋体"/>
                <w:kern w:val="0"/>
                <w:sz w:val="20"/>
                <w:szCs w:val="20"/>
              </w:rPr>
            </w:pPr>
          </w:p>
        </w:tc>
        <w:tc>
          <w:tcPr>
            <w:tcW w:w="1220" w:type="dxa"/>
            <w:vMerge w:val="restart"/>
            <w:tcBorders>
              <w:top w:val="nil"/>
              <w:left w:val="single" w:color="auto" w:sz="4" w:space="0"/>
              <w:bottom w:val="single" w:color="000000" w:sz="4" w:space="0"/>
              <w:right w:val="single" w:color="auto" w:sz="4" w:space="0"/>
            </w:tcBorders>
            <w:shd w:val="clear" w:color="auto" w:fill="auto"/>
            <w:vAlign w:val="center"/>
          </w:tcPr>
          <w:p w14:paraId="00F76404">
            <w:pPr>
              <w:widowControl/>
              <w:jc w:val="center"/>
              <w:rPr>
                <w:rFonts w:ascii="宋体" w:hAnsi="宋体" w:cs="宋体"/>
                <w:kern w:val="0"/>
                <w:sz w:val="20"/>
                <w:szCs w:val="20"/>
              </w:rPr>
            </w:pPr>
            <w:r>
              <w:rPr>
                <w:rFonts w:hint="eastAsia" w:ascii="宋体" w:hAnsi="宋体" w:cs="宋体"/>
                <w:kern w:val="0"/>
                <w:sz w:val="20"/>
                <w:szCs w:val="20"/>
              </w:rPr>
              <w:t>质量指标</w:t>
            </w:r>
          </w:p>
        </w:tc>
        <w:tc>
          <w:tcPr>
            <w:tcW w:w="3353" w:type="dxa"/>
            <w:tcBorders>
              <w:top w:val="single" w:color="auto" w:sz="4" w:space="0"/>
              <w:left w:val="nil"/>
              <w:bottom w:val="single" w:color="auto" w:sz="4" w:space="0"/>
              <w:right w:val="single" w:color="000000" w:sz="4" w:space="0"/>
            </w:tcBorders>
            <w:shd w:val="clear" w:color="auto" w:fill="auto"/>
            <w:vAlign w:val="center"/>
          </w:tcPr>
          <w:p w14:paraId="7B2E3968">
            <w:pPr>
              <w:widowControl/>
              <w:jc w:val="center"/>
              <w:rPr>
                <w:rFonts w:ascii="宋体" w:hAnsi="宋体" w:cs="宋体"/>
                <w:kern w:val="0"/>
                <w:sz w:val="20"/>
                <w:szCs w:val="20"/>
              </w:rPr>
            </w:pPr>
            <w:r>
              <w:rPr>
                <w:rFonts w:hint="eastAsia" w:ascii="宋体" w:hAnsi="宋体" w:cs="宋体"/>
                <w:kern w:val="0"/>
                <w:sz w:val="20"/>
                <w:szCs w:val="20"/>
              </w:rPr>
              <w:t>重点救助对象政策范围内个人自付费用年度救助限额内住院救助比例</w:t>
            </w:r>
          </w:p>
        </w:tc>
        <w:tc>
          <w:tcPr>
            <w:tcW w:w="2126" w:type="dxa"/>
            <w:tcBorders>
              <w:top w:val="nil"/>
              <w:left w:val="nil"/>
              <w:bottom w:val="single" w:color="auto" w:sz="4" w:space="0"/>
              <w:right w:val="single" w:color="auto" w:sz="4" w:space="0"/>
            </w:tcBorders>
            <w:shd w:val="clear" w:color="000000" w:fill="FFFFFF"/>
            <w:vAlign w:val="center"/>
          </w:tcPr>
          <w:p w14:paraId="4F6357C9">
            <w:pPr>
              <w:widowControl/>
              <w:jc w:val="center"/>
              <w:rPr>
                <w:rFonts w:ascii="宋体" w:hAnsi="宋体" w:cs="宋体"/>
                <w:kern w:val="0"/>
                <w:sz w:val="20"/>
                <w:szCs w:val="20"/>
              </w:rPr>
            </w:pPr>
            <w:r>
              <w:rPr>
                <w:rFonts w:hint="eastAsia" w:ascii="宋体" w:hAnsi="宋体" w:cs="宋体"/>
                <w:kern w:val="0"/>
                <w:sz w:val="20"/>
                <w:szCs w:val="20"/>
              </w:rPr>
              <w:t>≥70%</w:t>
            </w:r>
          </w:p>
        </w:tc>
      </w:tr>
      <w:tr w14:paraId="2C8E33E2">
        <w:tblPrEx>
          <w:tblCellMar>
            <w:top w:w="0" w:type="dxa"/>
            <w:left w:w="108" w:type="dxa"/>
            <w:bottom w:w="0" w:type="dxa"/>
            <w:right w:w="108" w:type="dxa"/>
          </w:tblCellMar>
        </w:tblPrEx>
        <w:trPr>
          <w:trHeight w:val="564" w:hRule="atLeast"/>
        </w:trPr>
        <w:tc>
          <w:tcPr>
            <w:tcW w:w="1040" w:type="dxa"/>
            <w:vMerge w:val="continue"/>
            <w:tcBorders>
              <w:top w:val="nil"/>
              <w:left w:val="single" w:color="auto" w:sz="4" w:space="0"/>
              <w:bottom w:val="single" w:color="auto" w:sz="4" w:space="0"/>
              <w:right w:val="single" w:color="auto" w:sz="4" w:space="0"/>
            </w:tcBorders>
            <w:vAlign w:val="center"/>
          </w:tcPr>
          <w:p w14:paraId="4B8CEABE">
            <w:pPr>
              <w:widowControl/>
              <w:jc w:val="left"/>
              <w:rPr>
                <w:rFonts w:ascii="宋体" w:hAnsi="宋体" w:cs="宋体"/>
                <w:kern w:val="0"/>
                <w:sz w:val="20"/>
                <w:szCs w:val="20"/>
              </w:rPr>
            </w:pPr>
          </w:p>
        </w:tc>
        <w:tc>
          <w:tcPr>
            <w:tcW w:w="920" w:type="dxa"/>
            <w:vMerge w:val="continue"/>
            <w:tcBorders>
              <w:top w:val="nil"/>
              <w:left w:val="single" w:color="auto" w:sz="4" w:space="0"/>
              <w:bottom w:val="single" w:color="auto" w:sz="4" w:space="0"/>
              <w:right w:val="single" w:color="auto" w:sz="4" w:space="0"/>
            </w:tcBorders>
            <w:vAlign w:val="center"/>
          </w:tcPr>
          <w:p w14:paraId="3E203B96">
            <w:pPr>
              <w:widowControl/>
              <w:jc w:val="left"/>
              <w:rPr>
                <w:rFonts w:ascii="宋体" w:hAnsi="宋体" w:cs="宋体"/>
                <w:kern w:val="0"/>
                <w:sz w:val="20"/>
                <w:szCs w:val="20"/>
              </w:rPr>
            </w:pPr>
          </w:p>
        </w:tc>
        <w:tc>
          <w:tcPr>
            <w:tcW w:w="1220" w:type="dxa"/>
            <w:vMerge w:val="continue"/>
            <w:tcBorders>
              <w:top w:val="nil"/>
              <w:left w:val="single" w:color="auto" w:sz="4" w:space="0"/>
              <w:bottom w:val="single" w:color="000000" w:sz="4" w:space="0"/>
              <w:right w:val="single" w:color="auto" w:sz="4" w:space="0"/>
            </w:tcBorders>
            <w:vAlign w:val="center"/>
          </w:tcPr>
          <w:p w14:paraId="5B0F6B6B">
            <w:pPr>
              <w:widowControl/>
              <w:jc w:val="left"/>
              <w:rPr>
                <w:rFonts w:ascii="宋体" w:hAnsi="宋体" w:cs="宋体"/>
                <w:kern w:val="0"/>
                <w:sz w:val="20"/>
                <w:szCs w:val="20"/>
              </w:rPr>
            </w:pPr>
          </w:p>
        </w:tc>
        <w:tc>
          <w:tcPr>
            <w:tcW w:w="3353" w:type="dxa"/>
            <w:tcBorders>
              <w:top w:val="single" w:color="auto" w:sz="4" w:space="0"/>
              <w:left w:val="nil"/>
              <w:bottom w:val="single" w:color="auto" w:sz="4" w:space="0"/>
              <w:right w:val="single" w:color="000000" w:sz="4" w:space="0"/>
            </w:tcBorders>
            <w:shd w:val="clear" w:color="auto" w:fill="auto"/>
            <w:vAlign w:val="center"/>
          </w:tcPr>
          <w:p w14:paraId="2AE66A28">
            <w:pPr>
              <w:widowControl/>
              <w:jc w:val="center"/>
              <w:rPr>
                <w:rFonts w:ascii="宋体" w:hAnsi="宋体" w:cs="宋体"/>
                <w:kern w:val="0"/>
                <w:sz w:val="20"/>
                <w:szCs w:val="20"/>
              </w:rPr>
            </w:pPr>
            <w:r>
              <w:rPr>
                <w:rFonts w:hint="eastAsia" w:ascii="宋体" w:hAnsi="宋体" w:cs="宋体"/>
                <w:kern w:val="0"/>
                <w:sz w:val="20"/>
                <w:szCs w:val="20"/>
              </w:rPr>
              <w:t>符合资助条件的农村低收入人口资助参保政策覆盖率</w:t>
            </w:r>
          </w:p>
        </w:tc>
        <w:tc>
          <w:tcPr>
            <w:tcW w:w="2126" w:type="dxa"/>
            <w:tcBorders>
              <w:top w:val="nil"/>
              <w:left w:val="nil"/>
              <w:bottom w:val="single" w:color="auto" w:sz="4" w:space="0"/>
              <w:right w:val="single" w:color="auto" w:sz="4" w:space="0"/>
            </w:tcBorders>
            <w:shd w:val="clear" w:color="000000" w:fill="FFFFFF"/>
            <w:vAlign w:val="center"/>
          </w:tcPr>
          <w:p w14:paraId="747C2AC7">
            <w:pPr>
              <w:widowControl/>
              <w:jc w:val="center"/>
              <w:rPr>
                <w:rFonts w:ascii="宋体" w:hAnsi="宋体" w:cs="宋体"/>
                <w:kern w:val="0"/>
                <w:sz w:val="20"/>
                <w:szCs w:val="20"/>
              </w:rPr>
            </w:pPr>
            <w:r>
              <w:rPr>
                <w:rFonts w:hint="eastAsia" w:ascii="宋体" w:hAnsi="宋体" w:cs="宋体"/>
                <w:kern w:val="0"/>
                <w:sz w:val="20"/>
                <w:szCs w:val="20"/>
              </w:rPr>
              <w:t>≥99%</w:t>
            </w:r>
          </w:p>
        </w:tc>
      </w:tr>
      <w:tr w14:paraId="73F53FDB">
        <w:tblPrEx>
          <w:tblCellMar>
            <w:top w:w="0" w:type="dxa"/>
            <w:left w:w="108" w:type="dxa"/>
            <w:bottom w:w="0" w:type="dxa"/>
            <w:right w:w="108" w:type="dxa"/>
          </w:tblCellMar>
        </w:tblPrEx>
        <w:trPr>
          <w:trHeight w:val="480" w:hRule="atLeast"/>
        </w:trPr>
        <w:tc>
          <w:tcPr>
            <w:tcW w:w="1040" w:type="dxa"/>
            <w:vMerge w:val="continue"/>
            <w:tcBorders>
              <w:top w:val="nil"/>
              <w:left w:val="single" w:color="auto" w:sz="4" w:space="0"/>
              <w:bottom w:val="single" w:color="auto" w:sz="4" w:space="0"/>
              <w:right w:val="single" w:color="auto" w:sz="4" w:space="0"/>
            </w:tcBorders>
            <w:vAlign w:val="center"/>
          </w:tcPr>
          <w:p w14:paraId="697BE55C">
            <w:pPr>
              <w:widowControl/>
              <w:jc w:val="left"/>
              <w:rPr>
                <w:rFonts w:ascii="宋体" w:hAnsi="宋体" w:cs="宋体"/>
                <w:kern w:val="0"/>
                <w:sz w:val="20"/>
                <w:szCs w:val="20"/>
              </w:rPr>
            </w:pPr>
          </w:p>
        </w:tc>
        <w:tc>
          <w:tcPr>
            <w:tcW w:w="920" w:type="dxa"/>
            <w:vMerge w:val="continue"/>
            <w:tcBorders>
              <w:top w:val="nil"/>
              <w:left w:val="single" w:color="auto" w:sz="4" w:space="0"/>
              <w:bottom w:val="single" w:color="auto" w:sz="4" w:space="0"/>
              <w:right w:val="single" w:color="auto" w:sz="4" w:space="0"/>
            </w:tcBorders>
            <w:vAlign w:val="center"/>
          </w:tcPr>
          <w:p w14:paraId="3FF572C4">
            <w:pPr>
              <w:widowControl/>
              <w:jc w:val="left"/>
              <w:rPr>
                <w:rFonts w:ascii="宋体" w:hAnsi="宋体" w:cs="宋体"/>
                <w:kern w:val="0"/>
                <w:sz w:val="20"/>
                <w:szCs w:val="20"/>
              </w:rPr>
            </w:pPr>
          </w:p>
        </w:tc>
        <w:tc>
          <w:tcPr>
            <w:tcW w:w="1220" w:type="dxa"/>
            <w:tcBorders>
              <w:top w:val="nil"/>
              <w:left w:val="nil"/>
              <w:bottom w:val="single" w:color="auto" w:sz="4" w:space="0"/>
              <w:right w:val="single" w:color="auto" w:sz="4" w:space="0"/>
            </w:tcBorders>
            <w:shd w:val="clear" w:color="auto" w:fill="auto"/>
            <w:vAlign w:val="center"/>
          </w:tcPr>
          <w:p w14:paraId="6F978995">
            <w:pPr>
              <w:widowControl/>
              <w:jc w:val="center"/>
              <w:rPr>
                <w:rFonts w:ascii="宋体" w:hAnsi="宋体" w:cs="宋体"/>
                <w:kern w:val="0"/>
                <w:sz w:val="20"/>
                <w:szCs w:val="20"/>
              </w:rPr>
            </w:pPr>
            <w:r>
              <w:rPr>
                <w:rFonts w:hint="eastAsia" w:ascii="宋体" w:hAnsi="宋体" w:cs="宋体"/>
                <w:kern w:val="0"/>
                <w:sz w:val="20"/>
                <w:szCs w:val="20"/>
              </w:rPr>
              <w:t>实效指标</w:t>
            </w:r>
          </w:p>
        </w:tc>
        <w:tc>
          <w:tcPr>
            <w:tcW w:w="3353" w:type="dxa"/>
            <w:tcBorders>
              <w:top w:val="single" w:color="auto" w:sz="4" w:space="0"/>
              <w:left w:val="nil"/>
              <w:bottom w:val="single" w:color="auto" w:sz="4" w:space="0"/>
              <w:right w:val="single" w:color="000000" w:sz="4" w:space="0"/>
            </w:tcBorders>
            <w:shd w:val="clear" w:color="auto" w:fill="auto"/>
            <w:vAlign w:val="center"/>
          </w:tcPr>
          <w:p w14:paraId="4D92B989">
            <w:pPr>
              <w:widowControl/>
              <w:jc w:val="center"/>
              <w:rPr>
                <w:rFonts w:ascii="宋体" w:hAnsi="宋体" w:cs="宋体"/>
                <w:kern w:val="0"/>
                <w:sz w:val="20"/>
                <w:szCs w:val="20"/>
              </w:rPr>
            </w:pPr>
            <w:r>
              <w:rPr>
                <w:rFonts w:hint="eastAsia" w:ascii="宋体" w:hAnsi="宋体" w:cs="宋体"/>
                <w:kern w:val="0"/>
                <w:sz w:val="20"/>
                <w:szCs w:val="20"/>
              </w:rPr>
              <w:t>市域内“一站式”即时结算覆盖率</w:t>
            </w:r>
          </w:p>
        </w:tc>
        <w:tc>
          <w:tcPr>
            <w:tcW w:w="2126" w:type="dxa"/>
            <w:tcBorders>
              <w:top w:val="nil"/>
              <w:left w:val="nil"/>
              <w:bottom w:val="single" w:color="auto" w:sz="4" w:space="0"/>
              <w:right w:val="single" w:color="auto" w:sz="4" w:space="0"/>
            </w:tcBorders>
            <w:shd w:val="clear" w:color="auto" w:fill="auto"/>
            <w:noWrap/>
            <w:vAlign w:val="center"/>
          </w:tcPr>
          <w:p w14:paraId="7B7BD8CC">
            <w:pPr>
              <w:widowControl/>
              <w:jc w:val="center"/>
              <w:rPr>
                <w:rFonts w:ascii="宋体" w:hAnsi="宋体" w:cs="宋体"/>
                <w:kern w:val="0"/>
                <w:sz w:val="24"/>
              </w:rPr>
            </w:pPr>
            <w:r>
              <w:rPr>
                <w:rFonts w:hint="eastAsia" w:ascii="宋体" w:hAnsi="宋体" w:cs="宋体"/>
                <w:kern w:val="0"/>
                <w:sz w:val="24"/>
              </w:rPr>
              <w:t>100%</w:t>
            </w:r>
          </w:p>
        </w:tc>
      </w:tr>
      <w:tr w14:paraId="651AA5B3">
        <w:tblPrEx>
          <w:tblCellMar>
            <w:top w:w="0" w:type="dxa"/>
            <w:left w:w="108" w:type="dxa"/>
            <w:bottom w:w="0" w:type="dxa"/>
            <w:right w:w="108" w:type="dxa"/>
          </w:tblCellMar>
        </w:tblPrEx>
        <w:trPr>
          <w:trHeight w:val="480" w:hRule="atLeast"/>
        </w:trPr>
        <w:tc>
          <w:tcPr>
            <w:tcW w:w="1040" w:type="dxa"/>
            <w:vMerge w:val="continue"/>
            <w:tcBorders>
              <w:top w:val="nil"/>
              <w:left w:val="single" w:color="auto" w:sz="4" w:space="0"/>
              <w:bottom w:val="single" w:color="auto" w:sz="4" w:space="0"/>
              <w:right w:val="single" w:color="auto" w:sz="4" w:space="0"/>
            </w:tcBorders>
            <w:vAlign w:val="center"/>
          </w:tcPr>
          <w:p w14:paraId="4E095168">
            <w:pPr>
              <w:widowControl/>
              <w:jc w:val="left"/>
              <w:rPr>
                <w:rFonts w:ascii="宋体" w:hAnsi="宋体" w:cs="宋体"/>
                <w:kern w:val="0"/>
                <w:sz w:val="20"/>
                <w:szCs w:val="20"/>
              </w:rPr>
            </w:pPr>
          </w:p>
        </w:tc>
        <w:tc>
          <w:tcPr>
            <w:tcW w:w="920" w:type="dxa"/>
            <w:vMerge w:val="restart"/>
            <w:tcBorders>
              <w:top w:val="nil"/>
              <w:left w:val="single" w:color="auto" w:sz="4" w:space="0"/>
              <w:bottom w:val="single" w:color="auto" w:sz="4" w:space="0"/>
              <w:right w:val="single" w:color="auto" w:sz="4" w:space="0"/>
            </w:tcBorders>
            <w:shd w:val="clear" w:color="auto" w:fill="auto"/>
            <w:vAlign w:val="center"/>
          </w:tcPr>
          <w:p w14:paraId="36590E0D">
            <w:pPr>
              <w:widowControl/>
              <w:jc w:val="center"/>
              <w:rPr>
                <w:rFonts w:ascii="宋体" w:hAnsi="宋体" w:cs="宋体"/>
                <w:kern w:val="0"/>
                <w:sz w:val="20"/>
                <w:szCs w:val="20"/>
              </w:rPr>
            </w:pPr>
            <w:r>
              <w:rPr>
                <w:rFonts w:hint="eastAsia" w:ascii="宋体" w:hAnsi="宋体" w:cs="宋体"/>
                <w:kern w:val="0"/>
                <w:sz w:val="20"/>
                <w:szCs w:val="20"/>
              </w:rPr>
              <w:t>效益指标</w:t>
            </w:r>
          </w:p>
        </w:tc>
        <w:tc>
          <w:tcPr>
            <w:tcW w:w="1220" w:type="dxa"/>
            <w:vMerge w:val="restart"/>
            <w:tcBorders>
              <w:top w:val="nil"/>
              <w:left w:val="single" w:color="auto" w:sz="4" w:space="0"/>
              <w:bottom w:val="single" w:color="auto" w:sz="4" w:space="0"/>
              <w:right w:val="single" w:color="auto" w:sz="4" w:space="0"/>
            </w:tcBorders>
            <w:shd w:val="clear" w:color="auto" w:fill="auto"/>
            <w:vAlign w:val="center"/>
          </w:tcPr>
          <w:p w14:paraId="3C0095BB">
            <w:pPr>
              <w:widowControl/>
              <w:jc w:val="center"/>
              <w:rPr>
                <w:rFonts w:ascii="宋体" w:hAnsi="宋体" w:cs="宋体"/>
                <w:kern w:val="0"/>
                <w:sz w:val="20"/>
                <w:szCs w:val="20"/>
              </w:rPr>
            </w:pPr>
            <w:r>
              <w:rPr>
                <w:rFonts w:hint="eastAsia" w:ascii="宋体" w:hAnsi="宋体" w:cs="宋体"/>
                <w:kern w:val="0"/>
                <w:sz w:val="20"/>
                <w:szCs w:val="20"/>
              </w:rPr>
              <w:t>社会效益</w:t>
            </w:r>
          </w:p>
        </w:tc>
        <w:tc>
          <w:tcPr>
            <w:tcW w:w="3353" w:type="dxa"/>
            <w:tcBorders>
              <w:top w:val="single" w:color="auto" w:sz="4" w:space="0"/>
              <w:left w:val="nil"/>
              <w:bottom w:val="single" w:color="auto" w:sz="4" w:space="0"/>
              <w:right w:val="single" w:color="000000" w:sz="4" w:space="0"/>
            </w:tcBorders>
            <w:shd w:val="clear" w:color="auto" w:fill="auto"/>
            <w:vAlign w:val="center"/>
          </w:tcPr>
          <w:p w14:paraId="3F353281">
            <w:pPr>
              <w:widowControl/>
              <w:jc w:val="center"/>
              <w:rPr>
                <w:rFonts w:ascii="宋体" w:hAnsi="宋体" w:cs="宋体"/>
                <w:kern w:val="0"/>
                <w:sz w:val="20"/>
                <w:szCs w:val="20"/>
              </w:rPr>
            </w:pPr>
            <w:r>
              <w:rPr>
                <w:rFonts w:hint="eastAsia" w:ascii="宋体" w:hAnsi="宋体" w:cs="宋体"/>
                <w:kern w:val="0"/>
                <w:sz w:val="20"/>
                <w:szCs w:val="20"/>
              </w:rPr>
              <w:t>医疗救助对象覆盖范围</w:t>
            </w:r>
          </w:p>
        </w:tc>
        <w:tc>
          <w:tcPr>
            <w:tcW w:w="2126" w:type="dxa"/>
            <w:tcBorders>
              <w:top w:val="nil"/>
              <w:left w:val="nil"/>
              <w:bottom w:val="single" w:color="auto" w:sz="4" w:space="0"/>
              <w:right w:val="single" w:color="auto" w:sz="4" w:space="0"/>
            </w:tcBorders>
            <w:shd w:val="clear" w:color="000000" w:fill="FFFFFF"/>
            <w:vAlign w:val="center"/>
          </w:tcPr>
          <w:p w14:paraId="3EB02D2C">
            <w:pPr>
              <w:widowControl/>
              <w:jc w:val="center"/>
              <w:rPr>
                <w:rFonts w:ascii="宋体" w:hAnsi="宋体" w:cs="宋体"/>
                <w:kern w:val="0"/>
                <w:sz w:val="20"/>
                <w:szCs w:val="20"/>
              </w:rPr>
            </w:pPr>
            <w:r>
              <w:rPr>
                <w:rFonts w:hint="eastAsia" w:ascii="宋体" w:hAnsi="宋体" w:cs="宋体"/>
                <w:kern w:val="0"/>
                <w:sz w:val="20"/>
                <w:szCs w:val="20"/>
              </w:rPr>
              <w:t>稳步拓展</w:t>
            </w:r>
          </w:p>
        </w:tc>
      </w:tr>
      <w:tr w14:paraId="4D594672">
        <w:tblPrEx>
          <w:tblCellMar>
            <w:top w:w="0" w:type="dxa"/>
            <w:left w:w="108" w:type="dxa"/>
            <w:bottom w:w="0" w:type="dxa"/>
            <w:right w:w="108" w:type="dxa"/>
          </w:tblCellMar>
        </w:tblPrEx>
        <w:trPr>
          <w:trHeight w:val="480" w:hRule="atLeast"/>
        </w:trPr>
        <w:tc>
          <w:tcPr>
            <w:tcW w:w="1040" w:type="dxa"/>
            <w:vMerge w:val="continue"/>
            <w:tcBorders>
              <w:top w:val="nil"/>
              <w:left w:val="single" w:color="auto" w:sz="4" w:space="0"/>
              <w:bottom w:val="single" w:color="auto" w:sz="4" w:space="0"/>
              <w:right w:val="single" w:color="auto" w:sz="4" w:space="0"/>
            </w:tcBorders>
            <w:vAlign w:val="center"/>
          </w:tcPr>
          <w:p w14:paraId="30F10573">
            <w:pPr>
              <w:widowControl/>
              <w:jc w:val="left"/>
              <w:rPr>
                <w:rFonts w:ascii="宋体" w:hAnsi="宋体" w:cs="宋体"/>
                <w:kern w:val="0"/>
                <w:sz w:val="20"/>
                <w:szCs w:val="20"/>
              </w:rPr>
            </w:pPr>
          </w:p>
        </w:tc>
        <w:tc>
          <w:tcPr>
            <w:tcW w:w="920" w:type="dxa"/>
            <w:vMerge w:val="continue"/>
            <w:tcBorders>
              <w:top w:val="nil"/>
              <w:left w:val="single" w:color="auto" w:sz="4" w:space="0"/>
              <w:bottom w:val="single" w:color="auto" w:sz="4" w:space="0"/>
              <w:right w:val="single" w:color="auto" w:sz="4" w:space="0"/>
            </w:tcBorders>
            <w:vAlign w:val="center"/>
          </w:tcPr>
          <w:p w14:paraId="63A45CCF">
            <w:pPr>
              <w:widowControl/>
              <w:jc w:val="left"/>
              <w:rPr>
                <w:rFonts w:ascii="宋体" w:hAnsi="宋体" w:cs="宋体"/>
                <w:kern w:val="0"/>
                <w:sz w:val="20"/>
                <w:szCs w:val="20"/>
              </w:rPr>
            </w:pPr>
          </w:p>
        </w:tc>
        <w:tc>
          <w:tcPr>
            <w:tcW w:w="1220" w:type="dxa"/>
            <w:vMerge w:val="continue"/>
            <w:tcBorders>
              <w:top w:val="nil"/>
              <w:left w:val="single" w:color="auto" w:sz="4" w:space="0"/>
              <w:bottom w:val="single" w:color="auto" w:sz="4" w:space="0"/>
              <w:right w:val="single" w:color="auto" w:sz="4" w:space="0"/>
            </w:tcBorders>
            <w:vAlign w:val="center"/>
          </w:tcPr>
          <w:p w14:paraId="734DAABD">
            <w:pPr>
              <w:widowControl/>
              <w:jc w:val="left"/>
              <w:rPr>
                <w:rFonts w:ascii="宋体" w:hAnsi="宋体" w:cs="宋体"/>
                <w:kern w:val="0"/>
                <w:sz w:val="20"/>
                <w:szCs w:val="20"/>
              </w:rPr>
            </w:pPr>
          </w:p>
        </w:tc>
        <w:tc>
          <w:tcPr>
            <w:tcW w:w="3353" w:type="dxa"/>
            <w:tcBorders>
              <w:top w:val="single" w:color="auto" w:sz="4" w:space="0"/>
              <w:left w:val="nil"/>
              <w:bottom w:val="single" w:color="auto" w:sz="4" w:space="0"/>
              <w:right w:val="single" w:color="000000" w:sz="4" w:space="0"/>
            </w:tcBorders>
            <w:shd w:val="clear" w:color="auto" w:fill="auto"/>
            <w:vAlign w:val="center"/>
          </w:tcPr>
          <w:p w14:paraId="57EF4201">
            <w:pPr>
              <w:widowControl/>
              <w:jc w:val="center"/>
              <w:rPr>
                <w:rFonts w:ascii="宋体" w:hAnsi="宋体" w:cs="宋体"/>
                <w:kern w:val="0"/>
                <w:sz w:val="20"/>
                <w:szCs w:val="20"/>
              </w:rPr>
            </w:pPr>
            <w:r>
              <w:rPr>
                <w:rFonts w:hint="eastAsia" w:ascii="宋体" w:hAnsi="宋体" w:cs="宋体"/>
                <w:kern w:val="0"/>
                <w:sz w:val="20"/>
                <w:szCs w:val="20"/>
              </w:rPr>
              <w:t>困难群众看病就医方便程度</w:t>
            </w:r>
          </w:p>
        </w:tc>
        <w:tc>
          <w:tcPr>
            <w:tcW w:w="2126" w:type="dxa"/>
            <w:tcBorders>
              <w:top w:val="nil"/>
              <w:left w:val="nil"/>
              <w:bottom w:val="single" w:color="auto" w:sz="4" w:space="0"/>
              <w:right w:val="single" w:color="auto" w:sz="4" w:space="0"/>
            </w:tcBorders>
            <w:shd w:val="clear" w:color="000000" w:fill="FFFFFF"/>
            <w:vAlign w:val="center"/>
          </w:tcPr>
          <w:p w14:paraId="18D16F46">
            <w:pPr>
              <w:widowControl/>
              <w:jc w:val="center"/>
              <w:rPr>
                <w:rFonts w:ascii="宋体" w:hAnsi="宋体" w:cs="宋体"/>
                <w:kern w:val="0"/>
                <w:sz w:val="20"/>
                <w:szCs w:val="20"/>
              </w:rPr>
            </w:pPr>
            <w:r>
              <w:rPr>
                <w:rFonts w:hint="eastAsia" w:ascii="宋体" w:hAnsi="宋体" w:cs="宋体"/>
                <w:kern w:val="0"/>
                <w:sz w:val="20"/>
                <w:szCs w:val="20"/>
              </w:rPr>
              <w:t>明显提高</w:t>
            </w:r>
          </w:p>
        </w:tc>
      </w:tr>
      <w:tr w14:paraId="18817685">
        <w:tblPrEx>
          <w:tblCellMar>
            <w:top w:w="0" w:type="dxa"/>
            <w:left w:w="108" w:type="dxa"/>
            <w:bottom w:w="0" w:type="dxa"/>
            <w:right w:w="108" w:type="dxa"/>
          </w:tblCellMar>
        </w:tblPrEx>
        <w:trPr>
          <w:trHeight w:val="480" w:hRule="atLeast"/>
        </w:trPr>
        <w:tc>
          <w:tcPr>
            <w:tcW w:w="1040" w:type="dxa"/>
            <w:vMerge w:val="continue"/>
            <w:tcBorders>
              <w:top w:val="nil"/>
              <w:left w:val="single" w:color="auto" w:sz="4" w:space="0"/>
              <w:bottom w:val="single" w:color="auto" w:sz="4" w:space="0"/>
              <w:right w:val="single" w:color="auto" w:sz="4" w:space="0"/>
            </w:tcBorders>
            <w:vAlign w:val="center"/>
          </w:tcPr>
          <w:p w14:paraId="3197342A">
            <w:pPr>
              <w:widowControl/>
              <w:jc w:val="left"/>
              <w:rPr>
                <w:rFonts w:ascii="宋体" w:hAnsi="宋体" w:cs="宋体"/>
                <w:kern w:val="0"/>
                <w:sz w:val="20"/>
                <w:szCs w:val="20"/>
              </w:rPr>
            </w:pPr>
          </w:p>
        </w:tc>
        <w:tc>
          <w:tcPr>
            <w:tcW w:w="920" w:type="dxa"/>
            <w:vMerge w:val="continue"/>
            <w:tcBorders>
              <w:top w:val="nil"/>
              <w:left w:val="single" w:color="auto" w:sz="4" w:space="0"/>
              <w:bottom w:val="single" w:color="auto" w:sz="4" w:space="0"/>
              <w:right w:val="single" w:color="auto" w:sz="4" w:space="0"/>
            </w:tcBorders>
            <w:vAlign w:val="center"/>
          </w:tcPr>
          <w:p w14:paraId="5EC63115">
            <w:pPr>
              <w:widowControl/>
              <w:jc w:val="left"/>
              <w:rPr>
                <w:rFonts w:ascii="宋体" w:hAnsi="宋体" w:cs="宋体"/>
                <w:kern w:val="0"/>
                <w:sz w:val="20"/>
                <w:szCs w:val="20"/>
              </w:rPr>
            </w:pPr>
          </w:p>
        </w:tc>
        <w:tc>
          <w:tcPr>
            <w:tcW w:w="1220" w:type="dxa"/>
            <w:vMerge w:val="continue"/>
            <w:tcBorders>
              <w:top w:val="nil"/>
              <w:left w:val="single" w:color="auto" w:sz="4" w:space="0"/>
              <w:bottom w:val="single" w:color="auto" w:sz="4" w:space="0"/>
              <w:right w:val="single" w:color="auto" w:sz="4" w:space="0"/>
            </w:tcBorders>
            <w:vAlign w:val="center"/>
          </w:tcPr>
          <w:p w14:paraId="3AC2F471">
            <w:pPr>
              <w:widowControl/>
              <w:jc w:val="left"/>
              <w:rPr>
                <w:rFonts w:ascii="宋体" w:hAnsi="宋体" w:cs="宋体"/>
                <w:kern w:val="0"/>
                <w:sz w:val="20"/>
                <w:szCs w:val="20"/>
              </w:rPr>
            </w:pPr>
          </w:p>
        </w:tc>
        <w:tc>
          <w:tcPr>
            <w:tcW w:w="3353" w:type="dxa"/>
            <w:tcBorders>
              <w:top w:val="single" w:color="auto" w:sz="4" w:space="0"/>
              <w:left w:val="nil"/>
              <w:bottom w:val="single" w:color="auto" w:sz="4" w:space="0"/>
              <w:right w:val="single" w:color="000000" w:sz="4" w:space="0"/>
            </w:tcBorders>
            <w:shd w:val="clear" w:color="auto" w:fill="auto"/>
            <w:vAlign w:val="center"/>
          </w:tcPr>
          <w:p w14:paraId="38867897">
            <w:pPr>
              <w:widowControl/>
              <w:jc w:val="center"/>
              <w:rPr>
                <w:rFonts w:ascii="宋体" w:hAnsi="宋体" w:cs="宋体"/>
                <w:kern w:val="0"/>
                <w:sz w:val="20"/>
                <w:szCs w:val="20"/>
              </w:rPr>
            </w:pPr>
            <w:r>
              <w:rPr>
                <w:rFonts w:hint="eastAsia" w:ascii="宋体" w:hAnsi="宋体" w:cs="宋体"/>
                <w:kern w:val="0"/>
                <w:sz w:val="20"/>
                <w:szCs w:val="20"/>
              </w:rPr>
              <w:t>困难群众医疗费用负担减轻程度</w:t>
            </w:r>
          </w:p>
        </w:tc>
        <w:tc>
          <w:tcPr>
            <w:tcW w:w="2126" w:type="dxa"/>
            <w:tcBorders>
              <w:top w:val="nil"/>
              <w:left w:val="nil"/>
              <w:bottom w:val="single" w:color="auto" w:sz="4" w:space="0"/>
              <w:right w:val="single" w:color="auto" w:sz="4" w:space="0"/>
            </w:tcBorders>
            <w:shd w:val="clear" w:color="000000" w:fill="FFFFFF"/>
            <w:vAlign w:val="center"/>
          </w:tcPr>
          <w:p w14:paraId="637D134A">
            <w:pPr>
              <w:widowControl/>
              <w:jc w:val="center"/>
              <w:rPr>
                <w:rFonts w:ascii="宋体" w:hAnsi="宋体" w:cs="宋体"/>
                <w:kern w:val="0"/>
                <w:sz w:val="20"/>
                <w:szCs w:val="20"/>
              </w:rPr>
            </w:pPr>
            <w:r>
              <w:rPr>
                <w:rFonts w:hint="eastAsia" w:ascii="宋体" w:hAnsi="宋体" w:cs="宋体"/>
                <w:kern w:val="0"/>
                <w:sz w:val="20"/>
                <w:szCs w:val="20"/>
              </w:rPr>
              <w:t>有效减缓</w:t>
            </w:r>
          </w:p>
        </w:tc>
      </w:tr>
      <w:tr w14:paraId="046DA795">
        <w:tblPrEx>
          <w:tblCellMar>
            <w:top w:w="0" w:type="dxa"/>
            <w:left w:w="108" w:type="dxa"/>
            <w:bottom w:w="0" w:type="dxa"/>
            <w:right w:w="108" w:type="dxa"/>
          </w:tblCellMar>
        </w:tblPrEx>
        <w:trPr>
          <w:trHeight w:val="480" w:hRule="atLeast"/>
        </w:trPr>
        <w:tc>
          <w:tcPr>
            <w:tcW w:w="1040" w:type="dxa"/>
            <w:vMerge w:val="continue"/>
            <w:tcBorders>
              <w:top w:val="nil"/>
              <w:left w:val="single" w:color="auto" w:sz="4" w:space="0"/>
              <w:bottom w:val="single" w:color="auto" w:sz="4" w:space="0"/>
              <w:right w:val="single" w:color="auto" w:sz="4" w:space="0"/>
            </w:tcBorders>
            <w:vAlign w:val="center"/>
          </w:tcPr>
          <w:p w14:paraId="43B52454">
            <w:pPr>
              <w:widowControl/>
              <w:jc w:val="left"/>
              <w:rPr>
                <w:rFonts w:ascii="宋体" w:hAnsi="宋体" w:cs="宋体"/>
                <w:kern w:val="0"/>
                <w:sz w:val="20"/>
                <w:szCs w:val="20"/>
              </w:rPr>
            </w:pPr>
          </w:p>
        </w:tc>
        <w:tc>
          <w:tcPr>
            <w:tcW w:w="920" w:type="dxa"/>
            <w:vMerge w:val="continue"/>
            <w:tcBorders>
              <w:top w:val="nil"/>
              <w:left w:val="single" w:color="auto" w:sz="4" w:space="0"/>
              <w:bottom w:val="single" w:color="auto" w:sz="4" w:space="0"/>
              <w:right w:val="single" w:color="auto" w:sz="4" w:space="0"/>
            </w:tcBorders>
            <w:vAlign w:val="center"/>
          </w:tcPr>
          <w:p w14:paraId="517B9541">
            <w:pPr>
              <w:widowControl/>
              <w:jc w:val="left"/>
              <w:rPr>
                <w:rFonts w:ascii="宋体" w:hAnsi="宋体" w:cs="宋体"/>
                <w:kern w:val="0"/>
                <w:sz w:val="20"/>
                <w:szCs w:val="20"/>
              </w:rPr>
            </w:pPr>
          </w:p>
        </w:tc>
        <w:tc>
          <w:tcPr>
            <w:tcW w:w="1220" w:type="dxa"/>
            <w:vMerge w:val="restart"/>
            <w:tcBorders>
              <w:top w:val="nil"/>
              <w:left w:val="single" w:color="auto" w:sz="4" w:space="0"/>
              <w:bottom w:val="single" w:color="000000" w:sz="4" w:space="0"/>
              <w:right w:val="single" w:color="auto" w:sz="4" w:space="0"/>
            </w:tcBorders>
            <w:shd w:val="clear" w:color="auto" w:fill="auto"/>
            <w:vAlign w:val="center"/>
          </w:tcPr>
          <w:p w14:paraId="2B0A2569">
            <w:pPr>
              <w:widowControl/>
              <w:jc w:val="center"/>
              <w:rPr>
                <w:rFonts w:ascii="宋体" w:hAnsi="宋体" w:cs="宋体"/>
                <w:kern w:val="0"/>
                <w:sz w:val="20"/>
                <w:szCs w:val="20"/>
              </w:rPr>
            </w:pPr>
            <w:r>
              <w:rPr>
                <w:rFonts w:hint="eastAsia" w:ascii="宋体" w:hAnsi="宋体" w:cs="宋体"/>
                <w:kern w:val="0"/>
                <w:sz w:val="20"/>
                <w:szCs w:val="20"/>
              </w:rPr>
              <w:t>可持续影响指标</w:t>
            </w:r>
          </w:p>
        </w:tc>
        <w:tc>
          <w:tcPr>
            <w:tcW w:w="3353" w:type="dxa"/>
            <w:tcBorders>
              <w:top w:val="single" w:color="auto" w:sz="4" w:space="0"/>
              <w:left w:val="nil"/>
              <w:bottom w:val="single" w:color="auto" w:sz="4" w:space="0"/>
              <w:right w:val="single" w:color="000000" w:sz="4" w:space="0"/>
            </w:tcBorders>
            <w:shd w:val="clear" w:color="auto" w:fill="auto"/>
            <w:vAlign w:val="center"/>
          </w:tcPr>
          <w:p w14:paraId="7CCF80CF">
            <w:pPr>
              <w:widowControl/>
              <w:jc w:val="center"/>
              <w:rPr>
                <w:rFonts w:ascii="宋体" w:hAnsi="宋体" w:cs="宋体"/>
                <w:kern w:val="0"/>
                <w:sz w:val="20"/>
                <w:szCs w:val="20"/>
              </w:rPr>
            </w:pPr>
            <w:r>
              <w:rPr>
                <w:rFonts w:hint="eastAsia" w:ascii="宋体" w:hAnsi="宋体" w:cs="宋体"/>
                <w:kern w:val="0"/>
                <w:sz w:val="20"/>
                <w:szCs w:val="20"/>
              </w:rPr>
              <w:t>对健全社会救助体系的影响</w:t>
            </w:r>
          </w:p>
        </w:tc>
        <w:tc>
          <w:tcPr>
            <w:tcW w:w="2126" w:type="dxa"/>
            <w:tcBorders>
              <w:top w:val="nil"/>
              <w:left w:val="nil"/>
              <w:bottom w:val="single" w:color="auto" w:sz="4" w:space="0"/>
              <w:right w:val="single" w:color="auto" w:sz="4" w:space="0"/>
            </w:tcBorders>
            <w:shd w:val="clear" w:color="000000" w:fill="FFFFFF"/>
            <w:vAlign w:val="center"/>
          </w:tcPr>
          <w:p w14:paraId="3AE8F28C">
            <w:pPr>
              <w:widowControl/>
              <w:jc w:val="center"/>
              <w:rPr>
                <w:rFonts w:ascii="宋体" w:hAnsi="宋体" w:cs="宋体"/>
                <w:kern w:val="0"/>
                <w:sz w:val="20"/>
                <w:szCs w:val="20"/>
              </w:rPr>
            </w:pPr>
            <w:r>
              <w:rPr>
                <w:rFonts w:hint="eastAsia" w:ascii="宋体" w:hAnsi="宋体" w:cs="宋体"/>
                <w:kern w:val="0"/>
                <w:sz w:val="20"/>
                <w:szCs w:val="20"/>
              </w:rPr>
              <w:t>成效明显</w:t>
            </w:r>
          </w:p>
        </w:tc>
      </w:tr>
      <w:tr w14:paraId="258B063D">
        <w:tblPrEx>
          <w:tblCellMar>
            <w:top w:w="0" w:type="dxa"/>
            <w:left w:w="108" w:type="dxa"/>
            <w:bottom w:w="0" w:type="dxa"/>
            <w:right w:w="108" w:type="dxa"/>
          </w:tblCellMar>
        </w:tblPrEx>
        <w:trPr>
          <w:trHeight w:val="480" w:hRule="atLeast"/>
        </w:trPr>
        <w:tc>
          <w:tcPr>
            <w:tcW w:w="1040" w:type="dxa"/>
            <w:vMerge w:val="continue"/>
            <w:tcBorders>
              <w:top w:val="nil"/>
              <w:left w:val="single" w:color="auto" w:sz="4" w:space="0"/>
              <w:bottom w:val="single" w:color="auto" w:sz="4" w:space="0"/>
              <w:right w:val="single" w:color="auto" w:sz="4" w:space="0"/>
            </w:tcBorders>
            <w:vAlign w:val="center"/>
          </w:tcPr>
          <w:p w14:paraId="397F494C">
            <w:pPr>
              <w:widowControl/>
              <w:jc w:val="left"/>
              <w:rPr>
                <w:rFonts w:ascii="宋体" w:hAnsi="宋体" w:cs="宋体"/>
                <w:kern w:val="0"/>
                <w:sz w:val="20"/>
                <w:szCs w:val="20"/>
              </w:rPr>
            </w:pPr>
          </w:p>
        </w:tc>
        <w:tc>
          <w:tcPr>
            <w:tcW w:w="920" w:type="dxa"/>
            <w:vMerge w:val="continue"/>
            <w:tcBorders>
              <w:top w:val="nil"/>
              <w:left w:val="single" w:color="auto" w:sz="4" w:space="0"/>
              <w:bottom w:val="single" w:color="auto" w:sz="4" w:space="0"/>
              <w:right w:val="single" w:color="auto" w:sz="4" w:space="0"/>
            </w:tcBorders>
            <w:vAlign w:val="center"/>
          </w:tcPr>
          <w:p w14:paraId="4E1BB7D1">
            <w:pPr>
              <w:widowControl/>
              <w:jc w:val="left"/>
              <w:rPr>
                <w:rFonts w:ascii="宋体" w:hAnsi="宋体" w:cs="宋体"/>
                <w:kern w:val="0"/>
                <w:sz w:val="20"/>
                <w:szCs w:val="20"/>
              </w:rPr>
            </w:pPr>
          </w:p>
        </w:tc>
        <w:tc>
          <w:tcPr>
            <w:tcW w:w="1220" w:type="dxa"/>
            <w:vMerge w:val="continue"/>
            <w:tcBorders>
              <w:top w:val="nil"/>
              <w:left w:val="single" w:color="auto" w:sz="4" w:space="0"/>
              <w:bottom w:val="single" w:color="000000" w:sz="4" w:space="0"/>
              <w:right w:val="single" w:color="auto" w:sz="4" w:space="0"/>
            </w:tcBorders>
            <w:vAlign w:val="center"/>
          </w:tcPr>
          <w:p w14:paraId="37A0F5AF">
            <w:pPr>
              <w:widowControl/>
              <w:jc w:val="left"/>
              <w:rPr>
                <w:rFonts w:ascii="宋体" w:hAnsi="宋体" w:cs="宋体"/>
                <w:kern w:val="0"/>
                <w:sz w:val="20"/>
                <w:szCs w:val="20"/>
              </w:rPr>
            </w:pPr>
          </w:p>
        </w:tc>
        <w:tc>
          <w:tcPr>
            <w:tcW w:w="3353" w:type="dxa"/>
            <w:tcBorders>
              <w:top w:val="single" w:color="auto" w:sz="4" w:space="0"/>
              <w:left w:val="nil"/>
              <w:bottom w:val="single" w:color="auto" w:sz="4" w:space="0"/>
              <w:right w:val="single" w:color="000000" w:sz="4" w:space="0"/>
            </w:tcBorders>
            <w:shd w:val="clear" w:color="auto" w:fill="auto"/>
            <w:vAlign w:val="center"/>
          </w:tcPr>
          <w:p w14:paraId="7E2A4205">
            <w:pPr>
              <w:widowControl/>
              <w:jc w:val="center"/>
              <w:rPr>
                <w:rFonts w:ascii="宋体" w:hAnsi="宋体" w:cs="宋体"/>
                <w:kern w:val="0"/>
                <w:sz w:val="20"/>
                <w:szCs w:val="20"/>
              </w:rPr>
            </w:pPr>
            <w:r>
              <w:rPr>
                <w:rFonts w:hint="eastAsia" w:ascii="宋体" w:hAnsi="宋体" w:cs="宋体"/>
                <w:kern w:val="0"/>
                <w:sz w:val="20"/>
                <w:szCs w:val="20"/>
              </w:rPr>
              <w:t>对健全医疗保障制度体系的作用</w:t>
            </w:r>
          </w:p>
        </w:tc>
        <w:tc>
          <w:tcPr>
            <w:tcW w:w="2126" w:type="dxa"/>
            <w:tcBorders>
              <w:top w:val="nil"/>
              <w:left w:val="nil"/>
              <w:bottom w:val="single" w:color="auto" w:sz="4" w:space="0"/>
              <w:right w:val="single" w:color="auto" w:sz="4" w:space="0"/>
            </w:tcBorders>
            <w:shd w:val="clear" w:color="000000" w:fill="FFFFFF"/>
            <w:vAlign w:val="center"/>
          </w:tcPr>
          <w:p w14:paraId="1672D02A">
            <w:pPr>
              <w:widowControl/>
              <w:jc w:val="center"/>
              <w:rPr>
                <w:rFonts w:ascii="宋体" w:hAnsi="宋体" w:cs="宋体"/>
                <w:kern w:val="0"/>
                <w:sz w:val="20"/>
                <w:szCs w:val="20"/>
              </w:rPr>
            </w:pPr>
            <w:r>
              <w:rPr>
                <w:rFonts w:hint="eastAsia" w:ascii="宋体" w:hAnsi="宋体" w:cs="宋体"/>
                <w:kern w:val="0"/>
                <w:sz w:val="20"/>
                <w:szCs w:val="20"/>
              </w:rPr>
              <w:t>成效明显</w:t>
            </w:r>
          </w:p>
        </w:tc>
      </w:tr>
      <w:tr w14:paraId="37FF9E4C">
        <w:tblPrEx>
          <w:tblCellMar>
            <w:top w:w="0" w:type="dxa"/>
            <w:left w:w="108" w:type="dxa"/>
            <w:bottom w:w="0" w:type="dxa"/>
            <w:right w:w="108" w:type="dxa"/>
          </w:tblCellMar>
        </w:tblPrEx>
        <w:trPr>
          <w:trHeight w:val="480" w:hRule="atLeast"/>
        </w:trPr>
        <w:tc>
          <w:tcPr>
            <w:tcW w:w="1040" w:type="dxa"/>
            <w:vMerge w:val="continue"/>
            <w:tcBorders>
              <w:top w:val="nil"/>
              <w:left w:val="single" w:color="auto" w:sz="4" w:space="0"/>
              <w:bottom w:val="single" w:color="auto" w:sz="4" w:space="0"/>
              <w:right w:val="single" w:color="auto" w:sz="4" w:space="0"/>
            </w:tcBorders>
            <w:vAlign w:val="center"/>
          </w:tcPr>
          <w:p w14:paraId="3B8C9FE5">
            <w:pPr>
              <w:widowControl/>
              <w:jc w:val="left"/>
              <w:rPr>
                <w:rFonts w:ascii="宋体" w:hAnsi="宋体" w:cs="宋体"/>
                <w:kern w:val="0"/>
                <w:sz w:val="20"/>
                <w:szCs w:val="20"/>
              </w:rPr>
            </w:pPr>
          </w:p>
        </w:tc>
        <w:tc>
          <w:tcPr>
            <w:tcW w:w="920" w:type="dxa"/>
            <w:vMerge w:val="restart"/>
            <w:tcBorders>
              <w:top w:val="nil"/>
              <w:left w:val="single" w:color="auto" w:sz="4" w:space="0"/>
              <w:bottom w:val="single" w:color="auto" w:sz="4" w:space="0"/>
              <w:right w:val="single" w:color="auto" w:sz="4" w:space="0"/>
            </w:tcBorders>
            <w:shd w:val="clear" w:color="auto" w:fill="auto"/>
            <w:vAlign w:val="center"/>
          </w:tcPr>
          <w:p w14:paraId="44944125">
            <w:pPr>
              <w:widowControl/>
              <w:jc w:val="center"/>
              <w:rPr>
                <w:rFonts w:ascii="宋体" w:hAnsi="宋体" w:cs="宋体"/>
                <w:kern w:val="0"/>
                <w:sz w:val="20"/>
                <w:szCs w:val="20"/>
              </w:rPr>
            </w:pPr>
            <w:r>
              <w:rPr>
                <w:rFonts w:hint="eastAsia" w:ascii="宋体" w:hAnsi="宋体" w:cs="宋体"/>
                <w:kern w:val="0"/>
                <w:sz w:val="20"/>
                <w:szCs w:val="20"/>
              </w:rPr>
              <w:t>满意度</w:t>
            </w:r>
          </w:p>
        </w:tc>
        <w:tc>
          <w:tcPr>
            <w:tcW w:w="1220" w:type="dxa"/>
            <w:vMerge w:val="restart"/>
            <w:tcBorders>
              <w:top w:val="nil"/>
              <w:left w:val="single" w:color="auto" w:sz="4" w:space="0"/>
              <w:bottom w:val="single" w:color="auto" w:sz="4" w:space="0"/>
              <w:right w:val="single" w:color="auto" w:sz="4" w:space="0"/>
            </w:tcBorders>
            <w:shd w:val="clear" w:color="auto" w:fill="auto"/>
            <w:vAlign w:val="center"/>
          </w:tcPr>
          <w:p w14:paraId="2444E70C">
            <w:pPr>
              <w:widowControl/>
              <w:jc w:val="center"/>
              <w:rPr>
                <w:rFonts w:ascii="宋体" w:hAnsi="宋体" w:cs="宋体"/>
                <w:kern w:val="0"/>
                <w:sz w:val="20"/>
                <w:szCs w:val="20"/>
              </w:rPr>
            </w:pPr>
            <w:r>
              <w:rPr>
                <w:rFonts w:hint="eastAsia" w:ascii="宋体" w:hAnsi="宋体" w:cs="宋体"/>
                <w:kern w:val="0"/>
                <w:sz w:val="20"/>
                <w:szCs w:val="20"/>
              </w:rPr>
              <w:t>服务对象满意度指标</w:t>
            </w:r>
          </w:p>
        </w:tc>
        <w:tc>
          <w:tcPr>
            <w:tcW w:w="3353" w:type="dxa"/>
            <w:tcBorders>
              <w:top w:val="single" w:color="auto" w:sz="4" w:space="0"/>
              <w:left w:val="nil"/>
              <w:bottom w:val="single" w:color="auto" w:sz="4" w:space="0"/>
              <w:right w:val="single" w:color="000000" w:sz="4" w:space="0"/>
            </w:tcBorders>
            <w:shd w:val="clear" w:color="auto" w:fill="auto"/>
            <w:vAlign w:val="center"/>
          </w:tcPr>
          <w:p w14:paraId="6A3B56BC">
            <w:pPr>
              <w:widowControl/>
              <w:jc w:val="center"/>
              <w:rPr>
                <w:rFonts w:ascii="宋体" w:hAnsi="宋体" w:cs="宋体"/>
                <w:kern w:val="0"/>
                <w:sz w:val="20"/>
                <w:szCs w:val="20"/>
              </w:rPr>
            </w:pPr>
            <w:r>
              <w:rPr>
                <w:rFonts w:hint="eastAsia" w:ascii="宋体" w:hAnsi="宋体" w:cs="宋体"/>
                <w:kern w:val="0"/>
                <w:sz w:val="20"/>
                <w:szCs w:val="20"/>
              </w:rPr>
              <w:t>政策知晓率</w:t>
            </w:r>
          </w:p>
        </w:tc>
        <w:tc>
          <w:tcPr>
            <w:tcW w:w="2126" w:type="dxa"/>
            <w:tcBorders>
              <w:top w:val="nil"/>
              <w:left w:val="nil"/>
              <w:bottom w:val="single" w:color="auto" w:sz="4" w:space="0"/>
              <w:right w:val="single" w:color="auto" w:sz="4" w:space="0"/>
            </w:tcBorders>
            <w:shd w:val="clear" w:color="auto" w:fill="auto"/>
            <w:noWrap/>
            <w:vAlign w:val="center"/>
          </w:tcPr>
          <w:p w14:paraId="78A7649B">
            <w:pPr>
              <w:widowControl/>
              <w:jc w:val="center"/>
              <w:rPr>
                <w:rFonts w:ascii="宋体" w:hAnsi="宋体" w:cs="宋体"/>
                <w:kern w:val="0"/>
                <w:sz w:val="24"/>
              </w:rPr>
            </w:pPr>
            <w:r>
              <w:rPr>
                <w:rFonts w:hint="eastAsia" w:ascii="宋体" w:hAnsi="宋体" w:cs="宋体"/>
                <w:kern w:val="0"/>
                <w:sz w:val="24"/>
              </w:rPr>
              <w:t>≥90%</w:t>
            </w:r>
          </w:p>
        </w:tc>
      </w:tr>
      <w:tr w14:paraId="43D818E5">
        <w:tblPrEx>
          <w:tblCellMar>
            <w:top w:w="0" w:type="dxa"/>
            <w:left w:w="108" w:type="dxa"/>
            <w:bottom w:w="0" w:type="dxa"/>
            <w:right w:w="108" w:type="dxa"/>
          </w:tblCellMar>
        </w:tblPrEx>
        <w:trPr>
          <w:trHeight w:val="480" w:hRule="atLeast"/>
        </w:trPr>
        <w:tc>
          <w:tcPr>
            <w:tcW w:w="1040" w:type="dxa"/>
            <w:vMerge w:val="continue"/>
            <w:tcBorders>
              <w:top w:val="nil"/>
              <w:left w:val="single" w:color="auto" w:sz="4" w:space="0"/>
              <w:bottom w:val="single" w:color="auto" w:sz="4" w:space="0"/>
              <w:right w:val="single" w:color="auto" w:sz="4" w:space="0"/>
            </w:tcBorders>
            <w:vAlign w:val="center"/>
          </w:tcPr>
          <w:p w14:paraId="7147EAF2">
            <w:pPr>
              <w:widowControl/>
              <w:jc w:val="left"/>
              <w:rPr>
                <w:rFonts w:ascii="宋体" w:hAnsi="宋体" w:cs="宋体"/>
                <w:kern w:val="0"/>
                <w:sz w:val="20"/>
                <w:szCs w:val="20"/>
              </w:rPr>
            </w:pPr>
          </w:p>
        </w:tc>
        <w:tc>
          <w:tcPr>
            <w:tcW w:w="920" w:type="dxa"/>
            <w:vMerge w:val="continue"/>
            <w:tcBorders>
              <w:top w:val="nil"/>
              <w:left w:val="single" w:color="auto" w:sz="4" w:space="0"/>
              <w:bottom w:val="single" w:color="auto" w:sz="4" w:space="0"/>
              <w:right w:val="single" w:color="auto" w:sz="4" w:space="0"/>
            </w:tcBorders>
            <w:vAlign w:val="center"/>
          </w:tcPr>
          <w:p w14:paraId="6CED2B08">
            <w:pPr>
              <w:widowControl/>
              <w:jc w:val="left"/>
              <w:rPr>
                <w:rFonts w:ascii="宋体" w:hAnsi="宋体" w:cs="宋体"/>
                <w:kern w:val="0"/>
                <w:sz w:val="20"/>
                <w:szCs w:val="20"/>
              </w:rPr>
            </w:pPr>
          </w:p>
        </w:tc>
        <w:tc>
          <w:tcPr>
            <w:tcW w:w="1220" w:type="dxa"/>
            <w:vMerge w:val="continue"/>
            <w:tcBorders>
              <w:top w:val="nil"/>
              <w:left w:val="single" w:color="auto" w:sz="4" w:space="0"/>
              <w:bottom w:val="single" w:color="auto" w:sz="4" w:space="0"/>
              <w:right w:val="single" w:color="auto" w:sz="4" w:space="0"/>
            </w:tcBorders>
            <w:vAlign w:val="center"/>
          </w:tcPr>
          <w:p w14:paraId="52B3E89F">
            <w:pPr>
              <w:widowControl/>
              <w:jc w:val="left"/>
              <w:rPr>
                <w:rFonts w:ascii="宋体" w:hAnsi="宋体" w:cs="宋体"/>
                <w:kern w:val="0"/>
                <w:sz w:val="20"/>
                <w:szCs w:val="20"/>
              </w:rPr>
            </w:pPr>
          </w:p>
        </w:tc>
        <w:tc>
          <w:tcPr>
            <w:tcW w:w="3353" w:type="dxa"/>
            <w:tcBorders>
              <w:top w:val="single" w:color="auto" w:sz="4" w:space="0"/>
              <w:left w:val="nil"/>
              <w:bottom w:val="single" w:color="auto" w:sz="4" w:space="0"/>
              <w:right w:val="single" w:color="000000" w:sz="4" w:space="0"/>
            </w:tcBorders>
            <w:shd w:val="clear" w:color="auto" w:fill="auto"/>
            <w:vAlign w:val="center"/>
          </w:tcPr>
          <w:p w14:paraId="209DE45F">
            <w:pPr>
              <w:widowControl/>
              <w:jc w:val="center"/>
              <w:rPr>
                <w:rFonts w:ascii="宋体" w:hAnsi="宋体" w:cs="宋体"/>
                <w:kern w:val="0"/>
                <w:sz w:val="20"/>
                <w:szCs w:val="20"/>
              </w:rPr>
            </w:pPr>
            <w:r>
              <w:rPr>
                <w:rFonts w:hint="eastAsia" w:ascii="宋体" w:hAnsi="宋体" w:cs="宋体"/>
                <w:kern w:val="0"/>
                <w:sz w:val="20"/>
                <w:szCs w:val="20"/>
              </w:rPr>
              <w:t>救助对象满意度</w:t>
            </w:r>
          </w:p>
        </w:tc>
        <w:tc>
          <w:tcPr>
            <w:tcW w:w="2126" w:type="dxa"/>
            <w:tcBorders>
              <w:top w:val="nil"/>
              <w:left w:val="nil"/>
              <w:bottom w:val="single" w:color="auto" w:sz="4" w:space="0"/>
              <w:right w:val="single" w:color="auto" w:sz="4" w:space="0"/>
            </w:tcBorders>
            <w:shd w:val="clear" w:color="auto" w:fill="auto"/>
            <w:noWrap/>
            <w:vAlign w:val="center"/>
          </w:tcPr>
          <w:p w14:paraId="7B875FDA">
            <w:pPr>
              <w:widowControl/>
              <w:jc w:val="center"/>
              <w:rPr>
                <w:rFonts w:ascii="宋体" w:hAnsi="宋体" w:cs="宋体"/>
                <w:kern w:val="0"/>
                <w:sz w:val="24"/>
              </w:rPr>
            </w:pPr>
            <w:r>
              <w:rPr>
                <w:rFonts w:hint="eastAsia" w:ascii="宋体" w:hAnsi="宋体" w:cs="宋体"/>
                <w:kern w:val="0"/>
                <w:sz w:val="24"/>
              </w:rPr>
              <w:t>≥90%</w:t>
            </w:r>
          </w:p>
        </w:tc>
      </w:tr>
    </w:tbl>
    <w:p w14:paraId="63882CB6">
      <w:pPr>
        <w:spacing w:line="540" w:lineRule="exact"/>
        <w:ind w:firstLine="640" w:firstLineChars="200"/>
        <w:rPr>
          <w:rFonts w:ascii="黑体" w:hAnsi="黑体" w:eastAsia="黑体"/>
          <w:sz w:val="32"/>
          <w:szCs w:val="32"/>
        </w:rPr>
      </w:pPr>
      <w:r>
        <w:rPr>
          <w:rFonts w:hint="eastAsia" w:ascii="黑体" w:hAnsi="黑体" w:eastAsia="黑体"/>
          <w:sz w:val="32"/>
          <w:szCs w:val="32"/>
        </w:rPr>
        <w:t>二、绩效评价工作开展情况</w:t>
      </w:r>
    </w:p>
    <w:p w14:paraId="534FF6A4">
      <w:pPr>
        <w:spacing w:line="540" w:lineRule="exact"/>
        <w:ind w:firstLine="470" w:firstLineChars="147"/>
        <w:rPr>
          <w:rFonts w:ascii="仿宋_GB2312" w:eastAsia="仿宋_GB2312"/>
          <w:sz w:val="32"/>
          <w:szCs w:val="32"/>
        </w:rPr>
      </w:pPr>
      <w:r>
        <w:rPr>
          <w:rFonts w:hint="eastAsia" w:ascii="楷体" w:hAnsi="楷体" w:eastAsia="楷体"/>
          <w:b/>
          <w:sz w:val="32"/>
          <w:szCs w:val="32"/>
        </w:rPr>
        <w:t>（一）评价目的、对象和范围。</w:t>
      </w:r>
      <w:r>
        <w:rPr>
          <w:rFonts w:hint="eastAsia" w:ascii="仿宋" w:hAnsi="仿宋" w:eastAsia="仿宋"/>
          <w:sz w:val="32"/>
          <w:szCs w:val="32"/>
        </w:rPr>
        <w:t>我县绩效目标评价的主要目的是通过资金绩效评价，不断规范落实资金管理，落实医疗救助工作分级管理，按照兜底的工作原则，提高困难群众有效救助水平，进一步减轻困难群众医疗费负担。</w:t>
      </w:r>
    </w:p>
    <w:p w14:paraId="5FBE6D06">
      <w:pPr>
        <w:spacing w:line="540" w:lineRule="exact"/>
        <w:ind w:firstLine="640" w:firstLineChars="200"/>
        <w:rPr>
          <w:rFonts w:ascii="仿宋" w:hAnsi="仿宋" w:eastAsia="仿宋"/>
          <w:sz w:val="32"/>
          <w:szCs w:val="32"/>
        </w:rPr>
      </w:pPr>
      <w:r>
        <w:rPr>
          <w:rFonts w:hint="eastAsia" w:ascii="仿宋" w:hAnsi="仿宋" w:eastAsia="仿宋"/>
          <w:sz w:val="32"/>
          <w:szCs w:val="32"/>
        </w:rPr>
        <w:t>按照国务院《社会救助暂行办法》《四川省社会救助实施办法》规定，2020年医疗救助资金绩效评价对象是各级医疗保障部门；医疗救助资金绩效评价范围是中央、省级资金管理使用情况，县级财政医疗救助预算落实情况。</w:t>
      </w:r>
    </w:p>
    <w:p w14:paraId="2987BED8">
      <w:pPr>
        <w:spacing w:line="540" w:lineRule="exact"/>
        <w:ind w:firstLine="640" w:firstLineChars="200"/>
        <w:rPr>
          <w:rFonts w:ascii="仿宋_GB2312" w:eastAsia="仿宋_GB2312"/>
          <w:sz w:val="32"/>
          <w:szCs w:val="32"/>
        </w:rPr>
      </w:pPr>
      <w:r>
        <w:rPr>
          <w:rFonts w:hint="eastAsia" w:ascii="楷体" w:hAnsi="楷体" w:eastAsia="楷体"/>
          <w:b/>
          <w:sz w:val="32"/>
          <w:szCs w:val="32"/>
        </w:rPr>
        <w:t>（二）评价方法和评价等次。</w:t>
      </w:r>
      <w:r>
        <w:rPr>
          <w:rFonts w:hint="eastAsia" w:ascii="仿宋" w:hAnsi="仿宋" w:eastAsia="仿宋"/>
          <w:sz w:val="32"/>
          <w:szCs w:val="32"/>
        </w:rPr>
        <w:t>2020年医疗救助资金绩效评价方法采用质量指标与数量指标相结合的办法。数量指标依据季报表数据，质量指标依据系统救助实际情况计算。</w:t>
      </w:r>
    </w:p>
    <w:p w14:paraId="636F69DE">
      <w:pPr>
        <w:spacing w:line="540" w:lineRule="exact"/>
        <w:ind w:firstLine="640" w:firstLineChars="200"/>
        <w:rPr>
          <w:rFonts w:ascii="仿宋" w:hAnsi="仿宋" w:eastAsia="仿宋"/>
          <w:sz w:val="32"/>
          <w:szCs w:val="32"/>
        </w:rPr>
      </w:pPr>
      <w:r>
        <w:rPr>
          <w:rFonts w:hint="eastAsia" w:ascii="仿宋" w:hAnsi="仿宋" w:eastAsia="仿宋"/>
          <w:sz w:val="32"/>
          <w:szCs w:val="32"/>
        </w:rPr>
        <w:t>评价等次：合格60-70分，良好71-80分，优秀90分以上。</w:t>
      </w:r>
    </w:p>
    <w:p w14:paraId="74939284">
      <w:pPr>
        <w:spacing w:line="540" w:lineRule="exact"/>
        <w:ind w:firstLine="640" w:firstLineChars="200"/>
        <w:rPr>
          <w:rFonts w:ascii="仿宋_GB2312" w:eastAsia="仿宋_GB2312"/>
          <w:sz w:val="32"/>
          <w:szCs w:val="32"/>
        </w:rPr>
      </w:pPr>
      <w:r>
        <w:rPr>
          <w:rFonts w:hint="eastAsia" w:ascii="楷体" w:hAnsi="楷体" w:eastAsia="楷体"/>
          <w:b/>
          <w:sz w:val="32"/>
          <w:szCs w:val="32"/>
        </w:rPr>
        <w:t>（三）指标体系设置。</w:t>
      </w:r>
      <w:r>
        <w:rPr>
          <w:rFonts w:hint="eastAsia" w:ascii="仿宋" w:hAnsi="仿宋" w:eastAsia="仿宋"/>
          <w:sz w:val="32"/>
          <w:szCs w:val="32"/>
        </w:rPr>
        <w:t>2019年底，按照省财政要求，我县上报了《城乡居民医保补助资金区域绩效目标表》，具体执行指标设置按照省局有关工作布置落实。</w:t>
      </w:r>
    </w:p>
    <w:p w14:paraId="27EF1A62">
      <w:pPr>
        <w:spacing w:line="540" w:lineRule="exact"/>
        <w:ind w:firstLine="640" w:firstLineChars="200"/>
        <w:rPr>
          <w:rFonts w:ascii="仿宋_GB2312" w:eastAsia="仿宋_GB2312"/>
          <w:sz w:val="32"/>
          <w:szCs w:val="32"/>
        </w:rPr>
      </w:pPr>
      <w:r>
        <w:rPr>
          <w:rFonts w:hint="eastAsia" w:ascii="楷体" w:hAnsi="楷体" w:eastAsia="楷体"/>
          <w:b/>
          <w:sz w:val="32"/>
          <w:szCs w:val="32"/>
        </w:rPr>
        <w:t>（四）评价工作过程。</w:t>
      </w:r>
      <w:r>
        <w:rPr>
          <w:rFonts w:hint="eastAsia" w:ascii="仿宋" w:hAnsi="仿宋" w:eastAsia="仿宋"/>
          <w:sz w:val="32"/>
          <w:szCs w:val="32"/>
        </w:rPr>
        <w:t>2021年1月，我县按照省局要求，专项安排布置2020年城乡医疗救助资金绩效评价工作，一是要严格按照省局要求，依据财政部、民政部《城乡医疗救助基金管理办法》（财社〔2013〕217号），四川省财政厅等部门《关于印发&lt;四川省中央和省级财政医疗救助补助资金管理办法&gt;的通知》（川财社【2020】66号）开展绩效评价工作。二是资金数据以财政部门数据为准，业务数据以医疗保障局数据为准。三是在市医疗保障局的指导下完成我县医疗救助资金绩效评价报告。</w:t>
      </w:r>
    </w:p>
    <w:p w14:paraId="4FF8490D">
      <w:pPr>
        <w:spacing w:line="540" w:lineRule="exact"/>
        <w:ind w:firstLine="640" w:firstLineChars="200"/>
        <w:rPr>
          <w:rFonts w:ascii="黑体" w:hAnsi="黑体" w:eastAsia="黑体"/>
          <w:sz w:val="32"/>
          <w:szCs w:val="32"/>
        </w:rPr>
      </w:pPr>
      <w:r>
        <w:rPr>
          <w:rFonts w:hint="eastAsia" w:ascii="黑体" w:hAnsi="黑体" w:eastAsia="黑体"/>
          <w:sz w:val="32"/>
          <w:szCs w:val="32"/>
        </w:rPr>
        <w:t>三、绩效评价结论</w:t>
      </w:r>
    </w:p>
    <w:p w14:paraId="4DE0B16E">
      <w:pPr>
        <w:spacing w:line="540" w:lineRule="exact"/>
        <w:ind w:firstLine="640" w:firstLineChars="200"/>
        <w:rPr>
          <w:rFonts w:ascii="仿宋_GB2312" w:eastAsia="仿宋_GB2312"/>
          <w:sz w:val="32"/>
          <w:szCs w:val="32"/>
        </w:rPr>
      </w:pPr>
      <w:r>
        <w:rPr>
          <w:rFonts w:hint="eastAsia" w:ascii="楷体" w:hAnsi="楷体" w:eastAsia="楷体"/>
          <w:b/>
          <w:sz w:val="32"/>
          <w:szCs w:val="32"/>
        </w:rPr>
        <w:t>（一）评价得分。</w:t>
      </w:r>
      <w:r>
        <w:rPr>
          <w:rFonts w:hint="eastAsia" w:ascii="仿宋" w:hAnsi="仿宋" w:eastAsia="仿宋"/>
          <w:sz w:val="32"/>
          <w:szCs w:val="32"/>
        </w:rPr>
        <w:t>2020年，按照省局文件要求，根据省局《医疗救助补助资金(城乡医疗救助部分)绩效评价指标体系(试行)》，</w:t>
      </w:r>
      <w:r>
        <w:rPr>
          <w:rFonts w:hint="eastAsia" w:ascii="仿宋" w:hAnsi="仿宋" w:eastAsia="仿宋"/>
          <w:color w:val="000000" w:themeColor="text1"/>
          <w:sz w:val="32"/>
          <w:szCs w:val="32"/>
        </w:rPr>
        <w:t>得分100分（见附表1）。</w:t>
      </w:r>
    </w:p>
    <w:p w14:paraId="55BB0A49">
      <w:pPr>
        <w:spacing w:line="540" w:lineRule="exact"/>
        <w:ind w:firstLine="640" w:firstLineChars="200"/>
        <w:rPr>
          <w:rFonts w:ascii="仿宋_GB2312" w:eastAsia="仿宋_GB2312"/>
          <w:sz w:val="32"/>
          <w:szCs w:val="32"/>
        </w:rPr>
      </w:pPr>
      <w:r>
        <w:rPr>
          <w:rFonts w:hint="eastAsia" w:ascii="楷体" w:hAnsi="楷体" w:eastAsia="楷体"/>
          <w:b/>
          <w:sz w:val="32"/>
          <w:szCs w:val="32"/>
        </w:rPr>
        <w:t>（二）评价结论。</w:t>
      </w:r>
      <w:r>
        <w:rPr>
          <w:rFonts w:hint="eastAsia" w:ascii="仿宋" w:hAnsi="仿宋" w:eastAsia="仿宋"/>
          <w:sz w:val="32"/>
          <w:szCs w:val="32"/>
        </w:rPr>
        <w:t>中央、省级财政转移支付对地方医疗救助具有较大支持作用，有力促进了医疗救助制度贯彻实施，较好地落实了“医疗救助资金分级负担”原则，在减轻困难群众医疗费负担的同时，进一步提高了城乡居民收入，确保了法治思想以制度的形式规范落实到具体救助制度，维护了地方社会稳定，有效保障了脱贫攻坚任务如期完成。</w:t>
      </w:r>
    </w:p>
    <w:p w14:paraId="31B1B173">
      <w:pPr>
        <w:spacing w:line="540" w:lineRule="exact"/>
        <w:ind w:firstLine="640" w:firstLineChars="200"/>
        <w:rPr>
          <w:rFonts w:ascii="仿宋" w:hAnsi="仿宋" w:eastAsia="仿宋"/>
          <w:sz w:val="32"/>
          <w:szCs w:val="32"/>
        </w:rPr>
      </w:pPr>
      <w:r>
        <w:rPr>
          <w:rFonts w:hint="eastAsia" w:ascii="仿宋" w:hAnsi="仿宋" w:eastAsia="仿宋"/>
          <w:sz w:val="32"/>
          <w:szCs w:val="32"/>
        </w:rPr>
        <w:t>2020年我县全面落实国务院《社会救助暂行办法》《四川省社会救助实施办法》，财政部、民政部《资金管理办法》，</w:t>
      </w:r>
      <w:r>
        <w:rPr>
          <w:rStyle w:val="40"/>
          <w:rFonts w:hint="default" w:ascii="仿宋" w:hAnsi="仿宋" w:eastAsia="仿宋"/>
        </w:rPr>
        <w:t>四川省财政厅等</w:t>
      </w:r>
      <w:r>
        <w:rPr>
          <w:rFonts w:hint="eastAsia" w:ascii="仿宋" w:hAnsi="仿宋" w:eastAsia="仿宋"/>
          <w:sz w:val="32"/>
          <w:szCs w:val="32"/>
        </w:rPr>
        <w:t>部门</w:t>
      </w:r>
      <w:r>
        <w:rPr>
          <w:rStyle w:val="40"/>
          <w:rFonts w:hint="default" w:ascii="仿宋" w:hAnsi="仿宋" w:eastAsia="仿宋"/>
        </w:rPr>
        <w:t>《关于印发&lt;四川省中央和省级财政医疗救助补助资金管理办法&gt;的通知》（川财社【2020】66号），对经民政部门、扶贫部门认定的救助对象实现了100%救助。按照省局要求，实施了城乡医疗救助“一单制”结算，</w:t>
      </w:r>
      <w:r>
        <w:rPr>
          <w:rFonts w:hint="eastAsia" w:ascii="仿宋" w:hAnsi="仿宋" w:eastAsia="仿宋"/>
          <w:sz w:val="32"/>
          <w:szCs w:val="32"/>
        </w:rPr>
        <w:t>实现了医疗救助“零等待”，提升了医疗救助的时效性，真正落实了减证便民、服务群众的政策规定。</w:t>
      </w:r>
    </w:p>
    <w:p w14:paraId="321D6168">
      <w:pPr>
        <w:spacing w:line="540" w:lineRule="exact"/>
        <w:ind w:firstLine="640" w:firstLineChars="200"/>
        <w:rPr>
          <w:rFonts w:ascii="黑体" w:hAnsi="黑体" w:eastAsia="黑体"/>
          <w:sz w:val="32"/>
          <w:szCs w:val="32"/>
        </w:rPr>
      </w:pPr>
      <w:r>
        <w:rPr>
          <w:rFonts w:hint="eastAsia" w:ascii="黑体" w:hAnsi="黑体" w:eastAsia="黑体"/>
          <w:sz w:val="32"/>
          <w:szCs w:val="32"/>
        </w:rPr>
        <w:t>四、绩效评价指标分析</w:t>
      </w:r>
    </w:p>
    <w:p w14:paraId="474723BD">
      <w:pPr>
        <w:spacing w:line="540" w:lineRule="exact"/>
        <w:ind w:firstLine="640" w:firstLineChars="200"/>
        <w:rPr>
          <w:rFonts w:ascii="楷体" w:hAnsi="楷体" w:eastAsia="楷体"/>
          <w:b/>
          <w:sz w:val="32"/>
          <w:szCs w:val="32"/>
        </w:rPr>
      </w:pPr>
      <w:r>
        <w:rPr>
          <w:rFonts w:hint="eastAsia" w:ascii="楷体" w:hAnsi="楷体" w:eastAsia="楷体"/>
          <w:b/>
          <w:sz w:val="32"/>
          <w:szCs w:val="32"/>
        </w:rPr>
        <w:t>（一）项目决策</w:t>
      </w:r>
    </w:p>
    <w:p w14:paraId="68FB1998">
      <w:pPr>
        <w:autoSpaceDE w:val="0"/>
        <w:autoSpaceDN w:val="0"/>
        <w:adjustRightInd w:val="0"/>
        <w:spacing w:line="540" w:lineRule="exact"/>
        <w:ind w:firstLine="640"/>
        <w:rPr>
          <w:rFonts w:ascii="仿宋" w:hAnsi="仿宋" w:eastAsia="仿宋"/>
          <w:sz w:val="32"/>
          <w:szCs w:val="32"/>
        </w:rPr>
      </w:pPr>
      <w:r>
        <w:rPr>
          <w:rFonts w:hint="eastAsia" w:ascii="仿宋_GB2312" w:eastAsia="仿宋_GB2312"/>
          <w:b/>
          <w:sz w:val="32"/>
          <w:szCs w:val="32"/>
        </w:rPr>
        <w:t>1．决策依据。</w:t>
      </w:r>
      <w:r>
        <w:rPr>
          <w:rFonts w:hint="eastAsia" w:ascii="仿宋" w:hAnsi="仿宋" w:eastAsia="仿宋"/>
          <w:sz w:val="32"/>
          <w:szCs w:val="32"/>
        </w:rPr>
        <w:t>我县医疗救助工作政策依据为国务院《社会救助暂行办法》《四川省社会救助实施办法》，</w:t>
      </w:r>
      <w:r>
        <w:rPr>
          <w:rFonts w:hint="eastAsia" w:ascii="仿宋" w:hAnsi="仿宋" w:eastAsia="仿宋" w:cs="仿宋_GB2312"/>
          <w:color w:val="000000"/>
          <w:kern w:val="0"/>
          <w:sz w:val="32"/>
          <w:szCs w:val="32"/>
          <w:lang w:val="zh-CN"/>
        </w:rPr>
        <w:t>国务院办公厅《转发民政部等部门关于进一步完善医疗救助制度全面开展重特大疾病医疗救助工作的意</w:t>
      </w:r>
      <w:r>
        <w:rPr>
          <w:rFonts w:hint="eastAsia" w:ascii="仿宋" w:hAnsi="仿宋" w:eastAsia="仿宋" w:cs="仿宋_GB2312"/>
          <w:kern w:val="0"/>
          <w:sz w:val="32"/>
          <w:szCs w:val="32"/>
          <w:lang w:val="zh-CN"/>
        </w:rPr>
        <w:t>见》（国办发〔2015</w:t>
      </w:r>
      <w:r>
        <w:rPr>
          <w:rFonts w:hint="eastAsia" w:ascii="仿宋" w:hAnsi="仿宋" w:eastAsia="仿宋" w:cs="仿宋_GB2312"/>
          <w:color w:val="000000"/>
          <w:kern w:val="0"/>
          <w:sz w:val="32"/>
          <w:szCs w:val="32"/>
          <w:lang w:val="zh-CN"/>
        </w:rPr>
        <w:t>〕</w:t>
      </w:r>
      <w:r>
        <w:rPr>
          <w:rFonts w:hint="eastAsia" w:ascii="仿宋" w:hAnsi="仿宋" w:eastAsia="仿宋" w:cs="仿宋_GB2312"/>
          <w:kern w:val="0"/>
          <w:sz w:val="32"/>
          <w:szCs w:val="32"/>
          <w:lang w:val="zh-CN"/>
        </w:rPr>
        <w:t>30</w:t>
      </w:r>
      <w:r>
        <w:rPr>
          <w:rFonts w:hint="eastAsia" w:ascii="仿宋" w:hAnsi="仿宋" w:eastAsia="仿宋" w:cs="仿宋_GB2312"/>
          <w:color w:val="000000"/>
          <w:kern w:val="0"/>
          <w:sz w:val="32"/>
          <w:szCs w:val="32"/>
          <w:lang w:val="zh-CN"/>
        </w:rPr>
        <w:t>号）、</w:t>
      </w:r>
      <w:r>
        <w:rPr>
          <w:rFonts w:hint="eastAsia" w:ascii="仿宋" w:hAnsi="仿宋" w:eastAsia="仿宋"/>
          <w:sz w:val="32"/>
          <w:szCs w:val="32"/>
        </w:rPr>
        <w:t>财政部、民政部《</w:t>
      </w:r>
      <w:r>
        <w:rPr>
          <w:rFonts w:hint="eastAsia" w:ascii="仿宋" w:hAnsi="仿宋" w:eastAsia="仿宋" w:cs="宋体"/>
          <w:kern w:val="36"/>
          <w:sz w:val="32"/>
          <w:szCs w:val="32"/>
        </w:rPr>
        <w:t>城乡医疗救助基金管理办法</w:t>
      </w:r>
      <w:r>
        <w:rPr>
          <w:rFonts w:hint="eastAsia" w:ascii="仿宋" w:hAnsi="仿宋" w:eastAsia="仿宋"/>
          <w:sz w:val="32"/>
          <w:szCs w:val="32"/>
        </w:rPr>
        <w:t>》（</w:t>
      </w:r>
      <w:r>
        <w:rPr>
          <w:rFonts w:hint="eastAsia" w:ascii="仿宋" w:hAnsi="仿宋" w:eastAsia="仿宋" w:cs="Arial"/>
          <w:kern w:val="0"/>
          <w:sz w:val="32"/>
          <w:szCs w:val="32"/>
        </w:rPr>
        <w:t>财社〔2013〕217号</w:t>
      </w:r>
      <w:r>
        <w:rPr>
          <w:rFonts w:hint="eastAsia" w:ascii="仿宋" w:hAnsi="仿宋" w:eastAsia="仿宋"/>
          <w:sz w:val="32"/>
          <w:szCs w:val="32"/>
        </w:rPr>
        <w:t>）、</w:t>
      </w:r>
      <w:r>
        <w:rPr>
          <w:rFonts w:hint="eastAsia" w:ascii="仿宋" w:hAnsi="仿宋" w:eastAsia="仿宋" w:cs="仿宋_GB2312"/>
          <w:color w:val="000000"/>
          <w:kern w:val="0"/>
          <w:sz w:val="32"/>
          <w:szCs w:val="32"/>
          <w:lang w:val="zh-CN"/>
        </w:rPr>
        <w:t>四川省人民政府办公厅《关于进一步做好医疗救助工作的通知》（川办函〔2015〕186号）、</w:t>
      </w:r>
      <w:r>
        <w:rPr>
          <w:rStyle w:val="40"/>
          <w:rFonts w:hint="default" w:ascii="仿宋" w:hAnsi="仿宋" w:eastAsia="仿宋"/>
        </w:rPr>
        <w:t>四川省财政厅等</w:t>
      </w:r>
      <w:r>
        <w:rPr>
          <w:rFonts w:hint="eastAsia" w:ascii="仿宋" w:hAnsi="仿宋" w:eastAsia="仿宋"/>
          <w:sz w:val="32"/>
          <w:szCs w:val="32"/>
        </w:rPr>
        <w:t>部门</w:t>
      </w:r>
      <w:r>
        <w:rPr>
          <w:rStyle w:val="40"/>
          <w:rFonts w:hint="default" w:ascii="仿宋" w:hAnsi="仿宋" w:eastAsia="仿宋"/>
        </w:rPr>
        <w:t>《关于印发&lt;四川省中央和省级财政医疗救助补助资金管理办法&gt;的通知》（川财社【2020】66号），以及我市、县医疗救助制度。</w:t>
      </w:r>
    </w:p>
    <w:p w14:paraId="602AE5DB">
      <w:pPr>
        <w:spacing w:line="540" w:lineRule="exact"/>
        <w:ind w:firstLine="640" w:firstLineChars="200"/>
        <w:rPr>
          <w:rFonts w:ascii="仿宋_GB2312" w:eastAsia="仿宋_GB2312"/>
          <w:sz w:val="32"/>
          <w:szCs w:val="32"/>
        </w:rPr>
      </w:pPr>
      <w:r>
        <w:rPr>
          <w:rFonts w:hint="eastAsia" w:ascii="仿宋_GB2312" w:eastAsia="仿宋_GB2312"/>
          <w:b/>
          <w:sz w:val="32"/>
          <w:szCs w:val="32"/>
        </w:rPr>
        <w:t>2．决策过程。</w:t>
      </w:r>
      <w:r>
        <w:rPr>
          <w:rFonts w:hint="eastAsia" w:ascii="仿宋" w:hAnsi="仿宋" w:eastAsia="仿宋"/>
          <w:sz w:val="32"/>
          <w:szCs w:val="32"/>
        </w:rPr>
        <w:t>我县医疗保障局按照市医疗保障局确定的医疗救助资金年度绩效管理目标任务，会同县级财政局推进绩效管理具体要求，一是编制资金预算，二是定期核对资金使用情况，三是规范落实医疗救助政策。</w:t>
      </w:r>
    </w:p>
    <w:p w14:paraId="2DA5E880">
      <w:pPr>
        <w:spacing w:line="540" w:lineRule="exact"/>
        <w:ind w:firstLine="640" w:firstLineChars="200"/>
        <w:rPr>
          <w:rFonts w:ascii="仿宋_GB2312" w:eastAsia="仿宋_GB2312"/>
          <w:snapToGrid w:val="0"/>
          <w:kern w:val="0"/>
          <w:sz w:val="32"/>
          <w:szCs w:val="32"/>
        </w:rPr>
      </w:pPr>
      <w:r>
        <w:rPr>
          <w:rFonts w:hint="eastAsia" w:ascii="仿宋_GB2312" w:eastAsia="仿宋_GB2312"/>
          <w:b/>
          <w:snapToGrid w:val="0"/>
          <w:kern w:val="0"/>
          <w:sz w:val="32"/>
          <w:szCs w:val="32"/>
        </w:rPr>
        <w:t>3.绩效目标。</w:t>
      </w:r>
      <w:r>
        <w:rPr>
          <w:rFonts w:hint="eastAsia" w:ascii="仿宋" w:hAnsi="仿宋" w:eastAsia="仿宋"/>
          <w:snapToGrid w:val="0"/>
          <w:kern w:val="0"/>
          <w:sz w:val="32"/>
          <w:szCs w:val="32"/>
        </w:rPr>
        <w:t>2020年全市持续做好困难群众参保资助工作，经民政部门提供的救助对象，实现了100%参保；重点救助对象自付医疗费用按规定年度限额内住院救助比例达到70%。2020年度救助对象人次实现了应保尽保；2020年全年我市全面落实医疗救助“一单制”结算促进规范管理。2020年，我县无结余资金，落实了资金预算职责。</w:t>
      </w:r>
    </w:p>
    <w:p w14:paraId="7F69F9CE">
      <w:pPr>
        <w:spacing w:line="540" w:lineRule="exact"/>
        <w:ind w:firstLine="640" w:firstLineChars="200"/>
        <w:rPr>
          <w:rFonts w:ascii="仿宋" w:hAnsi="仿宋" w:eastAsia="仿宋"/>
          <w:sz w:val="32"/>
          <w:szCs w:val="32"/>
        </w:rPr>
      </w:pPr>
      <w:r>
        <w:rPr>
          <w:rFonts w:hint="eastAsia" w:ascii="仿宋_GB2312" w:eastAsia="仿宋_GB2312"/>
          <w:b/>
          <w:snapToGrid w:val="0"/>
          <w:kern w:val="0"/>
          <w:sz w:val="32"/>
          <w:szCs w:val="32"/>
        </w:rPr>
        <w:t>4．资金分配。</w:t>
      </w:r>
      <w:r>
        <w:rPr>
          <w:rFonts w:hint="eastAsia" w:ascii="仿宋" w:hAnsi="仿宋" w:eastAsia="仿宋"/>
          <w:snapToGrid w:val="0"/>
          <w:kern w:val="0"/>
          <w:sz w:val="32"/>
          <w:szCs w:val="32"/>
        </w:rPr>
        <w:t>2020年，</w:t>
      </w:r>
      <w:r>
        <w:rPr>
          <w:rFonts w:hint="eastAsia" w:ascii="仿宋" w:hAnsi="仿宋" w:eastAsia="仿宋"/>
          <w:sz w:val="32"/>
          <w:szCs w:val="32"/>
        </w:rPr>
        <w:t>我县按照省级、中央资金下达情况进行资金分配。</w:t>
      </w:r>
    </w:p>
    <w:p w14:paraId="096B7FE9">
      <w:pPr>
        <w:spacing w:line="540" w:lineRule="exact"/>
        <w:ind w:firstLine="640" w:firstLineChars="200"/>
        <w:rPr>
          <w:rFonts w:ascii="仿宋_GB2312" w:eastAsia="仿宋_GB2312"/>
          <w:b/>
          <w:sz w:val="32"/>
          <w:szCs w:val="32"/>
        </w:rPr>
      </w:pPr>
      <w:r>
        <w:rPr>
          <w:rFonts w:hint="eastAsia" w:ascii="仿宋_GB2312" w:eastAsia="仿宋_GB2312"/>
          <w:b/>
          <w:sz w:val="32"/>
          <w:szCs w:val="32"/>
        </w:rPr>
        <w:t>（二）过程管理</w:t>
      </w:r>
    </w:p>
    <w:p w14:paraId="13AE7BEC">
      <w:pPr>
        <w:spacing w:line="540" w:lineRule="exact"/>
        <w:ind w:firstLine="640" w:firstLineChars="200"/>
        <w:rPr>
          <w:rFonts w:ascii="仿宋" w:hAnsi="仿宋" w:eastAsia="仿宋"/>
          <w:sz w:val="32"/>
          <w:szCs w:val="32"/>
        </w:rPr>
      </w:pPr>
      <w:r>
        <w:rPr>
          <w:rFonts w:hint="eastAsia" w:ascii="仿宋_GB2312" w:eastAsia="仿宋_GB2312"/>
          <w:b/>
          <w:sz w:val="32"/>
          <w:szCs w:val="32"/>
        </w:rPr>
        <w:t>1．资金管理。</w:t>
      </w:r>
      <w:r>
        <w:rPr>
          <w:rFonts w:hint="eastAsia" w:ascii="仿宋" w:hAnsi="仿宋" w:eastAsia="仿宋"/>
          <w:sz w:val="32"/>
          <w:szCs w:val="32"/>
        </w:rPr>
        <w:t>2020年，我县医疗保障局主动衔接同级财政部门加强资金预算管理。一是按照《城乡医疗救助基金管理办法》做好医疗救助资金管理工作。二是按时拨付救助对象的医疗救助报销，以缓解救助对象的医疗负担。三是我局定期与县财政核对资金使用情况。</w:t>
      </w:r>
    </w:p>
    <w:p w14:paraId="3C19603B">
      <w:pPr>
        <w:spacing w:line="540" w:lineRule="exact"/>
        <w:ind w:firstLine="627" w:firstLineChars="196"/>
        <w:rPr>
          <w:rFonts w:ascii="仿宋_GB2312" w:hAnsi="仿宋_GB2312" w:eastAsia="仿宋_GB2312" w:cs="仿宋_GB2312"/>
          <w:sz w:val="32"/>
          <w:szCs w:val="32"/>
        </w:rPr>
      </w:pPr>
      <w:r>
        <w:rPr>
          <w:rFonts w:hint="eastAsia" w:ascii="仿宋_GB2312" w:eastAsia="仿宋_GB2312"/>
          <w:b/>
          <w:sz w:val="32"/>
          <w:szCs w:val="32"/>
        </w:rPr>
        <w:t>2.组织管理。</w:t>
      </w:r>
      <w:r>
        <w:rPr>
          <w:rFonts w:hint="eastAsia" w:ascii="仿宋" w:hAnsi="仿宋" w:eastAsia="仿宋" w:cs="仿宋_GB2312"/>
          <w:sz w:val="32"/>
          <w:szCs w:val="32"/>
        </w:rPr>
        <w:t>我县按照全面依法治县和法治政府建设规定，2020年，医疗救助加强了医疗救助信息化建设，落实省局“医疗救助+信息化”工作要求，在我局门户网站公布了医疗救助政策规定，方便群众了解医疗救助政策。实施“一单制”结算，取消了村（居）委会、乡镇（街道）等中间层面审核，杜绝了群众申请救助往返跑路、审核等待现象，实现了医疗救助“零成本”，“零等待”，极大提高了救助效率。</w:t>
      </w:r>
    </w:p>
    <w:p w14:paraId="35F1C52F">
      <w:pPr>
        <w:spacing w:line="540" w:lineRule="exact"/>
        <w:ind w:firstLine="640" w:firstLineChars="200"/>
        <w:rPr>
          <w:rFonts w:ascii="楷体" w:hAnsi="楷体" w:eastAsia="楷体"/>
          <w:b/>
          <w:sz w:val="32"/>
          <w:szCs w:val="32"/>
        </w:rPr>
      </w:pPr>
      <w:r>
        <w:rPr>
          <w:rFonts w:hint="eastAsia" w:ascii="楷体" w:hAnsi="楷体" w:eastAsia="楷体"/>
          <w:b/>
          <w:sz w:val="32"/>
          <w:szCs w:val="32"/>
        </w:rPr>
        <w:t>（三）项目产出</w:t>
      </w:r>
    </w:p>
    <w:p w14:paraId="6BE2682F">
      <w:pPr>
        <w:tabs>
          <w:tab w:val="left" w:pos="8222"/>
        </w:tabs>
        <w:spacing w:line="540" w:lineRule="exact"/>
        <w:ind w:firstLine="640" w:firstLineChars="200"/>
        <w:rPr>
          <w:rFonts w:ascii="仿宋" w:hAnsi="仿宋" w:eastAsia="仿宋"/>
          <w:sz w:val="32"/>
          <w:szCs w:val="32"/>
        </w:rPr>
      </w:pPr>
      <w:r>
        <w:rPr>
          <w:rFonts w:hint="eastAsia" w:ascii="仿宋_GB2312" w:eastAsia="仿宋_GB2312"/>
          <w:b/>
          <w:sz w:val="32"/>
          <w:szCs w:val="32"/>
        </w:rPr>
        <w:t>1.数量指标。</w:t>
      </w:r>
      <w:r>
        <w:rPr>
          <w:rFonts w:hint="eastAsia" w:ascii="仿宋" w:hAnsi="仿宋" w:eastAsia="仿宋"/>
          <w:sz w:val="32"/>
          <w:szCs w:val="32"/>
        </w:rPr>
        <w:t>2020年，我县资助参保人数11319人，支出257.07万元；门诊救助2503人次，支出97.42万元；住院救助9931人次，支出604.33万元；直接救助人次数占总救助人次数的43.5%。全县1-12月累计医疗救助23753人次，合计医疗救助支出958.82万元。</w:t>
      </w:r>
    </w:p>
    <w:p w14:paraId="45DBBAC4">
      <w:pPr>
        <w:spacing w:line="540" w:lineRule="exact"/>
        <w:ind w:right="-1" w:firstLine="640" w:firstLineChars="200"/>
        <w:contextualSpacing/>
        <w:rPr>
          <w:rFonts w:ascii="仿宋_GB2312" w:hAnsi="仿宋_GB2312" w:eastAsia="仿宋_GB2312" w:cs="仿宋_GB2312"/>
          <w:sz w:val="32"/>
          <w:szCs w:val="32"/>
        </w:rPr>
      </w:pPr>
      <w:r>
        <w:rPr>
          <w:rFonts w:hint="eastAsia" w:ascii="仿宋_GB2312" w:eastAsia="仿宋_GB2312"/>
          <w:sz w:val="32"/>
          <w:szCs w:val="32"/>
        </w:rPr>
        <w:t>2.质量指标。</w:t>
      </w:r>
      <w:r>
        <w:rPr>
          <w:rFonts w:hint="eastAsia" w:ascii="仿宋" w:hAnsi="仿宋" w:eastAsia="仿宋"/>
          <w:sz w:val="32"/>
          <w:szCs w:val="32"/>
        </w:rPr>
        <w:t>2020年我县</w:t>
      </w:r>
      <w:r>
        <w:rPr>
          <w:rFonts w:hint="eastAsia" w:ascii="仿宋" w:hAnsi="仿宋" w:eastAsia="仿宋" w:cs="宋体"/>
          <w:kern w:val="0"/>
          <w:sz w:val="32"/>
          <w:szCs w:val="32"/>
        </w:rPr>
        <w:t>门诊医疗费用救助没有设定具体救助比例，通过定额发放的方式实施；重点救助对象自付费用按规定年度限</w:t>
      </w:r>
      <w:r>
        <w:rPr>
          <w:rFonts w:hint="eastAsia" w:ascii="仿宋" w:hAnsi="仿宋" w:eastAsia="仿宋" w:cs="宋体"/>
          <w:color w:val="000000"/>
          <w:kern w:val="0"/>
          <w:sz w:val="32"/>
          <w:szCs w:val="32"/>
        </w:rPr>
        <w:t>额内住院救助比例</w:t>
      </w:r>
      <w:r>
        <w:rPr>
          <w:rFonts w:hint="eastAsia" w:ascii="仿宋" w:hAnsi="仿宋" w:eastAsia="仿宋" w:cs="宋体"/>
          <w:kern w:val="0"/>
          <w:sz w:val="32"/>
          <w:szCs w:val="32"/>
        </w:rPr>
        <w:t>79.3</w:t>
      </w:r>
      <w:r>
        <w:rPr>
          <w:rFonts w:hint="eastAsia" w:ascii="仿宋" w:hAnsi="仿宋" w:eastAsia="仿宋" w:cs="宋体"/>
          <w:color w:val="000000"/>
          <w:kern w:val="0"/>
          <w:sz w:val="32"/>
          <w:szCs w:val="32"/>
        </w:rPr>
        <w:t>%。</w:t>
      </w:r>
    </w:p>
    <w:p w14:paraId="0A090767">
      <w:pPr>
        <w:spacing w:line="540" w:lineRule="exact"/>
        <w:ind w:firstLine="640" w:firstLineChars="200"/>
        <w:rPr>
          <w:rFonts w:ascii="楷体" w:hAnsi="楷体" w:eastAsia="楷体"/>
          <w:b/>
          <w:sz w:val="32"/>
          <w:szCs w:val="32"/>
        </w:rPr>
      </w:pPr>
      <w:r>
        <w:rPr>
          <w:rFonts w:hint="eastAsia" w:ascii="楷体" w:hAnsi="楷体" w:eastAsia="楷体"/>
          <w:b/>
          <w:sz w:val="32"/>
          <w:szCs w:val="32"/>
        </w:rPr>
        <w:t>（四）项目效益</w:t>
      </w:r>
    </w:p>
    <w:p w14:paraId="1EB1AC84">
      <w:pPr>
        <w:spacing w:line="540" w:lineRule="exact"/>
        <w:ind w:firstLine="640" w:firstLineChars="200"/>
        <w:rPr>
          <w:rFonts w:ascii="仿宋_GB2312" w:hAnsi="宋体" w:eastAsia="仿宋_GB2312"/>
          <w:sz w:val="32"/>
          <w:szCs w:val="32"/>
        </w:rPr>
      </w:pPr>
      <w:r>
        <w:rPr>
          <w:rFonts w:hint="eastAsia" w:ascii="仿宋_GB2312" w:hAnsi="仿宋_GB2312" w:eastAsia="仿宋_GB2312" w:cs="仿宋_GB2312"/>
          <w:b/>
          <w:sz w:val="32"/>
          <w:szCs w:val="32"/>
        </w:rPr>
        <w:t>1.社会效益。</w:t>
      </w:r>
      <w:r>
        <w:rPr>
          <w:rFonts w:hint="eastAsia" w:ascii="仿宋" w:hAnsi="仿宋" w:eastAsia="仿宋"/>
          <w:sz w:val="32"/>
          <w:szCs w:val="32"/>
        </w:rPr>
        <w:t>医疗救助是各级党委、政府解决困难群众医疗负担问题的制度性安排，是社会救助体系内的基本内容之一。</w:t>
      </w:r>
      <w:r>
        <w:rPr>
          <w:rFonts w:hint="eastAsia" w:ascii="仿宋" w:hAnsi="仿宋" w:eastAsia="仿宋" w:cs="宋体"/>
          <w:kern w:val="0"/>
          <w:sz w:val="32"/>
          <w:szCs w:val="32"/>
        </w:rPr>
        <w:t>困难群众看病就医方便程度持续提高，有效健全了社会救助体系</w:t>
      </w:r>
      <w:r>
        <w:rPr>
          <w:rFonts w:hint="eastAsia" w:ascii="仿宋" w:hAnsi="仿宋" w:eastAsia="仿宋"/>
          <w:sz w:val="32"/>
          <w:szCs w:val="32"/>
        </w:rPr>
        <w:t>。2020年，全县</w:t>
      </w:r>
      <w:r>
        <w:rPr>
          <w:rFonts w:hint="eastAsia" w:ascii="仿宋" w:hAnsi="仿宋" w:eastAsia="仿宋" w:cs="宋体"/>
          <w:kern w:val="0"/>
          <w:sz w:val="32"/>
          <w:szCs w:val="32"/>
        </w:rPr>
        <w:t>医疗救助对象覆盖范围100%，</w:t>
      </w:r>
      <w:r>
        <w:rPr>
          <w:rFonts w:hint="eastAsia" w:ascii="仿宋" w:hAnsi="仿宋" w:eastAsia="仿宋"/>
          <w:sz w:val="32"/>
          <w:szCs w:val="32"/>
        </w:rPr>
        <w:t>通过一站式住院救助有效缓解了贫困对象自负医疗费高，住不起院，“看病难”，“看病贵”等问题。医疗救助与基本医疗保险形成了分层次递进的医疗保障体系，为全社会编织了一张相对完整的医疗保障网络，维护了社会稳定。</w:t>
      </w:r>
    </w:p>
    <w:p w14:paraId="2DB0F47F">
      <w:pPr>
        <w:spacing w:line="540" w:lineRule="exact"/>
        <w:ind w:firstLine="640" w:firstLineChars="200"/>
        <w:rPr>
          <w:rFonts w:ascii="仿宋" w:hAnsi="仿宋" w:eastAsia="仿宋" w:cs="仿宋_GB2312"/>
          <w:sz w:val="32"/>
          <w:szCs w:val="32"/>
        </w:rPr>
      </w:pPr>
      <w:r>
        <w:rPr>
          <w:rFonts w:hint="eastAsia" w:ascii="仿宋_GB2312" w:hAnsi="仿宋_GB2312" w:eastAsia="仿宋_GB2312" w:cs="仿宋_GB2312"/>
          <w:b/>
          <w:sz w:val="32"/>
          <w:szCs w:val="32"/>
        </w:rPr>
        <w:t>2.可持续影响。</w:t>
      </w:r>
      <w:r>
        <w:rPr>
          <w:rFonts w:hint="eastAsia" w:ascii="仿宋" w:hAnsi="仿宋" w:eastAsia="仿宋" w:cs="仿宋_GB2312"/>
          <w:sz w:val="32"/>
          <w:szCs w:val="32"/>
        </w:rPr>
        <w:t>2020年，我县医疗救助全面落实</w:t>
      </w:r>
      <w:r>
        <w:rPr>
          <w:rFonts w:hint="eastAsia" w:ascii="仿宋" w:hAnsi="仿宋" w:eastAsia="仿宋" w:cs="楷体_GB2312"/>
          <w:bCs/>
          <w:sz w:val="32"/>
          <w:szCs w:val="32"/>
        </w:rPr>
        <w:t>国务院《社会救助暂行办法》、四川省</w:t>
      </w:r>
      <w:r>
        <w:rPr>
          <w:rFonts w:hint="default" w:ascii="仿宋" w:hAnsi="仿宋" w:eastAsia="仿宋" w:cs="楷体_GB2312"/>
          <w:bCs/>
          <w:sz w:val="32"/>
          <w:szCs w:val="32"/>
          <w:lang w:val="en-US"/>
        </w:rPr>
        <w:t>《社会救助暂行办法》</w:t>
      </w:r>
      <w:r>
        <w:rPr>
          <w:rFonts w:hint="eastAsia" w:ascii="仿宋" w:hAnsi="仿宋" w:eastAsia="仿宋" w:cs="楷体_GB2312"/>
          <w:bCs/>
          <w:sz w:val="32"/>
          <w:szCs w:val="32"/>
        </w:rPr>
        <w:t>、</w:t>
      </w:r>
      <w:r>
        <w:rPr>
          <w:rFonts w:hint="eastAsia" w:ascii="仿宋" w:hAnsi="仿宋" w:eastAsia="仿宋" w:cs="仿宋_GB2312"/>
          <w:sz w:val="32"/>
          <w:szCs w:val="32"/>
        </w:rPr>
        <w:t>《民政事业发展第十三个五年规划》、市委、市政府《关于进一步健全城乡社会救助体系建设的意见》，医疗救助与城乡低保、城乡特困人员、脱贫攻坚、残疾人保障等制度有效衔接，深度融合，困难群众看病就医方便程度显著提高，进一步完善了我市社会救助体系。“医疗救助+信息化”对健全社会保障体系，提高社会保障水平起到积极的促进作用。2020年，我县全面贯彻落实国家、省医疗救助政策，切实履行了医疗救助工作分级管理，医疗救助资金分级负担的职责，县医疗保障部门做好救助对象管理，规范执行政策，会同县级有关部门建立并实施了部门间数据交换制度，有效维护了困难群众利益，医疗救助可持续性发展得到保障。</w:t>
      </w:r>
    </w:p>
    <w:p w14:paraId="245D100A">
      <w:pPr>
        <w:tabs>
          <w:tab w:val="left" w:pos="312"/>
        </w:tabs>
        <w:spacing w:line="540" w:lineRule="exact"/>
        <w:ind w:firstLine="640" w:firstLineChars="200"/>
        <w:rPr>
          <w:rFonts w:ascii="仿宋_GB2312" w:hAnsi="宋体" w:eastAsia="仿宋_GB2312" w:cs="宋体"/>
          <w:kern w:val="0"/>
          <w:sz w:val="32"/>
          <w:szCs w:val="32"/>
        </w:rPr>
      </w:pPr>
      <w:r>
        <w:rPr>
          <w:rFonts w:hint="eastAsia" w:ascii="仿宋_GB2312" w:hAnsi="楷体_GB2312" w:eastAsia="仿宋_GB2312" w:cs="楷体_GB2312"/>
          <w:b/>
          <w:bCs/>
          <w:sz w:val="32"/>
          <w:szCs w:val="32"/>
        </w:rPr>
        <w:t>3.满意度指标完成情况分析。</w:t>
      </w:r>
      <w:r>
        <w:rPr>
          <w:rFonts w:hint="eastAsia" w:ascii="仿宋" w:hAnsi="仿宋" w:eastAsia="仿宋" w:cs="宋体"/>
          <w:kern w:val="0"/>
          <w:sz w:val="32"/>
          <w:szCs w:val="32"/>
        </w:rPr>
        <w:t>2020年，我县在“米易县医疗保障局”门户网站公开发布了医疗救助政策，方便了群众对医疗救助的理解。2019年，我县救助对象对医疗救助政策知晓度超过95%，对政策执行的满意度超过95%。</w:t>
      </w:r>
    </w:p>
    <w:p w14:paraId="15868062">
      <w:pPr>
        <w:spacing w:line="540" w:lineRule="exact"/>
        <w:ind w:firstLine="640" w:firstLineChars="200"/>
        <w:rPr>
          <w:rFonts w:ascii="黑体" w:hAnsi="黑体" w:eastAsia="黑体"/>
          <w:sz w:val="32"/>
          <w:szCs w:val="32"/>
        </w:rPr>
      </w:pPr>
      <w:r>
        <w:rPr>
          <w:rFonts w:hint="eastAsia" w:ascii="黑体" w:hAnsi="黑体" w:eastAsia="黑体"/>
          <w:sz w:val="32"/>
          <w:szCs w:val="32"/>
        </w:rPr>
        <w:t>五、存在问题</w:t>
      </w:r>
    </w:p>
    <w:p w14:paraId="5CF1BBE1">
      <w:pPr>
        <w:spacing w:line="540" w:lineRule="exact"/>
        <w:ind w:firstLine="615"/>
        <w:rPr>
          <w:rFonts w:ascii="仿宋_GB2312" w:eastAsia="仿宋_GB2312"/>
          <w:sz w:val="32"/>
          <w:szCs w:val="32"/>
        </w:rPr>
      </w:pPr>
      <w:r>
        <w:rPr>
          <w:rFonts w:hint="eastAsia" w:ascii="楷体" w:hAnsi="楷体" w:eastAsia="楷体"/>
          <w:b/>
          <w:sz w:val="32"/>
          <w:szCs w:val="32"/>
        </w:rPr>
        <w:t>（一）医疗救助资金不足，县级财力窘困，资金兜底困难大。</w:t>
      </w:r>
      <w:r>
        <w:rPr>
          <w:rFonts w:hint="eastAsia" w:ascii="仿宋" w:hAnsi="仿宋" w:eastAsia="仿宋"/>
          <w:sz w:val="32"/>
          <w:szCs w:val="32"/>
        </w:rPr>
        <w:t>2020年中央、省财政厅共4次下达我县医疗救助补助资金657.79万元。2020年全县医疗救助总支出为958.82万元，资金需求大。米易县为旅游型县城，受疫情影响，县级财政收入大幅减少。按照国家“抓六稳促六保”刚性要求，我县困难群体医疗救助列为社会救助必须确保的刚性支出内容，社会救助需求进一步增加。2020年我县医疗救助资金没有结余。如上级不继续加大对我县资金支持力度，会导致现有财力支持医疗救助工作的难度急剧加大。</w:t>
      </w:r>
    </w:p>
    <w:p w14:paraId="4C83641A">
      <w:pPr>
        <w:spacing w:line="540" w:lineRule="exact"/>
        <w:ind w:firstLine="640" w:firstLineChars="200"/>
        <w:rPr>
          <w:rFonts w:ascii="仿宋" w:hAnsi="仿宋" w:eastAsia="仿宋"/>
          <w:sz w:val="32"/>
          <w:szCs w:val="32"/>
        </w:rPr>
      </w:pPr>
      <w:r>
        <w:rPr>
          <w:rFonts w:hint="eastAsia" w:ascii="楷体" w:hAnsi="楷体" w:eastAsia="楷体"/>
          <w:sz w:val="32"/>
          <w:szCs w:val="32"/>
        </w:rPr>
        <w:t>（二）</w:t>
      </w:r>
      <w:r>
        <w:rPr>
          <w:rFonts w:hint="eastAsia" w:ascii="楷体" w:hAnsi="楷体" w:eastAsia="楷体"/>
          <w:b/>
          <w:sz w:val="32"/>
          <w:szCs w:val="32"/>
        </w:rPr>
        <w:t>建档立卡贫困户与非建档立卡特殊困难户医疗救助资金没有纳入省对我县转移支付补助范围。</w:t>
      </w:r>
      <w:r>
        <w:rPr>
          <w:rFonts w:hint="eastAsia" w:ascii="仿宋" w:hAnsi="仿宋" w:eastAsia="仿宋"/>
          <w:sz w:val="32"/>
          <w:szCs w:val="32"/>
        </w:rPr>
        <w:t>2019年-2020年，根据省委、省政府《关于进一步加快推进凉山自发搬迁贫困人口精准扶贫精准脱贫工作的指导意见》（川委办〔2018〕24号）文件精神，</w:t>
      </w:r>
      <w:r>
        <w:rPr>
          <w:rFonts w:hint="eastAsia" w:ascii="仿宋" w:hAnsi="仿宋" w:eastAsia="仿宋"/>
          <w:color w:val="000000" w:themeColor="text1"/>
          <w:sz w:val="32"/>
          <w:szCs w:val="32"/>
        </w:rPr>
        <w:t>经扶贫移民部门精准识别，我县凉山自发搬迁贫困人口有2921人纳入脱贫攻坚范围。</w:t>
      </w:r>
      <w:r>
        <w:rPr>
          <w:rFonts w:hint="eastAsia" w:ascii="仿宋" w:hAnsi="仿宋" w:eastAsia="仿宋"/>
          <w:sz w:val="32"/>
          <w:szCs w:val="32"/>
        </w:rPr>
        <w:t>2020年，将全县非建档立卡特殊困难户1136人纳入医疗救助，两项合计新增医疗救助对象4057</w:t>
      </w:r>
      <w:r>
        <w:rPr>
          <w:rFonts w:hint="eastAsia" w:ascii="仿宋" w:hAnsi="仿宋" w:eastAsia="仿宋"/>
          <w:color w:val="000000" w:themeColor="text1"/>
          <w:sz w:val="32"/>
          <w:szCs w:val="32"/>
        </w:rPr>
        <w:t>人</w:t>
      </w:r>
      <w:r>
        <w:rPr>
          <w:rFonts w:hint="eastAsia" w:ascii="仿宋" w:hAnsi="仿宋" w:eastAsia="仿宋"/>
          <w:sz w:val="32"/>
          <w:szCs w:val="32"/>
        </w:rPr>
        <w:t>，这部分人员具有家庭人口多，救助资金需求大，救助时间长等特点。根据我县医疗救助水平测算，仅靠地方财力救助资金兜底难度大。</w:t>
      </w:r>
    </w:p>
    <w:p w14:paraId="1C4D2FBE">
      <w:pPr>
        <w:spacing w:line="540" w:lineRule="exact"/>
        <w:ind w:firstLine="640" w:firstLineChars="200"/>
        <w:rPr>
          <w:rFonts w:ascii="黑体" w:hAnsi="黑体" w:eastAsia="黑体"/>
          <w:sz w:val="32"/>
          <w:szCs w:val="32"/>
        </w:rPr>
      </w:pPr>
      <w:r>
        <w:rPr>
          <w:rFonts w:hint="eastAsia" w:ascii="黑体" w:hAnsi="黑体" w:eastAsia="黑体"/>
          <w:sz w:val="32"/>
          <w:szCs w:val="32"/>
        </w:rPr>
        <w:t>六、有关建议</w:t>
      </w:r>
    </w:p>
    <w:p w14:paraId="3F375E8C">
      <w:pPr>
        <w:spacing w:line="540" w:lineRule="exact"/>
        <w:ind w:firstLine="640" w:firstLineChars="200"/>
        <w:rPr>
          <w:rFonts w:ascii="仿宋" w:hAnsi="仿宋" w:eastAsia="仿宋"/>
          <w:sz w:val="32"/>
          <w:szCs w:val="32"/>
        </w:rPr>
      </w:pPr>
      <w:r>
        <w:rPr>
          <w:rFonts w:hint="eastAsia" w:ascii="仿宋" w:hAnsi="仿宋" w:eastAsia="仿宋"/>
          <w:sz w:val="32"/>
          <w:szCs w:val="32"/>
        </w:rPr>
        <w:t>恳请省局继续加大对我县资金支持力度，将上级医疗救助补助资金额度调整为不低于总支出的80%。按照国家、省政府脱贫攻坚与乡村振兴战略有效衔接精神，进一步加大对我县医疗救助资金支持力度。</w:t>
      </w:r>
    </w:p>
    <w:p w14:paraId="51D1F33C">
      <w:pPr>
        <w:widowControl/>
        <w:jc w:val="left"/>
        <w:rPr>
          <w:rStyle w:val="26"/>
          <w:rFonts w:ascii="黑体" w:hAnsi="黑体" w:eastAsia="黑体"/>
          <w:b w:val="0"/>
        </w:rPr>
      </w:pPr>
    </w:p>
    <w:p w14:paraId="38D21705">
      <w:pPr>
        <w:widowControl/>
        <w:jc w:val="left"/>
        <w:rPr>
          <w:rStyle w:val="26"/>
          <w:rFonts w:ascii="黑体" w:hAnsi="黑体" w:eastAsia="黑体"/>
          <w:b w:val="0"/>
        </w:rPr>
      </w:pPr>
      <w:r>
        <w:rPr>
          <w:rStyle w:val="26"/>
          <w:rFonts w:ascii="黑体" w:hAnsi="黑体" w:eastAsia="黑体"/>
          <w:b w:val="0"/>
        </w:rPr>
        <w:br w:type="page"/>
      </w:r>
    </w:p>
    <w:p w14:paraId="1306F626">
      <w:pPr>
        <w:spacing w:line="600" w:lineRule="exact"/>
        <w:jc w:val="center"/>
        <w:outlineLvl w:val="0"/>
        <w:rPr>
          <w:rStyle w:val="26"/>
          <w:rFonts w:ascii="黑体" w:hAnsi="黑体" w:eastAsia="黑体"/>
          <w:b w:val="0"/>
        </w:rPr>
      </w:pPr>
    </w:p>
    <w:p w14:paraId="71AC45EC">
      <w:pPr>
        <w:spacing w:line="600" w:lineRule="exact"/>
        <w:jc w:val="center"/>
        <w:outlineLvl w:val="0"/>
        <w:rPr>
          <w:rStyle w:val="26"/>
          <w:rFonts w:ascii="黑体" w:hAnsi="黑体" w:eastAsia="黑体"/>
          <w:b w:val="0"/>
        </w:rPr>
      </w:pPr>
      <w:bookmarkStart w:id="53" w:name="_Toc15396618"/>
      <w:r>
        <w:rPr>
          <w:rFonts w:hint="eastAsia" w:ascii="黑体" w:hAnsi="黑体" w:eastAsia="黑体"/>
          <w:color w:val="000000"/>
          <w:sz w:val="44"/>
          <w:szCs w:val="44"/>
        </w:rPr>
        <w:t>第</w:t>
      </w:r>
      <w:r>
        <w:rPr>
          <w:rStyle w:val="26"/>
          <w:rFonts w:hint="eastAsia" w:ascii="黑体" w:hAnsi="黑体" w:eastAsia="黑体"/>
          <w:b w:val="0"/>
        </w:rPr>
        <w:t>五部分 附表</w:t>
      </w:r>
      <w:bookmarkEnd w:id="51"/>
      <w:bookmarkEnd w:id="53"/>
    </w:p>
    <w:p w14:paraId="640769C7">
      <w:pPr>
        <w:pStyle w:val="3"/>
        <w:spacing w:line="560" w:lineRule="exact"/>
        <w:rPr>
          <w:rFonts w:ascii="仿宋" w:hAnsi="仿宋" w:eastAsia="仿宋"/>
          <w:color w:val="000000"/>
        </w:rPr>
      </w:pPr>
      <w:bookmarkStart w:id="54" w:name="_Toc15396619"/>
      <w:r>
        <w:rPr>
          <w:rFonts w:hint="eastAsia" w:ascii="仿宋" w:hAnsi="仿宋" w:eastAsia="仿宋"/>
          <w:b w:val="0"/>
          <w:color w:val="000000"/>
        </w:rPr>
        <w:t>一、收</w:t>
      </w:r>
      <w:r>
        <w:rPr>
          <w:rStyle w:val="27"/>
          <w:rFonts w:hint="eastAsia" w:ascii="仿宋" w:hAnsi="仿宋" w:eastAsia="仿宋"/>
          <w:b w:val="0"/>
          <w:bCs w:val="0"/>
        </w:rPr>
        <w:t>入支出决算总表</w:t>
      </w:r>
      <w:bookmarkEnd w:id="54"/>
    </w:p>
    <w:p w14:paraId="6500BDD6">
      <w:pPr>
        <w:pStyle w:val="3"/>
        <w:spacing w:line="560" w:lineRule="exact"/>
        <w:rPr>
          <w:rFonts w:ascii="仿宋" w:hAnsi="仿宋" w:eastAsia="仿宋"/>
          <w:color w:val="000000"/>
        </w:rPr>
      </w:pPr>
      <w:bookmarkStart w:id="55" w:name="_Toc15396620"/>
      <w:r>
        <w:rPr>
          <w:rFonts w:hint="eastAsia" w:ascii="仿宋" w:hAnsi="仿宋" w:eastAsia="仿宋"/>
          <w:b w:val="0"/>
          <w:color w:val="000000"/>
        </w:rPr>
        <w:t>二、收</w:t>
      </w:r>
      <w:r>
        <w:rPr>
          <w:rStyle w:val="27"/>
          <w:rFonts w:hint="eastAsia" w:ascii="仿宋" w:hAnsi="仿宋" w:eastAsia="仿宋"/>
          <w:b w:val="0"/>
          <w:bCs w:val="0"/>
        </w:rPr>
        <w:t>入决算表</w:t>
      </w:r>
      <w:bookmarkEnd w:id="55"/>
    </w:p>
    <w:p w14:paraId="33427898">
      <w:pPr>
        <w:pStyle w:val="3"/>
        <w:spacing w:line="560" w:lineRule="exact"/>
        <w:rPr>
          <w:rFonts w:ascii="仿宋" w:hAnsi="仿宋" w:eastAsia="仿宋"/>
          <w:color w:val="000000"/>
        </w:rPr>
      </w:pPr>
      <w:bookmarkStart w:id="56" w:name="_Toc15396621"/>
      <w:r>
        <w:rPr>
          <w:rStyle w:val="27"/>
          <w:rFonts w:hint="eastAsia" w:ascii="仿宋" w:hAnsi="仿宋" w:eastAsia="仿宋"/>
          <w:b w:val="0"/>
          <w:bCs w:val="0"/>
        </w:rPr>
        <w:t>三、</w:t>
      </w:r>
      <w:r>
        <w:rPr>
          <w:rFonts w:hint="eastAsia" w:ascii="仿宋" w:hAnsi="仿宋" w:eastAsia="仿宋"/>
          <w:b w:val="0"/>
          <w:color w:val="000000"/>
        </w:rPr>
        <w:t>支</w:t>
      </w:r>
      <w:r>
        <w:rPr>
          <w:rStyle w:val="27"/>
          <w:rFonts w:hint="eastAsia" w:ascii="仿宋" w:hAnsi="仿宋" w:eastAsia="仿宋"/>
          <w:b w:val="0"/>
          <w:bCs w:val="0"/>
        </w:rPr>
        <w:t>出决算表</w:t>
      </w:r>
      <w:bookmarkEnd w:id="56"/>
    </w:p>
    <w:p w14:paraId="20F5964B">
      <w:pPr>
        <w:pStyle w:val="3"/>
        <w:spacing w:line="560" w:lineRule="exact"/>
        <w:rPr>
          <w:rFonts w:ascii="仿宋" w:hAnsi="仿宋" w:eastAsia="仿宋"/>
          <w:b w:val="0"/>
          <w:color w:val="000000"/>
        </w:rPr>
      </w:pPr>
      <w:bookmarkStart w:id="57" w:name="_Toc15396622"/>
      <w:r>
        <w:rPr>
          <w:rStyle w:val="27"/>
          <w:rFonts w:hint="eastAsia" w:ascii="仿宋" w:hAnsi="仿宋" w:eastAsia="仿宋"/>
          <w:b w:val="0"/>
          <w:bCs w:val="0"/>
        </w:rPr>
        <w:t>四、</w:t>
      </w:r>
      <w:r>
        <w:rPr>
          <w:rFonts w:hint="eastAsia" w:ascii="仿宋" w:hAnsi="仿宋" w:eastAsia="仿宋"/>
          <w:b w:val="0"/>
          <w:color w:val="000000"/>
        </w:rPr>
        <w:t>财</w:t>
      </w:r>
      <w:r>
        <w:rPr>
          <w:rStyle w:val="27"/>
          <w:rFonts w:hint="eastAsia" w:ascii="仿宋" w:hAnsi="仿宋" w:eastAsia="仿宋"/>
          <w:b w:val="0"/>
          <w:bCs w:val="0"/>
        </w:rPr>
        <w:t>政拨款收入支出决算总表</w:t>
      </w:r>
      <w:bookmarkEnd w:id="57"/>
    </w:p>
    <w:p w14:paraId="578378AC">
      <w:pPr>
        <w:pStyle w:val="3"/>
        <w:spacing w:line="560" w:lineRule="exact"/>
        <w:rPr>
          <w:rStyle w:val="27"/>
          <w:rFonts w:ascii="仿宋" w:hAnsi="仿宋" w:eastAsia="仿宋"/>
          <w:b w:val="0"/>
          <w:bCs w:val="0"/>
        </w:rPr>
      </w:pPr>
      <w:bookmarkStart w:id="58" w:name="_Toc15396623"/>
      <w:r>
        <w:rPr>
          <w:rStyle w:val="27"/>
          <w:rFonts w:hint="eastAsia" w:ascii="仿宋" w:hAnsi="仿宋" w:eastAsia="仿宋"/>
          <w:b w:val="0"/>
          <w:bCs w:val="0"/>
        </w:rPr>
        <w:t>五、</w:t>
      </w:r>
      <w:r>
        <w:rPr>
          <w:rFonts w:hint="eastAsia" w:ascii="仿宋" w:hAnsi="仿宋" w:eastAsia="仿宋"/>
          <w:b w:val="0"/>
          <w:color w:val="000000"/>
        </w:rPr>
        <w:t>财</w:t>
      </w:r>
      <w:r>
        <w:rPr>
          <w:rStyle w:val="27"/>
          <w:rFonts w:hint="eastAsia" w:ascii="仿宋" w:hAnsi="仿宋" w:eastAsia="仿宋"/>
          <w:b w:val="0"/>
          <w:bCs w:val="0"/>
        </w:rPr>
        <w:t>政拨款支出决算明细表</w:t>
      </w:r>
      <w:bookmarkEnd w:id="58"/>
      <w:bookmarkStart w:id="59" w:name="_Toc15396624"/>
    </w:p>
    <w:p w14:paraId="691E009F">
      <w:pPr>
        <w:pStyle w:val="3"/>
        <w:spacing w:line="560" w:lineRule="exact"/>
        <w:rPr>
          <w:rFonts w:ascii="仿宋" w:hAnsi="仿宋" w:eastAsia="仿宋"/>
          <w:color w:val="000000"/>
        </w:rPr>
      </w:pPr>
      <w:r>
        <w:rPr>
          <w:rStyle w:val="27"/>
          <w:rFonts w:hint="eastAsia" w:ascii="仿宋" w:hAnsi="仿宋" w:eastAsia="仿宋"/>
          <w:b w:val="0"/>
          <w:bCs w:val="0"/>
        </w:rPr>
        <w:t>六、</w:t>
      </w:r>
      <w:r>
        <w:rPr>
          <w:rFonts w:hint="eastAsia" w:ascii="仿宋" w:hAnsi="仿宋" w:eastAsia="仿宋"/>
          <w:b w:val="0"/>
          <w:color w:val="000000"/>
        </w:rPr>
        <w:t>一</w:t>
      </w:r>
      <w:r>
        <w:rPr>
          <w:rStyle w:val="27"/>
          <w:rFonts w:hint="eastAsia" w:ascii="仿宋" w:hAnsi="仿宋" w:eastAsia="仿宋"/>
          <w:b w:val="0"/>
          <w:bCs w:val="0"/>
        </w:rPr>
        <w:t>般公共预算财政拨款支出决算表</w:t>
      </w:r>
      <w:bookmarkEnd w:id="59"/>
    </w:p>
    <w:p w14:paraId="0C6B5BA2">
      <w:pPr>
        <w:pStyle w:val="3"/>
        <w:spacing w:line="560" w:lineRule="exact"/>
        <w:rPr>
          <w:rFonts w:ascii="仿宋" w:hAnsi="仿宋" w:eastAsia="仿宋"/>
          <w:color w:val="000000"/>
        </w:rPr>
      </w:pPr>
      <w:bookmarkStart w:id="60" w:name="_Toc15396625"/>
      <w:r>
        <w:rPr>
          <w:rStyle w:val="27"/>
          <w:rFonts w:hint="eastAsia" w:ascii="仿宋" w:hAnsi="仿宋" w:eastAsia="仿宋"/>
          <w:b w:val="0"/>
          <w:bCs w:val="0"/>
        </w:rPr>
        <w:t>七、</w:t>
      </w:r>
      <w:r>
        <w:rPr>
          <w:rFonts w:hint="eastAsia" w:ascii="仿宋" w:hAnsi="仿宋" w:eastAsia="仿宋"/>
          <w:b w:val="0"/>
          <w:color w:val="000000"/>
        </w:rPr>
        <w:t>一</w:t>
      </w:r>
      <w:r>
        <w:rPr>
          <w:rStyle w:val="27"/>
          <w:rFonts w:hint="eastAsia" w:ascii="仿宋" w:hAnsi="仿宋" w:eastAsia="仿宋"/>
          <w:b w:val="0"/>
          <w:bCs w:val="0"/>
        </w:rPr>
        <w:t>般公共预算财政拨款支出决算明细表</w:t>
      </w:r>
      <w:bookmarkEnd w:id="60"/>
    </w:p>
    <w:p w14:paraId="26C3FF7C">
      <w:pPr>
        <w:pStyle w:val="3"/>
        <w:spacing w:line="560" w:lineRule="exact"/>
        <w:rPr>
          <w:rFonts w:ascii="仿宋" w:hAnsi="仿宋" w:eastAsia="仿宋"/>
          <w:color w:val="000000"/>
        </w:rPr>
      </w:pPr>
      <w:bookmarkStart w:id="61" w:name="_Toc15396626"/>
      <w:r>
        <w:rPr>
          <w:rStyle w:val="27"/>
          <w:rFonts w:hint="eastAsia" w:ascii="仿宋" w:hAnsi="仿宋" w:eastAsia="仿宋"/>
          <w:b w:val="0"/>
          <w:bCs w:val="0"/>
        </w:rPr>
        <w:t>八、</w:t>
      </w:r>
      <w:r>
        <w:rPr>
          <w:rFonts w:hint="eastAsia" w:ascii="仿宋" w:hAnsi="仿宋" w:eastAsia="仿宋"/>
          <w:b w:val="0"/>
          <w:color w:val="000000"/>
        </w:rPr>
        <w:t>一</w:t>
      </w:r>
      <w:r>
        <w:rPr>
          <w:rStyle w:val="27"/>
          <w:rFonts w:hint="eastAsia" w:ascii="仿宋" w:hAnsi="仿宋" w:eastAsia="仿宋"/>
          <w:b w:val="0"/>
          <w:bCs w:val="0"/>
        </w:rPr>
        <w:t>般公共预算财政拨款基本支出决算表</w:t>
      </w:r>
      <w:bookmarkEnd w:id="61"/>
    </w:p>
    <w:p w14:paraId="0107D265">
      <w:pPr>
        <w:pStyle w:val="3"/>
        <w:spacing w:line="560" w:lineRule="exact"/>
        <w:rPr>
          <w:rFonts w:ascii="仿宋" w:hAnsi="仿宋" w:eastAsia="仿宋"/>
          <w:color w:val="000000"/>
        </w:rPr>
      </w:pPr>
      <w:bookmarkStart w:id="62" w:name="_Toc15396627"/>
      <w:r>
        <w:rPr>
          <w:rStyle w:val="27"/>
          <w:rFonts w:hint="eastAsia" w:ascii="仿宋" w:hAnsi="仿宋" w:eastAsia="仿宋"/>
          <w:b w:val="0"/>
          <w:bCs w:val="0"/>
        </w:rPr>
        <w:t>九、</w:t>
      </w:r>
      <w:r>
        <w:rPr>
          <w:rFonts w:hint="eastAsia" w:ascii="仿宋" w:hAnsi="仿宋" w:eastAsia="仿宋"/>
          <w:b w:val="0"/>
          <w:color w:val="000000"/>
        </w:rPr>
        <w:t>一</w:t>
      </w:r>
      <w:r>
        <w:rPr>
          <w:rStyle w:val="27"/>
          <w:rFonts w:hint="eastAsia" w:ascii="仿宋" w:hAnsi="仿宋" w:eastAsia="仿宋"/>
          <w:b w:val="0"/>
          <w:bCs w:val="0"/>
        </w:rPr>
        <w:t>般公共预算财政拨款项目支出决算表</w:t>
      </w:r>
      <w:bookmarkEnd w:id="62"/>
    </w:p>
    <w:p w14:paraId="30BD3E6F">
      <w:pPr>
        <w:pStyle w:val="3"/>
        <w:spacing w:line="560" w:lineRule="exact"/>
        <w:rPr>
          <w:rFonts w:ascii="仿宋" w:hAnsi="仿宋" w:eastAsia="仿宋"/>
          <w:color w:val="000000"/>
        </w:rPr>
      </w:pPr>
      <w:bookmarkStart w:id="63" w:name="_Toc15396628"/>
      <w:r>
        <w:rPr>
          <w:rStyle w:val="27"/>
          <w:rFonts w:hint="eastAsia" w:ascii="仿宋" w:hAnsi="仿宋" w:eastAsia="仿宋"/>
          <w:b w:val="0"/>
          <w:bCs w:val="0"/>
        </w:rPr>
        <w:t>十、</w:t>
      </w:r>
      <w:r>
        <w:rPr>
          <w:rFonts w:hint="eastAsia" w:ascii="仿宋" w:hAnsi="仿宋" w:eastAsia="仿宋"/>
          <w:b w:val="0"/>
          <w:color w:val="000000"/>
        </w:rPr>
        <w:t>一</w:t>
      </w:r>
      <w:r>
        <w:rPr>
          <w:rStyle w:val="27"/>
          <w:rFonts w:hint="eastAsia" w:ascii="仿宋" w:hAnsi="仿宋" w:eastAsia="仿宋"/>
          <w:b w:val="0"/>
          <w:bCs w:val="0"/>
        </w:rPr>
        <w:t>般公共预算财政拨款“三公”经费支出决算表</w:t>
      </w:r>
      <w:bookmarkEnd w:id="63"/>
    </w:p>
    <w:p w14:paraId="1835C0E9">
      <w:pPr>
        <w:pStyle w:val="3"/>
        <w:spacing w:line="560" w:lineRule="exact"/>
        <w:rPr>
          <w:rFonts w:ascii="仿宋" w:hAnsi="仿宋" w:eastAsia="仿宋"/>
          <w:color w:val="000000"/>
        </w:rPr>
      </w:pPr>
      <w:bookmarkStart w:id="64" w:name="_Toc15396629"/>
      <w:r>
        <w:rPr>
          <w:rStyle w:val="27"/>
          <w:rFonts w:hint="eastAsia" w:ascii="仿宋" w:hAnsi="仿宋" w:eastAsia="仿宋"/>
          <w:b w:val="0"/>
          <w:bCs w:val="0"/>
        </w:rPr>
        <w:t>十一、</w:t>
      </w:r>
      <w:r>
        <w:rPr>
          <w:rFonts w:hint="eastAsia" w:ascii="仿宋" w:hAnsi="仿宋" w:eastAsia="仿宋"/>
          <w:b w:val="0"/>
          <w:color w:val="000000"/>
        </w:rPr>
        <w:t>政</w:t>
      </w:r>
      <w:r>
        <w:rPr>
          <w:rStyle w:val="27"/>
          <w:rFonts w:hint="eastAsia" w:ascii="仿宋" w:hAnsi="仿宋" w:eastAsia="仿宋"/>
          <w:b w:val="0"/>
          <w:bCs w:val="0"/>
        </w:rPr>
        <w:t>府性基金预算财政拨款收入支出决算表</w:t>
      </w:r>
      <w:bookmarkEnd w:id="64"/>
    </w:p>
    <w:p w14:paraId="6C919E31">
      <w:pPr>
        <w:pStyle w:val="3"/>
        <w:spacing w:line="560" w:lineRule="exact"/>
        <w:rPr>
          <w:rFonts w:ascii="仿宋" w:hAnsi="仿宋" w:eastAsia="仿宋"/>
          <w:color w:val="000000"/>
        </w:rPr>
      </w:pPr>
      <w:bookmarkStart w:id="65" w:name="_Toc15396630"/>
      <w:r>
        <w:rPr>
          <w:rStyle w:val="27"/>
          <w:rFonts w:hint="eastAsia" w:ascii="仿宋" w:hAnsi="仿宋" w:eastAsia="仿宋"/>
          <w:b w:val="0"/>
          <w:bCs w:val="0"/>
        </w:rPr>
        <w:t>十二、</w:t>
      </w:r>
      <w:r>
        <w:rPr>
          <w:rFonts w:hint="eastAsia" w:ascii="仿宋" w:hAnsi="仿宋" w:eastAsia="仿宋"/>
          <w:b w:val="0"/>
          <w:color w:val="000000"/>
        </w:rPr>
        <w:t>政</w:t>
      </w:r>
      <w:r>
        <w:rPr>
          <w:rStyle w:val="27"/>
          <w:rFonts w:hint="eastAsia" w:ascii="仿宋" w:hAnsi="仿宋" w:eastAsia="仿宋"/>
          <w:b w:val="0"/>
          <w:bCs w:val="0"/>
        </w:rPr>
        <w:t>府性基金预算财政拨款“三公”经费支出决算表</w:t>
      </w:r>
      <w:bookmarkEnd w:id="65"/>
    </w:p>
    <w:p w14:paraId="3D507C90">
      <w:pPr>
        <w:pStyle w:val="3"/>
        <w:spacing w:line="560" w:lineRule="exact"/>
        <w:rPr>
          <w:rStyle w:val="27"/>
          <w:rFonts w:ascii="仿宋" w:hAnsi="仿宋" w:eastAsia="仿宋"/>
          <w:b w:val="0"/>
          <w:bCs w:val="0"/>
        </w:rPr>
      </w:pPr>
      <w:bookmarkStart w:id="66" w:name="_Toc15396631"/>
      <w:r>
        <w:rPr>
          <w:rStyle w:val="27"/>
          <w:rFonts w:hint="eastAsia" w:ascii="仿宋" w:hAnsi="仿宋" w:eastAsia="仿宋"/>
          <w:b w:val="0"/>
          <w:bCs w:val="0"/>
        </w:rPr>
        <w:t>十三、</w:t>
      </w:r>
      <w:r>
        <w:rPr>
          <w:rFonts w:hint="eastAsia" w:ascii="仿宋" w:hAnsi="仿宋" w:eastAsia="仿宋"/>
          <w:b w:val="0"/>
          <w:color w:val="000000"/>
        </w:rPr>
        <w:t>国</w:t>
      </w:r>
      <w:r>
        <w:rPr>
          <w:rStyle w:val="27"/>
          <w:rFonts w:hint="eastAsia" w:ascii="仿宋" w:hAnsi="仿宋" w:eastAsia="仿宋"/>
          <w:b w:val="0"/>
          <w:bCs w:val="0"/>
        </w:rPr>
        <w:t>有资本经营预算支出决算表</w:t>
      </w:r>
      <w:bookmarkEnd w:id="66"/>
    </w:p>
    <w:p w14:paraId="277B0E34">
      <w:pPr>
        <w:pStyle w:val="3"/>
        <w:spacing w:line="560" w:lineRule="exact"/>
        <w:rPr>
          <w:rStyle w:val="27"/>
          <w:rFonts w:ascii="仿宋" w:hAnsi="仿宋" w:eastAsia="仿宋"/>
          <w:b w:val="0"/>
          <w:bCs/>
        </w:rPr>
      </w:pPr>
      <w:r>
        <w:rPr>
          <w:rStyle w:val="27"/>
          <w:rFonts w:hint="eastAsia" w:ascii="仿宋" w:hAnsi="仿宋" w:eastAsia="仿宋"/>
          <w:b w:val="0"/>
          <w:bCs/>
        </w:rPr>
        <w:t>十四</w:t>
      </w:r>
      <w:r>
        <w:rPr>
          <w:rStyle w:val="27"/>
          <w:rFonts w:hint="eastAsia" w:ascii="仿宋" w:hAnsi="仿宋" w:eastAsia="仿宋"/>
          <w:b w:val="0"/>
          <w:bCs w:val="0"/>
        </w:rPr>
        <w:t>、</w:t>
      </w:r>
      <w:r>
        <w:rPr>
          <w:rFonts w:hint="eastAsia" w:ascii="仿宋" w:hAnsi="仿宋" w:eastAsia="仿宋"/>
          <w:b w:val="0"/>
          <w:color w:val="000000"/>
        </w:rPr>
        <w:t>国</w:t>
      </w:r>
      <w:r>
        <w:rPr>
          <w:rStyle w:val="27"/>
          <w:rFonts w:hint="eastAsia" w:ascii="仿宋" w:hAnsi="仿宋" w:eastAsia="仿宋"/>
          <w:b w:val="0"/>
          <w:bCs/>
        </w:rPr>
        <w:t>有资本经营预算财政拨款支出决算表</w:t>
      </w:r>
    </w:p>
    <w:p w14:paraId="6A1E2A18">
      <w:pPr>
        <w:spacing w:line="560" w:lineRule="exact"/>
        <w:rPr>
          <w:rFonts w:eastAsia="仿宋"/>
        </w:rPr>
      </w:pPr>
      <w:r>
        <w:rPr>
          <w:rStyle w:val="27"/>
          <w:rFonts w:hint="eastAsia" w:ascii="仿宋" w:hAnsi="仿宋" w:eastAsia="仿宋"/>
          <w:b w:val="0"/>
        </w:rPr>
        <w:t>十五、机关运行经费、资产占用情况及政府采购支出信息表</w:t>
      </w:r>
    </w:p>
    <w:p w14:paraId="776988ED"/>
    <w:sectPr>
      <w:pgSz w:w="11906" w:h="16838"/>
      <w:pgMar w:top="1134" w:right="1797" w:bottom="1440" w:left="1797" w:header="851" w:footer="992" w:gutter="0"/>
      <w:pgNumType w:start="1"/>
      <w:cols w:space="425" w:num="1"/>
      <w:titlePg/>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A00002BF" w:usb1="38CF7CFA" w:usb2="00082016" w:usb3="00000000" w:csb0="00040001" w:csb1="00000000"/>
  </w:font>
  <w:font w:name="Cambria">
    <w:altName w:val="FreeSerif"/>
    <w:panose1 w:val="02040503050406030204"/>
    <w:charset w:val="00"/>
    <w:family w:val="roman"/>
    <w:pitch w:val="default"/>
    <w:sig w:usb0="00000000" w:usb1="00000000" w:usb2="02000000" w:usb3="00000000" w:csb0="2000019F" w:csb1="00000000"/>
  </w:font>
  <w:font w:name="FreeSerif">
    <w:panose1 w:val="02020603050405020304"/>
    <w:charset w:val="00"/>
    <w:family w:val="auto"/>
    <w:pitch w:val="default"/>
    <w:sig w:usb0="E59FAFFF" w:usb1="C200FDFF" w:usb2="43501B29" w:usb3="04000043" w:csb0="600101FF" w:csb1="FFFF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_GBK">
    <w:panose1 w:val="02000000000000000000"/>
    <w:charset w:val="86"/>
    <w:family w:val="script"/>
    <w:pitch w:val="default"/>
    <w:sig w:usb0="A00002BF" w:usb1="38CF7CFA" w:usb2="00082016" w:usb3="00000000" w:csb0="00040001" w:csb1="00000000"/>
  </w:font>
  <w:font w:name="TimesNewRoman">
    <w:altName w:val="Times New Roman"/>
    <w:panose1 w:val="00000000000000000000"/>
    <w:charset w:val="00"/>
    <w:family w:val="roma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新宋体">
    <w:altName w:val="Noto Sans Mono CJK SC"/>
    <w:panose1 w:val="02010609030101010101"/>
    <w:charset w:val="86"/>
    <w:family w:val="modern"/>
    <w:pitch w:val="default"/>
    <w:sig w:usb0="00000000" w:usb1="00000000" w:usb2="00000006" w:usb3="00000000" w:csb0="00040001" w:csb1="00000000"/>
  </w:font>
  <w:font w:name="Noto Sans Mono CJK SC">
    <w:panose1 w:val="020B0500000000000000"/>
    <w:charset w:val="86"/>
    <w:family w:val="auto"/>
    <w:pitch w:val="default"/>
    <w:sig w:usb0="30000083" w:usb1="2BDF3C10" w:usb2="00000016" w:usb3="00000000" w:csb0="602E0107" w:csb1="00000000"/>
  </w:font>
  <w:font w:name="方正小标宋简体">
    <w:altName w:val="方正小标宋_GBK"/>
    <w:panose1 w:val="02010601030101010101"/>
    <w:charset w:val="86"/>
    <w:family w:val="script"/>
    <w:pitch w:val="default"/>
    <w:sig w:usb0="00000000" w:usb1="00000000" w:usb2="00000000" w:usb3="00000000" w:csb0="00040000" w:csb1="00000000"/>
  </w:font>
  <w:font w:name="小标宋">
    <w:altName w:val="方正小标宋_GBK"/>
    <w:panose1 w:val="03000509000000000000"/>
    <w:charset w:val="86"/>
    <w:family w:val="script"/>
    <w:pitch w:val="default"/>
    <w:sig w:usb0="00000000" w:usb1="00000000" w:usb2="00000000" w:usb3="00000000" w:csb0="00040000" w:csb1="00000000"/>
  </w:font>
  <w:font w:name="方正楷体_GBK">
    <w:panose1 w:val="02000000000000000000"/>
    <w:charset w:val="86"/>
    <w:family w:val="script"/>
    <w:pitch w:val="default"/>
    <w:sig w:usb0="A00002BF" w:usb1="38CF7CFA" w:usb2="00082016" w:usb3="00000000" w:csb0="00040001" w:csb1="00000000"/>
  </w:font>
  <w:font w:name="方正仿宋_GBK">
    <w:panose1 w:val="02000000000000000000"/>
    <w:charset w:val="86"/>
    <w:family w:val="script"/>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80842568"/>
      <w:docPartObj>
        <w:docPartGallery w:val="autotext"/>
      </w:docPartObj>
    </w:sdtPr>
    <w:sdtContent>
      <w:p w14:paraId="05531245">
        <w:pPr>
          <w:pStyle w:val="9"/>
        </w:pP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 PAGE   \* MERGEFORMAT </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lang w:val="zh-CN"/>
          </w:rPr>
          <w:t>-</w:t>
        </w:r>
        <w:r>
          <w:rPr>
            <w:rFonts w:asciiTheme="minorEastAsia" w:hAnsiTheme="minorEastAsia" w:eastAsiaTheme="minorEastAsia"/>
            <w:sz w:val="28"/>
            <w:szCs w:val="28"/>
          </w:rPr>
          <w:t xml:space="preserve"> 7 -</w:t>
        </w:r>
        <w:r>
          <w:rPr>
            <w:rFonts w:asciiTheme="minorEastAsia" w:hAnsiTheme="minorEastAsia" w:eastAsiaTheme="minorEastAsia"/>
            <w:sz w:val="28"/>
            <w:szCs w:val="28"/>
          </w:rPr>
          <w:fldChar w:fldCharType="end"/>
        </w:r>
      </w:p>
    </w:sdtContent>
  </w:sdt>
  <w:p w14:paraId="5A224FCC">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80842564"/>
      <w:docPartObj>
        <w:docPartGallery w:val="autotext"/>
      </w:docPartObj>
    </w:sdtPr>
    <w:sdtEndPr>
      <w:rPr>
        <w:rFonts w:asciiTheme="minorEastAsia" w:hAnsiTheme="minorEastAsia" w:eastAsiaTheme="minorEastAsia"/>
        <w:sz w:val="28"/>
        <w:szCs w:val="28"/>
      </w:rPr>
    </w:sdtEndPr>
    <w:sdtContent>
      <w:p w14:paraId="45DFE433">
        <w:pPr>
          <w:pStyle w:val="9"/>
          <w:jc w:val="right"/>
          <w:rPr>
            <w:rFonts w:asciiTheme="minorEastAsia" w:hAnsiTheme="minorEastAsia" w:eastAsiaTheme="minorEastAsia"/>
            <w:sz w:val="28"/>
            <w:szCs w:val="28"/>
          </w:rPr>
        </w:pP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 PAGE   \* MERGEFORMAT </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lang w:val="zh-CN"/>
          </w:rPr>
          <w:t>-</w:t>
        </w:r>
        <w:r>
          <w:rPr>
            <w:rFonts w:asciiTheme="minorEastAsia" w:hAnsiTheme="minorEastAsia" w:eastAsiaTheme="minorEastAsia"/>
            <w:sz w:val="28"/>
            <w:szCs w:val="28"/>
          </w:rPr>
          <w:t xml:space="preserve"> 6 -</w:t>
        </w:r>
        <w:r>
          <w:rPr>
            <w:rFonts w:asciiTheme="minorEastAsia" w:hAnsiTheme="minorEastAsia" w:eastAsiaTheme="minorEastAsia"/>
            <w:sz w:val="28"/>
            <w:szCs w:val="28"/>
          </w:rPr>
          <w:fldChar w:fldCharType="end"/>
        </w:r>
      </w:p>
    </w:sdtContent>
  </w:sdt>
  <w:p w14:paraId="0503215E">
    <w:pPr>
      <w:pStyle w:val="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80842563"/>
      <w:docPartObj>
        <w:docPartGallery w:val="autotext"/>
      </w:docPartObj>
    </w:sdtPr>
    <w:sdtContent>
      <w:p w14:paraId="1F1B092F">
        <w:pPr>
          <w:pStyle w:val="9"/>
        </w:pP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 PAGE   \* MERGEFORMAT </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lang w:val="zh-CN"/>
          </w:rPr>
          <w:t>-</w:t>
        </w:r>
        <w:r>
          <w:rPr>
            <w:rFonts w:asciiTheme="minorEastAsia" w:hAnsiTheme="minorEastAsia" w:eastAsiaTheme="minorEastAsia"/>
            <w:sz w:val="28"/>
            <w:szCs w:val="28"/>
          </w:rPr>
          <w:t xml:space="preserve"> 1 -</w:t>
        </w:r>
        <w:r>
          <w:rPr>
            <w:rFonts w:asciiTheme="minorEastAsia" w:hAnsiTheme="minorEastAsia" w:eastAsiaTheme="minorEastAsia"/>
            <w:sz w:val="28"/>
            <w:szCs w:val="28"/>
          </w:rPr>
          <w:fldChar w:fldCharType="end"/>
        </w:r>
      </w:p>
    </w:sdtContent>
  </w:sdt>
  <w:p w14:paraId="1E4A18EB">
    <w:pPr>
      <w:pStyle w:val="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80842571"/>
      <w:docPartObj>
        <w:docPartGallery w:val="autotext"/>
      </w:docPartObj>
    </w:sdtPr>
    <w:sdtContent>
      <w:p w14:paraId="4AE8D7D8">
        <w:pPr>
          <w:pStyle w:val="9"/>
        </w:pP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 PAGE   \* MERGEFORMAT </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lang w:val="zh-CN"/>
          </w:rPr>
          <w:t>9</w:t>
        </w:r>
        <w:r>
          <w:rPr>
            <w:rFonts w:asciiTheme="minorEastAsia" w:hAnsiTheme="minorEastAsia" w:eastAsiaTheme="minorEastAsia"/>
            <w:sz w:val="28"/>
            <w:szCs w:val="28"/>
          </w:rPr>
          <w:fldChar w:fldCharType="end"/>
        </w:r>
      </w:p>
    </w:sdtContent>
  </w:sdt>
  <w:p w14:paraId="07A2C02F">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9B2EEF">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2FA047D"/>
    <w:multiLevelType w:val="singleLevel"/>
    <w:tmpl w:val="E2FA047D"/>
    <w:lvl w:ilvl="0" w:tentative="0">
      <w:start w:val="3"/>
      <w:numFmt w:val="chineseCounting"/>
      <w:suff w:val="space"/>
      <w:lvlText w:val="第%1部分"/>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1361C"/>
    <w:rsid w:val="0000301D"/>
    <w:rsid w:val="0001333A"/>
    <w:rsid w:val="000222C6"/>
    <w:rsid w:val="0002549F"/>
    <w:rsid w:val="00035617"/>
    <w:rsid w:val="00042840"/>
    <w:rsid w:val="00043188"/>
    <w:rsid w:val="000468DB"/>
    <w:rsid w:val="0006487A"/>
    <w:rsid w:val="00065F8F"/>
    <w:rsid w:val="0006779F"/>
    <w:rsid w:val="00067A53"/>
    <w:rsid w:val="00070A43"/>
    <w:rsid w:val="00076807"/>
    <w:rsid w:val="000768F2"/>
    <w:rsid w:val="00080717"/>
    <w:rsid w:val="0009184B"/>
    <w:rsid w:val="00091ACF"/>
    <w:rsid w:val="00094236"/>
    <w:rsid w:val="0009593C"/>
    <w:rsid w:val="00097322"/>
    <w:rsid w:val="000A0B3D"/>
    <w:rsid w:val="000A6A92"/>
    <w:rsid w:val="000B047F"/>
    <w:rsid w:val="000B3142"/>
    <w:rsid w:val="000B46E7"/>
    <w:rsid w:val="000B5923"/>
    <w:rsid w:val="000B5A48"/>
    <w:rsid w:val="000B6FF3"/>
    <w:rsid w:val="000C3467"/>
    <w:rsid w:val="000C3CA6"/>
    <w:rsid w:val="000D1267"/>
    <w:rsid w:val="000D1D50"/>
    <w:rsid w:val="000D3382"/>
    <w:rsid w:val="000D5782"/>
    <w:rsid w:val="000E424A"/>
    <w:rsid w:val="000E6613"/>
    <w:rsid w:val="000E7119"/>
    <w:rsid w:val="00112910"/>
    <w:rsid w:val="00114E9B"/>
    <w:rsid w:val="001152FE"/>
    <w:rsid w:val="00121A09"/>
    <w:rsid w:val="00142216"/>
    <w:rsid w:val="00144D6A"/>
    <w:rsid w:val="0014689A"/>
    <w:rsid w:val="0014729F"/>
    <w:rsid w:val="00157BAB"/>
    <w:rsid w:val="00162C05"/>
    <w:rsid w:val="001654D1"/>
    <w:rsid w:val="00172982"/>
    <w:rsid w:val="00174518"/>
    <w:rsid w:val="001765A5"/>
    <w:rsid w:val="0018106D"/>
    <w:rsid w:val="00181C41"/>
    <w:rsid w:val="001877A7"/>
    <w:rsid w:val="00191536"/>
    <w:rsid w:val="00196687"/>
    <w:rsid w:val="001C0962"/>
    <w:rsid w:val="001C5B17"/>
    <w:rsid w:val="001D4167"/>
    <w:rsid w:val="001D7531"/>
    <w:rsid w:val="001E737D"/>
    <w:rsid w:val="001F0592"/>
    <w:rsid w:val="001F7506"/>
    <w:rsid w:val="002006CD"/>
    <w:rsid w:val="00202B36"/>
    <w:rsid w:val="00204B7A"/>
    <w:rsid w:val="00204CDE"/>
    <w:rsid w:val="002055E2"/>
    <w:rsid w:val="0021101A"/>
    <w:rsid w:val="002169BD"/>
    <w:rsid w:val="00220536"/>
    <w:rsid w:val="00235629"/>
    <w:rsid w:val="00253747"/>
    <w:rsid w:val="00260C38"/>
    <w:rsid w:val="002616C0"/>
    <w:rsid w:val="00264023"/>
    <w:rsid w:val="00265372"/>
    <w:rsid w:val="002662AA"/>
    <w:rsid w:val="00266546"/>
    <w:rsid w:val="00280496"/>
    <w:rsid w:val="002929E9"/>
    <w:rsid w:val="00294DC9"/>
    <w:rsid w:val="00295495"/>
    <w:rsid w:val="002A31DE"/>
    <w:rsid w:val="002B2613"/>
    <w:rsid w:val="002D19B0"/>
    <w:rsid w:val="002D6D05"/>
    <w:rsid w:val="002F058F"/>
    <w:rsid w:val="002F1818"/>
    <w:rsid w:val="002F1AA2"/>
    <w:rsid w:val="002F567B"/>
    <w:rsid w:val="0031145A"/>
    <w:rsid w:val="003136B5"/>
    <w:rsid w:val="0031526E"/>
    <w:rsid w:val="003216A9"/>
    <w:rsid w:val="00335A74"/>
    <w:rsid w:val="003369C6"/>
    <w:rsid w:val="00342010"/>
    <w:rsid w:val="00355105"/>
    <w:rsid w:val="0036561B"/>
    <w:rsid w:val="0037013F"/>
    <w:rsid w:val="0037043F"/>
    <w:rsid w:val="00372A8F"/>
    <w:rsid w:val="00380C92"/>
    <w:rsid w:val="00394E02"/>
    <w:rsid w:val="003A484F"/>
    <w:rsid w:val="003A4883"/>
    <w:rsid w:val="003B0BE0"/>
    <w:rsid w:val="003B0C1B"/>
    <w:rsid w:val="003B2FA9"/>
    <w:rsid w:val="003B688C"/>
    <w:rsid w:val="003C0291"/>
    <w:rsid w:val="003C39AE"/>
    <w:rsid w:val="003C3BB8"/>
    <w:rsid w:val="003C7B60"/>
    <w:rsid w:val="003D09C5"/>
    <w:rsid w:val="003D0C0F"/>
    <w:rsid w:val="003D1FB2"/>
    <w:rsid w:val="003D66DA"/>
    <w:rsid w:val="003E1310"/>
    <w:rsid w:val="003E6F55"/>
    <w:rsid w:val="00406254"/>
    <w:rsid w:val="00416CD4"/>
    <w:rsid w:val="004223DE"/>
    <w:rsid w:val="00424FB0"/>
    <w:rsid w:val="00434489"/>
    <w:rsid w:val="004363C9"/>
    <w:rsid w:val="00437085"/>
    <w:rsid w:val="004402BD"/>
    <w:rsid w:val="00443880"/>
    <w:rsid w:val="004464F4"/>
    <w:rsid w:val="0045435C"/>
    <w:rsid w:val="00455768"/>
    <w:rsid w:val="00471401"/>
    <w:rsid w:val="00473F31"/>
    <w:rsid w:val="0048263A"/>
    <w:rsid w:val="00487E5D"/>
    <w:rsid w:val="00491900"/>
    <w:rsid w:val="00494314"/>
    <w:rsid w:val="004A290E"/>
    <w:rsid w:val="004A3428"/>
    <w:rsid w:val="004A711F"/>
    <w:rsid w:val="004B199D"/>
    <w:rsid w:val="004B4690"/>
    <w:rsid w:val="004B74EE"/>
    <w:rsid w:val="004D1A4F"/>
    <w:rsid w:val="004E0A2D"/>
    <w:rsid w:val="004E206B"/>
    <w:rsid w:val="004E6DF7"/>
    <w:rsid w:val="004F0FBD"/>
    <w:rsid w:val="004F403E"/>
    <w:rsid w:val="00505A47"/>
    <w:rsid w:val="00512FDA"/>
    <w:rsid w:val="00520DA0"/>
    <w:rsid w:val="0052384F"/>
    <w:rsid w:val="00533B2B"/>
    <w:rsid w:val="0054749A"/>
    <w:rsid w:val="005664BB"/>
    <w:rsid w:val="00566FFA"/>
    <w:rsid w:val="00571295"/>
    <w:rsid w:val="0057481D"/>
    <w:rsid w:val="00575012"/>
    <w:rsid w:val="00575F0B"/>
    <w:rsid w:val="0058486E"/>
    <w:rsid w:val="00585B33"/>
    <w:rsid w:val="0059014D"/>
    <w:rsid w:val="00592820"/>
    <w:rsid w:val="005A2883"/>
    <w:rsid w:val="005B5C64"/>
    <w:rsid w:val="005C6BD0"/>
    <w:rsid w:val="005C6C4C"/>
    <w:rsid w:val="005D1C8B"/>
    <w:rsid w:val="005D468D"/>
    <w:rsid w:val="005D5CED"/>
    <w:rsid w:val="005E7512"/>
    <w:rsid w:val="005F1A4C"/>
    <w:rsid w:val="00605688"/>
    <w:rsid w:val="006070AF"/>
    <w:rsid w:val="00607E6C"/>
    <w:rsid w:val="006101B1"/>
    <w:rsid w:val="00614E44"/>
    <w:rsid w:val="00617774"/>
    <w:rsid w:val="0062270A"/>
    <w:rsid w:val="00622830"/>
    <w:rsid w:val="00623DA0"/>
    <w:rsid w:val="00630AEF"/>
    <w:rsid w:val="006325F8"/>
    <w:rsid w:val="00633463"/>
    <w:rsid w:val="00634C9A"/>
    <w:rsid w:val="006440E4"/>
    <w:rsid w:val="00652A30"/>
    <w:rsid w:val="0066343B"/>
    <w:rsid w:val="00664777"/>
    <w:rsid w:val="00671FB2"/>
    <w:rsid w:val="00672D53"/>
    <w:rsid w:val="0067441D"/>
    <w:rsid w:val="006748A4"/>
    <w:rsid w:val="00676D45"/>
    <w:rsid w:val="00681A31"/>
    <w:rsid w:val="00683E73"/>
    <w:rsid w:val="006863F6"/>
    <w:rsid w:val="0069797F"/>
    <w:rsid w:val="006A3141"/>
    <w:rsid w:val="006A5E34"/>
    <w:rsid w:val="006B2422"/>
    <w:rsid w:val="006B2B9A"/>
    <w:rsid w:val="006C1937"/>
    <w:rsid w:val="006C74B1"/>
    <w:rsid w:val="006D6FD3"/>
    <w:rsid w:val="006F020C"/>
    <w:rsid w:val="006F3111"/>
    <w:rsid w:val="00710DE3"/>
    <w:rsid w:val="007127B7"/>
    <w:rsid w:val="00716D12"/>
    <w:rsid w:val="0071798E"/>
    <w:rsid w:val="00727533"/>
    <w:rsid w:val="0073256E"/>
    <w:rsid w:val="00737950"/>
    <w:rsid w:val="007416B6"/>
    <w:rsid w:val="00746F48"/>
    <w:rsid w:val="00752589"/>
    <w:rsid w:val="0075404D"/>
    <w:rsid w:val="00754FB9"/>
    <w:rsid w:val="00755263"/>
    <w:rsid w:val="00757CC7"/>
    <w:rsid w:val="0076182A"/>
    <w:rsid w:val="00767B7E"/>
    <w:rsid w:val="00771B26"/>
    <w:rsid w:val="007770C3"/>
    <w:rsid w:val="00784D24"/>
    <w:rsid w:val="00785FBA"/>
    <w:rsid w:val="00786E4A"/>
    <w:rsid w:val="007873D5"/>
    <w:rsid w:val="007875EB"/>
    <w:rsid w:val="0079426B"/>
    <w:rsid w:val="007A1862"/>
    <w:rsid w:val="007C3536"/>
    <w:rsid w:val="007D1682"/>
    <w:rsid w:val="007D312A"/>
    <w:rsid w:val="007D3F19"/>
    <w:rsid w:val="007E23B0"/>
    <w:rsid w:val="007F1991"/>
    <w:rsid w:val="007F2C2F"/>
    <w:rsid w:val="007F3E45"/>
    <w:rsid w:val="007F55FC"/>
    <w:rsid w:val="007F5665"/>
    <w:rsid w:val="00800112"/>
    <w:rsid w:val="00813348"/>
    <w:rsid w:val="008141D5"/>
    <w:rsid w:val="008253BB"/>
    <w:rsid w:val="00833962"/>
    <w:rsid w:val="0083706E"/>
    <w:rsid w:val="008408F6"/>
    <w:rsid w:val="00841325"/>
    <w:rsid w:val="008423A5"/>
    <w:rsid w:val="00844F46"/>
    <w:rsid w:val="00850625"/>
    <w:rsid w:val="00853718"/>
    <w:rsid w:val="00855221"/>
    <w:rsid w:val="00860645"/>
    <w:rsid w:val="00871F71"/>
    <w:rsid w:val="00872FD8"/>
    <w:rsid w:val="00876372"/>
    <w:rsid w:val="008811FA"/>
    <w:rsid w:val="00885AF4"/>
    <w:rsid w:val="008939CD"/>
    <w:rsid w:val="0089524B"/>
    <w:rsid w:val="00895D09"/>
    <w:rsid w:val="008A0CB5"/>
    <w:rsid w:val="008A6E7F"/>
    <w:rsid w:val="008B768C"/>
    <w:rsid w:val="008C4DB1"/>
    <w:rsid w:val="008C4EAF"/>
    <w:rsid w:val="008C5176"/>
    <w:rsid w:val="008C74DD"/>
    <w:rsid w:val="008C7FD0"/>
    <w:rsid w:val="008E1DE7"/>
    <w:rsid w:val="008E707C"/>
    <w:rsid w:val="008F12B0"/>
    <w:rsid w:val="008F2F01"/>
    <w:rsid w:val="008F6779"/>
    <w:rsid w:val="008F7E69"/>
    <w:rsid w:val="00900B08"/>
    <w:rsid w:val="00900C20"/>
    <w:rsid w:val="00902155"/>
    <w:rsid w:val="00902FA3"/>
    <w:rsid w:val="00917297"/>
    <w:rsid w:val="00923564"/>
    <w:rsid w:val="0092392E"/>
    <w:rsid w:val="00926FF5"/>
    <w:rsid w:val="009315F9"/>
    <w:rsid w:val="00933499"/>
    <w:rsid w:val="00935C98"/>
    <w:rsid w:val="00946945"/>
    <w:rsid w:val="00951248"/>
    <w:rsid w:val="0095152F"/>
    <w:rsid w:val="00953349"/>
    <w:rsid w:val="00954C49"/>
    <w:rsid w:val="00955E37"/>
    <w:rsid w:val="0097099F"/>
    <w:rsid w:val="00971997"/>
    <w:rsid w:val="00971FFC"/>
    <w:rsid w:val="00975162"/>
    <w:rsid w:val="009759E7"/>
    <w:rsid w:val="0098660A"/>
    <w:rsid w:val="00986F14"/>
    <w:rsid w:val="009931C3"/>
    <w:rsid w:val="009B2C43"/>
    <w:rsid w:val="009B4EAE"/>
    <w:rsid w:val="009B7164"/>
    <w:rsid w:val="009B7573"/>
    <w:rsid w:val="009C22F4"/>
    <w:rsid w:val="009C2E98"/>
    <w:rsid w:val="009C37FB"/>
    <w:rsid w:val="009D3447"/>
    <w:rsid w:val="009D4711"/>
    <w:rsid w:val="009E73D2"/>
    <w:rsid w:val="009F1185"/>
    <w:rsid w:val="009F18CD"/>
    <w:rsid w:val="009F2017"/>
    <w:rsid w:val="009F2A13"/>
    <w:rsid w:val="009F7527"/>
    <w:rsid w:val="00A039ED"/>
    <w:rsid w:val="00A04EB0"/>
    <w:rsid w:val="00A13CC1"/>
    <w:rsid w:val="00A16847"/>
    <w:rsid w:val="00A237D8"/>
    <w:rsid w:val="00A268C4"/>
    <w:rsid w:val="00A27C1D"/>
    <w:rsid w:val="00A307CD"/>
    <w:rsid w:val="00A331C8"/>
    <w:rsid w:val="00A35117"/>
    <w:rsid w:val="00A40A00"/>
    <w:rsid w:val="00A40B72"/>
    <w:rsid w:val="00A4142F"/>
    <w:rsid w:val="00A422EB"/>
    <w:rsid w:val="00A44FCB"/>
    <w:rsid w:val="00A45BB7"/>
    <w:rsid w:val="00A56DF2"/>
    <w:rsid w:val="00A56E6E"/>
    <w:rsid w:val="00A67AB5"/>
    <w:rsid w:val="00A733B2"/>
    <w:rsid w:val="00A741C2"/>
    <w:rsid w:val="00A83A88"/>
    <w:rsid w:val="00A842F5"/>
    <w:rsid w:val="00A856B1"/>
    <w:rsid w:val="00A91760"/>
    <w:rsid w:val="00A92545"/>
    <w:rsid w:val="00A93B00"/>
    <w:rsid w:val="00A93C21"/>
    <w:rsid w:val="00AA120A"/>
    <w:rsid w:val="00AA769A"/>
    <w:rsid w:val="00AB5992"/>
    <w:rsid w:val="00AB64C9"/>
    <w:rsid w:val="00AB7591"/>
    <w:rsid w:val="00AC3C6A"/>
    <w:rsid w:val="00AD0F83"/>
    <w:rsid w:val="00AD5620"/>
    <w:rsid w:val="00AD656B"/>
    <w:rsid w:val="00AD7C1B"/>
    <w:rsid w:val="00AE16BA"/>
    <w:rsid w:val="00AE1EBE"/>
    <w:rsid w:val="00B03974"/>
    <w:rsid w:val="00B03C9D"/>
    <w:rsid w:val="00B060AE"/>
    <w:rsid w:val="00B10517"/>
    <w:rsid w:val="00B14E76"/>
    <w:rsid w:val="00B161B8"/>
    <w:rsid w:val="00B2048C"/>
    <w:rsid w:val="00B22067"/>
    <w:rsid w:val="00B301D6"/>
    <w:rsid w:val="00B310B9"/>
    <w:rsid w:val="00B34EFF"/>
    <w:rsid w:val="00B35F3F"/>
    <w:rsid w:val="00B36CBB"/>
    <w:rsid w:val="00B425E0"/>
    <w:rsid w:val="00B440AA"/>
    <w:rsid w:val="00B44B70"/>
    <w:rsid w:val="00B53C56"/>
    <w:rsid w:val="00B57DAF"/>
    <w:rsid w:val="00B75672"/>
    <w:rsid w:val="00B75B03"/>
    <w:rsid w:val="00B77EA6"/>
    <w:rsid w:val="00B81598"/>
    <w:rsid w:val="00B841F1"/>
    <w:rsid w:val="00B944D6"/>
    <w:rsid w:val="00BA20CF"/>
    <w:rsid w:val="00BB4DF0"/>
    <w:rsid w:val="00BC289F"/>
    <w:rsid w:val="00BC2D50"/>
    <w:rsid w:val="00BC3412"/>
    <w:rsid w:val="00BC5361"/>
    <w:rsid w:val="00BC5460"/>
    <w:rsid w:val="00BC6593"/>
    <w:rsid w:val="00BC6A8C"/>
    <w:rsid w:val="00BC6B50"/>
    <w:rsid w:val="00BD0E25"/>
    <w:rsid w:val="00BD6477"/>
    <w:rsid w:val="00BD7165"/>
    <w:rsid w:val="00BF5BD6"/>
    <w:rsid w:val="00BF5F0E"/>
    <w:rsid w:val="00C03E31"/>
    <w:rsid w:val="00C16B74"/>
    <w:rsid w:val="00C228D5"/>
    <w:rsid w:val="00C30E69"/>
    <w:rsid w:val="00C32F48"/>
    <w:rsid w:val="00C32FCE"/>
    <w:rsid w:val="00C33E72"/>
    <w:rsid w:val="00C354B2"/>
    <w:rsid w:val="00C35554"/>
    <w:rsid w:val="00C42522"/>
    <w:rsid w:val="00C42709"/>
    <w:rsid w:val="00C43828"/>
    <w:rsid w:val="00C4574B"/>
    <w:rsid w:val="00C533CC"/>
    <w:rsid w:val="00C5751C"/>
    <w:rsid w:val="00C61BFC"/>
    <w:rsid w:val="00C62B85"/>
    <w:rsid w:val="00C65438"/>
    <w:rsid w:val="00C7309D"/>
    <w:rsid w:val="00C7561C"/>
    <w:rsid w:val="00C91CBB"/>
    <w:rsid w:val="00CB4E70"/>
    <w:rsid w:val="00CC09B6"/>
    <w:rsid w:val="00CC3DC6"/>
    <w:rsid w:val="00CC4EA7"/>
    <w:rsid w:val="00CC666F"/>
    <w:rsid w:val="00CD1E3F"/>
    <w:rsid w:val="00CE27DD"/>
    <w:rsid w:val="00CE44F6"/>
    <w:rsid w:val="00CE49DA"/>
    <w:rsid w:val="00CE7B61"/>
    <w:rsid w:val="00D00095"/>
    <w:rsid w:val="00D02B41"/>
    <w:rsid w:val="00D058FF"/>
    <w:rsid w:val="00D114F0"/>
    <w:rsid w:val="00D15C4F"/>
    <w:rsid w:val="00D20620"/>
    <w:rsid w:val="00D254F7"/>
    <w:rsid w:val="00D26091"/>
    <w:rsid w:val="00D2685C"/>
    <w:rsid w:val="00D34E7C"/>
    <w:rsid w:val="00D35489"/>
    <w:rsid w:val="00D36AFE"/>
    <w:rsid w:val="00D51276"/>
    <w:rsid w:val="00D51EA0"/>
    <w:rsid w:val="00D54527"/>
    <w:rsid w:val="00D618CF"/>
    <w:rsid w:val="00D64A20"/>
    <w:rsid w:val="00D7035F"/>
    <w:rsid w:val="00D84320"/>
    <w:rsid w:val="00D9593D"/>
    <w:rsid w:val="00DA634F"/>
    <w:rsid w:val="00DA65AC"/>
    <w:rsid w:val="00DB1913"/>
    <w:rsid w:val="00DC410D"/>
    <w:rsid w:val="00DC5A81"/>
    <w:rsid w:val="00DC68CA"/>
    <w:rsid w:val="00DC7CBA"/>
    <w:rsid w:val="00DD0996"/>
    <w:rsid w:val="00DD0F87"/>
    <w:rsid w:val="00DD73B7"/>
    <w:rsid w:val="00DD79E1"/>
    <w:rsid w:val="00DE4590"/>
    <w:rsid w:val="00DF14AE"/>
    <w:rsid w:val="00DF28BC"/>
    <w:rsid w:val="00DF34B9"/>
    <w:rsid w:val="00E01053"/>
    <w:rsid w:val="00E06F91"/>
    <w:rsid w:val="00E07ACF"/>
    <w:rsid w:val="00E15B5D"/>
    <w:rsid w:val="00E164D7"/>
    <w:rsid w:val="00E26957"/>
    <w:rsid w:val="00E331A1"/>
    <w:rsid w:val="00E33202"/>
    <w:rsid w:val="00E336A9"/>
    <w:rsid w:val="00E472B1"/>
    <w:rsid w:val="00E50624"/>
    <w:rsid w:val="00E568DF"/>
    <w:rsid w:val="00E57815"/>
    <w:rsid w:val="00E60168"/>
    <w:rsid w:val="00E60C1C"/>
    <w:rsid w:val="00E64269"/>
    <w:rsid w:val="00E66797"/>
    <w:rsid w:val="00E82267"/>
    <w:rsid w:val="00E8357E"/>
    <w:rsid w:val="00E853CE"/>
    <w:rsid w:val="00E8637E"/>
    <w:rsid w:val="00E867B6"/>
    <w:rsid w:val="00E87F08"/>
    <w:rsid w:val="00E9706A"/>
    <w:rsid w:val="00EA010F"/>
    <w:rsid w:val="00EA1935"/>
    <w:rsid w:val="00EB0B59"/>
    <w:rsid w:val="00EC2CC5"/>
    <w:rsid w:val="00ED1B63"/>
    <w:rsid w:val="00ED3C1F"/>
    <w:rsid w:val="00ED4085"/>
    <w:rsid w:val="00ED420E"/>
    <w:rsid w:val="00ED6FBE"/>
    <w:rsid w:val="00EE2F57"/>
    <w:rsid w:val="00EE3374"/>
    <w:rsid w:val="00EF1FFF"/>
    <w:rsid w:val="00EF4C34"/>
    <w:rsid w:val="00EF7244"/>
    <w:rsid w:val="00EF7464"/>
    <w:rsid w:val="00EF77C6"/>
    <w:rsid w:val="00F05438"/>
    <w:rsid w:val="00F072B0"/>
    <w:rsid w:val="00F1361C"/>
    <w:rsid w:val="00F156F0"/>
    <w:rsid w:val="00F158BB"/>
    <w:rsid w:val="00F160C7"/>
    <w:rsid w:val="00F2408F"/>
    <w:rsid w:val="00F240E9"/>
    <w:rsid w:val="00F30370"/>
    <w:rsid w:val="00F36D8F"/>
    <w:rsid w:val="00F417B1"/>
    <w:rsid w:val="00F45853"/>
    <w:rsid w:val="00F46E34"/>
    <w:rsid w:val="00F602DF"/>
    <w:rsid w:val="00F754A1"/>
    <w:rsid w:val="00F80589"/>
    <w:rsid w:val="00F81EA8"/>
    <w:rsid w:val="00F81FD9"/>
    <w:rsid w:val="00F841AA"/>
    <w:rsid w:val="00F84A94"/>
    <w:rsid w:val="00F87E96"/>
    <w:rsid w:val="00FA23E8"/>
    <w:rsid w:val="00FA4A64"/>
    <w:rsid w:val="00FC5C25"/>
    <w:rsid w:val="00FC5D83"/>
    <w:rsid w:val="00FD3CC1"/>
    <w:rsid w:val="00FF1240"/>
    <w:rsid w:val="00FF1E02"/>
    <w:rsid w:val="00FF30B4"/>
    <w:rsid w:val="10C055FF"/>
    <w:rsid w:val="16BB723D"/>
    <w:rsid w:val="240371BF"/>
    <w:rsid w:val="29FD04D3"/>
    <w:rsid w:val="319F7F4E"/>
    <w:rsid w:val="4ECE2238"/>
    <w:rsid w:val="72163897"/>
    <w:rsid w:val="72734D90"/>
    <w:rsid w:val="E5CDD49B"/>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6"/>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7"/>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0"/>
    <w:unhideWhenUsed/>
    <w:qFormat/>
    <w:uiPriority w:val="9"/>
    <w:pPr>
      <w:keepNext/>
      <w:keepLines/>
      <w:spacing w:before="260" w:after="260" w:line="416" w:lineRule="auto"/>
      <w:outlineLvl w:val="2"/>
    </w:pPr>
    <w:rPr>
      <w:b/>
      <w:bCs/>
      <w:sz w:val="32"/>
      <w:szCs w:val="32"/>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23"/>
    <w:qFormat/>
    <w:uiPriority w:val="99"/>
    <w:pPr>
      <w:spacing w:beforeLines="30"/>
    </w:pPr>
    <w:rPr>
      <w:rFonts w:ascii="仿宋_GB2312" w:eastAsia="仿宋_GB2312"/>
      <w:kern w:val="0"/>
      <w:sz w:val="30"/>
    </w:rPr>
  </w:style>
  <w:style w:type="paragraph" w:styleId="6">
    <w:name w:val="toc 3"/>
    <w:basedOn w:val="1"/>
    <w:next w:val="1"/>
    <w:unhideWhenUsed/>
    <w:qFormat/>
    <w:uiPriority w:val="39"/>
    <w:pPr>
      <w:tabs>
        <w:tab w:val="right" w:leader="dot" w:pos="8296"/>
      </w:tabs>
      <w:ind w:left="840" w:leftChars="400"/>
    </w:pPr>
  </w:style>
  <w:style w:type="paragraph" w:styleId="7">
    <w:name w:val="Date"/>
    <w:basedOn w:val="1"/>
    <w:next w:val="1"/>
    <w:link w:val="47"/>
    <w:semiHidden/>
    <w:unhideWhenUsed/>
    <w:qFormat/>
    <w:uiPriority w:val="99"/>
    <w:pPr>
      <w:ind w:left="100" w:leftChars="2500"/>
    </w:pPr>
    <w:rPr>
      <w:rFonts w:ascii="Calibri" w:hAnsi="Calibri"/>
      <w:szCs w:val="22"/>
    </w:rPr>
  </w:style>
  <w:style w:type="paragraph" w:styleId="8">
    <w:name w:val="Balloon Text"/>
    <w:basedOn w:val="1"/>
    <w:link w:val="29"/>
    <w:semiHidden/>
    <w:unhideWhenUsed/>
    <w:qFormat/>
    <w:uiPriority w:val="99"/>
    <w:rPr>
      <w:sz w:val="18"/>
      <w:szCs w:val="18"/>
    </w:rPr>
  </w:style>
  <w:style w:type="paragraph" w:styleId="9">
    <w:name w:val="footer"/>
    <w:basedOn w:val="1"/>
    <w:link w:val="21"/>
    <w:qFormat/>
    <w:uiPriority w:val="99"/>
    <w:pPr>
      <w:tabs>
        <w:tab w:val="center" w:pos="4153"/>
        <w:tab w:val="right" w:pos="8306"/>
      </w:tabs>
      <w:snapToGrid w:val="0"/>
      <w:jc w:val="left"/>
    </w:pPr>
    <w:rPr>
      <w:rFonts w:ascii="Calibri" w:hAnsi="Calibri"/>
      <w:kern w:val="0"/>
      <w:sz w:val="18"/>
      <w:szCs w:val="18"/>
    </w:rPr>
  </w:style>
  <w:style w:type="paragraph" w:styleId="10">
    <w:name w:val="header"/>
    <w:basedOn w:val="1"/>
    <w:link w:val="19"/>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1">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2">
    <w:name w:val="toc 2"/>
    <w:basedOn w:val="1"/>
    <w:next w:val="1"/>
    <w:unhideWhenUsed/>
    <w:qFormat/>
    <w:uiPriority w:val="39"/>
    <w:pPr>
      <w:tabs>
        <w:tab w:val="right" w:leader="dot" w:pos="8296"/>
      </w:tabs>
      <w:ind w:left="420" w:leftChars="200"/>
    </w:pPr>
  </w:style>
  <w:style w:type="paragraph" w:styleId="13">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character" w:styleId="16">
    <w:name w:val="Strong"/>
    <w:basedOn w:val="15"/>
    <w:qFormat/>
    <w:uiPriority w:val="99"/>
    <w:rPr>
      <w:b/>
    </w:rPr>
  </w:style>
  <w:style w:type="character" w:styleId="17">
    <w:name w:val="Hyperlink"/>
    <w:basedOn w:val="15"/>
    <w:unhideWhenUsed/>
    <w:qFormat/>
    <w:uiPriority w:val="99"/>
    <w:rPr>
      <w:color w:val="0000FF" w:themeColor="hyperlink"/>
      <w:u w:val="single"/>
    </w:rPr>
  </w:style>
  <w:style w:type="character" w:customStyle="1" w:styleId="18">
    <w:name w:val="Header Char"/>
    <w:basedOn w:val="15"/>
    <w:semiHidden/>
    <w:qFormat/>
    <w:uiPriority w:val="99"/>
    <w:rPr>
      <w:rFonts w:ascii="Times New Roman" w:hAnsi="Times New Roman"/>
      <w:sz w:val="18"/>
      <w:szCs w:val="18"/>
    </w:rPr>
  </w:style>
  <w:style w:type="character" w:customStyle="1" w:styleId="19">
    <w:name w:val="页眉 Char"/>
    <w:link w:val="10"/>
    <w:qFormat/>
    <w:locked/>
    <w:uiPriority w:val="99"/>
    <w:rPr>
      <w:sz w:val="18"/>
    </w:rPr>
  </w:style>
  <w:style w:type="character" w:customStyle="1" w:styleId="20">
    <w:name w:val="Footer Char"/>
    <w:basedOn w:val="15"/>
    <w:semiHidden/>
    <w:qFormat/>
    <w:uiPriority w:val="99"/>
    <w:rPr>
      <w:rFonts w:ascii="Times New Roman" w:hAnsi="Times New Roman"/>
      <w:sz w:val="18"/>
      <w:szCs w:val="18"/>
    </w:rPr>
  </w:style>
  <w:style w:type="character" w:customStyle="1" w:styleId="21">
    <w:name w:val="页脚 Char"/>
    <w:link w:val="9"/>
    <w:qFormat/>
    <w:locked/>
    <w:uiPriority w:val="99"/>
    <w:rPr>
      <w:sz w:val="18"/>
    </w:rPr>
  </w:style>
  <w:style w:type="character" w:customStyle="1" w:styleId="22">
    <w:name w:val="Body Text Char"/>
    <w:basedOn w:val="15"/>
    <w:semiHidden/>
    <w:qFormat/>
    <w:uiPriority w:val="99"/>
    <w:rPr>
      <w:rFonts w:ascii="Times New Roman" w:hAnsi="Times New Roman"/>
      <w:szCs w:val="24"/>
    </w:rPr>
  </w:style>
  <w:style w:type="character" w:customStyle="1" w:styleId="23">
    <w:name w:val="正文文本 Char"/>
    <w:link w:val="5"/>
    <w:qFormat/>
    <w:locked/>
    <w:uiPriority w:val="99"/>
    <w:rPr>
      <w:rFonts w:ascii="仿宋_GB2312" w:hAnsi="Times New Roman" w:eastAsia="仿宋_GB2312"/>
      <w:sz w:val="24"/>
    </w:rPr>
  </w:style>
  <w:style w:type="paragraph" w:customStyle="1" w:styleId="24">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5">
    <w:name w:val="List Paragraph"/>
    <w:basedOn w:val="1"/>
    <w:qFormat/>
    <w:uiPriority w:val="34"/>
    <w:pPr>
      <w:ind w:firstLine="420" w:firstLineChars="200"/>
    </w:pPr>
  </w:style>
  <w:style w:type="character" w:customStyle="1" w:styleId="26">
    <w:name w:val="标题 1 Char"/>
    <w:basedOn w:val="15"/>
    <w:link w:val="2"/>
    <w:qFormat/>
    <w:uiPriority w:val="9"/>
    <w:rPr>
      <w:rFonts w:ascii="Times New Roman" w:hAnsi="Times New Roman"/>
      <w:b/>
      <w:bCs/>
      <w:kern w:val="44"/>
      <w:sz w:val="44"/>
      <w:szCs w:val="44"/>
    </w:rPr>
  </w:style>
  <w:style w:type="character" w:customStyle="1" w:styleId="27">
    <w:name w:val="标题 2 Char"/>
    <w:basedOn w:val="15"/>
    <w:link w:val="3"/>
    <w:qFormat/>
    <w:uiPriority w:val="9"/>
    <w:rPr>
      <w:rFonts w:asciiTheme="majorHAnsi" w:hAnsiTheme="majorHAnsi" w:eastAsiaTheme="majorEastAsia" w:cstheme="majorBidi"/>
      <w:b/>
      <w:bCs/>
      <w:kern w:val="2"/>
      <w:sz w:val="32"/>
      <w:szCs w:val="32"/>
    </w:rPr>
  </w:style>
  <w:style w:type="paragraph" w:customStyle="1" w:styleId="28">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29">
    <w:name w:val="批注框文本 Char"/>
    <w:basedOn w:val="15"/>
    <w:link w:val="8"/>
    <w:semiHidden/>
    <w:qFormat/>
    <w:uiPriority w:val="99"/>
    <w:rPr>
      <w:rFonts w:ascii="Times New Roman" w:hAnsi="Times New Roman"/>
      <w:kern w:val="2"/>
      <w:sz w:val="18"/>
      <w:szCs w:val="18"/>
    </w:rPr>
  </w:style>
  <w:style w:type="character" w:customStyle="1" w:styleId="30">
    <w:name w:val="标题 3 Char"/>
    <w:basedOn w:val="15"/>
    <w:link w:val="4"/>
    <w:qFormat/>
    <w:uiPriority w:val="9"/>
    <w:rPr>
      <w:rFonts w:ascii="Times New Roman" w:hAnsi="Times New Roman"/>
      <w:b/>
      <w:bCs/>
      <w:kern w:val="2"/>
      <w:sz w:val="32"/>
      <w:szCs w:val="32"/>
    </w:rPr>
  </w:style>
  <w:style w:type="paragraph" w:customStyle="1" w:styleId="31">
    <w:name w:val="TOC Heading"/>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32">
    <w:name w:val="Footer Char1"/>
    <w:basedOn w:val="15"/>
    <w:semiHidden/>
    <w:qFormat/>
    <w:locked/>
    <w:uiPriority w:val="0"/>
    <w:rPr>
      <w:rFonts w:cs="Times New Roman"/>
      <w:kern w:val="2"/>
      <w:sz w:val="18"/>
      <w:szCs w:val="18"/>
    </w:rPr>
  </w:style>
  <w:style w:type="paragraph" w:customStyle="1" w:styleId="33">
    <w:name w:val="Char"/>
    <w:basedOn w:val="1"/>
    <w:next w:val="1"/>
    <w:autoRedefine/>
    <w:qFormat/>
    <w:uiPriority w:val="0"/>
    <w:pPr>
      <w:spacing w:line="240" w:lineRule="atLeast"/>
      <w:ind w:left="420" w:firstLine="420"/>
      <w:jc w:val="left"/>
    </w:pPr>
    <w:rPr>
      <w:kern w:val="0"/>
      <w:szCs w:val="21"/>
    </w:rPr>
  </w:style>
  <w:style w:type="character" w:customStyle="1" w:styleId="34">
    <w:name w:val="15"/>
    <w:basedOn w:val="15"/>
    <w:qFormat/>
    <w:uiPriority w:val="0"/>
    <w:rPr>
      <w:rFonts w:hint="eastAsia" w:ascii="仿宋_GB2312" w:eastAsia="仿宋_GB2312" w:cs="Times New Roman"/>
      <w:color w:val="000000"/>
      <w:sz w:val="32"/>
      <w:szCs w:val="32"/>
    </w:rPr>
  </w:style>
  <w:style w:type="paragraph" w:customStyle="1" w:styleId="35">
    <w:name w:val="列出段落1"/>
    <w:basedOn w:val="1"/>
    <w:qFormat/>
    <w:uiPriority w:val="0"/>
    <w:pPr>
      <w:ind w:firstLine="420" w:firstLineChars="200"/>
    </w:pPr>
    <w:rPr>
      <w:rFonts w:ascii="Calibri" w:hAnsi="Calibri"/>
      <w:szCs w:val="22"/>
    </w:rPr>
  </w:style>
  <w:style w:type="character" w:customStyle="1" w:styleId="36">
    <w:name w:val="17"/>
    <w:basedOn w:val="15"/>
    <w:qFormat/>
    <w:uiPriority w:val="0"/>
    <w:rPr>
      <w:rFonts w:hint="eastAsia" w:ascii="仿宋_GB2312" w:eastAsia="仿宋_GB2312"/>
      <w:color w:val="000000"/>
      <w:sz w:val="32"/>
      <w:szCs w:val="32"/>
    </w:rPr>
  </w:style>
  <w:style w:type="character" w:customStyle="1" w:styleId="37">
    <w:name w:val="16"/>
    <w:basedOn w:val="15"/>
    <w:qFormat/>
    <w:uiPriority w:val="0"/>
    <w:rPr>
      <w:rFonts w:hint="eastAsia" w:ascii="仿宋_GB2312" w:eastAsia="仿宋_GB2312"/>
      <w:color w:val="000000"/>
      <w:sz w:val="32"/>
      <w:szCs w:val="32"/>
    </w:rPr>
  </w:style>
  <w:style w:type="character" w:customStyle="1" w:styleId="38">
    <w:name w:val="fontstyle01"/>
    <w:qFormat/>
    <w:uiPriority w:val="0"/>
    <w:rPr>
      <w:rFonts w:hint="eastAsia" w:ascii="方正小标宋_GBK" w:eastAsia="方正小标宋_GBK"/>
      <w:color w:val="000000"/>
      <w:sz w:val="44"/>
      <w:szCs w:val="44"/>
    </w:rPr>
  </w:style>
  <w:style w:type="character" w:customStyle="1" w:styleId="39">
    <w:name w:val="fontstyle11"/>
    <w:qFormat/>
    <w:uiPriority w:val="0"/>
    <w:rPr>
      <w:rFonts w:hint="default" w:ascii="TimesNewRoman" w:hAnsi="TimesNewRoman"/>
      <w:color w:val="000000"/>
      <w:sz w:val="44"/>
      <w:szCs w:val="44"/>
    </w:rPr>
  </w:style>
  <w:style w:type="character" w:customStyle="1" w:styleId="40">
    <w:name w:val="fontstyle31"/>
    <w:qFormat/>
    <w:uiPriority w:val="0"/>
    <w:rPr>
      <w:rFonts w:hint="eastAsia" w:ascii="黑体" w:hAnsi="黑体" w:eastAsia="黑体"/>
      <w:color w:val="000000"/>
      <w:sz w:val="32"/>
      <w:szCs w:val="32"/>
    </w:rPr>
  </w:style>
  <w:style w:type="character" w:customStyle="1" w:styleId="41">
    <w:name w:val="fontstyle41"/>
    <w:qFormat/>
    <w:uiPriority w:val="0"/>
    <w:rPr>
      <w:rFonts w:hint="eastAsia" w:ascii="仿宋_GB2312" w:eastAsia="仿宋_GB2312"/>
      <w:color w:val="000000"/>
      <w:sz w:val="32"/>
      <w:szCs w:val="32"/>
    </w:rPr>
  </w:style>
  <w:style w:type="character" w:customStyle="1" w:styleId="42">
    <w:name w:val="fontstyle51"/>
    <w:qFormat/>
    <w:uiPriority w:val="0"/>
    <w:rPr>
      <w:rFonts w:hint="eastAsia" w:ascii="宋体" w:hAnsi="宋体" w:eastAsia="宋体"/>
      <w:color w:val="000000"/>
      <w:sz w:val="28"/>
      <w:szCs w:val="28"/>
    </w:rPr>
  </w:style>
  <w:style w:type="character" w:customStyle="1" w:styleId="43">
    <w:name w:val="fontstyle61"/>
    <w:qFormat/>
    <w:uiPriority w:val="0"/>
    <w:rPr>
      <w:rFonts w:hint="eastAsia" w:ascii="楷体_GB2312" w:eastAsia="楷体_GB2312"/>
      <w:color w:val="000000"/>
      <w:sz w:val="32"/>
      <w:szCs w:val="32"/>
    </w:rPr>
  </w:style>
  <w:style w:type="character" w:customStyle="1" w:styleId="44">
    <w:name w:val="fontstyle71"/>
    <w:qFormat/>
    <w:uiPriority w:val="0"/>
    <w:rPr>
      <w:rFonts w:hint="default" w:ascii="TimesNewRoman" w:hAnsi="TimesNewRoman"/>
      <w:b/>
      <w:bCs/>
      <w:color w:val="000000"/>
      <w:sz w:val="32"/>
      <w:szCs w:val="32"/>
    </w:rPr>
  </w:style>
  <w:style w:type="character" w:customStyle="1" w:styleId="45">
    <w:name w:val="fontstyle81"/>
    <w:qFormat/>
    <w:uiPriority w:val="0"/>
    <w:rPr>
      <w:rFonts w:hint="eastAsia" w:ascii="新宋体" w:hAnsi="新宋体" w:eastAsia="新宋体"/>
      <w:color w:val="000000"/>
      <w:sz w:val="32"/>
      <w:szCs w:val="32"/>
    </w:rPr>
  </w:style>
  <w:style w:type="paragraph" w:customStyle="1" w:styleId="46">
    <w:name w:val="列出段落2"/>
    <w:basedOn w:val="1"/>
    <w:qFormat/>
    <w:uiPriority w:val="0"/>
    <w:pPr>
      <w:ind w:firstLine="420" w:firstLineChars="200"/>
    </w:pPr>
    <w:rPr>
      <w:rFonts w:ascii="Calibri" w:hAnsi="Calibri"/>
      <w:szCs w:val="22"/>
    </w:rPr>
  </w:style>
  <w:style w:type="character" w:customStyle="1" w:styleId="47">
    <w:name w:val="日期 Char"/>
    <w:basedOn w:val="15"/>
    <w:link w:val="7"/>
    <w:semiHidden/>
    <w:qFormat/>
    <w:uiPriority w:val="99"/>
    <w:rPr>
      <w:kern w:val="2"/>
      <w:sz w:val="21"/>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header" Target="header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1.xml"/><Relationship Id="rId16" Type="http://schemas.openxmlformats.org/officeDocument/2006/relationships/numbering" Target="numbering.xml"/><Relationship Id="rId15" Type="http://schemas.openxmlformats.org/officeDocument/2006/relationships/image" Target="media/image7.png"/><Relationship Id="rId14" Type="http://schemas.openxmlformats.org/officeDocument/2006/relationships/image" Target="media/image6.png"/><Relationship Id="rId13" Type="http://schemas.openxmlformats.org/officeDocument/2006/relationships/image" Target="media/image5.png"/><Relationship Id="rId12" Type="http://schemas.openxmlformats.org/officeDocument/2006/relationships/image" Target="media/image4.png"/><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tyleName="APA" SelectedStyle="\APA.XSL"/>
</file>

<file path=customXml/itemProps1.xml><?xml version="1.0" encoding="utf-8"?>
<ds:datastoreItem xmlns:ds="http://schemas.openxmlformats.org/officeDocument/2006/customXml" ds:itemID="{7196D7AB-D713-4A6E-93E1-5F028E6D8207}">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60</Pages>
  <Words>296</Words>
  <Characters>505</Characters>
  <Lines>229</Lines>
  <Paragraphs>64</Paragraphs>
  <TotalTime>2359</TotalTime>
  <ScaleCrop>false</ScaleCrop>
  <LinksUpToDate>false</LinksUpToDate>
  <CharactersWithSpaces>508</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2020-08-04T09:49:00Z</dcterms:created>
  <dc:creator>曹颖</dc:creator>
  <cp:lastModifiedBy> 回甘</cp:lastModifiedBy>
  <cp:lastPrinted>2020-09-01T17:44:00Z</cp:lastPrinted>
  <dcterms:modified xsi:type="dcterms:W3CDTF">2026-08-20T16:05:01Z</dcterms:modified>
  <dc:title>四川省***</dc:title>
  <cp:revision>157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KSOTemplateDocerSaveRecord">
    <vt:lpwstr>eyJoZGlkIjoiNjk0NjExOTgxYmI3MGZmM2NhYjYzNGIyYTljMjY1NjgiLCJ1c2VySWQiOiI2ODIyNDc3In0=</vt:lpwstr>
  </property>
  <property fmtid="{D5CDD505-2E9C-101B-9397-08002B2CF9AE}" pid="4" name="ICV">
    <vt:lpwstr>8E07CBC86A57405A8C552B9AD2376D6D_12</vt:lpwstr>
  </property>
</Properties>
</file>