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871DCF">
      <w:pPr>
        <w:pStyle w:val="8"/>
        <w:jc w:val="center"/>
        <w:rPr>
          <w:rFonts w:ascii="方正小标宋简体" w:hAnsi="宋体" w:eastAsia="方正小标宋简体"/>
          <w:sz w:val="44"/>
          <w:szCs w:val="44"/>
        </w:rPr>
      </w:pPr>
    </w:p>
    <w:p w14:paraId="0B47BF56">
      <w:pPr>
        <w:pStyle w:val="8"/>
        <w:jc w:val="center"/>
        <w:rPr>
          <w:rFonts w:ascii="方正小标宋简体" w:hAnsi="宋体" w:eastAsia="方正小标宋简体"/>
          <w:sz w:val="44"/>
          <w:szCs w:val="44"/>
        </w:rPr>
      </w:pPr>
    </w:p>
    <w:p w14:paraId="44029E25">
      <w:pPr>
        <w:pStyle w:val="8"/>
        <w:jc w:val="center"/>
        <w:rPr>
          <w:rFonts w:ascii="方正小标宋简体" w:hAnsi="宋体" w:eastAsia="方正小标宋简体"/>
          <w:sz w:val="44"/>
          <w:szCs w:val="44"/>
        </w:rPr>
      </w:pPr>
      <w:r>
        <w:rPr>
          <w:rFonts w:hint="eastAsia" w:ascii="方正小标宋简体" w:hAnsi="宋体" w:eastAsia="方正小标宋简体"/>
          <w:sz w:val="44"/>
          <w:szCs w:val="44"/>
        </w:rPr>
        <w:t>2023年度</w:t>
      </w:r>
      <w:bookmarkStart w:id="0" w:name="_Toc15377426"/>
      <w:bookmarkStart w:id="1" w:name="_Toc15396476"/>
      <w:bookmarkStart w:id="2" w:name="_Toc15377194"/>
      <w:bookmarkStart w:id="3" w:name="_Toc15378442"/>
      <w:bookmarkStart w:id="4" w:name="_Toc15396598"/>
      <w:r>
        <w:rPr>
          <w:rFonts w:hint="eastAsia" w:ascii="方正小标宋简体" w:hAnsi="宋体" w:eastAsia="方正小标宋简体"/>
          <w:sz w:val="44"/>
          <w:szCs w:val="44"/>
        </w:rPr>
        <w:t>米易县</w:t>
      </w:r>
      <w:bookmarkStart w:id="5" w:name="_Toc15306268"/>
      <w:r>
        <w:rPr>
          <w:rFonts w:hint="eastAsia" w:ascii="方正小标宋简体" w:hAnsi="宋体" w:eastAsia="方正小标宋简体"/>
          <w:sz w:val="44"/>
          <w:szCs w:val="44"/>
        </w:rPr>
        <w:t>科学技术协会部门决算</w:t>
      </w:r>
      <w:bookmarkEnd w:id="0"/>
      <w:bookmarkEnd w:id="1"/>
      <w:bookmarkEnd w:id="2"/>
      <w:bookmarkEnd w:id="3"/>
      <w:bookmarkEnd w:id="4"/>
      <w:bookmarkEnd w:id="5"/>
    </w:p>
    <w:p w14:paraId="5DB4FCE1">
      <w:pPr>
        <w:widowControl/>
        <w:jc w:val="center"/>
        <w:rPr>
          <w:rFonts w:ascii="黑体" w:hAnsi="黑体" w:eastAsia="黑体"/>
          <w:sz w:val="48"/>
          <w:szCs w:val="48"/>
        </w:rPr>
      </w:pPr>
      <w:r>
        <w:rPr>
          <w:rFonts w:hint="eastAsia" w:ascii="方正小标宋简体" w:hAnsi="宋体" w:eastAsia="方正小标宋简体"/>
          <w:sz w:val="36"/>
          <w:szCs w:val="36"/>
        </w:rPr>
        <w:t xml:space="preserve"> </w:t>
      </w:r>
      <w:r>
        <w:rPr>
          <w:rFonts w:ascii="方正小标宋简体" w:hAnsi="宋体" w:eastAsia="方正小标宋简体"/>
          <w:sz w:val="36"/>
          <w:szCs w:val="36"/>
        </w:rPr>
        <w:br w:type="page"/>
      </w:r>
      <w:r>
        <w:rPr>
          <w:rFonts w:hint="eastAsia" w:ascii="黑体" w:hAnsi="黑体" w:eastAsia="黑体"/>
          <w:sz w:val="48"/>
          <w:szCs w:val="48"/>
        </w:rPr>
        <w:t>目录</w:t>
      </w:r>
    </w:p>
    <w:p w14:paraId="7BF5DFB8">
      <w:pPr>
        <w:widowControl/>
        <w:jc w:val="center"/>
        <w:rPr>
          <w:rFonts w:ascii="黑体" w:hAnsi="黑体" w:eastAsia="黑体"/>
          <w:sz w:val="28"/>
          <w:szCs w:val="28"/>
        </w:rPr>
      </w:pPr>
    </w:p>
    <w:p w14:paraId="7D2D423E">
      <w:pPr>
        <w:pStyle w:val="12"/>
        <w:rPr>
          <w:highlight w:val="none"/>
        </w:rPr>
      </w:pPr>
      <w:r>
        <w:rPr>
          <w:rFonts w:hint="eastAsia"/>
        </w:rPr>
        <w:t>公开时间：2023年9</w:t>
      </w:r>
      <w:r>
        <w:rPr>
          <w:rFonts w:hint="eastAsia"/>
          <w:highlight w:val="none"/>
        </w:rPr>
        <w:t>月24 日</w:t>
      </w:r>
    </w:p>
    <w:p w14:paraId="27A02D0C"/>
    <w:p w14:paraId="3A6CB296">
      <w:pPr>
        <w:pStyle w:val="14"/>
        <w:adjustRightInd w:val="0"/>
        <w:snapToGrid w:val="0"/>
        <w:spacing w:line="440" w:lineRule="exact"/>
        <w:jc w:val="left"/>
        <w:rPr>
          <w:sz w:val="24"/>
        </w:rPr>
      </w:pPr>
      <w:r>
        <w:rPr>
          <w:rFonts w:hint="eastAsia"/>
          <w:sz w:val="24"/>
        </w:rPr>
        <w:t>第一部分 部门概况</w:t>
      </w:r>
      <w:r>
        <w:rPr>
          <w:rFonts w:hint="eastAsia"/>
          <w:sz w:val="24"/>
        </w:rPr>
        <w:tab/>
      </w:r>
      <w:r>
        <w:rPr>
          <w:rFonts w:hint="eastAsia"/>
          <w:sz w:val="24"/>
        </w:rPr>
        <w:t>1</w:t>
      </w:r>
    </w:p>
    <w:p w14:paraId="522EA271">
      <w:pPr>
        <w:pStyle w:val="14"/>
        <w:adjustRightInd w:val="0"/>
        <w:snapToGrid w:val="0"/>
        <w:spacing w:line="440" w:lineRule="exact"/>
        <w:jc w:val="left"/>
        <w:rPr>
          <w:sz w:val="24"/>
        </w:rPr>
      </w:pPr>
      <w:r>
        <w:rPr>
          <w:rFonts w:hint="eastAsia"/>
          <w:sz w:val="24"/>
        </w:rPr>
        <w:t>一、部门职责</w:t>
      </w:r>
      <w:r>
        <w:rPr>
          <w:rFonts w:hint="eastAsia"/>
          <w:sz w:val="24"/>
        </w:rPr>
        <w:tab/>
      </w:r>
      <w:r>
        <w:rPr>
          <w:rFonts w:hint="eastAsia"/>
          <w:sz w:val="24"/>
        </w:rPr>
        <w:t>1</w:t>
      </w:r>
    </w:p>
    <w:p w14:paraId="07C9DF80">
      <w:pPr>
        <w:pStyle w:val="14"/>
        <w:adjustRightInd w:val="0"/>
        <w:snapToGrid w:val="0"/>
        <w:spacing w:line="440" w:lineRule="exact"/>
        <w:jc w:val="left"/>
        <w:rPr>
          <w:sz w:val="24"/>
        </w:rPr>
      </w:pPr>
      <w:r>
        <w:rPr>
          <w:rFonts w:hint="eastAsia"/>
          <w:sz w:val="24"/>
        </w:rPr>
        <w:t>二、机构设置</w:t>
      </w:r>
      <w:r>
        <w:rPr>
          <w:rFonts w:hint="eastAsia"/>
          <w:sz w:val="24"/>
        </w:rPr>
        <w:tab/>
      </w:r>
      <w:r>
        <w:rPr>
          <w:rFonts w:hint="eastAsia"/>
          <w:sz w:val="24"/>
        </w:rPr>
        <w:t>2</w:t>
      </w:r>
    </w:p>
    <w:p w14:paraId="321B127D">
      <w:pPr>
        <w:pStyle w:val="14"/>
        <w:adjustRightInd w:val="0"/>
        <w:snapToGrid w:val="0"/>
        <w:spacing w:line="440" w:lineRule="exact"/>
        <w:jc w:val="left"/>
        <w:rPr>
          <w:sz w:val="24"/>
        </w:rPr>
      </w:pPr>
      <w:r>
        <w:rPr>
          <w:rFonts w:hint="eastAsia"/>
          <w:sz w:val="24"/>
        </w:rPr>
        <w:t>第二部分 2023年度部门决算情况说明</w:t>
      </w:r>
      <w:r>
        <w:rPr>
          <w:rFonts w:hint="eastAsia"/>
          <w:sz w:val="24"/>
        </w:rPr>
        <w:tab/>
      </w:r>
      <w:r>
        <w:rPr>
          <w:rFonts w:hint="eastAsia"/>
          <w:sz w:val="24"/>
        </w:rPr>
        <w:t>2</w:t>
      </w:r>
    </w:p>
    <w:p w14:paraId="2EB68954">
      <w:pPr>
        <w:pStyle w:val="14"/>
        <w:adjustRightInd w:val="0"/>
        <w:snapToGrid w:val="0"/>
        <w:spacing w:line="440" w:lineRule="exact"/>
        <w:jc w:val="left"/>
        <w:rPr>
          <w:sz w:val="24"/>
        </w:rPr>
      </w:pPr>
      <w:r>
        <w:rPr>
          <w:rFonts w:hint="eastAsia"/>
          <w:sz w:val="24"/>
        </w:rPr>
        <w:t>一、收入支出决算总体情况说明</w:t>
      </w:r>
      <w:r>
        <w:rPr>
          <w:rFonts w:hint="eastAsia"/>
          <w:sz w:val="24"/>
        </w:rPr>
        <w:tab/>
      </w:r>
      <w:r>
        <w:rPr>
          <w:rFonts w:hint="eastAsia"/>
          <w:sz w:val="24"/>
        </w:rPr>
        <w:t>3</w:t>
      </w:r>
    </w:p>
    <w:p w14:paraId="58741CB2">
      <w:pPr>
        <w:pStyle w:val="14"/>
        <w:adjustRightInd w:val="0"/>
        <w:snapToGrid w:val="0"/>
        <w:spacing w:line="440" w:lineRule="exact"/>
        <w:jc w:val="left"/>
        <w:rPr>
          <w:sz w:val="24"/>
        </w:rPr>
      </w:pPr>
      <w:r>
        <w:rPr>
          <w:rFonts w:hint="eastAsia"/>
          <w:sz w:val="24"/>
        </w:rPr>
        <w:t>二、收入决算情况说明</w:t>
      </w:r>
      <w:r>
        <w:rPr>
          <w:rFonts w:hint="eastAsia"/>
          <w:sz w:val="24"/>
        </w:rPr>
        <w:tab/>
      </w:r>
      <w:r>
        <w:rPr>
          <w:rFonts w:hint="eastAsia"/>
          <w:sz w:val="24"/>
        </w:rPr>
        <w:t>3</w:t>
      </w:r>
    </w:p>
    <w:p w14:paraId="44DF2C9B">
      <w:pPr>
        <w:pStyle w:val="14"/>
        <w:adjustRightInd w:val="0"/>
        <w:snapToGrid w:val="0"/>
        <w:spacing w:line="440" w:lineRule="exact"/>
        <w:jc w:val="left"/>
        <w:rPr>
          <w:sz w:val="24"/>
        </w:rPr>
      </w:pPr>
      <w:r>
        <w:rPr>
          <w:rFonts w:hint="eastAsia"/>
          <w:sz w:val="24"/>
        </w:rPr>
        <w:t>三、支出决算情况说明</w:t>
      </w:r>
      <w:r>
        <w:rPr>
          <w:rFonts w:hint="eastAsia"/>
          <w:sz w:val="24"/>
        </w:rPr>
        <w:tab/>
      </w:r>
      <w:r>
        <w:rPr>
          <w:rFonts w:hint="eastAsia"/>
          <w:sz w:val="24"/>
        </w:rPr>
        <w:t>4</w:t>
      </w:r>
    </w:p>
    <w:p w14:paraId="71C76296">
      <w:pPr>
        <w:pStyle w:val="14"/>
        <w:adjustRightInd w:val="0"/>
        <w:snapToGrid w:val="0"/>
        <w:spacing w:line="440" w:lineRule="exact"/>
        <w:jc w:val="left"/>
        <w:rPr>
          <w:sz w:val="24"/>
        </w:rPr>
      </w:pPr>
      <w:r>
        <w:rPr>
          <w:rFonts w:hint="eastAsia"/>
          <w:sz w:val="24"/>
        </w:rPr>
        <w:t>四、财政拨款收入支出决算总体情况说明</w:t>
      </w:r>
      <w:r>
        <w:rPr>
          <w:rFonts w:hint="eastAsia"/>
          <w:sz w:val="24"/>
        </w:rPr>
        <w:tab/>
      </w:r>
      <w:r>
        <w:rPr>
          <w:rFonts w:hint="eastAsia"/>
          <w:sz w:val="24"/>
        </w:rPr>
        <w:t>5</w:t>
      </w:r>
    </w:p>
    <w:p w14:paraId="288AFC2B">
      <w:pPr>
        <w:pStyle w:val="14"/>
        <w:adjustRightInd w:val="0"/>
        <w:snapToGrid w:val="0"/>
        <w:spacing w:line="440" w:lineRule="exact"/>
        <w:jc w:val="left"/>
        <w:rPr>
          <w:sz w:val="24"/>
        </w:rPr>
      </w:pPr>
      <w:r>
        <w:rPr>
          <w:rFonts w:hint="eastAsia"/>
          <w:sz w:val="24"/>
        </w:rPr>
        <w:t>五、一般公共预算财政拨款支出决算情况说明</w:t>
      </w:r>
      <w:r>
        <w:rPr>
          <w:rFonts w:hint="eastAsia"/>
          <w:sz w:val="24"/>
        </w:rPr>
        <w:tab/>
      </w:r>
      <w:r>
        <w:rPr>
          <w:rFonts w:hint="eastAsia"/>
          <w:sz w:val="24"/>
        </w:rPr>
        <w:t>6</w:t>
      </w:r>
    </w:p>
    <w:p w14:paraId="75F0795B">
      <w:pPr>
        <w:pStyle w:val="14"/>
        <w:adjustRightInd w:val="0"/>
        <w:snapToGrid w:val="0"/>
        <w:spacing w:line="440" w:lineRule="exact"/>
        <w:jc w:val="left"/>
        <w:rPr>
          <w:sz w:val="24"/>
        </w:rPr>
      </w:pPr>
      <w:r>
        <w:rPr>
          <w:rFonts w:hint="eastAsia"/>
          <w:sz w:val="24"/>
        </w:rPr>
        <w:t>六、一般公共预算财政拨款基本支出决算情况说明</w:t>
      </w:r>
      <w:r>
        <w:rPr>
          <w:rFonts w:hint="eastAsia"/>
          <w:sz w:val="24"/>
        </w:rPr>
        <w:tab/>
      </w:r>
      <w:r>
        <w:rPr>
          <w:rFonts w:hint="eastAsia"/>
          <w:sz w:val="24"/>
        </w:rPr>
        <w:t>8</w:t>
      </w:r>
    </w:p>
    <w:p w14:paraId="788F6469">
      <w:pPr>
        <w:pStyle w:val="14"/>
        <w:adjustRightInd w:val="0"/>
        <w:snapToGrid w:val="0"/>
        <w:spacing w:line="440" w:lineRule="exact"/>
        <w:jc w:val="left"/>
        <w:rPr>
          <w:sz w:val="24"/>
        </w:rPr>
      </w:pPr>
      <w:r>
        <w:rPr>
          <w:rFonts w:hint="eastAsia"/>
          <w:sz w:val="24"/>
        </w:rPr>
        <w:t>七、财政拨款“三公”经费支出决算情况说明</w:t>
      </w:r>
      <w:r>
        <w:rPr>
          <w:rFonts w:hint="eastAsia"/>
          <w:sz w:val="24"/>
        </w:rPr>
        <w:tab/>
      </w:r>
      <w:r>
        <w:rPr>
          <w:rFonts w:hint="eastAsia"/>
          <w:sz w:val="24"/>
        </w:rPr>
        <w:t>9</w:t>
      </w:r>
    </w:p>
    <w:p w14:paraId="775843E9">
      <w:pPr>
        <w:pStyle w:val="14"/>
        <w:adjustRightInd w:val="0"/>
        <w:snapToGrid w:val="0"/>
        <w:spacing w:line="440" w:lineRule="exact"/>
        <w:jc w:val="left"/>
        <w:rPr>
          <w:sz w:val="24"/>
        </w:rPr>
      </w:pPr>
      <w:r>
        <w:rPr>
          <w:rFonts w:hint="eastAsia"/>
          <w:sz w:val="24"/>
        </w:rPr>
        <w:t>八、政府性基金预算支出决算情况说明</w:t>
      </w:r>
      <w:r>
        <w:rPr>
          <w:rFonts w:hint="eastAsia"/>
          <w:sz w:val="24"/>
        </w:rPr>
        <w:tab/>
      </w:r>
      <w:r>
        <w:rPr>
          <w:rFonts w:hint="eastAsia"/>
          <w:sz w:val="24"/>
        </w:rPr>
        <w:t>11</w:t>
      </w:r>
    </w:p>
    <w:p w14:paraId="43BA22A5">
      <w:pPr>
        <w:pStyle w:val="14"/>
        <w:adjustRightInd w:val="0"/>
        <w:snapToGrid w:val="0"/>
        <w:spacing w:line="440" w:lineRule="exact"/>
        <w:jc w:val="left"/>
        <w:rPr>
          <w:sz w:val="24"/>
        </w:rPr>
      </w:pPr>
      <w:r>
        <w:rPr>
          <w:rFonts w:hint="eastAsia"/>
          <w:sz w:val="24"/>
        </w:rPr>
        <w:t>九、国有资本经营预算支出决算情况说明</w:t>
      </w:r>
      <w:r>
        <w:rPr>
          <w:rFonts w:hint="eastAsia"/>
          <w:sz w:val="24"/>
        </w:rPr>
        <w:tab/>
      </w:r>
      <w:r>
        <w:rPr>
          <w:rFonts w:hint="eastAsia"/>
          <w:sz w:val="24"/>
        </w:rPr>
        <w:t>12</w:t>
      </w:r>
    </w:p>
    <w:p w14:paraId="3AE37930">
      <w:pPr>
        <w:pStyle w:val="14"/>
        <w:adjustRightInd w:val="0"/>
        <w:snapToGrid w:val="0"/>
        <w:spacing w:line="440" w:lineRule="exact"/>
        <w:jc w:val="left"/>
        <w:rPr>
          <w:sz w:val="24"/>
        </w:rPr>
      </w:pPr>
      <w:r>
        <w:rPr>
          <w:rFonts w:hint="eastAsia"/>
          <w:sz w:val="24"/>
        </w:rPr>
        <w:t>十、其他重要事项的情况说明</w:t>
      </w:r>
      <w:r>
        <w:rPr>
          <w:rFonts w:hint="eastAsia"/>
          <w:sz w:val="24"/>
        </w:rPr>
        <w:tab/>
      </w:r>
      <w:r>
        <w:rPr>
          <w:rFonts w:hint="eastAsia"/>
          <w:sz w:val="24"/>
        </w:rPr>
        <w:t>13</w:t>
      </w:r>
    </w:p>
    <w:p w14:paraId="02960131">
      <w:pPr>
        <w:pStyle w:val="14"/>
        <w:adjustRightInd w:val="0"/>
        <w:snapToGrid w:val="0"/>
        <w:spacing w:line="440" w:lineRule="exact"/>
        <w:jc w:val="left"/>
        <w:rPr>
          <w:sz w:val="24"/>
        </w:rPr>
      </w:pPr>
      <w:r>
        <w:rPr>
          <w:rFonts w:hint="eastAsia"/>
          <w:sz w:val="24"/>
        </w:rPr>
        <w:t>第三部分 名词解释</w:t>
      </w:r>
      <w:r>
        <w:rPr>
          <w:rFonts w:hint="eastAsia"/>
          <w:sz w:val="24"/>
        </w:rPr>
        <w:tab/>
      </w:r>
      <w:r>
        <w:rPr>
          <w:rFonts w:hint="eastAsia"/>
          <w:sz w:val="24"/>
        </w:rPr>
        <w:t>14</w:t>
      </w:r>
    </w:p>
    <w:p w14:paraId="340D5623">
      <w:pPr>
        <w:pStyle w:val="14"/>
        <w:adjustRightInd w:val="0"/>
        <w:snapToGrid w:val="0"/>
        <w:spacing w:line="440" w:lineRule="exact"/>
        <w:jc w:val="left"/>
        <w:rPr>
          <w:sz w:val="24"/>
        </w:rPr>
      </w:pPr>
      <w:r>
        <w:rPr>
          <w:rFonts w:hint="eastAsia"/>
          <w:sz w:val="24"/>
        </w:rPr>
        <w:t>第四部分 附件</w:t>
      </w:r>
      <w:r>
        <w:rPr>
          <w:rFonts w:hint="eastAsia"/>
          <w:sz w:val="24"/>
        </w:rPr>
        <w:tab/>
      </w:r>
      <w:r>
        <w:rPr>
          <w:rFonts w:hint="eastAsia"/>
          <w:sz w:val="24"/>
        </w:rPr>
        <w:t>17</w:t>
      </w:r>
    </w:p>
    <w:p w14:paraId="05F2BC0E">
      <w:pPr>
        <w:pStyle w:val="14"/>
        <w:adjustRightInd w:val="0"/>
        <w:snapToGrid w:val="0"/>
        <w:spacing w:line="440" w:lineRule="exact"/>
        <w:jc w:val="left"/>
        <w:rPr>
          <w:sz w:val="24"/>
        </w:rPr>
      </w:pPr>
      <w:r>
        <w:rPr>
          <w:rFonts w:hint="eastAsia"/>
          <w:sz w:val="24"/>
        </w:rPr>
        <w:t>第五部分 附表</w:t>
      </w:r>
      <w:r>
        <w:rPr>
          <w:rFonts w:hint="eastAsia"/>
          <w:sz w:val="24"/>
        </w:rPr>
        <w:tab/>
      </w:r>
      <w:r>
        <w:rPr>
          <w:rFonts w:hint="eastAsia"/>
          <w:sz w:val="24"/>
        </w:rPr>
        <w:t>30</w:t>
      </w:r>
    </w:p>
    <w:p w14:paraId="344BD855">
      <w:pPr>
        <w:pStyle w:val="14"/>
        <w:adjustRightInd w:val="0"/>
        <w:snapToGrid w:val="0"/>
        <w:spacing w:line="440" w:lineRule="exact"/>
        <w:jc w:val="left"/>
        <w:rPr>
          <w:sz w:val="24"/>
        </w:rPr>
      </w:pPr>
      <w:r>
        <w:rPr>
          <w:rFonts w:hint="eastAsia"/>
          <w:sz w:val="24"/>
        </w:rPr>
        <w:t>一、收入支出决算总表</w:t>
      </w:r>
    </w:p>
    <w:p w14:paraId="5E1420E9">
      <w:pPr>
        <w:pStyle w:val="14"/>
        <w:adjustRightInd w:val="0"/>
        <w:snapToGrid w:val="0"/>
        <w:spacing w:line="440" w:lineRule="exact"/>
        <w:jc w:val="left"/>
        <w:rPr>
          <w:sz w:val="24"/>
        </w:rPr>
      </w:pPr>
      <w:r>
        <w:rPr>
          <w:rFonts w:hint="eastAsia"/>
          <w:sz w:val="24"/>
        </w:rPr>
        <w:t>二、收入决算表</w:t>
      </w:r>
    </w:p>
    <w:p w14:paraId="0F26A2C5">
      <w:pPr>
        <w:pStyle w:val="14"/>
        <w:adjustRightInd w:val="0"/>
        <w:snapToGrid w:val="0"/>
        <w:spacing w:line="440" w:lineRule="exact"/>
        <w:jc w:val="left"/>
        <w:rPr>
          <w:sz w:val="24"/>
        </w:rPr>
      </w:pPr>
      <w:r>
        <w:rPr>
          <w:rFonts w:hint="eastAsia"/>
          <w:sz w:val="24"/>
        </w:rPr>
        <w:t>三、支出决算表</w:t>
      </w:r>
    </w:p>
    <w:p w14:paraId="61BFB79F">
      <w:pPr>
        <w:pStyle w:val="14"/>
        <w:adjustRightInd w:val="0"/>
        <w:snapToGrid w:val="0"/>
        <w:spacing w:line="440" w:lineRule="exact"/>
        <w:jc w:val="left"/>
        <w:rPr>
          <w:sz w:val="24"/>
        </w:rPr>
      </w:pPr>
      <w:r>
        <w:rPr>
          <w:rFonts w:hint="eastAsia"/>
          <w:sz w:val="24"/>
        </w:rPr>
        <w:t>四、财政拨款收入支出决算总表</w:t>
      </w:r>
    </w:p>
    <w:p w14:paraId="0C6A6576">
      <w:pPr>
        <w:pStyle w:val="14"/>
        <w:adjustRightInd w:val="0"/>
        <w:snapToGrid w:val="0"/>
        <w:spacing w:line="440" w:lineRule="exact"/>
        <w:jc w:val="left"/>
        <w:rPr>
          <w:sz w:val="24"/>
        </w:rPr>
      </w:pPr>
      <w:r>
        <w:rPr>
          <w:rFonts w:hint="eastAsia"/>
          <w:sz w:val="24"/>
        </w:rPr>
        <w:t>五、财政拨款支出决算明细表</w:t>
      </w:r>
    </w:p>
    <w:p w14:paraId="46D6FCC5">
      <w:pPr>
        <w:pStyle w:val="14"/>
        <w:adjustRightInd w:val="0"/>
        <w:snapToGrid w:val="0"/>
        <w:spacing w:line="440" w:lineRule="exact"/>
        <w:jc w:val="left"/>
        <w:rPr>
          <w:sz w:val="24"/>
        </w:rPr>
      </w:pPr>
      <w:r>
        <w:rPr>
          <w:rFonts w:hint="eastAsia"/>
          <w:sz w:val="24"/>
        </w:rPr>
        <w:t>六、一般公共预算财政拨款支出决算表</w:t>
      </w:r>
    </w:p>
    <w:p w14:paraId="53D69BF8">
      <w:pPr>
        <w:pStyle w:val="14"/>
        <w:adjustRightInd w:val="0"/>
        <w:snapToGrid w:val="0"/>
        <w:spacing w:line="440" w:lineRule="exact"/>
        <w:jc w:val="left"/>
        <w:rPr>
          <w:sz w:val="24"/>
        </w:rPr>
      </w:pPr>
      <w:r>
        <w:rPr>
          <w:rFonts w:hint="eastAsia"/>
          <w:sz w:val="24"/>
        </w:rPr>
        <w:t>七、一般公共预算财政拨款支出决算明细表</w:t>
      </w:r>
    </w:p>
    <w:p w14:paraId="79D8C084">
      <w:pPr>
        <w:pStyle w:val="14"/>
        <w:adjustRightInd w:val="0"/>
        <w:snapToGrid w:val="0"/>
        <w:spacing w:line="440" w:lineRule="exact"/>
        <w:jc w:val="left"/>
        <w:rPr>
          <w:sz w:val="24"/>
        </w:rPr>
      </w:pPr>
      <w:r>
        <w:rPr>
          <w:rFonts w:hint="eastAsia"/>
          <w:sz w:val="24"/>
        </w:rPr>
        <w:t>八、一般公共预算财政拨款基本支出决算明细表</w:t>
      </w:r>
    </w:p>
    <w:p w14:paraId="10413CD1">
      <w:pPr>
        <w:pStyle w:val="14"/>
        <w:adjustRightInd w:val="0"/>
        <w:snapToGrid w:val="0"/>
        <w:spacing w:line="440" w:lineRule="exact"/>
        <w:jc w:val="left"/>
        <w:rPr>
          <w:sz w:val="24"/>
        </w:rPr>
      </w:pPr>
      <w:r>
        <w:rPr>
          <w:rFonts w:hint="eastAsia"/>
          <w:sz w:val="24"/>
        </w:rPr>
        <w:t>九、一般公共预算财政拨款项目支出决算表</w:t>
      </w:r>
    </w:p>
    <w:p w14:paraId="30BAD1F4">
      <w:pPr>
        <w:pStyle w:val="14"/>
        <w:adjustRightInd w:val="0"/>
        <w:snapToGrid w:val="0"/>
        <w:spacing w:line="440" w:lineRule="exact"/>
        <w:jc w:val="left"/>
        <w:rPr>
          <w:sz w:val="24"/>
        </w:rPr>
      </w:pPr>
      <w:r>
        <w:rPr>
          <w:rFonts w:hint="eastAsia"/>
          <w:sz w:val="24"/>
        </w:rPr>
        <w:t>十、政府性基金预算财政拨款收入支出决算表</w:t>
      </w:r>
    </w:p>
    <w:p w14:paraId="1DC7F148">
      <w:pPr>
        <w:pStyle w:val="14"/>
        <w:adjustRightInd w:val="0"/>
        <w:snapToGrid w:val="0"/>
        <w:spacing w:line="440" w:lineRule="exact"/>
        <w:jc w:val="left"/>
        <w:rPr>
          <w:sz w:val="24"/>
        </w:rPr>
      </w:pPr>
      <w:r>
        <w:rPr>
          <w:rFonts w:hint="eastAsia"/>
          <w:sz w:val="24"/>
        </w:rPr>
        <w:t>十一、国有资本经营预算财政拨款收入支出决算表</w:t>
      </w:r>
    </w:p>
    <w:p w14:paraId="0D58C6A8">
      <w:pPr>
        <w:pStyle w:val="14"/>
        <w:adjustRightInd w:val="0"/>
        <w:snapToGrid w:val="0"/>
        <w:spacing w:line="440" w:lineRule="exact"/>
        <w:jc w:val="left"/>
        <w:rPr>
          <w:sz w:val="24"/>
        </w:rPr>
      </w:pPr>
      <w:r>
        <w:rPr>
          <w:rFonts w:hint="eastAsia"/>
          <w:sz w:val="24"/>
        </w:rPr>
        <w:t>十二、国有资本经营预算财政拨款支出决算表</w:t>
      </w:r>
    </w:p>
    <w:p w14:paraId="5C07F199">
      <w:pPr>
        <w:pStyle w:val="14"/>
        <w:adjustRightInd w:val="0"/>
        <w:snapToGrid w:val="0"/>
        <w:spacing w:line="440" w:lineRule="exact"/>
        <w:jc w:val="left"/>
        <w:rPr>
          <w:rFonts w:ascii="宋体" w:hAnsi="宋体" w:cs="宋体"/>
          <w:sz w:val="24"/>
        </w:rPr>
      </w:pPr>
      <w:r>
        <w:rPr>
          <w:rFonts w:hint="eastAsia"/>
          <w:sz w:val="24"/>
        </w:rPr>
        <w:t>十三、财政拨款“三公”经费支出决算表</w:t>
      </w:r>
    </w:p>
    <w:p w14:paraId="1893D3B5">
      <w:pPr>
        <w:widowControl/>
        <w:spacing w:line="440" w:lineRule="exact"/>
        <w:jc w:val="left"/>
        <w:rPr>
          <w:rFonts w:ascii="仿宋" w:hAnsi="仿宋" w:eastAsia="仿宋"/>
          <w:bCs/>
          <w:kern w:val="44"/>
          <w:sz w:val="24"/>
        </w:rPr>
        <w:sectPr>
          <w:footerReference r:id="rId3" w:type="default"/>
          <w:pgSz w:w="11906" w:h="16838"/>
          <w:pgMar w:top="1440" w:right="1800" w:bottom="1440" w:left="1800" w:header="720" w:footer="720" w:gutter="0"/>
          <w:cols w:space="720" w:num="1"/>
          <w:docGrid w:type="lines" w:linePitch="312" w:charSpace="0"/>
        </w:sectPr>
      </w:pPr>
      <w:bookmarkStart w:id="6" w:name="_Toc15377196"/>
      <w:bookmarkStart w:id="7" w:name="_Toc15396599"/>
    </w:p>
    <w:p w14:paraId="3B4BF761">
      <w:pPr>
        <w:widowControl/>
        <w:spacing w:line="440" w:lineRule="exact"/>
        <w:jc w:val="left"/>
        <w:rPr>
          <w:rFonts w:ascii="仿宋" w:hAnsi="仿宋" w:eastAsia="仿宋"/>
          <w:bCs/>
          <w:kern w:val="44"/>
          <w:sz w:val="24"/>
        </w:rPr>
      </w:pPr>
    </w:p>
    <w:p w14:paraId="6BD0544A">
      <w:pPr>
        <w:pStyle w:val="5"/>
        <w:jc w:val="center"/>
        <w:rPr>
          <w:rStyle w:val="20"/>
          <w:rFonts w:ascii="黑体" w:hAnsi="黑体" w:eastAsia="黑体"/>
          <w:b w:val="0"/>
          <w:bCs w:val="0"/>
        </w:rPr>
      </w:pPr>
      <w:r>
        <w:rPr>
          <w:rFonts w:hint="eastAsia" w:ascii="黑体" w:hAnsi="黑体" w:eastAsia="黑体"/>
          <w:b w:val="0"/>
        </w:rPr>
        <w:t xml:space="preserve">第一部分 </w:t>
      </w:r>
      <w:r>
        <w:rPr>
          <w:rStyle w:val="20"/>
          <w:rFonts w:hint="eastAsia" w:ascii="黑体" w:hAnsi="黑体" w:eastAsia="黑体"/>
          <w:b w:val="0"/>
          <w:bCs w:val="0"/>
        </w:rPr>
        <w:t>部门概况</w:t>
      </w:r>
      <w:bookmarkEnd w:id="6"/>
      <w:bookmarkEnd w:id="7"/>
    </w:p>
    <w:p w14:paraId="2767E0AE">
      <w:pPr>
        <w:widowControl/>
        <w:jc w:val="left"/>
        <w:rPr>
          <w:rFonts w:ascii="黑体" w:eastAsia="黑体"/>
          <w:sz w:val="32"/>
          <w:szCs w:val="32"/>
        </w:rPr>
      </w:pPr>
    </w:p>
    <w:p w14:paraId="2F83669B">
      <w:pPr>
        <w:pStyle w:val="6"/>
        <w:numPr>
          <w:ilvl w:val="0"/>
          <w:numId w:val="1"/>
        </w:numPr>
        <w:rPr>
          <w:rFonts w:ascii="黑体" w:hAnsi="黑体" w:eastAsia="黑体"/>
          <w:b w:val="0"/>
        </w:rPr>
      </w:pPr>
      <w:r>
        <w:rPr>
          <w:rFonts w:hint="eastAsia" w:ascii="黑体" w:hAnsi="黑体" w:eastAsia="黑体"/>
          <w:b w:val="0"/>
        </w:rPr>
        <w:t>部门职责</w:t>
      </w:r>
    </w:p>
    <w:p w14:paraId="65B41E96">
      <w:pPr>
        <w:spacing w:line="560" w:lineRule="exact"/>
        <w:ind w:firstLine="640" w:firstLineChars="200"/>
        <w:rPr>
          <w:rFonts w:ascii="仿宋_GB2312" w:hAnsi="仿宋_GB2312" w:eastAsia="仿宋_GB2312" w:cs="仿宋_GB2312"/>
          <w:sz w:val="32"/>
          <w:szCs w:val="32"/>
        </w:rPr>
      </w:pPr>
      <w:r>
        <w:rPr>
          <w:rFonts w:hint="eastAsia" w:ascii="仿宋_GB2312" w:hAnsi="仿宋" w:eastAsia="仿宋_GB2312"/>
          <w:bCs/>
          <w:color w:val="000000"/>
          <w:sz w:val="32"/>
          <w:szCs w:val="32"/>
        </w:rPr>
        <w:t>（一）主要职能。</w:t>
      </w:r>
      <w:r>
        <w:rPr>
          <w:rFonts w:hint="eastAsia" w:ascii="仿宋_GB2312" w:hAnsi="仿宋_GB2312" w:eastAsia="仿宋_GB2312" w:cs="仿宋_GB2312"/>
          <w:sz w:val="32"/>
          <w:szCs w:val="32"/>
        </w:rPr>
        <w:t>县科协下设办公室，负责处理科协日常事务。县科协职能是：</w:t>
      </w:r>
    </w:p>
    <w:p w14:paraId="1E82E207">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1.</w:t>
      </w:r>
      <w:r>
        <w:rPr>
          <w:rFonts w:hint="eastAsia" w:ascii="仿宋_GB2312" w:hAnsi="仿宋_GB2312" w:eastAsia="仿宋_GB2312" w:cs="仿宋_GB2312"/>
          <w:sz w:val="32"/>
          <w:szCs w:val="32"/>
        </w:rPr>
        <w:t>开展学术交流，活跃学术思想，促进学科发展。</w:t>
      </w:r>
    </w:p>
    <w:p w14:paraId="1DBF11D7">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2.</w:t>
      </w:r>
      <w:r>
        <w:rPr>
          <w:rFonts w:hint="eastAsia" w:ascii="仿宋_GB2312" w:hAnsi="仿宋_GB2312" w:eastAsia="仿宋_GB2312" w:cs="仿宋_GB2312"/>
          <w:sz w:val="32"/>
          <w:szCs w:val="32"/>
        </w:rPr>
        <w:t>弘扬科学精神，普及科学知识，传播科学思想和科学方法，捍卫科学尊严，推广先进技术，开展青少年科学技术教育，提高全县各族群众的科学文化素质。</w:t>
      </w:r>
    </w:p>
    <w:p w14:paraId="5A72AFF9">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3.</w:t>
      </w:r>
      <w:r>
        <w:rPr>
          <w:rFonts w:hint="eastAsia" w:ascii="仿宋_GB2312" w:hAnsi="仿宋_GB2312" w:eastAsia="仿宋_GB2312" w:cs="仿宋_GB2312"/>
          <w:sz w:val="32"/>
          <w:szCs w:val="32"/>
        </w:rPr>
        <w:t>反映科技工作者的意见、建议和要求，维护科技工作者的合法权益；组织科技工作者参与全县科学技术政策的制定和重大事务的政治协商、科学决策、民主监督工作。</w:t>
      </w:r>
    </w:p>
    <w:p w14:paraId="50729AFE">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4.</w:t>
      </w:r>
      <w:r>
        <w:rPr>
          <w:rFonts w:hint="eastAsia" w:ascii="仿宋_GB2312" w:hAnsi="仿宋_GB2312" w:eastAsia="仿宋_GB2312" w:cs="仿宋_GB2312"/>
          <w:sz w:val="32"/>
          <w:szCs w:val="32"/>
        </w:rPr>
        <w:t>表彰奖励优秀科技工作者，举荐人才。</w:t>
      </w:r>
    </w:p>
    <w:p w14:paraId="54C148BA">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5.</w:t>
      </w:r>
      <w:r>
        <w:rPr>
          <w:rFonts w:hint="eastAsia" w:ascii="仿宋_GB2312" w:hAnsi="仿宋_GB2312" w:eastAsia="仿宋_GB2312" w:cs="仿宋_GB2312"/>
          <w:sz w:val="32"/>
          <w:szCs w:val="32"/>
        </w:rPr>
        <w:t>开展科学论证、咨询服务，提出政策建议，促进科学技术的转化。</w:t>
      </w:r>
    </w:p>
    <w:p w14:paraId="7EB35D58">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6.</w:t>
      </w:r>
      <w:r>
        <w:rPr>
          <w:rFonts w:hint="eastAsia" w:ascii="仿宋_GB2312" w:hAnsi="仿宋_GB2312" w:eastAsia="仿宋_GB2312" w:cs="仿宋_GB2312"/>
          <w:sz w:val="32"/>
          <w:szCs w:val="32"/>
        </w:rPr>
        <w:t>开展民间科学技术交流活动，发展同国内外科学技术团体和科学技术工作者的友好交往。</w:t>
      </w:r>
    </w:p>
    <w:p w14:paraId="3161CF19">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7.</w:t>
      </w:r>
      <w:r>
        <w:rPr>
          <w:rFonts w:hint="eastAsia" w:ascii="仿宋_GB2312" w:hAnsi="仿宋_GB2312" w:eastAsia="仿宋_GB2312" w:cs="仿宋_GB2312"/>
          <w:sz w:val="32"/>
          <w:szCs w:val="32"/>
        </w:rPr>
        <w:t>开展继续教育和培训工作。</w:t>
      </w:r>
    </w:p>
    <w:p w14:paraId="76866DE1">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8.</w:t>
      </w:r>
      <w:r>
        <w:rPr>
          <w:rFonts w:hint="eastAsia" w:ascii="仿宋_GB2312" w:hAnsi="仿宋_GB2312" w:eastAsia="仿宋_GB2312" w:cs="仿宋_GB2312"/>
          <w:sz w:val="32"/>
          <w:szCs w:val="32"/>
        </w:rPr>
        <w:t>管理直属县级学会、协会、研究会；指导乡（镇）科协和厂矿企业科协等基层组织开展工作。</w:t>
      </w:r>
    </w:p>
    <w:p w14:paraId="2D259401">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9.</w:t>
      </w:r>
      <w:r>
        <w:rPr>
          <w:rFonts w:hint="eastAsia" w:ascii="仿宋_GB2312" w:hAnsi="仿宋_GB2312" w:eastAsia="仿宋_GB2312" w:cs="仿宋_GB2312"/>
          <w:sz w:val="32"/>
          <w:szCs w:val="32"/>
        </w:rPr>
        <w:t>兴办符合科协宗旨的社会公益性事业。</w:t>
      </w:r>
    </w:p>
    <w:p w14:paraId="05BA67B1">
      <w:pPr>
        <w:ind w:firstLine="643" w:firstLineChars="200"/>
      </w:pPr>
      <w:r>
        <w:rPr>
          <w:rFonts w:hint="eastAsia" w:ascii="仿宋_GB2312" w:hAnsi="仿宋_GB2312" w:eastAsia="仿宋_GB2312" w:cs="仿宋_GB2312"/>
          <w:b/>
          <w:sz w:val="32"/>
          <w:szCs w:val="32"/>
        </w:rPr>
        <w:t>10.</w:t>
      </w:r>
      <w:r>
        <w:rPr>
          <w:rFonts w:hint="eastAsia" w:ascii="仿宋_GB2312" w:hAnsi="仿宋_GB2312" w:eastAsia="仿宋_GB2312" w:cs="仿宋_GB2312"/>
          <w:sz w:val="32"/>
          <w:szCs w:val="32"/>
        </w:rPr>
        <w:t>承担县委、县政府和市科协交办的其它事项。</w:t>
      </w:r>
    </w:p>
    <w:p w14:paraId="3923D874"/>
    <w:p w14:paraId="5B9C4785">
      <w:pPr>
        <w:pStyle w:val="6"/>
        <w:rPr>
          <w:rStyle w:val="21"/>
          <w:b w:val="0"/>
          <w:bCs w:val="0"/>
        </w:rPr>
      </w:pPr>
      <w:bookmarkStart w:id="8" w:name="_Toc15377200"/>
      <w:bookmarkStart w:id="9" w:name="_Toc15396601"/>
      <w:r>
        <w:rPr>
          <w:rFonts w:hint="eastAsia" w:ascii="黑体" w:eastAsia="黑体"/>
          <w:b w:val="0"/>
        </w:rPr>
        <w:t>二、</w:t>
      </w:r>
      <w:r>
        <w:rPr>
          <w:rFonts w:hint="eastAsia" w:ascii="黑体" w:hAnsi="黑体" w:eastAsia="黑体"/>
          <w:b w:val="0"/>
        </w:rPr>
        <w:t>机</w:t>
      </w:r>
      <w:r>
        <w:rPr>
          <w:rStyle w:val="21"/>
          <w:rFonts w:hint="eastAsia" w:ascii="黑体" w:hAnsi="黑体" w:eastAsia="黑体"/>
          <w:b w:val="0"/>
          <w:bCs w:val="0"/>
        </w:rPr>
        <w:t>构设置</w:t>
      </w:r>
      <w:bookmarkEnd w:id="8"/>
      <w:bookmarkEnd w:id="9"/>
    </w:p>
    <w:p w14:paraId="53B464DF">
      <w:pPr>
        <w:pStyle w:val="15"/>
        <w:shd w:val="clear" w:color="auto" w:fill="FFFFFF"/>
        <w:spacing w:before="0" w:beforeAutospacing="0" w:after="0" w:afterAutospacing="0" w:line="600" w:lineRule="exact"/>
        <w:ind w:firstLine="640" w:firstLineChars="2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rPr>
        <w:t>米易县科学技术协会部门</w:t>
      </w:r>
      <w:r>
        <w:rPr>
          <w:rFonts w:hint="eastAsia" w:ascii="仿宋_GB2312" w:hAnsi="仿宋_GB2312" w:eastAsia="仿宋_GB2312" w:cs="仿宋_GB2312"/>
          <w:color w:val="auto"/>
          <w:sz w:val="32"/>
          <w:szCs w:val="32"/>
        </w:rPr>
        <w:t>下属二级预算单位1个，其中行政单位1个，参照公务员法管理的事业单位0个，其他事业单位0个。</w:t>
      </w:r>
    </w:p>
    <w:p w14:paraId="28EF5176">
      <w:pPr>
        <w:pStyle w:val="8"/>
        <w:adjustRightInd w:val="0"/>
        <w:snapToGrid w:val="0"/>
        <w:spacing w:before="93" w:line="600" w:lineRule="exact"/>
        <w:ind w:firstLine="672" w:firstLineChars="210"/>
        <w:rPr>
          <w:rFonts w:ascii="仿宋_GB2312" w:hAnsi="仿宋_GB2312" w:eastAsia="仿宋_GB2312" w:cs="仿宋_GB2312"/>
          <w:color w:val="auto"/>
          <w:sz w:val="32"/>
          <w:szCs w:val="32"/>
        </w:rPr>
      </w:pPr>
      <w:r>
        <w:rPr>
          <w:rFonts w:hint="eastAsia" w:ascii="仿宋" w:hAnsi="仿宋" w:eastAsia="仿宋"/>
          <w:color w:val="auto"/>
          <w:sz w:val="32"/>
          <w:szCs w:val="32"/>
        </w:rPr>
        <w:t>纳入</w:t>
      </w:r>
      <w:r>
        <w:rPr>
          <w:rFonts w:hint="eastAsia" w:ascii="仿宋_GB2312" w:hAnsi="仿宋_GB2312" w:eastAsia="仿宋_GB2312" w:cs="仿宋_GB2312"/>
          <w:color w:val="auto"/>
          <w:sz w:val="32"/>
          <w:szCs w:val="32"/>
          <w:highlight w:val="none"/>
        </w:rPr>
        <w:t>米易县科学技术协会部门</w:t>
      </w:r>
      <w:r>
        <w:rPr>
          <w:rFonts w:hint="eastAsia" w:ascii="仿宋" w:hAnsi="仿宋" w:eastAsia="仿宋"/>
          <w:color w:val="auto"/>
          <w:sz w:val="32"/>
          <w:szCs w:val="32"/>
          <w:highlight w:val="none"/>
        </w:rPr>
        <w:t>2023年度部门决算编制范围的二级预算单位包括：</w:t>
      </w:r>
      <w:r>
        <w:rPr>
          <w:rFonts w:hint="eastAsia" w:ascii="仿宋_GB2312" w:hAnsi="仿宋_GB2312" w:eastAsia="仿宋_GB2312" w:cs="仿宋_GB2312"/>
          <w:color w:val="auto"/>
          <w:sz w:val="32"/>
          <w:szCs w:val="32"/>
          <w:highlight w:val="none"/>
        </w:rPr>
        <w:t>米易县科学技术协会</w:t>
      </w:r>
      <w:r>
        <w:rPr>
          <w:rFonts w:hint="eastAsia" w:ascii="仿宋_GB2312" w:hAnsi="仿宋_GB2312" w:eastAsia="仿宋_GB2312" w:cs="仿宋_GB2312"/>
          <w:color w:val="auto"/>
          <w:sz w:val="32"/>
          <w:szCs w:val="32"/>
        </w:rPr>
        <w:t>。</w:t>
      </w:r>
    </w:p>
    <w:p w14:paraId="14E09710">
      <w:pPr>
        <w:pStyle w:val="15"/>
        <w:shd w:val="clear" w:color="auto" w:fill="FFFFFF"/>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color w:val="auto"/>
          <w:sz w:val="32"/>
          <w:szCs w:val="32"/>
          <w:highlight w:val="none"/>
        </w:rPr>
        <w:t>米易县科学技术协会人</w:t>
      </w:r>
      <w:r>
        <w:rPr>
          <w:rFonts w:hint="eastAsia" w:ascii="仿宋_GB2312" w:hAnsi="仿宋_GB2312" w:eastAsia="仿宋_GB2312" w:cs="仿宋_GB2312"/>
          <w:color w:val="auto"/>
          <w:sz w:val="32"/>
          <w:szCs w:val="32"/>
        </w:rPr>
        <w:t>员编制4人（其中：行政编制</w:t>
      </w:r>
      <w:r>
        <w:rPr>
          <w:rFonts w:hint="eastAsia" w:ascii="仿宋_GB2312" w:hAnsi="仿宋_GB2312" w:eastAsia="仿宋_GB2312" w:cs="仿宋_GB2312"/>
          <w:sz w:val="32"/>
          <w:szCs w:val="32"/>
        </w:rPr>
        <w:t>3人、机关工勤人员1人）、实有人数11人（其中：行政人员4人、工勤人员1人、退休人员6人），核定单位内设机构“县科协办公室”。</w:t>
      </w:r>
    </w:p>
    <w:p w14:paraId="7647076D">
      <w:pPr>
        <w:pStyle w:val="5"/>
        <w:ind w:right="440"/>
        <w:jc w:val="center"/>
        <w:rPr>
          <w:rStyle w:val="20"/>
          <w:rFonts w:ascii="黑体" w:hAnsi="黑体" w:eastAsia="黑体"/>
          <w:b w:val="0"/>
          <w:bCs w:val="0"/>
        </w:rPr>
      </w:pPr>
      <w:bookmarkStart w:id="10" w:name="_Toc15396602"/>
      <w:bookmarkStart w:id="11" w:name="_Toc15377204"/>
      <w:r>
        <w:rPr>
          <w:rFonts w:hint="eastAsia" w:ascii="黑体" w:hAnsi="黑体" w:eastAsia="黑体"/>
          <w:b w:val="0"/>
        </w:rPr>
        <w:t>第二部分 2023年度</w:t>
      </w:r>
      <w:r>
        <w:rPr>
          <w:rStyle w:val="20"/>
          <w:rFonts w:hint="eastAsia" w:ascii="黑体" w:hAnsi="黑体" w:eastAsia="黑体"/>
          <w:b w:val="0"/>
          <w:bCs w:val="0"/>
        </w:rPr>
        <w:t>部门决算情况说明</w:t>
      </w:r>
      <w:bookmarkEnd w:id="10"/>
      <w:bookmarkEnd w:id="11"/>
    </w:p>
    <w:p w14:paraId="58896BCD"/>
    <w:p w14:paraId="267095A1">
      <w:pPr>
        <w:pStyle w:val="25"/>
        <w:numPr>
          <w:ilvl w:val="0"/>
          <w:numId w:val="2"/>
        </w:numPr>
        <w:spacing w:line="600" w:lineRule="exact"/>
        <w:ind w:firstLineChars="0"/>
        <w:outlineLvl w:val="1"/>
        <w:rPr>
          <w:rStyle w:val="21"/>
          <w:rFonts w:ascii="黑体" w:hAnsi="黑体" w:eastAsia="黑体"/>
          <w:b w:val="0"/>
        </w:rPr>
      </w:pPr>
      <w:bookmarkStart w:id="12" w:name="_Toc15396603"/>
      <w:bookmarkStart w:id="13" w:name="_Toc15377205"/>
      <w:r>
        <w:rPr>
          <w:rFonts w:hint="eastAsia" w:ascii="黑体" w:hAnsi="黑体" w:eastAsia="黑体"/>
          <w:sz w:val="32"/>
          <w:szCs w:val="32"/>
        </w:rPr>
        <w:t>收</w:t>
      </w:r>
      <w:r>
        <w:rPr>
          <w:rStyle w:val="21"/>
          <w:rFonts w:hint="eastAsia" w:ascii="黑体" w:hAnsi="黑体" w:eastAsia="黑体"/>
          <w:b w:val="0"/>
        </w:rPr>
        <w:t>入支出决算总体情况说明</w:t>
      </w:r>
      <w:bookmarkEnd w:id="12"/>
      <w:bookmarkEnd w:id="13"/>
    </w:p>
    <w:p w14:paraId="68DCBD61">
      <w:pPr>
        <w:spacing w:line="600" w:lineRule="exact"/>
        <w:ind w:firstLine="640" w:firstLineChars="200"/>
        <w:rPr>
          <w:rFonts w:ascii="仿宋" w:hAnsi="仿宋" w:eastAsia="仿宋"/>
          <w:sz w:val="32"/>
          <w:szCs w:val="32"/>
        </w:rPr>
      </w:pPr>
      <w:r>
        <w:rPr>
          <w:rFonts w:hint="eastAsia" w:ascii="仿宋" w:hAnsi="仿宋" w:eastAsia="仿宋"/>
          <w:sz w:val="32"/>
          <w:szCs w:val="32"/>
        </w:rPr>
        <w:t>2023年度收、支总计均为206.37万元。与2022年度相比，收、支总计各增加13.44万元，增长6.97</w:t>
      </w:r>
      <w:r>
        <w:rPr>
          <w:rFonts w:ascii="仿宋" w:hAnsi="仿宋" w:eastAsia="仿宋"/>
          <w:sz w:val="32"/>
          <w:szCs w:val="32"/>
        </w:rPr>
        <w:t>%</w:t>
      </w:r>
      <w:r>
        <w:rPr>
          <w:rFonts w:hint="eastAsia" w:ascii="仿宋" w:hAnsi="仿宋" w:eastAsia="仿宋"/>
          <w:sz w:val="32"/>
          <w:szCs w:val="32"/>
        </w:rPr>
        <w:t>。主要变动原因是2023年增加了项目资金。。</w:t>
      </w:r>
    </w:p>
    <w:p w14:paraId="04685A4A">
      <w:pPr>
        <w:spacing w:line="600" w:lineRule="exact"/>
        <w:ind w:firstLine="640" w:firstLineChars="200"/>
        <w:rPr>
          <w:rFonts w:ascii="仿宋" w:hAnsi="仿宋" w:eastAsia="仿宋"/>
          <w:sz w:val="32"/>
          <w:szCs w:val="32"/>
        </w:rPr>
      </w:pPr>
    </w:p>
    <w:p w14:paraId="0A876873">
      <w:pPr>
        <w:spacing w:line="600" w:lineRule="exact"/>
        <w:ind w:firstLine="640" w:firstLineChars="200"/>
        <w:rPr>
          <w:rFonts w:ascii="仿宋" w:hAnsi="仿宋" w:eastAsia="仿宋"/>
          <w:sz w:val="32"/>
          <w:szCs w:val="32"/>
        </w:rPr>
      </w:pPr>
    </w:p>
    <w:p w14:paraId="7585259D">
      <w:pPr>
        <w:spacing w:line="600" w:lineRule="exact"/>
        <w:ind w:firstLine="640" w:firstLineChars="200"/>
        <w:rPr>
          <w:rFonts w:ascii="仿宋" w:hAnsi="仿宋" w:eastAsia="仿宋"/>
          <w:sz w:val="32"/>
          <w:szCs w:val="32"/>
        </w:rPr>
      </w:pPr>
    </w:p>
    <w:p w14:paraId="18F89A2B">
      <w:pPr>
        <w:pStyle w:val="8"/>
        <w:rPr>
          <w:rFonts w:ascii="仿宋" w:hAnsi="仿宋" w:eastAsia="仿宋"/>
          <w:sz w:val="32"/>
          <w:szCs w:val="32"/>
        </w:rPr>
      </w:pPr>
    </w:p>
    <w:p w14:paraId="243266C1">
      <w:pPr>
        <w:pStyle w:val="8"/>
        <w:rPr>
          <w:rFonts w:ascii="仿宋" w:hAnsi="仿宋" w:eastAsia="仿宋"/>
          <w:sz w:val="32"/>
          <w:szCs w:val="32"/>
        </w:rPr>
      </w:pPr>
      <w:r>
        <w:drawing>
          <wp:inline distT="0" distB="0" distL="114300" distR="114300">
            <wp:extent cx="4991100" cy="3058160"/>
            <wp:effectExtent l="4445" t="4445" r="14605" b="23495"/>
            <wp:docPr id="1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882AE1F">
      <w:pPr>
        <w:spacing w:line="600" w:lineRule="exact"/>
        <w:ind w:firstLine="640" w:firstLineChars="200"/>
        <w:rPr>
          <w:rFonts w:ascii="仿宋" w:hAnsi="仿宋" w:eastAsia="仿宋"/>
          <w:sz w:val="32"/>
          <w:szCs w:val="32"/>
        </w:rPr>
      </w:pPr>
      <w:r>
        <w:rPr>
          <w:rFonts w:hint="eastAsia" w:ascii="仿宋" w:hAnsi="仿宋" w:eastAsia="仿宋"/>
          <w:sz w:val="32"/>
          <w:szCs w:val="32"/>
        </w:rPr>
        <w:t xml:space="preserve"> ( 图1：收、支决算总计变动情况图）（柱状图）</w:t>
      </w:r>
    </w:p>
    <w:p w14:paraId="09A54F16">
      <w:pPr>
        <w:pStyle w:val="8"/>
      </w:pPr>
    </w:p>
    <w:p w14:paraId="0DD7A45F">
      <w:pPr>
        <w:pStyle w:val="25"/>
        <w:numPr>
          <w:ilvl w:val="0"/>
          <w:numId w:val="2"/>
        </w:numPr>
        <w:spacing w:line="600" w:lineRule="exact"/>
        <w:ind w:firstLineChars="0"/>
        <w:outlineLvl w:val="1"/>
        <w:rPr>
          <w:rStyle w:val="21"/>
          <w:rFonts w:ascii="黑体" w:hAnsi="黑体" w:eastAsia="黑体"/>
          <w:b w:val="0"/>
        </w:rPr>
      </w:pPr>
      <w:bookmarkStart w:id="14" w:name="_Toc15396604"/>
      <w:bookmarkStart w:id="15" w:name="_Toc15377206"/>
      <w:r>
        <w:rPr>
          <w:rFonts w:hint="eastAsia" w:ascii="黑体" w:hAnsi="黑体" w:eastAsia="黑体"/>
          <w:sz w:val="32"/>
          <w:szCs w:val="32"/>
        </w:rPr>
        <w:t>收</w:t>
      </w:r>
      <w:r>
        <w:rPr>
          <w:rStyle w:val="21"/>
          <w:rFonts w:hint="eastAsia" w:ascii="黑体" w:hAnsi="黑体" w:eastAsia="黑体"/>
          <w:b w:val="0"/>
        </w:rPr>
        <w:t>入决算情况说明</w:t>
      </w:r>
      <w:bookmarkEnd w:id="14"/>
      <w:bookmarkEnd w:id="15"/>
    </w:p>
    <w:p w14:paraId="71B43195">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2023年度本年收入合计205.3万元，其中：一般公共预算财政拨款收入205.3万元，占100</w:t>
      </w:r>
      <w:r>
        <w:rPr>
          <w:rFonts w:ascii="仿宋" w:hAnsi="仿宋" w:eastAsia="仿宋"/>
          <w:sz w:val="32"/>
          <w:szCs w:val="32"/>
        </w:rPr>
        <w:t>%</w:t>
      </w:r>
      <w:r>
        <w:rPr>
          <w:rFonts w:hint="eastAsia" w:ascii="仿宋" w:hAnsi="仿宋" w:eastAsia="仿宋"/>
          <w:sz w:val="32"/>
          <w:szCs w:val="32"/>
        </w:rPr>
        <w:t>。</w:t>
      </w:r>
    </w:p>
    <w:p w14:paraId="0F7D121D">
      <w:pPr>
        <w:pStyle w:val="8"/>
        <w:rPr>
          <w:rFonts w:ascii="仿宋" w:hAnsi="仿宋" w:eastAsia="仿宋"/>
          <w:sz w:val="32"/>
          <w:szCs w:val="32"/>
        </w:rPr>
      </w:pPr>
    </w:p>
    <w:p w14:paraId="3937B791">
      <w:pPr>
        <w:pStyle w:val="8"/>
        <w:rPr>
          <w:rFonts w:ascii="仿宋" w:hAnsi="仿宋" w:eastAsia="仿宋"/>
          <w:sz w:val="32"/>
          <w:szCs w:val="32"/>
        </w:rPr>
      </w:pPr>
      <w:r>
        <w:drawing>
          <wp:anchor distT="0" distB="0" distL="114300" distR="114300" simplePos="0" relativeHeight="251659264" behindDoc="1" locked="0" layoutInCell="1" allowOverlap="1">
            <wp:simplePos x="0" y="0"/>
            <wp:positionH relativeFrom="column">
              <wp:posOffset>66040</wp:posOffset>
            </wp:positionH>
            <wp:positionV relativeFrom="paragraph">
              <wp:posOffset>24130</wp:posOffset>
            </wp:positionV>
            <wp:extent cx="5161280" cy="3186430"/>
            <wp:effectExtent l="19050" t="0" r="1270" b="0"/>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noChangeArrowheads="1"/>
                    </pic:cNvPicPr>
                  </pic:nvPicPr>
                  <pic:blipFill>
                    <a:blip r:embed="rId7"/>
                    <a:srcRect/>
                    <a:stretch>
                      <a:fillRect/>
                    </a:stretch>
                  </pic:blipFill>
                  <pic:spPr>
                    <a:xfrm>
                      <a:off x="0" y="0"/>
                      <a:ext cx="5161280" cy="3186430"/>
                    </a:xfrm>
                    <a:prstGeom prst="rect">
                      <a:avLst/>
                    </a:prstGeom>
                    <a:noFill/>
                    <a:ln w="9525" cmpd="sng">
                      <a:noFill/>
                      <a:miter lim="800000"/>
                      <a:headEnd/>
                      <a:tailEnd/>
                    </a:ln>
                    <a:effectLst/>
                  </pic:spPr>
                </pic:pic>
              </a:graphicData>
            </a:graphic>
          </wp:anchor>
        </w:drawing>
      </w:r>
    </w:p>
    <w:p w14:paraId="7A364C52">
      <w:pPr>
        <w:pStyle w:val="8"/>
        <w:rPr>
          <w:rFonts w:ascii="仿宋" w:hAnsi="仿宋" w:eastAsia="仿宋"/>
          <w:sz w:val="32"/>
          <w:szCs w:val="32"/>
        </w:rPr>
      </w:pPr>
    </w:p>
    <w:p w14:paraId="46B80996">
      <w:pPr>
        <w:pStyle w:val="8"/>
        <w:rPr>
          <w:rFonts w:ascii="仿宋" w:hAnsi="仿宋" w:eastAsia="仿宋"/>
          <w:sz w:val="32"/>
          <w:szCs w:val="32"/>
        </w:rPr>
      </w:pPr>
    </w:p>
    <w:p w14:paraId="63C9740B">
      <w:pPr>
        <w:pStyle w:val="8"/>
        <w:rPr>
          <w:rFonts w:ascii="仿宋" w:hAnsi="仿宋" w:eastAsia="仿宋"/>
          <w:sz w:val="32"/>
          <w:szCs w:val="32"/>
        </w:rPr>
      </w:pPr>
    </w:p>
    <w:p w14:paraId="03EFDACA">
      <w:pPr>
        <w:pStyle w:val="8"/>
        <w:rPr>
          <w:rFonts w:ascii="仿宋" w:hAnsi="仿宋" w:eastAsia="仿宋"/>
          <w:sz w:val="32"/>
          <w:szCs w:val="32"/>
        </w:rPr>
      </w:pPr>
    </w:p>
    <w:p w14:paraId="339EEB4D">
      <w:pPr>
        <w:pStyle w:val="8"/>
        <w:rPr>
          <w:rFonts w:ascii="仿宋_GB2312" w:eastAsia="仿宋_GB2312"/>
          <w:sz w:val="32"/>
          <w:szCs w:val="32"/>
        </w:rPr>
      </w:pPr>
    </w:p>
    <w:p w14:paraId="30A34A0E">
      <w:pPr>
        <w:spacing w:line="600" w:lineRule="exact"/>
        <w:ind w:firstLine="320" w:firstLineChars="100"/>
        <w:rPr>
          <w:rFonts w:ascii="仿宋" w:hAnsi="仿宋" w:eastAsia="仿宋"/>
          <w:color w:val="000000"/>
          <w:sz w:val="32"/>
          <w:szCs w:val="32"/>
        </w:rPr>
      </w:pPr>
    </w:p>
    <w:p w14:paraId="64438FC3">
      <w:pPr>
        <w:spacing w:line="600" w:lineRule="exact"/>
        <w:ind w:firstLine="320" w:firstLineChars="100"/>
        <w:rPr>
          <w:rFonts w:ascii="仿宋" w:hAnsi="仿宋" w:eastAsia="仿宋"/>
          <w:color w:val="000000"/>
          <w:sz w:val="32"/>
          <w:szCs w:val="32"/>
        </w:rPr>
      </w:pPr>
      <w:r>
        <w:rPr>
          <w:rFonts w:hint="eastAsia" w:ascii="仿宋" w:hAnsi="仿宋" w:eastAsia="仿宋"/>
          <w:color w:val="000000"/>
          <w:sz w:val="32"/>
          <w:szCs w:val="32"/>
        </w:rPr>
        <w:t>（图2：收入决算结构图）（饼状图）</w:t>
      </w:r>
    </w:p>
    <w:p w14:paraId="1294A9D0">
      <w:pPr>
        <w:pStyle w:val="8"/>
      </w:pPr>
    </w:p>
    <w:p w14:paraId="624790A3">
      <w:pPr>
        <w:pStyle w:val="25"/>
        <w:numPr>
          <w:ilvl w:val="0"/>
          <w:numId w:val="2"/>
        </w:numPr>
        <w:spacing w:line="600" w:lineRule="exact"/>
        <w:ind w:firstLineChars="0"/>
        <w:outlineLvl w:val="1"/>
        <w:rPr>
          <w:rStyle w:val="21"/>
          <w:rFonts w:ascii="黑体" w:hAnsi="黑体" w:eastAsia="黑体"/>
          <w:b w:val="0"/>
        </w:rPr>
      </w:pPr>
      <w:bookmarkStart w:id="16" w:name="_Toc15396605"/>
      <w:bookmarkStart w:id="17" w:name="_Toc15377207"/>
      <w:r>
        <w:rPr>
          <w:rFonts w:hint="eastAsia" w:ascii="黑体" w:hAnsi="黑体" w:eastAsia="黑体"/>
          <w:sz w:val="32"/>
          <w:szCs w:val="32"/>
        </w:rPr>
        <w:t>支</w:t>
      </w:r>
      <w:r>
        <w:rPr>
          <w:rStyle w:val="21"/>
          <w:rFonts w:hint="eastAsia" w:ascii="黑体" w:hAnsi="黑体" w:eastAsia="黑体"/>
          <w:b w:val="0"/>
        </w:rPr>
        <w:t>出决算情况说明</w:t>
      </w:r>
      <w:bookmarkEnd w:id="16"/>
      <w:bookmarkEnd w:id="17"/>
    </w:p>
    <w:p w14:paraId="6AA5971F">
      <w:pPr>
        <w:spacing w:line="600" w:lineRule="exact"/>
        <w:ind w:firstLine="640" w:firstLineChars="200"/>
        <w:outlineLvl w:val="1"/>
        <w:rPr>
          <w:rFonts w:ascii="仿宋_GB2312" w:eastAsia="仿宋_GB2312"/>
          <w:sz w:val="32"/>
          <w:szCs w:val="32"/>
        </w:rPr>
      </w:pPr>
      <w:r>
        <w:rPr>
          <w:rFonts w:hint="eastAsia" w:ascii="仿宋" w:hAnsi="仿宋" w:eastAsia="仿宋"/>
          <w:sz w:val="32"/>
          <w:szCs w:val="32"/>
        </w:rPr>
        <w:t>2023年度本年支出合计206.37万元，其中：基本支出142.3万元，占68.95</w:t>
      </w:r>
      <w:r>
        <w:rPr>
          <w:rFonts w:ascii="仿宋" w:hAnsi="仿宋" w:eastAsia="仿宋"/>
          <w:sz w:val="32"/>
          <w:szCs w:val="32"/>
        </w:rPr>
        <w:t>%</w:t>
      </w:r>
      <w:r>
        <w:rPr>
          <w:rFonts w:hint="eastAsia" w:ascii="仿宋" w:hAnsi="仿宋" w:eastAsia="仿宋"/>
          <w:sz w:val="32"/>
          <w:szCs w:val="32"/>
        </w:rPr>
        <w:t>；项目支出64.07万元，占31.05</w:t>
      </w:r>
      <w:r>
        <w:rPr>
          <w:rFonts w:ascii="仿宋" w:hAnsi="仿宋" w:eastAsia="仿宋"/>
          <w:sz w:val="32"/>
          <w:szCs w:val="32"/>
        </w:rPr>
        <w:t>%</w:t>
      </w:r>
      <w:r>
        <w:rPr>
          <w:rFonts w:hint="eastAsia" w:ascii="仿宋" w:hAnsi="仿宋" w:eastAsia="仿宋"/>
          <w:sz w:val="32"/>
          <w:szCs w:val="32"/>
        </w:rPr>
        <w:t>。</w:t>
      </w:r>
    </w:p>
    <w:p w14:paraId="0541FCC7">
      <w:pPr>
        <w:pStyle w:val="8"/>
        <w:rPr>
          <w:rFonts w:ascii="仿宋_GB2312" w:eastAsia="仿宋_GB2312"/>
          <w:sz w:val="32"/>
          <w:szCs w:val="32"/>
        </w:rPr>
      </w:pPr>
      <w:r>
        <w:drawing>
          <wp:inline distT="0" distB="0" distL="0" distR="0">
            <wp:extent cx="5448300" cy="3286125"/>
            <wp:effectExtent l="19050" t="0" r="0" b="0"/>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noChangeArrowheads="1"/>
                    </pic:cNvPicPr>
                  </pic:nvPicPr>
                  <pic:blipFill>
                    <a:blip r:embed="rId8"/>
                    <a:srcRect/>
                    <a:stretch>
                      <a:fillRect/>
                    </a:stretch>
                  </pic:blipFill>
                  <pic:spPr>
                    <a:xfrm>
                      <a:off x="0" y="0"/>
                      <a:ext cx="5448300" cy="3286125"/>
                    </a:xfrm>
                    <a:prstGeom prst="rect">
                      <a:avLst/>
                    </a:prstGeom>
                    <a:noFill/>
                    <a:ln w="9525" cmpd="sng">
                      <a:noFill/>
                      <a:miter lim="800000"/>
                      <a:headEnd/>
                      <a:tailEnd/>
                    </a:ln>
                    <a:effectLst/>
                  </pic:spPr>
                </pic:pic>
              </a:graphicData>
            </a:graphic>
          </wp:inline>
        </w:drawing>
      </w:r>
    </w:p>
    <w:p w14:paraId="63802701">
      <w:pPr>
        <w:spacing w:line="600" w:lineRule="exact"/>
        <w:ind w:firstLine="640" w:firstLineChars="200"/>
        <w:rPr>
          <w:rFonts w:ascii="仿宋_GB2312" w:eastAsia="仿宋_GB2312"/>
          <w:sz w:val="32"/>
          <w:szCs w:val="32"/>
        </w:rPr>
      </w:pPr>
      <w:r>
        <w:rPr>
          <w:rFonts w:hint="eastAsia" w:ascii="仿宋" w:hAnsi="仿宋" w:eastAsia="仿宋"/>
          <w:sz w:val="32"/>
          <w:szCs w:val="32"/>
        </w:rPr>
        <w:t>（图3：支出决算结构图）（饼状图）</w:t>
      </w:r>
    </w:p>
    <w:p w14:paraId="414B09CF">
      <w:pPr>
        <w:spacing w:line="600" w:lineRule="exact"/>
        <w:ind w:firstLine="640" w:firstLineChars="200"/>
        <w:outlineLvl w:val="1"/>
        <w:rPr>
          <w:rFonts w:ascii="黑体" w:hAnsi="黑体" w:eastAsia="黑体"/>
          <w:sz w:val="32"/>
          <w:szCs w:val="32"/>
        </w:rPr>
      </w:pPr>
      <w:bookmarkStart w:id="18" w:name="_Toc15377208"/>
      <w:bookmarkStart w:id="19" w:name="_Toc15396606"/>
    </w:p>
    <w:p w14:paraId="29BD3F19">
      <w:pPr>
        <w:spacing w:line="600" w:lineRule="exact"/>
        <w:ind w:firstLine="640" w:firstLineChars="200"/>
        <w:outlineLvl w:val="1"/>
        <w:rPr>
          <w:rStyle w:val="21"/>
          <w:rFonts w:ascii="黑体" w:hAnsi="黑体" w:eastAsia="黑体"/>
          <w:b w:val="0"/>
        </w:rPr>
      </w:pPr>
      <w:r>
        <w:rPr>
          <w:rFonts w:hint="eastAsia" w:ascii="黑体" w:hAnsi="黑体" w:eastAsia="黑体"/>
          <w:sz w:val="32"/>
          <w:szCs w:val="32"/>
        </w:rPr>
        <w:t>四、财</w:t>
      </w:r>
      <w:r>
        <w:rPr>
          <w:rStyle w:val="21"/>
          <w:rFonts w:hint="eastAsia" w:ascii="黑体" w:hAnsi="黑体" w:eastAsia="黑体"/>
          <w:b w:val="0"/>
        </w:rPr>
        <w:t>政拨款收入支出决算总体情况说明</w:t>
      </w:r>
      <w:bookmarkEnd w:id="18"/>
      <w:bookmarkEnd w:id="19"/>
    </w:p>
    <w:p w14:paraId="07426FA1">
      <w:pPr>
        <w:spacing w:line="600" w:lineRule="exact"/>
        <w:ind w:firstLine="640" w:firstLineChars="200"/>
        <w:rPr>
          <w:rFonts w:ascii="仿宋" w:hAnsi="仿宋" w:eastAsia="仿宋"/>
          <w:sz w:val="32"/>
          <w:szCs w:val="32"/>
        </w:rPr>
      </w:pPr>
      <w:r>
        <w:rPr>
          <w:rFonts w:hint="eastAsia" w:ascii="仿宋" w:hAnsi="仿宋" w:eastAsia="仿宋"/>
          <w:sz w:val="32"/>
          <w:szCs w:val="32"/>
        </w:rPr>
        <w:t>2023年度财政拨款收、支总计均为206.37万元。与2022年度相比，财政拨款收、支总计各增加13.44万元、增长6.97%。主要变动原因是2023年增加了项目资金。</w:t>
      </w:r>
    </w:p>
    <w:p w14:paraId="482F4A09">
      <w:pPr>
        <w:pStyle w:val="8"/>
        <w:rPr>
          <w:rFonts w:ascii="仿宋" w:hAnsi="仿宋" w:eastAsia="仿宋"/>
          <w:sz w:val="32"/>
          <w:szCs w:val="32"/>
        </w:rPr>
      </w:pPr>
    </w:p>
    <w:p w14:paraId="22738164">
      <w:pPr>
        <w:pStyle w:val="8"/>
        <w:rPr>
          <w:rFonts w:ascii="仿宋" w:hAnsi="仿宋" w:eastAsia="仿宋"/>
          <w:sz w:val="32"/>
          <w:szCs w:val="32"/>
        </w:rPr>
      </w:pPr>
      <w:r>
        <w:drawing>
          <wp:inline distT="0" distB="0" distL="114300" distR="114300">
            <wp:extent cx="4991100" cy="3058160"/>
            <wp:effectExtent l="4445" t="4445" r="14605" b="23495"/>
            <wp:docPr id="1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192647D">
      <w:pPr>
        <w:spacing w:line="600" w:lineRule="exact"/>
        <w:rPr>
          <w:rFonts w:ascii="仿宋" w:hAnsi="仿宋" w:eastAsia="仿宋"/>
          <w:sz w:val="32"/>
          <w:szCs w:val="32"/>
        </w:rPr>
      </w:pPr>
    </w:p>
    <w:p w14:paraId="4C755806">
      <w:pPr>
        <w:spacing w:line="600" w:lineRule="exact"/>
        <w:ind w:firstLine="640" w:firstLineChars="200"/>
        <w:rPr>
          <w:rFonts w:ascii="仿宋" w:hAnsi="仿宋" w:eastAsia="仿宋"/>
          <w:sz w:val="32"/>
          <w:szCs w:val="32"/>
        </w:rPr>
      </w:pPr>
      <w:r>
        <w:rPr>
          <w:rFonts w:hint="eastAsia" w:ascii="仿宋" w:hAnsi="仿宋" w:eastAsia="仿宋"/>
          <w:sz w:val="32"/>
          <w:szCs w:val="32"/>
        </w:rPr>
        <w:t>（图4：财政拨款收、支决算总计变动情况）（柱状图）</w:t>
      </w:r>
    </w:p>
    <w:p w14:paraId="676E8B36">
      <w:pPr>
        <w:pStyle w:val="8"/>
      </w:pPr>
    </w:p>
    <w:p w14:paraId="64683805">
      <w:pPr>
        <w:spacing w:line="600" w:lineRule="exact"/>
        <w:ind w:firstLine="640" w:firstLineChars="200"/>
        <w:outlineLvl w:val="1"/>
        <w:rPr>
          <w:rFonts w:ascii="黑体" w:hAnsi="黑体" w:eastAsia="黑体"/>
          <w:sz w:val="32"/>
          <w:szCs w:val="32"/>
        </w:rPr>
      </w:pPr>
      <w:bookmarkStart w:id="20" w:name="_Toc15396607"/>
      <w:bookmarkStart w:id="21" w:name="_Toc15377209"/>
    </w:p>
    <w:p w14:paraId="0E50A2DB">
      <w:pPr>
        <w:spacing w:line="600" w:lineRule="exact"/>
        <w:ind w:firstLine="640" w:firstLineChars="200"/>
        <w:outlineLvl w:val="1"/>
        <w:rPr>
          <w:rStyle w:val="21"/>
          <w:rFonts w:ascii="黑体" w:hAnsi="黑体" w:eastAsia="黑体"/>
          <w:b w:val="0"/>
        </w:rPr>
      </w:pPr>
      <w:r>
        <w:rPr>
          <w:rFonts w:hint="eastAsia" w:ascii="黑体" w:hAnsi="黑体" w:eastAsia="黑体"/>
          <w:sz w:val="32"/>
          <w:szCs w:val="32"/>
        </w:rPr>
        <w:t>五、</w:t>
      </w:r>
      <w:r>
        <w:rPr>
          <w:rFonts w:hint="eastAsia" w:ascii="黑体" w:hAnsi="黑体" w:eastAsia="黑体"/>
          <w:b/>
          <w:sz w:val="32"/>
          <w:szCs w:val="32"/>
        </w:rPr>
        <w:t>一</w:t>
      </w:r>
      <w:r>
        <w:rPr>
          <w:rStyle w:val="21"/>
          <w:rFonts w:hint="eastAsia" w:ascii="黑体" w:hAnsi="黑体" w:eastAsia="黑体"/>
          <w:b w:val="0"/>
        </w:rPr>
        <w:t>般公共预算财政拨款支出决算情况说明</w:t>
      </w:r>
      <w:bookmarkEnd w:id="20"/>
      <w:bookmarkEnd w:id="21"/>
    </w:p>
    <w:p w14:paraId="25C5FEC3">
      <w:pPr>
        <w:spacing w:line="600" w:lineRule="exact"/>
        <w:ind w:firstLine="643" w:firstLineChars="200"/>
        <w:outlineLvl w:val="2"/>
        <w:rPr>
          <w:rFonts w:ascii="仿宋" w:hAnsi="仿宋" w:eastAsia="仿宋"/>
          <w:b/>
          <w:sz w:val="32"/>
          <w:szCs w:val="32"/>
        </w:rPr>
      </w:pPr>
      <w:bookmarkStart w:id="22" w:name="_Toc15377210"/>
    </w:p>
    <w:p w14:paraId="5830DE13">
      <w:pPr>
        <w:spacing w:line="600" w:lineRule="exact"/>
        <w:ind w:firstLine="643" w:firstLineChars="200"/>
        <w:outlineLvl w:val="2"/>
        <w:rPr>
          <w:rFonts w:ascii="仿宋" w:hAnsi="仿宋" w:eastAsia="仿宋"/>
          <w:b/>
          <w:sz w:val="32"/>
          <w:szCs w:val="32"/>
        </w:rPr>
      </w:pPr>
      <w:r>
        <w:rPr>
          <w:rFonts w:hint="eastAsia" w:ascii="仿宋" w:hAnsi="仿宋" w:eastAsia="仿宋"/>
          <w:b/>
          <w:sz w:val="32"/>
          <w:szCs w:val="32"/>
        </w:rPr>
        <w:t>（一）一般公共预算财政拨款支出决算总体情况</w:t>
      </w:r>
      <w:bookmarkEnd w:id="22"/>
    </w:p>
    <w:p w14:paraId="45A33F56">
      <w:pPr>
        <w:spacing w:line="600" w:lineRule="exact"/>
        <w:ind w:firstLine="640" w:firstLineChars="200"/>
        <w:rPr>
          <w:rFonts w:ascii="仿宋" w:hAnsi="仿宋" w:eastAsia="仿宋"/>
          <w:sz w:val="32"/>
          <w:szCs w:val="32"/>
        </w:rPr>
      </w:pPr>
      <w:r>
        <w:rPr>
          <w:rFonts w:hint="eastAsia" w:ascii="仿宋" w:hAnsi="仿宋" w:eastAsia="仿宋"/>
          <w:sz w:val="32"/>
          <w:szCs w:val="32"/>
        </w:rPr>
        <w:t>2023年度一般公共预算财政拨款支出206.37万元，占本年支出合计的100</w:t>
      </w:r>
      <w:r>
        <w:rPr>
          <w:rFonts w:ascii="仿宋" w:hAnsi="仿宋" w:eastAsia="仿宋"/>
          <w:sz w:val="32"/>
          <w:szCs w:val="32"/>
        </w:rPr>
        <w:t>%</w:t>
      </w:r>
      <w:r>
        <w:rPr>
          <w:rFonts w:hint="eastAsia" w:ascii="仿宋" w:hAnsi="仿宋" w:eastAsia="仿宋"/>
          <w:sz w:val="32"/>
          <w:szCs w:val="32"/>
        </w:rPr>
        <w:t>。与2022年度相比，一般公共预算财政拨款支出增加13.44万元，增长</w:t>
      </w:r>
      <w:r>
        <w:rPr>
          <w:rFonts w:hint="eastAsia" w:ascii="仿宋" w:hAnsi="仿宋" w:eastAsia="仿宋"/>
          <w:sz w:val="32"/>
          <w:szCs w:val="32"/>
          <w:lang w:val="en-US" w:eastAsia="zh-CN"/>
        </w:rPr>
        <w:t>6.97</w:t>
      </w:r>
      <w:r>
        <w:rPr>
          <w:rFonts w:ascii="仿宋" w:hAnsi="仿宋" w:eastAsia="仿宋"/>
          <w:sz w:val="32"/>
          <w:szCs w:val="32"/>
        </w:rPr>
        <w:t>%</w:t>
      </w:r>
      <w:r>
        <w:rPr>
          <w:rFonts w:hint="eastAsia" w:ascii="仿宋" w:hAnsi="仿宋" w:eastAsia="仿宋"/>
          <w:sz w:val="32"/>
          <w:szCs w:val="32"/>
        </w:rPr>
        <w:t>。主要变动原因是2023年增加了项目资金。</w:t>
      </w:r>
    </w:p>
    <w:p w14:paraId="7166A24F">
      <w:pPr>
        <w:pStyle w:val="8"/>
        <w:rPr>
          <w:rFonts w:ascii="仿宋" w:hAnsi="仿宋" w:eastAsia="仿宋"/>
          <w:sz w:val="32"/>
          <w:szCs w:val="32"/>
        </w:rPr>
      </w:pPr>
    </w:p>
    <w:p w14:paraId="72E0F4DF">
      <w:pPr>
        <w:pStyle w:val="8"/>
        <w:rPr>
          <w:rFonts w:ascii="仿宋" w:hAnsi="仿宋" w:eastAsia="仿宋"/>
          <w:sz w:val="32"/>
          <w:szCs w:val="32"/>
        </w:rPr>
      </w:pPr>
    </w:p>
    <w:p w14:paraId="795DB74A">
      <w:pPr>
        <w:pStyle w:val="8"/>
        <w:rPr>
          <w:rFonts w:ascii="仿宋" w:hAnsi="仿宋" w:eastAsia="仿宋"/>
          <w:sz w:val="32"/>
          <w:szCs w:val="32"/>
        </w:rPr>
      </w:pPr>
    </w:p>
    <w:p w14:paraId="38D329B5">
      <w:pPr>
        <w:pStyle w:val="8"/>
        <w:rPr>
          <w:rFonts w:ascii="仿宋" w:hAnsi="仿宋" w:eastAsia="仿宋"/>
          <w:sz w:val="32"/>
          <w:szCs w:val="32"/>
        </w:rPr>
      </w:pPr>
      <w:r>
        <w:drawing>
          <wp:anchor distT="0" distB="0" distL="114300" distR="114300" simplePos="0" relativeHeight="251661312" behindDoc="1" locked="0" layoutInCell="1" allowOverlap="1">
            <wp:simplePos x="0" y="0"/>
            <wp:positionH relativeFrom="column">
              <wp:posOffset>287655</wp:posOffset>
            </wp:positionH>
            <wp:positionV relativeFrom="paragraph">
              <wp:posOffset>63500</wp:posOffset>
            </wp:positionV>
            <wp:extent cx="5047615" cy="3042920"/>
            <wp:effectExtent l="19050" t="0" r="635"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0"/>
                    <a:srcRect/>
                    <a:stretch>
                      <a:fillRect/>
                    </a:stretch>
                  </pic:blipFill>
                  <pic:spPr>
                    <a:xfrm>
                      <a:off x="0" y="0"/>
                      <a:ext cx="5047615" cy="3042920"/>
                    </a:xfrm>
                    <a:prstGeom prst="rect">
                      <a:avLst/>
                    </a:prstGeom>
                    <a:noFill/>
                    <a:ln w="9525" cmpd="sng">
                      <a:noFill/>
                      <a:miter lim="800000"/>
                      <a:headEnd/>
                      <a:tailEnd/>
                    </a:ln>
                    <a:effectLst/>
                  </pic:spPr>
                </pic:pic>
              </a:graphicData>
            </a:graphic>
          </wp:anchor>
        </w:drawing>
      </w:r>
    </w:p>
    <w:p w14:paraId="4B4A9B70">
      <w:pPr>
        <w:pStyle w:val="8"/>
        <w:rPr>
          <w:rFonts w:ascii="仿宋" w:hAnsi="仿宋" w:eastAsia="仿宋"/>
          <w:sz w:val="32"/>
          <w:szCs w:val="32"/>
        </w:rPr>
      </w:pPr>
    </w:p>
    <w:p w14:paraId="7294B063">
      <w:pPr>
        <w:spacing w:line="600" w:lineRule="exact"/>
        <w:ind w:firstLine="640" w:firstLineChars="200"/>
        <w:rPr>
          <w:rFonts w:ascii="仿宋" w:hAnsi="仿宋" w:eastAsia="仿宋"/>
          <w:sz w:val="32"/>
          <w:szCs w:val="32"/>
        </w:rPr>
      </w:pPr>
    </w:p>
    <w:p w14:paraId="3778BE23">
      <w:pPr>
        <w:spacing w:line="600" w:lineRule="exact"/>
        <w:ind w:firstLine="640" w:firstLineChars="200"/>
        <w:rPr>
          <w:rFonts w:ascii="仿宋" w:hAnsi="仿宋" w:eastAsia="仿宋"/>
          <w:sz w:val="32"/>
          <w:szCs w:val="32"/>
        </w:rPr>
      </w:pPr>
    </w:p>
    <w:p w14:paraId="6B151E1C">
      <w:pPr>
        <w:spacing w:line="600" w:lineRule="exact"/>
        <w:ind w:firstLine="640" w:firstLineChars="200"/>
        <w:rPr>
          <w:rFonts w:ascii="仿宋" w:hAnsi="仿宋" w:eastAsia="仿宋"/>
          <w:sz w:val="32"/>
          <w:szCs w:val="32"/>
        </w:rPr>
      </w:pPr>
    </w:p>
    <w:p w14:paraId="50CC2ADD">
      <w:pPr>
        <w:spacing w:line="600" w:lineRule="exact"/>
        <w:rPr>
          <w:rFonts w:ascii="仿宋" w:hAnsi="仿宋" w:eastAsia="仿宋"/>
          <w:sz w:val="32"/>
          <w:szCs w:val="32"/>
        </w:rPr>
      </w:pPr>
    </w:p>
    <w:p w14:paraId="70ADD12D">
      <w:pPr>
        <w:spacing w:line="600" w:lineRule="exact"/>
        <w:ind w:firstLine="640" w:firstLineChars="200"/>
        <w:rPr>
          <w:rFonts w:ascii="仿宋" w:hAnsi="仿宋" w:eastAsia="仿宋"/>
          <w:sz w:val="32"/>
          <w:szCs w:val="32"/>
        </w:rPr>
      </w:pPr>
    </w:p>
    <w:p w14:paraId="56F16725">
      <w:pPr>
        <w:spacing w:line="600" w:lineRule="exact"/>
        <w:ind w:firstLine="643" w:firstLineChars="200"/>
        <w:outlineLvl w:val="2"/>
        <w:rPr>
          <w:rFonts w:ascii="仿宋" w:hAnsi="仿宋" w:eastAsia="仿宋"/>
          <w:b/>
          <w:sz w:val="32"/>
          <w:szCs w:val="32"/>
        </w:rPr>
      </w:pPr>
      <w:bookmarkStart w:id="23" w:name="_Toc15377211"/>
    </w:p>
    <w:p w14:paraId="79611EEC">
      <w:pPr>
        <w:spacing w:line="600" w:lineRule="exact"/>
        <w:ind w:firstLine="320" w:firstLineChars="100"/>
        <w:rPr>
          <w:rFonts w:ascii="仿宋" w:hAnsi="仿宋" w:eastAsia="仿宋"/>
          <w:sz w:val="32"/>
          <w:szCs w:val="32"/>
        </w:rPr>
      </w:pPr>
      <w:r>
        <w:rPr>
          <w:rFonts w:hint="eastAsia" w:ascii="仿宋" w:hAnsi="仿宋" w:eastAsia="仿宋"/>
          <w:sz w:val="32"/>
          <w:szCs w:val="32"/>
        </w:rPr>
        <w:t>（图5：一般公共预算财政拨款支出决算变动情况）（柱状图）</w:t>
      </w:r>
    </w:p>
    <w:p w14:paraId="1F776145">
      <w:pPr>
        <w:spacing w:line="600" w:lineRule="exact"/>
        <w:ind w:firstLine="643" w:firstLineChars="200"/>
        <w:outlineLvl w:val="2"/>
        <w:rPr>
          <w:rFonts w:ascii="仿宋" w:hAnsi="仿宋" w:eastAsia="仿宋"/>
          <w:b/>
          <w:sz w:val="32"/>
          <w:szCs w:val="32"/>
        </w:rPr>
      </w:pPr>
      <w:r>
        <w:rPr>
          <w:rFonts w:hint="eastAsia" w:ascii="仿宋" w:hAnsi="仿宋" w:eastAsia="仿宋"/>
          <w:b/>
          <w:sz w:val="32"/>
          <w:szCs w:val="32"/>
        </w:rPr>
        <w:t>（二）一般公共预算财政拨款支出决算结构情况</w:t>
      </w:r>
      <w:bookmarkEnd w:id="23"/>
    </w:p>
    <w:p w14:paraId="0DCBAA35">
      <w:pPr>
        <w:spacing w:line="600" w:lineRule="exact"/>
        <w:ind w:firstLine="640"/>
        <w:rPr>
          <w:rFonts w:ascii="仿宋" w:hAnsi="仿宋" w:eastAsia="仿宋"/>
          <w:sz w:val="32"/>
          <w:szCs w:val="32"/>
        </w:rPr>
      </w:pPr>
      <w:r>
        <w:rPr>
          <w:rFonts w:hint="eastAsia" w:ascii="仿宋" w:hAnsi="仿宋" w:eastAsia="仿宋"/>
          <w:sz w:val="32"/>
          <w:szCs w:val="32"/>
        </w:rPr>
        <w:t>2023年度一般公共预算财政拨款支出206.37万元，主要用于以下方面</w:t>
      </w:r>
      <w:r>
        <w:rPr>
          <w:rFonts w:ascii="仿宋" w:hAnsi="仿宋" w:eastAsia="仿宋"/>
          <w:sz w:val="32"/>
          <w:szCs w:val="32"/>
        </w:rPr>
        <w:t>:</w:t>
      </w:r>
      <w:r>
        <w:rPr>
          <w:rFonts w:hint="eastAsia" w:ascii="仿宋" w:hAnsi="仿宋" w:eastAsia="仿宋"/>
          <w:b/>
          <w:sz w:val="32"/>
          <w:szCs w:val="32"/>
        </w:rPr>
        <w:t>科学技术</w:t>
      </w:r>
      <w:r>
        <w:rPr>
          <w:rFonts w:hint="eastAsia" w:ascii="仿宋" w:hAnsi="仿宋" w:eastAsia="仿宋"/>
          <w:b/>
          <w:bCs/>
          <w:sz w:val="32"/>
          <w:szCs w:val="32"/>
        </w:rPr>
        <w:t>支出</w:t>
      </w:r>
      <w:r>
        <w:rPr>
          <w:rFonts w:hint="eastAsia" w:ascii="仿宋" w:hAnsi="仿宋" w:eastAsia="仿宋"/>
          <w:sz w:val="32"/>
          <w:szCs w:val="32"/>
        </w:rPr>
        <w:t>158.46万元，占76.78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rPr>
        <w:t>28.57万元，占13.84</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rPr>
        <w:t>10.05万元，占4.87</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rPr>
        <w:t>9.29万元，占4.5</w:t>
      </w:r>
      <w:r>
        <w:rPr>
          <w:rFonts w:ascii="仿宋" w:hAnsi="仿宋" w:eastAsia="仿宋"/>
          <w:sz w:val="32"/>
          <w:szCs w:val="32"/>
        </w:rPr>
        <w:t>%</w:t>
      </w:r>
      <w:r>
        <w:rPr>
          <w:rFonts w:hint="eastAsia" w:ascii="仿宋" w:hAnsi="仿宋" w:eastAsia="仿宋"/>
          <w:sz w:val="32"/>
          <w:szCs w:val="32"/>
        </w:rPr>
        <w:t>。</w:t>
      </w:r>
    </w:p>
    <w:p w14:paraId="053364CF">
      <w:pPr>
        <w:pStyle w:val="8"/>
      </w:pPr>
    </w:p>
    <w:p w14:paraId="5980CE05">
      <w:pPr>
        <w:pStyle w:val="8"/>
        <w:rPr>
          <w:rFonts w:ascii="仿宋" w:hAnsi="仿宋" w:eastAsia="仿宋"/>
          <w:sz w:val="32"/>
          <w:szCs w:val="32"/>
        </w:rPr>
      </w:pPr>
    </w:p>
    <w:p w14:paraId="483A447A">
      <w:pPr>
        <w:pStyle w:val="8"/>
        <w:rPr>
          <w:rFonts w:ascii="仿宋" w:hAnsi="仿宋" w:eastAsia="仿宋"/>
          <w:sz w:val="32"/>
          <w:szCs w:val="32"/>
        </w:rPr>
      </w:pPr>
      <w:r>
        <w:drawing>
          <wp:inline distT="0" distB="0" distL="0" distR="0">
            <wp:extent cx="5198110" cy="3578225"/>
            <wp:effectExtent l="4972" t="5910" r="16336" b="16252"/>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5B6791D">
      <w:pPr>
        <w:spacing w:line="60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（图6：一般公共预算财政拨款支出决算结构）（饼状图）</w:t>
      </w:r>
    </w:p>
    <w:p w14:paraId="574F52C5">
      <w:pPr>
        <w:spacing w:line="600" w:lineRule="exact"/>
        <w:ind w:firstLine="643" w:firstLineChars="200"/>
        <w:outlineLvl w:val="2"/>
        <w:rPr>
          <w:rFonts w:ascii="仿宋" w:hAnsi="仿宋" w:eastAsia="仿宋"/>
          <w:b/>
          <w:sz w:val="32"/>
          <w:szCs w:val="32"/>
        </w:rPr>
      </w:pPr>
      <w:bookmarkStart w:id="24" w:name="_Toc15377212"/>
      <w:r>
        <w:rPr>
          <w:rFonts w:hint="eastAsia" w:ascii="仿宋" w:hAnsi="仿宋" w:eastAsia="仿宋"/>
          <w:b/>
          <w:sz w:val="32"/>
          <w:szCs w:val="32"/>
        </w:rPr>
        <w:t>（三）一般公共预算财政拨款支出决算具体情况</w:t>
      </w:r>
      <w:bookmarkEnd w:id="24"/>
    </w:p>
    <w:p w14:paraId="73F69198">
      <w:pPr>
        <w:spacing w:line="600" w:lineRule="exact"/>
        <w:ind w:firstLine="643" w:firstLineChars="200"/>
        <w:outlineLvl w:val="2"/>
        <w:rPr>
          <w:rFonts w:ascii="仿宋" w:hAnsi="仿宋" w:eastAsia="仿宋"/>
          <w:sz w:val="32"/>
          <w:szCs w:val="32"/>
        </w:rPr>
      </w:pPr>
      <w:bookmarkStart w:id="25" w:name="_Toc15378460"/>
      <w:bookmarkStart w:id="26" w:name="_Toc15377444"/>
      <w:bookmarkStart w:id="27" w:name="_Toc15377213"/>
      <w:r>
        <w:rPr>
          <w:rFonts w:hint="eastAsia" w:ascii="仿宋" w:hAnsi="仿宋" w:eastAsia="仿宋"/>
          <w:b/>
          <w:sz w:val="32"/>
          <w:szCs w:val="32"/>
        </w:rPr>
        <w:t>2023年度一般公共预算支出决算数为206.37</w:t>
      </w:r>
      <w:r>
        <w:rPr>
          <w:rFonts w:hint="eastAsia" w:ascii="仿宋" w:hAnsi="仿宋" w:eastAsia="仿宋"/>
          <w:sz w:val="32"/>
          <w:szCs w:val="32"/>
        </w:rPr>
        <w:t>，</w:t>
      </w:r>
      <w:r>
        <w:rPr>
          <w:rStyle w:val="18"/>
          <w:rFonts w:hint="eastAsia" w:ascii="仿宋" w:hAnsi="仿宋" w:eastAsia="仿宋"/>
          <w:bCs/>
          <w:sz w:val="32"/>
          <w:szCs w:val="32"/>
        </w:rPr>
        <w:t>完成预算100</w:t>
      </w:r>
      <w:r>
        <w:rPr>
          <w:rStyle w:val="18"/>
          <w:rFonts w:ascii="仿宋" w:hAnsi="仿宋" w:eastAsia="仿宋"/>
          <w:bCs/>
          <w:sz w:val="32"/>
          <w:szCs w:val="32"/>
        </w:rPr>
        <w:t>%</w:t>
      </w:r>
      <w:r>
        <w:rPr>
          <w:rStyle w:val="18"/>
          <w:rFonts w:hint="eastAsia" w:ascii="仿宋" w:hAnsi="仿宋" w:eastAsia="仿宋"/>
          <w:bCs/>
          <w:sz w:val="32"/>
          <w:szCs w:val="32"/>
        </w:rPr>
        <w:t>。其中：</w:t>
      </w:r>
      <w:bookmarkEnd w:id="25"/>
      <w:bookmarkEnd w:id="26"/>
      <w:bookmarkEnd w:id="27"/>
    </w:p>
    <w:p w14:paraId="02AA961F">
      <w:pPr>
        <w:numPr>
          <w:ilvl w:val="0"/>
          <w:numId w:val="3"/>
        </w:numPr>
        <w:spacing w:line="600" w:lineRule="exact"/>
        <w:ind w:firstLine="643" w:firstLineChars="200"/>
        <w:rPr>
          <w:rStyle w:val="18"/>
          <w:rFonts w:ascii="仿宋" w:hAnsi="仿宋" w:eastAsia="仿宋"/>
          <w:b w:val="0"/>
          <w:bCs/>
          <w:sz w:val="32"/>
          <w:szCs w:val="32"/>
        </w:rPr>
      </w:pPr>
      <w:r>
        <w:rPr>
          <w:rStyle w:val="18"/>
          <w:rFonts w:hint="eastAsia" w:ascii="仿宋" w:hAnsi="仿宋" w:eastAsia="仿宋"/>
          <w:bCs/>
          <w:sz w:val="32"/>
          <w:szCs w:val="32"/>
        </w:rPr>
        <w:t>科学技术支出（类）科学技术管理事务（款）</w:t>
      </w:r>
      <w:r>
        <w:rPr>
          <w:rStyle w:val="18"/>
          <w:rFonts w:hint="eastAsia" w:ascii="仿宋" w:hAnsi="仿宋" w:eastAsia="仿宋"/>
          <w:b w:val="0"/>
          <w:sz w:val="32"/>
          <w:szCs w:val="32"/>
        </w:rPr>
        <w:t>行政运行（项）</w:t>
      </w:r>
      <w:r>
        <w:rPr>
          <w:rStyle w:val="18"/>
          <w:rFonts w:ascii="仿宋" w:hAnsi="仿宋" w:eastAsia="仿宋"/>
          <w:b w:val="0"/>
          <w:sz w:val="32"/>
          <w:szCs w:val="32"/>
        </w:rPr>
        <w:t xml:space="preserve">: </w:t>
      </w:r>
      <w:r>
        <w:rPr>
          <w:rStyle w:val="18"/>
          <w:rFonts w:hint="eastAsia" w:ascii="仿宋" w:hAnsi="仿宋" w:eastAsia="仿宋"/>
          <w:b w:val="0"/>
          <w:bCs/>
          <w:sz w:val="32"/>
          <w:szCs w:val="32"/>
        </w:rPr>
        <w:t>支出决算为94.39万元，完成预算100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7C49ED9C">
      <w:pPr>
        <w:numPr>
          <w:ilvl w:val="0"/>
          <w:numId w:val="3"/>
        </w:numPr>
        <w:spacing w:line="600" w:lineRule="exact"/>
        <w:ind w:firstLine="643" w:firstLineChars="200"/>
        <w:rPr>
          <w:rFonts w:ascii="仿宋" w:hAnsi="仿宋" w:eastAsia="仿宋"/>
          <w:b/>
          <w:sz w:val="32"/>
          <w:szCs w:val="32"/>
        </w:rPr>
      </w:pPr>
      <w:r>
        <w:rPr>
          <w:rStyle w:val="18"/>
          <w:rFonts w:hint="eastAsia" w:ascii="仿宋" w:hAnsi="仿宋" w:eastAsia="仿宋"/>
          <w:bCs/>
          <w:sz w:val="32"/>
          <w:szCs w:val="32"/>
        </w:rPr>
        <w:t>科学技术支出（类）科学技术管理事务（款）</w:t>
      </w:r>
      <w:r>
        <w:rPr>
          <w:rStyle w:val="18"/>
          <w:rFonts w:hint="eastAsia" w:ascii="仿宋" w:hAnsi="仿宋" w:eastAsia="仿宋"/>
          <w:b w:val="0"/>
          <w:bCs/>
          <w:sz w:val="32"/>
          <w:szCs w:val="32"/>
        </w:rPr>
        <w:t>其他科学技术管理事务支出</w:t>
      </w:r>
      <w:r>
        <w:rPr>
          <w:rStyle w:val="18"/>
          <w:rFonts w:hint="eastAsia" w:ascii="仿宋" w:hAnsi="仿宋" w:eastAsia="仿宋"/>
          <w:b w:val="0"/>
          <w:sz w:val="32"/>
          <w:szCs w:val="32"/>
        </w:rPr>
        <w:t>（项）</w:t>
      </w:r>
      <w:r>
        <w:rPr>
          <w:rStyle w:val="18"/>
          <w:rFonts w:hint="eastAsia" w:ascii="仿宋" w:hAnsi="仿宋" w:eastAsia="仿宋"/>
          <w:b w:val="0"/>
          <w:bCs/>
          <w:sz w:val="32"/>
          <w:szCs w:val="32"/>
        </w:rPr>
        <w:t>支出决算为3.00万元，完成预算100%，决算数与预算数一致。</w:t>
      </w:r>
    </w:p>
    <w:p w14:paraId="490021D5">
      <w:pPr>
        <w:numPr>
          <w:ilvl w:val="0"/>
          <w:numId w:val="3"/>
        </w:numPr>
        <w:spacing w:line="600" w:lineRule="exact"/>
        <w:ind w:firstLine="643" w:firstLineChars="200"/>
        <w:rPr>
          <w:rFonts w:ascii="仿宋" w:hAnsi="仿宋" w:eastAsia="仿宋"/>
          <w:b/>
          <w:sz w:val="32"/>
          <w:szCs w:val="32"/>
        </w:rPr>
      </w:pPr>
      <w:r>
        <w:rPr>
          <w:rStyle w:val="18"/>
          <w:rFonts w:hint="eastAsia" w:ascii="仿宋" w:hAnsi="仿宋" w:eastAsia="仿宋"/>
          <w:bCs/>
          <w:sz w:val="32"/>
          <w:szCs w:val="32"/>
        </w:rPr>
        <w:t>科学技术支出（类）科学技术普及（款）</w:t>
      </w:r>
      <w:r>
        <w:rPr>
          <w:rStyle w:val="18"/>
          <w:rFonts w:hint="eastAsia" w:ascii="仿宋" w:hAnsi="仿宋" w:eastAsia="仿宋"/>
          <w:b w:val="0"/>
          <w:bCs/>
          <w:sz w:val="32"/>
          <w:szCs w:val="32"/>
        </w:rPr>
        <w:t>其他科学技术普及支出</w:t>
      </w:r>
      <w:r>
        <w:rPr>
          <w:rStyle w:val="18"/>
          <w:rFonts w:hint="eastAsia" w:ascii="仿宋" w:hAnsi="仿宋" w:eastAsia="仿宋"/>
          <w:b w:val="0"/>
          <w:sz w:val="32"/>
          <w:szCs w:val="32"/>
        </w:rPr>
        <w:t>（项）</w:t>
      </w:r>
      <w:r>
        <w:rPr>
          <w:rStyle w:val="18"/>
          <w:rFonts w:hint="eastAsia" w:ascii="仿宋" w:hAnsi="仿宋" w:eastAsia="仿宋"/>
          <w:b w:val="0"/>
          <w:bCs/>
          <w:sz w:val="32"/>
          <w:szCs w:val="32"/>
        </w:rPr>
        <w:t>支出决算为61.07万元，完成预算100%，决算数与预算数一致。</w:t>
      </w:r>
    </w:p>
    <w:p w14:paraId="7A26DC54">
      <w:pPr>
        <w:numPr>
          <w:ilvl w:val="0"/>
          <w:numId w:val="3"/>
        </w:numPr>
        <w:spacing w:line="600" w:lineRule="exact"/>
        <w:ind w:left="0" w:leftChars="0"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rPr>
        <w:t>社会保障和就业</w:t>
      </w:r>
      <w:r>
        <w:rPr>
          <w:rStyle w:val="18"/>
          <w:rFonts w:hint="eastAsia" w:ascii="仿宋" w:hAnsi="仿宋" w:eastAsia="仿宋"/>
          <w:bCs/>
          <w:sz w:val="32"/>
          <w:szCs w:val="32"/>
          <w:lang w:eastAsia="zh-CN"/>
        </w:rPr>
        <w:t>支出</w:t>
      </w:r>
      <w:r>
        <w:rPr>
          <w:rStyle w:val="18"/>
          <w:rFonts w:hint="eastAsia" w:ascii="仿宋" w:hAnsi="仿宋" w:eastAsia="仿宋"/>
          <w:bCs/>
          <w:sz w:val="32"/>
          <w:szCs w:val="32"/>
        </w:rPr>
        <w:t>（类）</w:t>
      </w:r>
      <w:r>
        <w:rPr>
          <w:rStyle w:val="18"/>
          <w:rFonts w:hint="eastAsia" w:ascii="仿宋" w:hAnsi="仿宋" w:eastAsia="仿宋"/>
          <w:bCs/>
          <w:sz w:val="32"/>
          <w:szCs w:val="32"/>
          <w:lang w:eastAsia="zh-CN"/>
        </w:rPr>
        <w:t>行政事业单位养老支出</w:t>
      </w:r>
      <w:r>
        <w:rPr>
          <w:rStyle w:val="18"/>
          <w:rFonts w:hint="eastAsia" w:ascii="仿宋" w:hAnsi="仿宋" w:eastAsia="仿宋"/>
          <w:bCs/>
          <w:sz w:val="32"/>
          <w:szCs w:val="32"/>
        </w:rPr>
        <w:t>（款）</w:t>
      </w:r>
      <w:r>
        <w:rPr>
          <w:rStyle w:val="18"/>
          <w:rFonts w:hint="eastAsia" w:ascii="仿宋" w:hAnsi="仿宋" w:eastAsia="仿宋"/>
          <w:b w:val="0"/>
          <w:sz w:val="32"/>
          <w:szCs w:val="32"/>
        </w:rPr>
        <w:t>行政单位离退休</w:t>
      </w:r>
      <w:r>
        <w:rPr>
          <w:rStyle w:val="18"/>
          <w:rFonts w:hint="eastAsia" w:ascii="仿宋" w:hAnsi="仿宋" w:eastAsia="仿宋"/>
          <w:b w:val="0"/>
          <w:bCs/>
          <w:sz w:val="32"/>
          <w:szCs w:val="32"/>
        </w:rPr>
        <w:t>支出</w:t>
      </w:r>
      <w:r>
        <w:rPr>
          <w:rStyle w:val="18"/>
          <w:rFonts w:hint="eastAsia" w:ascii="仿宋" w:hAnsi="仿宋" w:eastAsia="仿宋"/>
          <w:b w:val="0"/>
          <w:sz w:val="32"/>
          <w:szCs w:val="32"/>
        </w:rPr>
        <w:t>（项）</w:t>
      </w:r>
      <w:r>
        <w:rPr>
          <w:rStyle w:val="18"/>
          <w:rFonts w:hint="eastAsia" w:ascii="仿宋" w:hAnsi="仿宋" w:eastAsia="仿宋"/>
          <w:b w:val="0"/>
          <w:bCs/>
          <w:sz w:val="32"/>
          <w:szCs w:val="32"/>
        </w:rPr>
        <w:t>支出决算为</w:t>
      </w:r>
      <w:r>
        <w:rPr>
          <w:rStyle w:val="18"/>
          <w:rFonts w:ascii="仿宋" w:hAnsi="仿宋" w:eastAsia="仿宋"/>
          <w:b w:val="0"/>
          <w:sz w:val="32"/>
          <w:szCs w:val="32"/>
        </w:rPr>
        <w:t xml:space="preserve"> </w:t>
      </w:r>
      <w:r>
        <w:rPr>
          <w:rStyle w:val="18"/>
          <w:rFonts w:hint="eastAsia" w:ascii="仿宋" w:hAnsi="仿宋" w:eastAsia="仿宋"/>
          <w:b w:val="0"/>
          <w:bCs/>
          <w:sz w:val="32"/>
          <w:szCs w:val="32"/>
        </w:rPr>
        <w:t>7.57万元，完成预算100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2F018C52">
      <w:pPr>
        <w:numPr>
          <w:ilvl w:val="0"/>
          <w:numId w:val="3"/>
        </w:numPr>
        <w:spacing w:line="600" w:lineRule="exact"/>
        <w:ind w:left="0" w:leftChars="0" w:firstLine="643" w:firstLineChars="200"/>
        <w:rPr>
          <w:rFonts w:ascii="仿宋" w:hAnsi="仿宋" w:eastAsia="仿宋"/>
          <w:b/>
          <w:sz w:val="32"/>
          <w:szCs w:val="32"/>
        </w:rPr>
      </w:pPr>
      <w:r>
        <w:rPr>
          <w:rStyle w:val="18"/>
          <w:rFonts w:hint="eastAsia" w:ascii="仿宋" w:hAnsi="仿宋" w:eastAsia="仿宋"/>
          <w:bCs/>
          <w:sz w:val="32"/>
          <w:szCs w:val="32"/>
        </w:rPr>
        <w:t>社会保障和就业</w:t>
      </w:r>
      <w:r>
        <w:rPr>
          <w:rStyle w:val="18"/>
          <w:rFonts w:hint="eastAsia" w:ascii="仿宋" w:hAnsi="仿宋" w:eastAsia="仿宋"/>
          <w:bCs/>
          <w:sz w:val="32"/>
          <w:szCs w:val="32"/>
          <w:lang w:eastAsia="zh-CN"/>
        </w:rPr>
        <w:t>支出</w:t>
      </w:r>
      <w:r>
        <w:rPr>
          <w:rStyle w:val="18"/>
          <w:rFonts w:hint="eastAsia" w:ascii="仿宋" w:hAnsi="仿宋" w:eastAsia="仿宋"/>
          <w:bCs/>
          <w:sz w:val="32"/>
          <w:szCs w:val="32"/>
        </w:rPr>
        <w:t>（类）</w:t>
      </w:r>
      <w:r>
        <w:rPr>
          <w:rStyle w:val="18"/>
          <w:rFonts w:hint="eastAsia" w:ascii="仿宋" w:hAnsi="仿宋" w:eastAsia="仿宋"/>
          <w:bCs/>
          <w:sz w:val="32"/>
          <w:szCs w:val="32"/>
          <w:lang w:eastAsia="zh-CN"/>
        </w:rPr>
        <w:t>行政事业单位养老支出</w:t>
      </w:r>
      <w:r>
        <w:rPr>
          <w:rStyle w:val="18"/>
          <w:rFonts w:hint="eastAsia" w:ascii="仿宋" w:hAnsi="仿宋" w:eastAsia="仿宋"/>
          <w:bCs/>
          <w:sz w:val="32"/>
          <w:szCs w:val="32"/>
        </w:rPr>
        <w:t>（款）</w:t>
      </w:r>
      <w:r>
        <w:rPr>
          <w:rStyle w:val="18"/>
          <w:rFonts w:hint="eastAsia" w:ascii="仿宋" w:hAnsi="仿宋" w:eastAsia="仿宋"/>
          <w:b w:val="0"/>
          <w:bCs/>
          <w:sz w:val="32"/>
          <w:szCs w:val="32"/>
        </w:rPr>
        <w:t>机关事业单位</w:t>
      </w:r>
      <w:r>
        <w:rPr>
          <w:rStyle w:val="18"/>
          <w:rFonts w:hint="eastAsia" w:ascii="仿宋" w:hAnsi="仿宋" w:eastAsia="仿宋"/>
          <w:b w:val="0"/>
          <w:bCs/>
          <w:sz w:val="32"/>
          <w:szCs w:val="32"/>
          <w:lang w:eastAsia="zh-CN"/>
        </w:rPr>
        <w:t>基本</w:t>
      </w:r>
      <w:r>
        <w:rPr>
          <w:rStyle w:val="18"/>
          <w:rFonts w:hint="eastAsia" w:ascii="仿宋" w:hAnsi="仿宋" w:eastAsia="仿宋"/>
          <w:b w:val="0"/>
          <w:bCs/>
          <w:sz w:val="32"/>
          <w:szCs w:val="32"/>
        </w:rPr>
        <w:t>养老保险缴费支出</w:t>
      </w:r>
      <w:r>
        <w:rPr>
          <w:rStyle w:val="18"/>
          <w:rFonts w:hint="eastAsia" w:ascii="仿宋" w:hAnsi="仿宋" w:eastAsia="仿宋"/>
          <w:b w:val="0"/>
          <w:sz w:val="32"/>
          <w:szCs w:val="32"/>
        </w:rPr>
        <w:t>（项）</w:t>
      </w:r>
      <w:r>
        <w:rPr>
          <w:rStyle w:val="18"/>
          <w:rFonts w:hint="eastAsia" w:ascii="仿宋" w:hAnsi="仿宋" w:eastAsia="仿宋"/>
          <w:b w:val="0"/>
          <w:bCs/>
          <w:sz w:val="32"/>
          <w:szCs w:val="32"/>
        </w:rPr>
        <w:t>支出决算为13.12万元，完成预算100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0C6B4DE6">
      <w:pPr>
        <w:numPr>
          <w:ilvl w:val="0"/>
          <w:numId w:val="3"/>
        </w:numPr>
        <w:spacing w:line="600" w:lineRule="exact"/>
        <w:ind w:left="0" w:leftChars="0" w:firstLine="643" w:firstLineChars="200"/>
        <w:rPr>
          <w:rFonts w:ascii="仿宋" w:hAnsi="仿宋" w:eastAsia="仿宋"/>
          <w:b/>
          <w:sz w:val="32"/>
          <w:szCs w:val="32"/>
        </w:rPr>
      </w:pPr>
      <w:r>
        <w:rPr>
          <w:rStyle w:val="18"/>
          <w:rFonts w:hint="eastAsia" w:ascii="仿宋" w:hAnsi="仿宋" w:eastAsia="仿宋"/>
          <w:bCs/>
          <w:sz w:val="32"/>
          <w:szCs w:val="32"/>
        </w:rPr>
        <w:t>社会保障和就业</w:t>
      </w:r>
      <w:r>
        <w:rPr>
          <w:rStyle w:val="18"/>
          <w:rFonts w:hint="eastAsia" w:ascii="仿宋" w:hAnsi="仿宋" w:eastAsia="仿宋"/>
          <w:bCs/>
          <w:sz w:val="32"/>
          <w:szCs w:val="32"/>
          <w:lang w:eastAsia="zh-CN"/>
        </w:rPr>
        <w:t>支出</w:t>
      </w:r>
      <w:r>
        <w:rPr>
          <w:rStyle w:val="18"/>
          <w:rFonts w:hint="eastAsia" w:ascii="仿宋" w:hAnsi="仿宋" w:eastAsia="仿宋"/>
          <w:bCs/>
          <w:sz w:val="32"/>
          <w:szCs w:val="32"/>
        </w:rPr>
        <w:t>（类）</w:t>
      </w:r>
      <w:r>
        <w:rPr>
          <w:rStyle w:val="18"/>
          <w:rFonts w:hint="eastAsia" w:ascii="仿宋" w:hAnsi="仿宋" w:eastAsia="仿宋"/>
          <w:bCs/>
          <w:sz w:val="32"/>
          <w:szCs w:val="32"/>
          <w:lang w:eastAsia="zh-CN"/>
        </w:rPr>
        <w:t>行政事业单位养老支出</w:t>
      </w:r>
      <w:r>
        <w:rPr>
          <w:rStyle w:val="18"/>
          <w:rFonts w:hint="eastAsia" w:ascii="仿宋" w:hAnsi="仿宋" w:eastAsia="仿宋"/>
          <w:bCs/>
          <w:sz w:val="32"/>
          <w:szCs w:val="32"/>
        </w:rPr>
        <w:t>（款）</w:t>
      </w:r>
      <w:r>
        <w:rPr>
          <w:rStyle w:val="18"/>
          <w:rFonts w:hint="eastAsia" w:ascii="仿宋" w:hAnsi="仿宋" w:eastAsia="仿宋"/>
          <w:b w:val="0"/>
          <w:bCs/>
          <w:sz w:val="32"/>
          <w:szCs w:val="32"/>
        </w:rPr>
        <w:t>机关事业单位职业年金缴费支出</w:t>
      </w:r>
      <w:r>
        <w:rPr>
          <w:rStyle w:val="18"/>
          <w:rFonts w:hint="eastAsia" w:ascii="仿宋" w:hAnsi="仿宋" w:eastAsia="仿宋"/>
          <w:b w:val="0"/>
          <w:sz w:val="32"/>
          <w:szCs w:val="32"/>
        </w:rPr>
        <w:t>（项）</w:t>
      </w:r>
      <w:r>
        <w:rPr>
          <w:rStyle w:val="18"/>
          <w:rFonts w:hint="eastAsia" w:ascii="仿宋" w:hAnsi="仿宋" w:eastAsia="仿宋"/>
          <w:b w:val="0"/>
          <w:bCs/>
          <w:sz w:val="32"/>
          <w:szCs w:val="32"/>
        </w:rPr>
        <w:t>支出决算为7.88万元</w:t>
      </w:r>
      <w:r>
        <w:rPr>
          <w:rStyle w:val="18"/>
          <w:rFonts w:hint="eastAsia" w:ascii="仿宋" w:hAnsi="仿宋" w:eastAsia="仿宋"/>
          <w:b w:val="0"/>
          <w:bCs/>
          <w:sz w:val="32"/>
          <w:szCs w:val="32"/>
          <w:lang w:eastAsia="zh-CN"/>
        </w:rPr>
        <w:t>，</w:t>
      </w:r>
      <w:r>
        <w:rPr>
          <w:rStyle w:val="18"/>
          <w:rFonts w:hint="eastAsia" w:ascii="仿宋" w:hAnsi="仿宋" w:eastAsia="仿宋"/>
          <w:b w:val="0"/>
          <w:bCs/>
          <w:sz w:val="32"/>
          <w:szCs w:val="32"/>
        </w:rPr>
        <w:t>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6D7794F5">
      <w:pPr>
        <w:numPr>
          <w:ilvl w:val="0"/>
          <w:numId w:val="3"/>
        </w:numPr>
        <w:spacing w:line="600" w:lineRule="exact"/>
        <w:ind w:left="0" w:leftChars="0" w:firstLine="643" w:firstLineChars="200"/>
        <w:rPr>
          <w:rStyle w:val="18"/>
          <w:rFonts w:hint="eastAsia" w:ascii="仿宋" w:hAnsi="仿宋" w:eastAsia="仿宋"/>
          <w:b w:val="0"/>
          <w:bCs/>
          <w:sz w:val="32"/>
          <w:szCs w:val="32"/>
        </w:rPr>
      </w:pPr>
      <w:r>
        <w:rPr>
          <w:rFonts w:hint="eastAsia" w:ascii="仿宋" w:hAnsi="仿宋" w:eastAsia="仿宋"/>
          <w:b/>
          <w:bCs/>
          <w:sz w:val="32"/>
          <w:szCs w:val="32"/>
        </w:rPr>
        <w:t>卫生健康</w:t>
      </w:r>
      <w:r>
        <w:rPr>
          <w:rFonts w:hint="eastAsia" w:ascii="仿宋" w:hAnsi="仿宋" w:eastAsia="仿宋"/>
          <w:b/>
          <w:bCs/>
          <w:sz w:val="32"/>
          <w:szCs w:val="32"/>
          <w:lang w:eastAsia="zh-CN"/>
        </w:rPr>
        <w:t>支出</w:t>
      </w:r>
      <w:r>
        <w:rPr>
          <w:rStyle w:val="18"/>
          <w:rFonts w:hint="eastAsia" w:ascii="仿宋" w:hAnsi="仿宋" w:eastAsia="仿宋"/>
          <w:bCs/>
          <w:sz w:val="32"/>
          <w:szCs w:val="32"/>
        </w:rPr>
        <w:t>（类）</w:t>
      </w:r>
      <w:r>
        <w:rPr>
          <w:rStyle w:val="18"/>
          <w:rFonts w:hint="eastAsia" w:ascii="仿宋" w:hAnsi="仿宋" w:eastAsia="仿宋"/>
          <w:bCs/>
          <w:sz w:val="32"/>
          <w:szCs w:val="32"/>
          <w:lang w:eastAsia="zh-CN"/>
        </w:rPr>
        <w:t>行政事业单位医疗</w:t>
      </w:r>
      <w:r>
        <w:rPr>
          <w:rStyle w:val="18"/>
          <w:rFonts w:hint="eastAsia" w:ascii="仿宋" w:hAnsi="仿宋" w:eastAsia="仿宋"/>
          <w:bCs/>
          <w:sz w:val="32"/>
          <w:szCs w:val="32"/>
        </w:rPr>
        <w:t>（款）</w:t>
      </w:r>
      <w:r>
        <w:rPr>
          <w:rStyle w:val="18"/>
          <w:rFonts w:hint="eastAsia" w:ascii="仿宋" w:hAnsi="仿宋" w:eastAsia="仿宋"/>
          <w:b w:val="0"/>
          <w:sz w:val="32"/>
          <w:szCs w:val="32"/>
        </w:rPr>
        <w:t>行政单位医疗（项）</w:t>
      </w:r>
      <w:r>
        <w:rPr>
          <w:rStyle w:val="18"/>
          <w:rFonts w:ascii="仿宋" w:hAnsi="仿宋" w:eastAsia="仿宋"/>
          <w:bCs/>
          <w:sz w:val="32"/>
          <w:szCs w:val="32"/>
        </w:rPr>
        <w:t>:</w:t>
      </w:r>
      <w:r>
        <w:rPr>
          <w:rStyle w:val="18"/>
          <w:rFonts w:hint="eastAsia" w:ascii="仿宋" w:hAnsi="仿宋" w:eastAsia="仿宋"/>
          <w:b w:val="0"/>
          <w:bCs/>
          <w:sz w:val="32"/>
          <w:szCs w:val="32"/>
        </w:rPr>
        <w:t>支出决算为5.92万元，完成预算100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452E0593">
      <w:pPr>
        <w:numPr>
          <w:ilvl w:val="0"/>
          <w:numId w:val="3"/>
        </w:numPr>
        <w:spacing w:line="600" w:lineRule="exact"/>
        <w:ind w:left="0" w:leftChars="0" w:firstLine="643" w:firstLineChars="200"/>
        <w:rPr>
          <w:rStyle w:val="18"/>
          <w:rFonts w:ascii="仿宋" w:hAnsi="仿宋" w:eastAsia="仿宋"/>
          <w:b w:val="0"/>
          <w:bCs/>
          <w:sz w:val="32"/>
          <w:szCs w:val="32"/>
        </w:rPr>
      </w:pPr>
      <w:r>
        <w:rPr>
          <w:rFonts w:hint="eastAsia" w:ascii="仿宋" w:hAnsi="仿宋" w:eastAsia="仿宋"/>
          <w:b/>
          <w:bCs/>
          <w:sz w:val="32"/>
          <w:szCs w:val="32"/>
        </w:rPr>
        <w:t>卫生健康</w:t>
      </w:r>
      <w:r>
        <w:rPr>
          <w:rFonts w:hint="eastAsia" w:ascii="仿宋" w:hAnsi="仿宋" w:eastAsia="仿宋"/>
          <w:b/>
          <w:bCs/>
          <w:sz w:val="32"/>
          <w:szCs w:val="32"/>
          <w:lang w:eastAsia="zh-CN"/>
        </w:rPr>
        <w:t>支出</w:t>
      </w:r>
      <w:r>
        <w:rPr>
          <w:rStyle w:val="18"/>
          <w:rFonts w:hint="eastAsia" w:ascii="仿宋" w:hAnsi="仿宋" w:eastAsia="仿宋"/>
          <w:bCs/>
          <w:sz w:val="32"/>
          <w:szCs w:val="32"/>
        </w:rPr>
        <w:t>（类）</w:t>
      </w:r>
      <w:r>
        <w:rPr>
          <w:rStyle w:val="18"/>
          <w:rFonts w:hint="eastAsia" w:ascii="仿宋" w:hAnsi="仿宋" w:eastAsia="仿宋"/>
          <w:bCs/>
          <w:sz w:val="32"/>
          <w:szCs w:val="32"/>
          <w:lang w:eastAsia="zh-CN"/>
        </w:rPr>
        <w:t>行政事业单位医疗</w:t>
      </w:r>
      <w:r>
        <w:rPr>
          <w:rStyle w:val="18"/>
          <w:rFonts w:hint="eastAsia" w:ascii="仿宋" w:hAnsi="仿宋" w:eastAsia="仿宋"/>
          <w:bCs/>
          <w:sz w:val="32"/>
          <w:szCs w:val="32"/>
        </w:rPr>
        <w:t>（款）</w:t>
      </w:r>
      <w:r>
        <w:rPr>
          <w:rStyle w:val="18"/>
          <w:rFonts w:hint="eastAsia" w:ascii="仿宋" w:hAnsi="仿宋" w:eastAsia="仿宋"/>
          <w:b w:val="0"/>
          <w:bCs/>
          <w:sz w:val="32"/>
          <w:szCs w:val="32"/>
        </w:rPr>
        <w:t>公务员医疗补助</w:t>
      </w:r>
      <w:r>
        <w:rPr>
          <w:rStyle w:val="18"/>
          <w:rFonts w:hint="eastAsia" w:ascii="仿宋" w:hAnsi="仿宋" w:eastAsia="仿宋"/>
          <w:b w:val="0"/>
          <w:sz w:val="32"/>
          <w:szCs w:val="32"/>
        </w:rPr>
        <w:t>（项）</w:t>
      </w:r>
      <w:r>
        <w:rPr>
          <w:rStyle w:val="18"/>
          <w:rFonts w:hint="eastAsia" w:ascii="仿宋" w:hAnsi="仿宋" w:eastAsia="仿宋"/>
          <w:b w:val="0"/>
          <w:bCs/>
          <w:sz w:val="32"/>
          <w:szCs w:val="32"/>
        </w:rPr>
        <w:t>支出决算为4.13万元，完成预算100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3C3F1E7D">
      <w:pPr>
        <w:spacing w:line="600" w:lineRule="exact"/>
        <w:ind w:firstLine="643" w:firstLineChars="200"/>
        <w:rPr>
          <w:rFonts w:ascii="仿宋" w:hAnsi="仿宋" w:eastAsia="仿宋"/>
          <w:b/>
          <w:sz w:val="32"/>
          <w:szCs w:val="32"/>
        </w:rPr>
      </w:pPr>
      <w:r>
        <w:rPr>
          <w:rStyle w:val="18"/>
          <w:rFonts w:hint="eastAsia" w:ascii="仿宋" w:hAnsi="仿宋" w:eastAsia="仿宋"/>
          <w:bCs/>
          <w:sz w:val="32"/>
          <w:szCs w:val="32"/>
          <w:lang w:val="en-US" w:eastAsia="zh-CN"/>
        </w:rPr>
        <w:t>9</w:t>
      </w:r>
      <w:r>
        <w:rPr>
          <w:rStyle w:val="18"/>
          <w:rFonts w:ascii="仿宋" w:hAnsi="仿宋" w:eastAsia="仿宋"/>
          <w:bCs/>
          <w:sz w:val="32"/>
          <w:szCs w:val="32"/>
        </w:rPr>
        <w:t>.</w:t>
      </w:r>
      <w:r>
        <w:rPr>
          <w:rFonts w:hint="eastAsia" w:ascii="仿宋" w:hAnsi="仿宋" w:eastAsia="仿宋"/>
          <w:b/>
          <w:bCs/>
          <w:sz w:val="32"/>
          <w:szCs w:val="32"/>
        </w:rPr>
        <w:t>住房保障支出</w:t>
      </w:r>
      <w:r>
        <w:rPr>
          <w:rStyle w:val="18"/>
          <w:rFonts w:hint="eastAsia" w:ascii="仿宋" w:hAnsi="仿宋" w:eastAsia="仿宋"/>
          <w:bCs/>
          <w:sz w:val="32"/>
          <w:szCs w:val="32"/>
        </w:rPr>
        <w:t>（类）</w:t>
      </w:r>
      <w:r>
        <w:rPr>
          <w:rStyle w:val="18"/>
          <w:rFonts w:hint="eastAsia" w:ascii="仿宋" w:hAnsi="仿宋" w:eastAsia="仿宋"/>
          <w:bCs/>
          <w:sz w:val="32"/>
          <w:szCs w:val="32"/>
          <w:lang w:eastAsia="zh-CN"/>
        </w:rPr>
        <w:t>住房改革支出</w:t>
      </w:r>
      <w:r>
        <w:rPr>
          <w:rStyle w:val="18"/>
          <w:rFonts w:hint="eastAsia" w:ascii="仿宋" w:hAnsi="仿宋" w:eastAsia="仿宋"/>
          <w:bCs/>
          <w:sz w:val="32"/>
          <w:szCs w:val="32"/>
        </w:rPr>
        <w:t>（款）</w:t>
      </w:r>
      <w:r>
        <w:rPr>
          <w:rStyle w:val="18"/>
          <w:rFonts w:hint="eastAsia" w:ascii="仿宋" w:hAnsi="仿宋" w:eastAsia="仿宋"/>
          <w:b w:val="0"/>
          <w:sz w:val="32"/>
          <w:szCs w:val="32"/>
        </w:rPr>
        <w:t>住房公积金（项）</w:t>
      </w:r>
      <w:r>
        <w:rPr>
          <w:rStyle w:val="18"/>
          <w:rFonts w:ascii="仿宋" w:hAnsi="仿宋" w:eastAsia="仿宋"/>
          <w:bCs/>
          <w:sz w:val="32"/>
          <w:szCs w:val="32"/>
        </w:rPr>
        <w:t>:</w:t>
      </w:r>
      <w:r>
        <w:rPr>
          <w:rStyle w:val="18"/>
          <w:rFonts w:hint="eastAsia" w:ascii="仿宋" w:hAnsi="仿宋" w:eastAsia="仿宋"/>
          <w:b w:val="0"/>
          <w:bCs/>
          <w:sz w:val="32"/>
          <w:szCs w:val="32"/>
        </w:rPr>
        <w:t>支出决算为9.29万元，完成预算100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14:paraId="160763BF">
      <w:pPr>
        <w:tabs>
          <w:tab w:val="right" w:pos="8306"/>
        </w:tabs>
        <w:spacing w:line="600" w:lineRule="exact"/>
        <w:ind w:firstLine="640"/>
        <w:outlineLvl w:val="1"/>
        <w:rPr>
          <w:rStyle w:val="21"/>
        </w:rPr>
      </w:pPr>
      <w:bookmarkStart w:id="28" w:name="_Toc15396608"/>
      <w:bookmarkStart w:id="29"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1"/>
          <w:rFonts w:hint="eastAsia" w:ascii="黑体" w:hAnsi="黑体" w:eastAsia="黑体"/>
          <w:b w:val="0"/>
        </w:rPr>
        <w:t>般公共预算财政拨款基本支出决算情况说明</w:t>
      </w:r>
      <w:bookmarkEnd w:id="28"/>
      <w:bookmarkEnd w:id="29"/>
      <w:r>
        <w:rPr>
          <w:rStyle w:val="21"/>
          <w:rFonts w:ascii="黑体" w:hAnsi="黑体" w:eastAsia="黑体"/>
          <w:b w:val="0"/>
        </w:rPr>
        <w:tab/>
      </w:r>
    </w:p>
    <w:p w14:paraId="60B6534C">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2023年度一般公共预算财政拨款基本支出142.3万元，其中：</w:t>
      </w:r>
    </w:p>
    <w:p w14:paraId="591C8BA5">
      <w:pPr>
        <w:spacing w:line="600" w:lineRule="exact"/>
        <w:ind w:firstLine="645"/>
        <w:rPr>
          <w:rFonts w:ascii="仿宋" w:hAnsi="仿宋" w:eastAsia="仿宋"/>
          <w:b/>
          <w:sz w:val="32"/>
          <w:szCs w:val="32"/>
          <w:highlight w:val="yellow"/>
        </w:rPr>
      </w:pPr>
      <w:r>
        <w:rPr>
          <w:rFonts w:hint="eastAsia" w:ascii="仿宋" w:hAnsi="仿宋" w:eastAsia="仿宋"/>
          <w:sz w:val="32"/>
          <w:szCs w:val="32"/>
        </w:rPr>
        <w:t>人员经费129.01万元，</w:t>
      </w:r>
      <w:r>
        <w:rPr>
          <w:rFonts w:hint="eastAsia" w:ascii="仿宋" w:hAnsi="仿宋" w:eastAsia="仿宋"/>
          <w:sz w:val="32"/>
          <w:szCs w:val="32"/>
          <w:highlight w:val="none"/>
        </w:rPr>
        <w:t>主要包括：基本工资、津贴补贴、奖金、绩效工资、机关事业单位基本养老保险缴费、职业年金缴费、其他社会保障缴费、其他工资福利支出、生活补助、医疗费补助、住房公积金等。</w:t>
      </w:r>
      <w:r>
        <w:rPr>
          <w:rFonts w:ascii="仿宋" w:hAnsi="仿宋" w:eastAsia="仿宋"/>
          <w:sz w:val="32"/>
          <w:szCs w:val="32"/>
          <w:highlight w:val="none"/>
        </w:rPr>
        <w:br w:type="textWrapping"/>
      </w:r>
      <w:r>
        <w:rPr>
          <w:rFonts w:hint="eastAsia" w:ascii="仿宋" w:hAnsi="仿宋" w:eastAsia="仿宋"/>
          <w:sz w:val="32"/>
          <w:szCs w:val="32"/>
          <w:highlight w:val="none"/>
        </w:rPr>
        <w:t>　　公用经费13.29万元，主要包括：办公费、</w:t>
      </w:r>
      <w:r>
        <w:rPr>
          <w:rFonts w:hint="eastAsia" w:ascii="仿宋" w:hAnsi="仿宋" w:eastAsia="仿宋"/>
          <w:sz w:val="32"/>
          <w:szCs w:val="32"/>
          <w:highlight w:val="none"/>
          <w:lang w:eastAsia="zh-CN"/>
        </w:rPr>
        <w:t>水</w:t>
      </w:r>
      <w:r>
        <w:rPr>
          <w:rFonts w:hint="eastAsia" w:ascii="仿宋" w:hAnsi="仿宋" w:eastAsia="仿宋"/>
          <w:sz w:val="32"/>
          <w:szCs w:val="32"/>
          <w:highlight w:val="none"/>
        </w:rPr>
        <w:t>费、</w:t>
      </w:r>
      <w:r>
        <w:rPr>
          <w:rFonts w:hint="eastAsia" w:ascii="仿宋" w:hAnsi="仿宋" w:eastAsia="仿宋"/>
          <w:sz w:val="32"/>
          <w:szCs w:val="32"/>
          <w:highlight w:val="none"/>
          <w:lang w:eastAsia="zh-CN"/>
        </w:rPr>
        <w:t>邮电费、</w:t>
      </w:r>
      <w:r>
        <w:rPr>
          <w:rFonts w:hint="eastAsia" w:ascii="仿宋" w:hAnsi="仿宋" w:eastAsia="仿宋"/>
          <w:sz w:val="32"/>
          <w:szCs w:val="32"/>
          <w:highlight w:val="none"/>
        </w:rPr>
        <w:t>差旅费、</w:t>
      </w:r>
      <w:r>
        <w:rPr>
          <w:rFonts w:hint="eastAsia" w:ascii="仿宋" w:hAnsi="仿宋" w:eastAsia="仿宋"/>
          <w:sz w:val="32"/>
          <w:szCs w:val="32"/>
          <w:highlight w:val="none"/>
          <w:lang w:eastAsia="zh-CN"/>
        </w:rPr>
        <w:t>劳务费、</w:t>
      </w:r>
      <w:r>
        <w:rPr>
          <w:rFonts w:hint="eastAsia" w:ascii="仿宋" w:hAnsi="仿宋" w:eastAsia="仿宋"/>
          <w:sz w:val="32"/>
          <w:szCs w:val="32"/>
          <w:highlight w:val="none"/>
        </w:rPr>
        <w:t>公务接待费、福利费、其他交通费、其他商品和服务支出等。</w:t>
      </w:r>
    </w:p>
    <w:p w14:paraId="6BB4EA77">
      <w:pPr>
        <w:spacing w:line="600" w:lineRule="exact"/>
        <w:ind w:firstLine="640"/>
        <w:outlineLvl w:val="1"/>
        <w:rPr>
          <w:rStyle w:val="21"/>
          <w:rFonts w:ascii="黑体" w:hAnsi="黑体" w:eastAsia="黑体"/>
          <w:b w:val="0"/>
        </w:rPr>
      </w:pPr>
      <w:bookmarkStart w:id="30" w:name="_Toc15377215"/>
      <w:bookmarkStart w:id="31" w:name="_Toc15396609"/>
      <w:r>
        <w:rPr>
          <w:rFonts w:hint="eastAsia" w:ascii="黑体" w:eastAsia="黑体"/>
          <w:sz w:val="32"/>
          <w:szCs w:val="32"/>
        </w:rPr>
        <w:t>七、</w:t>
      </w:r>
      <w:r>
        <w:rPr>
          <w:rStyle w:val="21"/>
          <w:rFonts w:hint="eastAsia" w:ascii="黑体" w:hAnsi="黑体" w:eastAsia="黑体"/>
          <w:b w:val="0"/>
        </w:rPr>
        <w:t>财政拨款</w:t>
      </w:r>
      <w:r>
        <w:rPr>
          <w:rStyle w:val="21"/>
          <w:rFonts w:hint="eastAsia" w:ascii="黑体" w:hAnsi="黑体" w:eastAsia="黑体"/>
        </w:rPr>
        <w:t>“</w:t>
      </w:r>
      <w:r>
        <w:rPr>
          <w:rStyle w:val="21"/>
          <w:rFonts w:hint="eastAsia" w:ascii="黑体" w:hAnsi="黑体" w:eastAsia="黑体"/>
          <w:b w:val="0"/>
        </w:rPr>
        <w:t>三公”经费支出决算情况说明</w:t>
      </w:r>
      <w:bookmarkEnd w:id="30"/>
      <w:bookmarkEnd w:id="31"/>
    </w:p>
    <w:p w14:paraId="6AF21333">
      <w:pPr>
        <w:spacing w:line="600" w:lineRule="exact"/>
        <w:ind w:firstLine="640"/>
        <w:outlineLvl w:val="2"/>
        <w:rPr>
          <w:rFonts w:ascii="仿宋" w:hAnsi="仿宋" w:eastAsia="仿宋"/>
          <w:b/>
          <w:sz w:val="32"/>
          <w:szCs w:val="32"/>
        </w:rPr>
      </w:pPr>
      <w:bookmarkStart w:id="32" w:name="_Toc15377216"/>
      <w:r>
        <w:rPr>
          <w:rFonts w:hint="eastAsia" w:ascii="仿宋" w:hAnsi="仿宋" w:eastAsia="仿宋"/>
          <w:b/>
          <w:sz w:val="32"/>
          <w:szCs w:val="32"/>
        </w:rPr>
        <w:t>（一）“三公”经费财政拨款支出决算总体情况说明</w:t>
      </w:r>
      <w:bookmarkEnd w:id="32"/>
    </w:p>
    <w:p w14:paraId="71C32887">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2023年度“三公”经费财政拨款支出决算为0.18万元，完成预算100</w:t>
      </w:r>
      <w:r>
        <w:rPr>
          <w:rFonts w:ascii="仿宋" w:hAnsi="仿宋" w:eastAsia="仿宋"/>
          <w:sz w:val="32"/>
          <w:szCs w:val="32"/>
        </w:rPr>
        <w:t>%</w:t>
      </w:r>
      <w:r>
        <w:rPr>
          <w:rFonts w:hint="eastAsia" w:ascii="仿宋" w:hAnsi="仿宋" w:eastAsia="仿宋"/>
          <w:sz w:val="32"/>
          <w:szCs w:val="32"/>
        </w:rPr>
        <w:t>，较上年度减少0.02万元，下降10%。决算数等于预算数。</w:t>
      </w:r>
    </w:p>
    <w:p w14:paraId="4B45BA04">
      <w:pPr>
        <w:spacing w:line="600" w:lineRule="exact"/>
        <w:ind w:firstLine="640"/>
        <w:outlineLvl w:val="2"/>
        <w:rPr>
          <w:rFonts w:ascii="仿宋" w:hAnsi="仿宋" w:eastAsia="仿宋"/>
          <w:b/>
          <w:sz w:val="32"/>
          <w:szCs w:val="32"/>
        </w:rPr>
      </w:pPr>
      <w:bookmarkStart w:id="33" w:name="_Toc15377217"/>
      <w:r>
        <w:rPr>
          <w:rFonts w:hint="eastAsia" w:ascii="仿宋" w:hAnsi="仿宋" w:eastAsia="仿宋"/>
          <w:b/>
          <w:sz w:val="32"/>
          <w:szCs w:val="32"/>
        </w:rPr>
        <w:t>（二）“三公”经费财政拨款支出决算具体情况说明</w:t>
      </w:r>
      <w:bookmarkEnd w:id="33"/>
    </w:p>
    <w:p w14:paraId="23740A3C">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2023年度“三公”经费财政拨款支出决算中，因公出国（境）费支出决算0万元，占0</w:t>
      </w:r>
      <w:r>
        <w:rPr>
          <w:rFonts w:ascii="仿宋" w:hAnsi="仿宋" w:eastAsia="仿宋"/>
          <w:sz w:val="32"/>
          <w:szCs w:val="32"/>
        </w:rPr>
        <w:t>%</w:t>
      </w:r>
      <w:r>
        <w:rPr>
          <w:rFonts w:hint="eastAsia" w:ascii="仿宋" w:hAnsi="仿宋" w:eastAsia="仿宋"/>
          <w:sz w:val="32"/>
          <w:szCs w:val="32"/>
        </w:rPr>
        <w:t>；公务用车购置及运行维护费支出决算0万元，占0</w:t>
      </w:r>
      <w:r>
        <w:rPr>
          <w:rFonts w:ascii="仿宋" w:hAnsi="仿宋" w:eastAsia="仿宋"/>
          <w:sz w:val="32"/>
          <w:szCs w:val="32"/>
        </w:rPr>
        <w:t>%</w:t>
      </w:r>
      <w:r>
        <w:rPr>
          <w:rFonts w:hint="eastAsia" w:ascii="仿宋" w:hAnsi="仿宋" w:eastAsia="仿宋"/>
          <w:sz w:val="32"/>
          <w:szCs w:val="32"/>
        </w:rPr>
        <w:t>；公务接待费支出决算0.18万元，占100</w:t>
      </w:r>
      <w:r>
        <w:rPr>
          <w:rFonts w:ascii="仿宋" w:hAnsi="仿宋" w:eastAsia="仿宋"/>
          <w:sz w:val="32"/>
          <w:szCs w:val="32"/>
        </w:rPr>
        <w:t>%</w:t>
      </w:r>
      <w:r>
        <w:rPr>
          <w:rFonts w:hint="eastAsia" w:ascii="仿宋" w:hAnsi="仿宋" w:eastAsia="仿宋"/>
          <w:sz w:val="32"/>
          <w:szCs w:val="32"/>
        </w:rPr>
        <w:t>。具体情况如下：</w:t>
      </w:r>
    </w:p>
    <w:p w14:paraId="79AA82D9">
      <w:pPr>
        <w:pStyle w:val="8"/>
        <w:rPr>
          <w:rFonts w:ascii="仿宋" w:hAnsi="仿宋" w:eastAsia="仿宋"/>
          <w:sz w:val="32"/>
          <w:szCs w:val="32"/>
        </w:rPr>
      </w:pPr>
      <w:r>
        <w:drawing>
          <wp:inline distT="0" distB="0" distL="0" distR="0">
            <wp:extent cx="5046345" cy="3331845"/>
            <wp:effectExtent l="4827" t="5503" r="15859" b="15134"/>
            <wp:docPr id="3" name="图片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2AE9242">
      <w:pPr>
        <w:spacing w:line="600" w:lineRule="exact"/>
        <w:ind w:firstLine="640"/>
        <w:rPr>
          <w:rFonts w:ascii="仿宋" w:hAnsi="仿宋" w:eastAsia="仿宋"/>
          <w:sz w:val="32"/>
          <w:szCs w:val="32"/>
        </w:rPr>
      </w:pPr>
      <w:r>
        <w:rPr>
          <w:rFonts w:hint="eastAsia" w:ascii="仿宋" w:hAnsi="仿宋" w:eastAsia="仿宋"/>
          <w:sz w:val="32"/>
          <w:szCs w:val="32"/>
        </w:rPr>
        <w:t>（图7：“三公”经费财政拨款支出结构）（饼状图）</w:t>
      </w:r>
    </w:p>
    <w:p w14:paraId="61EEA41B">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rPr>
        <w:t>0万元，</w:t>
      </w:r>
      <w:r>
        <w:rPr>
          <w:rStyle w:val="18"/>
          <w:rFonts w:hint="eastAsia" w:ascii="仿宋" w:hAnsi="仿宋" w:eastAsia="仿宋"/>
          <w:b w:val="0"/>
          <w:bCs/>
          <w:sz w:val="32"/>
          <w:szCs w:val="32"/>
        </w:rPr>
        <w:t>完成预算0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全年安排因公出国（境）团组0次，出国（境）0人。因公出国（境）支出决算与2022年一致，我单位没有因公出国(境)经费支出。</w:t>
      </w:r>
    </w:p>
    <w:p w14:paraId="1F458F08">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rPr>
        <w:t>0万元,</w:t>
      </w:r>
      <w:r>
        <w:rPr>
          <w:rStyle w:val="18"/>
          <w:rFonts w:hint="eastAsia" w:ascii="仿宋" w:hAnsi="仿宋" w:eastAsia="仿宋"/>
          <w:b w:val="0"/>
          <w:bCs/>
          <w:sz w:val="32"/>
          <w:szCs w:val="32"/>
        </w:rPr>
        <w:t>完成预算100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公务用车购置及运行维护费支出决算与2022年度一致，我单位没有公务车。</w:t>
      </w:r>
    </w:p>
    <w:p w14:paraId="287E28AE">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rPr>
        <w:t>0万元。全年按规定更新购置公务用车0辆，其中：轿车0辆、金额0万元，越野车0辆、金额0万元，载客汽车0辆、金额0万元。截至2023年</w:t>
      </w:r>
      <w:r>
        <w:rPr>
          <w:rFonts w:ascii="仿宋_GB2312" w:eastAsia="仿宋_GB2312"/>
          <w:sz w:val="32"/>
          <w:szCs w:val="32"/>
        </w:rPr>
        <w:t>12</w:t>
      </w:r>
      <w:r>
        <w:rPr>
          <w:rFonts w:hint="eastAsia" w:ascii="仿宋_GB2312" w:eastAsia="仿宋_GB2312"/>
          <w:sz w:val="32"/>
          <w:szCs w:val="32"/>
        </w:rPr>
        <w:t>月31日，单位共有公务用车0辆，其中：轿车0辆、越野车0辆、载客汽车0辆。</w:t>
      </w:r>
    </w:p>
    <w:p w14:paraId="795029FD">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rPr>
        <w:t>0万元。</w:t>
      </w:r>
    </w:p>
    <w:p w14:paraId="343CAAB9">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rPr>
        <w:t>0.18万元，</w:t>
      </w:r>
      <w:r>
        <w:rPr>
          <w:rStyle w:val="18"/>
          <w:rFonts w:hint="eastAsia" w:ascii="仿宋" w:hAnsi="仿宋" w:eastAsia="仿宋"/>
          <w:b w:val="0"/>
          <w:bCs/>
          <w:sz w:val="32"/>
          <w:szCs w:val="32"/>
        </w:rPr>
        <w:t>完成预算100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公务接待费支出决算比2022年度减少0.02万元，下降10</w:t>
      </w:r>
      <w:r>
        <w:rPr>
          <w:rFonts w:ascii="仿宋_GB2312" w:eastAsia="仿宋_GB2312"/>
          <w:sz w:val="32"/>
          <w:szCs w:val="32"/>
        </w:rPr>
        <w:t>%</w:t>
      </w:r>
      <w:r>
        <w:rPr>
          <w:rFonts w:hint="eastAsia" w:ascii="仿宋_GB2312" w:eastAsia="仿宋_GB2312"/>
          <w:sz w:val="32"/>
          <w:szCs w:val="32"/>
        </w:rPr>
        <w:t>。主要原因是厉行节约，减少了公务接待人次。</w:t>
      </w:r>
    </w:p>
    <w:p w14:paraId="1B571DCF">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sz w:val="32"/>
          <w:szCs w:val="32"/>
        </w:rPr>
        <w:t>0.18</w:t>
      </w:r>
      <w:r>
        <w:rPr>
          <w:rFonts w:hint="eastAsia" w:ascii="仿宋_GB2312" w:eastAsia="仿宋_GB2312"/>
          <w:sz w:val="32"/>
          <w:szCs w:val="32"/>
        </w:rPr>
        <w:t>万元，</w:t>
      </w:r>
      <w:r>
        <w:rPr>
          <w:rFonts w:hint="eastAsia" w:ascii="仿宋_GB2312" w:eastAsia="仿宋_GB2312"/>
          <w:color w:val="000000"/>
          <w:sz w:val="32"/>
          <w:szCs w:val="32"/>
        </w:rPr>
        <w:t>主要用于执行公务、开展业务活动开支的交通费、住宿费、用餐费等。国内公务接待2批次，11人次（不包括陪同人员），共计支出0.18万元，具体内容包括</w:t>
      </w:r>
      <w:r>
        <w:rPr>
          <w:rFonts w:hint="eastAsia" w:ascii="仿宋_GB2312" w:eastAsia="仿宋_GB2312"/>
          <w:sz w:val="32"/>
          <w:szCs w:val="32"/>
        </w:rPr>
        <w:t>：2023年4月24日15#凭证，市科协云服务中心主任何建伟一行4人到米易东方钛业开展对接工作，用餐费0.08万元，2023年5月31日17#凭证，四川农业大学园艺学院院长汪志辉一行7人到米易枇杷科技小院开展对接工作，用餐费0.10万元。</w:t>
      </w:r>
    </w:p>
    <w:p w14:paraId="43B30A55">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hint="eastAsia" w:ascii="仿宋" w:hAnsi="仿宋" w:eastAsia="仿宋"/>
          <w:sz w:val="32"/>
          <w:szCs w:val="32"/>
        </w:rPr>
        <w:t>0</w:t>
      </w:r>
      <w:r>
        <w:rPr>
          <w:rFonts w:hint="eastAsia" w:ascii="仿宋_GB2312" w:eastAsia="仿宋_GB2312"/>
          <w:sz w:val="32"/>
          <w:szCs w:val="32"/>
        </w:rPr>
        <w:t>万元，共计支出0万元。</w:t>
      </w:r>
    </w:p>
    <w:p w14:paraId="2A7D0355">
      <w:pPr>
        <w:spacing w:line="600" w:lineRule="exact"/>
        <w:ind w:firstLine="640"/>
        <w:outlineLvl w:val="1"/>
        <w:rPr>
          <w:rFonts w:ascii="黑体" w:eastAsia="黑体"/>
          <w:sz w:val="32"/>
          <w:szCs w:val="32"/>
        </w:rPr>
      </w:pPr>
      <w:bookmarkStart w:id="34" w:name="_Toc15377218"/>
      <w:bookmarkStart w:id="35" w:name="_Toc15396610"/>
    </w:p>
    <w:p w14:paraId="5A2DF992">
      <w:pPr>
        <w:spacing w:line="600" w:lineRule="exact"/>
        <w:ind w:firstLine="640"/>
        <w:outlineLvl w:val="1"/>
        <w:rPr>
          <w:rStyle w:val="21"/>
          <w:rFonts w:ascii="黑体" w:hAnsi="黑体" w:eastAsia="黑体"/>
        </w:rPr>
      </w:pPr>
      <w:r>
        <w:rPr>
          <w:rFonts w:hint="eastAsia" w:ascii="黑体" w:eastAsia="黑体"/>
          <w:sz w:val="32"/>
          <w:szCs w:val="32"/>
        </w:rPr>
        <w:t>八、</w:t>
      </w:r>
      <w:r>
        <w:rPr>
          <w:rStyle w:val="21"/>
          <w:rFonts w:hint="eastAsia" w:ascii="黑体" w:hAnsi="黑体" w:eastAsia="黑体"/>
          <w:b w:val="0"/>
        </w:rPr>
        <w:t>政府性基金预算支出决算情况说明</w:t>
      </w:r>
      <w:bookmarkEnd w:id="34"/>
      <w:bookmarkEnd w:id="35"/>
    </w:p>
    <w:p w14:paraId="3218A07E">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2023年度政府性基金预算财政拨款支出0万元。</w:t>
      </w:r>
    </w:p>
    <w:p w14:paraId="67187F05">
      <w:pPr>
        <w:spacing w:line="600" w:lineRule="exact"/>
        <w:ind w:firstLine="640"/>
        <w:rPr>
          <w:rFonts w:ascii="仿宋_GB2312" w:eastAsia="仿宋_GB2312"/>
          <w:sz w:val="32"/>
          <w:szCs w:val="32"/>
        </w:rPr>
      </w:pPr>
    </w:p>
    <w:p w14:paraId="49E9A515">
      <w:pPr>
        <w:numPr>
          <w:ilvl w:val="0"/>
          <w:numId w:val="4"/>
        </w:numPr>
        <w:spacing w:line="600" w:lineRule="exact"/>
        <w:ind w:firstLine="640"/>
        <w:outlineLvl w:val="1"/>
        <w:rPr>
          <w:rStyle w:val="21"/>
          <w:rFonts w:ascii="黑体" w:hAnsi="黑体" w:eastAsia="黑体"/>
          <w:b w:val="0"/>
        </w:rPr>
      </w:pPr>
      <w:bookmarkStart w:id="36" w:name="_Toc15396611"/>
      <w:bookmarkStart w:id="37" w:name="_Toc15377219"/>
      <w:r>
        <w:rPr>
          <w:rStyle w:val="21"/>
          <w:rFonts w:hint="eastAsia" w:ascii="黑体" w:hAnsi="黑体" w:eastAsia="黑体"/>
          <w:b w:val="0"/>
        </w:rPr>
        <w:t>国有资本经营预算支出决算情况说明</w:t>
      </w:r>
      <w:bookmarkEnd w:id="36"/>
      <w:bookmarkEnd w:id="37"/>
    </w:p>
    <w:p w14:paraId="2AD3033F">
      <w:pPr>
        <w:spacing w:line="600" w:lineRule="exact"/>
        <w:ind w:firstLine="640"/>
        <w:rPr>
          <w:rFonts w:ascii="仿宋_GB2312" w:eastAsia="仿宋_GB2312"/>
          <w:sz w:val="32"/>
          <w:szCs w:val="32"/>
        </w:rPr>
      </w:pPr>
      <w:r>
        <w:rPr>
          <w:rFonts w:hint="eastAsia" w:ascii="仿宋_GB2312" w:eastAsia="仿宋_GB2312"/>
          <w:sz w:val="32"/>
          <w:szCs w:val="32"/>
        </w:rPr>
        <w:t>2023年度国有资本经营预算财政拨款支出0万元。</w:t>
      </w:r>
    </w:p>
    <w:p w14:paraId="3A5001BA">
      <w:pPr>
        <w:spacing w:line="580" w:lineRule="exact"/>
        <w:jc w:val="center"/>
        <w:rPr>
          <w:rFonts w:ascii="方正小标宋简体" w:hAnsi="方正小标宋简体" w:eastAsia="方正小标宋简体" w:cs="方正小标宋简体"/>
          <w:sz w:val="44"/>
          <w:szCs w:val="44"/>
        </w:rPr>
      </w:pPr>
    </w:p>
    <w:p w14:paraId="3EB2858E">
      <w:pPr>
        <w:numPr>
          <w:ilvl w:val="0"/>
          <w:numId w:val="4"/>
        </w:numPr>
        <w:spacing w:line="600" w:lineRule="exact"/>
        <w:ind w:firstLine="640"/>
        <w:outlineLvl w:val="1"/>
        <w:rPr>
          <w:rStyle w:val="21"/>
          <w:rFonts w:ascii="黑体" w:hAnsi="黑体" w:eastAsia="黑体"/>
          <w:b w:val="0"/>
        </w:rPr>
      </w:pPr>
      <w:bookmarkStart w:id="38" w:name="_Toc15396612"/>
      <w:bookmarkStart w:id="39" w:name="_Toc15377221"/>
      <w:r>
        <w:rPr>
          <w:rStyle w:val="21"/>
          <w:rFonts w:hint="eastAsia" w:ascii="黑体" w:hAnsi="黑体" w:eastAsia="黑体"/>
          <w:b w:val="0"/>
        </w:rPr>
        <w:t>其他重要事项的情况说明</w:t>
      </w:r>
      <w:bookmarkEnd w:id="38"/>
      <w:bookmarkEnd w:id="39"/>
    </w:p>
    <w:p w14:paraId="45F5DC0A">
      <w:pPr>
        <w:spacing w:line="600" w:lineRule="exact"/>
        <w:ind w:firstLine="643" w:firstLineChars="200"/>
        <w:outlineLvl w:val="2"/>
        <w:rPr>
          <w:rFonts w:ascii="仿宋" w:hAnsi="仿宋" w:eastAsia="仿宋"/>
          <w:sz w:val="32"/>
          <w:szCs w:val="32"/>
        </w:rPr>
      </w:pPr>
      <w:bookmarkStart w:id="40" w:name="_Toc15377222"/>
      <w:r>
        <w:rPr>
          <w:rFonts w:hint="eastAsia" w:ascii="仿宋" w:hAnsi="仿宋" w:eastAsia="仿宋"/>
          <w:b/>
          <w:sz w:val="32"/>
          <w:szCs w:val="32"/>
        </w:rPr>
        <w:t>（一）机关运行经费支出情况</w:t>
      </w:r>
      <w:bookmarkEnd w:id="40"/>
    </w:p>
    <w:p w14:paraId="6C8C2D87">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2023年度，我部门机关运行经费支出13.29万元，比2022年度减少0.43万元，下降3.23</w:t>
      </w:r>
      <w:r>
        <w:rPr>
          <w:rFonts w:ascii="仿宋_GB2312" w:eastAsia="仿宋_GB2312"/>
          <w:sz w:val="32"/>
          <w:szCs w:val="32"/>
        </w:rPr>
        <w:t>%</w:t>
      </w:r>
      <w:r>
        <w:rPr>
          <w:rFonts w:hint="eastAsia" w:ascii="仿宋_GB2312" w:eastAsia="仿宋_GB2312"/>
          <w:sz w:val="32"/>
          <w:szCs w:val="32"/>
        </w:rPr>
        <w:t>，主要原因是减少了出差的次数，减少了公务接待费。</w:t>
      </w:r>
    </w:p>
    <w:p w14:paraId="333C594C">
      <w:pPr>
        <w:autoSpaceDE w:val="0"/>
        <w:autoSpaceDN w:val="0"/>
        <w:adjustRightInd w:val="0"/>
        <w:spacing w:line="600" w:lineRule="exact"/>
        <w:ind w:firstLine="643" w:firstLineChars="200"/>
        <w:jc w:val="left"/>
        <w:outlineLvl w:val="2"/>
        <w:rPr>
          <w:rFonts w:ascii="仿宋" w:hAnsi="仿宋" w:eastAsia="仿宋"/>
          <w:b/>
          <w:sz w:val="32"/>
          <w:szCs w:val="32"/>
        </w:rPr>
      </w:pPr>
      <w:bookmarkStart w:id="41" w:name="_Toc15377223"/>
      <w:r>
        <w:rPr>
          <w:rFonts w:hint="eastAsia" w:ascii="仿宋" w:hAnsi="仿宋" w:eastAsia="仿宋"/>
          <w:b/>
          <w:sz w:val="32"/>
          <w:szCs w:val="32"/>
        </w:rPr>
        <w:t>（二）政府采购支出情况</w:t>
      </w:r>
      <w:bookmarkEnd w:id="41"/>
    </w:p>
    <w:p w14:paraId="0E444E70">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2023年度，我单位政府采购支出总额0万元，其中：政府采购货物支出0万元、政府采购工程支出0万元、政府采购服务支出0万元。授予中小企业合同金额0万元，占政府采购支出总额的0</w:t>
      </w:r>
      <w:r>
        <w:rPr>
          <w:rFonts w:ascii="仿宋_GB2312" w:eastAsia="仿宋_GB2312"/>
          <w:sz w:val="32"/>
          <w:szCs w:val="32"/>
        </w:rPr>
        <w:t>%</w:t>
      </w:r>
      <w:r>
        <w:rPr>
          <w:rFonts w:hint="eastAsia" w:ascii="仿宋_GB2312" w:eastAsia="仿宋_GB2312"/>
          <w:sz w:val="32"/>
          <w:szCs w:val="32"/>
        </w:rPr>
        <w:t>，其中：授予小微企业合同金额0万元，占政府采购支出总额的0</w:t>
      </w:r>
      <w:r>
        <w:rPr>
          <w:rFonts w:ascii="仿宋_GB2312" w:eastAsia="仿宋_GB2312"/>
          <w:sz w:val="32"/>
          <w:szCs w:val="32"/>
        </w:rPr>
        <w:t>%</w:t>
      </w:r>
      <w:r>
        <w:rPr>
          <w:rFonts w:hint="eastAsia" w:ascii="仿宋_GB2312" w:eastAsia="仿宋_GB2312"/>
          <w:sz w:val="32"/>
          <w:szCs w:val="32"/>
        </w:rPr>
        <w:t>。</w:t>
      </w:r>
    </w:p>
    <w:p w14:paraId="363DF770">
      <w:pPr>
        <w:autoSpaceDE w:val="0"/>
        <w:autoSpaceDN w:val="0"/>
        <w:adjustRightInd w:val="0"/>
        <w:spacing w:line="600" w:lineRule="exact"/>
        <w:ind w:firstLine="643" w:firstLineChars="200"/>
        <w:jc w:val="left"/>
        <w:outlineLvl w:val="2"/>
        <w:rPr>
          <w:rFonts w:ascii="仿宋" w:hAnsi="仿宋" w:eastAsia="仿宋"/>
          <w:b/>
          <w:sz w:val="32"/>
          <w:szCs w:val="32"/>
        </w:rPr>
      </w:pPr>
      <w:bookmarkStart w:id="42" w:name="_Toc15377224"/>
      <w:r>
        <w:rPr>
          <w:rFonts w:hint="eastAsia" w:ascii="仿宋" w:hAnsi="仿宋" w:eastAsia="仿宋"/>
          <w:b/>
          <w:sz w:val="32"/>
          <w:szCs w:val="32"/>
        </w:rPr>
        <w:t>（三）国有资产占有使用情况</w:t>
      </w:r>
      <w:bookmarkEnd w:id="42"/>
    </w:p>
    <w:p w14:paraId="741689CA">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日，我部门共有车辆0辆，其中：主要领导干部用车0辆、机要通信用车0辆、应急保障用车0辆、其他用车0辆。单价</w:t>
      </w:r>
      <w:r>
        <w:rPr>
          <w:rFonts w:ascii="仿宋_GB2312" w:eastAsia="仿宋_GB2312"/>
          <w:sz w:val="32"/>
          <w:szCs w:val="32"/>
        </w:rPr>
        <w:t>100</w:t>
      </w:r>
      <w:r>
        <w:rPr>
          <w:rFonts w:hint="eastAsia" w:ascii="仿宋_GB2312" w:eastAsia="仿宋_GB2312"/>
          <w:sz w:val="32"/>
          <w:szCs w:val="32"/>
        </w:rPr>
        <w:t>万元以上设备0台。</w:t>
      </w:r>
    </w:p>
    <w:p w14:paraId="0EB8F9E3">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506E3CB6">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2023年度预算编制阶段，组织对会计事务服务费、2023年省级科普专项资金、换届选举费，等3个项目开展了预算事前绩效评估，对3个项目编制了绩效目标，预算执行过程中，选取3个项目开展绩效监控。</w:t>
      </w:r>
    </w:p>
    <w:p w14:paraId="264F3D78">
      <w:pPr>
        <w:widowControl/>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组织对2023年度一般公共预算、全面开展绩效自评，形成我单位部门整体绩效自评报告、 专项预算项目绩效自评报告，其中，我单位部门整体绩效自评得分为100分；专项预算项目绩效自评得分为100分，根据米易县财政局《关于开展2023年财政绩效评价工作的通知》（米财预〔2024〕46号），县科协成立了绩效评价工作领导小组，制定了《县科协2023年度财政资金绩效自评方案》，并依据方案组织开展绩效评价工作。采取检查基本支出、项目支出有关账目，收集整理支出相关资料，分析、形成科协工作评价结论。</w:t>
      </w:r>
    </w:p>
    <w:p w14:paraId="61AC1E5E">
      <w:pPr>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（1）强化组织建设，为科协工作提供有力保障。</w:t>
      </w:r>
      <w:r>
        <w:rPr>
          <w:rFonts w:hint="eastAsia" w:ascii="仿宋_GB2312" w:hAnsi="仿宋_GB2312" w:eastAsia="仿宋_GB2312" w:cs="仿宋_GB2312"/>
          <w:sz w:val="32"/>
          <w:szCs w:val="32"/>
        </w:rPr>
        <w:t>根据人事变动及时调整全民科学素质工作领导小组成员，落实了成员单位和乡镇的分管领导。县委将科协工作及纲要实施情况纳入2023年度目标考核。全县科协工作取得明显变化。</w:t>
      </w:r>
    </w:p>
    <w:p w14:paraId="079A69B1">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（2）科协工作服务全县经济社会发展。</w:t>
      </w:r>
      <w:r>
        <w:rPr>
          <w:rFonts w:hint="eastAsia" w:ascii="仿宋_GB2312" w:hAnsi="仿宋_GB2312" w:eastAsia="仿宋_GB2312" w:cs="仿宋_GB2312"/>
          <w:sz w:val="32"/>
          <w:szCs w:val="32"/>
        </w:rPr>
        <w:t>充分发挥全民科学素质行动计划纲要领导小组办公室的职能职责，为科协工作搭建有力平台，充分整合并利用多部门的科普资源，以县图书馆、青少年活动中心、社区科普书屋为载体，通过科技下乡、流动科技馆、科普进校园、科普大篷车、技术培训等形式针对未成年人、农民、城镇劳动人口、领导干部和公务员、社区居民五大重点人群开展了一系列科普活动。整合社会资源，充分发挥社会各界的力量，搭建社会化科普平台，以实施全民科学素质行动为依托，举办了科技下乡、科普展览、科普大蓬车进校园活动。联合教育局、文广旅局、体育局等单位和部门广泛开展形式多样的校园科普活动，切实做好学生、教师的科学素质提升工作。</w:t>
      </w:r>
    </w:p>
    <w:p w14:paraId="709B1CC8">
      <w:pPr>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（3）县科协参与全县社会管理。</w:t>
      </w:r>
      <w:r>
        <w:rPr>
          <w:rFonts w:hint="eastAsia" w:ascii="仿宋_GB2312" w:hAnsi="仿宋_GB2312" w:eastAsia="仿宋_GB2312" w:cs="仿宋_GB2312"/>
          <w:sz w:val="32"/>
          <w:szCs w:val="32"/>
        </w:rPr>
        <w:t>2023年，县科协深入实施基层科普行动计划，认真开展科普惠农、科普益民等民生科普活动。项目的实施完善了科普基地和农技协会的硬件设施，促进了科技培训向广度和深度发展，为农业增效、农民增收增添新的力量。</w:t>
      </w:r>
    </w:p>
    <w:p w14:paraId="0BDC39FB"/>
    <w:p w14:paraId="2D67581A">
      <w:pPr>
        <w:numPr>
          <w:ilvl w:val="0"/>
          <w:numId w:val="5"/>
        </w:numPr>
        <w:spacing w:line="600" w:lineRule="exact"/>
        <w:ind w:firstLine="660" w:firstLineChars="150"/>
        <w:jc w:val="center"/>
        <w:outlineLvl w:val="0"/>
        <w:rPr>
          <w:rStyle w:val="20"/>
          <w:rFonts w:ascii="黑体" w:hAnsi="黑体" w:eastAsia="黑体"/>
          <w:b w:val="0"/>
        </w:rPr>
      </w:pPr>
      <w:bookmarkStart w:id="43" w:name="_Toc15396613"/>
      <w:bookmarkStart w:id="44" w:name="_Toc15377225"/>
      <w:r>
        <w:rPr>
          <w:rFonts w:hint="eastAsia" w:ascii="黑体" w:hAnsi="黑体" w:eastAsia="黑体"/>
          <w:sz w:val="44"/>
          <w:szCs w:val="44"/>
        </w:rPr>
        <w:t>名</w:t>
      </w:r>
      <w:r>
        <w:rPr>
          <w:rStyle w:val="20"/>
          <w:rFonts w:hint="eastAsia" w:ascii="黑体" w:hAnsi="黑体" w:eastAsia="黑体"/>
          <w:b w:val="0"/>
        </w:rPr>
        <w:t>词解释</w:t>
      </w:r>
      <w:bookmarkEnd w:id="43"/>
      <w:bookmarkEnd w:id="44"/>
    </w:p>
    <w:p w14:paraId="6CDB81FC">
      <w:pPr>
        <w:spacing w:line="600" w:lineRule="exact"/>
        <w:jc w:val="left"/>
        <w:rPr>
          <w:rFonts w:ascii="宋体"/>
          <w:b/>
          <w:sz w:val="44"/>
          <w:szCs w:val="44"/>
        </w:rPr>
      </w:pPr>
    </w:p>
    <w:p w14:paraId="3F9FCB3D">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4A545E53">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14:paraId="5F7F351D">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3.年末结转和结余：指单位按有关规定结转到下年或以后年度继续使用的资金。</w:t>
      </w:r>
    </w:p>
    <w:p w14:paraId="38E69CCA">
      <w:pPr>
        <w:numPr>
          <w:ilvl w:val="0"/>
          <w:numId w:val="0"/>
        </w:numPr>
        <w:spacing w:line="600" w:lineRule="exact"/>
        <w:ind w:firstLine="640" w:firstLineChars="200"/>
        <w:rPr>
          <w:rStyle w:val="18"/>
          <w:rFonts w:hint="eastAsia" w:ascii="仿宋" w:hAnsi="仿宋" w:eastAsia="仿宋"/>
          <w:b w:val="0"/>
          <w:bCs w:val="0"/>
          <w:sz w:val="32"/>
          <w:szCs w:val="32"/>
          <w:lang w:eastAsia="zh-CN"/>
        </w:rPr>
      </w:pPr>
      <w:r>
        <w:rPr>
          <w:rFonts w:hint="eastAsia" w:ascii="仿宋_GB2312" w:eastAsia="仿宋_GB2312"/>
          <w:b w:val="0"/>
          <w:bCs w:val="0"/>
          <w:sz w:val="32"/>
          <w:szCs w:val="32"/>
        </w:rPr>
        <w:t>4</w:t>
      </w:r>
      <w:r>
        <w:rPr>
          <w:rFonts w:ascii="仿宋_GB2312" w:eastAsia="仿宋_GB2312"/>
          <w:b w:val="0"/>
          <w:bCs w:val="0"/>
          <w:sz w:val="32"/>
          <w:szCs w:val="32"/>
        </w:rPr>
        <w:t>.</w:t>
      </w:r>
      <w:r>
        <w:rPr>
          <w:rStyle w:val="18"/>
          <w:rFonts w:hint="eastAsia" w:ascii="仿宋" w:hAnsi="仿宋" w:eastAsia="仿宋"/>
          <w:b w:val="0"/>
          <w:bCs w:val="0"/>
          <w:sz w:val="32"/>
          <w:szCs w:val="32"/>
        </w:rPr>
        <w:t>科学技术支出（类）科学技术管理事务（款）行政运行（项）</w:t>
      </w:r>
      <w:r>
        <w:rPr>
          <w:rStyle w:val="18"/>
          <w:rFonts w:ascii="仿宋" w:hAnsi="仿宋" w:eastAsia="仿宋"/>
          <w:b w:val="0"/>
          <w:bCs w:val="0"/>
          <w:sz w:val="32"/>
          <w:szCs w:val="32"/>
        </w:rPr>
        <w:t>:</w:t>
      </w:r>
      <w:r>
        <w:rPr>
          <w:rStyle w:val="18"/>
          <w:rFonts w:hint="eastAsia" w:ascii="仿宋" w:hAnsi="仿宋" w:eastAsia="仿宋"/>
          <w:b w:val="0"/>
          <w:bCs w:val="0"/>
          <w:sz w:val="32"/>
          <w:szCs w:val="32"/>
          <w:lang w:eastAsia="zh-CN"/>
        </w:rPr>
        <w:t>指：行政运行。</w:t>
      </w:r>
    </w:p>
    <w:p w14:paraId="366E5B95">
      <w:pPr>
        <w:numPr>
          <w:ilvl w:val="0"/>
          <w:numId w:val="0"/>
        </w:numPr>
        <w:spacing w:line="600" w:lineRule="exact"/>
        <w:ind w:firstLine="640" w:firstLineChars="200"/>
        <w:rPr>
          <w:rStyle w:val="18"/>
          <w:rFonts w:hint="eastAsia" w:ascii="仿宋" w:hAnsi="仿宋" w:eastAsia="仿宋"/>
          <w:b w:val="0"/>
          <w:bCs w:val="0"/>
          <w:sz w:val="32"/>
          <w:szCs w:val="32"/>
          <w:lang w:eastAsia="zh-CN"/>
        </w:rPr>
      </w:pPr>
      <w:r>
        <w:rPr>
          <w:rStyle w:val="18"/>
          <w:rFonts w:hint="eastAsia" w:ascii="仿宋" w:hAnsi="仿宋" w:eastAsia="仿宋"/>
          <w:b w:val="0"/>
          <w:bCs w:val="0"/>
          <w:sz w:val="32"/>
          <w:szCs w:val="32"/>
          <w:lang w:val="en-US" w:eastAsia="zh-CN"/>
        </w:rPr>
        <w:t>5.</w:t>
      </w:r>
      <w:r>
        <w:rPr>
          <w:rStyle w:val="18"/>
          <w:rFonts w:hint="eastAsia" w:ascii="仿宋" w:hAnsi="仿宋" w:eastAsia="仿宋"/>
          <w:b w:val="0"/>
          <w:bCs w:val="0"/>
          <w:sz w:val="32"/>
          <w:szCs w:val="32"/>
        </w:rPr>
        <w:t>科学技术支出（类）科学技术管理事务（款）其他科学技术管理事务支出（项）</w:t>
      </w:r>
      <w:r>
        <w:rPr>
          <w:rStyle w:val="18"/>
          <w:rFonts w:hint="eastAsia" w:ascii="仿宋" w:hAnsi="仿宋" w:eastAsia="仿宋"/>
          <w:b w:val="0"/>
          <w:bCs w:val="0"/>
          <w:sz w:val="32"/>
          <w:szCs w:val="32"/>
          <w:lang w:eastAsia="zh-CN"/>
        </w:rPr>
        <w:t>：指：</w:t>
      </w:r>
      <w:r>
        <w:rPr>
          <w:rStyle w:val="18"/>
          <w:rFonts w:hint="eastAsia" w:ascii="仿宋" w:hAnsi="仿宋" w:eastAsia="仿宋"/>
          <w:b w:val="0"/>
          <w:bCs w:val="0"/>
          <w:sz w:val="32"/>
          <w:szCs w:val="32"/>
        </w:rPr>
        <w:t>其他科学技术管理事务支出</w:t>
      </w:r>
      <w:r>
        <w:rPr>
          <w:rStyle w:val="18"/>
          <w:rFonts w:hint="eastAsia" w:ascii="仿宋" w:hAnsi="仿宋" w:eastAsia="仿宋"/>
          <w:b w:val="0"/>
          <w:bCs w:val="0"/>
          <w:sz w:val="32"/>
          <w:szCs w:val="32"/>
          <w:lang w:eastAsia="zh-CN"/>
        </w:rPr>
        <w:t>。</w:t>
      </w:r>
    </w:p>
    <w:p w14:paraId="6FEC8C19">
      <w:pPr>
        <w:numPr>
          <w:ilvl w:val="0"/>
          <w:numId w:val="0"/>
        </w:numPr>
        <w:spacing w:line="600" w:lineRule="exact"/>
        <w:ind w:firstLine="640" w:firstLineChars="200"/>
        <w:rPr>
          <w:rStyle w:val="18"/>
          <w:rFonts w:hint="eastAsia" w:ascii="仿宋" w:hAnsi="仿宋" w:eastAsia="仿宋"/>
          <w:b w:val="0"/>
          <w:bCs w:val="0"/>
          <w:sz w:val="32"/>
          <w:szCs w:val="32"/>
          <w:lang w:eastAsia="zh-CN"/>
        </w:rPr>
      </w:pPr>
      <w:r>
        <w:rPr>
          <w:rStyle w:val="18"/>
          <w:rFonts w:hint="eastAsia" w:ascii="仿宋" w:hAnsi="仿宋" w:eastAsia="仿宋"/>
          <w:b w:val="0"/>
          <w:bCs w:val="0"/>
          <w:sz w:val="32"/>
          <w:szCs w:val="32"/>
          <w:lang w:val="en-US" w:eastAsia="zh-CN"/>
        </w:rPr>
        <w:t>6.</w:t>
      </w:r>
      <w:r>
        <w:rPr>
          <w:rStyle w:val="18"/>
          <w:rFonts w:hint="eastAsia" w:ascii="仿宋" w:hAnsi="仿宋" w:eastAsia="仿宋"/>
          <w:b w:val="0"/>
          <w:bCs w:val="0"/>
          <w:sz w:val="32"/>
          <w:szCs w:val="32"/>
        </w:rPr>
        <w:t>科学技术支出（类）科学技术普及（款）其他科学技术普及支出（项）</w:t>
      </w:r>
      <w:r>
        <w:rPr>
          <w:rStyle w:val="18"/>
          <w:rFonts w:hint="eastAsia" w:ascii="仿宋" w:hAnsi="仿宋" w:eastAsia="仿宋"/>
          <w:b w:val="0"/>
          <w:bCs w:val="0"/>
          <w:sz w:val="32"/>
          <w:szCs w:val="32"/>
          <w:lang w:eastAsia="zh-CN"/>
        </w:rPr>
        <w:t>：指：</w:t>
      </w:r>
      <w:r>
        <w:rPr>
          <w:rStyle w:val="18"/>
          <w:rFonts w:hint="eastAsia" w:ascii="仿宋" w:hAnsi="仿宋" w:eastAsia="仿宋"/>
          <w:b w:val="0"/>
          <w:bCs w:val="0"/>
          <w:sz w:val="32"/>
          <w:szCs w:val="32"/>
        </w:rPr>
        <w:t>其他科学技术普及支出</w:t>
      </w:r>
      <w:r>
        <w:rPr>
          <w:rStyle w:val="18"/>
          <w:rFonts w:hint="eastAsia" w:ascii="仿宋" w:hAnsi="仿宋" w:eastAsia="仿宋"/>
          <w:b w:val="0"/>
          <w:bCs w:val="0"/>
          <w:sz w:val="32"/>
          <w:szCs w:val="32"/>
          <w:lang w:eastAsia="zh-CN"/>
        </w:rPr>
        <w:t>。</w:t>
      </w:r>
    </w:p>
    <w:p w14:paraId="0EAF17A2">
      <w:pPr>
        <w:numPr>
          <w:ilvl w:val="0"/>
          <w:numId w:val="0"/>
        </w:numPr>
        <w:spacing w:line="600" w:lineRule="exact"/>
        <w:ind w:firstLine="640" w:firstLineChars="200"/>
        <w:rPr>
          <w:rStyle w:val="18"/>
          <w:rFonts w:hint="eastAsia" w:ascii="仿宋" w:hAnsi="仿宋" w:eastAsia="仿宋"/>
          <w:b w:val="0"/>
          <w:bCs w:val="0"/>
          <w:sz w:val="32"/>
          <w:szCs w:val="32"/>
          <w:lang w:eastAsia="zh-CN"/>
        </w:rPr>
      </w:pPr>
      <w:r>
        <w:rPr>
          <w:rStyle w:val="18"/>
          <w:rFonts w:hint="eastAsia" w:ascii="仿宋" w:hAnsi="仿宋" w:eastAsia="仿宋"/>
          <w:b w:val="0"/>
          <w:bCs w:val="0"/>
          <w:sz w:val="32"/>
          <w:szCs w:val="32"/>
          <w:lang w:val="en-US" w:eastAsia="zh-CN"/>
        </w:rPr>
        <w:t>7.</w:t>
      </w:r>
      <w:r>
        <w:rPr>
          <w:rStyle w:val="18"/>
          <w:rFonts w:hint="eastAsia" w:ascii="仿宋" w:hAnsi="仿宋" w:eastAsia="仿宋"/>
          <w:b w:val="0"/>
          <w:bCs w:val="0"/>
          <w:sz w:val="32"/>
          <w:szCs w:val="32"/>
        </w:rPr>
        <w:t>社会保障和就业</w:t>
      </w:r>
      <w:r>
        <w:rPr>
          <w:rStyle w:val="18"/>
          <w:rFonts w:hint="eastAsia" w:ascii="仿宋" w:hAnsi="仿宋" w:eastAsia="仿宋"/>
          <w:b w:val="0"/>
          <w:bCs w:val="0"/>
          <w:sz w:val="32"/>
          <w:szCs w:val="32"/>
          <w:lang w:eastAsia="zh-CN"/>
        </w:rPr>
        <w:t>支出</w:t>
      </w:r>
      <w:r>
        <w:rPr>
          <w:rStyle w:val="18"/>
          <w:rFonts w:hint="eastAsia" w:ascii="仿宋" w:hAnsi="仿宋" w:eastAsia="仿宋"/>
          <w:b w:val="0"/>
          <w:bCs w:val="0"/>
          <w:sz w:val="32"/>
          <w:szCs w:val="32"/>
        </w:rPr>
        <w:t>（类）</w:t>
      </w:r>
      <w:r>
        <w:rPr>
          <w:rStyle w:val="18"/>
          <w:rFonts w:hint="eastAsia" w:ascii="仿宋" w:hAnsi="仿宋" w:eastAsia="仿宋"/>
          <w:b w:val="0"/>
          <w:bCs w:val="0"/>
          <w:sz w:val="32"/>
          <w:szCs w:val="32"/>
          <w:lang w:eastAsia="zh-CN"/>
        </w:rPr>
        <w:t>行政事业单位养老支出</w:t>
      </w:r>
      <w:r>
        <w:rPr>
          <w:rStyle w:val="18"/>
          <w:rFonts w:hint="eastAsia" w:ascii="仿宋" w:hAnsi="仿宋" w:eastAsia="仿宋"/>
          <w:b w:val="0"/>
          <w:bCs w:val="0"/>
          <w:sz w:val="32"/>
          <w:szCs w:val="32"/>
        </w:rPr>
        <w:t>（款）行政单位离退休支出（项）</w:t>
      </w:r>
      <w:r>
        <w:rPr>
          <w:rStyle w:val="18"/>
          <w:rFonts w:hint="eastAsia" w:ascii="仿宋" w:hAnsi="仿宋" w:eastAsia="仿宋"/>
          <w:b w:val="0"/>
          <w:bCs w:val="0"/>
          <w:sz w:val="32"/>
          <w:szCs w:val="32"/>
          <w:lang w:eastAsia="zh-CN"/>
        </w:rPr>
        <w:t>：指：</w:t>
      </w:r>
      <w:r>
        <w:rPr>
          <w:rStyle w:val="18"/>
          <w:rFonts w:hint="eastAsia" w:ascii="仿宋" w:hAnsi="仿宋" w:eastAsia="仿宋"/>
          <w:b w:val="0"/>
          <w:bCs w:val="0"/>
          <w:sz w:val="32"/>
          <w:szCs w:val="32"/>
        </w:rPr>
        <w:t>行政单位离退休支出</w:t>
      </w:r>
      <w:r>
        <w:rPr>
          <w:rStyle w:val="18"/>
          <w:rFonts w:hint="eastAsia" w:ascii="仿宋" w:hAnsi="仿宋" w:eastAsia="仿宋"/>
          <w:b w:val="0"/>
          <w:bCs w:val="0"/>
          <w:sz w:val="32"/>
          <w:szCs w:val="32"/>
          <w:lang w:eastAsia="zh-CN"/>
        </w:rPr>
        <w:t>。</w:t>
      </w:r>
    </w:p>
    <w:p w14:paraId="082A7F40">
      <w:pPr>
        <w:numPr>
          <w:ilvl w:val="0"/>
          <w:numId w:val="0"/>
        </w:numPr>
        <w:spacing w:line="600" w:lineRule="exact"/>
        <w:ind w:firstLine="640" w:firstLineChars="200"/>
        <w:rPr>
          <w:rStyle w:val="18"/>
          <w:rFonts w:hint="eastAsia" w:ascii="仿宋" w:hAnsi="仿宋" w:eastAsia="仿宋"/>
          <w:b w:val="0"/>
          <w:bCs w:val="0"/>
          <w:sz w:val="32"/>
          <w:szCs w:val="32"/>
          <w:lang w:eastAsia="zh-CN"/>
        </w:rPr>
      </w:pPr>
      <w:r>
        <w:rPr>
          <w:rStyle w:val="18"/>
          <w:rFonts w:hint="eastAsia" w:ascii="仿宋" w:hAnsi="仿宋" w:eastAsia="仿宋"/>
          <w:b w:val="0"/>
          <w:bCs w:val="0"/>
          <w:sz w:val="32"/>
          <w:szCs w:val="32"/>
          <w:lang w:val="en-US" w:eastAsia="zh-CN"/>
        </w:rPr>
        <w:t>8.</w:t>
      </w:r>
      <w:r>
        <w:rPr>
          <w:rStyle w:val="18"/>
          <w:rFonts w:hint="eastAsia" w:ascii="仿宋" w:hAnsi="仿宋" w:eastAsia="仿宋"/>
          <w:b w:val="0"/>
          <w:bCs w:val="0"/>
          <w:sz w:val="32"/>
          <w:szCs w:val="32"/>
        </w:rPr>
        <w:t>社会保障和就业</w:t>
      </w:r>
      <w:r>
        <w:rPr>
          <w:rStyle w:val="18"/>
          <w:rFonts w:hint="eastAsia" w:ascii="仿宋" w:hAnsi="仿宋" w:eastAsia="仿宋"/>
          <w:b w:val="0"/>
          <w:bCs w:val="0"/>
          <w:sz w:val="32"/>
          <w:szCs w:val="32"/>
          <w:lang w:eastAsia="zh-CN"/>
        </w:rPr>
        <w:t>支出</w:t>
      </w:r>
      <w:r>
        <w:rPr>
          <w:rStyle w:val="18"/>
          <w:rFonts w:hint="eastAsia" w:ascii="仿宋" w:hAnsi="仿宋" w:eastAsia="仿宋"/>
          <w:b w:val="0"/>
          <w:bCs w:val="0"/>
          <w:sz w:val="32"/>
          <w:szCs w:val="32"/>
        </w:rPr>
        <w:t>（类）</w:t>
      </w:r>
      <w:r>
        <w:rPr>
          <w:rStyle w:val="18"/>
          <w:rFonts w:hint="eastAsia" w:ascii="仿宋" w:hAnsi="仿宋" w:eastAsia="仿宋"/>
          <w:b w:val="0"/>
          <w:bCs w:val="0"/>
          <w:sz w:val="32"/>
          <w:szCs w:val="32"/>
          <w:lang w:eastAsia="zh-CN"/>
        </w:rPr>
        <w:t>行政事业单位养老支出</w:t>
      </w:r>
      <w:r>
        <w:rPr>
          <w:rStyle w:val="18"/>
          <w:rFonts w:hint="eastAsia" w:ascii="仿宋" w:hAnsi="仿宋" w:eastAsia="仿宋"/>
          <w:b w:val="0"/>
          <w:bCs w:val="0"/>
          <w:sz w:val="32"/>
          <w:szCs w:val="32"/>
        </w:rPr>
        <w:t>（款）机关事业单位</w:t>
      </w:r>
      <w:r>
        <w:rPr>
          <w:rStyle w:val="18"/>
          <w:rFonts w:hint="eastAsia" w:ascii="仿宋" w:hAnsi="仿宋" w:eastAsia="仿宋"/>
          <w:b w:val="0"/>
          <w:bCs w:val="0"/>
          <w:sz w:val="32"/>
          <w:szCs w:val="32"/>
          <w:lang w:eastAsia="zh-CN"/>
        </w:rPr>
        <w:t>基本</w:t>
      </w:r>
      <w:r>
        <w:rPr>
          <w:rStyle w:val="18"/>
          <w:rFonts w:hint="eastAsia" w:ascii="仿宋" w:hAnsi="仿宋" w:eastAsia="仿宋"/>
          <w:b w:val="0"/>
          <w:bCs w:val="0"/>
          <w:sz w:val="32"/>
          <w:szCs w:val="32"/>
        </w:rPr>
        <w:t>养老保险缴费支出（项）</w:t>
      </w:r>
      <w:r>
        <w:rPr>
          <w:rStyle w:val="18"/>
          <w:rFonts w:hint="eastAsia" w:ascii="仿宋" w:hAnsi="仿宋" w:eastAsia="仿宋"/>
          <w:b w:val="0"/>
          <w:bCs w:val="0"/>
          <w:sz w:val="32"/>
          <w:szCs w:val="32"/>
          <w:lang w:eastAsia="zh-CN"/>
        </w:rPr>
        <w:t>：指：</w:t>
      </w:r>
      <w:r>
        <w:rPr>
          <w:rStyle w:val="18"/>
          <w:rFonts w:hint="eastAsia" w:ascii="仿宋" w:hAnsi="仿宋" w:eastAsia="仿宋"/>
          <w:b w:val="0"/>
          <w:bCs w:val="0"/>
          <w:sz w:val="32"/>
          <w:szCs w:val="32"/>
        </w:rPr>
        <w:t>机关事业单位</w:t>
      </w:r>
      <w:r>
        <w:rPr>
          <w:rStyle w:val="18"/>
          <w:rFonts w:hint="eastAsia" w:ascii="仿宋" w:hAnsi="仿宋" w:eastAsia="仿宋"/>
          <w:b w:val="0"/>
          <w:bCs w:val="0"/>
          <w:sz w:val="32"/>
          <w:szCs w:val="32"/>
          <w:lang w:eastAsia="zh-CN"/>
        </w:rPr>
        <w:t>基本</w:t>
      </w:r>
      <w:r>
        <w:rPr>
          <w:rStyle w:val="18"/>
          <w:rFonts w:hint="eastAsia" w:ascii="仿宋" w:hAnsi="仿宋" w:eastAsia="仿宋"/>
          <w:b w:val="0"/>
          <w:bCs w:val="0"/>
          <w:sz w:val="32"/>
          <w:szCs w:val="32"/>
        </w:rPr>
        <w:t>养老保险缴费支出</w:t>
      </w:r>
      <w:r>
        <w:rPr>
          <w:rStyle w:val="18"/>
          <w:rFonts w:hint="eastAsia" w:ascii="仿宋" w:hAnsi="仿宋" w:eastAsia="仿宋"/>
          <w:b w:val="0"/>
          <w:bCs w:val="0"/>
          <w:sz w:val="32"/>
          <w:szCs w:val="32"/>
          <w:lang w:eastAsia="zh-CN"/>
        </w:rPr>
        <w:t>。</w:t>
      </w:r>
    </w:p>
    <w:p w14:paraId="4A9B5173">
      <w:pPr>
        <w:numPr>
          <w:ilvl w:val="0"/>
          <w:numId w:val="0"/>
        </w:numPr>
        <w:spacing w:line="600" w:lineRule="exact"/>
        <w:ind w:firstLine="640" w:firstLineChars="200"/>
        <w:rPr>
          <w:rStyle w:val="18"/>
          <w:rFonts w:hint="eastAsia" w:ascii="仿宋" w:hAnsi="仿宋" w:eastAsia="仿宋"/>
          <w:b w:val="0"/>
          <w:bCs w:val="0"/>
          <w:sz w:val="32"/>
          <w:szCs w:val="32"/>
          <w:lang w:eastAsia="zh-CN"/>
        </w:rPr>
      </w:pPr>
      <w:r>
        <w:rPr>
          <w:rStyle w:val="18"/>
          <w:rFonts w:hint="eastAsia" w:ascii="仿宋" w:hAnsi="仿宋" w:eastAsia="仿宋"/>
          <w:b w:val="0"/>
          <w:bCs w:val="0"/>
          <w:sz w:val="32"/>
          <w:szCs w:val="32"/>
          <w:lang w:val="en-US" w:eastAsia="zh-CN"/>
        </w:rPr>
        <w:t>9.</w:t>
      </w:r>
      <w:r>
        <w:rPr>
          <w:rStyle w:val="18"/>
          <w:rFonts w:hint="eastAsia" w:ascii="仿宋" w:hAnsi="仿宋" w:eastAsia="仿宋"/>
          <w:b w:val="0"/>
          <w:bCs w:val="0"/>
          <w:sz w:val="32"/>
          <w:szCs w:val="32"/>
        </w:rPr>
        <w:t>社会保障和就业</w:t>
      </w:r>
      <w:r>
        <w:rPr>
          <w:rStyle w:val="18"/>
          <w:rFonts w:hint="eastAsia" w:ascii="仿宋" w:hAnsi="仿宋" w:eastAsia="仿宋"/>
          <w:b w:val="0"/>
          <w:bCs w:val="0"/>
          <w:sz w:val="32"/>
          <w:szCs w:val="32"/>
          <w:lang w:eastAsia="zh-CN"/>
        </w:rPr>
        <w:t>支出</w:t>
      </w:r>
      <w:r>
        <w:rPr>
          <w:rStyle w:val="18"/>
          <w:rFonts w:hint="eastAsia" w:ascii="仿宋" w:hAnsi="仿宋" w:eastAsia="仿宋"/>
          <w:b w:val="0"/>
          <w:bCs w:val="0"/>
          <w:sz w:val="32"/>
          <w:szCs w:val="32"/>
        </w:rPr>
        <w:t>（类）</w:t>
      </w:r>
      <w:r>
        <w:rPr>
          <w:rStyle w:val="18"/>
          <w:rFonts w:hint="eastAsia" w:ascii="仿宋" w:hAnsi="仿宋" w:eastAsia="仿宋"/>
          <w:b w:val="0"/>
          <w:bCs w:val="0"/>
          <w:sz w:val="32"/>
          <w:szCs w:val="32"/>
          <w:lang w:eastAsia="zh-CN"/>
        </w:rPr>
        <w:t>行政事业单位养老支出</w:t>
      </w:r>
      <w:r>
        <w:rPr>
          <w:rStyle w:val="18"/>
          <w:rFonts w:hint="eastAsia" w:ascii="仿宋" w:hAnsi="仿宋" w:eastAsia="仿宋"/>
          <w:b w:val="0"/>
          <w:bCs w:val="0"/>
          <w:sz w:val="32"/>
          <w:szCs w:val="32"/>
        </w:rPr>
        <w:t>（款）机关事业单位职业年金缴费支出（项）</w:t>
      </w:r>
      <w:r>
        <w:rPr>
          <w:rStyle w:val="18"/>
          <w:rFonts w:hint="eastAsia" w:ascii="仿宋" w:hAnsi="仿宋" w:eastAsia="仿宋"/>
          <w:b w:val="0"/>
          <w:bCs w:val="0"/>
          <w:sz w:val="32"/>
          <w:szCs w:val="32"/>
          <w:lang w:eastAsia="zh-CN"/>
        </w:rPr>
        <w:t>：指：</w:t>
      </w:r>
      <w:r>
        <w:rPr>
          <w:rStyle w:val="18"/>
          <w:rFonts w:hint="eastAsia" w:ascii="仿宋" w:hAnsi="仿宋" w:eastAsia="仿宋"/>
          <w:b w:val="0"/>
          <w:bCs w:val="0"/>
          <w:sz w:val="32"/>
          <w:szCs w:val="32"/>
        </w:rPr>
        <w:t>机关事业单位职业年金缴费支出</w:t>
      </w:r>
      <w:r>
        <w:rPr>
          <w:rStyle w:val="18"/>
          <w:rFonts w:hint="eastAsia" w:ascii="仿宋" w:hAnsi="仿宋" w:eastAsia="仿宋"/>
          <w:b w:val="0"/>
          <w:bCs w:val="0"/>
          <w:sz w:val="32"/>
          <w:szCs w:val="32"/>
          <w:lang w:eastAsia="zh-CN"/>
        </w:rPr>
        <w:t>。</w:t>
      </w:r>
    </w:p>
    <w:p w14:paraId="14A38D1C">
      <w:pPr>
        <w:numPr>
          <w:ilvl w:val="0"/>
          <w:numId w:val="0"/>
        </w:numPr>
        <w:spacing w:line="600" w:lineRule="exact"/>
        <w:ind w:firstLine="640" w:firstLineChars="200"/>
        <w:rPr>
          <w:rStyle w:val="18"/>
          <w:rFonts w:hint="eastAsia" w:ascii="仿宋" w:hAnsi="仿宋" w:eastAsia="仿宋"/>
          <w:b w:val="0"/>
          <w:bCs w:val="0"/>
          <w:sz w:val="32"/>
          <w:szCs w:val="32"/>
          <w:lang w:eastAsia="zh-CN"/>
        </w:rPr>
      </w:pPr>
      <w:r>
        <w:rPr>
          <w:rFonts w:hint="eastAsia" w:ascii="仿宋" w:hAnsi="仿宋" w:eastAsia="仿宋"/>
          <w:b w:val="0"/>
          <w:bCs w:val="0"/>
          <w:sz w:val="32"/>
          <w:szCs w:val="32"/>
          <w:lang w:val="en-US" w:eastAsia="zh-CN"/>
        </w:rPr>
        <w:t>10.</w:t>
      </w:r>
      <w:r>
        <w:rPr>
          <w:rFonts w:hint="eastAsia" w:ascii="仿宋" w:hAnsi="仿宋" w:eastAsia="仿宋"/>
          <w:b w:val="0"/>
          <w:bCs w:val="0"/>
          <w:sz w:val="32"/>
          <w:szCs w:val="32"/>
        </w:rPr>
        <w:t>卫生健康</w:t>
      </w:r>
      <w:r>
        <w:rPr>
          <w:rFonts w:hint="eastAsia" w:ascii="仿宋" w:hAnsi="仿宋" w:eastAsia="仿宋"/>
          <w:b w:val="0"/>
          <w:bCs w:val="0"/>
          <w:sz w:val="32"/>
          <w:szCs w:val="32"/>
          <w:lang w:eastAsia="zh-CN"/>
        </w:rPr>
        <w:t>支出</w:t>
      </w:r>
      <w:r>
        <w:rPr>
          <w:rStyle w:val="18"/>
          <w:rFonts w:hint="eastAsia" w:ascii="仿宋" w:hAnsi="仿宋" w:eastAsia="仿宋"/>
          <w:b w:val="0"/>
          <w:bCs w:val="0"/>
          <w:sz w:val="32"/>
          <w:szCs w:val="32"/>
        </w:rPr>
        <w:t>（类）</w:t>
      </w:r>
      <w:r>
        <w:rPr>
          <w:rStyle w:val="18"/>
          <w:rFonts w:hint="eastAsia" w:ascii="仿宋" w:hAnsi="仿宋" w:eastAsia="仿宋"/>
          <w:b w:val="0"/>
          <w:bCs w:val="0"/>
          <w:sz w:val="32"/>
          <w:szCs w:val="32"/>
          <w:lang w:eastAsia="zh-CN"/>
        </w:rPr>
        <w:t>行政事业单位医疗</w:t>
      </w:r>
      <w:r>
        <w:rPr>
          <w:rStyle w:val="18"/>
          <w:rFonts w:hint="eastAsia" w:ascii="仿宋" w:hAnsi="仿宋" w:eastAsia="仿宋"/>
          <w:b w:val="0"/>
          <w:bCs w:val="0"/>
          <w:sz w:val="32"/>
          <w:szCs w:val="32"/>
        </w:rPr>
        <w:t>（款）行政单位医疗（项）</w:t>
      </w:r>
      <w:r>
        <w:rPr>
          <w:rStyle w:val="18"/>
          <w:rFonts w:hint="eastAsia" w:ascii="仿宋" w:hAnsi="仿宋" w:eastAsia="仿宋"/>
          <w:b w:val="0"/>
          <w:bCs w:val="0"/>
          <w:sz w:val="32"/>
          <w:szCs w:val="32"/>
          <w:lang w:eastAsia="zh-CN"/>
        </w:rPr>
        <w:t>：指：</w:t>
      </w:r>
      <w:r>
        <w:rPr>
          <w:rStyle w:val="18"/>
          <w:rFonts w:hint="eastAsia" w:ascii="仿宋" w:hAnsi="仿宋" w:eastAsia="仿宋"/>
          <w:b w:val="0"/>
          <w:bCs w:val="0"/>
          <w:sz w:val="32"/>
          <w:szCs w:val="32"/>
        </w:rPr>
        <w:t>行政单位医疗</w:t>
      </w:r>
    </w:p>
    <w:p w14:paraId="1E5C6B16">
      <w:pPr>
        <w:pStyle w:val="2"/>
        <w:rPr>
          <w:rFonts w:hint="eastAsia"/>
        </w:rPr>
      </w:pPr>
    </w:p>
    <w:p w14:paraId="3C942A3B">
      <w:pPr>
        <w:numPr>
          <w:ilvl w:val="0"/>
          <w:numId w:val="0"/>
        </w:numPr>
        <w:spacing w:line="600" w:lineRule="exact"/>
        <w:ind w:firstLine="640" w:firstLineChars="200"/>
        <w:rPr>
          <w:rStyle w:val="18"/>
          <w:rFonts w:ascii="仿宋" w:hAnsi="仿宋" w:eastAsia="仿宋"/>
          <w:b w:val="0"/>
          <w:bCs w:val="0"/>
          <w:sz w:val="32"/>
          <w:szCs w:val="32"/>
        </w:rPr>
      </w:pPr>
      <w:r>
        <w:rPr>
          <w:rFonts w:hint="eastAsia" w:ascii="仿宋" w:hAnsi="仿宋" w:eastAsia="仿宋"/>
          <w:b w:val="0"/>
          <w:bCs w:val="0"/>
          <w:sz w:val="32"/>
          <w:szCs w:val="32"/>
          <w:lang w:val="en-US" w:eastAsia="zh-CN"/>
        </w:rPr>
        <w:t>11.</w:t>
      </w:r>
      <w:r>
        <w:rPr>
          <w:rFonts w:hint="eastAsia" w:ascii="仿宋" w:hAnsi="仿宋" w:eastAsia="仿宋"/>
          <w:b w:val="0"/>
          <w:bCs w:val="0"/>
          <w:sz w:val="32"/>
          <w:szCs w:val="32"/>
        </w:rPr>
        <w:t>卫生健康</w:t>
      </w:r>
      <w:r>
        <w:rPr>
          <w:rFonts w:hint="eastAsia" w:ascii="仿宋" w:hAnsi="仿宋" w:eastAsia="仿宋"/>
          <w:b w:val="0"/>
          <w:bCs w:val="0"/>
          <w:sz w:val="32"/>
          <w:szCs w:val="32"/>
          <w:lang w:eastAsia="zh-CN"/>
        </w:rPr>
        <w:t>支出</w:t>
      </w:r>
      <w:r>
        <w:rPr>
          <w:rStyle w:val="18"/>
          <w:rFonts w:hint="eastAsia" w:ascii="仿宋" w:hAnsi="仿宋" w:eastAsia="仿宋"/>
          <w:b w:val="0"/>
          <w:bCs w:val="0"/>
          <w:sz w:val="32"/>
          <w:szCs w:val="32"/>
        </w:rPr>
        <w:t>（类）</w:t>
      </w:r>
      <w:r>
        <w:rPr>
          <w:rStyle w:val="18"/>
          <w:rFonts w:hint="eastAsia" w:ascii="仿宋" w:hAnsi="仿宋" w:eastAsia="仿宋"/>
          <w:b w:val="0"/>
          <w:bCs w:val="0"/>
          <w:sz w:val="32"/>
          <w:szCs w:val="32"/>
          <w:lang w:eastAsia="zh-CN"/>
        </w:rPr>
        <w:t>行政事业单位医疗</w:t>
      </w:r>
      <w:r>
        <w:rPr>
          <w:rStyle w:val="18"/>
          <w:rFonts w:hint="eastAsia" w:ascii="仿宋" w:hAnsi="仿宋" w:eastAsia="仿宋"/>
          <w:b w:val="0"/>
          <w:bCs w:val="0"/>
          <w:sz w:val="32"/>
          <w:szCs w:val="32"/>
        </w:rPr>
        <w:t>（款）公务员医疗补助（项）</w:t>
      </w:r>
      <w:r>
        <w:rPr>
          <w:rStyle w:val="18"/>
          <w:rFonts w:hint="eastAsia" w:ascii="仿宋" w:hAnsi="仿宋" w:eastAsia="仿宋"/>
          <w:b w:val="0"/>
          <w:bCs w:val="0"/>
          <w:sz w:val="32"/>
          <w:szCs w:val="32"/>
          <w:lang w:eastAsia="zh-CN"/>
        </w:rPr>
        <w:t>：指：</w:t>
      </w:r>
      <w:r>
        <w:rPr>
          <w:rStyle w:val="18"/>
          <w:rFonts w:hint="eastAsia" w:ascii="仿宋" w:hAnsi="仿宋" w:eastAsia="仿宋"/>
          <w:b w:val="0"/>
          <w:bCs w:val="0"/>
          <w:sz w:val="32"/>
          <w:szCs w:val="32"/>
        </w:rPr>
        <w:t>公务员医疗补助</w:t>
      </w:r>
    </w:p>
    <w:p w14:paraId="05B08F29">
      <w:pPr>
        <w:spacing w:line="600" w:lineRule="exact"/>
        <w:ind w:firstLine="640" w:firstLineChars="200"/>
        <w:rPr>
          <w:rFonts w:ascii="仿宋" w:hAnsi="仿宋" w:eastAsia="仿宋"/>
          <w:b w:val="0"/>
          <w:bCs w:val="0"/>
          <w:sz w:val="32"/>
          <w:szCs w:val="32"/>
        </w:rPr>
      </w:pPr>
      <w:r>
        <w:rPr>
          <w:rFonts w:hint="eastAsia" w:ascii="仿宋" w:hAnsi="仿宋" w:eastAsia="仿宋"/>
          <w:b w:val="0"/>
          <w:bCs w:val="0"/>
          <w:sz w:val="32"/>
          <w:szCs w:val="32"/>
          <w:lang w:val="en-US" w:eastAsia="zh-CN"/>
        </w:rPr>
        <w:t>12.</w:t>
      </w:r>
      <w:r>
        <w:rPr>
          <w:rFonts w:hint="eastAsia" w:ascii="仿宋" w:hAnsi="仿宋" w:eastAsia="仿宋"/>
          <w:b w:val="0"/>
          <w:bCs w:val="0"/>
          <w:sz w:val="32"/>
          <w:szCs w:val="32"/>
        </w:rPr>
        <w:t>住房保障支出</w:t>
      </w:r>
      <w:r>
        <w:rPr>
          <w:rStyle w:val="18"/>
          <w:rFonts w:hint="eastAsia" w:ascii="仿宋" w:hAnsi="仿宋" w:eastAsia="仿宋"/>
          <w:b w:val="0"/>
          <w:bCs w:val="0"/>
          <w:sz w:val="32"/>
          <w:szCs w:val="32"/>
        </w:rPr>
        <w:t>（类）</w:t>
      </w:r>
      <w:r>
        <w:rPr>
          <w:rStyle w:val="18"/>
          <w:rFonts w:hint="eastAsia" w:ascii="仿宋" w:hAnsi="仿宋" w:eastAsia="仿宋"/>
          <w:b w:val="0"/>
          <w:bCs w:val="0"/>
          <w:sz w:val="32"/>
          <w:szCs w:val="32"/>
          <w:lang w:eastAsia="zh-CN"/>
        </w:rPr>
        <w:t>住房改革支出</w:t>
      </w:r>
      <w:r>
        <w:rPr>
          <w:rStyle w:val="18"/>
          <w:rFonts w:hint="eastAsia" w:ascii="仿宋" w:hAnsi="仿宋" w:eastAsia="仿宋"/>
          <w:b w:val="0"/>
          <w:bCs w:val="0"/>
          <w:sz w:val="32"/>
          <w:szCs w:val="32"/>
        </w:rPr>
        <w:t>（款）住房公积金（项）</w:t>
      </w:r>
      <w:r>
        <w:rPr>
          <w:rStyle w:val="18"/>
          <w:rFonts w:ascii="仿宋" w:hAnsi="仿宋" w:eastAsia="仿宋"/>
          <w:b w:val="0"/>
          <w:bCs w:val="0"/>
          <w:sz w:val="32"/>
          <w:szCs w:val="32"/>
        </w:rPr>
        <w:t>:</w:t>
      </w:r>
      <w:r>
        <w:rPr>
          <w:rStyle w:val="18"/>
          <w:rFonts w:hint="eastAsia" w:ascii="仿宋" w:hAnsi="仿宋" w:eastAsia="仿宋"/>
          <w:b w:val="0"/>
          <w:bCs w:val="0"/>
          <w:sz w:val="32"/>
          <w:szCs w:val="32"/>
          <w:lang w:eastAsia="zh-CN"/>
        </w:rPr>
        <w:t>指：</w:t>
      </w:r>
      <w:r>
        <w:rPr>
          <w:rStyle w:val="18"/>
          <w:rFonts w:hint="eastAsia" w:ascii="仿宋" w:hAnsi="仿宋" w:eastAsia="仿宋"/>
          <w:b w:val="0"/>
          <w:bCs w:val="0"/>
          <w:sz w:val="32"/>
          <w:szCs w:val="32"/>
        </w:rPr>
        <w:t>住房公积金</w:t>
      </w:r>
    </w:p>
    <w:p w14:paraId="499C840F">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.基本支出：指为保障机构正常运转、完成日常工作任务而发生的人员支出和公用支出。</w:t>
      </w:r>
    </w:p>
    <w:p w14:paraId="64385731">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14:paraId="642FFE23">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5</w:t>
      </w:r>
      <w:r>
        <w:rPr>
          <w:rFonts w:hint="eastAsia" w:ascii="仿宋_GB2312" w:eastAsia="仿宋_GB2312"/>
          <w:sz w:val="32"/>
          <w:szCs w:val="32"/>
        </w:rPr>
        <w:t>.</w:t>
      </w:r>
      <w:r>
        <w:rPr>
          <w:rFonts w:hint="eastAsia" w:ascii="仿宋_GB2312" w:eastAsia="仿宋_GB2312"/>
          <w:color w:val="auto"/>
          <w:sz w:val="32"/>
          <w:szCs w:val="32"/>
        </w:rPr>
        <w:t>“三公”经费</w:t>
      </w:r>
      <w:r>
        <w:rPr>
          <w:rFonts w:hint="eastAsia" w:ascii="仿宋_GB2312" w:eastAsia="仿宋_GB2312"/>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A5FD7AD">
      <w:pPr>
        <w:ind w:firstLine="640" w:firstLineChars="200"/>
        <w:rPr>
          <w:rFonts w:ascii="仿宋_GB2312" w:eastAsia="仿宋_GB2312"/>
          <w:color w:val="000000"/>
          <w:sz w:val="32"/>
          <w:szCs w:val="32"/>
        </w:rPr>
      </w:pPr>
      <w:r>
        <w:rPr>
          <w:rFonts w:hint="eastAsia" w:ascii="仿宋_GB2312" w:eastAsia="仿宋_GB2312"/>
          <w:sz w:val="32"/>
          <w:szCs w:val="32"/>
        </w:rPr>
        <w:t>1</w:t>
      </w: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机关运行经费：为保障行政单位（含参照公务员法管理的事业单位）运行用于购买货物和服务的各项资金，包括办公费、邮电费、差旅费、会议费、福利费、办公用房水电费</w:t>
      </w:r>
      <w:bookmarkStart w:id="62" w:name="_GoBack"/>
      <w:bookmarkEnd w:id="62"/>
      <w:r>
        <w:rPr>
          <w:rFonts w:hint="eastAsia" w:ascii="仿宋_GB2312" w:eastAsia="仿宋_GB2312"/>
          <w:sz w:val="32"/>
          <w:szCs w:val="32"/>
        </w:rPr>
        <w:t>以及其他费用。</w:t>
      </w:r>
    </w:p>
    <w:p w14:paraId="77A6B2E8">
      <w:pPr>
        <w:pStyle w:val="24"/>
        <w:spacing w:line="560" w:lineRule="exact"/>
        <w:ind w:firstLine="640" w:firstLineChars="200"/>
        <w:rPr>
          <w:rFonts w:ascii="仿宋_GB2312" w:eastAsia="仿宋_GB2312" w:cs="黑体"/>
          <w:color w:val="auto"/>
          <w:sz w:val="32"/>
          <w:szCs w:val="32"/>
        </w:rPr>
      </w:pPr>
    </w:p>
    <w:p w14:paraId="3386004F">
      <w:pPr>
        <w:spacing w:line="600" w:lineRule="exact"/>
        <w:jc w:val="center"/>
        <w:outlineLvl w:val="0"/>
        <w:rPr>
          <w:rStyle w:val="20"/>
          <w:rFonts w:ascii="黑体" w:hAnsi="黑体" w:eastAsia="黑体"/>
          <w:b w:val="0"/>
        </w:rPr>
      </w:pPr>
      <w:bookmarkStart w:id="45" w:name="_Toc15377226"/>
      <w:r>
        <w:rPr>
          <w:rFonts w:ascii="宋体"/>
          <w:b/>
          <w:sz w:val="44"/>
          <w:szCs w:val="44"/>
        </w:rPr>
        <w:br w:type="page"/>
      </w:r>
      <w:bookmarkStart w:id="46" w:name="_Toc15396614"/>
      <w:r>
        <w:rPr>
          <w:rFonts w:hint="eastAsia" w:ascii="黑体" w:hAnsi="黑体" w:eastAsia="黑体"/>
          <w:sz w:val="44"/>
          <w:szCs w:val="44"/>
        </w:rPr>
        <w:t>第</w:t>
      </w:r>
      <w:r>
        <w:rPr>
          <w:rStyle w:val="20"/>
          <w:rFonts w:hint="eastAsia" w:ascii="黑体" w:hAnsi="黑体" w:eastAsia="黑体"/>
          <w:b w:val="0"/>
        </w:rPr>
        <w:t>四部分 附件</w:t>
      </w:r>
      <w:bookmarkEnd w:id="46"/>
    </w:p>
    <w:p w14:paraId="23CEF649">
      <w:pPr>
        <w:spacing w:line="572" w:lineRule="exact"/>
        <w:jc w:val="left"/>
        <w:outlineLvl w:val="0"/>
        <w:rPr>
          <w:rFonts w:ascii="黑体" w:hAnsi="黑体" w:eastAsia="黑体" w:cs="黑体"/>
          <w:color w:val="FF0000"/>
          <w:sz w:val="32"/>
          <w:szCs w:val="32"/>
        </w:rPr>
      </w:pPr>
    </w:p>
    <w:p w14:paraId="6BAD0052">
      <w:pPr>
        <w:spacing w:line="572" w:lineRule="exact"/>
        <w:jc w:val="left"/>
        <w:outlineLvl w:val="0"/>
        <w:rPr>
          <w:rFonts w:ascii="方正小标宋简体" w:hAnsi="方正小标宋简体" w:eastAsia="黑体" w:cs="方正小标宋简体"/>
          <w:sz w:val="44"/>
          <w:szCs w:val="44"/>
        </w:rPr>
      </w:pPr>
      <w:r>
        <w:rPr>
          <w:rFonts w:hint="eastAsia" w:ascii="黑体" w:hAnsi="黑体" w:eastAsia="黑体" w:cs="黑体"/>
          <w:sz w:val="32"/>
          <w:szCs w:val="32"/>
        </w:rPr>
        <w:t>附件1</w:t>
      </w:r>
    </w:p>
    <w:p w14:paraId="776A9FF3">
      <w:pPr>
        <w:widowControl/>
        <w:spacing w:line="578" w:lineRule="exact"/>
        <w:contextualSpacing/>
        <w:jc w:val="center"/>
        <w:rPr>
          <w:rFonts w:ascii="Times New Roman" w:hAnsi="Times New Roman" w:eastAsia="方正小标宋简体"/>
          <w:bCs/>
          <w:sz w:val="44"/>
          <w:szCs w:val="44"/>
          <w:shd w:val="clear" w:color="auto" w:fill="FFFFFF"/>
        </w:rPr>
      </w:pPr>
      <w:r>
        <w:rPr>
          <w:rFonts w:ascii="Times New Roman" w:hAnsi="Times New Roman" w:eastAsia="方正小标宋简体"/>
          <w:bCs/>
          <w:sz w:val="44"/>
          <w:szCs w:val="44"/>
          <w:shd w:val="clear" w:color="auto" w:fill="FFFFFF"/>
        </w:rPr>
        <w:t>部门预算绩效</w:t>
      </w:r>
      <w:r>
        <w:rPr>
          <w:rFonts w:hint="eastAsia" w:ascii="Times New Roman" w:hAnsi="Times New Roman" w:eastAsia="方正小标宋简体"/>
          <w:bCs/>
          <w:sz w:val="44"/>
          <w:szCs w:val="44"/>
          <w:shd w:val="clear" w:color="auto" w:fill="FFFFFF"/>
        </w:rPr>
        <w:t>评价</w:t>
      </w:r>
      <w:r>
        <w:rPr>
          <w:rFonts w:ascii="Times New Roman" w:hAnsi="Times New Roman" w:eastAsia="方正小标宋简体"/>
          <w:bCs/>
          <w:sz w:val="44"/>
          <w:szCs w:val="44"/>
          <w:shd w:val="clear" w:color="auto" w:fill="FFFFFF"/>
        </w:rPr>
        <w:t>报告</w:t>
      </w:r>
    </w:p>
    <w:p w14:paraId="049AEEB3">
      <w:pPr>
        <w:widowControl/>
        <w:adjustRightInd w:val="0"/>
        <w:snapToGrid w:val="0"/>
        <w:spacing w:line="578" w:lineRule="exact"/>
        <w:ind w:firstLine="480" w:firstLineChars="200"/>
        <w:contextualSpacing/>
        <w:jc w:val="left"/>
        <w:rPr>
          <w:rFonts w:ascii="Times New Roman" w:hAnsi="Times New Roman" w:eastAsia="黑体"/>
          <w:color w:val="000000"/>
          <w:kern w:val="0"/>
          <w:sz w:val="24"/>
          <w:szCs w:val="32"/>
          <w:shd w:val="clear" w:color="auto" w:fill="FFFFFF"/>
        </w:rPr>
      </w:pPr>
    </w:p>
    <w:p w14:paraId="7D375A64">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一、</w:t>
      </w:r>
      <w:r>
        <w:rPr>
          <w:rFonts w:eastAsia="黑体"/>
          <w:color w:val="000000"/>
          <w:kern w:val="0"/>
          <w:sz w:val="32"/>
          <w:szCs w:val="32"/>
          <w:shd w:val="clear" w:color="auto" w:fill="FFFFFF"/>
          <w:lang w:val="zh-CN"/>
        </w:rPr>
        <w:t>部门（单位）基本情况</w:t>
      </w:r>
    </w:p>
    <w:p w14:paraId="7A5DA9D2">
      <w:pPr>
        <w:widowControl/>
        <w:adjustRightInd w:val="0"/>
        <w:snapToGrid w:val="0"/>
        <w:spacing w:line="578" w:lineRule="exact"/>
        <w:ind w:firstLine="643" w:firstLineChars="200"/>
        <w:contextualSpacing/>
        <w:jc w:val="left"/>
        <w:rPr>
          <w:rFonts w:ascii="Times New Roman" w:hAnsi="Times New Roman" w:eastAsia="楷体_GB2312"/>
          <w:b/>
          <w:bCs/>
          <w:color w:val="000000"/>
          <w:kern w:val="0"/>
          <w:sz w:val="32"/>
          <w:szCs w:val="32"/>
          <w:shd w:val="clear" w:color="auto" w:fill="FFFFFF"/>
          <w:lang w:val="zh-CN"/>
        </w:rPr>
      </w:pPr>
      <w:r>
        <w:rPr>
          <w:rFonts w:hint="eastAsia" w:ascii="Times New Roman" w:hAnsi="Times New Roman" w:eastAsia="楷体_GB2312"/>
          <w:b/>
          <w:bCs/>
          <w:color w:val="000000"/>
          <w:kern w:val="0"/>
          <w:sz w:val="32"/>
          <w:szCs w:val="32"/>
          <w:shd w:val="clear" w:color="auto" w:fill="FFFFFF"/>
          <w:lang w:val="zh-CN"/>
        </w:rPr>
        <w:t>（一）</w:t>
      </w:r>
      <w:r>
        <w:rPr>
          <w:rFonts w:ascii="Times New Roman" w:hAnsi="Times New Roman" w:eastAsia="楷体_GB2312"/>
          <w:b/>
          <w:bCs/>
          <w:color w:val="000000"/>
          <w:kern w:val="0"/>
          <w:sz w:val="32"/>
          <w:szCs w:val="32"/>
          <w:shd w:val="clear" w:color="auto" w:fill="FFFFFF"/>
          <w:lang w:val="zh-CN"/>
        </w:rPr>
        <w:t>机构组成。</w:t>
      </w:r>
    </w:p>
    <w:p w14:paraId="1F7C0A98">
      <w:pPr>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Times New Roman" w:hAnsi="Times New Roman" w:eastAsia="仿宋_GB2312"/>
          <w:sz w:val="32"/>
          <w:szCs w:val="32"/>
        </w:rPr>
        <w:t>米易县科</w:t>
      </w:r>
      <w:r>
        <w:rPr>
          <w:rFonts w:hint="eastAsia" w:ascii="Times New Roman" w:hAnsi="Times New Roman" w:eastAsia="仿宋_GB2312"/>
          <w:sz w:val="32"/>
          <w:szCs w:val="32"/>
          <w:lang w:eastAsia="zh-CN"/>
        </w:rPr>
        <w:t>学技术协会部门</w:t>
      </w:r>
      <w:r>
        <w:rPr>
          <w:rFonts w:eastAsia="仿宋_GB2312"/>
          <w:sz w:val="32"/>
          <w:szCs w:val="32"/>
        </w:rPr>
        <w:t>是米易县科学技术工作者的群众组织，是县委领导下的人民团体，是党和政府联系科技工作者的桥梁和纽带，是推动我县科技事业发展的重要力量。</w:t>
      </w:r>
    </w:p>
    <w:p w14:paraId="7DFDB0B6">
      <w:pPr>
        <w:widowControl/>
        <w:numPr>
          <w:ilvl w:val="0"/>
          <w:numId w:val="6"/>
        </w:numPr>
        <w:adjustRightInd w:val="0"/>
        <w:snapToGrid w:val="0"/>
        <w:spacing w:line="578" w:lineRule="exact"/>
        <w:ind w:firstLine="643" w:firstLineChars="200"/>
        <w:contextualSpacing/>
        <w:jc w:val="left"/>
        <w:rPr>
          <w:rFonts w:ascii="Times New Roman" w:hAnsi="Times New Roman" w:eastAsia="楷体_GB2312"/>
          <w:b/>
          <w:bCs/>
          <w:color w:val="000000"/>
          <w:kern w:val="0"/>
          <w:sz w:val="32"/>
          <w:szCs w:val="32"/>
          <w:shd w:val="clear" w:color="auto" w:fill="FFFFFF"/>
          <w:lang w:val="zh-CN"/>
        </w:rPr>
      </w:pPr>
      <w:r>
        <w:rPr>
          <w:rFonts w:ascii="Times New Roman" w:hAnsi="Times New Roman" w:eastAsia="楷体_GB2312"/>
          <w:b/>
          <w:bCs/>
          <w:color w:val="000000"/>
          <w:kern w:val="0"/>
          <w:sz w:val="32"/>
          <w:szCs w:val="32"/>
          <w:shd w:val="clear" w:color="auto" w:fill="FFFFFF"/>
          <w:lang w:val="zh-CN"/>
        </w:rPr>
        <w:t>机构职能</w:t>
      </w:r>
      <w:r>
        <w:rPr>
          <w:rFonts w:hint="eastAsia" w:ascii="Times New Roman" w:hAnsi="Times New Roman" w:eastAsia="楷体_GB2312"/>
          <w:b/>
          <w:bCs/>
          <w:color w:val="000000"/>
          <w:kern w:val="0"/>
          <w:sz w:val="32"/>
          <w:szCs w:val="32"/>
          <w:shd w:val="clear" w:color="auto" w:fill="FFFFFF"/>
          <w:lang w:val="zh-CN"/>
        </w:rPr>
        <w:t>。</w:t>
      </w:r>
    </w:p>
    <w:p w14:paraId="1B0BDF29">
      <w:pPr>
        <w:spacing w:line="560" w:lineRule="exact"/>
        <w:ind w:firstLine="640" w:firstLineChars="200"/>
        <w:rPr>
          <w:rFonts w:eastAsia="仿宋_GB2312"/>
          <w:sz w:val="32"/>
          <w:szCs w:val="32"/>
        </w:rPr>
      </w:pPr>
      <w:r>
        <w:rPr>
          <w:rFonts w:hint="eastAsia" w:ascii="Times New Roman" w:hAnsi="Times New Roman" w:eastAsia="仿宋_GB2312"/>
          <w:sz w:val="32"/>
          <w:szCs w:val="32"/>
        </w:rPr>
        <w:t>米易县科</w:t>
      </w:r>
      <w:r>
        <w:rPr>
          <w:rFonts w:hint="eastAsia" w:ascii="Times New Roman" w:hAnsi="Times New Roman" w:eastAsia="仿宋_GB2312"/>
          <w:sz w:val="32"/>
          <w:szCs w:val="32"/>
          <w:lang w:eastAsia="zh-CN"/>
        </w:rPr>
        <w:t>学技术协会部门</w:t>
      </w:r>
      <w:r>
        <w:rPr>
          <w:rFonts w:eastAsia="仿宋_GB2312"/>
          <w:sz w:val="32"/>
          <w:szCs w:val="32"/>
        </w:rPr>
        <w:t>下设办公室，负责处理科协日常事务。县科协职能是：</w:t>
      </w:r>
    </w:p>
    <w:p w14:paraId="214D065E">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1.</w:t>
      </w:r>
      <w:r>
        <w:rPr>
          <w:rFonts w:hint="eastAsia" w:ascii="仿宋_GB2312" w:hAnsi="仿宋_GB2312" w:eastAsia="仿宋_GB2312" w:cs="仿宋_GB2312"/>
          <w:sz w:val="32"/>
          <w:szCs w:val="32"/>
        </w:rPr>
        <w:t>开展学术交流，活跃学术思想，促进学科发展。</w:t>
      </w:r>
    </w:p>
    <w:p w14:paraId="717E5EB9">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2.</w:t>
      </w:r>
      <w:r>
        <w:rPr>
          <w:rFonts w:hint="eastAsia" w:ascii="仿宋_GB2312" w:hAnsi="仿宋_GB2312" w:eastAsia="仿宋_GB2312" w:cs="仿宋_GB2312"/>
          <w:sz w:val="32"/>
          <w:szCs w:val="32"/>
        </w:rPr>
        <w:t>弘扬科学精神，普及科学知识，传播科学思想和科学方法，捍卫科学尊严，推广先进技术，开展青少年科学技术教育，提高全县各族群众的科学文化素质。</w:t>
      </w:r>
    </w:p>
    <w:p w14:paraId="369DC136">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3.</w:t>
      </w:r>
      <w:r>
        <w:rPr>
          <w:rFonts w:hint="eastAsia" w:ascii="仿宋_GB2312" w:hAnsi="仿宋_GB2312" w:eastAsia="仿宋_GB2312" w:cs="仿宋_GB2312"/>
          <w:sz w:val="32"/>
          <w:szCs w:val="32"/>
        </w:rPr>
        <w:t>反映科技工作者的意见、建议和要求，维护科技工作者的合法权益；组织科技工作者参与全县科学技术政策的制定和重大事务的政治协商、科学决策、民主监督工作。</w:t>
      </w:r>
    </w:p>
    <w:p w14:paraId="56915287">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4.</w:t>
      </w:r>
      <w:r>
        <w:rPr>
          <w:rFonts w:hint="eastAsia" w:ascii="仿宋_GB2312" w:hAnsi="仿宋_GB2312" w:eastAsia="仿宋_GB2312" w:cs="仿宋_GB2312"/>
          <w:sz w:val="32"/>
          <w:szCs w:val="32"/>
        </w:rPr>
        <w:t>表彰奖励优秀科技工作者，举荐人才。</w:t>
      </w:r>
    </w:p>
    <w:p w14:paraId="724E30D9">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5.</w:t>
      </w:r>
      <w:r>
        <w:rPr>
          <w:rFonts w:hint="eastAsia" w:ascii="仿宋_GB2312" w:hAnsi="仿宋_GB2312" w:eastAsia="仿宋_GB2312" w:cs="仿宋_GB2312"/>
          <w:sz w:val="32"/>
          <w:szCs w:val="32"/>
        </w:rPr>
        <w:t>开展科学论证、咨询服务，提出政策建议，促进科学技术的转化。</w:t>
      </w:r>
    </w:p>
    <w:p w14:paraId="137D13A2">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6.</w:t>
      </w:r>
      <w:r>
        <w:rPr>
          <w:rFonts w:hint="eastAsia" w:ascii="仿宋_GB2312" w:hAnsi="仿宋_GB2312" w:eastAsia="仿宋_GB2312" w:cs="仿宋_GB2312"/>
          <w:sz w:val="32"/>
          <w:szCs w:val="32"/>
        </w:rPr>
        <w:t>开展民间科学技术交流活动，发展同国内外科学技术团体和科学技术工作者的友好交往。</w:t>
      </w:r>
    </w:p>
    <w:p w14:paraId="28F42B40">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7.</w:t>
      </w:r>
      <w:r>
        <w:rPr>
          <w:rFonts w:hint="eastAsia" w:ascii="仿宋_GB2312" w:hAnsi="仿宋_GB2312" w:eastAsia="仿宋_GB2312" w:cs="仿宋_GB2312"/>
          <w:sz w:val="32"/>
          <w:szCs w:val="32"/>
        </w:rPr>
        <w:t>开展继续教育和培训工作。</w:t>
      </w:r>
    </w:p>
    <w:p w14:paraId="3A454733">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8.</w:t>
      </w:r>
      <w:r>
        <w:rPr>
          <w:rFonts w:hint="eastAsia" w:ascii="仿宋_GB2312" w:hAnsi="仿宋_GB2312" w:eastAsia="仿宋_GB2312" w:cs="仿宋_GB2312"/>
          <w:sz w:val="32"/>
          <w:szCs w:val="32"/>
        </w:rPr>
        <w:t>管理直属县级学会、协会、研究会；指导乡（镇）科协和厂矿企业科协等基层组织开展工作。</w:t>
      </w:r>
    </w:p>
    <w:p w14:paraId="295BE471">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9.</w:t>
      </w:r>
      <w:r>
        <w:rPr>
          <w:rFonts w:hint="eastAsia" w:ascii="仿宋_GB2312" w:hAnsi="仿宋_GB2312" w:eastAsia="仿宋_GB2312" w:cs="仿宋_GB2312"/>
          <w:sz w:val="32"/>
          <w:szCs w:val="32"/>
        </w:rPr>
        <w:t>兴办符合科协宗旨的社会公益性事业。</w:t>
      </w:r>
    </w:p>
    <w:p w14:paraId="6F15A1C2">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10.</w:t>
      </w:r>
      <w:r>
        <w:rPr>
          <w:rFonts w:hint="eastAsia" w:ascii="仿宋_GB2312" w:hAnsi="仿宋_GB2312" w:eastAsia="仿宋_GB2312" w:cs="仿宋_GB2312"/>
          <w:sz w:val="32"/>
          <w:szCs w:val="32"/>
        </w:rPr>
        <w:t>承担县委、县政府和市科协交办的其它事项。</w:t>
      </w:r>
    </w:p>
    <w:p w14:paraId="1D4D99BD">
      <w:pPr>
        <w:numPr>
          <w:ilvl w:val="0"/>
          <w:numId w:val="6"/>
        </w:numPr>
        <w:spacing w:line="560" w:lineRule="exact"/>
        <w:ind w:firstLine="643" w:firstLineChars="200"/>
        <w:rPr>
          <w:rFonts w:ascii="Times New Roman" w:hAnsi="Times New Roman" w:eastAsia="楷体_GB2312"/>
          <w:b/>
          <w:bCs/>
          <w:color w:val="000000"/>
          <w:kern w:val="0"/>
          <w:sz w:val="32"/>
          <w:szCs w:val="32"/>
          <w:shd w:val="clear" w:color="auto" w:fill="FFFFFF"/>
          <w:lang w:val="zh-CN"/>
        </w:rPr>
      </w:pPr>
      <w:r>
        <w:rPr>
          <w:rFonts w:ascii="Times New Roman" w:hAnsi="Times New Roman" w:eastAsia="楷体_GB2312"/>
          <w:b/>
          <w:bCs/>
          <w:color w:val="000000"/>
          <w:kern w:val="0"/>
          <w:sz w:val="32"/>
          <w:szCs w:val="32"/>
          <w:shd w:val="clear" w:color="auto" w:fill="FFFFFF"/>
          <w:lang w:val="zh-CN"/>
        </w:rPr>
        <w:t>人员概况</w:t>
      </w:r>
      <w:r>
        <w:rPr>
          <w:rFonts w:hint="eastAsia" w:ascii="Times New Roman" w:hAnsi="Times New Roman" w:eastAsia="楷体_GB2312"/>
          <w:b/>
          <w:bCs/>
          <w:color w:val="000000"/>
          <w:kern w:val="0"/>
          <w:sz w:val="32"/>
          <w:szCs w:val="32"/>
          <w:shd w:val="clear" w:color="auto" w:fill="FFFFFF"/>
          <w:lang w:val="zh-CN"/>
        </w:rPr>
        <w:t>。</w:t>
      </w:r>
    </w:p>
    <w:p w14:paraId="20B255E5">
      <w:pPr>
        <w:spacing w:line="560" w:lineRule="exact"/>
        <w:ind w:left="420" w:leftChars="200" w:firstLine="640" w:firstLineChars="200"/>
        <w:rPr>
          <w:rFonts w:ascii="Times New Roman" w:hAnsi="Times New Roman"/>
          <w:szCs w:val="32"/>
        </w:rPr>
      </w:pPr>
      <w:r>
        <w:rPr>
          <w:rFonts w:ascii="Times New Roman" w:hAnsi="Times New Roman" w:eastAsia="仿宋_GB2312"/>
          <w:sz w:val="32"/>
          <w:szCs w:val="32"/>
        </w:rPr>
        <w:t>截至202</w:t>
      </w:r>
      <w:r>
        <w:rPr>
          <w:rFonts w:hint="eastAsia" w:ascii="Times New Roman" w:hAnsi="Times New Roman" w:eastAsia="仿宋_GB2312"/>
          <w:sz w:val="32"/>
          <w:szCs w:val="32"/>
        </w:rPr>
        <w:t>3</w:t>
      </w:r>
      <w:r>
        <w:rPr>
          <w:rFonts w:ascii="Times New Roman" w:hAnsi="Times New Roman" w:eastAsia="仿宋_GB2312"/>
          <w:sz w:val="32"/>
          <w:szCs w:val="32"/>
        </w:rPr>
        <w:t>年末</w:t>
      </w:r>
      <w:r>
        <w:rPr>
          <w:rFonts w:hint="eastAsia" w:hAnsi="仿宋_GB2312" w:cs="仿宋_GB2312"/>
          <w:sz w:val="32"/>
          <w:szCs w:val="32"/>
        </w:rPr>
        <w:t>：</w:t>
      </w:r>
      <w:r>
        <w:rPr>
          <w:rFonts w:hint="eastAsia" w:ascii="Times New Roman" w:hAnsi="Times New Roman" w:eastAsia="仿宋_GB2312"/>
          <w:sz w:val="32"/>
          <w:szCs w:val="32"/>
        </w:rPr>
        <w:t>米易县科</w:t>
      </w:r>
      <w:r>
        <w:rPr>
          <w:rFonts w:hint="eastAsia" w:ascii="Times New Roman" w:hAnsi="Times New Roman" w:eastAsia="仿宋_GB2312"/>
          <w:sz w:val="32"/>
          <w:szCs w:val="32"/>
          <w:lang w:eastAsia="zh-CN"/>
        </w:rPr>
        <w:t>学技术协会部门</w:t>
      </w:r>
      <w:r>
        <w:rPr>
          <w:rFonts w:eastAsia="仿宋_GB2312"/>
          <w:color w:val="000000"/>
          <w:sz w:val="32"/>
          <w:szCs w:val="32"/>
        </w:rPr>
        <w:t>属于行政单位，</w:t>
      </w:r>
      <w:r>
        <w:rPr>
          <w:rFonts w:eastAsia="仿宋_GB2312"/>
          <w:sz w:val="32"/>
          <w:szCs w:val="32"/>
        </w:rPr>
        <w:t>实有人数</w:t>
      </w:r>
      <w:r>
        <w:rPr>
          <w:rFonts w:hint="eastAsia" w:eastAsia="仿宋_GB2312"/>
          <w:sz w:val="32"/>
          <w:szCs w:val="32"/>
        </w:rPr>
        <w:t>12</w:t>
      </w:r>
      <w:r>
        <w:rPr>
          <w:rFonts w:eastAsia="仿宋_GB2312"/>
          <w:sz w:val="32"/>
          <w:szCs w:val="32"/>
        </w:rPr>
        <w:t>人，退休人员</w:t>
      </w:r>
      <w:r>
        <w:rPr>
          <w:rFonts w:hint="eastAsia" w:eastAsia="仿宋_GB2312"/>
          <w:sz w:val="32"/>
          <w:szCs w:val="32"/>
        </w:rPr>
        <w:t>6</w:t>
      </w:r>
      <w:r>
        <w:rPr>
          <w:rFonts w:eastAsia="仿宋_GB2312"/>
          <w:sz w:val="32"/>
          <w:szCs w:val="32"/>
        </w:rPr>
        <w:t>人，在职</w:t>
      </w:r>
      <w:r>
        <w:rPr>
          <w:rFonts w:hint="eastAsia" w:eastAsia="仿宋_GB2312"/>
          <w:sz w:val="32"/>
          <w:szCs w:val="32"/>
        </w:rPr>
        <w:t>5</w:t>
      </w:r>
      <w:r>
        <w:rPr>
          <w:rFonts w:eastAsia="仿宋_GB2312"/>
          <w:sz w:val="32"/>
          <w:szCs w:val="32"/>
        </w:rPr>
        <w:t>人</w:t>
      </w:r>
      <w:r>
        <w:rPr>
          <w:rFonts w:hint="eastAsia" w:eastAsia="仿宋_GB2312"/>
          <w:sz w:val="32"/>
          <w:szCs w:val="32"/>
        </w:rPr>
        <w:t>(</w:t>
      </w:r>
      <w:r>
        <w:rPr>
          <w:rFonts w:eastAsia="仿宋_GB2312"/>
          <w:sz w:val="32"/>
          <w:szCs w:val="32"/>
        </w:rPr>
        <w:t>行政人员</w:t>
      </w:r>
      <w:r>
        <w:rPr>
          <w:rFonts w:hint="eastAsia" w:eastAsia="仿宋_GB2312"/>
          <w:sz w:val="32"/>
          <w:szCs w:val="32"/>
        </w:rPr>
        <w:t>4人</w:t>
      </w:r>
      <w:r>
        <w:rPr>
          <w:rFonts w:eastAsia="仿宋_GB2312"/>
          <w:sz w:val="32"/>
          <w:szCs w:val="32"/>
        </w:rPr>
        <w:t>，其中行政工勤人员</w:t>
      </w:r>
      <w:r>
        <w:rPr>
          <w:rFonts w:hint="eastAsia" w:eastAsia="仿宋_GB2312"/>
          <w:sz w:val="32"/>
          <w:szCs w:val="32"/>
        </w:rPr>
        <w:t>1人)</w:t>
      </w:r>
      <w:r>
        <w:rPr>
          <w:rFonts w:eastAsia="仿宋_GB2312"/>
          <w:sz w:val="32"/>
          <w:szCs w:val="32"/>
        </w:rPr>
        <w:t>。</w:t>
      </w:r>
    </w:p>
    <w:p w14:paraId="63926688">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二、部门资金收支情况</w:t>
      </w:r>
    </w:p>
    <w:p w14:paraId="0F5FE658">
      <w:pPr>
        <w:widowControl/>
        <w:adjustRightInd w:val="0"/>
        <w:snapToGrid w:val="0"/>
        <w:spacing w:line="578" w:lineRule="exact"/>
        <w:ind w:firstLine="643" w:firstLineChars="200"/>
        <w:contextualSpacing/>
        <w:jc w:val="left"/>
        <w:rPr>
          <w:rFonts w:ascii="Times New Roman" w:hAnsi="Times New Roman" w:eastAsia="楷体_GB2312"/>
          <w:b/>
          <w:bCs/>
          <w:color w:val="000000"/>
          <w:kern w:val="0"/>
          <w:sz w:val="32"/>
          <w:szCs w:val="32"/>
          <w:shd w:val="clear" w:color="auto" w:fill="FFFFFF"/>
          <w:lang w:val="zh-CN"/>
        </w:rPr>
      </w:pPr>
      <w:r>
        <w:rPr>
          <w:rFonts w:ascii="Times New Roman" w:hAnsi="Times New Roman" w:eastAsia="楷体_GB2312"/>
          <w:b/>
          <w:bCs/>
          <w:color w:val="000000"/>
          <w:kern w:val="0"/>
          <w:sz w:val="32"/>
          <w:szCs w:val="32"/>
          <w:shd w:val="clear" w:color="auto" w:fill="FFFFFF"/>
          <w:lang w:val="zh-CN"/>
        </w:rPr>
        <w:t>（一）</w:t>
      </w:r>
      <w:r>
        <w:rPr>
          <w:rFonts w:hint="eastAsia" w:ascii="Times New Roman" w:hAnsi="Times New Roman" w:eastAsia="楷体_GB2312"/>
          <w:b/>
          <w:bCs/>
          <w:color w:val="000000"/>
          <w:kern w:val="0"/>
          <w:sz w:val="32"/>
          <w:szCs w:val="32"/>
          <w:shd w:val="clear" w:color="auto" w:fill="FFFFFF"/>
          <w:lang w:val="zh-CN"/>
        </w:rPr>
        <w:t>收入情况</w:t>
      </w:r>
      <w:r>
        <w:rPr>
          <w:rFonts w:ascii="Times New Roman" w:hAnsi="Times New Roman" w:eastAsia="楷体_GB2312"/>
          <w:b/>
          <w:bCs/>
          <w:color w:val="000000"/>
          <w:kern w:val="0"/>
          <w:sz w:val="32"/>
          <w:szCs w:val="32"/>
          <w:shd w:val="clear" w:color="auto" w:fill="FFFFFF"/>
          <w:lang w:val="zh-CN"/>
        </w:rPr>
        <w:t>。</w:t>
      </w:r>
    </w:p>
    <w:p w14:paraId="3A2A199F">
      <w:pPr>
        <w:widowControl/>
        <w:adjustRightInd w:val="0"/>
        <w:snapToGrid w:val="0"/>
        <w:spacing w:line="578" w:lineRule="exact"/>
        <w:ind w:firstLine="640" w:firstLineChars="200"/>
        <w:contextualSpacing/>
        <w:jc w:val="left"/>
        <w:rPr>
          <w:rFonts w:ascii="Times New Roman" w:hAnsi="Times New Roman" w:eastAsia="楷体_GB2312"/>
          <w:b/>
          <w:bCs/>
          <w:color w:val="000000"/>
          <w:kern w:val="0"/>
          <w:szCs w:val="32"/>
          <w:shd w:val="clear" w:color="auto" w:fill="FFFFFF"/>
        </w:rPr>
      </w:pPr>
      <w:r>
        <w:rPr>
          <w:rFonts w:hint="eastAsia" w:ascii="Times New Roman" w:hAnsi="Times New Roman" w:eastAsia="仿宋_GB2312"/>
          <w:sz w:val="32"/>
          <w:szCs w:val="32"/>
        </w:rPr>
        <w:t>米易县科</w:t>
      </w:r>
      <w:r>
        <w:rPr>
          <w:rFonts w:hint="eastAsia" w:ascii="Times New Roman" w:hAnsi="Times New Roman" w:eastAsia="仿宋_GB2312"/>
          <w:sz w:val="32"/>
          <w:szCs w:val="32"/>
          <w:lang w:eastAsia="zh-CN"/>
        </w:rPr>
        <w:t>学技术协会部门</w:t>
      </w:r>
      <w:r>
        <w:rPr>
          <w:rFonts w:hint="eastAsia" w:ascii="Times New Roman" w:hAnsi="Times New Roman" w:eastAsia="仿宋_GB2312"/>
          <w:sz w:val="32"/>
          <w:szCs w:val="32"/>
        </w:rPr>
        <w:t>2023年年初预算收入207.62万元，决算报表收入</w:t>
      </w:r>
      <w:r>
        <w:rPr>
          <w:rFonts w:hint="eastAsia" w:ascii="Times New Roman" w:hAnsi="Times New Roman" w:eastAsia="仿宋_GB2312"/>
          <w:sz w:val="32"/>
          <w:szCs w:val="32"/>
          <w:highlight w:val="none"/>
        </w:rPr>
        <w:t>205.3</w:t>
      </w:r>
      <w:r>
        <w:rPr>
          <w:rFonts w:hint="eastAsia" w:ascii="Times New Roman" w:hAnsi="Times New Roman" w:eastAsia="仿宋_GB2312"/>
          <w:sz w:val="32"/>
          <w:szCs w:val="32"/>
        </w:rPr>
        <w:t>万元，金额不一致的原因是2023年5月底退休一名职工，收回一部分资金和调剂了一部分资金。</w:t>
      </w:r>
    </w:p>
    <w:p w14:paraId="60AE4F17">
      <w:pPr>
        <w:widowControl/>
        <w:numPr>
          <w:ilvl w:val="0"/>
          <w:numId w:val="7"/>
        </w:numPr>
        <w:adjustRightInd w:val="0"/>
        <w:snapToGrid w:val="0"/>
        <w:spacing w:line="578" w:lineRule="exact"/>
        <w:ind w:firstLine="643" w:firstLineChars="200"/>
        <w:contextualSpacing/>
        <w:jc w:val="left"/>
        <w:rPr>
          <w:rFonts w:ascii="Times New Roman" w:hAnsi="Times New Roman" w:eastAsia="楷体_GB2312"/>
          <w:b/>
          <w:bCs/>
          <w:color w:val="000000"/>
          <w:kern w:val="0"/>
          <w:sz w:val="32"/>
          <w:szCs w:val="32"/>
          <w:shd w:val="clear" w:color="auto" w:fill="FFFFFF"/>
          <w:lang w:val="zh-CN"/>
        </w:rPr>
      </w:pPr>
      <w:r>
        <w:rPr>
          <w:rFonts w:hint="eastAsia" w:ascii="Times New Roman" w:hAnsi="Times New Roman" w:eastAsia="楷体_GB2312"/>
          <w:b/>
          <w:bCs/>
          <w:color w:val="000000"/>
          <w:kern w:val="0"/>
          <w:sz w:val="32"/>
          <w:szCs w:val="32"/>
          <w:shd w:val="clear" w:color="auto" w:fill="FFFFFF"/>
          <w:lang w:val="zh-CN"/>
        </w:rPr>
        <w:t>支出情况</w:t>
      </w:r>
      <w:r>
        <w:rPr>
          <w:rFonts w:ascii="Times New Roman" w:hAnsi="Times New Roman" w:eastAsia="楷体_GB2312"/>
          <w:b/>
          <w:bCs/>
          <w:color w:val="000000"/>
          <w:kern w:val="0"/>
          <w:sz w:val="32"/>
          <w:szCs w:val="32"/>
          <w:shd w:val="clear" w:color="auto" w:fill="FFFFFF"/>
          <w:lang w:val="zh-CN"/>
        </w:rPr>
        <w:t>。</w:t>
      </w:r>
    </w:p>
    <w:p w14:paraId="034DBBA2">
      <w:pPr>
        <w:widowControl/>
        <w:adjustRightInd w:val="0"/>
        <w:snapToGrid w:val="0"/>
        <w:spacing w:line="578" w:lineRule="exact"/>
        <w:ind w:firstLine="640" w:firstLineChars="200"/>
        <w:contextualSpacing/>
        <w:jc w:val="left"/>
        <w:rPr>
          <w:rFonts w:ascii="Times New Roman" w:hAnsi="Times New Roman"/>
          <w:szCs w:val="32"/>
          <w:lang w:val="zh-CN"/>
        </w:rPr>
      </w:pPr>
      <w:r>
        <w:rPr>
          <w:rFonts w:hint="eastAsia" w:ascii="Times New Roman" w:hAnsi="Times New Roman" w:eastAsia="仿宋_GB2312"/>
          <w:sz w:val="32"/>
          <w:szCs w:val="32"/>
        </w:rPr>
        <w:t>米易县科</w:t>
      </w:r>
      <w:r>
        <w:rPr>
          <w:rFonts w:hint="eastAsia" w:ascii="Times New Roman" w:hAnsi="Times New Roman" w:eastAsia="仿宋_GB2312"/>
          <w:sz w:val="32"/>
          <w:szCs w:val="32"/>
          <w:lang w:eastAsia="zh-CN"/>
        </w:rPr>
        <w:t>学技术协会部门</w:t>
      </w:r>
      <w:r>
        <w:rPr>
          <w:rFonts w:hint="eastAsia" w:ascii="Times New Roman" w:hAnsi="Times New Roman" w:eastAsia="仿宋_GB2312"/>
          <w:sz w:val="32"/>
          <w:szCs w:val="32"/>
        </w:rPr>
        <w:t>2023年年初预算支出207.62万元、决算报表支出206.37万元，金额不一致的原因是2023年5月底退休一名职工，收回一部分资金和调剂了一部分资金。</w:t>
      </w:r>
    </w:p>
    <w:p w14:paraId="31C5E1F1">
      <w:pPr>
        <w:widowControl/>
        <w:numPr>
          <w:ilvl w:val="0"/>
          <w:numId w:val="7"/>
        </w:numPr>
        <w:adjustRightInd w:val="0"/>
        <w:snapToGrid w:val="0"/>
        <w:spacing w:line="578" w:lineRule="exact"/>
        <w:ind w:firstLine="643" w:firstLineChars="200"/>
        <w:contextualSpacing/>
        <w:jc w:val="left"/>
        <w:rPr>
          <w:rFonts w:ascii="Times New Roman" w:hAnsi="Times New Roman" w:eastAsia="楷体_GB2312"/>
          <w:b/>
          <w:bCs/>
          <w:color w:val="000000"/>
          <w:kern w:val="0"/>
          <w:sz w:val="32"/>
          <w:szCs w:val="32"/>
          <w:shd w:val="clear" w:color="auto" w:fill="FFFFFF"/>
          <w:lang w:val="zh-CN"/>
        </w:rPr>
      </w:pPr>
      <w:r>
        <w:rPr>
          <w:rFonts w:ascii="Times New Roman" w:hAnsi="Times New Roman" w:eastAsia="楷体_GB2312"/>
          <w:b/>
          <w:bCs/>
          <w:color w:val="000000"/>
          <w:kern w:val="0"/>
          <w:sz w:val="32"/>
          <w:szCs w:val="32"/>
          <w:shd w:val="clear" w:color="auto" w:fill="FFFFFF"/>
          <w:lang w:val="zh-CN"/>
        </w:rPr>
        <w:t>结余分配和结转结余情况</w:t>
      </w:r>
      <w:r>
        <w:rPr>
          <w:rFonts w:hint="eastAsia" w:ascii="Times New Roman" w:hAnsi="Times New Roman" w:eastAsia="楷体_GB2312"/>
          <w:b/>
          <w:bCs/>
          <w:color w:val="000000"/>
          <w:kern w:val="0"/>
          <w:sz w:val="32"/>
          <w:szCs w:val="32"/>
          <w:shd w:val="clear" w:color="auto" w:fill="FFFFFF"/>
          <w:lang w:val="zh-CN"/>
        </w:rPr>
        <w:t>。</w:t>
      </w:r>
    </w:p>
    <w:p w14:paraId="347D1092">
      <w:pPr>
        <w:widowControl/>
        <w:adjustRightInd w:val="0"/>
        <w:snapToGrid w:val="0"/>
        <w:spacing w:line="578" w:lineRule="exact"/>
        <w:ind w:left="420" w:leftChars="200" w:firstLine="320" w:firstLineChars="100"/>
        <w:contextualSpacing/>
        <w:jc w:val="left"/>
        <w:rPr>
          <w:rFonts w:ascii="Times New Roman" w:hAnsi="Times New Roman" w:eastAsia="仿宋_GB2312"/>
          <w:color w:val="000000"/>
          <w:kern w:val="0"/>
          <w:szCs w:val="32"/>
          <w:shd w:val="clear" w:color="auto" w:fill="FFFFFF"/>
          <w:lang w:val="zh-CN"/>
        </w:rPr>
      </w:pPr>
      <w:r>
        <w:rPr>
          <w:rFonts w:hint="eastAsia" w:ascii="Times New Roman" w:hAnsi="Times New Roman" w:eastAsia="仿宋_GB2312"/>
          <w:sz w:val="32"/>
          <w:szCs w:val="32"/>
        </w:rPr>
        <w:t>米易县科</w:t>
      </w:r>
      <w:r>
        <w:rPr>
          <w:rFonts w:hint="eastAsia" w:ascii="Times New Roman" w:hAnsi="Times New Roman" w:eastAsia="仿宋_GB2312"/>
          <w:sz w:val="32"/>
          <w:szCs w:val="32"/>
          <w:lang w:eastAsia="zh-CN"/>
        </w:rPr>
        <w:t>学技术协会部门</w:t>
      </w:r>
      <w:r>
        <w:rPr>
          <w:rFonts w:hint="eastAsia" w:ascii="Times New Roman" w:hAnsi="Times New Roman" w:eastAsia="仿宋_GB2312"/>
          <w:sz w:val="32"/>
          <w:szCs w:val="32"/>
        </w:rPr>
        <w:t>2023年决算报表没有结转结余资金。</w:t>
      </w:r>
    </w:p>
    <w:p w14:paraId="7D328534">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三、部门预算绩效分析</w:t>
      </w:r>
    </w:p>
    <w:p w14:paraId="2BF573E0">
      <w:pPr>
        <w:adjustRightInd w:val="0"/>
        <w:snapToGrid w:val="0"/>
        <w:spacing w:line="578" w:lineRule="exact"/>
        <w:ind w:firstLine="643" w:firstLineChars="200"/>
        <w:contextualSpacing/>
        <w:jc w:val="left"/>
        <w:rPr>
          <w:rFonts w:ascii="Times New Roman" w:hAnsi="Times New Roman" w:eastAsia="楷体_GB2312"/>
          <w:b/>
          <w:bCs/>
          <w:color w:val="000000"/>
          <w:kern w:val="0"/>
          <w:sz w:val="32"/>
          <w:szCs w:val="32"/>
          <w:shd w:val="clear" w:color="auto" w:fill="FFFFFF"/>
          <w:lang w:val="zh-CN"/>
        </w:rPr>
      </w:pPr>
      <w:r>
        <w:rPr>
          <w:rFonts w:ascii="Times New Roman" w:hAnsi="Times New Roman" w:eastAsia="楷体_GB2312"/>
          <w:b/>
          <w:bCs/>
          <w:color w:val="000000"/>
          <w:kern w:val="0"/>
          <w:sz w:val="32"/>
          <w:szCs w:val="32"/>
          <w:shd w:val="clear" w:color="auto" w:fill="FFFFFF"/>
          <w:lang w:val="zh-CN"/>
        </w:rPr>
        <w:t>（一）</w:t>
      </w:r>
      <w:r>
        <w:rPr>
          <w:rFonts w:hint="eastAsia" w:ascii="Times New Roman" w:hAnsi="Times New Roman" w:eastAsia="楷体_GB2312"/>
          <w:b/>
          <w:bCs/>
          <w:color w:val="000000"/>
          <w:kern w:val="0"/>
          <w:sz w:val="32"/>
          <w:szCs w:val="32"/>
          <w:shd w:val="clear" w:color="auto" w:fill="FFFFFF"/>
          <w:lang w:val="zh-CN"/>
        </w:rPr>
        <w:t>部门预算</w:t>
      </w:r>
      <w:r>
        <w:rPr>
          <w:rFonts w:ascii="Times New Roman" w:hAnsi="Times New Roman" w:eastAsia="楷体_GB2312"/>
          <w:b/>
          <w:bCs/>
          <w:color w:val="000000"/>
          <w:kern w:val="0"/>
          <w:sz w:val="32"/>
          <w:szCs w:val="32"/>
          <w:shd w:val="clear" w:color="auto" w:fill="FFFFFF"/>
          <w:lang w:val="zh-CN"/>
        </w:rPr>
        <w:t>总体绩效分析。</w:t>
      </w:r>
    </w:p>
    <w:p w14:paraId="2219A0B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2023年县科协年初收入预算总额为207.62万元，调整预算总收入为205.3万元，其中：当年财政拨款收入205.3万元。相应安排支出预算206.37万元，其中：科学技术158.46万元，社会保障和就业28.57万元，卫生作健康支出10.05万元，住房保障支出9.29万元。</w:t>
      </w:r>
    </w:p>
    <w:p w14:paraId="0E79ED30">
      <w:pPr>
        <w:adjustRightInd w:val="0"/>
        <w:snapToGrid w:val="0"/>
        <w:spacing w:line="578" w:lineRule="exact"/>
        <w:ind w:firstLine="640" w:firstLineChars="200"/>
        <w:contextualSpacing/>
        <w:jc w:val="left"/>
        <w:rPr>
          <w:rFonts w:ascii="Times New Roman" w:hAnsi="Times New Roman"/>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1.</w:t>
      </w:r>
      <w:r>
        <w:rPr>
          <w:rFonts w:hint="eastAsia" w:ascii="楷体_GB2312" w:hAnsi="楷体_GB2312" w:eastAsia="楷体_GB2312" w:cs="楷体_GB2312"/>
          <w:color w:val="000000"/>
          <w:kern w:val="0"/>
          <w:sz w:val="32"/>
          <w:szCs w:val="32"/>
          <w:shd w:val="clear" w:color="auto" w:fill="FFFFFF"/>
          <w:lang w:val="zh-CN"/>
        </w:rPr>
        <w:t>履职效能。</w:t>
      </w:r>
      <w:r>
        <w:rPr>
          <w:rFonts w:hint="eastAsia" w:ascii="Times New Roman" w:hAnsi="Times New Roman" w:eastAsia="仿宋_GB2312"/>
          <w:sz w:val="32"/>
          <w:szCs w:val="32"/>
          <w:lang w:val="zh-CN"/>
        </w:rPr>
        <w:t>部门整体绩效目标中选定3-5个核心职能目标，对职能目标完成效果情况绩效分析。</w:t>
      </w:r>
    </w:p>
    <w:p w14:paraId="00F86BF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员类项目绩效分析：完成日常工作任务以及本单位承担的贯彻《全民科学素质行动纲要》工作。其中，人员类129.01万元是用于保障单位正常运转的日常支出，包括基本工资、津贴补贴、离退休费、住房公积金等；我单位完成预算的100%，人员类没有结转结余资金。</w:t>
      </w:r>
    </w:p>
    <w:p w14:paraId="6B461ED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县科协调整预算安排支出主要用于保障机构正常运转、公用经费13.29万元，完成预算的100%，公用经费没有结转结余资金。</w:t>
      </w:r>
    </w:p>
    <w:p w14:paraId="299ACBCF">
      <w:pPr>
        <w:spacing w:line="560" w:lineRule="exact"/>
        <w:ind w:firstLine="640" w:firstLineChars="200"/>
        <w:rPr>
          <w:rFonts w:ascii="Times New Roman" w:hAnsi="Times New Roman" w:eastAsia="楷体_GB2312"/>
          <w:b/>
          <w:bCs/>
          <w:color w:val="FF0000"/>
          <w:kern w:val="0"/>
          <w:sz w:val="32"/>
          <w:szCs w:val="32"/>
          <w:shd w:val="clear" w:color="auto" w:fill="FFFFFF"/>
          <w:lang w:val="zh-CN"/>
        </w:rPr>
      </w:pPr>
      <w:r>
        <w:rPr>
          <w:rFonts w:hint="eastAsia" w:ascii="仿宋_GB2312" w:hAnsi="仿宋_GB2312" w:eastAsia="仿宋_GB2312" w:cs="仿宋_GB2312"/>
          <w:sz w:val="32"/>
          <w:szCs w:val="32"/>
        </w:rPr>
        <w:t>项目支出64.07万元，是用于保障单位为完成贯彻《全民科学素质行动纲要》工作任务的经费支出和其他科学事务管理事务及其他科学技术普及支出项目。</w:t>
      </w:r>
    </w:p>
    <w:p w14:paraId="3F5F15CD">
      <w:pPr>
        <w:adjustRightInd w:val="0"/>
        <w:snapToGrid w:val="0"/>
        <w:spacing w:line="578" w:lineRule="exact"/>
        <w:ind w:firstLine="640" w:firstLineChars="200"/>
        <w:contextualSpacing/>
        <w:jc w:val="left"/>
        <w:rPr>
          <w:rFonts w:ascii="Times New Roman" w:hAnsi="Times New Roman"/>
          <w:color w:val="000000"/>
          <w:kern w:val="0"/>
          <w:szCs w:val="32"/>
          <w:shd w:val="clear" w:color="auto" w:fill="FFFFFF"/>
          <w:lang w:val="zh-CN"/>
        </w:rPr>
      </w:pPr>
      <w:r>
        <w:rPr>
          <w:rFonts w:ascii="Times New Roman" w:hAnsi="Times New Roman" w:eastAsia="仿宋_GB2312"/>
          <w:sz w:val="32"/>
          <w:szCs w:val="32"/>
          <w:lang w:val="zh-CN"/>
        </w:rPr>
        <w:t>根据部门预算绩效评价指标体系“总体绩效”涉及</w:t>
      </w:r>
      <w:r>
        <w:rPr>
          <w:rFonts w:hint="eastAsia" w:ascii="Times New Roman" w:hAnsi="Times New Roman" w:eastAsia="仿宋_GB2312"/>
          <w:sz w:val="32"/>
          <w:szCs w:val="32"/>
          <w:lang w:val="zh-CN"/>
        </w:rPr>
        <w:t>二、三级</w:t>
      </w:r>
      <w:r>
        <w:rPr>
          <w:rFonts w:ascii="Times New Roman" w:hAnsi="Times New Roman" w:eastAsia="仿宋_GB2312"/>
          <w:sz w:val="32"/>
          <w:szCs w:val="32"/>
          <w:lang w:val="zh-CN"/>
        </w:rPr>
        <w:t>指标进行</w:t>
      </w:r>
      <w:r>
        <w:rPr>
          <w:rFonts w:hint="eastAsia" w:ascii="Times New Roman" w:hAnsi="Times New Roman" w:eastAsia="仿宋_GB2312"/>
          <w:sz w:val="32"/>
          <w:szCs w:val="32"/>
          <w:lang w:val="zh-CN"/>
        </w:rPr>
        <w:t>逐项</w:t>
      </w:r>
      <w:r>
        <w:rPr>
          <w:rFonts w:ascii="Times New Roman" w:hAnsi="Times New Roman" w:eastAsia="仿宋_GB2312"/>
          <w:sz w:val="32"/>
          <w:szCs w:val="32"/>
          <w:lang w:val="zh-CN"/>
        </w:rPr>
        <w:t>绩效分析</w:t>
      </w:r>
      <w:r>
        <w:rPr>
          <w:rFonts w:hint="eastAsia" w:ascii="Times New Roman" w:hAnsi="Times New Roman" w:eastAsia="仿宋_GB2312"/>
          <w:sz w:val="32"/>
          <w:szCs w:val="32"/>
          <w:lang w:val="zh-CN"/>
        </w:rPr>
        <w:t>并评分</w:t>
      </w:r>
      <w:r>
        <w:rPr>
          <w:rFonts w:ascii="Times New Roman" w:hAnsi="Times New Roman" w:eastAsia="仿宋_GB2312"/>
          <w:sz w:val="32"/>
          <w:szCs w:val="32"/>
          <w:lang w:val="zh-CN"/>
        </w:rPr>
        <w:t>，依次包括履职效能、预算管理、财务管理、资产管理、采购管理等情况。</w:t>
      </w:r>
    </w:p>
    <w:p w14:paraId="425A584E">
      <w:pPr>
        <w:adjustRightInd w:val="0"/>
        <w:snapToGrid w:val="0"/>
        <w:spacing w:line="578" w:lineRule="exact"/>
        <w:ind w:firstLine="640" w:firstLineChars="200"/>
        <w:contextualSpacing/>
        <w:jc w:val="left"/>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2.</w:t>
      </w:r>
      <w:r>
        <w:rPr>
          <w:rFonts w:ascii="楷体_GB2312" w:hAnsi="楷体_GB2312" w:eastAsia="楷体_GB2312" w:cs="楷体_GB2312"/>
          <w:color w:val="000000"/>
          <w:kern w:val="0"/>
          <w:sz w:val="32"/>
          <w:szCs w:val="32"/>
          <w:shd w:val="clear" w:color="auto" w:fill="FFFFFF"/>
          <w:lang w:val="zh-CN"/>
        </w:rPr>
        <w:t>预算管理</w:t>
      </w:r>
      <w:r>
        <w:rPr>
          <w:rFonts w:hint="eastAsia" w:ascii="楷体_GB2312" w:hAnsi="楷体_GB2312" w:eastAsia="楷体_GB2312" w:cs="楷体_GB2312"/>
          <w:color w:val="000000"/>
          <w:kern w:val="0"/>
          <w:sz w:val="32"/>
          <w:szCs w:val="32"/>
          <w:shd w:val="clear" w:color="auto" w:fill="FFFFFF"/>
          <w:lang w:val="zh-CN"/>
        </w:rPr>
        <w:t>。</w:t>
      </w:r>
    </w:p>
    <w:p w14:paraId="3ABFC38D">
      <w:pPr>
        <w:widowControl/>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2023年，县科协根据《会计法》、《预算法》、《行政单位会计制度》等法律和《米易县行政事业单位会议管理办法》及有关财务规章的规定，制定《县科协财务管理制度》、《单位现金管理制度》等制度，制度明确了经费审批权限及程序，经费预算、核算管理、资产购置与处置、财务监督等。针对“三公”经费的管理主要遵照县委、县政府两办印发的《米易县县级国内公务接待管理暂行办法》和《米易县国内公务接待管理实施细则（暂行）》、县财政局印发的《米易县行政事业单位差旅费管理办法》等制度执行。</w:t>
      </w:r>
    </w:p>
    <w:p w14:paraId="419D2BD3">
      <w:pPr>
        <w:numPr>
          <w:ilvl w:val="0"/>
          <w:numId w:val="8"/>
        </w:numPr>
        <w:adjustRightInd w:val="0"/>
        <w:snapToGrid w:val="0"/>
        <w:spacing w:line="600" w:lineRule="exact"/>
        <w:ind w:firstLine="640" w:firstLineChars="200"/>
        <w:rPr>
          <w:rFonts w:ascii="楷体_GB2312" w:hAnsi="楷体_GB2312" w:eastAsia="楷体_GB2312" w:cs="楷体_GB2312"/>
          <w:color w:val="000000"/>
          <w:kern w:val="0"/>
          <w:sz w:val="32"/>
          <w:szCs w:val="32"/>
          <w:shd w:val="clear" w:color="auto" w:fill="FFFFFF"/>
          <w:lang w:val="zh-CN"/>
        </w:rPr>
      </w:pPr>
      <w:r>
        <w:rPr>
          <w:rFonts w:ascii="楷体_GB2312" w:hAnsi="楷体_GB2312" w:eastAsia="楷体_GB2312" w:cs="楷体_GB2312"/>
          <w:color w:val="000000"/>
          <w:kern w:val="0"/>
          <w:sz w:val="32"/>
          <w:szCs w:val="32"/>
          <w:shd w:val="clear" w:color="auto" w:fill="FFFFFF"/>
          <w:lang w:val="zh-CN"/>
        </w:rPr>
        <w:t>财务管理</w:t>
      </w:r>
      <w:r>
        <w:rPr>
          <w:rFonts w:hint="eastAsia" w:ascii="楷体_GB2312" w:hAnsi="楷体_GB2312" w:eastAsia="楷体_GB2312" w:cs="楷体_GB2312"/>
          <w:color w:val="000000"/>
          <w:kern w:val="0"/>
          <w:sz w:val="32"/>
          <w:szCs w:val="32"/>
          <w:shd w:val="clear" w:color="auto" w:fill="FFFFFF"/>
          <w:lang w:val="zh-CN"/>
        </w:rPr>
        <w:t>。</w:t>
      </w:r>
    </w:p>
    <w:p w14:paraId="155A3761">
      <w:pPr>
        <w:adjustRightInd w:val="0"/>
        <w:snapToGrid w:val="0"/>
        <w:spacing w:line="600" w:lineRule="exact"/>
        <w:ind w:firstLine="640" w:firstLineChars="200"/>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本单位</w:t>
      </w:r>
      <w:r>
        <w:rPr>
          <w:rFonts w:hint="eastAsia" w:ascii="仿宋_GB2312" w:hAnsi="仿宋_GB2312" w:eastAsia="仿宋_GB2312" w:cs="仿宋_GB2312"/>
          <w:kern w:val="0"/>
          <w:sz w:val="32"/>
          <w:szCs w:val="32"/>
          <w:shd w:val="clear" w:color="auto" w:fill="FFFFFF"/>
          <w:lang w:val="zh-CN"/>
        </w:rPr>
        <w:t>财务管理制度健全，严格执行财务管理制度，账务处理及时，会计核算规范。针对专项资金建立</w:t>
      </w:r>
      <w:r>
        <w:rPr>
          <w:rFonts w:hint="eastAsia" w:ascii="仿宋_GB2312" w:hAnsi="仿宋_GB2312" w:eastAsia="仿宋_GB2312" w:cs="仿宋_GB2312"/>
          <w:kern w:val="0"/>
          <w:sz w:val="32"/>
          <w:szCs w:val="32"/>
          <w:shd w:val="clear" w:color="auto" w:fill="FFFFFF"/>
        </w:rPr>
        <w:t>了</w:t>
      </w:r>
      <w:r>
        <w:rPr>
          <w:rFonts w:hint="eastAsia" w:ascii="仿宋_GB2312" w:hAnsi="仿宋_GB2312" w:eastAsia="仿宋_GB2312" w:cs="仿宋_GB2312"/>
          <w:kern w:val="0"/>
          <w:sz w:val="32"/>
          <w:szCs w:val="32"/>
          <w:shd w:val="clear" w:color="auto" w:fill="FFFFFF"/>
          <w:lang w:val="zh-CN"/>
        </w:rPr>
        <w:t>专项资金管理制度、建立专户进行专账管理。</w:t>
      </w:r>
    </w:p>
    <w:p w14:paraId="779C2758">
      <w:pPr>
        <w:spacing w:line="582" w:lineRule="exact"/>
        <w:ind w:firstLine="640" w:firstLineChars="200"/>
        <w:rPr>
          <w:rFonts w:ascii="Times New Roman" w:hAnsi="Times New Roman" w:eastAsia="仿宋_GB2312"/>
          <w:sz w:val="32"/>
          <w:szCs w:val="32"/>
          <w:lang w:val="zh-CN"/>
        </w:rPr>
      </w:pPr>
      <w:r>
        <w:rPr>
          <w:rFonts w:hint="eastAsia" w:ascii="楷体_GB2312" w:hAnsi="楷体_GB2312" w:eastAsia="楷体_GB2312" w:cs="楷体_GB2312"/>
          <w:color w:val="000000"/>
          <w:kern w:val="0"/>
          <w:sz w:val="32"/>
          <w:szCs w:val="32"/>
          <w:shd w:val="clear" w:color="auto" w:fill="FFFFFF"/>
        </w:rPr>
        <w:t>4.</w:t>
      </w:r>
      <w:r>
        <w:rPr>
          <w:rFonts w:ascii="楷体_GB2312" w:hAnsi="楷体_GB2312" w:eastAsia="楷体_GB2312" w:cs="楷体_GB2312"/>
          <w:color w:val="000000"/>
          <w:kern w:val="0"/>
          <w:sz w:val="32"/>
          <w:szCs w:val="32"/>
          <w:shd w:val="clear" w:color="auto" w:fill="FFFFFF"/>
          <w:lang w:val="zh-CN"/>
        </w:rPr>
        <w:t>资产管理</w:t>
      </w:r>
      <w:r>
        <w:rPr>
          <w:rFonts w:hint="eastAsia" w:ascii="楷体_GB2312" w:hAnsi="楷体_GB2312" w:eastAsia="楷体_GB2312" w:cs="楷体_GB2312"/>
          <w:color w:val="000000"/>
          <w:kern w:val="0"/>
          <w:sz w:val="32"/>
          <w:szCs w:val="32"/>
          <w:shd w:val="clear" w:color="auto" w:fill="FFFFFF"/>
          <w:lang w:val="zh-CN"/>
        </w:rPr>
        <w:t>。</w:t>
      </w:r>
    </w:p>
    <w:p w14:paraId="47BC47CB">
      <w:pPr>
        <w:spacing w:line="582" w:lineRule="exact"/>
        <w:ind w:firstLine="640" w:firstLineChars="200"/>
        <w:rPr>
          <w:rFonts w:ascii="方正仿宋_GBK" w:hAnsi="仿宋_GB2312" w:eastAsia="方正仿宋_GBK" w:cs="仿宋_GB2312"/>
          <w:sz w:val="32"/>
          <w:szCs w:val="32"/>
        </w:rPr>
      </w:pPr>
      <w:r>
        <w:rPr>
          <w:rFonts w:hint="eastAsia" w:ascii="方正仿宋_GBK" w:hAnsi="仿宋_GB2312" w:eastAsia="方正仿宋_GBK" w:cs="仿宋_GB2312"/>
          <w:sz w:val="32"/>
          <w:szCs w:val="32"/>
        </w:rPr>
        <w:t>制定了国有资产管理制度；明确资产配置、使用、处置等程序和审核审批权限。</w:t>
      </w:r>
    </w:p>
    <w:p w14:paraId="2B5B46D5">
      <w:pPr>
        <w:spacing w:line="582" w:lineRule="exact"/>
        <w:ind w:firstLine="640" w:firstLineChars="200"/>
        <w:rPr>
          <w:rFonts w:ascii="方正仿宋_GBK" w:hAnsi="仿宋_GB2312" w:eastAsia="方正仿宋_GBK" w:cs="仿宋_GB2312"/>
          <w:sz w:val="32"/>
          <w:szCs w:val="32"/>
        </w:rPr>
      </w:pPr>
      <w:r>
        <w:rPr>
          <w:rFonts w:hint="eastAsia" w:ascii="方正仿宋_GBK" w:hAnsi="仿宋_GB2312" w:eastAsia="方正仿宋_GBK" w:cs="仿宋_GB2312"/>
          <w:sz w:val="32"/>
          <w:szCs w:val="32"/>
        </w:rPr>
        <w:t>明确资产使用人为保管责任人、落实资产使用人在资产管理中的责任；按相关会计规范计提固定资产的折旧；定期清理盘点资产、确保账实相符；单位资产全部纳入四川省行政事业单位资产管理信息系统动态管理。</w:t>
      </w:r>
    </w:p>
    <w:p w14:paraId="0B9524F6">
      <w:pPr>
        <w:spacing w:line="582" w:lineRule="exact"/>
        <w:ind w:firstLine="640" w:firstLineChars="200"/>
        <w:rPr>
          <w:rFonts w:ascii="楷体_GB2312" w:hAnsi="楷体_GB2312" w:eastAsia="楷体_GB2312" w:cs="楷体_GB2312"/>
          <w:color w:val="000000"/>
          <w:kern w:val="0"/>
          <w:sz w:val="32"/>
          <w:szCs w:val="32"/>
          <w:shd w:val="clear" w:color="auto" w:fill="FFFFFF"/>
          <w:lang w:val="zh-CN"/>
        </w:rPr>
      </w:pPr>
      <w:r>
        <w:rPr>
          <w:rFonts w:hint="eastAsia" w:ascii="方正仿宋_GBK" w:hAnsi="仿宋_GB2312" w:eastAsia="方正仿宋_GBK" w:cs="仿宋_GB2312"/>
          <w:sz w:val="32"/>
          <w:szCs w:val="32"/>
        </w:rPr>
        <w:t>单位资产处置按规定报批，处置收益及时足额上缴财政；无资产出租出借、对外投资收益。</w:t>
      </w:r>
    </w:p>
    <w:p w14:paraId="707A3C75">
      <w:pPr>
        <w:numPr>
          <w:ilvl w:val="0"/>
          <w:numId w:val="9"/>
        </w:numPr>
        <w:spacing w:line="582" w:lineRule="exact"/>
        <w:ind w:firstLine="640" w:firstLineChars="200"/>
        <w:rPr>
          <w:rFonts w:ascii="楷体_GB2312" w:hAnsi="楷体_GB2312" w:eastAsia="楷体_GB2312" w:cs="楷体_GB2312"/>
          <w:color w:val="000000"/>
          <w:kern w:val="0"/>
          <w:sz w:val="32"/>
          <w:szCs w:val="32"/>
          <w:shd w:val="clear" w:color="auto" w:fill="FFFFFF"/>
          <w:lang w:val="zh-CN"/>
        </w:rPr>
      </w:pPr>
      <w:r>
        <w:rPr>
          <w:rFonts w:ascii="楷体_GB2312" w:hAnsi="楷体_GB2312" w:eastAsia="楷体_GB2312" w:cs="楷体_GB2312"/>
          <w:color w:val="000000"/>
          <w:kern w:val="0"/>
          <w:sz w:val="32"/>
          <w:szCs w:val="32"/>
          <w:shd w:val="clear" w:color="auto" w:fill="FFFFFF"/>
          <w:lang w:val="zh-CN"/>
        </w:rPr>
        <w:t>采购管理</w:t>
      </w:r>
      <w:r>
        <w:rPr>
          <w:rFonts w:hint="eastAsia" w:ascii="楷体_GB2312" w:hAnsi="楷体_GB2312" w:eastAsia="楷体_GB2312" w:cs="楷体_GB2312"/>
          <w:color w:val="000000"/>
          <w:kern w:val="0"/>
          <w:sz w:val="32"/>
          <w:szCs w:val="32"/>
          <w:shd w:val="clear" w:color="auto" w:fill="FFFFFF"/>
          <w:lang w:val="zh-CN"/>
        </w:rPr>
        <w:t>。</w:t>
      </w:r>
    </w:p>
    <w:p w14:paraId="4DEF9148">
      <w:pPr>
        <w:spacing w:line="582" w:lineRule="exact"/>
        <w:ind w:firstLine="640" w:firstLineChars="200"/>
        <w:rPr>
          <w:rFonts w:ascii="方正仿宋_GBK" w:hAnsi="仿宋_GB2312" w:eastAsia="方正仿宋_GBK" w:cs="仿宋_GB2312"/>
          <w:sz w:val="32"/>
          <w:szCs w:val="32"/>
        </w:rPr>
      </w:pPr>
      <w:r>
        <w:rPr>
          <w:rFonts w:hint="eastAsia" w:ascii="方正仿宋_GBK" w:hAnsi="仿宋_GB2312" w:eastAsia="方正仿宋_GBK" w:cs="仿宋_GB2312"/>
          <w:sz w:val="32"/>
          <w:szCs w:val="32"/>
        </w:rPr>
        <w:t>按法定采购方式和程序实施采购；不存在拆分项目预算规避政府采购或公开招标情况；按采购文件确定事项签订政府采购合同，按规定公告、备案政府采购合同；不存在政府采购项目执行进度缓慢情况；政府采购系统中的政府采购信息真实、准确、合法。</w:t>
      </w:r>
    </w:p>
    <w:p w14:paraId="13587DCE">
      <w:pPr>
        <w:widowControl/>
        <w:adjustRightInd w:val="0"/>
        <w:snapToGrid w:val="0"/>
        <w:spacing w:line="578" w:lineRule="exact"/>
        <w:ind w:firstLine="643" w:firstLineChars="200"/>
        <w:contextualSpacing/>
        <w:jc w:val="left"/>
        <w:rPr>
          <w:rFonts w:ascii="Times New Roman" w:hAnsi="Times New Roman" w:eastAsia="楷体_GB2312"/>
          <w:b/>
          <w:bCs/>
          <w:kern w:val="0"/>
          <w:sz w:val="32"/>
          <w:szCs w:val="32"/>
          <w:shd w:val="clear" w:color="auto" w:fill="FFFFFF"/>
          <w:lang w:val="zh-CN"/>
        </w:rPr>
      </w:pPr>
      <w:r>
        <w:rPr>
          <w:rFonts w:ascii="Times New Roman" w:hAnsi="Times New Roman" w:eastAsia="楷体_GB2312"/>
          <w:b/>
          <w:bCs/>
          <w:kern w:val="0"/>
          <w:sz w:val="32"/>
          <w:szCs w:val="32"/>
          <w:shd w:val="clear" w:color="auto" w:fill="FFFFFF"/>
          <w:lang w:val="zh-CN"/>
        </w:rPr>
        <w:t>（二）部门预算项目绩效分析。</w:t>
      </w:r>
    </w:p>
    <w:p w14:paraId="2F640E59">
      <w:pPr>
        <w:widowControl/>
        <w:adjustRightInd w:val="0"/>
        <w:snapToGrid w:val="0"/>
        <w:spacing w:line="578" w:lineRule="exact"/>
        <w:ind w:firstLine="660" w:firstLineChars="200"/>
        <w:contextualSpacing/>
        <w:jc w:val="left"/>
        <w:rPr>
          <w:rFonts w:ascii="Times New Roman" w:hAnsi="Times New Roman" w:eastAsia="仿宋_GB2312"/>
          <w:sz w:val="32"/>
          <w:szCs w:val="32"/>
          <w:lang w:val="zh-CN"/>
        </w:rPr>
      </w:pPr>
      <w:r>
        <w:rPr>
          <w:rFonts w:hint="eastAsia" w:ascii="Times New Roman" w:hAnsi="Times New Roman" w:eastAsia="方正仿宋_GBK"/>
          <w:bCs/>
          <w:kern w:val="0"/>
          <w:sz w:val="33"/>
          <w:szCs w:val="33"/>
          <w:lang w:val="zh-CN"/>
        </w:rPr>
        <w:t>根据预算绩效管理要求，县科协</w:t>
      </w:r>
      <w:r>
        <w:rPr>
          <w:rFonts w:hint="eastAsia" w:ascii="Times New Roman" w:hAnsi="Times New Roman" w:eastAsia="方正仿宋_GBK"/>
          <w:bCs/>
          <w:kern w:val="0"/>
          <w:sz w:val="33"/>
          <w:szCs w:val="33"/>
        </w:rPr>
        <w:t>2023年度</w:t>
      </w:r>
      <w:r>
        <w:rPr>
          <w:rFonts w:hint="eastAsia" w:ascii="Times New Roman" w:hAnsi="Times New Roman" w:eastAsia="方正仿宋_GBK"/>
          <w:bCs/>
          <w:kern w:val="0"/>
          <w:sz w:val="33"/>
          <w:szCs w:val="33"/>
          <w:lang w:val="zh-CN"/>
        </w:rPr>
        <w:t>预算编制阶段，组织对</w:t>
      </w:r>
      <w:r>
        <w:rPr>
          <w:rFonts w:hint="eastAsia" w:ascii="Times New Roman" w:hAnsi="Times New Roman" w:eastAsia="方正仿宋_GBK"/>
          <w:bCs/>
          <w:kern w:val="0"/>
          <w:sz w:val="33"/>
          <w:szCs w:val="33"/>
        </w:rPr>
        <w:t>工资性支出（行政）、特定项目2个项目</w:t>
      </w:r>
      <w:r>
        <w:rPr>
          <w:rFonts w:hint="eastAsia" w:ascii="Times New Roman" w:hAnsi="Times New Roman" w:eastAsia="方正仿宋_GBK"/>
          <w:bCs/>
          <w:kern w:val="0"/>
          <w:sz w:val="33"/>
          <w:szCs w:val="33"/>
          <w:lang w:val="zh-CN"/>
        </w:rPr>
        <w:t>开展了预算事前绩效评估，</w:t>
      </w:r>
      <w:r>
        <w:rPr>
          <w:rFonts w:ascii="Times New Roman" w:hAnsi="Times New Roman" w:eastAsia="仿宋_GB2312"/>
          <w:sz w:val="32"/>
          <w:szCs w:val="32"/>
          <w:lang w:val="zh-CN"/>
        </w:rPr>
        <w:t>涉及预算总金额</w:t>
      </w:r>
      <w:r>
        <w:rPr>
          <w:rFonts w:hint="eastAsia" w:ascii="Times New Roman" w:hAnsi="Times New Roman" w:eastAsia="仿宋_GB2312"/>
          <w:sz w:val="32"/>
          <w:szCs w:val="32"/>
        </w:rPr>
        <w:t>64.08</w:t>
      </w:r>
      <w:r>
        <w:rPr>
          <w:rFonts w:ascii="Times New Roman" w:hAnsi="Times New Roman" w:eastAsia="仿宋_GB2312"/>
          <w:sz w:val="32"/>
          <w:szCs w:val="32"/>
          <w:lang w:val="zh-CN"/>
        </w:rPr>
        <w:t>万元，1</w:t>
      </w:r>
      <w:r>
        <w:rPr>
          <w:rFonts w:hint="eastAsia" w:ascii="Times New Roman" w:hAnsi="Times New Roman" w:eastAsia="仿宋_GB2312"/>
          <w:sz w:val="32"/>
          <w:szCs w:val="32"/>
          <w:lang w:val="zh-CN"/>
        </w:rPr>
        <w:t>—</w:t>
      </w:r>
      <w:r>
        <w:rPr>
          <w:rFonts w:ascii="Times New Roman" w:hAnsi="Times New Roman" w:eastAsia="仿宋_GB2312"/>
          <w:sz w:val="32"/>
          <w:szCs w:val="32"/>
          <w:lang w:val="zh-CN"/>
        </w:rPr>
        <w:t>1</w:t>
      </w:r>
      <w:r>
        <w:rPr>
          <w:rFonts w:ascii="Times New Roman" w:hAnsi="Times New Roman" w:eastAsia="仿宋_GB2312"/>
          <w:sz w:val="32"/>
          <w:szCs w:val="32"/>
        </w:rPr>
        <w:t>2</w:t>
      </w:r>
      <w:r>
        <w:rPr>
          <w:rFonts w:ascii="Times New Roman" w:hAnsi="Times New Roman" w:eastAsia="仿宋_GB2312"/>
          <w:sz w:val="32"/>
          <w:szCs w:val="32"/>
          <w:lang w:val="zh-CN"/>
        </w:rPr>
        <w:t>月预算执行总体进度为</w:t>
      </w:r>
      <w:r>
        <w:rPr>
          <w:rFonts w:hint="eastAsia" w:ascii="Times New Roman" w:hAnsi="Times New Roman" w:eastAsia="仿宋_GB2312"/>
          <w:sz w:val="32"/>
          <w:szCs w:val="32"/>
        </w:rPr>
        <w:t>100</w:t>
      </w:r>
      <w:r>
        <w:rPr>
          <w:rFonts w:ascii="Times New Roman" w:hAnsi="Times New Roman" w:eastAsia="仿宋_GB2312"/>
          <w:sz w:val="32"/>
          <w:szCs w:val="32"/>
          <w:lang w:val="zh-CN"/>
        </w:rPr>
        <w:t>%，其中：预算结余率大于</w:t>
      </w:r>
      <w:r>
        <w:rPr>
          <w:rFonts w:ascii="Times New Roman" w:hAnsi="Times New Roman" w:eastAsia="仿宋_GB2312"/>
          <w:sz w:val="32"/>
          <w:szCs w:val="32"/>
        </w:rPr>
        <w:t>10%</w:t>
      </w:r>
      <w:r>
        <w:rPr>
          <w:rFonts w:ascii="Times New Roman" w:hAnsi="Times New Roman" w:eastAsia="仿宋_GB2312"/>
          <w:sz w:val="32"/>
          <w:szCs w:val="32"/>
          <w:lang w:val="zh-CN"/>
        </w:rPr>
        <w:t>的项目共计</w:t>
      </w:r>
      <w:r>
        <w:rPr>
          <w:rFonts w:hint="eastAsia" w:ascii="Times New Roman" w:hAnsi="Times New Roman" w:eastAsia="仿宋_GB2312"/>
          <w:sz w:val="32"/>
          <w:szCs w:val="32"/>
        </w:rPr>
        <w:t>0</w:t>
      </w:r>
      <w:r>
        <w:rPr>
          <w:rFonts w:ascii="Times New Roman" w:hAnsi="Times New Roman" w:eastAsia="仿宋_GB2312"/>
          <w:sz w:val="32"/>
          <w:szCs w:val="32"/>
          <w:lang w:val="zh-CN"/>
        </w:rPr>
        <w:t>个。</w:t>
      </w:r>
    </w:p>
    <w:p w14:paraId="43C34DD8">
      <w:pPr>
        <w:numPr>
          <w:ilvl w:val="0"/>
          <w:numId w:val="10"/>
        </w:numPr>
        <w:adjustRightInd w:val="0"/>
        <w:snapToGrid w:val="0"/>
        <w:spacing w:line="578" w:lineRule="exact"/>
        <w:ind w:firstLine="640" w:firstLineChars="200"/>
        <w:contextualSpacing/>
        <w:jc w:val="left"/>
        <w:rPr>
          <w:rFonts w:ascii="楷体_GB2312" w:hAnsi="楷体_GB2312" w:eastAsia="楷体_GB2312" w:cs="楷体_GB2312"/>
          <w:kern w:val="0"/>
          <w:sz w:val="32"/>
          <w:szCs w:val="32"/>
          <w:shd w:val="clear" w:color="auto" w:fill="FFFFFF"/>
          <w:lang w:val="zh-CN"/>
        </w:rPr>
      </w:pPr>
      <w:r>
        <w:rPr>
          <w:rFonts w:hint="eastAsia" w:ascii="楷体_GB2312" w:hAnsi="楷体_GB2312" w:eastAsia="楷体_GB2312" w:cs="楷体_GB2312"/>
          <w:kern w:val="0"/>
          <w:sz w:val="32"/>
          <w:szCs w:val="32"/>
          <w:shd w:val="clear" w:color="auto" w:fill="FFFFFF"/>
          <w:lang w:val="zh-CN"/>
        </w:rPr>
        <w:t>项目决策。</w:t>
      </w:r>
    </w:p>
    <w:p w14:paraId="2C21F7E0">
      <w:pPr>
        <w:adjustRightInd w:val="0"/>
        <w:snapToGrid w:val="0"/>
        <w:spacing w:line="578" w:lineRule="exact"/>
        <w:ind w:firstLine="660" w:firstLineChars="200"/>
        <w:contextualSpacing/>
        <w:jc w:val="left"/>
        <w:rPr>
          <w:rFonts w:ascii="Times New Roman" w:hAnsi="Times New Roman" w:eastAsia="方正仿宋_GBK"/>
          <w:bCs/>
          <w:kern w:val="0"/>
          <w:sz w:val="33"/>
          <w:szCs w:val="33"/>
          <w:lang w:val="zh-CN"/>
        </w:rPr>
      </w:pPr>
      <w:r>
        <w:rPr>
          <w:rFonts w:ascii="Times New Roman" w:hAnsi="Times New Roman" w:eastAsia="方正仿宋_GBK"/>
          <w:bCs/>
          <w:kern w:val="0"/>
          <w:sz w:val="33"/>
          <w:szCs w:val="33"/>
          <w:lang w:val="zh-CN"/>
        </w:rPr>
        <w:t>根据</w:t>
      </w:r>
      <w:r>
        <w:rPr>
          <w:rFonts w:hint="eastAsia" w:ascii="Times New Roman" w:hAnsi="Times New Roman" w:eastAsia="方正仿宋_GBK"/>
          <w:bCs/>
          <w:kern w:val="0"/>
          <w:sz w:val="33"/>
          <w:szCs w:val="33"/>
        </w:rPr>
        <w:t>2023年</w:t>
      </w:r>
      <w:r>
        <w:rPr>
          <w:rFonts w:ascii="Times New Roman" w:hAnsi="Times New Roman" w:eastAsia="方正仿宋_GBK"/>
          <w:bCs/>
          <w:kern w:val="0"/>
          <w:sz w:val="33"/>
          <w:szCs w:val="33"/>
          <w:lang w:val="zh-CN"/>
        </w:rPr>
        <w:t>度重点工作和目标任务合理编制年度预算项目</w:t>
      </w:r>
      <w:r>
        <w:rPr>
          <w:rFonts w:hint="eastAsia" w:ascii="Times New Roman" w:hAnsi="Times New Roman" w:eastAsia="方正仿宋_GBK"/>
          <w:bCs/>
          <w:kern w:val="0"/>
          <w:sz w:val="33"/>
          <w:szCs w:val="33"/>
          <w:lang w:val="zh-CN"/>
        </w:rPr>
        <w:t>，按照</w:t>
      </w:r>
      <w:r>
        <w:rPr>
          <w:rFonts w:hint="eastAsia" w:ascii="Times New Roman" w:hAnsi="Times New Roman" w:eastAsia="方正仿宋_GBK"/>
          <w:bCs/>
          <w:kern w:val="0"/>
          <w:sz w:val="33"/>
          <w:szCs w:val="33"/>
        </w:rPr>
        <w:t>财政规定</w:t>
      </w:r>
      <w:r>
        <w:rPr>
          <w:rFonts w:hint="eastAsia" w:ascii="Times New Roman" w:hAnsi="Times New Roman" w:eastAsia="方正仿宋_GBK"/>
          <w:bCs/>
          <w:kern w:val="0"/>
          <w:sz w:val="33"/>
          <w:szCs w:val="33"/>
          <w:lang w:val="zh-CN"/>
        </w:rPr>
        <w:t>进行项目登记审批，入库编制项目绩效目标。</w:t>
      </w:r>
    </w:p>
    <w:p w14:paraId="6E525C16">
      <w:pPr>
        <w:numPr>
          <w:ilvl w:val="0"/>
          <w:numId w:val="10"/>
        </w:numPr>
        <w:adjustRightInd w:val="0"/>
        <w:snapToGrid w:val="0"/>
        <w:spacing w:line="578" w:lineRule="exact"/>
        <w:ind w:firstLine="640" w:firstLineChars="200"/>
        <w:contextualSpacing/>
        <w:jc w:val="left"/>
        <w:rPr>
          <w:rFonts w:ascii="楷体_GB2312" w:hAnsi="楷体_GB2312" w:eastAsia="楷体_GB2312" w:cs="楷体_GB2312"/>
          <w:kern w:val="0"/>
          <w:sz w:val="32"/>
          <w:szCs w:val="32"/>
          <w:shd w:val="clear" w:color="auto" w:fill="FFFFFF"/>
          <w:lang w:val="zh-CN"/>
        </w:rPr>
      </w:pPr>
      <w:r>
        <w:rPr>
          <w:rFonts w:hint="eastAsia" w:ascii="楷体_GB2312" w:hAnsi="楷体_GB2312" w:eastAsia="楷体_GB2312" w:cs="楷体_GB2312"/>
          <w:kern w:val="0"/>
          <w:sz w:val="32"/>
          <w:szCs w:val="32"/>
          <w:shd w:val="clear" w:color="auto" w:fill="FFFFFF"/>
        </w:rPr>
        <w:t>项目执行</w:t>
      </w:r>
      <w:r>
        <w:rPr>
          <w:rFonts w:hint="eastAsia" w:ascii="楷体_GB2312" w:hAnsi="楷体_GB2312" w:eastAsia="楷体_GB2312" w:cs="楷体_GB2312"/>
          <w:kern w:val="0"/>
          <w:sz w:val="32"/>
          <w:szCs w:val="32"/>
          <w:shd w:val="clear" w:color="auto" w:fill="FFFFFF"/>
          <w:lang w:val="zh-CN"/>
        </w:rPr>
        <w:t>。</w:t>
      </w:r>
    </w:p>
    <w:p w14:paraId="0F9295DB">
      <w:pPr>
        <w:adjustRightInd w:val="0"/>
        <w:snapToGrid w:val="0"/>
        <w:spacing w:line="578" w:lineRule="exact"/>
        <w:ind w:firstLine="660" w:firstLineChars="200"/>
        <w:contextualSpacing/>
        <w:jc w:val="left"/>
        <w:rPr>
          <w:rFonts w:ascii="Times New Roman" w:hAnsi="Times New Roman" w:eastAsia="方正仿宋_GBK"/>
          <w:bCs/>
          <w:kern w:val="0"/>
          <w:sz w:val="33"/>
          <w:szCs w:val="33"/>
        </w:rPr>
      </w:pPr>
      <w:r>
        <w:rPr>
          <w:rFonts w:hint="eastAsia" w:ascii="Times New Roman" w:hAnsi="Times New Roman" w:eastAsia="方正仿宋_GBK"/>
          <w:bCs/>
          <w:kern w:val="0"/>
          <w:sz w:val="33"/>
          <w:szCs w:val="33"/>
        </w:rPr>
        <w:t>2023年度下达人员类项目16个，特定类项目3个；设置</w:t>
      </w:r>
      <w:r>
        <w:rPr>
          <w:rFonts w:ascii="Times New Roman" w:hAnsi="Times New Roman" w:eastAsia="方正仿宋_GBK"/>
          <w:bCs/>
          <w:kern w:val="0"/>
          <w:sz w:val="33"/>
          <w:szCs w:val="33"/>
        </w:rPr>
        <w:t>项目成本、时效、质量</w:t>
      </w:r>
      <w:r>
        <w:rPr>
          <w:rFonts w:hint="eastAsia" w:ascii="Times New Roman" w:hAnsi="Times New Roman" w:eastAsia="方正仿宋_GBK"/>
          <w:bCs/>
          <w:kern w:val="0"/>
          <w:sz w:val="33"/>
          <w:szCs w:val="33"/>
        </w:rPr>
        <w:t>，</w:t>
      </w:r>
      <w:r>
        <w:rPr>
          <w:rFonts w:ascii="Times New Roman" w:hAnsi="Times New Roman" w:eastAsia="方正仿宋_GBK"/>
          <w:bCs/>
          <w:kern w:val="0"/>
          <w:sz w:val="33"/>
          <w:szCs w:val="33"/>
        </w:rPr>
        <w:t>社会效益、经济效益、生态效益、可持续影响以及服务对象满意度</w:t>
      </w:r>
      <w:r>
        <w:rPr>
          <w:rFonts w:hint="eastAsia" w:ascii="Times New Roman" w:hAnsi="Times New Roman" w:eastAsia="方正仿宋_GBK"/>
          <w:bCs/>
          <w:kern w:val="0"/>
          <w:sz w:val="33"/>
          <w:szCs w:val="33"/>
        </w:rPr>
        <w:t>等指标任务已全部</w:t>
      </w:r>
      <w:r>
        <w:rPr>
          <w:rFonts w:ascii="Times New Roman" w:hAnsi="Times New Roman" w:eastAsia="方正仿宋_GBK"/>
          <w:bCs/>
          <w:kern w:val="0"/>
          <w:sz w:val="33"/>
          <w:szCs w:val="33"/>
        </w:rPr>
        <w:t>完成</w:t>
      </w:r>
      <w:r>
        <w:rPr>
          <w:rFonts w:hint="eastAsia" w:ascii="Times New Roman" w:hAnsi="Times New Roman" w:eastAsia="方正仿宋_GBK"/>
          <w:bCs/>
          <w:kern w:val="0"/>
          <w:sz w:val="33"/>
          <w:szCs w:val="33"/>
        </w:rPr>
        <w:t>，项目执行金额64.08万元，项目执行率达100%。</w:t>
      </w:r>
    </w:p>
    <w:p w14:paraId="02DF2A8F">
      <w:pPr>
        <w:numPr>
          <w:ilvl w:val="0"/>
          <w:numId w:val="10"/>
        </w:numPr>
        <w:adjustRightInd w:val="0"/>
        <w:snapToGrid w:val="0"/>
        <w:spacing w:line="578" w:lineRule="exact"/>
        <w:ind w:firstLine="640" w:firstLineChars="200"/>
        <w:contextualSpacing/>
        <w:jc w:val="left"/>
        <w:rPr>
          <w:rFonts w:ascii="楷体_GB2312" w:hAnsi="楷体_GB2312" w:eastAsia="楷体_GB2312" w:cs="楷体_GB2312"/>
          <w:kern w:val="0"/>
          <w:sz w:val="32"/>
          <w:szCs w:val="32"/>
          <w:shd w:val="clear" w:color="auto" w:fill="FFFFFF"/>
          <w:lang w:val="zh-CN"/>
        </w:rPr>
      </w:pPr>
      <w:r>
        <w:rPr>
          <w:rFonts w:hint="eastAsia" w:ascii="楷体_GB2312" w:hAnsi="楷体_GB2312" w:eastAsia="楷体_GB2312" w:cs="楷体_GB2312"/>
          <w:kern w:val="0"/>
          <w:sz w:val="32"/>
          <w:szCs w:val="32"/>
          <w:shd w:val="clear" w:color="auto" w:fill="FFFFFF"/>
          <w:lang w:val="zh-CN"/>
        </w:rPr>
        <w:t>目标实现。</w:t>
      </w:r>
    </w:p>
    <w:p w14:paraId="2F04345C">
      <w:pPr>
        <w:widowControl/>
        <w:adjustRightInd w:val="0"/>
        <w:snapToGrid w:val="0"/>
        <w:spacing w:line="580" w:lineRule="exact"/>
        <w:ind w:firstLine="660" w:firstLineChars="200"/>
        <w:contextualSpacing/>
        <w:jc w:val="left"/>
        <w:rPr>
          <w:rFonts w:ascii="Times New Roman" w:hAnsi="Times New Roman" w:eastAsia="方正仿宋_GBK"/>
          <w:bCs/>
          <w:kern w:val="0"/>
          <w:sz w:val="33"/>
          <w:szCs w:val="33"/>
        </w:rPr>
      </w:pPr>
      <w:r>
        <w:rPr>
          <w:rFonts w:hint="eastAsia" w:ascii="Times New Roman" w:hAnsi="Times New Roman" w:eastAsia="方正仿宋_GBK"/>
          <w:bCs/>
          <w:kern w:val="0"/>
          <w:sz w:val="33"/>
          <w:szCs w:val="33"/>
          <w:lang w:val="zh-CN"/>
        </w:rPr>
        <w:t>米易县科协202</w:t>
      </w:r>
      <w:r>
        <w:rPr>
          <w:rFonts w:hint="eastAsia" w:ascii="Times New Roman" w:hAnsi="Times New Roman" w:eastAsia="方正仿宋_GBK"/>
          <w:bCs/>
          <w:kern w:val="0"/>
          <w:sz w:val="33"/>
          <w:szCs w:val="33"/>
        </w:rPr>
        <w:t>3</w:t>
      </w:r>
      <w:r>
        <w:rPr>
          <w:rFonts w:hint="eastAsia" w:ascii="Times New Roman" w:hAnsi="Times New Roman" w:eastAsia="方正仿宋_GBK"/>
          <w:bCs/>
          <w:kern w:val="0"/>
          <w:sz w:val="33"/>
          <w:szCs w:val="33"/>
          <w:lang w:val="zh-CN"/>
        </w:rPr>
        <w:t>年</w:t>
      </w:r>
      <w:r>
        <w:rPr>
          <w:rFonts w:hint="eastAsia" w:ascii="Times New Roman" w:hAnsi="Times New Roman" w:eastAsia="方正仿宋_GBK"/>
          <w:bCs/>
          <w:kern w:val="0"/>
          <w:sz w:val="33"/>
          <w:szCs w:val="33"/>
        </w:rPr>
        <w:t>度</w:t>
      </w:r>
      <w:r>
        <w:rPr>
          <w:rFonts w:hint="eastAsia" w:ascii="Times New Roman" w:hAnsi="Times New Roman" w:eastAsia="方正仿宋_GBK"/>
          <w:bCs/>
          <w:kern w:val="0"/>
          <w:sz w:val="33"/>
          <w:szCs w:val="33"/>
          <w:lang w:val="zh-CN"/>
        </w:rPr>
        <w:t>整体支出全年无超预算、无超标准支出，无违规违纪的问题，全年基本支出保证了部门正常运转，项目支出保障了重点工作顺利开展，力争考核达到优秀等次。</w:t>
      </w:r>
    </w:p>
    <w:p w14:paraId="5EDEF6A3">
      <w:pPr>
        <w:widowControl/>
        <w:numPr>
          <w:ilvl w:val="0"/>
          <w:numId w:val="7"/>
        </w:numPr>
        <w:adjustRightInd w:val="0"/>
        <w:snapToGrid w:val="0"/>
        <w:spacing w:line="578" w:lineRule="exact"/>
        <w:ind w:firstLine="643" w:firstLineChars="200"/>
        <w:contextualSpacing/>
        <w:jc w:val="left"/>
        <w:rPr>
          <w:rFonts w:ascii="Times New Roman" w:hAnsi="Times New Roman" w:eastAsia="楷体_GB2312"/>
          <w:b/>
          <w:bCs/>
          <w:kern w:val="0"/>
          <w:sz w:val="32"/>
          <w:szCs w:val="32"/>
          <w:shd w:val="clear" w:color="auto" w:fill="FFFFFF"/>
          <w:lang w:val="zh-CN"/>
        </w:rPr>
      </w:pPr>
      <w:r>
        <w:rPr>
          <w:rFonts w:ascii="Times New Roman" w:hAnsi="Times New Roman" w:eastAsia="楷体_GB2312"/>
          <w:b/>
          <w:bCs/>
          <w:kern w:val="0"/>
          <w:sz w:val="32"/>
          <w:szCs w:val="32"/>
          <w:shd w:val="clear" w:color="auto" w:fill="FFFFFF"/>
          <w:lang w:val="zh-CN"/>
        </w:rPr>
        <w:t>重点领域绩效分析。</w:t>
      </w:r>
    </w:p>
    <w:p w14:paraId="057CB7CA">
      <w:pPr>
        <w:pBdr>
          <w:top w:val="single" w:color="FFFFFF" w:sz="4" w:space="0"/>
          <w:left w:val="single" w:color="FFFFFF" w:sz="4" w:space="31"/>
          <w:bottom w:val="single" w:color="FFFFFF" w:sz="4" w:space="31"/>
          <w:right w:val="single" w:color="FFFFFF" w:sz="4" w:space="7"/>
        </w:pBdr>
        <w:adjustRightInd w:val="0"/>
        <w:snapToGrid w:val="0"/>
        <w:spacing w:line="560" w:lineRule="exact"/>
        <w:ind w:firstLine="660" w:firstLineChars="200"/>
        <w:rPr>
          <w:rFonts w:ascii="方正仿宋_GBK" w:hAnsi="方正仿宋_GBK" w:eastAsia="方正仿宋_GBK" w:cs="方正仿宋_GBK"/>
          <w:color w:val="000000"/>
          <w:kern w:val="34"/>
          <w:sz w:val="33"/>
          <w:szCs w:val="33"/>
        </w:rPr>
      </w:pPr>
      <w:r>
        <w:rPr>
          <w:rFonts w:hint="eastAsia" w:ascii="方正仿宋_GBK" w:hAnsi="方正仿宋_GBK" w:eastAsia="方正仿宋_GBK" w:cs="方正仿宋_GBK"/>
          <w:color w:val="000000"/>
          <w:sz w:val="33"/>
          <w:szCs w:val="33"/>
          <w:lang w:bidi="zh-CN"/>
        </w:rPr>
        <w:t>县科协认真开展“保姆式”服务，确保目标任务顺利完成。</w:t>
      </w:r>
      <w:r>
        <w:rPr>
          <w:rFonts w:hint="eastAsia" w:ascii="方正仿宋_GBK" w:hAnsi="方正仿宋_GBK" w:eastAsia="方正仿宋_GBK" w:cs="方正仿宋_GBK"/>
          <w:b/>
          <w:bCs/>
          <w:kern w:val="34"/>
          <w:sz w:val="33"/>
          <w:szCs w:val="33"/>
        </w:rPr>
        <w:t>一是</w:t>
      </w:r>
      <w:r>
        <w:rPr>
          <w:rFonts w:hint="eastAsia" w:ascii="方正仿宋_GBK" w:hAnsi="方正仿宋_GBK" w:eastAsia="方正仿宋_GBK" w:cs="方正仿宋_GBK"/>
          <w:color w:val="000000"/>
          <w:kern w:val="0"/>
          <w:sz w:val="33"/>
          <w:szCs w:val="33"/>
        </w:rPr>
        <w:t>加强天府科技云宣传的针对性，持续提升知晓度和影响力</w:t>
      </w:r>
      <w:r>
        <w:rPr>
          <w:rFonts w:hint="eastAsia" w:ascii="方正仿宋_GBK" w:hAnsi="方正仿宋_GBK" w:eastAsia="方正仿宋_GBK" w:cs="方正仿宋_GBK"/>
          <w:color w:val="000000"/>
          <w:sz w:val="33"/>
          <w:szCs w:val="33"/>
          <w:lang w:bidi="zh-CN"/>
        </w:rPr>
        <w:t>。</w:t>
      </w:r>
      <w:r>
        <w:rPr>
          <w:rFonts w:hint="eastAsia" w:ascii="方正仿宋_GBK" w:hAnsi="方正仿宋_GBK" w:eastAsia="方正仿宋_GBK" w:cs="方正仿宋_GBK"/>
          <w:b/>
          <w:bCs/>
          <w:kern w:val="34"/>
          <w:sz w:val="33"/>
          <w:szCs w:val="33"/>
        </w:rPr>
        <w:t>二是</w:t>
      </w:r>
      <w:r>
        <w:rPr>
          <w:rFonts w:hint="eastAsia" w:ascii="方正仿宋_GBK" w:hAnsi="方正仿宋_GBK" w:eastAsia="方正仿宋_GBK" w:cs="方正仿宋_GBK"/>
          <w:color w:val="000000"/>
          <w:sz w:val="33"/>
          <w:szCs w:val="33"/>
          <w:lang w:bidi="zh-CN"/>
        </w:rPr>
        <w:t>创新思维开展天府科技云工作。领导班子深入各乡镇、有关部门就天府科技云工作特别是线上科技项目方面进行摸排对接并提供精准服务，采取面对面的方式</w:t>
      </w:r>
      <w:r>
        <w:rPr>
          <w:rFonts w:hint="eastAsia" w:ascii="方正仿宋_GBK" w:hAnsi="方正仿宋_GBK" w:eastAsia="方正仿宋_GBK" w:cs="方正仿宋_GBK"/>
          <w:color w:val="000000"/>
          <w:sz w:val="33"/>
          <w:szCs w:val="33"/>
        </w:rPr>
        <w:t>开展天府科技云“智慧科普传播员”培训。</w:t>
      </w:r>
      <w:r>
        <w:rPr>
          <w:rFonts w:hint="eastAsia" w:ascii="方正仿宋_GBK" w:hAnsi="方正仿宋_GBK" w:eastAsia="方正仿宋_GBK" w:cs="方正仿宋_GBK"/>
          <w:b/>
          <w:bCs/>
          <w:kern w:val="34"/>
          <w:sz w:val="33"/>
          <w:szCs w:val="33"/>
        </w:rPr>
        <w:t>三是</w:t>
      </w:r>
      <w:r>
        <w:rPr>
          <w:rFonts w:hint="eastAsia" w:ascii="方正仿宋_GBK" w:hAnsi="方正仿宋_GBK" w:eastAsia="方正仿宋_GBK" w:cs="方正仿宋_GBK"/>
          <w:color w:val="000000"/>
          <w:kern w:val="34"/>
          <w:sz w:val="33"/>
          <w:szCs w:val="33"/>
        </w:rPr>
        <w:t>深入企业及时掌握企业技术创新“所需所能”，提高注册数及科技服务交易项目量。</w:t>
      </w:r>
    </w:p>
    <w:p w14:paraId="58651F67">
      <w:pPr>
        <w:pBdr>
          <w:top w:val="single" w:color="FFFFFF" w:sz="4" w:space="0"/>
          <w:left w:val="single" w:color="FFFFFF" w:sz="4" w:space="31"/>
          <w:bottom w:val="single" w:color="FFFFFF" w:sz="4" w:space="31"/>
          <w:right w:val="single" w:color="FFFFFF" w:sz="4" w:space="7"/>
        </w:pBdr>
        <w:adjustRightInd w:val="0"/>
        <w:snapToGrid w:val="0"/>
        <w:spacing w:line="560" w:lineRule="exact"/>
        <w:ind w:firstLine="643" w:firstLineChars="200"/>
        <w:rPr>
          <w:rFonts w:ascii="Times New Roman" w:hAnsi="Times New Roman" w:eastAsia="楷体_GB2312"/>
          <w:b/>
          <w:bCs/>
          <w:color w:val="000000"/>
          <w:kern w:val="0"/>
          <w:sz w:val="32"/>
          <w:szCs w:val="32"/>
          <w:shd w:val="clear" w:color="auto" w:fill="FFFFFF"/>
          <w:lang w:val="zh-CN"/>
        </w:rPr>
      </w:pPr>
      <w:r>
        <w:rPr>
          <w:rFonts w:ascii="Times New Roman" w:hAnsi="Times New Roman" w:eastAsia="楷体_GB2312"/>
          <w:b/>
          <w:bCs/>
          <w:color w:val="000000"/>
          <w:kern w:val="0"/>
          <w:sz w:val="32"/>
          <w:szCs w:val="32"/>
          <w:shd w:val="clear" w:color="auto" w:fill="FFFFFF"/>
          <w:lang w:val="zh-CN"/>
        </w:rPr>
        <w:t>（四）绩效结果应用情况</w:t>
      </w:r>
      <w:r>
        <w:rPr>
          <w:rFonts w:hint="eastAsia" w:ascii="Times New Roman" w:hAnsi="Times New Roman" w:eastAsia="楷体_GB2312"/>
          <w:b/>
          <w:bCs/>
          <w:color w:val="000000"/>
          <w:kern w:val="0"/>
          <w:sz w:val="32"/>
          <w:szCs w:val="32"/>
          <w:shd w:val="clear" w:color="auto" w:fill="FFFFFF"/>
          <w:lang w:val="zh-CN"/>
        </w:rPr>
        <w:t>。</w:t>
      </w:r>
    </w:p>
    <w:p w14:paraId="5D783592">
      <w:pPr>
        <w:pBdr>
          <w:top w:val="single" w:color="FFFFFF" w:sz="4" w:space="0"/>
          <w:left w:val="single" w:color="FFFFFF" w:sz="4" w:space="31"/>
          <w:bottom w:val="single" w:color="FFFFFF" w:sz="4" w:space="31"/>
          <w:right w:val="single" w:color="FFFFFF" w:sz="4" w:space="7"/>
        </w:pBdr>
        <w:adjustRightInd w:val="0"/>
        <w:snapToGrid w:val="0"/>
        <w:spacing w:line="560" w:lineRule="exact"/>
        <w:ind w:firstLine="640" w:firstLineChars="200"/>
        <w:rPr>
          <w:rFonts w:eastAsia="仿宋_GB2312" w:cs="方正仿宋_GBK"/>
          <w:sz w:val="32"/>
          <w:szCs w:val="32"/>
        </w:rPr>
      </w:pPr>
      <w:r>
        <w:rPr>
          <w:rFonts w:hint="eastAsia" w:eastAsia="仿宋_GB2312" w:cs="方正仿宋_GBK"/>
          <w:sz w:val="32"/>
          <w:szCs w:val="32"/>
        </w:rPr>
        <w:t>1.根据绩效监控结果，及时调整了预算，保障了各项工作稳步推进并取得明显成效，较好地完成了各项目标任务。</w:t>
      </w:r>
    </w:p>
    <w:p w14:paraId="7C3E3801">
      <w:pPr>
        <w:pBdr>
          <w:top w:val="single" w:color="FFFFFF" w:sz="4" w:space="0"/>
          <w:left w:val="single" w:color="FFFFFF" w:sz="4" w:space="31"/>
          <w:bottom w:val="single" w:color="FFFFFF" w:sz="4" w:space="31"/>
          <w:right w:val="single" w:color="FFFFFF" w:sz="4" w:space="7"/>
        </w:pBdr>
        <w:adjustRightInd w:val="0"/>
        <w:snapToGrid w:val="0"/>
        <w:spacing w:line="560" w:lineRule="exact"/>
        <w:ind w:firstLine="616" w:firstLineChars="200"/>
        <w:rPr>
          <w:rFonts w:ascii="Times New Roman" w:hAnsi="Times New Roman" w:eastAsia="仿宋_GB2312"/>
          <w:sz w:val="32"/>
          <w:szCs w:val="32"/>
        </w:rPr>
      </w:pPr>
      <w:r>
        <w:rPr>
          <w:rFonts w:hint="eastAsia" w:ascii="仿宋_GB2312" w:hAnsi="仿宋_GB2312" w:eastAsia="仿宋_GB2312" w:cs="仿宋_GB2312"/>
          <w:spacing w:val="-6"/>
          <w:sz w:val="32"/>
          <w:szCs w:val="32"/>
        </w:rPr>
        <w:t>2.部门自评质量较好、大力宣传获表彰对象、树立先进典型；认真组织策划本县总结、评估工作，按时开展年度总结及自评估，引导获表彰对象建立科普惠农协作网络参与大型科普活动，为获表彰对象开展培训交流、技术指导等。</w:t>
      </w:r>
    </w:p>
    <w:p w14:paraId="161BA425">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四、评价结论及建议</w:t>
      </w:r>
    </w:p>
    <w:p w14:paraId="702E6631">
      <w:pPr>
        <w:spacing w:line="560" w:lineRule="exact"/>
        <w:ind w:firstLine="643" w:firstLineChars="200"/>
        <w:rPr>
          <w:rFonts w:ascii="Times New Roman" w:hAnsi="Times New Roman" w:eastAsia="楷体_GB2312"/>
          <w:b/>
          <w:bCs/>
          <w:color w:val="000000"/>
          <w:kern w:val="0"/>
          <w:sz w:val="32"/>
          <w:szCs w:val="32"/>
          <w:shd w:val="clear" w:color="auto" w:fill="FFFFFF"/>
          <w:lang w:val="zh-CN"/>
        </w:rPr>
      </w:pPr>
      <w:r>
        <w:rPr>
          <w:rFonts w:ascii="Times New Roman" w:hAnsi="Times New Roman" w:eastAsia="楷体_GB2312"/>
          <w:b/>
          <w:bCs/>
          <w:color w:val="000000"/>
          <w:kern w:val="0"/>
          <w:sz w:val="32"/>
          <w:szCs w:val="32"/>
          <w:shd w:val="clear" w:color="auto" w:fill="FFFFFF"/>
          <w:lang w:val="zh-CN"/>
        </w:rPr>
        <w:t>（一）评价结论。</w:t>
      </w:r>
    </w:p>
    <w:p w14:paraId="3FBE20B2">
      <w:pPr>
        <w:spacing w:line="560" w:lineRule="exact"/>
        <w:ind w:firstLine="640" w:firstLineChars="200"/>
        <w:rPr>
          <w:rFonts w:eastAsia="仿宋_GB2312" w:cs="方正仿宋_GBK"/>
          <w:sz w:val="32"/>
          <w:szCs w:val="32"/>
        </w:rPr>
      </w:pPr>
      <w:r>
        <w:rPr>
          <w:rFonts w:hint="eastAsia" w:eastAsia="仿宋_GB2312" w:cs="方正仿宋_GBK"/>
          <w:sz w:val="32"/>
          <w:szCs w:val="32"/>
        </w:rPr>
        <w:t>2023年我单位有较为健全的账务管理制度和内部控制制度，部门整体支出绩效良好，保障了日常正常运转，全面完成各项工作任务，项目资金专款专用，拨款及时。全年部门整体支出绩效评价9</w:t>
      </w:r>
      <w:r>
        <w:rPr>
          <w:rFonts w:hint="eastAsia" w:eastAsia="仿宋_GB2312" w:cs="方正仿宋_GBK"/>
          <w:sz w:val="32"/>
          <w:szCs w:val="32"/>
          <w:lang w:val="en-US" w:eastAsia="zh-CN"/>
        </w:rPr>
        <w:t>5</w:t>
      </w:r>
      <w:r>
        <w:rPr>
          <w:rFonts w:hint="eastAsia" w:eastAsia="仿宋_GB2312" w:cs="方正仿宋_GBK"/>
          <w:sz w:val="32"/>
          <w:szCs w:val="32"/>
        </w:rPr>
        <w:t>分。</w:t>
      </w:r>
    </w:p>
    <w:p w14:paraId="7496711D">
      <w:pPr>
        <w:widowControl/>
        <w:adjustRightInd w:val="0"/>
        <w:snapToGrid w:val="0"/>
        <w:spacing w:line="578" w:lineRule="exact"/>
        <w:ind w:firstLine="640" w:firstLineChars="200"/>
        <w:contextualSpacing/>
        <w:jc w:val="left"/>
        <w:rPr>
          <w:rFonts w:ascii="Times New Roman" w:hAnsi="Times New Roman" w:eastAsia="仿宋_GB2312"/>
          <w:sz w:val="32"/>
          <w:szCs w:val="32"/>
        </w:rPr>
      </w:pPr>
    </w:p>
    <w:p w14:paraId="5426A77B">
      <w:pPr>
        <w:numPr>
          <w:ilvl w:val="0"/>
          <w:numId w:val="11"/>
        </w:numPr>
        <w:spacing w:line="560" w:lineRule="exact"/>
        <w:ind w:firstLine="643" w:firstLineChars="200"/>
        <w:rPr>
          <w:rFonts w:ascii="Times New Roman" w:hAnsi="Times New Roman" w:eastAsia="楷体_GB2312"/>
          <w:b/>
          <w:bCs/>
          <w:color w:val="000000"/>
          <w:kern w:val="0"/>
          <w:sz w:val="32"/>
          <w:szCs w:val="32"/>
          <w:shd w:val="clear" w:color="auto" w:fill="FFFFFF"/>
          <w:lang w:val="zh-CN"/>
        </w:rPr>
      </w:pPr>
      <w:r>
        <w:rPr>
          <w:rFonts w:ascii="Times New Roman" w:hAnsi="Times New Roman" w:eastAsia="楷体_GB2312"/>
          <w:b/>
          <w:bCs/>
          <w:color w:val="000000"/>
          <w:kern w:val="0"/>
          <w:sz w:val="32"/>
          <w:szCs w:val="32"/>
          <w:shd w:val="clear" w:color="auto" w:fill="FFFFFF"/>
          <w:lang w:val="zh-CN"/>
        </w:rPr>
        <w:t>存在问题。</w:t>
      </w:r>
    </w:p>
    <w:p w14:paraId="39A05FE1">
      <w:pPr>
        <w:spacing w:line="560" w:lineRule="exact"/>
        <w:ind w:firstLine="640" w:firstLineChars="200"/>
        <w:rPr>
          <w:rFonts w:ascii="Times New Roman" w:hAnsi="Times New Roman" w:eastAsia="仿宋_GB2312"/>
          <w:sz w:val="32"/>
          <w:szCs w:val="32"/>
        </w:rPr>
      </w:pPr>
      <w:r>
        <w:rPr>
          <w:rFonts w:hint="eastAsia" w:ascii="仿宋_GB2312" w:hAnsi="仿宋_GB2312" w:eastAsia="仿宋_GB2312" w:cs="仿宋_GB2312"/>
          <w:sz w:val="32"/>
          <w:szCs w:val="32"/>
        </w:rPr>
        <w:t>因项目资金报账进度缓慢，项目实施进度滞后。</w:t>
      </w:r>
      <w:r>
        <w:rPr>
          <w:rFonts w:hint="eastAsia" w:eastAsia="仿宋_GB2312" w:cs="方正仿宋_GBK"/>
          <w:sz w:val="32"/>
          <w:szCs w:val="32"/>
        </w:rPr>
        <w:t>预算编制工作有待细化，预算编制的合理性需要提高，预算执行力度还要进一步加强。</w:t>
      </w:r>
    </w:p>
    <w:p w14:paraId="6E64D6D6">
      <w:pPr>
        <w:numPr>
          <w:ilvl w:val="0"/>
          <w:numId w:val="11"/>
        </w:numPr>
        <w:spacing w:line="560" w:lineRule="exact"/>
        <w:ind w:firstLine="643" w:firstLineChars="200"/>
        <w:rPr>
          <w:rFonts w:ascii="Times New Roman" w:hAnsi="Times New Roman" w:eastAsia="楷体_GB2312"/>
          <w:b/>
          <w:bCs/>
          <w:color w:val="000000"/>
          <w:kern w:val="0"/>
          <w:sz w:val="32"/>
          <w:szCs w:val="32"/>
          <w:shd w:val="clear" w:color="auto" w:fill="FFFFFF"/>
          <w:lang w:val="zh-CN"/>
        </w:rPr>
      </w:pPr>
      <w:r>
        <w:rPr>
          <w:rFonts w:ascii="Times New Roman" w:hAnsi="Times New Roman" w:eastAsia="楷体_GB2312"/>
          <w:b/>
          <w:bCs/>
          <w:color w:val="000000"/>
          <w:kern w:val="0"/>
          <w:sz w:val="32"/>
          <w:szCs w:val="32"/>
          <w:shd w:val="clear" w:color="auto" w:fill="FFFFFF"/>
          <w:lang w:val="zh-CN"/>
        </w:rPr>
        <w:t>改进建议。</w:t>
      </w:r>
      <w:bookmarkStart w:id="47" w:name="_Hlk110546638"/>
    </w:p>
    <w:p w14:paraId="2A78138A">
      <w:pPr>
        <w:widowControl/>
        <w:adjustRightInd w:val="0"/>
        <w:snapToGrid w:val="0"/>
        <w:spacing w:line="560" w:lineRule="exact"/>
        <w:ind w:firstLine="660" w:firstLineChars="200"/>
        <w:contextualSpacing/>
        <w:jc w:val="left"/>
        <w:rPr>
          <w:rFonts w:ascii="Times New Roman" w:hAnsi="Times New Roman" w:eastAsia="方正仿宋_GBK"/>
          <w:bCs/>
          <w:kern w:val="0"/>
          <w:sz w:val="33"/>
          <w:szCs w:val="33"/>
        </w:rPr>
      </w:pPr>
      <w:r>
        <w:rPr>
          <w:rFonts w:hint="eastAsia" w:ascii="Times New Roman" w:hAnsi="Times New Roman" w:eastAsia="方正仿宋_GBK"/>
          <w:bCs/>
          <w:kern w:val="0"/>
          <w:sz w:val="33"/>
          <w:szCs w:val="33"/>
        </w:rPr>
        <w:t>米易县科协将在下一步工作中，</w:t>
      </w:r>
      <w:r>
        <w:rPr>
          <w:rFonts w:ascii="Times New Roman" w:hAnsi="Times New Roman" w:eastAsia="方正仿宋_GBK"/>
          <w:bCs/>
          <w:kern w:val="0"/>
          <w:sz w:val="33"/>
          <w:szCs w:val="33"/>
        </w:rPr>
        <w:t>保证预算编制的</w:t>
      </w:r>
      <w:r>
        <w:rPr>
          <w:rFonts w:hint="eastAsia" w:ascii="Times New Roman" w:hAnsi="Times New Roman" w:eastAsia="方正仿宋_GBK"/>
          <w:bCs/>
          <w:kern w:val="0"/>
          <w:sz w:val="33"/>
          <w:szCs w:val="33"/>
        </w:rPr>
        <w:t>科学化、</w:t>
      </w:r>
      <w:r>
        <w:rPr>
          <w:rFonts w:ascii="Times New Roman" w:hAnsi="Times New Roman" w:eastAsia="方正仿宋_GBK"/>
          <w:bCs/>
          <w:kern w:val="0"/>
          <w:sz w:val="33"/>
          <w:szCs w:val="33"/>
        </w:rPr>
        <w:t>合理</w:t>
      </w:r>
      <w:r>
        <w:rPr>
          <w:rFonts w:hint="eastAsia" w:ascii="Times New Roman" w:hAnsi="Times New Roman" w:eastAsia="方正仿宋_GBK"/>
          <w:bCs/>
          <w:kern w:val="0"/>
          <w:sz w:val="33"/>
          <w:szCs w:val="33"/>
        </w:rPr>
        <w:t>化，</w:t>
      </w:r>
      <w:r>
        <w:rPr>
          <w:rFonts w:ascii="Times New Roman" w:hAnsi="Times New Roman" w:eastAsia="方正仿宋_GBK"/>
          <w:bCs/>
          <w:kern w:val="0"/>
          <w:sz w:val="33"/>
          <w:szCs w:val="33"/>
        </w:rPr>
        <w:t>遵循先有预算</w:t>
      </w:r>
      <w:r>
        <w:rPr>
          <w:rFonts w:hint="eastAsia" w:ascii="Times New Roman" w:hAnsi="Times New Roman" w:eastAsia="方正仿宋_GBK"/>
          <w:bCs/>
          <w:kern w:val="0"/>
          <w:sz w:val="33"/>
          <w:szCs w:val="33"/>
        </w:rPr>
        <w:t>、</w:t>
      </w:r>
      <w:r>
        <w:rPr>
          <w:rFonts w:ascii="Times New Roman" w:hAnsi="Times New Roman" w:eastAsia="方正仿宋_GBK"/>
          <w:bCs/>
          <w:kern w:val="0"/>
          <w:sz w:val="33"/>
          <w:szCs w:val="33"/>
        </w:rPr>
        <w:t>后有支出的原则，</w:t>
      </w:r>
      <w:r>
        <w:rPr>
          <w:rFonts w:hint="eastAsia" w:ascii="Times New Roman" w:hAnsi="Times New Roman" w:eastAsia="方正仿宋_GBK"/>
          <w:bCs/>
          <w:kern w:val="0"/>
          <w:sz w:val="33"/>
          <w:szCs w:val="33"/>
        </w:rPr>
        <w:t>不</w:t>
      </w:r>
      <w:r>
        <w:rPr>
          <w:rFonts w:ascii="Times New Roman" w:hAnsi="Times New Roman" w:eastAsia="方正仿宋_GBK"/>
          <w:bCs/>
          <w:kern w:val="0"/>
          <w:sz w:val="33"/>
          <w:szCs w:val="33"/>
        </w:rPr>
        <w:t>超预算和无预算安排支出，严格开支范围和标准，严格审核各项经费的支出，提高资金使用效率。</w:t>
      </w:r>
      <w:r>
        <w:rPr>
          <w:rFonts w:hint="eastAsia" w:ascii="Times New Roman" w:hAnsi="Times New Roman" w:eastAsia="方正仿宋_GBK"/>
          <w:bCs/>
          <w:kern w:val="0"/>
          <w:sz w:val="33"/>
          <w:szCs w:val="33"/>
        </w:rPr>
        <w:t>同时，</w:t>
      </w:r>
      <w:r>
        <w:rPr>
          <w:rFonts w:ascii="Times New Roman" w:hAnsi="Times New Roman" w:eastAsia="方正仿宋_GBK"/>
          <w:bCs/>
          <w:kern w:val="0"/>
          <w:sz w:val="33"/>
          <w:szCs w:val="33"/>
        </w:rPr>
        <w:t>加强与财政部门的沟通和协调，确保预算资金的及时下达和清算。</w:t>
      </w:r>
    </w:p>
    <w:p w14:paraId="483EF124">
      <w:pPr>
        <w:pStyle w:val="8"/>
      </w:pPr>
    </w:p>
    <w:bookmarkEnd w:id="47"/>
    <w:p w14:paraId="7B2DD15B">
      <w:pPr>
        <w:pStyle w:val="3"/>
        <w:spacing w:line="560" w:lineRule="exact"/>
        <w:ind w:leftChars="0" w:firstLine="640"/>
        <w:rPr>
          <w:rFonts w:hAnsi="Times New Roman"/>
          <w:sz w:val="32"/>
          <w:lang w:val="zh-CN"/>
        </w:rPr>
      </w:pPr>
    </w:p>
    <w:p w14:paraId="6D483D45">
      <w:pPr>
        <w:pStyle w:val="3"/>
        <w:spacing w:line="560" w:lineRule="exact"/>
        <w:ind w:leftChars="0" w:firstLine="640"/>
        <w:rPr>
          <w:rFonts w:hAnsi="Times New Roman"/>
          <w:sz w:val="32"/>
          <w:lang w:val="zh-CN"/>
        </w:rPr>
      </w:pPr>
      <w:r>
        <w:rPr>
          <w:rFonts w:hint="eastAsia" w:hAnsi="Times New Roman"/>
          <w:sz w:val="32"/>
          <w:lang w:val="zh-CN"/>
        </w:rPr>
        <w:t>附表：</w:t>
      </w:r>
      <w:r>
        <w:rPr>
          <w:rFonts w:hint="eastAsia" w:hAnsi="Times New Roman"/>
          <w:sz w:val="32"/>
        </w:rPr>
        <w:t>部门预算项目支出绩效自评表（202</w:t>
      </w:r>
      <w:r>
        <w:rPr>
          <w:rFonts w:hint="eastAsia"/>
          <w:sz w:val="32"/>
        </w:rPr>
        <w:t>3</w:t>
      </w:r>
      <w:r>
        <w:rPr>
          <w:rFonts w:hint="eastAsia" w:hAnsi="Times New Roman"/>
          <w:sz w:val="32"/>
        </w:rPr>
        <w:t>年度）</w:t>
      </w:r>
    </w:p>
    <w:p w14:paraId="6BD8839A">
      <w:pPr>
        <w:pStyle w:val="3"/>
        <w:spacing w:line="560" w:lineRule="exact"/>
        <w:ind w:leftChars="0" w:firstLine="0" w:firstLineChars="0"/>
        <w:rPr>
          <w:rFonts w:hAnsi="Times New Roman"/>
          <w:sz w:val="32"/>
          <w:highlight w:val="yellow"/>
          <w:lang w:val="zh-CN"/>
        </w:rPr>
      </w:pPr>
    </w:p>
    <w:p w14:paraId="6A77E232">
      <w:pPr>
        <w:pStyle w:val="8"/>
        <w:rPr>
          <w:rFonts w:hAnsi="宋体" w:cs="宋体"/>
          <w:color w:val="FF0000"/>
          <w:kern w:val="0"/>
          <w:sz w:val="32"/>
          <w:szCs w:val="32"/>
          <w:highlight w:val="yellow"/>
          <w:shd w:val="clear" w:color="auto" w:fill="FFFFFF"/>
          <w:lang w:val="zh-CN"/>
        </w:rPr>
      </w:pPr>
    </w:p>
    <w:p w14:paraId="463DFC57">
      <w:pPr>
        <w:rPr>
          <w:rFonts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br w:type="page"/>
      </w:r>
    </w:p>
    <w:p w14:paraId="4D08C37C">
      <w:pPr>
        <w:pStyle w:val="8"/>
        <w:rPr>
          <w:rFonts w:ascii="黑体" w:hAnsi="黑体" w:eastAsia="黑体" w:cs="黑体"/>
          <w:sz w:val="32"/>
          <w:szCs w:val="32"/>
        </w:rPr>
      </w:pPr>
      <w:r>
        <w:rPr>
          <w:rFonts w:hint="eastAsia" w:ascii="黑体" w:hAnsi="黑体" w:eastAsia="黑体" w:cs="黑体"/>
          <w:kern w:val="0"/>
          <w:sz w:val="32"/>
          <w:szCs w:val="32"/>
          <w:shd w:val="clear" w:color="auto" w:fill="FFFFFF"/>
          <w:lang w:val="zh-CN"/>
        </w:rPr>
        <w:t>附件</w:t>
      </w:r>
      <w:r>
        <w:rPr>
          <w:rFonts w:hint="eastAsia" w:ascii="黑体" w:hAnsi="黑体" w:eastAsia="黑体" w:cs="黑体"/>
          <w:kern w:val="0"/>
          <w:sz w:val="32"/>
          <w:szCs w:val="32"/>
          <w:shd w:val="clear" w:color="auto" w:fill="FFFFFF"/>
        </w:rPr>
        <w:t>2</w:t>
      </w:r>
    </w:p>
    <w:p w14:paraId="6FDC4C7F">
      <w:pPr>
        <w:pStyle w:val="28"/>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省级科普专项资金预算项目绩效评价报告</w:t>
      </w:r>
    </w:p>
    <w:p w14:paraId="0FE92CB0">
      <w:pPr>
        <w:pStyle w:val="28"/>
        <w:spacing w:line="578" w:lineRule="exact"/>
        <w:ind w:firstLine="640"/>
        <w:jc w:val="center"/>
        <w:rPr>
          <w:rFonts w:ascii="宋体" w:hAnsi="宋体"/>
          <w:color w:val="auto"/>
          <w:kern w:val="2"/>
          <w:sz w:val="32"/>
          <w:szCs w:val="32"/>
        </w:rPr>
      </w:pPr>
    </w:p>
    <w:p w14:paraId="5E0DE0AB">
      <w:pPr>
        <w:adjustRightInd w:val="0"/>
        <w:snapToGrid w:val="0"/>
        <w:spacing w:line="578" w:lineRule="exact"/>
        <w:ind w:firstLine="640" w:firstLineChars="20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5C9C2CDA">
      <w:pPr>
        <w:widowControl/>
        <w:adjustRightInd w:val="0"/>
        <w:snapToGrid w:val="0"/>
        <w:spacing w:line="578" w:lineRule="exact"/>
        <w:ind w:firstLine="643" w:firstLineChars="200"/>
        <w:contextualSpacing/>
        <w:jc w:val="left"/>
        <w:rPr>
          <w:rFonts w:ascii="楷体_GB2312" w:hAnsi="宋体" w:eastAsia="楷体_GB2312"/>
          <w:b/>
          <w:sz w:val="32"/>
          <w:szCs w:val="32"/>
          <w:lang w:val="zh-CN"/>
        </w:rPr>
      </w:pPr>
      <w:r>
        <w:rPr>
          <w:rFonts w:hint="eastAsia" w:ascii="楷体_GB2312" w:hAnsi="宋体" w:eastAsia="楷体_GB2312"/>
          <w:b/>
          <w:sz w:val="32"/>
          <w:szCs w:val="32"/>
          <w:lang w:val="zh-CN"/>
        </w:rPr>
        <w:t>（一）设立背景及基本情况。</w:t>
      </w:r>
    </w:p>
    <w:p w14:paraId="6C15A096">
      <w:pPr>
        <w:adjustRightInd w:val="0"/>
        <w:snapToGrid w:val="0"/>
        <w:spacing w:line="560" w:lineRule="exact"/>
        <w:ind w:firstLine="720"/>
        <w:rPr>
          <w:rStyle w:val="30"/>
          <w:rFonts w:hint="default" w:ascii="Times New Roman" w:hAnsi="Times New Roman" w:eastAsia="仿宋_GB2312"/>
        </w:rPr>
      </w:pPr>
      <w:r>
        <w:rPr>
          <w:rStyle w:val="30"/>
          <w:rFonts w:hint="default" w:ascii="Times New Roman" w:hAnsi="Times New Roman" w:eastAsia="仿宋_GB2312"/>
          <w:color w:val="auto"/>
        </w:rPr>
        <w:t>严格按照县政府审批程序申报项目资</w:t>
      </w:r>
      <w:r>
        <w:rPr>
          <w:rStyle w:val="30"/>
          <w:rFonts w:hint="default" w:ascii="Times New Roman" w:hAnsi="Times New Roman" w:eastAsia="仿宋_GB2312"/>
        </w:rPr>
        <w:t>金。经向县政府请示同意，该项目资金于</w:t>
      </w:r>
      <w:r>
        <w:rPr>
          <w:rFonts w:ascii="Times New Roman" w:hAnsi="Times New Roman" w:eastAsia="仿宋_GB2312"/>
          <w:sz w:val="32"/>
          <w:szCs w:val="32"/>
        </w:rPr>
        <w:t>2023</w:t>
      </w:r>
      <w:r>
        <w:rPr>
          <w:rStyle w:val="30"/>
          <w:rFonts w:hint="default" w:ascii="Times New Roman" w:hAnsi="Times New Roman" w:eastAsia="仿宋_GB2312"/>
        </w:rPr>
        <w:t>年下达我单位。</w:t>
      </w:r>
    </w:p>
    <w:p w14:paraId="24D33A61">
      <w:pPr>
        <w:numPr>
          <w:ilvl w:val="0"/>
          <w:numId w:val="12"/>
        </w:numPr>
        <w:spacing w:line="560" w:lineRule="exact"/>
        <w:ind w:firstLine="645"/>
        <w:rPr>
          <w:rFonts w:ascii="楷体_GB2312" w:hAnsi="宋体" w:eastAsia="楷体_GB2312"/>
          <w:b/>
          <w:sz w:val="32"/>
          <w:szCs w:val="32"/>
        </w:rPr>
      </w:pPr>
      <w:r>
        <w:rPr>
          <w:rFonts w:ascii="楷体_GB2312" w:hAnsi="宋体" w:eastAsia="楷体_GB2312"/>
          <w:b/>
          <w:sz w:val="32"/>
          <w:szCs w:val="32"/>
        </w:rPr>
        <w:t>实施目的及支持方向</w:t>
      </w:r>
      <w:r>
        <w:rPr>
          <w:rFonts w:hint="eastAsia" w:ascii="楷体_GB2312" w:hAnsi="宋体" w:eastAsia="楷体_GB2312"/>
          <w:b/>
          <w:sz w:val="32"/>
          <w:szCs w:val="32"/>
        </w:rPr>
        <w:t>。</w:t>
      </w:r>
    </w:p>
    <w:p w14:paraId="57316908">
      <w:pPr>
        <w:spacing w:line="264" w:lineRule="auto"/>
        <w:ind w:firstLine="640"/>
        <w:jc w:val="center"/>
        <w:rPr>
          <w:rFonts w:ascii="仿宋_GB2312" w:hAnsi="仿宋_GB2312" w:eastAsia="仿宋_GB2312" w:cs="仿宋_GB2312"/>
          <w:sz w:val="32"/>
          <w:szCs w:val="32"/>
        </w:rPr>
      </w:pPr>
      <w:r>
        <w:rPr>
          <w:rStyle w:val="30"/>
          <w:rFonts w:hint="default" w:ascii="Times New Roman" w:hAnsi="Times New Roman" w:eastAsia="仿宋_GB2312"/>
        </w:rPr>
        <w:t>按照四川省财政厅 四川省科学技术协会川财教【2022】151号，严格按照《四川省科普专项资金管理办法》编写科普专项资金备案书四个</w:t>
      </w:r>
      <w:r>
        <w:rPr>
          <w:rFonts w:hint="eastAsia" w:ascii="仿宋_GB2312" w:hAnsi="仿宋_GB2312" w:eastAsia="仿宋_GB2312" w:cs="仿宋_GB2312"/>
          <w:sz w:val="32"/>
          <w:szCs w:val="32"/>
        </w:rPr>
        <w:t>米易县科普交流宣传及科学种植技术推广示范 19万元；</w:t>
      </w:r>
      <w:r>
        <w:rPr>
          <w:rFonts w:hint="eastAsia" w:ascii="仿宋_GB2312" w:hAnsi="仿宋_GB2312" w:eastAsia="仿宋_GB2312" w:cs="仿宋_GB2312"/>
          <w:spacing w:val="-23"/>
          <w:sz w:val="32"/>
          <w:szCs w:val="32"/>
        </w:rPr>
        <w:t>米易县青少年活动中心科普基地建设</w:t>
      </w:r>
      <w:r>
        <w:rPr>
          <w:rFonts w:hint="eastAsia" w:ascii="仿宋_GB2312" w:hAnsi="仿宋_GB2312" w:eastAsia="仿宋_GB2312" w:cs="仿宋_GB2312"/>
          <w:sz w:val="32"/>
          <w:szCs w:val="32"/>
        </w:rPr>
        <w:t xml:space="preserve"> 1万</w:t>
      </w:r>
    </w:p>
    <w:p w14:paraId="3946E70D">
      <w:pPr>
        <w:spacing w:line="264" w:lineRule="auto"/>
        <w:rPr>
          <w:rFonts w:ascii="仿宋_GB2312" w:hAnsi="仿宋_GB2312" w:eastAsia="仿宋_GB2312" w:cs="仿宋_GB2312"/>
          <w:color w:val="FF0000"/>
          <w:kern w:val="0"/>
          <w:sz w:val="32"/>
          <w:szCs w:val="32"/>
        </w:rPr>
      </w:pPr>
      <w:r>
        <w:rPr>
          <w:rFonts w:hint="eastAsia" w:ascii="仿宋_GB2312" w:hAnsi="仿宋_GB2312" w:eastAsia="仿宋_GB2312" w:cs="仿宋_GB2312"/>
          <w:sz w:val="32"/>
          <w:szCs w:val="32"/>
        </w:rPr>
        <w:t>元； 米易县天府科技云服务中心功能提升改造40万元；合计资金60万元。</w:t>
      </w:r>
    </w:p>
    <w:p w14:paraId="7FAF976F">
      <w:pPr>
        <w:widowControl/>
        <w:adjustRightInd w:val="0"/>
        <w:snapToGrid w:val="0"/>
        <w:spacing w:line="578" w:lineRule="exact"/>
        <w:ind w:firstLine="643" w:firstLineChars="200"/>
        <w:contextualSpacing/>
        <w:jc w:val="left"/>
        <w:rPr>
          <w:rFonts w:ascii="楷体_GB2312" w:hAnsi="宋体" w:eastAsia="楷体_GB2312"/>
          <w:b/>
          <w:sz w:val="32"/>
          <w:szCs w:val="32"/>
          <w:lang w:val="zh-CN"/>
        </w:rPr>
      </w:pPr>
      <w:r>
        <w:rPr>
          <w:rFonts w:hint="eastAsia" w:ascii="楷体_GB2312" w:hAnsi="宋体" w:eastAsia="楷体_GB2312"/>
          <w:b/>
          <w:sz w:val="32"/>
          <w:szCs w:val="32"/>
          <w:lang w:val="zh-CN"/>
        </w:rPr>
        <w:t>（三）</w:t>
      </w:r>
      <w:r>
        <w:rPr>
          <w:rFonts w:ascii="楷体_GB2312" w:hAnsi="宋体" w:eastAsia="楷体_GB2312"/>
          <w:b/>
          <w:sz w:val="32"/>
          <w:szCs w:val="32"/>
        </w:rPr>
        <w:t>预算安排及分配管理</w:t>
      </w:r>
      <w:r>
        <w:rPr>
          <w:rFonts w:hint="eastAsia" w:ascii="楷体_GB2312" w:hAnsi="宋体" w:eastAsia="楷体_GB2312"/>
          <w:b/>
          <w:sz w:val="32"/>
          <w:szCs w:val="32"/>
          <w:lang w:val="zh-CN"/>
        </w:rPr>
        <w:t>。</w:t>
      </w:r>
    </w:p>
    <w:p w14:paraId="17F13F06">
      <w:pPr>
        <w:adjustRightInd w:val="0"/>
        <w:snapToGrid w:val="0"/>
        <w:spacing w:line="578" w:lineRule="exact"/>
        <w:ind w:firstLine="660" w:firstLineChars="200"/>
        <w:rPr>
          <w:rFonts w:ascii="仿宋_GB2312" w:hAnsi="仿宋_GB2312" w:eastAsia="仿宋_GB2312" w:cs="仿宋_GB2312"/>
          <w:kern w:val="0"/>
          <w:sz w:val="32"/>
          <w:szCs w:val="32"/>
        </w:rPr>
      </w:pPr>
      <w:r>
        <w:rPr>
          <w:rFonts w:hint="eastAsia" w:ascii="Times New Roman" w:hAnsi="Times New Roman" w:eastAsia="方正仿宋_GBK"/>
          <w:color w:val="000000"/>
          <w:sz w:val="33"/>
          <w:szCs w:val="33"/>
        </w:rPr>
        <w:t>编制</w:t>
      </w:r>
      <w:r>
        <w:rPr>
          <w:rFonts w:ascii="Times New Roman" w:hAnsi="Times New Roman" w:eastAsia="方正仿宋_GBK"/>
          <w:color w:val="000000"/>
          <w:sz w:val="33"/>
          <w:szCs w:val="33"/>
          <w:lang w:val="zh-CN"/>
        </w:rPr>
        <w:t>项目资金申请方案，编制</w:t>
      </w:r>
      <w:r>
        <w:rPr>
          <w:rFonts w:hint="eastAsia" w:ascii="Times New Roman" w:hAnsi="Times New Roman" w:eastAsia="方正仿宋_GBK"/>
          <w:color w:val="000000"/>
          <w:sz w:val="33"/>
          <w:szCs w:val="33"/>
          <w:lang w:val="zh-CN"/>
        </w:rPr>
        <w:t>项目</w:t>
      </w:r>
      <w:r>
        <w:rPr>
          <w:rFonts w:ascii="Times New Roman" w:hAnsi="Times New Roman" w:eastAsia="方正仿宋_GBK"/>
          <w:color w:val="000000"/>
          <w:sz w:val="33"/>
          <w:szCs w:val="33"/>
          <w:lang w:val="zh-CN"/>
        </w:rPr>
        <w:t>绩效目标</w:t>
      </w:r>
      <w:r>
        <w:rPr>
          <w:rFonts w:hint="eastAsia" w:ascii="Times New Roman" w:hAnsi="Times New Roman" w:eastAsia="方正仿宋_GBK"/>
          <w:color w:val="000000"/>
          <w:sz w:val="33"/>
          <w:szCs w:val="33"/>
          <w:lang w:val="zh-CN"/>
        </w:rPr>
        <w:t>，</w:t>
      </w:r>
      <w:r>
        <w:rPr>
          <w:rFonts w:ascii="Times New Roman" w:hAnsi="Times New Roman" w:eastAsia="方正仿宋_GBK"/>
          <w:color w:val="000000"/>
          <w:sz w:val="33"/>
          <w:szCs w:val="33"/>
          <w:lang w:val="zh-CN"/>
        </w:rPr>
        <w:t>报财政部门审批，经财政</w:t>
      </w:r>
      <w:r>
        <w:rPr>
          <w:rFonts w:hint="eastAsia" w:ascii="Times New Roman" w:hAnsi="Times New Roman" w:eastAsia="方正仿宋_GBK"/>
          <w:color w:val="000000"/>
          <w:sz w:val="33"/>
          <w:szCs w:val="33"/>
        </w:rPr>
        <w:t>部门</w:t>
      </w:r>
      <w:r>
        <w:rPr>
          <w:rFonts w:ascii="Times New Roman" w:hAnsi="Times New Roman" w:eastAsia="方正仿宋_GBK"/>
          <w:color w:val="000000"/>
          <w:sz w:val="33"/>
          <w:szCs w:val="33"/>
          <w:lang w:val="zh-CN"/>
        </w:rPr>
        <w:t>批复后下达项目</w:t>
      </w:r>
      <w:r>
        <w:rPr>
          <w:rFonts w:hint="eastAsia" w:ascii="Times New Roman" w:hAnsi="Times New Roman" w:eastAsia="方正仿宋_GBK"/>
          <w:color w:val="000000"/>
          <w:sz w:val="33"/>
          <w:szCs w:val="33"/>
          <w:lang w:val="zh-CN"/>
        </w:rPr>
        <w:t>通知，于</w:t>
      </w:r>
      <w:r>
        <w:rPr>
          <w:rFonts w:hint="eastAsia" w:ascii="仿宋_GB2312" w:hAnsi="仿宋_GB2312" w:eastAsia="仿宋_GB2312" w:cs="仿宋_GB2312"/>
          <w:kern w:val="0"/>
          <w:sz w:val="32"/>
          <w:szCs w:val="32"/>
        </w:rPr>
        <w:t>2023年1月下达</w:t>
      </w:r>
      <w:r>
        <w:rPr>
          <w:rFonts w:hint="eastAsia" w:ascii="Times New Roman" w:hAnsi="Times New Roman" w:eastAsia="方正仿宋_GBK"/>
          <w:bCs/>
          <w:kern w:val="0"/>
          <w:sz w:val="33"/>
          <w:szCs w:val="33"/>
          <w:lang w:val="zh-CN"/>
        </w:rPr>
        <w:t>米易县科学技术协会</w:t>
      </w:r>
      <w:r>
        <w:rPr>
          <w:rFonts w:hint="eastAsia" w:ascii="仿宋_GB2312" w:hAnsi="仿宋_GB2312" w:eastAsia="仿宋_GB2312" w:cs="仿宋_GB2312"/>
          <w:kern w:val="0"/>
          <w:sz w:val="32"/>
          <w:szCs w:val="32"/>
        </w:rPr>
        <w:t>专项经费64万元。</w:t>
      </w:r>
    </w:p>
    <w:p w14:paraId="1CCF0270">
      <w:pPr>
        <w:numPr>
          <w:ilvl w:val="0"/>
          <w:numId w:val="11"/>
        </w:numPr>
        <w:adjustRightInd w:val="0"/>
        <w:snapToGrid w:val="0"/>
        <w:spacing w:line="578"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项目绩效目标设置。</w:t>
      </w:r>
    </w:p>
    <w:p w14:paraId="30C49462">
      <w:pPr>
        <w:adjustRightInd w:val="0"/>
        <w:snapToGrid w:val="0"/>
        <w:spacing w:line="578" w:lineRule="exact"/>
        <w:ind w:firstLine="660" w:firstLineChars="200"/>
        <w:rPr>
          <w:rFonts w:ascii="仿宋_GB2312" w:hAnsi="仿宋_GB2312" w:eastAsia="仿宋_GB2312" w:cs="仿宋_GB2312"/>
          <w:color w:val="FF0000"/>
          <w:kern w:val="0"/>
          <w:sz w:val="32"/>
          <w:szCs w:val="32"/>
          <w:lang w:val="zh-CN"/>
        </w:rPr>
      </w:pPr>
      <w:r>
        <w:rPr>
          <w:rFonts w:hint="eastAsia" w:ascii="Times New Roman" w:hAnsi="Times New Roman" w:eastAsia="方正仿宋_GBK"/>
          <w:bCs/>
          <w:kern w:val="0"/>
          <w:sz w:val="33"/>
          <w:szCs w:val="33"/>
          <w:lang w:val="zh-CN"/>
        </w:rPr>
        <w:t>米易县科协</w:t>
      </w:r>
      <w:r>
        <w:rPr>
          <w:rFonts w:ascii="Times New Roman" w:hAnsi="Times New Roman" w:eastAsia="方正仿宋_GBK"/>
          <w:bCs/>
          <w:sz w:val="33"/>
          <w:szCs w:val="33"/>
          <w:lang w:val="zh-CN"/>
        </w:rPr>
        <w:t>编制了项目绩效目标</w:t>
      </w:r>
      <w:r>
        <w:rPr>
          <w:rFonts w:hint="eastAsia" w:ascii="Times New Roman" w:hAnsi="Times New Roman" w:eastAsia="方正仿宋_GBK"/>
          <w:bCs/>
          <w:sz w:val="33"/>
          <w:szCs w:val="33"/>
        </w:rPr>
        <w:t>任务指标体系</w:t>
      </w:r>
      <w:r>
        <w:rPr>
          <w:rFonts w:ascii="Times New Roman" w:hAnsi="Times New Roman" w:eastAsia="方正仿宋_GBK"/>
          <w:bCs/>
          <w:sz w:val="33"/>
          <w:szCs w:val="33"/>
          <w:lang w:val="zh-CN"/>
        </w:rPr>
        <w:t>，分别细化数量指标、时效指标、成本指标、质量指标、社会效益指标和满意度指标等绩效目标</w:t>
      </w:r>
      <w:r>
        <w:rPr>
          <w:rFonts w:hint="eastAsia" w:ascii="Times New Roman" w:hAnsi="Times New Roman" w:eastAsia="方正仿宋_GBK"/>
          <w:bCs/>
          <w:sz w:val="33"/>
          <w:szCs w:val="33"/>
          <w:lang w:val="zh-CN"/>
        </w:rPr>
        <w:t>。</w:t>
      </w:r>
    </w:p>
    <w:p w14:paraId="3F2C5DD8">
      <w:pPr>
        <w:adjustRightInd w:val="0"/>
        <w:snapToGrid w:val="0"/>
        <w:spacing w:line="578" w:lineRule="exact"/>
        <w:ind w:firstLine="640" w:firstLineChars="200"/>
        <w:rPr>
          <w:rFonts w:ascii="黑体" w:hAnsi="宋体" w:eastAsia="黑体"/>
          <w:sz w:val="32"/>
          <w:szCs w:val="32"/>
        </w:rPr>
      </w:pPr>
      <w:r>
        <w:rPr>
          <w:rFonts w:hint="eastAsia" w:ascii="黑体" w:hAnsi="宋体" w:eastAsia="黑体"/>
          <w:sz w:val="32"/>
          <w:szCs w:val="32"/>
        </w:rPr>
        <w:t>二、评价实施</w:t>
      </w:r>
    </w:p>
    <w:p w14:paraId="6FE3DCE9">
      <w:pPr>
        <w:spacing w:line="578" w:lineRule="exact"/>
        <w:ind w:firstLine="640"/>
        <w:rPr>
          <w:rFonts w:ascii="楷体_GB2312" w:hAnsi="宋体" w:eastAsia="楷体_GB2312"/>
          <w:b/>
          <w:sz w:val="32"/>
          <w:szCs w:val="32"/>
          <w:lang w:val="zh-CN"/>
        </w:rPr>
      </w:pPr>
      <w:r>
        <w:rPr>
          <w:rFonts w:hint="eastAsia" w:ascii="楷体_GB2312" w:hAnsi="宋体" w:eastAsia="楷体_GB2312"/>
          <w:b/>
          <w:sz w:val="32"/>
          <w:szCs w:val="32"/>
          <w:lang w:val="zh-CN"/>
        </w:rPr>
        <w:t>（一）评价目的。</w:t>
      </w:r>
    </w:p>
    <w:p w14:paraId="1566B77D">
      <w:pPr>
        <w:widowControl/>
        <w:adjustRightInd w:val="0"/>
        <w:snapToGrid w:val="0"/>
        <w:spacing w:line="520" w:lineRule="exact"/>
        <w:ind w:firstLine="640" w:firstLineChars="200"/>
        <w:jc w:val="left"/>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为进一步合理规范使用四川省科普专项资金，全面加强绩效管理，及时明确和分解下达绩效目标，督促项目实施单位围绕实现绩效目标认真组织项目实施，加强项目实施全过程监管，做好绩效目标考核评价工作，切实提高财政资金使用效益。</w:t>
      </w:r>
    </w:p>
    <w:p w14:paraId="652D8E58">
      <w:pPr>
        <w:numPr>
          <w:ilvl w:val="0"/>
          <w:numId w:val="13"/>
        </w:numPr>
        <w:adjustRightInd w:val="0"/>
        <w:snapToGrid w:val="0"/>
        <w:spacing w:line="578"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预设问题及评价重点。</w:t>
      </w:r>
    </w:p>
    <w:p w14:paraId="16B86EF4">
      <w:pPr>
        <w:adjustRightInd w:val="0"/>
        <w:snapToGrid w:val="0"/>
        <w:spacing w:line="578" w:lineRule="exact"/>
        <w:ind w:left="420" w:leftChars="200" w:firstLine="330" w:firstLineChars="100"/>
        <w:rPr>
          <w:rFonts w:ascii="仿宋_GB2312" w:hAnsi="仿宋_GB2312" w:eastAsia="仿宋_GB2312" w:cs="仿宋_GB2312"/>
          <w:kern w:val="0"/>
          <w:sz w:val="32"/>
          <w:szCs w:val="32"/>
          <w:lang w:val="zh-CN"/>
        </w:rPr>
      </w:pPr>
      <w:r>
        <w:rPr>
          <w:rFonts w:ascii="Times New Roman" w:hAnsi="Times New Roman" w:eastAsia="方正仿宋_GBK"/>
          <w:color w:val="000000"/>
          <w:sz w:val="33"/>
          <w:szCs w:val="33"/>
        </w:rPr>
        <w:t>截止202</w:t>
      </w:r>
      <w:r>
        <w:rPr>
          <w:rFonts w:hint="eastAsia" w:ascii="Times New Roman" w:hAnsi="Times New Roman" w:eastAsia="方正仿宋_GBK"/>
          <w:color w:val="000000"/>
          <w:sz w:val="33"/>
          <w:szCs w:val="33"/>
        </w:rPr>
        <w:t>3</w:t>
      </w:r>
      <w:r>
        <w:rPr>
          <w:rFonts w:ascii="Times New Roman" w:hAnsi="Times New Roman" w:eastAsia="方正仿宋_GBK"/>
          <w:color w:val="000000"/>
          <w:sz w:val="33"/>
          <w:szCs w:val="33"/>
        </w:rPr>
        <w:t>年12月底，</w:t>
      </w:r>
      <w:r>
        <w:rPr>
          <w:rFonts w:hint="eastAsia" w:ascii="Times New Roman" w:hAnsi="Times New Roman" w:eastAsia="方正仿宋_GBK"/>
          <w:bCs/>
          <w:kern w:val="0"/>
          <w:sz w:val="33"/>
          <w:szCs w:val="33"/>
          <w:lang w:val="zh-CN"/>
        </w:rPr>
        <w:t>米易县科协</w:t>
      </w:r>
      <w:r>
        <w:rPr>
          <w:rFonts w:ascii="Times New Roman" w:hAnsi="Times New Roman" w:eastAsia="方正仿宋_GBK"/>
          <w:color w:val="000000"/>
          <w:sz w:val="33"/>
          <w:szCs w:val="33"/>
        </w:rPr>
        <w:t>支出</w:t>
      </w:r>
      <w:r>
        <w:rPr>
          <w:rFonts w:hint="eastAsia" w:ascii="Times New Roman" w:hAnsi="Times New Roman" w:eastAsia="方正仿宋_GBK"/>
          <w:color w:val="000000"/>
          <w:sz w:val="33"/>
          <w:szCs w:val="33"/>
        </w:rPr>
        <w:t>科普</w:t>
      </w:r>
      <w:r>
        <w:rPr>
          <w:rFonts w:hint="eastAsia" w:ascii="仿宋_GB2312" w:hAnsi="仿宋_GB2312" w:eastAsia="仿宋_GB2312" w:cs="仿宋_GB2312"/>
          <w:kern w:val="0"/>
          <w:sz w:val="32"/>
          <w:szCs w:val="32"/>
        </w:rPr>
        <w:t>专项</w:t>
      </w:r>
      <w:r>
        <w:rPr>
          <w:rFonts w:hint="eastAsia" w:ascii="Times New Roman" w:hAnsi="Times New Roman" w:eastAsia="方正仿宋_GBK"/>
          <w:color w:val="000000"/>
          <w:sz w:val="33"/>
          <w:szCs w:val="33"/>
        </w:rPr>
        <w:t>经费61.08</w:t>
      </w:r>
      <w:r>
        <w:rPr>
          <w:rFonts w:ascii="Times New Roman" w:hAnsi="Times New Roman" w:eastAsia="方正仿宋_GBK"/>
          <w:color w:val="000000"/>
          <w:sz w:val="33"/>
          <w:szCs w:val="33"/>
        </w:rPr>
        <w:t>万元</w:t>
      </w:r>
      <w:r>
        <w:rPr>
          <w:rFonts w:hint="eastAsia" w:ascii="Times New Roman" w:hAnsi="Times New Roman" w:eastAsia="方正仿宋_GBK"/>
          <w:color w:val="000000"/>
          <w:sz w:val="33"/>
          <w:szCs w:val="33"/>
        </w:rPr>
        <w:t>（其中1.08万元是上年因收款方帐户有误，2023年重新支付资金）</w:t>
      </w:r>
      <w:r>
        <w:rPr>
          <w:rFonts w:ascii="Times New Roman" w:hAnsi="Times New Roman" w:eastAsia="方正仿宋_GBK"/>
          <w:color w:val="000000"/>
          <w:sz w:val="33"/>
          <w:szCs w:val="33"/>
        </w:rPr>
        <w:t>，资金拨付率100%，严格按照资金使用管理要求，资金支付范围、标准、进度等合规合法，符合预算要求，未发现违法违纪</w:t>
      </w:r>
      <w:r>
        <w:rPr>
          <w:rFonts w:hint="eastAsia" w:ascii="Times New Roman" w:hAnsi="Times New Roman" w:eastAsia="方正仿宋_GBK"/>
          <w:color w:val="000000"/>
          <w:sz w:val="33"/>
          <w:szCs w:val="33"/>
        </w:rPr>
        <w:t>问题，</w:t>
      </w:r>
      <w:r>
        <w:rPr>
          <w:rFonts w:hint="eastAsia" w:ascii="仿宋_GB2312" w:hAnsi="仿宋_GB2312" w:eastAsia="仿宋_GB2312" w:cs="仿宋_GB2312"/>
          <w:kern w:val="0"/>
          <w:sz w:val="32"/>
          <w:szCs w:val="32"/>
          <w:lang w:val="zh-CN"/>
        </w:rPr>
        <w:t>按照绩效评价指标体系，对资金支出使用全过程及其实施效果进行综合评价和判断。</w:t>
      </w:r>
    </w:p>
    <w:p w14:paraId="1BCB0F0B">
      <w:pPr>
        <w:numPr>
          <w:ilvl w:val="0"/>
          <w:numId w:val="13"/>
        </w:numPr>
        <w:adjustRightInd w:val="0"/>
        <w:snapToGrid w:val="0"/>
        <w:spacing w:line="578"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评价选点。</w:t>
      </w:r>
    </w:p>
    <w:p w14:paraId="7D93E835">
      <w:pPr>
        <w:spacing w:line="576" w:lineRule="exact"/>
        <w:ind w:firstLine="640" w:firstLineChars="200"/>
        <w:rPr>
          <w:rFonts w:ascii="仿宋_GB2312" w:hAnsi="仿宋_GB2312" w:eastAsia="仿宋_GB2312" w:cs="仿宋_GB2312"/>
          <w:kern w:val="34"/>
          <w:sz w:val="32"/>
          <w:szCs w:val="32"/>
        </w:rPr>
      </w:pPr>
      <w:r>
        <w:rPr>
          <w:rFonts w:hint="eastAsia" w:ascii="仿宋_GB2312" w:hAnsi="宋体" w:eastAsia="仿宋_GB2312" w:cs="宋体"/>
          <w:color w:val="000000"/>
          <w:kern w:val="0"/>
          <w:sz w:val="32"/>
          <w:szCs w:val="32"/>
          <w:shd w:val="clear" w:color="auto" w:fill="FFFFFF"/>
        </w:rPr>
        <w:t>米易县科学技术协会科普专项资金工作成效。</w:t>
      </w:r>
      <w:r>
        <w:rPr>
          <w:rFonts w:hint="eastAsia" w:ascii="仿宋_GB2312" w:hAnsi="仿宋_GB2312" w:eastAsia="仿宋_GB2312" w:cs="仿宋_GB2312"/>
          <w:kern w:val="34"/>
          <w:sz w:val="32"/>
          <w:szCs w:val="32"/>
        </w:rPr>
        <w:t>落实主体责任，提升党风廉政建设和意识形态工作水平以绩效考核为抓手促进“天府科技云”目标任务落实整合社会科普资源，创新科协工作新形势。</w:t>
      </w:r>
    </w:p>
    <w:p w14:paraId="6F4EBC77">
      <w:pPr>
        <w:numPr>
          <w:ilvl w:val="0"/>
          <w:numId w:val="13"/>
        </w:numPr>
        <w:spacing w:line="578"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评价方法。</w:t>
      </w:r>
    </w:p>
    <w:p w14:paraId="6716D639">
      <w:pPr>
        <w:spacing w:line="578" w:lineRule="exact"/>
        <w:ind w:firstLine="660" w:firstLineChars="200"/>
        <w:rPr>
          <w:rFonts w:ascii="Times New Roman" w:hAnsi="Times New Roman" w:eastAsia="方正仿宋_GBK"/>
          <w:bCs/>
          <w:kern w:val="0"/>
          <w:sz w:val="33"/>
          <w:szCs w:val="33"/>
        </w:rPr>
      </w:pPr>
      <w:r>
        <w:rPr>
          <w:rFonts w:hint="eastAsia" w:ascii="Times New Roman" w:hAnsi="Times New Roman" w:eastAsia="方正仿宋_GBK"/>
          <w:bCs/>
          <w:kern w:val="0"/>
          <w:sz w:val="33"/>
          <w:szCs w:val="33"/>
        </w:rPr>
        <w:t>一是2023年9月，</w:t>
      </w:r>
      <w:r>
        <w:rPr>
          <w:rFonts w:ascii="Times New Roman" w:hAnsi="Times New Roman" w:eastAsia="方正仿宋_GBK"/>
          <w:bCs/>
          <w:kern w:val="0"/>
          <w:sz w:val="33"/>
          <w:szCs w:val="33"/>
        </w:rPr>
        <w:t>开展1-8 月中期预算绩效事中监控情况</w:t>
      </w:r>
      <w:r>
        <w:rPr>
          <w:rFonts w:hint="eastAsia" w:ascii="Times New Roman" w:hAnsi="Times New Roman" w:eastAsia="方正仿宋_GBK"/>
          <w:bCs/>
          <w:kern w:val="0"/>
          <w:sz w:val="33"/>
          <w:szCs w:val="33"/>
        </w:rPr>
        <w:t>自评</w:t>
      </w:r>
      <w:r>
        <w:rPr>
          <w:rFonts w:ascii="Times New Roman" w:hAnsi="Times New Roman" w:eastAsia="方正仿宋_GBK"/>
          <w:bCs/>
          <w:kern w:val="0"/>
          <w:sz w:val="33"/>
          <w:szCs w:val="33"/>
        </w:rPr>
        <w:t>，对绩效目标完成情况进行全面评价和运行监控分析</w:t>
      </w:r>
      <w:r>
        <w:rPr>
          <w:rFonts w:hint="eastAsia" w:ascii="Times New Roman" w:hAnsi="Times New Roman" w:eastAsia="方正仿宋_GBK"/>
          <w:bCs/>
          <w:kern w:val="0"/>
          <w:sz w:val="33"/>
          <w:szCs w:val="33"/>
        </w:rPr>
        <w:t>；二是</w:t>
      </w:r>
      <w:r>
        <w:rPr>
          <w:rFonts w:ascii="Times New Roman" w:hAnsi="Times New Roman" w:eastAsia="方正仿宋_GBK"/>
          <w:bCs/>
          <w:kern w:val="0"/>
          <w:sz w:val="33"/>
          <w:szCs w:val="33"/>
        </w:rPr>
        <w:t>年终执行完毕后</w:t>
      </w:r>
      <w:r>
        <w:rPr>
          <w:rFonts w:hint="eastAsia" w:ascii="Times New Roman" w:hAnsi="Times New Roman" w:eastAsia="方正仿宋_GBK"/>
          <w:color w:val="000000"/>
          <w:sz w:val="33"/>
          <w:szCs w:val="33"/>
          <w:lang w:val="zh-CN"/>
        </w:rPr>
        <w:t>根据项目绩效目标体系</w:t>
      </w:r>
      <w:r>
        <w:rPr>
          <w:rFonts w:ascii="Times New Roman" w:hAnsi="Times New Roman" w:eastAsia="方正仿宋_GBK"/>
          <w:color w:val="000000"/>
          <w:sz w:val="33"/>
          <w:szCs w:val="33"/>
          <w:lang w:val="zh-CN"/>
        </w:rPr>
        <w:t>数量指标</w:t>
      </w:r>
      <w:r>
        <w:rPr>
          <w:rFonts w:hint="eastAsia" w:ascii="Times New Roman" w:hAnsi="Times New Roman" w:eastAsia="方正仿宋_GBK"/>
          <w:color w:val="000000"/>
          <w:sz w:val="33"/>
          <w:szCs w:val="33"/>
          <w:lang w:val="zh-CN"/>
        </w:rPr>
        <w:t>进行综合评价；</w:t>
      </w:r>
      <w:r>
        <w:rPr>
          <w:rFonts w:hint="eastAsia" w:ascii="Times New Roman" w:hAnsi="Times New Roman" w:eastAsia="方正仿宋_GBK"/>
          <w:bCs/>
          <w:kern w:val="0"/>
          <w:sz w:val="33"/>
          <w:szCs w:val="33"/>
          <w:lang w:val="zh-CN"/>
        </w:rPr>
        <w:t>三是</w:t>
      </w:r>
      <w:r>
        <w:rPr>
          <w:rFonts w:hint="eastAsia" w:ascii="Times New Roman" w:hAnsi="Times New Roman" w:eastAsia="方正仿宋_GBK"/>
          <w:bCs/>
          <w:kern w:val="0"/>
          <w:sz w:val="33"/>
          <w:szCs w:val="33"/>
        </w:rPr>
        <w:t>通过自我评价、同行评价、上级评价等方式全面反映效果，客观评估科普专项绩效，为今后科普活动提供数据支持和改进方向。</w:t>
      </w:r>
    </w:p>
    <w:p w14:paraId="55DA1066">
      <w:pPr>
        <w:spacing w:line="578" w:lineRule="exact"/>
        <w:ind w:firstLine="640"/>
        <w:outlineLvl w:val="2"/>
        <w:rPr>
          <w:rFonts w:ascii="楷体_GB2312" w:hAnsi="宋体" w:eastAsia="楷体_GB2312"/>
          <w:b/>
          <w:sz w:val="32"/>
          <w:szCs w:val="32"/>
          <w:lang w:val="zh-CN"/>
        </w:rPr>
      </w:pPr>
      <w:r>
        <w:rPr>
          <w:rFonts w:hint="eastAsia" w:ascii="楷体_GB2312" w:hAnsi="宋体" w:eastAsia="楷体_GB2312"/>
          <w:b/>
          <w:sz w:val="32"/>
          <w:szCs w:val="32"/>
          <w:lang w:val="zh-CN"/>
        </w:rPr>
        <w:t>（五）评价组织。</w:t>
      </w:r>
    </w:p>
    <w:p w14:paraId="1E6B77EA">
      <w:pPr>
        <w:ind w:firstLine="640" w:firstLineChars="200"/>
        <w:rPr>
          <w:rFonts w:ascii="仿宋_GB2312" w:eastAsia="仿宋_GB2312"/>
          <w:sz w:val="32"/>
          <w:szCs w:val="32"/>
        </w:rPr>
      </w:pPr>
      <w:r>
        <w:rPr>
          <w:rFonts w:hint="eastAsia" w:ascii="仿宋_GB2312" w:hAnsi="仿宋_GB2312" w:eastAsia="仿宋_GB2312" w:cs="仿宋_GB2312"/>
          <w:kern w:val="0"/>
          <w:sz w:val="32"/>
          <w:szCs w:val="32"/>
          <w:lang w:val="zh-CN"/>
        </w:rPr>
        <w:t>成立</w:t>
      </w:r>
      <w:r>
        <w:rPr>
          <w:rFonts w:hint="eastAsia" w:ascii="Times New Roman" w:hAnsi="Times New Roman" w:eastAsia="方正仿宋_GBK"/>
          <w:bCs/>
          <w:kern w:val="0"/>
          <w:sz w:val="33"/>
          <w:szCs w:val="33"/>
          <w:lang w:val="zh-CN"/>
        </w:rPr>
        <w:t>米易县科协</w:t>
      </w:r>
      <w:r>
        <w:rPr>
          <w:rFonts w:hint="eastAsia" w:ascii="仿宋_GB2312" w:hAnsi="仿宋_GB2312" w:eastAsia="仿宋_GB2312" w:cs="仿宋_GB2312"/>
          <w:kern w:val="0"/>
          <w:sz w:val="32"/>
          <w:szCs w:val="32"/>
          <w:lang w:val="zh-CN"/>
        </w:rPr>
        <w:t>项目绩效评价领导小组，</w:t>
      </w:r>
      <w:r>
        <w:rPr>
          <w:rFonts w:hint="eastAsia" w:ascii="仿宋_GB2312" w:eastAsia="仿宋_GB2312"/>
          <w:sz w:val="32"/>
          <w:szCs w:val="32"/>
        </w:rPr>
        <w:t>主席刘力菲担任组长，副主席熊德兵担任副组长，张勇、卢明为成员，明确责任分工，确保工作落到实处。</w:t>
      </w:r>
    </w:p>
    <w:p w14:paraId="08C4965C">
      <w:pPr>
        <w:adjustRightInd w:val="0"/>
        <w:snapToGrid w:val="0"/>
        <w:spacing w:line="578" w:lineRule="exact"/>
        <w:ind w:firstLine="640" w:firstLineChars="200"/>
        <w:rPr>
          <w:rFonts w:ascii="仿宋_GB2312" w:hAnsi="宋体"/>
          <w:sz w:val="32"/>
          <w:szCs w:val="32"/>
          <w:lang w:val="zh-CN"/>
        </w:rPr>
      </w:pPr>
      <w:r>
        <w:rPr>
          <w:rFonts w:hint="eastAsia" w:ascii="黑体" w:hAnsi="宋体" w:eastAsia="黑体"/>
          <w:sz w:val="32"/>
          <w:szCs w:val="32"/>
        </w:rPr>
        <w:t>三、绩效分析</w:t>
      </w:r>
      <w:r>
        <w:rPr>
          <w:rFonts w:hint="eastAsia" w:ascii="仿宋_GB2312" w:hAnsi="宋体"/>
          <w:sz w:val="32"/>
          <w:szCs w:val="32"/>
          <w:lang w:val="zh-CN"/>
        </w:rPr>
        <w:tab/>
      </w:r>
    </w:p>
    <w:p w14:paraId="574B3A03">
      <w:pPr>
        <w:pStyle w:val="29"/>
        <w:spacing w:line="576" w:lineRule="exact"/>
        <w:ind w:firstLine="660"/>
        <w:rPr>
          <w:rFonts w:ascii="方正仿宋_GBK" w:hAnsi="方正仿宋_GBK" w:eastAsia="方正仿宋_GBK" w:cs="方正仿宋_GBK"/>
          <w:spacing w:val="8"/>
          <w:sz w:val="33"/>
          <w:szCs w:val="33"/>
          <w:shd w:val="clear" w:color="auto" w:fill="FFFFFF"/>
        </w:rPr>
      </w:pPr>
      <w:r>
        <w:rPr>
          <w:rFonts w:hint="eastAsia" w:ascii="方正仿宋_GBK" w:hAnsi="方正仿宋_GBK" w:eastAsia="方正仿宋_GBK" w:cs="方正仿宋_GBK"/>
          <w:kern w:val="34"/>
          <w:sz w:val="33"/>
          <w:szCs w:val="33"/>
        </w:rPr>
        <w:t>为提高全民卫生健康知识水平、健康意识以及疾病相关知识知晓率，充分发挥医疗系统科技工作者在米易县推动高质量发展建设共同富裕试验区行动中的积极作用，</w:t>
      </w:r>
      <w:r>
        <w:rPr>
          <w:rFonts w:hint="eastAsia" w:ascii="方正仿宋_GBK" w:hAnsi="方正仿宋_GBK" w:eastAsia="方正仿宋_GBK" w:cs="方正仿宋_GBK"/>
          <w:sz w:val="33"/>
          <w:szCs w:val="33"/>
        </w:rPr>
        <w:t>县科协、县卫生健康局及县医疗集团联合启动了“米易县</w:t>
      </w:r>
      <w:r>
        <w:rPr>
          <w:rFonts w:hint="eastAsia" w:eastAsia="方正仿宋_GBK"/>
          <w:kern w:val="34"/>
          <w:sz w:val="33"/>
          <w:szCs w:val="33"/>
        </w:rPr>
        <w:t>5.30</w:t>
      </w:r>
      <w:r>
        <w:rPr>
          <w:rFonts w:hint="eastAsia" w:ascii="方正仿宋_GBK" w:hAnsi="方正仿宋_GBK" w:eastAsia="方正仿宋_GBK" w:cs="方正仿宋_GBK"/>
          <w:sz w:val="33"/>
          <w:szCs w:val="33"/>
        </w:rPr>
        <w:t>科技工作者日暨</w:t>
      </w:r>
      <w:r>
        <w:rPr>
          <w:rFonts w:hint="eastAsia" w:eastAsia="方正仿宋_GBK"/>
          <w:kern w:val="34"/>
          <w:sz w:val="33"/>
          <w:szCs w:val="33"/>
        </w:rPr>
        <w:t>2023</w:t>
      </w:r>
      <w:r>
        <w:rPr>
          <w:rFonts w:hint="eastAsia" w:ascii="方正仿宋_GBK" w:hAnsi="方正仿宋_GBK" w:eastAsia="方正仿宋_GBK" w:cs="方正仿宋_GBK"/>
          <w:sz w:val="33"/>
          <w:szCs w:val="33"/>
        </w:rPr>
        <w:t>年度医疗系统科技工作者问诊把脉服务全民健康活动”，制定《</w:t>
      </w:r>
      <w:r>
        <w:rPr>
          <w:rFonts w:hint="eastAsia" w:eastAsia="方正仿宋_GBK"/>
          <w:kern w:val="34"/>
          <w:sz w:val="33"/>
          <w:szCs w:val="33"/>
        </w:rPr>
        <w:t>2023</w:t>
      </w:r>
      <w:r>
        <w:rPr>
          <w:rFonts w:hint="eastAsia" w:ascii="方正仿宋_GBK" w:hAnsi="方正仿宋_GBK" w:eastAsia="方正仿宋_GBK" w:cs="方正仿宋_GBK"/>
          <w:sz w:val="33"/>
          <w:szCs w:val="33"/>
        </w:rPr>
        <w:t>年度开展“问诊把脉”服务全民健康活动方案》并成立“米易县医疗卫生健康系统科技工作者服务队”，深入各乡镇、社区、企业、机关，针对社区内的健康人群、亚健康人群、高危人群及重点保健人群举办</w:t>
      </w:r>
      <w:r>
        <w:rPr>
          <w:rFonts w:hint="eastAsia" w:ascii="方正仿宋_GBK" w:hAnsi="方正仿宋_GBK" w:eastAsia="方正仿宋_GBK" w:cs="方正仿宋_GBK"/>
          <w:spacing w:val="8"/>
          <w:sz w:val="33"/>
          <w:szCs w:val="33"/>
          <w:shd w:val="clear" w:color="auto" w:fill="FFFFFF"/>
        </w:rPr>
        <w:t>“问诊把脉”知识讲座进校园、进机关等</w:t>
      </w:r>
      <w:r>
        <w:rPr>
          <w:rFonts w:hint="eastAsia" w:ascii="方正仿宋_GBK" w:hAnsi="方正仿宋_GBK" w:eastAsia="方正仿宋_GBK" w:cs="方正仿宋_GBK"/>
          <w:sz w:val="33"/>
          <w:szCs w:val="33"/>
        </w:rPr>
        <w:t>卫生科普服务活动</w:t>
      </w:r>
      <w:r>
        <w:rPr>
          <w:rFonts w:hint="eastAsia" w:eastAsia="方正仿宋_GBK"/>
          <w:kern w:val="34"/>
          <w:sz w:val="33"/>
          <w:szCs w:val="33"/>
        </w:rPr>
        <w:t>9</w:t>
      </w:r>
      <w:r>
        <w:rPr>
          <w:rFonts w:hint="eastAsia" w:ascii="方正仿宋_GBK" w:hAnsi="方正仿宋_GBK" w:eastAsia="方正仿宋_GBK" w:cs="方正仿宋_GBK"/>
          <w:sz w:val="33"/>
          <w:szCs w:val="33"/>
        </w:rPr>
        <w:t>场，开展《常见呼吸道传染病的预防和控烟宣传》、《高血压的防治》、</w:t>
      </w:r>
      <w:r>
        <w:rPr>
          <w:rFonts w:hint="eastAsia" w:ascii="方正仿宋_GBK" w:hAnsi="方正仿宋_GBK" w:eastAsia="方正仿宋_GBK" w:cs="方正仿宋_GBK"/>
          <w:spacing w:val="8"/>
          <w:sz w:val="33"/>
          <w:szCs w:val="33"/>
          <w:shd w:val="clear" w:color="auto" w:fill="FFFFFF"/>
        </w:rPr>
        <w:t>《抑郁症的心理辅导》、《儿童肥胖的识别及管理》</w:t>
      </w:r>
      <w:r>
        <w:rPr>
          <w:rFonts w:hint="eastAsia" w:ascii="方正仿宋_GBK" w:hAnsi="方正仿宋_GBK" w:eastAsia="方正仿宋_GBK" w:cs="方正仿宋_GBK"/>
          <w:sz w:val="33"/>
          <w:szCs w:val="33"/>
        </w:rPr>
        <w:t>等健康讲座</w:t>
      </w:r>
      <w:r>
        <w:rPr>
          <w:rFonts w:hint="eastAsia" w:eastAsia="方正仿宋_GBK"/>
          <w:kern w:val="34"/>
          <w:sz w:val="33"/>
          <w:szCs w:val="33"/>
        </w:rPr>
        <w:t>14</w:t>
      </w:r>
      <w:r>
        <w:rPr>
          <w:rFonts w:hint="eastAsia" w:ascii="方正仿宋_GBK" w:hAnsi="方正仿宋_GBK" w:eastAsia="方正仿宋_GBK" w:cs="方正仿宋_GBK"/>
          <w:sz w:val="33"/>
          <w:szCs w:val="33"/>
        </w:rPr>
        <w:t>场，</w:t>
      </w:r>
      <w:r>
        <w:rPr>
          <w:rFonts w:hint="eastAsia" w:ascii="方正仿宋_GBK" w:hAnsi="方正仿宋_GBK" w:eastAsia="方正仿宋_GBK" w:cs="方正仿宋_GBK"/>
          <w:spacing w:val="8"/>
          <w:sz w:val="33"/>
          <w:szCs w:val="33"/>
          <w:shd w:val="clear" w:color="auto" w:fill="FFFFFF"/>
        </w:rPr>
        <w:t>为群众免费量血压、测血糖，提供全方位的疾病知识咨询和健康指导服务，并为有需求的居民朋友进行针灸、耳穴、推拿等中医理疗服务，受到广大群众好评。“米易科普专题片”荣获攀枝花</w:t>
      </w:r>
      <w:r>
        <w:rPr>
          <w:rFonts w:ascii="Times New Roman" w:hAnsi="Times New Roman" w:eastAsia="方正仿宋_GBK"/>
          <w:spacing w:val="8"/>
          <w:sz w:val="33"/>
          <w:szCs w:val="33"/>
          <w:shd w:val="clear" w:color="auto" w:fill="FFFFFF"/>
        </w:rPr>
        <w:t>市2023年科</w:t>
      </w:r>
      <w:r>
        <w:rPr>
          <w:rFonts w:hint="eastAsia" w:ascii="方正仿宋_GBK" w:hAnsi="方正仿宋_GBK" w:eastAsia="方正仿宋_GBK" w:cs="方正仿宋_GBK"/>
          <w:spacing w:val="8"/>
          <w:sz w:val="33"/>
          <w:szCs w:val="33"/>
          <w:shd w:val="clear" w:color="auto" w:fill="FFFFFF"/>
        </w:rPr>
        <w:t xml:space="preserve">普作品二等奖。 </w:t>
      </w:r>
    </w:p>
    <w:p w14:paraId="634B04EC">
      <w:pPr>
        <w:spacing w:line="578" w:lineRule="exact"/>
        <w:ind w:firstLine="640"/>
        <w:rPr>
          <w:rFonts w:ascii="楷体_GB2312" w:hAnsi="宋体" w:eastAsia="楷体_GB2312"/>
          <w:b/>
          <w:sz w:val="32"/>
          <w:szCs w:val="32"/>
        </w:rPr>
      </w:pPr>
      <w:r>
        <w:rPr>
          <w:rFonts w:hint="eastAsia" w:ascii="楷体_GB2312" w:hAnsi="宋体" w:eastAsia="楷体_GB2312"/>
          <w:b/>
          <w:sz w:val="32"/>
          <w:szCs w:val="32"/>
          <w:lang w:val="zh-CN"/>
        </w:rPr>
        <w:t>（一）</w:t>
      </w:r>
      <w:r>
        <w:rPr>
          <w:rFonts w:hint="eastAsia" w:ascii="楷体_GB2312" w:hAnsi="宋体" w:eastAsia="楷体_GB2312"/>
          <w:b/>
          <w:sz w:val="32"/>
          <w:szCs w:val="32"/>
        </w:rPr>
        <w:t>通用指标</w:t>
      </w:r>
      <w:r>
        <w:rPr>
          <w:rFonts w:ascii="Times New Roman" w:hAnsi="Times New Roman" w:eastAsia="楷体_GB2312"/>
          <w:b/>
          <w:bCs/>
          <w:color w:val="000000"/>
          <w:kern w:val="0"/>
          <w:sz w:val="32"/>
          <w:szCs w:val="32"/>
          <w:shd w:val="clear" w:color="auto" w:fill="FFFFFF"/>
          <w:lang w:val="zh-CN"/>
        </w:rPr>
        <w:t>绩效分析。</w:t>
      </w:r>
    </w:p>
    <w:p w14:paraId="6B203DD5">
      <w:pPr>
        <w:spacing w:line="578" w:lineRule="exact"/>
        <w:ind w:firstLine="640"/>
        <w:rPr>
          <w:rFonts w:ascii="楷体_GB2312" w:hAnsi="楷体_GB2312" w:eastAsia="楷体_GB2312" w:cs="楷体_GB2312"/>
          <w:sz w:val="32"/>
          <w:szCs w:val="32"/>
        </w:rPr>
      </w:pPr>
      <w:r>
        <w:rPr>
          <w:rFonts w:hint="eastAsia" w:ascii="楷体_GB2312" w:hAnsi="楷体_GB2312" w:eastAsia="楷体_GB2312" w:cs="楷体_GB2312"/>
          <w:sz w:val="32"/>
          <w:szCs w:val="32"/>
        </w:rPr>
        <w:t>1.  项目决策。</w:t>
      </w:r>
    </w:p>
    <w:p w14:paraId="0865C4A9">
      <w:pPr>
        <w:autoSpaceDE w:val="0"/>
        <w:autoSpaceDN w:val="0"/>
        <w:spacing w:line="360" w:lineRule="auto"/>
        <w:ind w:firstLine="640" w:firstLineChars="200"/>
        <w:textAlignment w:val="baseline"/>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对项目组织实施方面，实行单位领导负责制，严格按照四川省科普专项资金管理办法，加强资金管理，专款专用，严禁截留挪用。</w:t>
      </w:r>
    </w:p>
    <w:p w14:paraId="249FBC7A">
      <w:pPr>
        <w:numPr>
          <w:ilvl w:val="0"/>
          <w:numId w:val="14"/>
        </w:numPr>
        <w:spacing w:line="578" w:lineRule="exact"/>
        <w:ind w:firstLine="640"/>
        <w:rPr>
          <w:rFonts w:ascii="楷体_GB2312" w:hAnsi="楷体_GB2312" w:eastAsia="楷体_GB2312" w:cs="楷体_GB2312"/>
          <w:sz w:val="32"/>
          <w:szCs w:val="32"/>
        </w:rPr>
      </w:pPr>
      <w:r>
        <w:rPr>
          <w:rFonts w:hint="eastAsia" w:ascii="楷体_GB2312" w:hAnsi="楷体_GB2312" w:eastAsia="楷体_GB2312" w:cs="楷体_GB2312"/>
          <w:sz w:val="32"/>
          <w:szCs w:val="32"/>
        </w:rPr>
        <w:t>项目管理。</w:t>
      </w:r>
    </w:p>
    <w:p w14:paraId="2F0B0A35">
      <w:pPr>
        <w:spacing w:line="560" w:lineRule="exact"/>
        <w:ind w:firstLine="660" w:firstLineChars="200"/>
        <w:rPr>
          <w:rFonts w:ascii="Times New Roman" w:hAnsi="Times New Roman" w:eastAsia="方正仿宋_GBK"/>
          <w:bCs/>
          <w:sz w:val="33"/>
          <w:szCs w:val="33"/>
          <w:lang w:val="zh-CN"/>
        </w:rPr>
      </w:pPr>
      <w:r>
        <w:rPr>
          <w:rFonts w:ascii="Times New Roman" w:hAnsi="Times New Roman" w:eastAsia="方正仿宋_GBK"/>
          <w:bCs/>
          <w:sz w:val="33"/>
          <w:szCs w:val="33"/>
          <w:lang w:val="zh-CN"/>
        </w:rPr>
        <w:t>通过项目支出评价，</w:t>
      </w:r>
      <w:r>
        <w:rPr>
          <w:rFonts w:hint="eastAsia" w:ascii="Times New Roman" w:hAnsi="Times New Roman" w:eastAsia="方正仿宋_GBK"/>
          <w:bCs/>
          <w:kern w:val="0"/>
          <w:sz w:val="33"/>
          <w:szCs w:val="33"/>
          <w:lang w:val="zh-CN"/>
        </w:rPr>
        <w:t>米易县科协</w:t>
      </w:r>
      <w:r>
        <w:rPr>
          <w:rFonts w:ascii="Times New Roman" w:hAnsi="Times New Roman" w:eastAsia="方正仿宋_GBK"/>
          <w:bCs/>
          <w:sz w:val="33"/>
          <w:szCs w:val="33"/>
          <w:lang w:val="zh-CN"/>
        </w:rPr>
        <w:t>项目支出政策依据充分，严格履行了预算下达的审批手续，项目申报内容与实际相符，申报目标合理可行</w:t>
      </w:r>
      <w:r>
        <w:rPr>
          <w:rFonts w:hint="eastAsia" w:ascii="Times New Roman" w:hAnsi="Times New Roman" w:eastAsia="方正仿宋_GBK"/>
          <w:bCs/>
          <w:sz w:val="33"/>
          <w:szCs w:val="33"/>
          <w:lang w:val="zh-CN"/>
        </w:rPr>
        <w:t>。</w:t>
      </w:r>
    </w:p>
    <w:p w14:paraId="0A148730">
      <w:pPr>
        <w:numPr>
          <w:ilvl w:val="0"/>
          <w:numId w:val="14"/>
        </w:numPr>
        <w:spacing w:line="578" w:lineRule="exact"/>
        <w:ind w:firstLine="640"/>
        <w:rPr>
          <w:rFonts w:ascii="楷体_GB2312" w:hAnsi="楷体_GB2312" w:eastAsia="楷体_GB2312" w:cs="楷体_GB2312"/>
          <w:sz w:val="32"/>
          <w:szCs w:val="32"/>
        </w:rPr>
      </w:pPr>
      <w:r>
        <w:rPr>
          <w:rFonts w:hint="eastAsia" w:ascii="楷体_GB2312" w:hAnsi="楷体_GB2312" w:eastAsia="楷体_GB2312" w:cs="楷体_GB2312"/>
          <w:sz w:val="32"/>
          <w:szCs w:val="32"/>
        </w:rPr>
        <w:t>项目实施。</w:t>
      </w:r>
    </w:p>
    <w:p w14:paraId="1FDDD4B9">
      <w:pPr>
        <w:spacing w:line="264" w:lineRule="auto"/>
        <w:ind w:firstLine="640"/>
        <w:jc w:val="center"/>
        <w:rPr>
          <w:rFonts w:ascii="仿宋_GB2312" w:hAnsi="仿宋_GB2312" w:eastAsia="仿宋_GB2312" w:cs="仿宋_GB2312"/>
          <w:spacing w:val="-23"/>
          <w:sz w:val="32"/>
          <w:szCs w:val="32"/>
        </w:rPr>
      </w:pPr>
      <w:r>
        <w:rPr>
          <w:rFonts w:hint="eastAsia" w:ascii="Times New Roman" w:hAnsi="Times New Roman" w:eastAsia="方正仿宋_GBK"/>
          <w:bCs/>
          <w:kern w:val="0"/>
          <w:sz w:val="33"/>
          <w:szCs w:val="33"/>
        </w:rPr>
        <w:t>2023年度使用的2022年省级科普专项</w:t>
      </w:r>
      <w:r>
        <w:rPr>
          <w:rFonts w:ascii="Times New Roman" w:hAnsi="Times New Roman" w:eastAsia="方正仿宋_GBK"/>
          <w:bCs/>
          <w:kern w:val="0"/>
          <w:sz w:val="33"/>
          <w:szCs w:val="33"/>
          <w:lang w:val="zh-CN"/>
        </w:rPr>
        <w:t>经费主要用于</w:t>
      </w:r>
      <w:r>
        <w:rPr>
          <w:rFonts w:hint="eastAsia" w:ascii="仿宋_GB2312" w:hAnsi="仿宋_GB2312" w:eastAsia="仿宋_GB2312" w:cs="仿宋_GB2312"/>
          <w:sz w:val="32"/>
          <w:szCs w:val="32"/>
        </w:rPr>
        <w:t>米易县科普交流宣传及科学种植技术推广示范；</w:t>
      </w:r>
      <w:r>
        <w:rPr>
          <w:rFonts w:hint="eastAsia" w:ascii="仿宋_GB2312" w:hAnsi="仿宋_GB2312" w:eastAsia="仿宋_GB2312" w:cs="仿宋_GB2312"/>
          <w:spacing w:val="-23"/>
          <w:sz w:val="32"/>
          <w:szCs w:val="32"/>
        </w:rPr>
        <w:t>米易县青少年</w:t>
      </w:r>
    </w:p>
    <w:p w14:paraId="7557EC79">
      <w:pPr>
        <w:spacing w:line="264" w:lineRule="auto"/>
        <w:rPr>
          <w:rFonts w:ascii="Times New Roman" w:hAnsi="Times New Roman" w:eastAsia="方正仿宋_GBK"/>
          <w:bCs/>
          <w:kern w:val="0"/>
          <w:sz w:val="33"/>
          <w:szCs w:val="33"/>
        </w:rPr>
      </w:pPr>
      <w:r>
        <w:rPr>
          <w:rFonts w:hint="eastAsia" w:ascii="仿宋_GB2312" w:hAnsi="仿宋_GB2312" w:eastAsia="仿宋_GB2312" w:cs="仿宋_GB2312"/>
          <w:spacing w:val="-23"/>
          <w:sz w:val="32"/>
          <w:szCs w:val="32"/>
        </w:rPr>
        <w:t>活动中心科普基地建设</w:t>
      </w:r>
      <w:r>
        <w:rPr>
          <w:rFonts w:hint="eastAsia" w:ascii="仿宋_GB2312" w:hAnsi="仿宋_GB2312" w:eastAsia="仿宋_GB2312" w:cs="仿宋_GB2312"/>
          <w:sz w:val="32"/>
          <w:szCs w:val="32"/>
        </w:rPr>
        <w:t>；米易县天府科技云服务中心功能提升改造。</w:t>
      </w:r>
      <w:r>
        <w:rPr>
          <w:rFonts w:ascii="Times New Roman" w:hAnsi="Times New Roman" w:eastAsia="方正仿宋_GBK"/>
          <w:bCs/>
          <w:kern w:val="0"/>
          <w:sz w:val="33"/>
          <w:szCs w:val="33"/>
          <w:lang w:val="zh-CN"/>
        </w:rPr>
        <w:t>项目资金确保专款专用，资金支付范围、支付标准、支付进度、支付依据等合规合法、与预算相符，会计核算规范。</w:t>
      </w:r>
      <w:r>
        <w:rPr>
          <w:rFonts w:ascii="Times New Roman" w:hAnsi="Times New Roman" w:eastAsia="方正仿宋_GBK"/>
          <w:bCs/>
          <w:kern w:val="0"/>
          <w:sz w:val="33"/>
          <w:szCs w:val="33"/>
        </w:rPr>
        <w:t>截止202</w:t>
      </w:r>
      <w:r>
        <w:rPr>
          <w:rFonts w:hint="eastAsia" w:ascii="Times New Roman" w:hAnsi="Times New Roman" w:eastAsia="方正仿宋_GBK"/>
          <w:bCs/>
          <w:kern w:val="0"/>
          <w:sz w:val="33"/>
          <w:szCs w:val="33"/>
        </w:rPr>
        <w:t>3</w:t>
      </w:r>
      <w:r>
        <w:rPr>
          <w:rFonts w:ascii="Times New Roman" w:hAnsi="Times New Roman" w:eastAsia="方正仿宋_GBK"/>
          <w:bCs/>
          <w:kern w:val="0"/>
          <w:sz w:val="33"/>
          <w:szCs w:val="33"/>
        </w:rPr>
        <w:t>年12月底</w:t>
      </w:r>
      <w:r>
        <w:rPr>
          <w:rFonts w:hint="eastAsia" w:ascii="Times New Roman" w:hAnsi="Times New Roman" w:eastAsia="方正仿宋_GBK"/>
          <w:bCs/>
          <w:kern w:val="0"/>
          <w:sz w:val="33"/>
          <w:szCs w:val="33"/>
        </w:rPr>
        <w:t>2022年省级科普专项资金</w:t>
      </w:r>
      <w:r>
        <w:rPr>
          <w:rFonts w:ascii="Times New Roman" w:hAnsi="Times New Roman" w:eastAsia="方正仿宋_GBK"/>
          <w:bCs/>
          <w:kern w:val="0"/>
          <w:sz w:val="33"/>
          <w:szCs w:val="33"/>
        </w:rPr>
        <w:t>支出</w:t>
      </w:r>
      <w:r>
        <w:rPr>
          <w:rFonts w:hint="eastAsia" w:ascii="Times New Roman" w:hAnsi="Times New Roman" w:eastAsia="方正仿宋_GBK"/>
          <w:bCs/>
          <w:kern w:val="0"/>
          <w:sz w:val="33"/>
          <w:szCs w:val="33"/>
        </w:rPr>
        <w:t>60</w:t>
      </w:r>
      <w:r>
        <w:rPr>
          <w:rFonts w:ascii="Times New Roman" w:hAnsi="Times New Roman" w:eastAsia="方正仿宋_GBK"/>
          <w:bCs/>
          <w:kern w:val="0"/>
          <w:sz w:val="33"/>
          <w:szCs w:val="33"/>
        </w:rPr>
        <w:t>万元，资金拨付率100%</w:t>
      </w:r>
      <w:r>
        <w:rPr>
          <w:rFonts w:hint="eastAsia" w:ascii="Times New Roman" w:hAnsi="Times New Roman" w:eastAsia="方正仿宋_GBK"/>
          <w:bCs/>
          <w:kern w:val="0"/>
          <w:sz w:val="33"/>
          <w:szCs w:val="33"/>
        </w:rPr>
        <w:t>。</w:t>
      </w:r>
    </w:p>
    <w:p w14:paraId="4B9EDACC">
      <w:pPr>
        <w:numPr>
          <w:ilvl w:val="0"/>
          <w:numId w:val="14"/>
        </w:numPr>
        <w:spacing w:line="578" w:lineRule="exact"/>
        <w:ind w:firstLine="640"/>
        <w:rPr>
          <w:rFonts w:ascii="楷体_GB2312" w:hAnsi="楷体_GB2312" w:eastAsia="楷体_GB2312" w:cs="楷体_GB2312"/>
          <w:sz w:val="32"/>
          <w:szCs w:val="32"/>
        </w:rPr>
      </w:pPr>
      <w:r>
        <w:rPr>
          <w:rFonts w:hint="eastAsia" w:ascii="楷体_GB2312" w:hAnsi="楷体_GB2312" w:eastAsia="楷体_GB2312" w:cs="楷体_GB2312"/>
          <w:sz w:val="32"/>
          <w:szCs w:val="32"/>
        </w:rPr>
        <w:t>项目结果。</w:t>
      </w:r>
    </w:p>
    <w:p w14:paraId="60572828">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项目完成预期目标，实施结果与绩效目标相匹配，在计 </w:t>
      </w:r>
    </w:p>
    <w:p w14:paraId="68237021">
      <w:pPr>
        <w:widowControl/>
        <w:jc w:val="left"/>
        <w:rPr>
          <w:rFonts w:ascii="仿宋_GB2312" w:hAnsi="仿宋_GB2312" w:eastAsia="仿宋_GB2312" w:cs="仿宋_GB2312"/>
        </w:rPr>
      </w:pPr>
      <w:r>
        <w:rPr>
          <w:rFonts w:hint="eastAsia" w:ascii="仿宋_GB2312" w:hAnsi="仿宋_GB2312" w:eastAsia="仿宋_GB2312" w:cs="仿宋_GB2312"/>
          <w:color w:val="000000"/>
          <w:kern w:val="0"/>
          <w:sz w:val="32"/>
          <w:szCs w:val="32"/>
        </w:rPr>
        <w:t>划时间内对项目资金支付按时完成，完成项目资金60万元的支付。</w:t>
      </w:r>
    </w:p>
    <w:p w14:paraId="4B89B104">
      <w:pPr>
        <w:widowControl/>
        <w:numPr>
          <w:ilvl w:val="0"/>
          <w:numId w:val="12"/>
        </w:numPr>
        <w:ind w:firstLine="645"/>
        <w:jc w:val="left"/>
        <w:rPr>
          <w:rFonts w:ascii="Times New Roman" w:hAnsi="Times New Roman" w:eastAsia="楷体_GB2312"/>
          <w:b/>
          <w:bCs/>
          <w:kern w:val="0"/>
          <w:sz w:val="32"/>
          <w:szCs w:val="32"/>
          <w:shd w:val="clear" w:color="auto" w:fill="FFFFFF"/>
          <w:lang w:val="zh-CN"/>
        </w:rPr>
      </w:pPr>
      <w:r>
        <w:rPr>
          <w:rFonts w:hint="eastAsia" w:ascii="楷体_GB2312" w:hAnsi="宋体" w:eastAsia="楷体_GB2312"/>
          <w:b/>
          <w:sz w:val="32"/>
          <w:szCs w:val="32"/>
        </w:rPr>
        <w:t>专用指标</w:t>
      </w:r>
      <w:r>
        <w:rPr>
          <w:rFonts w:ascii="Times New Roman" w:hAnsi="Times New Roman" w:eastAsia="楷体_GB2312"/>
          <w:b/>
          <w:bCs/>
          <w:kern w:val="0"/>
          <w:sz w:val="32"/>
          <w:szCs w:val="32"/>
          <w:shd w:val="clear" w:color="auto" w:fill="FFFFFF"/>
          <w:lang w:val="zh-CN"/>
        </w:rPr>
        <w:t>绩效分析。</w:t>
      </w:r>
    </w:p>
    <w:p w14:paraId="4FDA8FA6">
      <w:pPr>
        <w:spacing w:line="578" w:lineRule="exact"/>
        <w:ind w:firstLine="640" w:firstLineChars="200"/>
        <w:rPr>
          <w:rFonts w:ascii="仿宋_GB2312" w:hAnsi="仿宋_GB2312" w:eastAsia="仿宋_GB2312" w:cs="仿宋_GB2312"/>
          <w:kern w:val="0"/>
          <w:sz w:val="32"/>
          <w:szCs w:val="32"/>
          <w:lang w:val="zh-CN"/>
        </w:rPr>
      </w:pPr>
    </w:p>
    <w:p w14:paraId="13D1F7FE">
      <w:pPr>
        <w:widowControl/>
        <w:numPr>
          <w:ilvl w:val="0"/>
          <w:numId w:val="15"/>
        </w:numPr>
        <w:ind w:left="645"/>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产业发展。</w:t>
      </w:r>
    </w:p>
    <w:p w14:paraId="5CDFE099">
      <w:pPr>
        <w:widowControl/>
        <w:ind w:firstLine="640" w:firstLineChars="200"/>
        <w:jc w:val="left"/>
        <w:rPr>
          <w:rFonts w:ascii="仿宋_GB2312" w:hAnsi="宋体" w:eastAsia="仿宋_GB2312" w:cs="仿宋_GB2312"/>
          <w:color w:val="000000"/>
          <w:kern w:val="0"/>
          <w:sz w:val="32"/>
          <w:szCs w:val="32"/>
        </w:rPr>
      </w:pPr>
      <w:r>
        <w:rPr>
          <w:rFonts w:ascii="仿宋_GB2312" w:hAnsi="宋体" w:eastAsia="仿宋_GB2312" w:cs="仿宋_GB2312"/>
          <w:color w:val="000000"/>
          <w:kern w:val="0"/>
          <w:sz w:val="32"/>
          <w:szCs w:val="32"/>
        </w:rPr>
        <w:t>项目建成后，为当地人民群众提供美好的</w:t>
      </w:r>
      <w:r>
        <w:rPr>
          <w:rFonts w:hint="eastAsia" w:ascii="仿宋_GB2312" w:hAnsi="宋体" w:eastAsia="仿宋_GB2312" w:cs="仿宋_GB2312"/>
          <w:color w:val="000000"/>
          <w:kern w:val="0"/>
          <w:sz w:val="32"/>
          <w:szCs w:val="32"/>
        </w:rPr>
        <w:t>生活环境，为</w:t>
      </w:r>
    </w:p>
    <w:p w14:paraId="5C3AB9D5">
      <w:pPr>
        <w:widowControl/>
        <w:jc w:val="left"/>
        <w:rPr>
          <w:rFonts w:ascii="仿宋_GB2312" w:hAnsi="仿宋_GB2312" w:eastAsia="仿宋_GB2312" w:cs="仿宋_GB2312"/>
          <w:kern w:val="0"/>
          <w:sz w:val="32"/>
          <w:szCs w:val="32"/>
        </w:rPr>
      </w:pPr>
      <w:r>
        <w:rPr>
          <w:rFonts w:hint="eastAsia" w:ascii="仿宋_GB2312" w:hAnsi="宋体" w:eastAsia="仿宋_GB2312" w:cs="仿宋_GB2312"/>
          <w:color w:val="000000"/>
          <w:kern w:val="0"/>
          <w:sz w:val="32"/>
          <w:szCs w:val="32"/>
        </w:rPr>
        <w:t>米易县“保增长、保民生、保稳定”提供助力条件，能够促进地方社会经济发展和社会进步，满足米易县社会事业发展的需求，项目社会效益显著。</w:t>
      </w:r>
    </w:p>
    <w:p w14:paraId="6945771E">
      <w:pPr>
        <w:widowControl/>
        <w:numPr>
          <w:ilvl w:val="0"/>
          <w:numId w:val="15"/>
        </w:numPr>
        <w:ind w:left="645"/>
        <w:jc w:val="left"/>
        <w:rPr>
          <w:rFonts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民生保障。</w:t>
      </w:r>
    </w:p>
    <w:p w14:paraId="33631F1D">
      <w:pPr>
        <w:widowControl/>
        <w:ind w:firstLine="620" w:firstLineChars="200"/>
        <w:jc w:val="left"/>
        <w:rPr>
          <w:rFonts w:ascii="仿宋_GB2312" w:hAnsi="仿宋_GB2312" w:eastAsia="仿宋_GB2312" w:cs="仿宋_GB2312"/>
          <w:kern w:val="0"/>
          <w:sz w:val="32"/>
          <w:szCs w:val="32"/>
        </w:rPr>
      </w:pPr>
      <w:r>
        <w:rPr>
          <w:rFonts w:ascii="仿宋_GB2312" w:hAnsi="宋体" w:eastAsia="仿宋_GB2312" w:cs="仿宋_GB2312"/>
          <w:color w:val="000000"/>
          <w:kern w:val="0"/>
          <w:sz w:val="31"/>
          <w:szCs w:val="31"/>
        </w:rPr>
        <w:t>满足米易县</w:t>
      </w:r>
      <w:r>
        <w:rPr>
          <w:rFonts w:hint="eastAsia" w:ascii="仿宋_GB2312" w:hAnsi="宋体" w:eastAsia="仿宋_GB2312" w:cs="仿宋_GB2312"/>
          <w:color w:val="000000"/>
          <w:kern w:val="0"/>
          <w:sz w:val="31"/>
          <w:szCs w:val="31"/>
        </w:rPr>
        <w:t>人民科普知识</w:t>
      </w:r>
      <w:r>
        <w:rPr>
          <w:rFonts w:ascii="仿宋_GB2312" w:hAnsi="宋体" w:eastAsia="仿宋_GB2312" w:cs="仿宋_GB2312"/>
          <w:color w:val="000000"/>
          <w:kern w:val="0"/>
          <w:sz w:val="31"/>
          <w:szCs w:val="31"/>
        </w:rPr>
        <w:t>需求，片区人居环境改善，</w:t>
      </w:r>
      <w:r>
        <w:rPr>
          <w:rFonts w:hint="eastAsia" w:ascii="仿宋_GB2312" w:hAnsi="宋体" w:eastAsia="仿宋_GB2312" w:cs="仿宋_GB2312"/>
          <w:color w:val="000000"/>
          <w:kern w:val="0"/>
          <w:sz w:val="31"/>
          <w:szCs w:val="31"/>
        </w:rPr>
        <w:t>带动沿线群众增收。</w:t>
      </w:r>
    </w:p>
    <w:p w14:paraId="606FEA01">
      <w:pPr>
        <w:widowControl/>
        <w:numPr>
          <w:ilvl w:val="0"/>
          <w:numId w:val="15"/>
        </w:numPr>
        <w:ind w:left="645"/>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基础设施。</w:t>
      </w:r>
    </w:p>
    <w:p w14:paraId="33B290C2">
      <w:pPr>
        <w:widowControl/>
        <w:ind w:firstLine="620" w:firstLineChars="200"/>
        <w:jc w:val="left"/>
      </w:pPr>
      <w:r>
        <w:rPr>
          <w:rFonts w:ascii="仿宋_GB2312" w:hAnsi="宋体" w:eastAsia="仿宋_GB2312" w:cs="仿宋_GB2312"/>
          <w:color w:val="000000"/>
          <w:kern w:val="0"/>
          <w:sz w:val="31"/>
          <w:szCs w:val="31"/>
        </w:rPr>
        <w:t>在计划时间内对</w:t>
      </w:r>
      <w:r>
        <w:rPr>
          <w:rFonts w:hint="eastAsia" w:ascii="仿宋_GB2312" w:hAnsi="宋体" w:eastAsia="仿宋_GB2312" w:cs="仿宋_GB2312"/>
          <w:color w:val="000000"/>
          <w:kern w:val="0"/>
          <w:sz w:val="31"/>
          <w:szCs w:val="31"/>
        </w:rPr>
        <w:t>科普</w:t>
      </w:r>
      <w:r>
        <w:rPr>
          <w:rFonts w:ascii="仿宋_GB2312" w:hAnsi="宋体" w:eastAsia="仿宋_GB2312" w:cs="仿宋_GB2312"/>
          <w:color w:val="000000"/>
          <w:kern w:val="0"/>
          <w:sz w:val="31"/>
          <w:szCs w:val="31"/>
        </w:rPr>
        <w:t>项目资金支付按时完</w:t>
      </w:r>
      <w:r>
        <w:rPr>
          <w:rFonts w:hint="eastAsia" w:ascii="仿宋_GB2312" w:hAnsi="宋体" w:eastAsia="仿宋_GB2312" w:cs="仿宋_GB2312"/>
          <w:color w:val="000000"/>
          <w:kern w:val="0"/>
          <w:sz w:val="31"/>
          <w:szCs w:val="31"/>
        </w:rPr>
        <w:t>成，完成项目资金 60万元的支付。促进设施完善：通过绩效评价，可以了解当前基础设施的使用情况、存在的问题和不足，为后续的设施完善提供依据。提高资金利用率：绩效评价还可以关注资金的利用效率和使用情况，确保资金在实施过程中能够正常运行，避免资源浪费。</w:t>
      </w:r>
    </w:p>
    <w:p w14:paraId="04B58244">
      <w:pPr>
        <w:widowControl/>
        <w:numPr>
          <w:ilvl w:val="0"/>
          <w:numId w:val="15"/>
        </w:numPr>
        <w:ind w:left="645"/>
        <w:jc w:val="left"/>
        <w:rPr>
          <w:rFonts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行政运转。</w:t>
      </w:r>
    </w:p>
    <w:p w14:paraId="1EE8174F">
      <w:pPr>
        <w:widowControl/>
        <w:ind w:firstLine="620" w:firstLineChars="200"/>
        <w:jc w:val="left"/>
      </w:pPr>
      <w:r>
        <w:rPr>
          <w:rFonts w:hint="eastAsia" w:ascii="仿宋_GB2312" w:hAnsi="宋体" w:eastAsia="仿宋_GB2312" w:cs="仿宋_GB2312"/>
          <w:color w:val="000000"/>
          <w:kern w:val="0"/>
          <w:sz w:val="31"/>
          <w:szCs w:val="31"/>
        </w:rPr>
        <w:t>四川省科普</w:t>
      </w:r>
      <w:r>
        <w:rPr>
          <w:rFonts w:ascii="仿宋_GB2312" w:hAnsi="宋体" w:eastAsia="仿宋_GB2312" w:cs="仿宋_GB2312"/>
          <w:color w:val="000000"/>
          <w:kern w:val="0"/>
          <w:sz w:val="31"/>
          <w:szCs w:val="31"/>
        </w:rPr>
        <w:t>项目</w:t>
      </w:r>
      <w:r>
        <w:rPr>
          <w:rFonts w:hint="eastAsia" w:ascii="仿宋_GB2312" w:hAnsi="宋体" w:eastAsia="仿宋_GB2312" w:cs="仿宋_GB2312"/>
          <w:color w:val="000000"/>
          <w:kern w:val="0"/>
          <w:sz w:val="31"/>
          <w:szCs w:val="31"/>
        </w:rPr>
        <w:t>资金</w:t>
      </w:r>
      <w:r>
        <w:rPr>
          <w:rFonts w:ascii="仿宋_GB2312" w:hAnsi="宋体" w:eastAsia="仿宋_GB2312" w:cs="仿宋_GB2312"/>
          <w:color w:val="000000"/>
          <w:kern w:val="0"/>
          <w:sz w:val="31"/>
          <w:szCs w:val="31"/>
        </w:rPr>
        <w:t>用于满</w:t>
      </w:r>
      <w:r>
        <w:rPr>
          <w:rFonts w:hint="eastAsia" w:ascii="仿宋_GB2312" w:hAnsi="宋体" w:eastAsia="仿宋_GB2312" w:cs="仿宋_GB2312"/>
          <w:color w:val="000000"/>
          <w:kern w:val="0"/>
          <w:sz w:val="31"/>
          <w:szCs w:val="31"/>
        </w:rPr>
        <w:t>足米易县科普事业发展的需求，满足人民群众的需求，体现了用途合规性；项目的开展与实施符合程序合规性；项目的开展与实施符合标准合规性。</w:t>
      </w:r>
    </w:p>
    <w:p w14:paraId="34437C62">
      <w:pPr>
        <w:spacing w:line="578" w:lineRule="exact"/>
        <w:ind w:firstLine="640" w:firstLineChars="200"/>
        <w:rPr>
          <w:rFonts w:ascii="仿宋_GB2312" w:hAnsi="仿宋_GB2312" w:eastAsia="仿宋_GB2312" w:cs="仿宋_GB2312"/>
          <w:kern w:val="0"/>
          <w:sz w:val="32"/>
          <w:szCs w:val="32"/>
        </w:rPr>
      </w:pPr>
    </w:p>
    <w:p w14:paraId="4E2F5383">
      <w:pPr>
        <w:widowControl/>
        <w:numPr>
          <w:ilvl w:val="0"/>
          <w:numId w:val="12"/>
        </w:numPr>
        <w:ind w:firstLine="645"/>
        <w:jc w:val="left"/>
        <w:rPr>
          <w:rFonts w:ascii="Times New Roman" w:hAnsi="Times New Roman" w:eastAsia="楷体_GB2312"/>
          <w:b/>
          <w:bCs/>
          <w:color w:val="000000"/>
          <w:kern w:val="0"/>
          <w:sz w:val="32"/>
          <w:szCs w:val="32"/>
          <w:shd w:val="clear" w:color="auto" w:fill="FFFFFF"/>
          <w:lang w:val="zh-CN"/>
        </w:rPr>
      </w:pPr>
      <w:r>
        <w:rPr>
          <w:rFonts w:hint="eastAsia" w:ascii="楷体_GB2312" w:hAnsi="宋体" w:eastAsia="楷体_GB2312"/>
          <w:b/>
          <w:sz w:val="32"/>
          <w:szCs w:val="32"/>
        </w:rPr>
        <w:t>个性指标</w:t>
      </w:r>
      <w:r>
        <w:rPr>
          <w:rFonts w:ascii="Times New Roman" w:hAnsi="Times New Roman" w:eastAsia="楷体_GB2312"/>
          <w:b/>
          <w:bCs/>
          <w:color w:val="000000"/>
          <w:kern w:val="0"/>
          <w:sz w:val="32"/>
          <w:szCs w:val="32"/>
          <w:shd w:val="clear" w:color="auto" w:fill="FFFFFF"/>
          <w:lang w:val="zh-CN"/>
        </w:rPr>
        <w:t>绩效分析。</w:t>
      </w:r>
    </w:p>
    <w:p w14:paraId="13DB2D0E">
      <w:pPr>
        <w:widowControl/>
        <w:ind w:firstLine="620" w:firstLineChars="200"/>
        <w:jc w:val="left"/>
      </w:pPr>
      <w:r>
        <w:rPr>
          <w:rFonts w:ascii="仿宋_GB2312" w:hAnsi="宋体" w:eastAsia="仿宋_GB2312" w:cs="仿宋_GB2312"/>
          <w:color w:val="000000"/>
          <w:kern w:val="0"/>
          <w:sz w:val="31"/>
          <w:szCs w:val="31"/>
        </w:rPr>
        <w:t>产出指标-质量指标-按标准</w:t>
      </w:r>
      <w:r>
        <w:rPr>
          <w:rFonts w:hint="eastAsia" w:ascii="仿宋_GB2312" w:hAnsi="宋体" w:eastAsia="仿宋_GB2312" w:cs="仿宋_GB2312"/>
          <w:color w:val="000000"/>
          <w:kern w:val="0"/>
          <w:sz w:val="31"/>
          <w:szCs w:val="31"/>
        </w:rPr>
        <w:t>支付</w:t>
      </w:r>
      <w:r>
        <w:rPr>
          <w:rFonts w:ascii="仿宋_GB2312" w:hAnsi="宋体" w:eastAsia="仿宋_GB2312" w:cs="仿宋_GB2312"/>
          <w:color w:val="000000"/>
          <w:kern w:val="0"/>
          <w:sz w:val="31"/>
          <w:szCs w:val="31"/>
        </w:rPr>
        <w:t xml:space="preserve">到位率：指标值≥100%， </w:t>
      </w:r>
    </w:p>
    <w:p w14:paraId="03BF8ECF">
      <w:pPr>
        <w:widowControl/>
        <w:jc w:val="left"/>
      </w:pPr>
      <w:r>
        <w:rPr>
          <w:rFonts w:hint="eastAsia" w:ascii="仿宋_GB2312" w:hAnsi="宋体" w:eastAsia="仿宋_GB2312" w:cs="仿宋_GB2312"/>
          <w:color w:val="000000"/>
          <w:kern w:val="0"/>
          <w:sz w:val="31"/>
          <w:szCs w:val="31"/>
        </w:rPr>
        <w:t xml:space="preserve">完成值 100%。 </w:t>
      </w:r>
    </w:p>
    <w:p w14:paraId="50E5AF1C">
      <w:pPr>
        <w:widowControl/>
        <w:ind w:firstLine="620" w:firstLineChars="200"/>
        <w:jc w:val="left"/>
      </w:pPr>
      <w:r>
        <w:rPr>
          <w:rFonts w:hint="eastAsia" w:ascii="仿宋_GB2312" w:hAnsi="宋体" w:eastAsia="仿宋_GB2312" w:cs="仿宋_GB2312"/>
          <w:color w:val="000000"/>
          <w:kern w:val="0"/>
          <w:sz w:val="31"/>
          <w:szCs w:val="31"/>
        </w:rPr>
        <w:t xml:space="preserve">效益指标-社会效益指标-满足米易县科普需求，带动沿 </w:t>
      </w:r>
    </w:p>
    <w:p w14:paraId="141BD56D">
      <w:pPr>
        <w:widowControl/>
        <w:jc w:val="left"/>
      </w:pPr>
      <w:r>
        <w:rPr>
          <w:rFonts w:hint="eastAsia" w:ascii="仿宋_GB2312" w:hAnsi="宋体" w:eastAsia="仿宋_GB2312" w:cs="仿宋_GB2312"/>
          <w:color w:val="000000"/>
          <w:kern w:val="0"/>
          <w:sz w:val="31"/>
          <w:szCs w:val="31"/>
        </w:rPr>
        <w:t xml:space="preserve">线群众增收，推动区域全面协调发展：指标值≥100%，完成 </w:t>
      </w:r>
    </w:p>
    <w:p w14:paraId="60F201B5">
      <w:pPr>
        <w:widowControl/>
        <w:jc w:val="left"/>
      </w:pPr>
      <w:r>
        <w:rPr>
          <w:rFonts w:hint="eastAsia" w:ascii="仿宋_GB2312" w:hAnsi="宋体" w:eastAsia="仿宋_GB2312" w:cs="仿宋_GB2312"/>
          <w:color w:val="000000"/>
          <w:kern w:val="0"/>
          <w:sz w:val="31"/>
          <w:szCs w:val="31"/>
        </w:rPr>
        <w:t>值 100%。</w:t>
      </w:r>
    </w:p>
    <w:p w14:paraId="154EA131">
      <w:pPr>
        <w:pStyle w:val="8"/>
        <w:tabs>
          <w:tab w:val="left" w:pos="2160"/>
        </w:tabs>
        <w:spacing w:line="600" w:lineRule="exact"/>
        <w:ind w:firstLine="640" w:firstLineChars="200"/>
        <w:rPr>
          <w:rFonts w:ascii="黑体" w:hAnsi="宋体" w:eastAsia="黑体"/>
          <w:sz w:val="32"/>
          <w:szCs w:val="32"/>
        </w:rPr>
      </w:pPr>
      <w:r>
        <w:rPr>
          <w:rFonts w:hint="eastAsia" w:ascii="黑体" w:hAnsi="宋体" w:eastAsia="黑体"/>
          <w:sz w:val="32"/>
          <w:szCs w:val="32"/>
        </w:rPr>
        <w:t>四、评价结论</w:t>
      </w:r>
    </w:p>
    <w:p w14:paraId="01E7AAB1">
      <w:pPr>
        <w:spacing w:line="560" w:lineRule="exact"/>
        <w:ind w:firstLine="640" w:firstLineChars="200"/>
        <w:rPr>
          <w:rFonts w:eastAsia="仿宋_GB2312"/>
          <w:sz w:val="32"/>
          <w:szCs w:val="32"/>
        </w:rPr>
      </w:pPr>
      <w:r>
        <w:rPr>
          <w:rFonts w:hint="eastAsia" w:eastAsia="仿宋_GB2312"/>
          <w:color w:val="000000"/>
          <w:sz w:val="32"/>
          <w:szCs w:val="32"/>
          <w:shd w:val="clear" w:color="auto" w:fill="FFFFFF"/>
        </w:rPr>
        <w:t>从评估结果看，项目资金安排合理，实施过程规范有序，绩效目标完成较好，取得预期社会经济效益，在执行过程中严格按照国家有关财经法规，杜绝违法违纪行为发生。</w:t>
      </w:r>
    </w:p>
    <w:p w14:paraId="448DD36A">
      <w:pPr>
        <w:pStyle w:val="8"/>
        <w:tabs>
          <w:tab w:val="left" w:pos="2160"/>
        </w:tabs>
        <w:spacing w:line="600" w:lineRule="exact"/>
        <w:ind w:firstLine="640" w:firstLineChars="200"/>
        <w:rPr>
          <w:rFonts w:ascii="黑体" w:hAnsi="宋体" w:eastAsia="黑体"/>
          <w:sz w:val="32"/>
          <w:szCs w:val="32"/>
        </w:rPr>
      </w:pPr>
      <w:r>
        <w:rPr>
          <w:rFonts w:hint="eastAsia" w:ascii="黑体" w:hAnsi="宋体" w:eastAsia="黑体"/>
          <w:sz w:val="32"/>
          <w:szCs w:val="32"/>
        </w:rPr>
        <w:t>五、存在主要问题</w:t>
      </w:r>
    </w:p>
    <w:p w14:paraId="3E743B67">
      <w:pPr>
        <w:spacing w:line="560" w:lineRule="exact"/>
        <w:ind w:firstLine="640" w:firstLineChars="200"/>
        <w:rPr>
          <w:rFonts w:eastAsia="仿宋_GB2312" w:cs="楷体_GB2312"/>
          <w:color w:val="000000"/>
          <w:sz w:val="32"/>
          <w:szCs w:val="32"/>
          <w:shd w:val="clear" w:color="auto" w:fill="FFFFFF"/>
          <w:lang w:val="zh-CN"/>
        </w:rPr>
      </w:pPr>
      <w:r>
        <w:rPr>
          <w:rFonts w:hint="eastAsia" w:eastAsia="仿宋_GB2312"/>
          <w:sz w:val="32"/>
          <w:szCs w:val="32"/>
          <w:lang w:val="zh-CN"/>
        </w:rPr>
        <w:t>绩效管理的经验不足，项目的部分成果无法用指标形式表示，指标的设计需要更加科学实用。</w:t>
      </w:r>
      <w:r>
        <w:rPr>
          <w:rFonts w:hint="eastAsia" w:eastAsia="仿宋_GB2312" w:cs="方正仿宋_GBK"/>
          <w:sz w:val="32"/>
          <w:szCs w:val="32"/>
          <w:lang w:val="zh-CN"/>
        </w:rPr>
        <w:t>绩效评价未纳入财政管理全过程，与预算编制、执行相结合的工作机制和部门协调机制尚未建立。</w:t>
      </w:r>
    </w:p>
    <w:p w14:paraId="1F182521">
      <w:pPr>
        <w:pStyle w:val="8"/>
        <w:tabs>
          <w:tab w:val="left" w:pos="2160"/>
        </w:tabs>
        <w:spacing w:line="600" w:lineRule="exact"/>
        <w:ind w:firstLine="640" w:firstLineChars="200"/>
        <w:rPr>
          <w:rFonts w:ascii="黑体" w:hAnsi="宋体" w:eastAsia="黑体"/>
          <w:kern w:val="0"/>
          <w:position w:val="3"/>
          <w:sz w:val="32"/>
          <w:szCs w:val="32"/>
          <w:lang w:val="zh-CN"/>
        </w:rPr>
      </w:pPr>
      <w:r>
        <w:rPr>
          <w:rFonts w:hint="eastAsia" w:ascii="黑体" w:hAnsi="宋体" w:eastAsia="黑体"/>
          <w:kern w:val="0"/>
          <w:position w:val="3"/>
          <w:sz w:val="32"/>
          <w:szCs w:val="32"/>
          <w:lang w:val="zh-CN"/>
        </w:rPr>
        <w:t>六、改进建议</w:t>
      </w:r>
    </w:p>
    <w:p w14:paraId="02907088">
      <w:pPr>
        <w:tabs>
          <w:tab w:val="left" w:pos="1911"/>
        </w:tabs>
        <w:jc w:val="left"/>
        <w:rPr>
          <w:rFonts w:ascii="黑体" w:hAnsi="黑体" w:eastAsia="黑体"/>
          <w:sz w:val="44"/>
          <w:szCs w:val="44"/>
        </w:rPr>
      </w:pPr>
      <w:r>
        <w:rPr>
          <w:rFonts w:hint="eastAsia" w:eastAsia="仿宋_GB2312"/>
          <w:sz w:val="32"/>
          <w:szCs w:val="32"/>
          <w:lang w:val="zh-CN"/>
        </w:rPr>
        <w:t>加强绩效管理方面的培训。</w:t>
      </w:r>
      <w:bookmarkStart w:id="48" w:name="_Toc15396618"/>
    </w:p>
    <w:p w14:paraId="1C82AE8B">
      <w:pPr>
        <w:widowControl/>
        <w:jc w:val="center"/>
        <w:rPr>
          <w:rFonts w:ascii="黑体" w:hAnsi="黑体" w:eastAsia="黑体"/>
          <w:sz w:val="44"/>
          <w:szCs w:val="44"/>
        </w:rPr>
      </w:pPr>
    </w:p>
    <w:p w14:paraId="3CA5CE1F">
      <w:pPr>
        <w:widowControl/>
        <w:jc w:val="center"/>
        <w:rPr>
          <w:rFonts w:ascii="黑体" w:hAnsi="黑体" w:eastAsia="黑体"/>
          <w:sz w:val="44"/>
          <w:szCs w:val="44"/>
        </w:rPr>
      </w:pPr>
    </w:p>
    <w:p w14:paraId="0ECA27E0">
      <w:pPr>
        <w:widowControl/>
        <w:jc w:val="center"/>
        <w:rPr>
          <w:rFonts w:ascii="黑体" w:hAnsi="黑体" w:eastAsia="黑体"/>
          <w:sz w:val="44"/>
          <w:szCs w:val="44"/>
        </w:rPr>
      </w:pPr>
    </w:p>
    <w:p w14:paraId="0662CE5A">
      <w:pPr>
        <w:widowControl/>
        <w:jc w:val="center"/>
        <w:rPr>
          <w:rFonts w:ascii="黑体" w:hAnsi="黑体" w:eastAsia="黑体"/>
          <w:sz w:val="44"/>
          <w:szCs w:val="44"/>
        </w:rPr>
      </w:pPr>
    </w:p>
    <w:p w14:paraId="16CF7B02">
      <w:pPr>
        <w:pStyle w:val="2"/>
        <w:rPr>
          <w:rFonts w:ascii="黑体" w:hAnsi="黑体" w:eastAsia="黑体"/>
          <w:sz w:val="44"/>
          <w:szCs w:val="44"/>
        </w:rPr>
      </w:pPr>
    </w:p>
    <w:p w14:paraId="2FB0EC6E">
      <w:pPr>
        <w:pStyle w:val="3"/>
      </w:pPr>
    </w:p>
    <w:p w14:paraId="09402B70">
      <w:pPr>
        <w:widowControl/>
        <w:jc w:val="center"/>
        <w:rPr>
          <w:rFonts w:ascii="黑体" w:hAnsi="黑体" w:eastAsia="黑体"/>
          <w:sz w:val="44"/>
          <w:szCs w:val="44"/>
        </w:rPr>
      </w:pPr>
    </w:p>
    <w:p w14:paraId="32569802">
      <w:pPr>
        <w:widowControl/>
        <w:jc w:val="center"/>
        <w:rPr>
          <w:rFonts w:ascii="仿宋" w:hAnsi="仿宋" w:eastAsia="仿宋"/>
        </w:rPr>
      </w:pPr>
      <w:r>
        <w:rPr>
          <w:rFonts w:hint="eastAsia" w:ascii="黑体" w:hAnsi="黑体" w:eastAsia="黑体"/>
          <w:sz w:val="44"/>
          <w:szCs w:val="44"/>
        </w:rPr>
        <w:t>第</w:t>
      </w:r>
      <w:r>
        <w:rPr>
          <w:rStyle w:val="20"/>
          <w:rFonts w:hint="eastAsia" w:ascii="黑体" w:hAnsi="黑体" w:eastAsia="黑体"/>
          <w:b w:val="0"/>
        </w:rPr>
        <w:t>五部分 附表</w:t>
      </w:r>
      <w:bookmarkEnd w:id="45"/>
      <w:bookmarkEnd w:id="48"/>
      <w:bookmarkStart w:id="49" w:name="_Toc15396619"/>
    </w:p>
    <w:p w14:paraId="4C8ABEC3">
      <w:pPr>
        <w:pStyle w:val="6"/>
        <w:rPr>
          <w:rFonts w:ascii="仿宋" w:hAnsi="仿宋" w:eastAsia="仿宋"/>
        </w:rPr>
      </w:pPr>
      <w:r>
        <w:rPr>
          <w:rFonts w:hint="eastAsia" w:ascii="仿宋" w:hAnsi="仿宋" w:eastAsia="仿宋"/>
          <w:b w:val="0"/>
        </w:rPr>
        <w:t>一、收</w:t>
      </w:r>
      <w:r>
        <w:rPr>
          <w:rStyle w:val="21"/>
          <w:rFonts w:hint="eastAsia" w:ascii="仿宋" w:hAnsi="仿宋" w:eastAsia="仿宋"/>
          <w:b w:val="0"/>
          <w:bCs w:val="0"/>
        </w:rPr>
        <w:t>入支出决算总表</w:t>
      </w:r>
      <w:bookmarkEnd w:id="49"/>
    </w:p>
    <w:p w14:paraId="433F2351">
      <w:pPr>
        <w:pStyle w:val="6"/>
        <w:rPr>
          <w:rFonts w:ascii="仿宋" w:hAnsi="仿宋" w:eastAsia="仿宋"/>
        </w:rPr>
      </w:pPr>
      <w:bookmarkStart w:id="50" w:name="_Toc15396620"/>
      <w:r>
        <w:rPr>
          <w:rFonts w:hint="eastAsia" w:ascii="仿宋" w:hAnsi="仿宋" w:eastAsia="仿宋"/>
          <w:b w:val="0"/>
        </w:rPr>
        <w:t>二、收</w:t>
      </w:r>
      <w:r>
        <w:rPr>
          <w:rStyle w:val="21"/>
          <w:rFonts w:hint="eastAsia" w:ascii="仿宋" w:hAnsi="仿宋" w:eastAsia="仿宋"/>
          <w:b w:val="0"/>
          <w:bCs w:val="0"/>
        </w:rPr>
        <w:t>入决算表</w:t>
      </w:r>
      <w:bookmarkEnd w:id="50"/>
    </w:p>
    <w:p w14:paraId="1CE59B5D">
      <w:pPr>
        <w:pStyle w:val="6"/>
        <w:rPr>
          <w:rFonts w:ascii="仿宋" w:hAnsi="仿宋" w:eastAsia="仿宋"/>
        </w:rPr>
      </w:pPr>
      <w:bookmarkStart w:id="51" w:name="_Toc15396621"/>
      <w:r>
        <w:rPr>
          <w:rStyle w:val="21"/>
          <w:rFonts w:hint="eastAsia" w:ascii="仿宋" w:hAnsi="仿宋" w:eastAsia="仿宋"/>
          <w:b w:val="0"/>
          <w:bCs w:val="0"/>
        </w:rPr>
        <w:t>三、</w:t>
      </w:r>
      <w:r>
        <w:rPr>
          <w:rFonts w:hint="eastAsia" w:ascii="仿宋" w:hAnsi="仿宋" w:eastAsia="仿宋"/>
          <w:b w:val="0"/>
        </w:rPr>
        <w:t>支</w:t>
      </w:r>
      <w:r>
        <w:rPr>
          <w:rStyle w:val="21"/>
          <w:rFonts w:hint="eastAsia" w:ascii="仿宋" w:hAnsi="仿宋" w:eastAsia="仿宋"/>
          <w:b w:val="0"/>
          <w:bCs w:val="0"/>
        </w:rPr>
        <w:t>出决算表</w:t>
      </w:r>
      <w:bookmarkEnd w:id="51"/>
    </w:p>
    <w:p w14:paraId="2193A727">
      <w:pPr>
        <w:pStyle w:val="6"/>
        <w:rPr>
          <w:rFonts w:ascii="仿宋" w:hAnsi="仿宋" w:eastAsia="仿宋"/>
          <w:b w:val="0"/>
        </w:rPr>
      </w:pPr>
      <w:bookmarkStart w:id="52" w:name="_Toc15396622"/>
      <w:r>
        <w:rPr>
          <w:rStyle w:val="21"/>
          <w:rFonts w:hint="eastAsia" w:ascii="仿宋" w:hAnsi="仿宋" w:eastAsia="仿宋"/>
          <w:b w:val="0"/>
          <w:bCs w:val="0"/>
        </w:rPr>
        <w:t>四、</w:t>
      </w:r>
      <w:r>
        <w:rPr>
          <w:rFonts w:hint="eastAsia" w:ascii="仿宋" w:hAnsi="仿宋" w:eastAsia="仿宋"/>
          <w:b w:val="0"/>
        </w:rPr>
        <w:t>财</w:t>
      </w:r>
      <w:r>
        <w:rPr>
          <w:rStyle w:val="21"/>
          <w:rFonts w:hint="eastAsia" w:ascii="仿宋" w:hAnsi="仿宋" w:eastAsia="仿宋"/>
          <w:b w:val="0"/>
          <w:bCs w:val="0"/>
        </w:rPr>
        <w:t>政拨款收入支出决算总表</w:t>
      </w:r>
      <w:bookmarkEnd w:id="52"/>
    </w:p>
    <w:p w14:paraId="346A9B96">
      <w:pPr>
        <w:pStyle w:val="6"/>
        <w:rPr>
          <w:rStyle w:val="21"/>
          <w:rFonts w:ascii="仿宋" w:hAnsi="仿宋" w:eastAsia="仿宋"/>
          <w:b w:val="0"/>
          <w:bCs w:val="0"/>
        </w:rPr>
      </w:pPr>
      <w:bookmarkStart w:id="53" w:name="_Toc15396623"/>
      <w:r>
        <w:rPr>
          <w:rStyle w:val="21"/>
          <w:rFonts w:hint="eastAsia" w:ascii="仿宋" w:hAnsi="仿宋" w:eastAsia="仿宋"/>
          <w:b w:val="0"/>
          <w:bCs w:val="0"/>
        </w:rPr>
        <w:t>五、</w:t>
      </w:r>
      <w:r>
        <w:rPr>
          <w:rFonts w:hint="eastAsia" w:ascii="仿宋" w:hAnsi="仿宋" w:eastAsia="仿宋"/>
          <w:b w:val="0"/>
        </w:rPr>
        <w:t>财</w:t>
      </w:r>
      <w:r>
        <w:rPr>
          <w:rStyle w:val="21"/>
          <w:rFonts w:hint="eastAsia" w:ascii="仿宋" w:hAnsi="仿宋" w:eastAsia="仿宋"/>
          <w:b w:val="0"/>
          <w:bCs w:val="0"/>
        </w:rPr>
        <w:t>政拨款支出决算明细表</w:t>
      </w:r>
      <w:bookmarkEnd w:id="53"/>
      <w:bookmarkStart w:id="54" w:name="_Toc15396624"/>
    </w:p>
    <w:p w14:paraId="7222F9C4">
      <w:pPr>
        <w:pStyle w:val="6"/>
        <w:rPr>
          <w:rFonts w:ascii="仿宋" w:hAnsi="仿宋" w:eastAsia="仿宋"/>
        </w:rPr>
      </w:pPr>
      <w:r>
        <w:rPr>
          <w:rStyle w:val="21"/>
          <w:rFonts w:hint="eastAsia" w:ascii="仿宋" w:hAnsi="仿宋" w:eastAsia="仿宋"/>
          <w:b w:val="0"/>
          <w:bCs w:val="0"/>
        </w:rPr>
        <w:t>六、</w:t>
      </w:r>
      <w:r>
        <w:rPr>
          <w:rFonts w:hint="eastAsia" w:ascii="仿宋" w:hAnsi="仿宋" w:eastAsia="仿宋"/>
          <w:b w:val="0"/>
        </w:rPr>
        <w:t>一</w:t>
      </w:r>
      <w:r>
        <w:rPr>
          <w:rStyle w:val="21"/>
          <w:rFonts w:hint="eastAsia" w:ascii="仿宋" w:hAnsi="仿宋" w:eastAsia="仿宋"/>
          <w:b w:val="0"/>
          <w:bCs w:val="0"/>
        </w:rPr>
        <w:t>般公共预算财政拨款支出决算表</w:t>
      </w:r>
      <w:bookmarkEnd w:id="54"/>
    </w:p>
    <w:p w14:paraId="75C902B4">
      <w:pPr>
        <w:pStyle w:val="6"/>
        <w:rPr>
          <w:rFonts w:ascii="仿宋" w:hAnsi="仿宋" w:eastAsia="仿宋"/>
        </w:rPr>
      </w:pPr>
      <w:bookmarkStart w:id="55" w:name="_Toc15396625"/>
      <w:r>
        <w:rPr>
          <w:rStyle w:val="21"/>
          <w:rFonts w:hint="eastAsia" w:ascii="仿宋" w:hAnsi="仿宋" w:eastAsia="仿宋"/>
          <w:b w:val="0"/>
          <w:bCs w:val="0"/>
        </w:rPr>
        <w:t>七、</w:t>
      </w:r>
      <w:r>
        <w:rPr>
          <w:rFonts w:hint="eastAsia" w:ascii="仿宋" w:hAnsi="仿宋" w:eastAsia="仿宋"/>
          <w:b w:val="0"/>
        </w:rPr>
        <w:t>一</w:t>
      </w:r>
      <w:r>
        <w:rPr>
          <w:rStyle w:val="21"/>
          <w:rFonts w:hint="eastAsia" w:ascii="仿宋" w:hAnsi="仿宋" w:eastAsia="仿宋"/>
          <w:b w:val="0"/>
          <w:bCs w:val="0"/>
        </w:rPr>
        <w:t>般公共预算财政拨款支出决算明细表</w:t>
      </w:r>
      <w:bookmarkEnd w:id="55"/>
    </w:p>
    <w:p w14:paraId="16E09DC5">
      <w:pPr>
        <w:pStyle w:val="6"/>
        <w:rPr>
          <w:rFonts w:ascii="仿宋" w:hAnsi="仿宋" w:eastAsia="仿宋"/>
        </w:rPr>
      </w:pPr>
      <w:bookmarkStart w:id="56" w:name="_Toc15396626"/>
      <w:r>
        <w:rPr>
          <w:rStyle w:val="21"/>
          <w:rFonts w:hint="eastAsia" w:ascii="仿宋" w:hAnsi="仿宋" w:eastAsia="仿宋"/>
          <w:b w:val="0"/>
          <w:bCs w:val="0"/>
        </w:rPr>
        <w:t>八、</w:t>
      </w:r>
      <w:r>
        <w:rPr>
          <w:rFonts w:hint="eastAsia" w:ascii="仿宋" w:hAnsi="仿宋" w:eastAsia="仿宋"/>
          <w:b w:val="0"/>
        </w:rPr>
        <w:t>一</w:t>
      </w:r>
      <w:r>
        <w:rPr>
          <w:rStyle w:val="21"/>
          <w:rFonts w:hint="eastAsia" w:ascii="仿宋" w:hAnsi="仿宋" w:eastAsia="仿宋"/>
          <w:b w:val="0"/>
          <w:bCs w:val="0"/>
        </w:rPr>
        <w:t>般公共预算财政拨款基本支出决算表</w:t>
      </w:r>
      <w:bookmarkEnd w:id="56"/>
    </w:p>
    <w:p w14:paraId="35A107A0">
      <w:pPr>
        <w:pStyle w:val="6"/>
        <w:rPr>
          <w:rFonts w:ascii="仿宋" w:hAnsi="仿宋" w:eastAsia="仿宋"/>
        </w:rPr>
      </w:pPr>
      <w:bookmarkStart w:id="57" w:name="_Toc15396627"/>
      <w:r>
        <w:rPr>
          <w:rStyle w:val="21"/>
          <w:rFonts w:hint="eastAsia" w:ascii="仿宋" w:hAnsi="仿宋" w:eastAsia="仿宋"/>
          <w:b w:val="0"/>
          <w:bCs w:val="0"/>
        </w:rPr>
        <w:t>九、</w:t>
      </w:r>
      <w:r>
        <w:rPr>
          <w:rFonts w:hint="eastAsia" w:ascii="仿宋" w:hAnsi="仿宋" w:eastAsia="仿宋"/>
          <w:b w:val="0"/>
        </w:rPr>
        <w:t>一</w:t>
      </w:r>
      <w:r>
        <w:rPr>
          <w:rStyle w:val="21"/>
          <w:rFonts w:hint="eastAsia" w:ascii="仿宋" w:hAnsi="仿宋" w:eastAsia="仿宋"/>
          <w:b w:val="0"/>
          <w:bCs w:val="0"/>
        </w:rPr>
        <w:t>般公共预算财政拨款项目支出决算表</w:t>
      </w:r>
      <w:bookmarkEnd w:id="57"/>
    </w:p>
    <w:p w14:paraId="46DB4E51">
      <w:pPr>
        <w:pStyle w:val="6"/>
        <w:rPr>
          <w:rFonts w:ascii="仿宋" w:hAnsi="仿宋" w:eastAsia="仿宋"/>
        </w:rPr>
      </w:pPr>
      <w:bookmarkStart w:id="58" w:name="_Toc15396628"/>
      <w:r>
        <w:rPr>
          <w:rStyle w:val="21"/>
          <w:rFonts w:hint="eastAsia" w:ascii="仿宋" w:hAnsi="仿宋" w:eastAsia="仿宋"/>
          <w:b w:val="0"/>
          <w:bCs w:val="0"/>
        </w:rPr>
        <w:t>十、</w:t>
      </w:r>
      <w:bookmarkEnd w:id="58"/>
      <w:r>
        <w:rPr>
          <w:rFonts w:hint="eastAsia" w:ascii="仿宋" w:hAnsi="仿宋" w:eastAsia="仿宋"/>
          <w:b w:val="0"/>
        </w:rPr>
        <w:t>政</w:t>
      </w:r>
      <w:r>
        <w:rPr>
          <w:rStyle w:val="21"/>
          <w:rFonts w:hint="eastAsia" w:ascii="仿宋" w:hAnsi="仿宋" w:eastAsia="仿宋"/>
          <w:b w:val="0"/>
          <w:bCs w:val="0"/>
        </w:rPr>
        <w:t>府性基金预算财政拨款收入支出决算表</w:t>
      </w:r>
    </w:p>
    <w:p w14:paraId="6CDC924D">
      <w:pPr>
        <w:pStyle w:val="6"/>
        <w:rPr>
          <w:rFonts w:ascii="仿宋" w:hAnsi="仿宋" w:eastAsia="仿宋"/>
        </w:rPr>
      </w:pPr>
      <w:bookmarkStart w:id="59" w:name="_Toc15396629"/>
      <w:r>
        <w:rPr>
          <w:rStyle w:val="21"/>
          <w:rFonts w:hint="eastAsia" w:ascii="仿宋" w:hAnsi="仿宋" w:eastAsia="仿宋"/>
          <w:b w:val="0"/>
          <w:bCs w:val="0"/>
        </w:rPr>
        <w:t>十一、</w:t>
      </w:r>
      <w:bookmarkEnd w:id="59"/>
      <w:r>
        <w:rPr>
          <w:rFonts w:hint="eastAsia" w:ascii="仿宋" w:hAnsi="仿宋" w:eastAsia="仿宋"/>
          <w:b w:val="0"/>
        </w:rPr>
        <w:t>国</w:t>
      </w:r>
      <w:r>
        <w:rPr>
          <w:rStyle w:val="21"/>
          <w:rFonts w:hint="eastAsia" w:ascii="仿宋" w:hAnsi="仿宋" w:eastAsia="仿宋"/>
          <w:b w:val="0"/>
          <w:bCs w:val="0"/>
        </w:rPr>
        <w:t>有资本经营预算财政拨款收入支出决算表</w:t>
      </w:r>
    </w:p>
    <w:p w14:paraId="50A7C8E0">
      <w:pPr>
        <w:pStyle w:val="6"/>
        <w:rPr>
          <w:rFonts w:ascii="仿宋" w:hAnsi="仿宋" w:eastAsia="仿宋"/>
        </w:rPr>
      </w:pPr>
      <w:bookmarkStart w:id="60" w:name="_Toc15396630"/>
      <w:r>
        <w:rPr>
          <w:rStyle w:val="21"/>
          <w:rFonts w:hint="eastAsia" w:ascii="仿宋" w:hAnsi="仿宋" w:eastAsia="仿宋"/>
          <w:b w:val="0"/>
          <w:bCs w:val="0"/>
        </w:rPr>
        <w:t>十二、</w:t>
      </w:r>
      <w:bookmarkEnd w:id="60"/>
      <w:r>
        <w:rPr>
          <w:rStyle w:val="21"/>
          <w:rFonts w:hint="eastAsia" w:ascii="仿宋" w:hAnsi="仿宋" w:eastAsia="仿宋"/>
          <w:b w:val="0"/>
          <w:bCs w:val="0"/>
        </w:rPr>
        <w:t>国有资本经营预算财政拨款支出决算表</w:t>
      </w:r>
    </w:p>
    <w:p w14:paraId="15F23F7B">
      <w:pPr>
        <w:pStyle w:val="6"/>
        <w:rPr>
          <w:rStyle w:val="21"/>
          <w:rFonts w:ascii="仿宋" w:hAnsi="仿宋" w:eastAsia="仿宋"/>
          <w:b w:val="0"/>
          <w:bCs w:val="0"/>
        </w:rPr>
      </w:pPr>
      <w:bookmarkStart w:id="61" w:name="_Toc15396631"/>
      <w:r>
        <w:rPr>
          <w:rStyle w:val="21"/>
          <w:rFonts w:hint="eastAsia" w:ascii="仿宋" w:hAnsi="仿宋" w:eastAsia="仿宋"/>
          <w:b w:val="0"/>
          <w:bCs w:val="0"/>
        </w:rPr>
        <w:t>十三、</w:t>
      </w:r>
      <w:bookmarkEnd w:id="61"/>
      <w:r>
        <w:rPr>
          <w:rStyle w:val="21"/>
          <w:rFonts w:hint="eastAsia" w:ascii="仿宋" w:hAnsi="仿宋" w:eastAsia="仿宋"/>
          <w:b w:val="0"/>
          <w:bCs w:val="0"/>
        </w:rPr>
        <w:t>财政拨款“三公”经费支出决算表</w:t>
      </w:r>
    </w:p>
    <w:p w14:paraId="30F96112"/>
    <w:sectPr>
      <w:footerReference r:id="rId4" w:type="default"/>
      <w:pgSz w:w="11906" w:h="16838"/>
      <w:pgMar w:top="1440" w:right="1800" w:bottom="1440" w:left="1800" w:header="720" w:footer="72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FreeSerif"/>
    <w:panose1 w:val="02040503050406030204"/>
    <w:charset w:val="00"/>
    <w:family w:val="roman"/>
    <w:pitch w:val="default"/>
    <w:sig w:usb0="00000000" w:usb1="00000000" w:usb2="00000000" w:usb3="00000000" w:csb0="200000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ISOCTEUR">
    <w:altName w:val="汉仪叶叶相思体简"/>
    <w:panose1 w:val="00000000000000000000"/>
    <w:charset w:val="00"/>
    <w:family w:val="modern"/>
    <w:pitch w:val="default"/>
    <w:sig w:usb0="00000000" w:usb1="00000000" w:usb2="00000000" w:usb3="00000000" w:csb0="0000009F" w:csb1="00000000"/>
  </w:font>
  <w:font w:name="汉仪叶叶相思体简">
    <w:panose1 w:val="0201050906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Liberation Sans">
    <w:panose1 w:val="020B0604020202020204"/>
    <w:charset w:val="00"/>
    <w:family w:val="swiss"/>
    <w:pitch w:val="default"/>
    <w:sig w:usb0="A00002AF" w:usb1="500078FB" w:usb2="00000000" w:usb3="00000000" w:csb0="6000009F" w:csb1="DFD70000"/>
  </w:font>
  <w:font w:name="Noto Sans CJK SC Regular">
    <w:altName w:val="仿宋"/>
    <w:panose1 w:val="00000000000000000000"/>
    <w:charset w:val="86"/>
    <w:family w:val="auto"/>
    <w:pitch w:val="default"/>
    <w:sig w:usb0="00000000" w:usb1="00000000" w:usb2="00000016" w:usb3="00000000" w:csb0="602E0107"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方正小标宋_GBK"/>
    <w:panose1 w:val="02010601030101010101"/>
    <w:charset w:val="86"/>
    <w:family w:val="auto"/>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38BA3">
    <w:pPr>
      <w:spacing w:before="1" w:line="176" w:lineRule="auto"/>
      <w:ind w:left="549"/>
      <w:rPr>
        <w:rFonts w:ascii="宋体" w:hAnsi="宋体" w:cs="宋体"/>
        <w:sz w:val="28"/>
        <w:szCs w:val="28"/>
      </w:rPr>
    </w:pPr>
    <w:r>
      <w:rPr>
        <w:sz w:val="28"/>
      </w:rPr>
      <w:pict>
        <v:shape id="文本框 1" o:spid="_x0000_s2050"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JMNVnIAQAAmQMAAA4AAAAAAAAAAQAgAAAAHgEAAGRycy9lMm9Eb2Mu&#10;eG1sUEsFBgAAAAAGAAYAWQEAAFgFAAAAAA==&#10;">
          <v:path/>
          <v:fill on="f" focussize="0,0"/>
          <v:stroke on="f" joinstyle="miter"/>
          <v:imagedata o:title=""/>
          <o:lock v:ext="edit"/>
          <v:textbox inset="0mm,0mm,0mm,0mm" style="mso-fit-shape-to-text:t;">
            <w:txbxContent>
              <w:p w14:paraId="70FA94EB">
                <w:pPr>
                  <w:pStyle w:val="10"/>
                </w:pPr>
                <w:r>
                  <w:t xml:space="preserve">— </w:t>
                </w:r>
                <w:r>
                  <w:rPr>
                    <w:sz w:val="24"/>
                  </w:rPr>
                  <w:fldChar w:fldCharType="begin"/>
                </w:r>
                <w:r>
                  <w:rPr>
                    <w:sz w:val="24"/>
                  </w:rPr>
                  <w:instrText xml:space="preserve"> PAGE  \* MERGEFORMAT </w:instrText>
                </w:r>
                <w:r>
                  <w:rPr>
                    <w:sz w:val="24"/>
                  </w:rPr>
                  <w:fldChar w:fldCharType="separate"/>
                </w:r>
                <w:r>
                  <w:rPr>
                    <w:sz w:val="24"/>
                  </w:rPr>
                  <w:t>1</w:t>
                </w:r>
                <w:r>
                  <w:rPr>
                    <w:sz w:val="24"/>
                  </w:rPr>
                  <w:fldChar w:fldCharType="end"/>
                </w:r>
                <w: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FDDAE">
    <w:pPr>
      <w:spacing w:before="1" w:line="176" w:lineRule="auto"/>
      <w:ind w:left="549"/>
      <w:rPr>
        <w:rFonts w:ascii="宋体" w:hAnsi="宋体" w:cs="宋体"/>
        <w:sz w:val="28"/>
        <w:szCs w:val="28"/>
      </w:rPr>
    </w:pPr>
    <w:r>
      <w:rPr>
        <w:sz w:val="28"/>
      </w:rPr>
      <w:pict>
        <v:shape id="文本框 2" o:spid="_x0000_s2049"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CgJFjIAQAAmQMAAA4AAAAAAAAAAQAgAAAAHgEAAGRycy9lMm9Eb2Mu&#10;eG1sUEsFBgAAAAAGAAYAWQEAAFgFAAAAAA==&#10;">
          <v:path/>
          <v:fill on="f" focussize="0,0"/>
          <v:stroke on="f" joinstyle="miter"/>
          <v:imagedata o:title=""/>
          <o:lock v:ext="edit"/>
          <v:textbox inset="0mm,0mm,0mm,0mm" style="mso-fit-shape-to-text:t;">
            <w:txbxContent>
              <w:p w14:paraId="71831413">
                <w:pPr>
                  <w:pStyle w:val="10"/>
                </w:pPr>
                <w:r>
                  <w:t xml:space="preserve">— </w:t>
                </w:r>
                <w:r>
                  <w:rPr>
                    <w:sz w:val="24"/>
                  </w:rPr>
                  <w:fldChar w:fldCharType="begin"/>
                </w:r>
                <w:r>
                  <w:rPr>
                    <w:sz w:val="24"/>
                  </w:rPr>
                  <w:instrText xml:space="preserve"> PAGE  \* MERGEFORMAT </w:instrText>
                </w:r>
                <w:r>
                  <w:rPr>
                    <w:sz w:val="24"/>
                  </w:rPr>
                  <w:fldChar w:fldCharType="separate"/>
                </w:r>
                <w:r>
                  <w:rPr>
                    <w:sz w:val="24"/>
                  </w:rPr>
                  <w:t>29</w:t>
                </w:r>
                <w:r>
                  <w:rPr>
                    <w:sz w:val="24"/>
                  </w:rPr>
                  <w:fldChar w:fldCharType="end"/>
                </w:r>
                <w:r>
                  <w:t>—</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F0E76B"/>
    <w:multiLevelType w:val="singleLevel"/>
    <w:tmpl w:val="86F0E76B"/>
    <w:lvl w:ilvl="0" w:tentative="0">
      <w:start w:val="1"/>
      <w:numFmt w:val="decimal"/>
      <w:lvlText w:val="%1."/>
      <w:lvlJc w:val="left"/>
      <w:pPr>
        <w:tabs>
          <w:tab w:val="left" w:pos="312"/>
        </w:tabs>
      </w:pPr>
    </w:lvl>
  </w:abstractNum>
  <w:abstractNum w:abstractNumId="1">
    <w:nsid w:val="9221DDE5"/>
    <w:multiLevelType w:val="singleLevel"/>
    <w:tmpl w:val="9221DDE5"/>
    <w:lvl w:ilvl="0" w:tentative="0">
      <w:start w:val="2"/>
      <w:numFmt w:val="chineseCounting"/>
      <w:suff w:val="nothing"/>
      <w:lvlText w:val="（%1）"/>
      <w:lvlJc w:val="left"/>
      <w:rPr>
        <w:rFonts w:hint="eastAsia"/>
      </w:rPr>
    </w:lvl>
  </w:abstractNum>
  <w:abstractNum w:abstractNumId="2">
    <w:nsid w:val="B6311792"/>
    <w:multiLevelType w:val="singleLevel"/>
    <w:tmpl w:val="B6311792"/>
    <w:lvl w:ilvl="0" w:tentative="0">
      <w:start w:val="1"/>
      <w:numFmt w:val="decimal"/>
      <w:lvlText w:val="%1."/>
      <w:lvlJc w:val="left"/>
      <w:pPr>
        <w:tabs>
          <w:tab w:val="left" w:pos="312"/>
        </w:tabs>
      </w:pPr>
    </w:lvl>
  </w:abstractNum>
  <w:abstractNum w:abstractNumId="3">
    <w:nsid w:val="CF652CEC"/>
    <w:multiLevelType w:val="singleLevel"/>
    <w:tmpl w:val="CF652CEC"/>
    <w:lvl w:ilvl="0" w:tentative="0">
      <w:start w:val="9"/>
      <w:numFmt w:val="chineseCounting"/>
      <w:suff w:val="nothing"/>
      <w:lvlText w:val="%1、"/>
      <w:lvlJc w:val="left"/>
      <w:rPr>
        <w:rFonts w:hint="eastAsia"/>
      </w:rPr>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E9FD2BC2"/>
    <w:multiLevelType w:val="singleLevel"/>
    <w:tmpl w:val="E9FD2BC2"/>
    <w:lvl w:ilvl="0" w:tentative="0">
      <w:start w:val="1"/>
      <w:numFmt w:val="chineseCounting"/>
      <w:suff w:val="nothing"/>
      <w:lvlText w:val="%1、"/>
      <w:lvlJc w:val="left"/>
      <w:rPr>
        <w:rFonts w:hint="eastAsia"/>
      </w:rPr>
    </w:lvl>
  </w:abstractNum>
  <w:abstractNum w:abstractNumId="6">
    <w:nsid w:val="EAF57783"/>
    <w:multiLevelType w:val="singleLevel"/>
    <w:tmpl w:val="EAF57783"/>
    <w:lvl w:ilvl="0" w:tentative="0">
      <w:start w:val="2"/>
      <w:numFmt w:val="decimal"/>
      <w:lvlText w:val="%1."/>
      <w:lvlJc w:val="left"/>
      <w:pPr>
        <w:tabs>
          <w:tab w:val="left" w:pos="312"/>
        </w:tabs>
      </w:pPr>
    </w:lvl>
  </w:abstractNum>
  <w:abstractNum w:abstractNumId="7">
    <w:nsid w:val="EAFD3CC8"/>
    <w:multiLevelType w:val="singleLevel"/>
    <w:tmpl w:val="EAFD3CC8"/>
    <w:lvl w:ilvl="0" w:tentative="0">
      <w:start w:val="5"/>
      <w:numFmt w:val="decimal"/>
      <w:lvlText w:val="%1."/>
      <w:lvlJc w:val="left"/>
      <w:pPr>
        <w:tabs>
          <w:tab w:val="left" w:pos="312"/>
        </w:tabs>
      </w:pPr>
    </w:lvl>
  </w:abstractNum>
  <w:abstractNum w:abstractNumId="8">
    <w:nsid w:val="028F9E22"/>
    <w:multiLevelType w:val="singleLevel"/>
    <w:tmpl w:val="028F9E22"/>
    <w:lvl w:ilvl="0" w:tentative="0">
      <w:start w:val="1"/>
      <w:numFmt w:val="decimal"/>
      <w:lvlText w:val="%1."/>
      <w:lvlJc w:val="left"/>
      <w:pPr>
        <w:tabs>
          <w:tab w:val="left" w:pos="312"/>
        </w:tabs>
      </w:pPr>
    </w:lvl>
  </w:abstractNum>
  <w:abstractNum w:abstractNumId="9">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0">
    <w:nsid w:val="1D546575"/>
    <w:multiLevelType w:val="singleLevel"/>
    <w:tmpl w:val="1D546575"/>
    <w:lvl w:ilvl="0" w:tentative="0">
      <w:start w:val="3"/>
      <w:numFmt w:val="decimal"/>
      <w:lvlText w:val="%1."/>
      <w:lvlJc w:val="left"/>
      <w:pPr>
        <w:tabs>
          <w:tab w:val="left" w:pos="312"/>
        </w:tabs>
      </w:pPr>
    </w:lvl>
  </w:abstractNum>
  <w:abstractNum w:abstractNumId="11">
    <w:nsid w:val="242CD4C8"/>
    <w:multiLevelType w:val="singleLevel"/>
    <w:tmpl w:val="242CD4C8"/>
    <w:lvl w:ilvl="0" w:tentative="0">
      <w:start w:val="2"/>
      <w:numFmt w:val="chineseCounting"/>
      <w:suff w:val="nothing"/>
      <w:lvlText w:val="（%1）"/>
      <w:lvlJc w:val="left"/>
      <w:rPr>
        <w:rFonts w:hint="eastAsia"/>
      </w:rPr>
    </w:lvl>
  </w:abstractNum>
  <w:abstractNum w:abstractNumId="12">
    <w:nsid w:val="3E55F9C5"/>
    <w:multiLevelType w:val="singleLevel"/>
    <w:tmpl w:val="3E55F9C5"/>
    <w:lvl w:ilvl="0" w:tentative="0">
      <w:start w:val="2"/>
      <w:numFmt w:val="chineseCounting"/>
      <w:suff w:val="nothing"/>
      <w:lvlText w:val="（%1）"/>
      <w:lvlJc w:val="left"/>
      <w:rPr>
        <w:rFonts w:hint="eastAsia"/>
      </w:rPr>
    </w:lvl>
  </w:abstractNum>
  <w:abstractNum w:abstractNumId="13">
    <w:nsid w:val="3E9CA39D"/>
    <w:multiLevelType w:val="singleLevel"/>
    <w:tmpl w:val="3E9CA39D"/>
    <w:lvl w:ilvl="0" w:tentative="0">
      <w:start w:val="2"/>
      <w:numFmt w:val="chineseCounting"/>
      <w:suff w:val="nothing"/>
      <w:lvlText w:val="（%1）"/>
      <w:lvlJc w:val="left"/>
      <w:rPr>
        <w:rFonts w:hint="eastAsia"/>
      </w:rPr>
    </w:lvl>
  </w:abstractNum>
  <w:abstractNum w:abstractNumId="14">
    <w:nsid w:val="52A604B2"/>
    <w:multiLevelType w:val="singleLevel"/>
    <w:tmpl w:val="52A604B2"/>
    <w:lvl w:ilvl="0" w:tentative="0">
      <w:start w:val="2"/>
      <w:numFmt w:val="chineseCounting"/>
      <w:suff w:val="nothing"/>
      <w:lvlText w:val="（%1）"/>
      <w:lvlJc w:val="left"/>
      <w:rPr>
        <w:rFonts w:hint="eastAsia"/>
      </w:rPr>
    </w:lvl>
  </w:abstractNum>
  <w:num w:numId="1">
    <w:abstractNumId w:val="5"/>
  </w:num>
  <w:num w:numId="2">
    <w:abstractNumId w:val="9"/>
  </w:num>
  <w:num w:numId="3">
    <w:abstractNumId w:val="2"/>
  </w:num>
  <w:num w:numId="4">
    <w:abstractNumId w:val="3"/>
  </w:num>
  <w:num w:numId="5">
    <w:abstractNumId w:val="4"/>
  </w:num>
  <w:num w:numId="6">
    <w:abstractNumId w:val="11"/>
  </w:num>
  <w:num w:numId="7">
    <w:abstractNumId w:val="12"/>
  </w:num>
  <w:num w:numId="8">
    <w:abstractNumId w:val="10"/>
  </w:num>
  <w:num w:numId="9">
    <w:abstractNumId w:val="7"/>
  </w:num>
  <w:num w:numId="10">
    <w:abstractNumId w:val="0"/>
  </w:num>
  <w:num w:numId="11">
    <w:abstractNumId w:val="13"/>
  </w:num>
  <w:num w:numId="12">
    <w:abstractNumId w:val="1"/>
  </w:num>
  <w:num w:numId="13">
    <w:abstractNumId w:val="14"/>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bordersDoNotSurroundHeader w:val="1"/>
  <w:bordersDoNotSurroundFooter w:val="1"/>
  <w:documentProtection w:enforcement="0"/>
  <w:defaultTabStop w:val="420"/>
  <w:drawingGridHorizontalSpacing w:val="1"/>
  <w:drawingGridVerticalSpacing w:val="1"/>
  <w:doNotUseMarginsForDrawingGridOrigin w:val="1"/>
  <w:drawingGridHorizontalOrigin w:val="0"/>
  <w:drawingGridVerticalOrigin w:val="0"/>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2YwOTllMzk2MmNjMWQ3YTRiZmE2OTI1ZDQwZGQ0ODEifQ=="/>
  </w:docVars>
  <w:rsids>
    <w:rsidRoot w:val="00C31405"/>
    <w:rsid w:val="00087BC5"/>
    <w:rsid w:val="001A608A"/>
    <w:rsid w:val="0074297E"/>
    <w:rsid w:val="00C31405"/>
    <w:rsid w:val="00CA14F1"/>
    <w:rsid w:val="00F768CF"/>
    <w:rsid w:val="015D6DC5"/>
    <w:rsid w:val="01965B57"/>
    <w:rsid w:val="01C56903"/>
    <w:rsid w:val="02DA4630"/>
    <w:rsid w:val="02FA2E74"/>
    <w:rsid w:val="034A466A"/>
    <w:rsid w:val="041653E6"/>
    <w:rsid w:val="04AF07FB"/>
    <w:rsid w:val="062D51F6"/>
    <w:rsid w:val="06577A22"/>
    <w:rsid w:val="066302AD"/>
    <w:rsid w:val="06A07C81"/>
    <w:rsid w:val="06FC251D"/>
    <w:rsid w:val="07692DE9"/>
    <w:rsid w:val="07E95B5A"/>
    <w:rsid w:val="07EF52D8"/>
    <w:rsid w:val="09256AC9"/>
    <w:rsid w:val="099C43EE"/>
    <w:rsid w:val="09CB082F"/>
    <w:rsid w:val="0A7F7F97"/>
    <w:rsid w:val="0B676E13"/>
    <w:rsid w:val="0B6A2548"/>
    <w:rsid w:val="0B8E351E"/>
    <w:rsid w:val="0C0E7651"/>
    <w:rsid w:val="0C8642BA"/>
    <w:rsid w:val="0D9F44AC"/>
    <w:rsid w:val="0E1C78AB"/>
    <w:rsid w:val="0E252C04"/>
    <w:rsid w:val="0E35776B"/>
    <w:rsid w:val="0E594209"/>
    <w:rsid w:val="0FA046C2"/>
    <w:rsid w:val="10507CE0"/>
    <w:rsid w:val="11027767"/>
    <w:rsid w:val="13EE3A98"/>
    <w:rsid w:val="13FD357C"/>
    <w:rsid w:val="144933C4"/>
    <w:rsid w:val="14BF7676"/>
    <w:rsid w:val="16F1044C"/>
    <w:rsid w:val="19153875"/>
    <w:rsid w:val="19400172"/>
    <w:rsid w:val="1A152F38"/>
    <w:rsid w:val="1A5B1FD5"/>
    <w:rsid w:val="1A7D625C"/>
    <w:rsid w:val="1BA809D0"/>
    <w:rsid w:val="1D833316"/>
    <w:rsid w:val="1D9A5FD7"/>
    <w:rsid w:val="1E635082"/>
    <w:rsid w:val="1ECC6AB2"/>
    <w:rsid w:val="1F70574E"/>
    <w:rsid w:val="202056DC"/>
    <w:rsid w:val="20472BA6"/>
    <w:rsid w:val="205A6D01"/>
    <w:rsid w:val="205C135B"/>
    <w:rsid w:val="20D123D1"/>
    <w:rsid w:val="20F85F56"/>
    <w:rsid w:val="21486EDD"/>
    <w:rsid w:val="21F842D5"/>
    <w:rsid w:val="227126F9"/>
    <w:rsid w:val="230519A6"/>
    <w:rsid w:val="23BE185E"/>
    <w:rsid w:val="24BC39E9"/>
    <w:rsid w:val="260A23B5"/>
    <w:rsid w:val="26E3688E"/>
    <w:rsid w:val="27747A8B"/>
    <w:rsid w:val="27DA0163"/>
    <w:rsid w:val="28572169"/>
    <w:rsid w:val="28BE0B56"/>
    <w:rsid w:val="29215BA4"/>
    <w:rsid w:val="2B856638"/>
    <w:rsid w:val="2B9909C1"/>
    <w:rsid w:val="2C632468"/>
    <w:rsid w:val="2C93442D"/>
    <w:rsid w:val="2D5D6336"/>
    <w:rsid w:val="2E4A3EE4"/>
    <w:rsid w:val="2FC005DA"/>
    <w:rsid w:val="304A326B"/>
    <w:rsid w:val="305E702F"/>
    <w:rsid w:val="325356E2"/>
    <w:rsid w:val="32AA4C73"/>
    <w:rsid w:val="338B6E1C"/>
    <w:rsid w:val="3405610C"/>
    <w:rsid w:val="34636B0F"/>
    <w:rsid w:val="34EF4521"/>
    <w:rsid w:val="35260E8C"/>
    <w:rsid w:val="352660B5"/>
    <w:rsid w:val="358823F7"/>
    <w:rsid w:val="361B5C4E"/>
    <w:rsid w:val="3621689F"/>
    <w:rsid w:val="37BF0F9F"/>
    <w:rsid w:val="38196A86"/>
    <w:rsid w:val="38D806EF"/>
    <w:rsid w:val="38E43F3B"/>
    <w:rsid w:val="3902576C"/>
    <w:rsid w:val="39D65EBB"/>
    <w:rsid w:val="39EE5CF0"/>
    <w:rsid w:val="3A323E2F"/>
    <w:rsid w:val="3AD51A1C"/>
    <w:rsid w:val="3AF3147B"/>
    <w:rsid w:val="3AFD11BD"/>
    <w:rsid w:val="3B7660A5"/>
    <w:rsid w:val="3BC9416E"/>
    <w:rsid w:val="3BDD229D"/>
    <w:rsid w:val="3C4E7AB1"/>
    <w:rsid w:val="3C86371F"/>
    <w:rsid w:val="3EE014B2"/>
    <w:rsid w:val="3F201D37"/>
    <w:rsid w:val="3FFC0435"/>
    <w:rsid w:val="402725F6"/>
    <w:rsid w:val="41D97D5E"/>
    <w:rsid w:val="42666D6B"/>
    <w:rsid w:val="428178A2"/>
    <w:rsid w:val="429732CD"/>
    <w:rsid w:val="42C25FBA"/>
    <w:rsid w:val="448C204C"/>
    <w:rsid w:val="44BA2037"/>
    <w:rsid w:val="45CC17AB"/>
    <w:rsid w:val="46E11854"/>
    <w:rsid w:val="47631ACB"/>
    <w:rsid w:val="486E0728"/>
    <w:rsid w:val="48F365AD"/>
    <w:rsid w:val="49646021"/>
    <w:rsid w:val="4A7073F1"/>
    <w:rsid w:val="4BBD16EB"/>
    <w:rsid w:val="4BCC4C95"/>
    <w:rsid w:val="4C020234"/>
    <w:rsid w:val="4C133792"/>
    <w:rsid w:val="4D2F41FE"/>
    <w:rsid w:val="4DA76E65"/>
    <w:rsid w:val="4E1535C1"/>
    <w:rsid w:val="4E7611F3"/>
    <w:rsid w:val="4EB726FD"/>
    <w:rsid w:val="4FA964E9"/>
    <w:rsid w:val="4FC21359"/>
    <w:rsid w:val="501778F7"/>
    <w:rsid w:val="512D6CA6"/>
    <w:rsid w:val="51E542F8"/>
    <w:rsid w:val="522D5019"/>
    <w:rsid w:val="528643E9"/>
    <w:rsid w:val="528D316F"/>
    <w:rsid w:val="5291754B"/>
    <w:rsid w:val="548947A3"/>
    <w:rsid w:val="55841C00"/>
    <w:rsid w:val="56546DA2"/>
    <w:rsid w:val="568832FC"/>
    <w:rsid w:val="56C34335"/>
    <w:rsid w:val="57064221"/>
    <w:rsid w:val="58D75E75"/>
    <w:rsid w:val="590A4B03"/>
    <w:rsid w:val="5925685D"/>
    <w:rsid w:val="5ADC7773"/>
    <w:rsid w:val="5ADD7AB6"/>
    <w:rsid w:val="5B004C6E"/>
    <w:rsid w:val="5B7735E9"/>
    <w:rsid w:val="5B7A306D"/>
    <w:rsid w:val="5C9C15B6"/>
    <w:rsid w:val="5CA16EC6"/>
    <w:rsid w:val="5D966B67"/>
    <w:rsid w:val="5DAB2129"/>
    <w:rsid w:val="5DAC5398"/>
    <w:rsid w:val="60151BC1"/>
    <w:rsid w:val="603224A1"/>
    <w:rsid w:val="608A7C71"/>
    <w:rsid w:val="60B10BFE"/>
    <w:rsid w:val="60B33B2A"/>
    <w:rsid w:val="6129748A"/>
    <w:rsid w:val="6175447D"/>
    <w:rsid w:val="61F71336"/>
    <w:rsid w:val="622814F0"/>
    <w:rsid w:val="623B2D9A"/>
    <w:rsid w:val="625E13B5"/>
    <w:rsid w:val="62E35AD6"/>
    <w:rsid w:val="6300697B"/>
    <w:rsid w:val="631A5A88"/>
    <w:rsid w:val="63781FD9"/>
    <w:rsid w:val="63DF2082"/>
    <w:rsid w:val="63E47698"/>
    <w:rsid w:val="63F20007"/>
    <w:rsid w:val="645E744B"/>
    <w:rsid w:val="65A8080F"/>
    <w:rsid w:val="66585799"/>
    <w:rsid w:val="66B20A79"/>
    <w:rsid w:val="66C33EDD"/>
    <w:rsid w:val="67C3769D"/>
    <w:rsid w:val="67C63C85"/>
    <w:rsid w:val="68430937"/>
    <w:rsid w:val="69020CEC"/>
    <w:rsid w:val="69140A20"/>
    <w:rsid w:val="696415AF"/>
    <w:rsid w:val="6A7D43A3"/>
    <w:rsid w:val="6A7E58B3"/>
    <w:rsid w:val="6B3D698B"/>
    <w:rsid w:val="6C360CAD"/>
    <w:rsid w:val="6C85714A"/>
    <w:rsid w:val="6DED67F9"/>
    <w:rsid w:val="6E7C6AE7"/>
    <w:rsid w:val="6E8B1CB8"/>
    <w:rsid w:val="6EBD7464"/>
    <w:rsid w:val="70450556"/>
    <w:rsid w:val="70AB1C6A"/>
    <w:rsid w:val="70BB2FB2"/>
    <w:rsid w:val="718C1A9B"/>
    <w:rsid w:val="71C163A8"/>
    <w:rsid w:val="71FC56EB"/>
    <w:rsid w:val="728E0D7E"/>
    <w:rsid w:val="739B4217"/>
    <w:rsid w:val="73AB01D2"/>
    <w:rsid w:val="73FA109E"/>
    <w:rsid w:val="742E2CC6"/>
    <w:rsid w:val="747E095A"/>
    <w:rsid w:val="749173C8"/>
    <w:rsid w:val="74A0760B"/>
    <w:rsid w:val="74C83AAD"/>
    <w:rsid w:val="75151D4B"/>
    <w:rsid w:val="75441716"/>
    <w:rsid w:val="75632B54"/>
    <w:rsid w:val="757271FA"/>
    <w:rsid w:val="75792336"/>
    <w:rsid w:val="75801C11"/>
    <w:rsid w:val="75976814"/>
    <w:rsid w:val="76392167"/>
    <w:rsid w:val="76793A48"/>
    <w:rsid w:val="76FB6277"/>
    <w:rsid w:val="77602417"/>
    <w:rsid w:val="777C1168"/>
    <w:rsid w:val="78CA40FE"/>
    <w:rsid w:val="79162336"/>
    <w:rsid w:val="791A3E30"/>
    <w:rsid w:val="79513C6B"/>
    <w:rsid w:val="79515378"/>
    <w:rsid w:val="796E5F2A"/>
    <w:rsid w:val="79B95F3C"/>
    <w:rsid w:val="7A475663"/>
    <w:rsid w:val="7A7360EC"/>
    <w:rsid w:val="7AC40487"/>
    <w:rsid w:val="7B6E7114"/>
    <w:rsid w:val="7C5E1B6B"/>
    <w:rsid w:val="7CC70469"/>
    <w:rsid w:val="7D4A621B"/>
    <w:rsid w:val="7DF51F92"/>
    <w:rsid w:val="7E052CF8"/>
    <w:rsid w:val="7F431CAA"/>
    <w:rsid w:val="7F472D9E"/>
    <w:rsid w:val="7F823CB6"/>
    <w:rsid w:val="7F9F6E3D"/>
    <w:rsid w:val="AFEF86A5"/>
    <w:rsid w:val="E1FE2E3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5">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1"/>
    <w:qFormat/>
    <w:uiPriority w:val="9"/>
    <w:pPr>
      <w:keepNext/>
      <w:keepLines/>
      <w:spacing w:before="260" w:after="260" w:line="416" w:lineRule="auto"/>
      <w:outlineLvl w:val="1"/>
    </w:pPr>
    <w:rPr>
      <w:rFonts w:ascii="Cambria" w:hAnsi="Cambria"/>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7">
    <w:name w:val="caption"/>
    <w:basedOn w:val="1"/>
    <w:next w:val="1"/>
    <w:qFormat/>
    <w:uiPriority w:val="0"/>
    <w:pPr>
      <w:suppressLineNumbers/>
      <w:spacing w:before="120" w:after="120"/>
    </w:pPr>
    <w:rPr>
      <w:i/>
      <w:iCs/>
      <w:sz w:val="24"/>
    </w:rPr>
  </w:style>
  <w:style w:type="paragraph" w:styleId="8">
    <w:name w:val="Body Text"/>
    <w:basedOn w:val="1"/>
    <w:qFormat/>
    <w:uiPriority w:val="0"/>
    <w:pPr>
      <w:spacing w:after="140" w:line="276" w:lineRule="auto"/>
    </w:pPr>
  </w:style>
  <w:style w:type="paragraph" w:styleId="9">
    <w:name w:val="Plain Text"/>
    <w:basedOn w:val="1"/>
    <w:qFormat/>
    <w:uiPriority w:val="0"/>
    <w:rPr>
      <w:rFonts w:ascii="宋体" w:hAnsi="ISOCTEUR"/>
      <w:szCs w:val="21"/>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List"/>
    <w:basedOn w:val="8"/>
    <w:qFormat/>
    <w:uiPriority w:val="0"/>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8">
    <w:name w:val="Strong"/>
    <w:basedOn w:val="17"/>
    <w:qFormat/>
    <w:uiPriority w:val="99"/>
    <w:rPr>
      <w:b/>
    </w:rPr>
  </w:style>
  <w:style w:type="character" w:styleId="19">
    <w:name w:val="Hyperlink"/>
    <w:basedOn w:val="17"/>
    <w:unhideWhenUsed/>
    <w:qFormat/>
    <w:uiPriority w:val="99"/>
    <w:rPr>
      <w:color w:val="0000FF"/>
      <w:u w:val="single"/>
    </w:rPr>
  </w:style>
  <w:style w:type="character" w:customStyle="1" w:styleId="20">
    <w:name w:val="标题 1 Char"/>
    <w:basedOn w:val="17"/>
    <w:link w:val="5"/>
    <w:qFormat/>
    <w:uiPriority w:val="9"/>
    <w:rPr>
      <w:b/>
      <w:bCs/>
      <w:kern w:val="44"/>
      <w:sz w:val="44"/>
      <w:szCs w:val="44"/>
    </w:rPr>
  </w:style>
  <w:style w:type="character" w:customStyle="1" w:styleId="21">
    <w:name w:val="标题 2 Char"/>
    <w:basedOn w:val="17"/>
    <w:link w:val="6"/>
    <w:qFormat/>
    <w:uiPriority w:val="9"/>
    <w:rPr>
      <w:rFonts w:ascii="Cambria" w:hAnsi="Cambria" w:eastAsia="宋体" w:cs="Times New Roman"/>
      <w:b/>
      <w:bCs/>
      <w:sz w:val="32"/>
      <w:szCs w:val="32"/>
    </w:rPr>
  </w:style>
  <w:style w:type="paragraph" w:customStyle="1" w:styleId="22">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默认段落字体1"/>
    <w:uiPriority w:val="0"/>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paragraph" w:customStyle="1" w:styleId="26">
    <w:name w:val="Index"/>
    <w:basedOn w:val="1"/>
    <w:qFormat/>
    <w:uiPriority w:val="0"/>
    <w:pPr>
      <w:suppressLineNumbers/>
    </w:pPr>
  </w:style>
  <w:style w:type="paragraph" w:customStyle="1" w:styleId="27">
    <w:name w:val="Heading"/>
    <w:basedOn w:val="1"/>
    <w:next w:val="8"/>
    <w:qFormat/>
    <w:uiPriority w:val="0"/>
    <w:pPr>
      <w:keepNext/>
      <w:spacing w:before="240" w:after="120"/>
    </w:pPr>
    <w:rPr>
      <w:rFonts w:ascii="Liberation Sans" w:hAnsi="Liberation Sans" w:eastAsia="Noto Sans CJK SC Regular" w:cs="Noto Sans CJK SC Regular"/>
      <w:sz w:val="28"/>
      <w:szCs w:val="28"/>
    </w:rPr>
  </w:style>
  <w:style w:type="paragraph" w:customStyle="1" w:styleId="28">
    <w:name w:val="四号正文"/>
    <w:basedOn w:val="1"/>
    <w:qFormat/>
    <w:uiPriority w:val="0"/>
    <w:pPr>
      <w:spacing w:line="360" w:lineRule="auto"/>
    </w:pPr>
    <w:rPr>
      <w:rFonts w:ascii="??" w:hAnsi="??"/>
      <w:color w:val="000000"/>
      <w:kern w:val="0"/>
      <w:sz w:val="28"/>
      <w:szCs w:val="21"/>
      <w:lang w:val="zh-CN"/>
    </w:rPr>
  </w:style>
  <w:style w:type="paragraph" w:customStyle="1" w:styleId="29">
    <w:name w:val="NormalIndent"/>
    <w:basedOn w:val="1"/>
    <w:qFormat/>
    <w:uiPriority w:val="0"/>
    <w:pPr>
      <w:ind w:firstLine="200" w:firstLineChars="200"/>
      <w:textAlignment w:val="baseline"/>
    </w:pPr>
  </w:style>
  <w:style w:type="character" w:customStyle="1" w:styleId="30">
    <w:name w:val="fontstyle01"/>
    <w:basedOn w:val="17"/>
    <w:qFormat/>
    <w:uiPriority w:val="0"/>
    <w:rPr>
      <w:rFonts w:hint="eastAsia" w:ascii="仿宋" w:hAnsi="仿宋" w:eastAsia="仿宋"/>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image" Target="media/image3.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6609;&#24418;&#2227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26609;&#24418;&#2227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39292;&#29366;&#2227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39292;&#29366;&#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[柱形图.xlsx]Sheet1!$A$2</c:f>
              <c:strCache>
                <c:ptCount val="1"/>
                <c:pt idx="0">
                  <c:v>2022年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[柱形图.xlsx]Sheet1!$B$1:$C$1</c:f>
              <c:strCache>
                <c:ptCount val="2"/>
                <c:pt idx="0">
                  <c:v>财政拨款收入</c:v>
                </c:pt>
                <c:pt idx="1">
                  <c:v>财政拨款支出</c:v>
                </c:pt>
              </c:strCache>
            </c:strRef>
          </c:cat>
          <c:val>
            <c:numRef>
              <c:f>[柱形图.xlsx]Sheet1!$B$2:$C$2</c:f>
              <c:numCache>
                <c:formatCode>General</c:formatCode>
                <c:ptCount val="2"/>
                <c:pt idx="0">
                  <c:v>192.93</c:v>
                </c:pt>
                <c:pt idx="1">
                  <c:v>192.93</c:v>
                </c:pt>
              </c:numCache>
            </c:numRef>
          </c:val>
        </c:ser>
        <c:ser>
          <c:idx val="1"/>
          <c:order val="1"/>
          <c:tx>
            <c:strRef>
              <c:f>[柱形图.xlsx]Sheet1!$A$3</c:f>
              <c:strCache>
                <c:ptCount val="1"/>
                <c:pt idx="0">
                  <c:v>2023年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[柱形图.xlsx]Sheet1!$B$1:$C$1</c:f>
              <c:strCache>
                <c:ptCount val="2"/>
                <c:pt idx="0">
                  <c:v>财政拨款收入</c:v>
                </c:pt>
                <c:pt idx="1">
                  <c:v>财政拨款支出</c:v>
                </c:pt>
              </c:strCache>
            </c:strRef>
          </c:cat>
          <c:val>
            <c:numRef>
              <c:f>[柱形图.xlsx]Sheet1!$B$3:$C$3</c:f>
              <c:numCache>
                <c:formatCode>General</c:formatCode>
                <c:ptCount val="2"/>
                <c:pt idx="0">
                  <c:v>206.37</c:v>
                </c:pt>
                <c:pt idx="1">
                  <c:v>206.37</c:v>
                </c:pt>
              </c:numCache>
            </c:numRef>
          </c:val>
        </c:ser>
        <c:dLbls>
          <c:showLegendKey val="0"/>
          <c:showVal val="1"/>
          <c:showCatName val="0"/>
          <c:showSerName val="0"/>
          <c:showPercent val="0"/>
          <c:showBubbleSize val="0"/>
        </c:dLbls>
        <c:gapWidth val="150"/>
        <c:axId val="133895296"/>
        <c:axId val="135640192"/>
      </c:barChart>
      <c:catAx>
        <c:axId val="13389529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5640192"/>
        <c:crosses val="autoZero"/>
        <c:auto val="1"/>
        <c:lblAlgn val="ctr"/>
        <c:lblOffset val="100"/>
        <c:noMultiLvlLbl val="0"/>
      </c:catAx>
      <c:valAx>
        <c:axId val="13564019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3895296"/>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9ee6bdc5-49ab-4ef3-be3b-b4eeca926126}"/>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[柱形图.xlsx]Sheet1!$A$2</c:f>
              <c:strCache>
                <c:ptCount val="1"/>
                <c:pt idx="0">
                  <c:v>2022年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[柱形图.xlsx]Sheet1!$B$1:$C$1</c:f>
              <c:strCache>
                <c:ptCount val="2"/>
                <c:pt idx="0">
                  <c:v>财政拨款收入</c:v>
                </c:pt>
                <c:pt idx="1">
                  <c:v>财政拨款支出</c:v>
                </c:pt>
              </c:strCache>
            </c:strRef>
          </c:cat>
          <c:val>
            <c:numRef>
              <c:f>[柱形图.xlsx]Sheet1!$B$2:$C$2</c:f>
              <c:numCache>
                <c:formatCode>General</c:formatCode>
                <c:ptCount val="2"/>
                <c:pt idx="0">
                  <c:v>192.93</c:v>
                </c:pt>
                <c:pt idx="1">
                  <c:v>192.93</c:v>
                </c:pt>
              </c:numCache>
            </c:numRef>
          </c:val>
        </c:ser>
        <c:ser>
          <c:idx val="1"/>
          <c:order val="1"/>
          <c:tx>
            <c:strRef>
              <c:f>[柱形图.xlsx]Sheet1!$A$3</c:f>
              <c:strCache>
                <c:ptCount val="1"/>
                <c:pt idx="0">
                  <c:v>2023年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[柱形图.xlsx]Sheet1!$B$1:$C$1</c:f>
              <c:strCache>
                <c:ptCount val="2"/>
                <c:pt idx="0">
                  <c:v>财政拨款收入</c:v>
                </c:pt>
                <c:pt idx="1">
                  <c:v>财政拨款支出</c:v>
                </c:pt>
              </c:strCache>
            </c:strRef>
          </c:cat>
          <c:val>
            <c:numRef>
              <c:f>[柱形图.xlsx]Sheet1!$B$3:$C$3</c:f>
              <c:numCache>
                <c:formatCode>General</c:formatCode>
                <c:ptCount val="2"/>
                <c:pt idx="0">
                  <c:v>206.37</c:v>
                </c:pt>
                <c:pt idx="1">
                  <c:v>206.37</c:v>
                </c:pt>
              </c:numCache>
            </c:numRef>
          </c:val>
        </c:ser>
        <c:dLbls>
          <c:showLegendKey val="0"/>
          <c:showVal val="1"/>
          <c:showCatName val="0"/>
          <c:showSerName val="0"/>
          <c:showPercent val="0"/>
          <c:showBubbleSize val="0"/>
        </c:dLbls>
        <c:gapWidth val="150"/>
        <c:axId val="133895296"/>
        <c:axId val="135640192"/>
      </c:barChart>
      <c:catAx>
        <c:axId val="13389529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5640192"/>
        <c:crosses val="autoZero"/>
        <c:auto val="1"/>
        <c:lblAlgn val="ctr"/>
        <c:lblOffset val="100"/>
        <c:noMultiLvlLbl val="0"/>
      </c:catAx>
      <c:valAx>
        <c:axId val="13564019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3895296"/>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1489d0e4-c40b-4b04-aa09-95a1f95cb6cb}"/>
      </c:ext>
    </c:extLst>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[饼状图.xlsx]Sheet1!$A$1:$A$8</c:f>
              <c:strCache>
                <c:ptCount val="8"/>
                <c:pt idx="0">
                  <c:v>2023年</c:v>
                </c:pt>
                <c:pt idx="1">
                  <c:v>般公共预算财政拨款支出（万元）</c:v>
                </c:pt>
                <c:pt idx="2">
                  <c:v>一般公共服务支出（万元）</c:v>
                </c:pt>
                <c:pt idx="3">
                  <c:v>教育支出（万元）</c:v>
                </c:pt>
                <c:pt idx="4">
                  <c:v>科学技术支出（万元）</c:v>
                </c:pt>
                <c:pt idx="5">
                  <c:v>社会保障和就业支出</c:v>
                </c:pt>
                <c:pt idx="6">
                  <c:v>卫生健康支出</c:v>
                </c:pt>
                <c:pt idx="7">
                  <c:v>住房保障支出</c:v>
                </c:pt>
              </c:strCache>
            </c:strRef>
          </c:cat>
          <c:val>
            <c:numRef>
              <c:f>[饼状图.xlsx]Sheet1!$B$1:$B$8</c:f>
              <c:numCache>
                <c:formatCode>General</c:formatCode>
                <c:ptCount val="8"/>
                <c:pt idx="1">
                  <c:v>206.37</c:v>
                </c:pt>
                <c:pt idx="2">
                  <c:v>0</c:v>
                </c:pt>
                <c:pt idx="3">
                  <c:v>0</c:v>
                </c:pt>
                <c:pt idx="4">
                  <c:v>158.46</c:v>
                </c:pt>
                <c:pt idx="5">
                  <c:v>28.57</c:v>
                </c:pt>
                <c:pt idx="6">
                  <c:v>10.05</c:v>
                </c:pt>
                <c:pt idx="7">
                  <c:v>9.29</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rgbClr val="000000"/>
              </a:solidFill>
              <a:latin typeface="+mn-lt"/>
              <a:ea typeface="+mn-ea"/>
              <a:cs typeface="+mn-cs"/>
            </a:defRPr>
          </a:pPr>
        </a:p>
      </c:txPr>
    </c:legend>
    <c:plotVisOnly val="1"/>
    <c:dispBlanksAs val="zero"/>
    <c:showDLblsOverMax val="0"/>
    <c:extLst>
      <c:ext uri="{0b15fc19-7d7d-44ad-8c2d-2c3a37ce22c3}">
        <chartProps xmlns="https://web.wps.cn/et/2018/main" chartId="{521e97d2-053a-4a40-ac00-a37825a06d5c}"/>
      </c:ext>
    </c:extLst>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[饼状图.xlsx]Sheet1!$A$1:$A$8</c:f>
              <c:strCache>
                <c:ptCount val="8"/>
                <c:pt idx="0">
                  <c:v>2023年</c:v>
                </c:pt>
                <c:pt idx="1">
                  <c:v>因公出国（境）费支出决算（万元）</c:v>
                </c:pt>
                <c:pt idx="2">
                  <c:v>公务用车购置及运行维护费支出决算（万元）</c:v>
                </c:pt>
                <c:pt idx="3">
                  <c:v>公务接待费支出决算（万元）</c:v>
                </c:pt>
              </c:strCache>
            </c:strRef>
          </c:cat>
          <c:val>
            <c:numRef>
              <c:f>[饼状图.xlsx]Sheet1!$B$1:$B$8</c:f>
              <c:numCache>
                <c:formatCode>General</c:formatCode>
                <c:ptCount val="8"/>
                <c:pt idx="1">
                  <c:v>0</c:v>
                </c:pt>
                <c:pt idx="2">
                  <c:v>0</c:v>
                </c:pt>
                <c:pt idx="3">
                  <c:v>0.18</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rgbClr val="000000"/>
              </a:solidFill>
              <a:latin typeface="+mn-lt"/>
              <a:ea typeface="+mn-ea"/>
              <a:cs typeface="+mn-cs"/>
            </a:defRPr>
          </a:pPr>
        </a:p>
      </c:txPr>
    </c:legend>
    <c:plotVisOnly val="1"/>
    <c:dispBlanksAs val="zero"/>
    <c:showDLblsOverMax val="0"/>
    <c:extLst>
      <c:ext uri="{0b15fc19-7d7d-44ad-8c2d-2c3a37ce22c3}">
        <chartProps xmlns="https://web.wps.cn/et/2018/main" chartId="{6780d68e-21ae-453b-b63c-0787318c15f6}"/>
      </c:ext>
    </c:extLst>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32</Pages>
  <Words>10720</Words>
  <Characters>11392</Characters>
  <Lines>83</Lines>
  <Paragraphs>23</Paragraphs>
  <TotalTime>6</TotalTime>
  <ScaleCrop>false</ScaleCrop>
  <LinksUpToDate>false</LinksUpToDate>
  <CharactersWithSpaces>11445</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2024-09-24T11:35:00Z</dcterms:created>
  <dc:creator>user</dc:creator>
  <cp:lastModifiedBy> 回甘</cp:lastModifiedBy>
  <cp:lastPrinted>2024-09-14T09:36:00Z</cp:lastPrinted>
  <dcterms:modified xsi:type="dcterms:W3CDTF">2026-08-20T15:46:27Z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2F9A2008E6CA43E89E0A4CABA530E240_13</vt:lpwstr>
  </property>
</Properties>
</file>