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ECA08">
      <w:pPr>
        <w:spacing w:line="600" w:lineRule="exact"/>
        <w:jc w:val="center"/>
        <w:outlineLvl w:val="0"/>
        <w:rPr>
          <w:rFonts w:ascii="方正小标宋简体" w:hAnsi="宋体" w:eastAsia="方正小标宋简体"/>
          <w:color w:val="000000"/>
          <w:sz w:val="72"/>
          <w:szCs w:val="72"/>
        </w:rPr>
      </w:pPr>
      <w:bookmarkStart w:id="98" w:name="_GoBack"/>
      <w:bookmarkEnd w:id="98"/>
      <w:bookmarkStart w:id="0" w:name="_Toc15306267"/>
    </w:p>
    <w:p w14:paraId="144428F6">
      <w:pPr>
        <w:spacing w:line="600" w:lineRule="exact"/>
        <w:jc w:val="center"/>
        <w:outlineLvl w:val="0"/>
        <w:rPr>
          <w:rFonts w:ascii="方正小标宋简体" w:hAnsi="宋体" w:eastAsia="方正小标宋简体"/>
          <w:color w:val="000000"/>
          <w:sz w:val="72"/>
          <w:szCs w:val="72"/>
        </w:rPr>
      </w:pPr>
    </w:p>
    <w:p w14:paraId="184533B3">
      <w:pPr>
        <w:spacing w:line="600" w:lineRule="exact"/>
        <w:jc w:val="center"/>
        <w:outlineLvl w:val="0"/>
        <w:rPr>
          <w:rFonts w:ascii="方正小标宋简体" w:hAnsi="宋体" w:eastAsia="方正小标宋简体"/>
          <w:color w:val="000000"/>
          <w:sz w:val="72"/>
          <w:szCs w:val="72"/>
        </w:rPr>
      </w:pPr>
    </w:p>
    <w:p w14:paraId="7BB2B14A">
      <w:pPr>
        <w:spacing w:line="600" w:lineRule="exact"/>
        <w:jc w:val="center"/>
        <w:outlineLvl w:val="0"/>
        <w:rPr>
          <w:rFonts w:ascii="方正小标宋简体" w:hAnsi="宋体" w:eastAsia="方正小标宋简体"/>
          <w:color w:val="000000"/>
          <w:sz w:val="72"/>
          <w:szCs w:val="72"/>
        </w:rPr>
      </w:pPr>
    </w:p>
    <w:bookmarkEnd w:id="0"/>
    <w:p w14:paraId="5413E0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方正小标宋_GBK" w:cs="Times New Roman"/>
          <w:color w:val="000000"/>
          <w:sz w:val="52"/>
          <w:szCs w:val="52"/>
        </w:rPr>
      </w:pPr>
      <w:bookmarkStart w:id="1" w:name="_Toc24859"/>
      <w:r>
        <w:rPr>
          <w:rFonts w:hint="default" w:ascii="Times New Roman" w:hAnsi="Times New Roman" w:eastAsia="方正小标宋_GBK" w:cs="Times New Roman"/>
          <w:color w:val="000000"/>
          <w:sz w:val="52"/>
          <w:szCs w:val="52"/>
        </w:rPr>
        <w:t>201</w:t>
      </w:r>
      <w:r>
        <w:rPr>
          <w:rFonts w:hint="eastAsia" w:eastAsia="方正小标宋_GBK" w:cs="Times New Roman"/>
          <w:color w:val="000000"/>
          <w:sz w:val="52"/>
          <w:szCs w:val="52"/>
          <w:lang w:val="en-US" w:eastAsia="zh-CN"/>
        </w:rPr>
        <w:t>9</w:t>
      </w:r>
      <w:r>
        <w:rPr>
          <w:rFonts w:hint="default" w:ascii="Times New Roman" w:hAnsi="Times New Roman" w:eastAsia="方正小标宋_GBK" w:cs="Times New Roman"/>
          <w:color w:val="000000"/>
          <w:sz w:val="52"/>
          <w:szCs w:val="52"/>
        </w:rPr>
        <w:t>年度四川省米易县</w:t>
      </w:r>
      <w:bookmarkEnd w:id="1"/>
    </w:p>
    <w:p w14:paraId="1B3ADF26">
      <w:pPr>
        <w:adjustRightInd w:val="0"/>
        <w:snapToGrid w:val="0"/>
        <w:spacing w:line="360" w:lineRule="auto"/>
        <w:jc w:val="center"/>
        <w:outlineLvl w:val="9"/>
        <w:rPr>
          <w:rFonts w:ascii="方正小标宋简体" w:hAnsi="宋体" w:eastAsia="方正小标宋简体"/>
          <w:color w:val="000000"/>
          <w:sz w:val="72"/>
          <w:szCs w:val="72"/>
        </w:rPr>
      </w:pPr>
      <w:bookmarkStart w:id="2" w:name="_Toc15306268"/>
      <w:bookmarkStart w:id="3" w:name="_Toc23367"/>
      <w:bookmarkStart w:id="4" w:name="_Toc15396476"/>
      <w:bookmarkStart w:id="5" w:name="_Toc15378442"/>
      <w:bookmarkStart w:id="6" w:name="_Toc15377426"/>
      <w:bookmarkStart w:id="7" w:name="_Toc15396598"/>
      <w:bookmarkStart w:id="8" w:name="_Toc15377194"/>
      <w:r>
        <w:rPr>
          <w:rFonts w:hint="default" w:ascii="Times New Roman" w:hAnsi="Times New Roman" w:eastAsia="方正小标宋_GBK" w:cs="Times New Roman"/>
          <w:color w:val="000000"/>
          <w:sz w:val="52"/>
          <w:szCs w:val="52"/>
        </w:rPr>
        <w:t>攀莲镇</w:t>
      </w:r>
      <w:r>
        <w:rPr>
          <w:rFonts w:hint="default" w:ascii="Times New Roman" w:hAnsi="Times New Roman" w:eastAsia="方正小标宋_GBK" w:cs="Times New Roman"/>
          <w:color w:val="000000"/>
          <w:sz w:val="52"/>
          <w:szCs w:val="52"/>
          <w:lang w:eastAsia="zh-CN"/>
        </w:rPr>
        <w:t>人民政府</w:t>
      </w:r>
      <w:r>
        <w:rPr>
          <w:rFonts w:hint="default" w:ascii="Times New Roman" w:hAnsi="Times New Roman" w:eastAsia="方正小标宋_GBK" w:cs="Times New Roman"/>
          <w:color w:val="000000"/>
          <w:sz w:val="52"/>
          <w:szCs w:val="52"/>
        </w:rPr>
        <w:t>部门决算</w:t>
      </w:r>
      <w:bookmarkEnd w:id="2"/>
      <w:bookmarkEnd w:id="3"/>
      <w:bookmarkEnd w:id="4"/>
      <w:bookmarkEnd w:id="5"/>
      <w:bookmarkEnd w:id="6"/>
      <w:bookmarkEnd w:id="7"/>
      <w:bookmarkEnd w:id="8"/>
    </w:p>
    <w:p w14:paraId="34E312A5">
      <w:pPr>
        <w:widowControl/>
        <w:spacing w:line="440" w:lineRule="exact"/>
        <w:jc w:val="left"/>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ascii="方正小标宋简体" w:hAnsi="宋体" w:eastAsia="方正小标宋简体"/>
          <w:color w:val="000000"/>
          <w:sz w:val="36"/>
          <w:szCs w:val="36"/>
        </w:rPr>
        <w:br w:type="page"/>
      </w:r>
      <w:bookmarkStart w:id="9" w:name="_Toc15377196"/>
      <w:bookmarkStart w:id="10" w:name="_Toc15396599"/>
    </w:p>
    <w:p w14:paraId="1BED6584">
      <w:pPr>
        <w:pStyle w:val="12"/>
        <w:tabs>
          <w:tab w:val="right" w:leader="dot" w:pos="8306"/>
          <w:tab w:val="clear" w:pos="8296"/>
        </w:tabs>
        <w:rPr>
          <w:rFonts w:hint="eastAsia" w:ascii="黑体" w:hAnsi="黑体" w:eastAsia="黑体"/>
          <w:b w:val="0"/>
          <w:lang w:eastAsia="zh-CN"/>
        </w:rPr>
      </w:pPr>
      <w:r>
        <w:rPr>
          <w:rFonts w:hint="eastAsia" w:ascii="黑体" w:hAnsi="黑体" w:eastAsia="黑体"/>
          <w:b w:val="0"/>
          <w:lang w:eastAsia="zh-CN"/>
        </w:rPr>
        <w:t>目</w:t>
      </w:r>
      <w:r>
        <w:rPr>
          <w:rFonts w:hint="eastAsia" w:ascii="黑体" w:hAnsi="黑体" w:eastAsia="黑体"/>
          <w:b w:val="0"/>
          <w:lang w:val="en-US" w:eastAsia="zh-CN"/>
        </w:rPr>
        <w:t xml:space="preserve">  </w:t>
      </w:r>
      <w:r>
        <w:rPr>
          <w:rFonts w:hint="eastAsia" w:ascii="黑体" w:hAnsi="黑体" w:eastAsia="黑体"/>
          <w:b w:val="0"/>
          <w:lang w:eastAsia="zh-CN"/>
        </w:rPr>
        <w:t>录</w:t>
      </w:r>
    </w:p>
    <w:p w14:paraId="29158FF5">
      <w:pPr>
        <w:jc w:val="center"/>
        <w:rPr>
          <w:rFonts w:hint="eastAsia"/>
          <w:lang w:eastAsia="zh-CN"/>
        </w:rPr>
      </w:pPr>
      <w:r>
        <w:rPr>
          <w:rFonts w:hint="eastAsia" w:ascii="黑体" w:hAnsi="黑体" w:eastAsia="黑体"/>
          <w:b w:val="0"/>
          <w:lang w:eastAsia="zh-CN"/>
        </w:rPr>
        <w:t>（</w:t>
      </w:r>
      <w:r>
        <w:rPr>
          <w:rFonts w:hint="eastAsia" w:ascii="黑体" w:hAnsi="黑体" w:eastAsia="黑体"/>
          <w:b w:val="0"/>
          <w:lang w:val="en-US" w:eastAsia="zh-CN"/>
        </w:rPr>
        <w:t>公开时间：2020年9月3日</w:t>
      </w:r>
      <w:r>
        <w:rPr>
          <w:rFonts w:hint="eastAsia" w:ascii="黑体" w:hAnsi="黑体" w:eastAsia="黑体"/>
          <w:b w:val="0"/>
          <w:lang w:eastAsia="zh-CN"/>
        </w:rPr>
        <w:t>）</w:t>
      </w:r>
    </w:p>
    <w:p w14:paraId="4C387670">
      <w:pPr>
        <w:pStyle w:val="12"/>
        <w:tabs>
          <w:tab w:val="right" w:leader="dot" w:pos="8306"/>
          <w:tab w:val="clear" w:pos="8296"/>
        </w:tabs>
      </w:pPr>
      <w:r>
        <w:rPr>
          <w:rFonts w:hint="eastAsia" w:ascii="黑体" w:hAnsi="黑体" w:eastAsia="黑体"/>
          <w:b w:val="0"/>
        </w:rPr>
        <w:fldChar w:fldCharType="begin"/>
      </w:r>
      <w:r>
        <w:rPr>
          <w:rFonts w:hint="eastAsia" w:ascii="黑体" w:hAnsi="黑体" w:eastAsia="黑体"/>
          <w:b w:val="0"/>
        </w:rPr>
        <w:instrText xml:space="preserve">TOC \o "1-2" \h \u </w:instrText>
      </w:r>
      <w:r>
        <w:rPr>
          <w:rFonts w:hint="eastAsia" w:ascii="黑体" w:hAnsi="黑体" w:eastAsia="黑体"/>
          <w:b w:val="0"/>
        </w:rPr>
        <w:fldChar w:fldCharType="separate"/>
      </w:r>
      <w:r>
        <w:rPr>
          <w:rFonts w:hint="eastAsia" w:ascii="黑体" w:hAnsi="黑体" w:eastAsia="黑体"/>
        </w:rPr>
        <w:fldChar w:fldCharType="begin"/>
      </w:r>
      <w:r>
        <w:rPr>
          <w:rFonts w:hint="eastAsia" w:ascii="黑体" w:hAnsi="黑体" w:eastAsia="黑体"/>
        </w:rPr>
        <w:instrText xml:space="preserve"> HYPERLINK \l _Toc582 </w:instrText>
      </w:r>
      <w:r>
        <w:rPr>
          <w:rFonts w:hint="eastAsia" w:ascii="黑体" w:hAnsi="黑体" w:eastAsia="黑体"/>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_Toc582 </w:instrText>
      </w:r>
      <w:r>
        <w:fldChar w:fldCharType="separate"/>
      </w:r>
      <w:r>
        <w:t>1</w:t>
      </w:r>
      <w:r>
        <w:fldChar w:fldCharType="end"/>
      </w:r>
      <w:r>
        <w:rPr>
          <w:rFonts w:hint="eastAsia" w:ascii="黑体" w:hAnsi="黑体" w:eastAsia="黑体"/>
        </w:rPr>
        <w:fldChar w:fldCharType="end"/>
      </w:r>
    </w:p>
    <w:p w14:paraId="5E88E3D9">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_Toc1588 </w:instrText>
      </w:r>
      <w:r>
        <w:rPr>
          <w:rFonts w:hint="eastAsia" w:ascii="黑体" w:hAnsi="黑体" w:eastAsia="黑体"/>
        </w:rPr>
        <w:fldChar w:fldCharType="separate"/>
      </w:r>
      <w:r>
        <w:rPr>
          <w:rFonts w:hint="eastAsia" w:ascii="Times New Roman" w:hAnsi="Times New Roman" w:eastAsia="方正黑体_GBK" w:cs="Times New Roman"/>
        </w:rPr>
        <w:t xml:space="preserve">一、 </w:t>
      </w:r>
      <w:r>
        <w:rPr>
          <w:rFonts w:hint="default" w:ascii="Times New Roman" w:hAnsi="Times New Roman" w:eastAsia="方正黑体_GBK" w:cs="Times New Roman"/>
        </w:rPr>
        <w:t>基</w:t>
      </w:r>
      <w:r>
        <w:rPr>
          <w:rFonts w:hint="default" w:ascii="Times New Roman" w:hAnsi="Times New Roman" w:eastAsia="方正黑体_GBK" w:cs="Times New Roman"/>
          <w:bCs w:val="0"/>
        </w:rPr>
        <w:t>本职能及主要工作</w:t>
      </w:r>
      <w:r>
        <w:tab/>
      </w:r>
      <w:r>
        <w:fldChar w:fldCharType="begin"/>
      </w:r>
      <w:r>
        <w:instrText xml:space="preserve"> PAGEREF _Toc1588 </w:instrText>
      </w:r>
      <w:r>
        <w:fldChar w:fldCharType="separate"/>
      </w:r>
      <w:r>
        <w:t>1</w:t>
      </w:r>
      <w:r>
        <w:fldChar w:fldCharType="end"/>
      </w:r>
      <w:r>
        <w:rPr>
          <w:rFonts w:hint="eastAsia" w:ascii="黑体" w:hAnsi="黑体" w:eastAsia="黑体"/>
        </w:rPr>
        <w:fldChar w:fldCharType="end"/>
      </w:r>
    </w:p>
    <w:p w14:paraId="3B9B68F6">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_Toc23990 </w:instrText>
      </w:r>
      <w:r>
        <w:rPr>
          <w:rFonts w:hint="eastAsia" w:ascii="黑体" w:hAnsi="黑体" w:eastAsia="黑体"/>
        </w:rPr>
        <w:fldChar w:fldCharType="separate"/>
      </w:r>
      <w:r>
        <w:rPr>
          <w:rFonts w:hint="eastAsia" w:ascii="黑体" w:hAnsi="黑体" w:eastAsia="黑体"/>
          <w:bCs w:val="0"/>
        </w:rPr>
        <w:t xml:space="preserve">二、 </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_Toc23990 </w:instrText>
      </w:r>
      <w:r>
        <w:fldChar w:fldCharType="separate"/>
      </w:r>
      <w:r>
        <w:t>9</w:t>
      </w:r>
      <w:r>
        <w:fldChar w:fldCharType="end"/>
      </w:r>
      <w:r>
        <w:rPr>
          <w:rFonts w:hint="eastAsia" w:ascii="黑体" w:hAnsi="黑体" w:eastAsia="黑体"/>
        </w:rPr>
        <w:fldChar w:fldCharType="end"/>
      </w:r>
    </w:p>
    <w:p w14:paraId="600A4A6B">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_Toc13825 </w:instrText>
      </w:r>
      <w:r>
        <w:rPr>
          <w:rFonts w:hint="eastAsia" w:ascii="黑体" w:hAnsi="黑体" w:eastAsia="黑体"/>
        </w:rP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_Toc13825 </w:instrText>
      </w:r>
      <w:r>
        <w:fldChar w:fldCharType="separate"/>
      </w:r>
      <w:r>
        <w:t>10</w:t>
      </w:r>
      <w:r>
        <w:fldChar w:fldCharType="end"/>
      </w:r>
      <w:r>
        <w:rPr>
          <w:rFonts w:hint="eastAsia" w:ascii="黑体" w:hAnsi="黑体" w:eastAsia="黑体"/>
        </w:rPr>
        <w:fldChar w:fldCharType="end"/>
      </w:r>
    </w:p>
    <w:p w14:paraId="21679C34">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_Toc13980 </w:instrText>
      </w:r>
      <w:r>
        <w:rPr>
          <w:rFonts w:hint="eastAsia" w:ascii="黑体" w:hAnsi="黑体" w:eastAsia="黑体"/>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_Toc13980 </w:instrText>
      </w:r>
      <w:r>
        <w:fldChar w:fldCharType="separate"/>
      </w:r>
      <w:r>
        <w:t>10</w:t>
      </w:r>
      <w:r>
        <w:fldChar w:fldCharType="end"/>
      </w:r>
      <w:r>
        <w:rPr>
          <w:rFonts w:hint="eastAsia" w:ascii="黑体" w:hAnsi="黑体" w:eastAsia="黑体"/>
        </w:rPr>
        <w:fldChar w:fldCharType="end"/>
      </w:r>
    </w:p>
    <w:p w14:paraId="644C6FAD">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_Toc26243 </w:instrText>
      </w:r>
      <w:r>
        <w:rPr>
          <w:rFonts w:hint="eastAsia" w:ascii="黑体" w:hAnsi="黑体" w:eastAsia="黑体"/>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_Toc26243 </w:instrText>
      </w:r>
      <w:r>
        <w:fldChar w:fldCharType="separate"/>
      </w:r>
      <w:r>
        <w:t>10</w:t>
      </w:r>
      <w:r>
        <w:fldChar w:fldCharType="end"/>
      </w:r>
      <w:r>
        <w:rPr>
          <w:rFonts w:hint="eastAsia" w:ascii="黑体" w:hAnsi="黑体" w:eastAsia="黑体"/>
        </w:rPr>
        <w:fldChar w:fldCharType="end"/>
      </w:r>
    </w:p>
    <w:p w14:paraId="37943BF9">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_Toc1059 </w:instrText>
      </w:r>
      <w:r>
        <w:rPr>
          <w:rFonts w:hint="eastAsia" w:ascii="黑体" w:hAnsi="黑体" w:eastAsia="黑体"/>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_Toc1059 </w:instrText>
      </w:r>
      <w:r>
        <w:fldChar w:fldCharType="separate"/>
      </w:r>
      <w:r>
        <w:t>11</w:t>
      </w:r>
      <w:r>
        <w:fldChar w:fldCharType="end"/>
      </w:r>
      <w:r>
        <w:rPr>
          <w:rFonts w:hint="eastAsia" w:ascii="黑体" w:hAnsi="黑体" w:eastAsia="黑体"/>
        </w:rPr>
        <w:fldChar w:fldCharType="end"/>
      </w:r>
    </w:p>
    <w:p w14:paraId="1684B914">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_Toc16787 </w:instrText>
      </w:r>
      <w:r>
        <w:rPr>
          <w:rFonts w:hint="eastAsia" w:ascii="黑体" w:hAnsi="黑体" w:eastAsia="黑体"/>
        </w:rPr>
        <w:fldChar w:fldCharType="separate"/>
      </w:r>
      <w:r>
        <w:rPr>
          <w:rFonts w:hint="default" w:ascii="黑体" w:hAnsi="黑体" w:eastAsia="黑体"/>
        </w:rPr>
        <w:t xml:space="preserve">四、 </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_Toc16787 </w:instrText>
      </w:r>
      <w:r>
        <w:fldChar w:fldCharType="separate"/>
      </w:r>
      <w:r>
        <w:t>12</w:t>
      </w:r>
      <w:r>
        <w:fldChar w:fldCharType="end"/>
      </w:r>
      <w:r>
        <w:rPr>
          <w:rFonts w:hint="eastAsia" w:ascii="黑体" w:hAnsi="黑体" w:eastAsia="黑体"/>
        </w:rPr>
        <w:fldChar w:fldCharType="end"/>
      </w:r>
    </w:p>
    <w:p w14:paraId="1BF1971E">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_Toc14538 </w:instrText>
      </w:r>
      <w:r>
        <w:rPr>
          <w:rFonts w:hint="eastAsia" w:ascii="黑体" w:hAnsi="黑体" w:eastAsia="黑体"/>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_Toc14538 </w:instrText>
      </w:r>
      <w:r>
        <w:fldChar w:fldCharType="separate"/>
      </w:r>
      <w:r>
        <w:t>12</w:t>
      </w:r>
      <w:r>
        <w:fldChar w:fldCharType="end"/>
      </w:r>
      <w:r>
        <w:rPr>
          <w:rFonts w:hint="eastAsia" w:ascii="黑体" w:hAnsi="黑体" w:eastAsia="黑体"/>
        </w:rPr>
        <w:fldChar w:fldCharType="end"/>
      </w:r>
    </w:p>
    <w:p w14:paraId="33943D9B">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_Toc19711 </w:instrText>
      </w:r>
      <w:r>
        <w:rPr>
          <w:rFonts w:hint="eastAsia" w:ascii="黑体" w:hAnsi="黑体" w:eastAsia="黑体"/>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_Toc19711 </w:instrText>
      </w:r>
      <w:r>
        <w:fldChar w:fldCharType="separate"/>
      </w:r>
      <w:r>
        <w:t>16</w:t>
      </w:r>
      <w:r>
        <w:fldChar w:fldCharType="end"/>
      </w:r>
      <w:r>
        <w:rPr>
          <w:rFonts w:hint="eastAsia" w:ascii="黑体" w:hAnsi="黑体" w:eastAsia="黑体"/>
        </w:rPr>
        <w:fldChar w:fldCharType="end"/>
      </w:r>
    </w:p>
    <w:p w14:paraId="7E3D2C72">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_Toc18818 </w:instrText>
      </w:r>
      <w:r>
        <w:rPr>
          <w:rFonts w:hint="eastAsia" w:ascii="黑体" w:hAnsi="黑体" w:eastAsia="黑体"/>
        </w:rPr>
        <w:fldChar w:fldCharType="separate"/>
      </w:r>
      <w:r>
        <w:rPr>
          <w:rFonts w:hint="eastAsia" w:ascii="仿宋_GB2312" w:hAnsi="仿宋_GB2312" w:eastAsia="仿宋_GB2312" w:cs="仿宋_GB2312"/>
          <w:szCs w:val="32"/>
        </w:rPr>
        <w:t>七、 “三公”经费财政拨款支出决算情况说明</w:t>
      </w:r>
      <w:r>
        <w:tab/>
      </w:r>
      <w:r>
        <w:fldChar w:fldCharType="begin"/>
      </w:r>
      <w:r>
        <w:instrText xml:space="preserve"> PAGEREF _Toc18818 </w:instrText>
      </w:r>
      <w:r>
        <w:fldChar w:fldCharType="separate"/>
      </w:r>
      <w:r>
        <w:t>17</w:t>
      </w:r>
      <w:r>
        <w:fldChar w:fldCharType="end"/>
      </w:r>
      <w:r>
        <w:rPr>
          <w:rFonts w:hint="eastAsia" w:ascii="黑体" w:hAnsi="黑体" w:eastAsia="黑体"/>
        </w:rPr>
        <w:fldChar w:fldCharType="end"/>
      </w:r>
    </w:p>
    <w:p w14:paraId="0A7FD537">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_Toc29826 </w:instrText>
      </w:r>
      <w:r>
        <w:rPr>
          <w:rFonts w:hint="eastAsia" w:ascii="黑体" w:hAnsi="黑体" w:eastAsia="黑体"/>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_Toc29826 </w:instrText>
      </w:r>
      <w:r>
        <w:fldChar w:fldCharType="separate"/>
      </w:r>
      <w:r>
        <w:t>19</w:t>
      </w:r>
      <w:r>
        <w:fldChar w:fldCharType="end"/>
      </w:r>
      <w:r>
        <w:rPr>
          <w:rFonts w:hint="eastAsia" w:ascii="黑体" w:hAnsi="黑体" w:eastAsia="黑体"/>
        </w:rPr>
        <w:fldChar w:fldCharType="end"/>
      </w:r>
    </w:p>
    <w:p w14:paraId="411E0364">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_Toc28182 </w:instrText>
      </w:r>
      <w:r>
        <w:rPr>
          <w:rFonts w:hint="eastAsia" w:ascii="黑体" w:hAnsi="黑体" w:eastAsia="黑体"/>
        </w:rPr>
        <w:fldChar w:fldCharType="separate"/>
      </w:r>
      <w:r>
        <w:rPr>
          <w:rFonts w:hint="eastAsia" w:ascii="黑体" w:hAnsi="黑体" w:eastAsia="黑体"/>
        </w:rPr>
        <w:t>九、 国有资本经营预算支出决算情况说明</w:t>
      </w:r>
      <w:r>
        <w:tab/>
      </w:r>
      <w:r>
        <w:fldChar w:fldCharType="begin"/>
      </w:r>
      <w:r>
        <w:instrText xml:space="preserve"> PAGEREF _Toc28182 </w:instrText>
      </w:r>
      <w:r>
        <w:fldChar w:fldCharType="separate"/>
      </w:r>
      <w:r>
        <w:t>20</w:t>
      </w:r>
      <w:r>
        <w:fldChar w:fldCharType="end"/>
      </w:r>
      <w:r>
        <w:rPr>
          <w:rFonts w:hint="eastAsia" w:ascii="黑体" w:hAnsi="黑体" w:eastAsia="黑体"/>
        </w:rPr>
        <w:fldChar w:fldCharType="end"/>
      </w:r>
    </w:p>
    <w:p w14:paraId="64BEFC35">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_Toc15630 </w:instrText>
      </w:r>
      <w:r>
        <w:rPr>
          <w:rFonts w:hint="eastAsia" w:ascii="黑体" w:hAnsi="黑体" w:eastAsia="黑体"/>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_Toc15630 </w:instrText>
      </w:r>
      <w:r>
        <w:fldChar w:fldCharType="separate"/>
      </w:r>
      <w:r>
        <w:t>20</w:t>
      </w:r>
      <w:r>
        <w:fldChar w:fldCharType="end"/>
      </w:r>
      <w:r>
        <w:rPr>
          <w:rFonts w:hint="eastAsia" w:ascii="黑体" w:hAnsi="黑体" w:eastAsia="黑体"/>
        </w:rPr>
        <w:fldChar w:fldCharType="end"/>
      </w:r>
    </w:p>
    <w:p w14:paraId="62A171D8">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_Toc23229 </w:instrText>
      </w:r>
      <w:r>
        <w:rPr>
          <w:rFonts w:hint="eastAsia" w:ascii="黑体" w:hAnsi="黑体" w:eastAsia="黑体"/>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_Toc23229 </w:instrText>
      </w:r>
      <w:r>
        <w:fldChar w:fldCharType="separate"/>
      </w:r>
      <w:r>
        <w:t>24</w:t>
      </w:r>
      <w:r>
        <w:fldChar w:fldCharType="end"/>
      </w:r>
      <w:r>
        <w:rPr>
          <w:rFonts w:hint="eastAsia" w:ascii="黑体" w:hAnsi="黑体" w:eastAsia="黑体"/>
        </w:rPr>
        <w:fldChar w:fldCharType="end"/>
      </w:r>
    </w:p>
    <w:p w14:paraId="00CA9F04">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_Toc26848 </w:instrText>
      </w:r>
      <w:r>
        <w:rPr>
          <w:rFonts w:hint="eastAsia" w:ascii="黑体" w:hAnsi="黑体" w:eastAsia="黑体"/>
        </w:rPr>
        <w:fldChar w:fldCharType="separate"/>
      </w:r>
      <w:r>
        <w:rPr>
          <w:rFonts w:hint="eastAsia" w:ascii="仿宋_GB2312" w:hAnsi="仿宋_GB2312" w:eastAsia="仿宋_GB2312" w:cs="仿宋_GB2312"/>
          <w:szCs w:val="32"/>
        </w:rPr>
        <w:t>第四部分 附件</w:t>
      </w:r>
      <w:r>
        <w:tab/>
      </w:r>
      <w:r>
        <w:fldChar w:fldCharType="begin"/>
      </w:r>
      <w:r>
        <w:instrText xml:space="preserve"> PAGEREF _Toc26848 </w:instrText>
      </w:r>
      <w:r>
        <w:fldChar w:fldCharType="separate"/>
      </w:r>
      <w:r>
        <w:t>28</w:t>
      </w:r>
      <w:r>
        <w:fldChar w:fldCharType="end"/>
      </w:r>
      <w:r>
        <w:rPr>
          <w:rFonts w:hint="eastAsia" w:ascii="黑体" w:hAnsi="黑体" w:eastAsia="黑体"/>
        </w:rPr>
        <w:fldChar w:fldCharType="end"/>
      </w:r>
    </w:p>
    <w:p w14:paraId="287491BC">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_Toc13330 </w:instrText>
      </w:r>
      <w:r>
        <w:rPr>
          <w:rFonts w:hint="eastAsia" w:ascii="黑体" w:hAnsi="黑体" w:eastAsia="黑体"/>
        </w:rPr>
        <w:fldChar w:fldCharType="separate"/>
      </w:r>
      <w:r>
        <w:rPr>
          <w:rFonts w:hint="eastAsia" w:ascii="仿宋_GB2312" w:hAnsi="仿宋_GB2312" w:eastAsia="仿宋_GB2312" w:cs="仿宋_GB2312"/>
          <w:szCs w:val="32"/>
        </w:rPr>
        <w:t>附件1</w:t>
      </w:r>
      <w:r>
        <w:tab/>
      </w:r>
      <w:r>
        <w:fldChar w:fldCharType="begin"/>
      </w:r>
      <w:r>
        <w:instrText xml:space="preserve"> PAGEREF _Toc13330 </w:instrText>
      </w:r>
      <w:r>
        <w:fldChar w:fldCharType="separate"/>
      </w:r>
      <w:r>
        <w:t>28</w:t>
      </w:r>
      <w:r>
        <w:fldChar w:fldCharType="end"/>
      </w:r>
      <w:r>
        <w:rPr>
          <w:rFonts w:hint="eastAsia" w:ascii="黑体" w:hAnsi="黑体" w:eastAsia="黑体"/>
        </w:rPr>
        <w:fldChar w:fldCharType="end"/>
      </w:r>
    </w:p>
    <w:p w14:paraId="533CEABA">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_Toc12310 </w:instrText>
      </w:r>
      <w:r>
        <w:rPr>
          <w:rFonts w:hint="eastAsia" w:ascii="黑体" w:hAnsi="黑体" w:eastAsia="黑体"/>
        </w:rPr>
        <w:fldChar w:fldCharType="separate"/>
      </w:r>
      <w:r>
        <w:rPr>
          <w:rFonts w:hint="default" w:ascii="Times New Roman" w:hAnsi="Times New Roman" w:eastAsia="方正黑体_GBK" w:cs="Times New Roman"/>
          <w:bCs w:val="0"/>
          <w:szCs w:val="32"/>
        </w:rPr>
        <w:t>附件2</w:t>
      </w:r>
      <w:r>
        <w:tab/>
      </w:r>
      <w:r>
        <w:fldChar w:fldCharType="begin"/>
      </w:r>
      <w:r>
        <w:instrText xml:space="preserve"> PAGEREF _Toc12310 </w:instrText>
      </w:r>
      <w:r>
        <w:fldChar w:fldCharType="separate"/>
      </w:r>
      <w:r>
        <w:t>36</w:t>
      </w:r>
      <w:r>
        <w:fldChar w:fldCharType="end"/>
      </w:r>
      <w:r>
        <w:rPr>
          <w:rFonts w:hint="eastAsia" w:ascii="黑体" w:hAnsi="黑体" w:eastAsia="黑体"/>
        </w:rPr>
        <w:fldChar w:fldCharType="end"/>
      </w:r>
    </w:p>
    <w:p w14:paraId="67AA66D3">
      <w:pPr>
        <w:pStyle w:val="12"/>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_Toc10222 </w:instrText>
      </w:r>
      <w:r>
        <w:rPr>
          <w:rFonts w:hint="eastAsia" w:ascii="黑体" w:hAnsi="黑体" w:eastAsia="黑体"/>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_Toc10222 </w:instrText>
      </w:r>
      <w:r>
        <w:fldChar w:fldCharType="separate"/>
      </w:r>
      <w:r>
        <w:t>40</w:t>
      </w:r>
      <w:r>
        <w:fldChar w:fldCharType="end"/>
      </w:r>
      <w:r>
        <w:rPr>
          <w:rFonts w:hint="eastAsia" w:ascii="黑体" w:hAnsi="黑体" w:eastAsia="黑体"/>
        </w:rPr>
        <w:fldChar w:fldCharType="end"/>
      </w:r>
    </w:p>
    <w:p w14:paraId="4BCEBE95">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_Toc11946 </w:instrText>
      </w:r>
      <w:r>
        <w:rPr>
          <w:rFonts w:hint="eastAsia" w:ascii="黑体" w:hAnsi="黑体" w:eastAsia="黑体"/>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_Toc11946 </w:instrText>
      </w:r>
      <w:r>
        <w:fldChar w:fldCharType="separate"/>
      </w:r>
      <w:r>
        <w:t>40</w:t>
      </w:r>
      <w:r>
        <w:fldChar w:fldCharType="end"/>
      </w:r>
      <w:r>
        <w:rPr>
          <w:rFonts w:hint="eastAsia" w:ascii="黑体" w:hAnsi="黑体" w:eastAsia="黑体"/>
        </w:rPr>
        <w:fldChar w:fldCharType="end"/>
      </w:r>
    </w:p>
    <w:p w14:paraId="5E777970">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_Toc31192 </w:instrText>
      </w:r>
      <w:r>
        <w:rPr>
          <w:rFonts w:hint="eastAsia" w:ascii="黑体" w:hAnsi="黑体" w:eastAsia="黑体"/>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_Toc31192 </w:instrText>
      </w:r>
      <w:r>
        <w:fldChar w:fldCharType="separate"/>
      </w:r>
      <w:r>
        <w:t>40</w:t>
      </w:r>
      <w:r>
        <w:fldChar w:fldCharType="end"/>
      </w:r>
      <w:r>
        <w:rPr>
          <w:rFonts w:hint="eastAsia" w:ascii="黑体" w:hAnsi="黑体" w:eastAsia="黑体"/>
        </w:rPr>
        <w:fldChar w:fldCharType="end"/>
      </w:r>
    </w:p>
    <w:p w14:paraId="119A556D">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_Toc15257 </w:instrText>
      </w:r>
      <w:r>
        <w:rPr>
          <w:rFonts w:hint="eastAsia" w:ascii="黑体" w:hAnsi="黑体" w:eastAsia="黑体"/>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_Toc15257 </w:instrText>
      </w:r>
      <w:r>
        <w:fldChar w:fldCharType="separate"/>
      </w:r>
      <w:r>
        <w:t>40</w:t>
      </w:r>
      <w:r>
        <w:fldChar w:fldCharType="end"/>
      </w:r>
      <w:r>
        <w:rPr>
          <w:rFonts w:hint="eastAsia" w:ascii="黑体" w:hAnsi="黑体" w:eastAsia="黑体"/>
        </w:rPr>
        <w:fldChar w:fldCharType="end"/>
      </w:r>
    </w:p>
    <w:p w14:paraId="7C5506F7">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_Toc2085 </w:instrText>
      </w:r>
      <w:r>
        <w:rPr>
          <w:rFonts w:hint="eastAsia" w:ascii="黑体" w:hAnsi="黑体" w:eastAsia="黑体"/>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_Toc2085 </w:instrText>
      </w:r>
      <w:r>
        <w:fldChar w:fldCharType="separate"/>
      </w:r>
      <w:r>
        <w:t>40</w:t>
      </w:r>
      <w:r>
        <w:fldChar w:fldCharType="end"/>
      </w:r>
      <w:r>
        <w:rPr>
          <w:rFonts w:hint="eastAsia" w:ascii="黑体" w:hAnsi="黑体" w:eastAsia="黑体"/>
        </w:rPr>
        <w:fldChar w:fldCharType="end"/>
      </w:r>
    </w:p>
    <w:p w14:paraId="13FF01B7">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_Toc14853 </w:instrText>
      </w:r>
      <w:r>
        <w:rPr>
          <w:rFonts w:hint="eastAsia" w:ascii="黑体" w:hAnsi="黑体" w:eastAsia="黑体"/>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_Toc14853 </w:instrText>
      </w:r>
      <w:r>
        <w:fldChar w:fldCharType="separate"/>
      </w:r>
      <w:r>
        <w:t>40</w:t>
      </w:r>
      <w:r>
        <w:fldChar w:fldCharType="end"/>
      </w:r>
      <w:r>
        <w:rPr>
          <w:rFonts w:hint="eastAsia" w:ascii="黑体" w:hAnsi="黑体" w:eastAsia="黑体"/>
        </w:rPr>
        <w:fldChar w:fldCharType="end"/>
      </w:r>
    </w:p>
    <w:p w14:paraId="43D2AB5C">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_Toc14087 </w:instrText>
      </w:r>
      <w:r>
        <w:rPr>
          <w:rFonts w:hint="eastAsia" w:ascii="黑体" w:hAnsi="黑体" w:eastAsia="黑体"/>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_Toc14087 </w:instrText>
      </w:r>
      <w:r>
        <w:fldChar w:fldCharType="separate"/>
      </w:r>
      <w:r>
        <w:t>40</w:t>
      </w:r>
      <w:r>
        <w:fldChar w:fldCharType="end"/>
      </w:r>
      <w:r>
        <w:rPr>
          <w:rFonts w:hint="eastAsia" w:ascii="黑体" w:hAnsi="黑体" w:eastAsia="黑体"/>
        </w:rPr>
        <w:fldChar w:fldCharType="end"/>
      </w:r>
    </w:p>
    <w:p w14:paraId="660E8862">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_Toc15499 </w:instrText>
      </w:r>
      <w:r>
        <w:rPr>
          <w:rFonts w:hint="eastAsia" w:ascii="黑体" w:hAnsi="黑体" w:eastAsia="黑体"/>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_Toc15499 </w:instrText>
      </w:r>
      <w:r>
        <w:fldChar w:fldCharType="separate"/>
      </w:r>
      <w:r>
        <w:t>40</w:t>
      </w:r>
      <w:r>
        <w:fldChar w:fldCharType="end"/>
      </w:r>
      <w:r>
        <w:rPr>
          <w:rFonts w:hint="eastAsia" w:ascii="黑体" w:hAnsi="黑体" w:eastAsia="黑体"/>
        </w:rPr>
        <w:fldChar w:fldCharType="end"/>
      </w:r>
    </w:p>
    <w:p w14:paraId="797E4FEC">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_Toc22806 </w:instrText>
      </w:r>
      <w:r>
        <w:rPr>
          <w:rFonts w:hint="eastAsia" w:ascii="黑体" w:hAnsi="黑体" w:eastAsia="黑体"/>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_Toc22806 </w:instrText>
      </w:r>
      <w:r>
        <w:fldChar w:fldCharType="separate"/>
      </w:r>
      <w:r>
        <w:t>40</w:t>
      </w:r>
      <w:r>
        <w:fldChar w:fldCharType="end"/>
      </w:r>
      <w:r>
        <w:rPr>
          <w:rFonts w:hint="eastAsia" w:ascii="黑体" w:hAnsi="黑体" w:eastAsia="黑体"/>
        </w:rPr>
        <w:fldChar w:fldCharType="end"/>
      </w:r>
    </w:p>
    <w:p w14:paraId="4BC9DE57">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_Toc21541 </w:instrText>
      </w:r>
      <w:r>
        <w:rPr>
          <w:rFonts w:hint="eastAsia" w:ascii="黑体" w:hAnsi="黑体" w:eastAsia="黑体"/>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_Toc21541 </w:instrText>
      </w:r>
      <w:r>
        <w:fldChar w:fldCharType="separate"/>
      </w:r>
      <w:r>
        <w:t>40</w:t>
      </w:r>
      <w:r>
        <w:fldChar w:fldCharType="end"/>
      </w:r>
      <w:r>
        <w:rPr>
          <w:rFonts w:hint="eastAsia" w:ascii="黑体" w:hAnsi="黑体" w:eastAsia="黑体"/>
        </w:rPr>
        <w:fldChar w:fldCharType="end"/>
      </w:r>
    </w:p>
    <w:p w14:paraId="05B0F77D">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_Toc10518 </w:instrText>
      </w:r>
      <w:r>
        <w:rPr>
          <w:rFonts w:hint="eastAsia" w:ascii="黑体" w:hAnsi="黑体" w:eastAsia="黑体"/>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_Toc10518 </w:instrText>
      </w:r>
      <w:r>
        <w:fldChar w:fldCharType="separate"/>
      </w:r>
      <w:r>
        <w:t>40</w:t>
      </w:r>
      <w:r>
        <w:fldChar w:fldCharType="end"/>
      </w:r>
      <w:r>
        <w:rPr>
          <w:rFonts w:hint="eastAsia" w:ascii="黑体" w:hAnsi="黑体" w:eastAsia="黑体"/>
        </w:rPr>
        <w:fldChar w:fldCharType="end"/>
      </w:r>
    </w:p>
    <w:p w14:paraId="7B1D2F26">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_Toc28502 </w:instrText>
      </w:r>
      <w:r>
        <w:rPr>
          <w:rFonts w:hint="eastAsia" w:ascii="黑体" w:hAnsi="黑体" w:eastAsia="黑体"/>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_Toc28502 </w:instrText>
      </w:r>
      <w:r>
        <w:fldChar w:fldCharType="separate"/>
      </w:r>
      <w:r>
        <w:t>40</w:t>
      </w:r>
      <w:r>
        <w:fldChar w:fldCharType="end"/>
      </w:r>
      <w:r>
        <w:rPr>
          <w:rFonts w:hint="eastAsia" w:ascii="黑体" w:hAnsi="黑体" w:eastAsia="黑体"/>
        </w:rPr>
        <w:fldChar w:fldCharType="end"/>
      </w:r>
    </w:p>
    <w:p w14:paraId="17B01F39">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_Toc18190 </w:instrText>
      </w:r>
      <w:r>
        <w:rPr>
          <w:rFonts w:hint="eastAsia" w:ascii="黑体" w:hAnsi="黑体" w:eastAsia="黑体"/>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_Toc18190 </w:instrText>
      </w:r>
      <w:r>
        <w:fldChar w:fldCharType="separate"/>
      </w:r>
      <w:r>
        <w:t>40</w:t>
      </w:r>
      <w:r>
        <w:fldChar w:fldCharType="end"/>
      </w:r>
      <w:r>
        <w:rPr>
          <w:rFonts w:hint="eastAsia" w:ascii="黑体" w:hAnsi="黑体" w:eastAsia="黑体"/>
        </w:rPr>
        <w:fldChar w:fldCharType="end"/>
      </w:r>
    </w:p>
    <w:p w14:paraId="291F1EC0">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_Toc4973 </w:instrText>
      </w:r>
      <w:r>
        <w:rPr>
          <w:rFonts w:hint="eastAsia" w:ascii="黑体" w:hAnsi="黑体" w:eastAsia="黑体"/>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_Toc4973 </w:instrText>
      </w:r>
      <w:r>
        <w:fldChar w:fldCharType="separate"/>
      </w:r>
      <w:r>
        <w:t>40</w:t>
      </w:r>
      <w:r>
        <w:fldChar w:fldCharType="end"/>
      </w:r>
      <w:r>
        <w:rPr>
          <w:rFonts w:hint="eastAsia" w:ascii="黑体" w:hAnsi="黑体" w:eastAsia="黑体"/>
        </w:rPr>
        <w:fldChar w:fldCharType="end"/>
      </w:r>
    </w:p>
    <w:p w14:paraId="7BC39291">
      <w:pPr>
        <w:pStyle w:val="13"/>
        <w:tabs>
          <w:tab w:val="right" w:leader="dot" w:pos="8306"/>
          <w:tab w:val="clear" w:pos="8296"/>
        </w:tabs>
      </w:pPr>
      <w:r>
        <w:rPr>
          <w:rFonts w:hint="eastAsia" w:ascii="黑体" w:hAnsi="黑体" w:eastAsia="黑体"/>
        </w:rPr>
        <w:fldChar w:fldCharType="begin"/>
      </w:r>
      <w:r>
        <w:rPr>
          <w:rFonts w:hint="eastAsia" w:ascii="黑体" w:hAnsi="黑体" w:eastAsia="黑体"/>
        </w:rPr>
        <w:instrText xml:space="preserve"> HYPERLINK \l _Toc31464 </w:instrText>
      </w:r>
      <w:r>
        <w:rPr>
          <w:rFonts w:hint="eastAsia" w:ascii="黑体" w:hAnsi="黑体" w:eastAsia="黑体"/>
        </w:rPr>
        <w:fldChar w:fldCharType="separate"/>
      </w:r>
      <w:r>
        <w:rPr>
          <w:rFonts w:hint="eastAsia" w:ascii="仿宋" w:hAnsi="仿宋" w:eastAsia="仿宋"/>
          <w:bCs w:val="0"/>
          <w:lang w:eastAsia="zh-CN"/>
        </w:rPr>
        <w:t>十四、机关运行经费、资产占用情况及政府采购支出信息表</w:t>
      </w:r>
      <w:r>
        <w:tab/>
      </w:r>
      <w:r>
        <w:fldChar w:fldCharType="begin"/>
      </w:r>
      <w:r>
        <w:instrText xml:space="preserve"> PAGEREF _Toc31464 </w:instrText>
      </w:r>
      <w:r>
        <w:fldChar w:fldCharType="separate"/>
      </w:r>
      <w:r>
        <w:t>40</w:t>
      </w:r>
      <w:r>
        <w:fldChar w:fldCharType="end"/>
      </w:r>
      <w:r>
        <w:rPr>
          <w:rFonts w:hint="eastAsia" w:ascii="黑体" w:hAnsi="黑体" w:eastAsia="黑体"/>
        </w:rPr>
        <w:fldChar w:fldCharType="end"/>
      </w:r>
    </w:p>
    <w:p w14:paraId="4A173039">
      <w:pPr>
        <w:pStyle w:val="3"/>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b w:val="0"/>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黑体" w:hAnsi="黑体" w:eastAsia="黑体"/>
        </w:rPr>
        <w:fldChar w:fldCharType="end"/>
      </w:r>
    </w:p>
    <w:p w14:paraId="6263727D">
      <w:pPr>
        <w:pStyle w:val="3"/>
        <w:jc w:val="center"/>
        <w:rPr>
          <w:rStyle w:val="27"/>
          <w:rFonts w:ascii="黑体" w:hAnsi="黑体" w:eastAsia="黑体"/>
          <w:b/>
          <w:bCs w:val="0"/>
        </w:rPr>
      </w:pPr>
      <w:bookmarkStart w:id="11" w:name="_Toc582"/>
      <w:r>
        <w:rPr>
          <w:rFonts w:hint="eastAsia" w:ascii="黑体" w:hAnsi="黑体" w:eastAsia="黑体"/>
          <w:b w:val="0"/>
        </w:rPr>
        <w:t xml:space="preserve">第一部分 </w:t>
      </w:r>
      <w:r>
        <w:rPr>
          <w:rStyle w:val="27"/>
          <w:rFonts w:hint="eastAsia" w:ascii="黑体" w:hAnsi="黑体" w:eastAsia="黑体"/>
          <w:b w:val="0"/>
          <w:bCs w:val="0"/>
        </w:rPr>
        <w:t>部门概况</w:t>
      </w:r>
      <w:bookmarkEnd w:id="9"/>
      <w:bookmarkEnd w:id="10"/>
      <w:bookmarkEnd w:id="11"/>
    </w:p>
    <w:p w14:paraId="63E3BC40">
      <w:pPr>
        <w:widowControl/>
        <w:jc w:val="left"/>
        <w:rPr>
          <w:rFonts w:ascii="黑体" w:eastAsia="黑体"/>
          <w:color w:val="000000"/>
          <w:sz w:val="32"/>
          <w:szCs w:val="32"/>
        </w:rPr>
      </w:pPr>
    </w:p>
    <w:p w14:paraId="35D33770">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textAlignment w:val="auto"/>
        <w:outlineLvl w:val="1"/>
        <w:rPr>
          <w:rFonts w:hint="default" w:ascii="Times New Roman" w:hAnsi="Times New Roman" w:eastAsia="方正黑体_GBK" w:cs="Times New Roman"/>
        </w:rPr>
      </w:pPr>
      <w:bookmarkStart w:id="12" w:name="_Toc1588"/>
      <w:bookmarkStart w:id="13" w:name="_Toc15377198"/>
      <w:bookmarkStart w:id="14" w:name="_Toc15378445"/>
      <w:r>
        <w:rPr>
          <w:rFonts w:hint="default" w:ascii="Times New Roman" w:hAnsi="Times New Roman" w:eastAsia="方正黑体_GBK" w:cs="Times New Roman"/>
          <w:b w:val="0"/>
          <w:color w:val="000000"/>
        </w:rPr>
        <w:t>基</w:t>
      </w:r>
      <w:r>
        <w:rPr>
          <w:rStyle w:val="28"/>
          <w:rFonts w:hint="default" w:ascii="Times New Roman" w:hAnsi="Times New Roman" w:eastAsia="方正黑体_GBK" w:cs="Times New Roman"/>
          <w:b w:val="0"/>
          <w:bCs w:val="0"/>
        </w:rPr>
        <w:t>本职能及主要工作</w:t>
      </w:r>
      <w:bookmarkEnd w:id="12"/>
    </w:p>
    <w:p w14:paraId="1AAA3622">
      <w:pPr>
        <w:pStyle w:val="5"/>
        <w:keepNext/>
        <w:keepLines/>
        <w:pageBreakBefore w:val="0"/>
        <w:widowControl w:val="0"/>
        <w:kinsoku/>
        <w:wordWrap/>
        <w:overflowPunct/>
        <w:topLinePunct w:val="0"/>
        <w:autoSpaceDE/>
        <w:autoSpaceDN/>
        <w:bidi w:val="0"/>
        <w:adjustRightInd/>
        <w:snapToGrid/>
        <w:spacing w:before="0" w:after="0" w:line="560" w:lineRule="exact"/>
        <w:ind w:firstLine="602" w:firstLineChars="200"/>
        <w:textAlignment w:val="auto"/>
        <w:outlineLvl w:val="2"/>
        <w:rPr>
          <w:rFonts w:hint="default" w:ascii="Times New Roman" w:hAnsi="Times New Roman" w:eastAsia="方正楷体_GBK" w:cs="Times New Roman"/>
          <w:sz w:val="30"/>
          <w:szCs w:val="30"/>
        </w:rPr>
      </w:pPr>
      <w:r>
        <w:rPr>
          <w:rFonts w:hint="default" w:ascii="Times New Roman" w:hAnsi="Times New Roman" w:eastAsia="方正楷体_GBK" w:cs="Times New Roman"/>
          <w:sz w:val="30"/>
          <w:szCs w:val="30"/>
        </w:rPr>
        <w:t>（一）基本职能</w:t>
      </w:r>
    </w:p>
    <w:p w14:paraId="7E644E68">
      <w:pPr>
        <w:pageBreakBefore w:val="0"/>
        <w:widowControl/>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仿宋_GB2312" w:cs="Times New Roman"/>
          <w:b/>
          <w:bCs/>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en-US" w:eastAsia="zh-CN"/>
        </w:rPr>
        <w:t>1.落实政策。</w:t>
      </w:r>
      <w:r>
        <w:rPr>
          <w:rFonts w:hint="default" w:ascii="Times New Roman" w:hAnsi="Times New Roman" w:eastAsia="仿宋_GB2312" w:cs="Times New Roman"/>
          <w:b w:val="0"/>
          <w:bCs w:val="0"/>
          <w:color w:val="000000"/>
          <w:kern w:val="0"/>
          <w:sz w:val="32"/>
          <w:szCs w:val="32"/>
          <w:lang w:val="en-US" w:eastAsia="zh-CN"/>
        </w:rPr>
        <w:t>宣传、落实好党的路线、方针、政策和国家的法律、法规，稳定农村基本经济制度，坚持依法行政，推进政务公开，加强对村民委员会的指导，提高、培育村民委员会自治能力。</w:t>
      </w:r>
    </w:p>
    <w:p w14:paraId="7DA4C944">
      <w:pPr>
        <w:pageBreakBefore w:val="0"/>
        <w:widowControl/>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rPr>
        <w:t>2.</w:t>
      </w:r>
      <w:r>
        <w:rPr>
          <w:rFonts w:hint="default" w:ascii="Times New Roman" w:hAnsi="Times New Roman" w:eastAsia="仿宋_GB2312" w:cs="Times New Roman"/>
          <w:b/>
          <w:bCs/>
          <w:color w:val="000000"/>
          <w:kern w:val="0"/>
          <w:sz w:val="32"/>
          <w:szCs w:val="32"/>
        </w:rPr>
        <w:t>促进发展。</w:t>
      </w:r>
      <w:r>
        <w:rPr>
          <w:rFonts w:hint="default" w:ascii="Times New Roman" w:hAnsi="Times New Roman" w:eastAsia="仿宋_GB2312" w:cs="Times New Roman"/>
          <w:color w:val="000000"/>
          <w:kern w:val="0"/>
          <w:sz w:val="32"/>
          <w:szCs w:val="32"/>
        </w:rPr>
        <w:t>科学制订发展规划，营造农村经济发展环境，加强农村市场监督，培育、提升市场功能，搞活市场流通，推广农业技术，完善农业社会化服务体系，引导农民发展现代化农业，调整产业结构，加强农村劳动力技能培训，引导农村劳动力转移和就业，不断提高社会主义新农村建设水平。</w:t>
      </w:r>
    </w:p>
    <w:p w14:paraId="5DAB46A4">
      <w:pPr>
        <w:pageBreakBefore w:val="0"/>
        <w:widowControl/>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color w:val="000000"/>
          <w:kern w:val="0"/>
          <w:sz w:val="32"/>
          <w:szCs w:val="32"/>
          <w:lang w:val="en-US" w:eastAsia="zh-CN"/>
        </w:rPr>
        <w:t>3.</w:t>
      </w:r>
      <w:r>
        <w:rPr>
          <w:rFonts w:hint="default" w:ascii="Times New Roman" w:hAnsi="Times New Roman" w:eastAsia="仿宋_GB2312" w:cs="Times New Roman"/>
          <w:b/>
          <w:bCs/>
          <w:color w:val="000000"/>
          <w:kern w:val="0"/>
          <w:sz w:val="32"/>
          <w:szCs w:val="32"/>
        </w:rPr>
        <w:t>维护稳定。</w:t>
      </w:r>
      <w:r>
        <w:rPr>
          <w:rFonts w:hint="default" w:ascii="Times New Roman" w:hAnsi="Times New Roman" w:eastAsia="仿宋_GB2312" w:cs="Times New Roman"/>
          <w:color w:val="000000"/>
          <w:kern w:val="0"/>
          <w:sz w:val="32"/>
          <w:szCs w:val="32"/>
        </w:rPr>
        <w:t>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w:t>
      </w:r>
    </w:p>
    <w:p w14:paraId="6268D742">
      <w:pPr>
        <w:pageBreakBefore w:val="0"/>
        <w:widowControl/>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rPr>
        <w:t>4.</w:t>
      </w:r>
      <w:r>
        <w:rPr>
          <w:rFonts w:hint="default" w:ascii="Times New Roman" w:hAnsi="Times New Roman" w:eastAsia="仿宋_GB2312" w:cs="Times New Roman"/>
          <w:b/>
          <w:bCs/>
          <w:color w:val="000000"/>
          <w:kern w:val="0"/>
          <w:sz w:val="32"/>
          <w:szCs w:val="32"/>
        </w:rPr>
        <w:t>加强管理。</w:t>
      </w:r>
      <w:r>
        <w:rPr>
          <w:rFonts w:hint="default" w:ascii="Times New Roman" w:hAnsi="Times New Roman" w:eastAsia="仿宋_GB2312" w:cs="Times New Roman"/>
          <w:color w:val="000000"/>
          <w:kern w:val="0"/>
          <w:sz w:val="32"/>
          <w:szCs w:val="32"/>
        </w:rPr>
        <w:t>加强民政、教育、科技、文化、卫生、计划生育、安全生产、劳动保障和乡村规划等社会管理，加强社会主义精神文明建设，做好防灾减灾工作，加强环境保护，努力改善农村人居环境，不断提高农村人口素质和农民生活质量。</w:t>
      </w:r>
    </w:p>
    <w:p w14:paraId="2A654E9A">
      <w:pPr>
        <w:pageBreakBefore w:val="0"/>
        <w:widowControl/>
        <w:kinsoku/>
        <w:wordWrap/>
        <w:overflowPunct/>
        <w:topLinePunct w:val="0"/>
        <w:autoSpaceDE/>
        <w:autoSpaceDN/>
        <w:bidi w:val="0"/>
        <w:spacing w:line="560" w:lineRule="exact"/>
        <w:ind w:firstLine="643" w:firstLineChars="200"/>
        <w:jc w:val="left"/>
        <w:textAlignment w:val="auto"/>
        <w:rPr>
          <w:rFonts w:ascii="仿宋" w:hAnsi="仿宋" w:eastAsia="仿宋"/>
          <w:bCs/>
          <w:color w:val="000000"/>
          <w:sz w:val="32"/>
          <w:szCs w:val="32"/>
        </w:rPr>
      </w:pPr>
      <w:r>
        <w:rPr>
          <w:rFonts w:hint="default" w:ascii="Times New Roman" w:hAnsi="Times New Roman" w:eastAsia="仿宋_GB2312" w:cs="Times New Roman"/>
          <w:b/>
          <w:bCs/>
          <w:color w:val="000000"/>
          <w:kern w:val="0"/>
          <w:sz w:val="32"/>
          <w:szCs w:val="32"/>
          <w:lang w:val="en-US" w:eastAsia="zh-CN"/>
        </w:rPr>
        <w:t>5.</w:t>
      </w:r>
      <w:r>
        <w:rPr>
          <w:rFonts w:hint="default" w:ascii="Times New Roman" w:hAnsi="Times New Roman" w:eastAsia="仿宋_GB2312" w:cs="Times New Roman"/>
          <w:b/>
          <w:bCs/>
          <w:color w:val="000000"/>
          <w:kern w:val="0"/>
          <w:sz w:val="32"/>
          <w:szCs w:val="32"/>
        </w:rPr>
        <w:t>提供服务。</w:t>
      </w:r>
      <w:r>
        <w:rPr>
          <w:rFonts w:hint="default" w:ascii="Times New Roman" w:hAnsi="Times New Roman" w:eastAsia="仿宋_GB2312" w:cs="Times New Roman"/>
          <w:color w:val="000000"/>
          <w:kern w:val="0"/>
          <w:sz w:val="32"/>
          <w:szCs w:val="32"/>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人民群众的关系。</w:t>
      </w:r>
      <w:bookmarkEnd w:id="13"/>
      <w:bookmarkEnd w:id="14"/>
    </w:p>
    <w:p w14:paraId="4E630984">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5" w:name="_Toc15378446"/>
      <w:bookmarkStart w:id="16"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5"/>
      <w:bookmarkEnd w:id="16"/>
    </w:p>
    <w:p w14:paraId="5AC2689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lang w:eastAsia="zh-CN"/>
        </w:rPr>
        <w:t>（</w:t>
      </w:r>
      <w:r>
        <w:rPr>
          <w:rFonts w:hint="eastAsia" w:ascii="仿宋" w:hAnsi="仿宋" w:eastAsia="仿宋" w:cs="仿宋"/>
          <w:b/>
          <w:bCs/>
          <w:color w:val="000000"/>
          <w:sz w:val="32"/>
          <w:szCs w:val="32"/>
          <w:lang w:val="en-US" w:eastAsia="zh-CN"/>
        </w:rPr>
        <w:t>一</w:t>
      </w:r>
      <w:r>
        <w:rPr>
          <w:rFonts w:hint="eastAsia" w:ascii="仿宋" w:hAnsi="仿宋" w:eastAsia="仿宋" w:cs="仿宋"/>
          <w:b/>
          <w:bCs/>
          <w:color w:val="000000"/>
          <w:sz w:val="32"/>
          <w:szCs w:val="32"/>
          <w:lang w:eastAsia="zh-CN"/>
        </w:rPr>
        <w:t>）</w:t>
      </w:r>
      <w:r>
        <w:rPr>
          <w:rFonts w:hint="eastAsia" w:ascii="仿宋" w:hAnsi="仿宋" w:eastAsia="仿宋" w:cs="仿宋"/>
          <w:b/>
          <w:bCs/>
          <w:color w:val="000000"/>
          <w:sz w:val="32"/>
          <w:szCs w:val="32"/>
        </w:rPr>
        <w:t>经济发展稳中向好。</w:t>
      </w:r>
      <w:r>
        <w:rPr>
          <w:rFonts w:hint="eastAsia" w:ascii="仿宋" w:hAnsi="仿宋" w:eastAsia="仿宋" w:cs="仿宋"/>
          <w:color w:val="000000"/>
          <w:kern w:val="0"/>
          <w:sz w:val="32"/>
          <w:szCs w:val="32"/>
          <w:lang w:val="en-US" w:eastAsia="zh-CN" w:bidi="ar"/>
        </w:rPr>
        <w:t>2019年，预计完成税收34100万元，预计完成镇域生产总值26.86亿元（目标任务26亿元），较2018年增长2.85% 。其中，第一产业增加值2.41亿元，同比增长6%；第二产业增加值11.07亿元，同比增长2%；第三产业增加值13.38亿元，同比增长11% 。预计完成固定资产投资5.53亿元，其中工业1亿元，完成目标任务的100.5%。预计完成招商引资30.75亿元，完成目标任务的101.65%。预计完成工业总产值26.49亿元，其中规上工业23.49亿元，完成目标任务的111.49%。农民人均可支配收入21900元，增长8.8%。</w:t>
      </w:r>
    </w:p>
    <w:p w14:paraId="34867809">
      <w:pPr>
        <w:keepNext w:val="0"/>
        <w:keepLines w:val="0"/>
        <w:widowControl/>
        <w:suppressLineNumbers w:val="0"/>
        <w:jc w:val="left"/>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（二）</w:t>
      </w:r>
      <w:r>
        <w:rPr>
          <w:rFonts w:hint="eastAsia" w:ascii="仿宋" w:hAnsi="仿宋" w:eastAsia="仿宋" w:cs="仿宋"/>
          <w:b/>
          <w:bCs/>
          <w:color w:val="000000"/>
          <w:sz w:val="32"/>
          <w:szCs w:val="32"/>
        </w:rPr>
        <w:t>三农工作提质增效。</w:t>
      </w:r>
      <w:r>
        <w:rPr>
          <w:rFonts w:hint="eastAsia" w:ascii="仿宋" w:hAnsi="仿宋" w:eastAsia="仿宋" w:cs="仿宋"/>
          <w:color w:val="000000"/>
          <w:sz w:val="32"/>
          <w:szCs w:val="32"/>
        </w:rPr>
        <w:t>建设现代农业</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加快体系转变。不断延伸农业产业链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推动农业融合发展。年全镇大春粮食播种面积2004公顷</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大春经济作物播种面积579公顷</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烤烟种植2541亩</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预计全年粮食产量17544吨，蔬菜产量70837吨，水果产量8315吨，肉类产量2983吨，渔业产量1093吨，总产值达34957万元，同比增长8.3%。争取</w:t>
      </w:r>
      <w:r>
        <w:rPr>
          <w:rFonts w:hint="eastAsia" w:ascii="仿宋" w:hAnsi="仿宋" w:eastAsia="仿宋" w:cs="仿宋"/>
          <w:color w:val="000000"/>
          <w:sz w:val="32"/>
          <w:szCs w:val="32"/>
        </w:rPr>
        <w:t>涉农基础设施建设项目8个</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计划投资992.29万元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其中财政补助737.25万元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社会资金246.04万元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目前已完成项目建设3个。巩固第一轮退耕还林10167.63亩</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保存合格10167.63亩</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督促</w:t>
      </w:r>
      <w:r>
        <w:rPr>
          <w:rFonts w:hint="eastAsia" w:ascii="仿宋" w:hAnsi="仿宋" w:eastAsia="仿宋" w:cs="仿宋"/>
          <w:color w:val="000000"/>
          <w:sz w:val="32"/>
          <w:szCs w:val="32"/>
          <w:lang w:val="en-US" w:eastAsia="zh-CN"/>
        </w:rPr>
        <w:t>完成</w:t>
      </w:r>
      <w:r>
        <w:rPr>
          <w:rFonts w:hint="eastAsia" w:ascii="仿宋" w:hAnsi="仿宋" w:eastAsia="仿宋" w:cs="仿宋"/>
          <w:color w:val="000000"/>
          <w:sz w:val="32"/>
          <w:szCs w:val="32"/>
        </w:rPr>
        <w:t>第二轮退耕还林补植1200亩。</w:t>
      </w:r>
      <w:r>
        <w:rPr>
          <w:rFonts w:hint="eastAsia" w:ascii="仿宋" w:hAnsi="仿宋" w:eastAsia="仿宋" w:cs="仿宋"/>
          <w:color w:val="000000"/>
          <w:sz w:val="32"/>
          <w:szCs w:val="32"/>
          <w:lang w:val="en-US" w:eastAsia="zh-CN"/>
        </w:rPr>
        <w:t>农业各项补贴按时发放到位，</w:t>
      </w:r>
      <w:r>
        <w:rPr>
          <w:rFonts w:hint="eastAsia" w:ascii="仿宋" w:hAnsi="仿宋" w:eastAsia="仿宋" w:cs="仿宋"/>
          <w:color w:val="000000"/>
          <w:sz w:val="32"/>
          <w:szCs w:val="32"/>
        </w:rPr>
        <w:t>兑现退耕还林补助资金48</w:t>
      </w:r>
      <w:r>
        <w:rPr>
          <w:rFonts w:hint="eastAsia" w:ascii="仿宋" w:hAnsi="仿宋" w:eastAsia="仿宋" w:cs="仿宋"/>
          <w:color w:val="000000"/>
          <w:sz w:val="32"/>
          <w:szCs w:val="32"/>
          <w:lang w:val="en-US" w:eastAsia="zh-CN"/>
        </w:rPr>
        <w:t>万</w:t>
      </w:r>
      <w:r>
        <w:rPr>
          <w:rFonts w:hint="eastAsia" w:ascii="仿宋" w:hAnsi="仿宋" w:eastAsia="仿宋" w:cs="仿宋"/>
          <w:color w:val="000000"/>
          <w:sz w:val="32"/>
          <w:szCs w:val="32"/>
        </w:rPr>
        <w:t>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发放2018年稻谷补贴3751户332017.14元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烤烟税返、燃煤补贴均已经全部兑现。</w:t>
      </w:r>
    </w:p>
    <w:p w14:paraId="63987B5B">
      <w:pPr>
        <w:ind w:firstLine="643" w:firstLineChars="20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lang w:val="en-US" w:eastAsia="zh-CN"/>
        </w:rPr>
        <w:t>（三）安全生产履职尽责。</w:t>
      </w:r>
      <w:r>
        <w:rPr>
          <w:rFonts w:hint="eastAsia" w:ascii="仿宋" w:hAnsi="仿宋" w:eastAsia="仿宋" w:cs="仿宋"/>
          <w:color w:val="000000"/>
          <w:sz w:val="32"/>
          <w:szCs w:val="32"/>
          <w:lang w:eastAsia="zh-CN"/>
        </w:rPr>
        <w:t>强化安全生产意识，</w:t>
      </w:r>
      <w:r>
        <w:rPr>
          <w:rFonts w:hint="eastAsia" w:ascii="仿宋" w:hAnsi="仿宋" w:eastAsia="仿宋" w:cs="仿宋"/>
          <w:color w:val="000000"/>
          <w:sz w:val="32"/>
          <w:szCs w:val="32"/>
          <w:lang w:val="en-US" w:eastAsia="zh-CN"/>
        </w:rPr>
        <w:t>扎实</w:t>
      </w:r>
      <w:r>
        <w:rPr>
          <w:rFonts w:hint="eastAsia" w:ascii="仿宋" w:hAnsi="仿宋" w:eastAsia="仿宋" w:cs="仿宋"/>
          <w:color w:val="000000"/>
          <w:sz w:val="32"/>
          <w:szCs w:val="32"/>
          <w:lang w:eastAsia="zh-CN"/>
        </w:rPr>
        <w:t>安排部署安全生产工作，实行24小时值班在岗</w:t>
      </w:r>
      <w:r>
        <w:rPr>
          <w:rFonts w:hint="eastAsia" w:ascii="仿宋" w:hAnsi="仿宋" w:eastAsia="仿宋" w:cs="仿宋"/>
          <w:color w:val="000000"/>
          <w:sz w:val="32"/>
          <w:szCs w:val="32"/>
          <w:lang w:val="en-US" w:eastAsia="zh-CN"/>
        </w:rPr>
        <w:t>制度</w:t>
      </w:r>
      <w:r>
        <w:rPr>
          <w:rFonts w:hint="eastAsia" w:ascii="仿宋" w:hAnsi="仿宋" w:eastAsia="仿宋" w:cs="仿宋"/>
          <w:color w:val="000000"/>
          <w:sz w:val="32"/>
          <w:szCs w:val="32"/>
          <w:lang w:eastAsia="zh-CN"/>
        </w:rPr>
        <w:t>。浓厚安全</w:t>
      </w:r>
      <w:r>
        <w:rPr>
          <w:rFonts w:hint="eastAsia" w:ascii="仿宋" w:hAnsi="仿宋" w:eastAsia="仿宋" w:cs="仿宋"/>
          <w:color w:val="000000"/>
          <w:sz w:val="32"/>
          <w:szCs w:val="32"/>
          <w:lang w:val="en-US" w:eastAsia="zh-CN"/>
        </w:rPr>
        <w:t>意识</w:t>
      </w:r>
      <w:r>
        <w:rPr>
          <w:rFonts w:hint="eastAsia" w:ascii="仿宋" w:hAnsi="仿宋" w:eastAsia="仿宋" w:cs="仿宋"/>
          <w:color w:val="000000"/>
          <w:sz w:val="32"/>
          <w:szCs w:val="32"/>
          <w:lang w:eastAsia="zh-CN"/>
        </w:rPr>
        <w:t>氛围，设立安全生产宣传栏10余个、悬挂横幅10余幅，发放各种安全宣传资料1000余份，接受群众咨询达800余人次。落实责任</w:t>
      </w:r>
      <w:r>
        <w:rPr>
          <w:rFonts w:hint="eastAsia" w:ascii="仿宋" w:hAnsi="仿宋" w:eastAsia="仿宋" w:cs="仿宋"/>
          <w:color w:val="000000"/>
          <w:sz w:val="32"/>
          <w:szCs w:val="32"/>
          <w:lang w:val="en-US" w:eastAsia="zh-CN"/>
        </w:rPr>
        <w:t>监管</w:t>
      </w:r>
      <w:r>
        <w:rPr>
          <w:rFonts w:hint="eastAsia" w:ascii="仿宋" w:hAnsi="仿宋" w:eastAsia="仿宋" w:cs="仿宋"/>
          <w:color w:val="000000"/>
          <w:sz w:val="32"/>
          <w:szCs w:val="32"/>
          <w:lang w:eastAsia="zh-CN"/>
        </w:rPr>
        <w:t>体系，与11个村（居）、22家规上企业单位、15家烟花爆竹经营户及5个危险化学品生产经营单位签订安全生产目标管理责任书，将责任具体落实到人。加强安全检查工作，</w:t>
      </w:r>
      <w:r>
        <w:rPr>
          <w:rFonts w:hint="eastAsia" w:ascii="仿宋" w:hAnsi="仿宋" w:eastAsia="仿宋" w:cs="仿宋"/>
          <w:color w:val="000000"/>
          <w:sz w:val="32"/>
          <w:szCs w:val="32"/>
          <w:lang w:val="en-US" w:eastAsia="zh-CN"/>
        </w:rPr>
        <w:t>2019年至今</w:t>
      </w:r>
      <w:r>
        <w:rPr>
          <w:rFonts w:hint="eastAsia" w:ascii="仿宋" w:hAnsi="仿宋" w:eastAsia="仿宋" w:cs="仿宋"/>
          <w:color w:val="000000"/>
          <w:sz w:val="32"/>
          <w:szCs w:val="32"/>
          <w:lang w:eastAsia="zh-CN"/>
        </w:rPr>
        <w:t>累计组织检查人员55余人次，深入各类建材企业、建筑工地、居民小区、超市等人员密集场所开展安全生产大检查90余次，出具现场检查记录文书140余份，发现整改一般隐患183余项；检查非煤矿山12次，发现整改隐患18处。</w:t>
      </w:r>
      <w:r>
        <w:rPr>
          <w:rFonts w:hint="eastAsia" w:ascii="仿宋" w:hAnsi="仿宋" w:eastAsia="仿宋" w:cs="仿宋"/>
          <w:color w:val="000000"/>
          <w:sz w:val="32"/>
          <w:szCs w:val="32"/>
          <w:lang w:val="en-US" w:eastAsia="zh-CN"/>
        </w:rPr>
        <w:t>落实道路安全监管，与</w:t>
      </w:r>
      <w:r>
        <w:rPr>
          <w:rFonts w:hint="eastAsia" w:ascii="仿宋" w:hAnsi="仿宋" w:eastAsia="仿宋" w:cs="仿宋"/>
          <w:color w:val="000000"/>
          <w:sz w:val="32"/>
          <w:szCs w:val="32"/>
          <w:lang w:eastAsia="zh-CN"/>
        </w:rPr>
        <w:t>县交警队开展联合执法22次，开展道路安全劝导工作60余次，共查处无证驾驶、驾乘摩托车不佩戴头盔、超员等违规驾驶行为54起，劝导交通违法驾驶行为280余起。</w:t>
      </w:r>
    </w:p>
    <w:p w14:paraId="3F9077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四</w:t>
      </w:r>
      <w:r>
        <w:rPr>
          <w:rFonts w:hint="eastAsia" w:ascii="仿宋" w:hAnsi="仿宋" w:eastAsia="仿宋" w:cs="仿宋"/>
          <w:b/>
          <w:bCs/>
          <w:color w:val="000000"/>
          <w:sz w:val="32"/>
          <w:szCs w:val="32"/>
        </w:rPr>
        <w:t>）秸秆禁烧</w:t>
      </w:r>
      <w:r>
        <w:rPr>
          <w:rFonts w:hint="eastAsia" w:ascii="仿宋" w:hAnsi="仿宋" w:eastAsia="仿宋" w:cs="仿宋"/>
          <w:b/>
          <w:bCs/>
          <w:color w:val="000000"/>
          <w:sz w:val="32"/>
          <w:szCs w:val="32"/>
          <w:lang w:eastAsia="zh-CN"/>
        </w:rPr>
        <w:t>扎实推进</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我镇高度重视秸秆禁烧工作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提前谋划</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全方位构建秸秆禁烧防火墙。</w:t>
      </w:r>
      <w:r>
        <w:rPr>
          <w:rFonts w:hint="eastAsia" w:ascii="仿宋" w:hAnsi="仿宋" w:eastAsia="仿宋" w:cs="仿宋"/>
          <w:color w:val="000000"/>
          <w:sz w:val="32"/>
          <w:szCs w:val="32"/>
          <w:lang w:eastAsia="zh-CN"/>
        </w:rPr>
        <w:t>通过召开镇、村、组、社员大会、利用宣传车播放、发放《秸秆禁烧法律法规告知书》等方式，广泛宣传秸秆禁烧相关政策、法规</w:t>
      </w:r>
      <w:r>
        <w:rPr>
          <w:rFonts w:hint="eastAsia" w:ascii="仿宋" w:hAnsi="仿宋" w:eastAsia="仿宋" w:cs="仿宋"/>
          <w:color w:val="000000"/>
          <w:sz w:val="32"/>
          <w:szCs w:val="32"/>
          <w:lang w:val="en-US" w:eastAsia="zh-CN"/>
        </w:rPr>
        <w:t>20余次</w:t>
      </w:r>
      <w:r>
        <w:rPr>
          <w:rFonts w:hint="eastAsia" w:ascii="仿宋" w:hAnsi="仿宋" w:eastAsia="仿宋" w:cs="仿宋"/>
          <w:color w:val="000000"/>
          <w:sz w:val="32"/>
          <w:szCs w:val="32"/>
          <w:lang w:eastAsia="zh-CN"/>
        </w:rPr>
        <w:t>。加强</w:t>
      </w:r>
      <w:r>
        <w:rPr>
          <w:rFonts w:hint="eastAsia" w:ascii="仿宋" w:hAnsi="仿宋" w:eastAsia="仿宋" w:cs="仿宋"/>
          <w:color w:val="000000"/>
          <w:sz w:val="32"/>
          <w:szCs w:val="32"/>
          <w:lang w:val="en-US" w:eastAsia="zh-CN"/>
        </w:rPr>
        <w:t>日常</w:t>
      </w:r>
      <w:r>
        <w:rPr>
          <w:rFonts w:hint="eastAsia" w:ascii="仿宋" w:hAnsi="仿宋" w:eastAsia="仿宋" w:cs="仿宋"/>
          <w:color w:val="000000"/>
          <w:sz w:val="32"/>
          <w:szCs w:val="32"/>
          <w:lang w:eastAsia="zh-CN"/>
        </w:rPr>
        <w:t>巡逻，</w:t>
      </w:r>
      <w:r>
        <w:rPr>
          <w:rFonts w:hint="eastAsia" w:ascii="仿宋" w:hAnsi="仿宋" w:eastAsia="仿宋" w:cs="仿宋"/>
          <w:color w:val="000000"/>
          <w:sz w:val="32"/>
          <w:szCs w:val="32"/>
          <w:lang w:val="en-US" w:eastAsia="zh-CN"/>
        </w:rPr>
        <w:t>镇村干部</w:t>
      </w:r>
      <w:r>
        <w:rPr>
          <w:rFonts w:hint="eastAsia" w:ascii="仿宋" w:hAnsi="仿宋" w:eastAsia="仿宋" w:cs="仿宋"/>
          <w:color w:val="000000"/>
          <w:sz w:val="32"/>
          <w:szCs w:val="32"/>
          <w:lang w:eastAsia="zh-CN"/>
        </w:rPr>
        <w:t>深入田间地头认真开展秸秆禁烧巡逻、制止工作。</w:t>
      </w:r>
      <w:r>
        <w:rPr>
          <w:rFonts w:hint="eastAsia" w:ascii="仿宋" w:hAnsi="仿宋" w:eastAsia="仿宋" w:cs="仿宋"/>
          <w:color w:val="000000"/>
          <w:sz w:val="32"/>
          <w:szCs w:val="32"/>
          <w:lang w:val="en-US" w:eastAsia="zh-CN"/>
        </w:rPr>
        <w:t>完善“镇—村—社”三级联防责任体系，</w:t>
      </w:r>
      <w:r>
        <w:rPr>
          <w:rFonts w:hint="eastAsia" w:ascii="仿宋" w:hAnsi="仿宋" w:eastAsia="仿宋" w:cs="仿宋"/>
          <w:color w:val="000000"/>
          <w:sz w:val="32"/>
          <w:szCs w:val="32"/>
          <w:lang w:eastAsia="zh-CN"/>
        </w:rPr>
        <w:t>秸秆焚烧现象得到</w:t>
      </w:r>
      <w:r>
        <w:rPr>
          <w:rFonts w:hint="eastAsia" w:ascii="仿宋" w:hAnsi="仿宋" w:eastAsia="仿宋" w:cs="仿宋"/>
          <w:color w:val="000000"/>
          <w:sz w:val="32"/>
          <w:szCs w:val="32"/>
          <w:lang w:val="en-US" w:eastAsia="zh-CN"/>
        </w:rPr>
        <w:t>基本</w:t>
      </w:r>
      <w:r>
        <w:rPr>
          <w:rFonts w:hint="eastAsia" w:ascii="仿宋" w:hAnsi="仿宋" w:eastAsia="仿宋" w:cs="仿宋"/>
          <w:color w:val="000000"/>
          <w:sz w:val="32"/>
          <w:szCs w:val="32"/>
          <w:lang w:eastAsia="zh-CN"/>
        </w:rPr>
        <w:t>遏制</w:t>
      </w:r>
      <w:r>
        <w:rPr>
          <w:rFonts w:hint="eastAsia" w:ascii="仿宋" w:hAnsi="仿宋" w:eastAsia="仿宋" w:cs="仿宋"/>
          <w:color w:val="000000"/>
          <w:sz w:val="32"/>
          <w:szCs w:val="32"/>
        </w:rPr>
        <w:t>。</w:t>
      </w:r>
    </w:p>
    <w:p w14:paraId="2FAE09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五</w:t>
      </w:r>
      <w:r>
        <w:rPr>
          <w:rFonts w:hint="eastAsia" w:ascii="仿宋" w:hAnsi="仿宋" w:eastAsia="仿宋" w:cs="仿宋"/>
          <w:b/>
          <w:bCs/>
          <w:color w:val="000000"/>
          <w:sz w:val="32"/>
          <w:szCs w:val="32"/>
        </w:rPr>
        <w:t>）综治维稳</w:t>
      </w:r>
      <w:r>
        <w:rPr>
          <w:rFonts w:hint="eastAsia" w:ascii="仿宋" w:hAnsi="仿宋" w:eastAsia="仿宋" w:cs="仿宋"/>
          <w:b/>
          <w:bCs/>
          <w:color w:val="000000"/>
          <w:sz w:val="32"/>
          <w:szCs w:val="32"/>
          <w:lang w:val="en-US" w:eastAsia="zh-CN"/>
        </w:rPr>
        <w:t>常抓不懈</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依托镇</w:t>
      </w:r>
      <w:r>
        <w:rPr>
          <w:rFonts w:hint="eastAsia" w:ascii="仿宋" w:hAnsi="仿宋" w:eastAsia="仿宋" w:cs="仿宋"/>
          <w:color w:val="000000"/>
          <w:sz w:val="32"/>
          <w:szCs w:val="32"/>
          <w:lang w:val="en-US" w:eastAsia="zh-CN"/>
        </w:rPr>
        <w:t>群公办</w:t>
      </w:r>
      <w:r>
        <w:rPr>
          <w:rFonts w:hint="eastAsia" w:ascii="仿宋" w:hAnsi="仿宋" w:eastAsia="仿宋" w:cs="仿宋"/>
          <w:color w:val="000000"/>
          <w:sz w:val="32"/>
          <w:szCs w:val="32"/>
        </w:rPr>
        <w:t>综治信访维稳中心及村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社区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调解</w:t>
      </w:r>
      <w:r>
        <w:rPr>
          <w:rFonts w:hint="eastAsia" w:ascii="仿宋" w:hAnsi="仿宋" w:eastAsia="仿宋" w:cs="仿宋"/>
          <w:color w:val="000000"/>
          <w:sz w:val="32"/>
          <w:szCs w:val="32"/>
        </w:rPr>
        <w:t>工作</w:t>
      </w:r>
      <w:r>
        <w:rPr>
          <w:rFonts w:hint="eastAsia" w:ascii="仿宋" w:hAnsi="仿宋" w:eastAsia="仿宋" w:cs="仿宋"/>
          <w:color w:val="000000"/>
          <w:sz w:val="32"/>
          <w:szCs w:val="32"/>
          <w:lang w:val="en-US" w:eastAsia="zh-CN"/>
        </w:rPr>
        <w:t>室</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坚持“属地管理、分级负责、谁主管、谁负责、小事不出村、大事不出镇”的原则</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畅通信访诉求渠道</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签订</w:t>
      </w:r>
      <w:r>
        <w:rPr>
          <w:rFonts w:hint="eastAsia" w:ascii="仿宋" w:hAnsi="仿宋" w:eastAsia="仿宋" w:cs="仿宋"/>
          <w:color w:val="000000"/>
          <w:sz w:val="32"/>
          <w:szCs w:val="32"/>
          <w:lang w:val="en-US" w:eastAsia="zh-CN"/>
        </w:rPr>
        <w:t>镇村（社区）</w:t>
      </w:r>
      <w:r>
        <w:rPr>
          <w:rFonts w:hint="eastAsia" w:ascii="仿宋" w:hAnsi="仿宋" w:eastAsia="仿宋" w:cs="仿宋"/>
          <w:color w:val="000000"/>
          <w:sz w:val="32"/>
          <w:szCs w:val="32"/>
        </w:rPr>
        <w:t>综治、禁毒、防邪等责任书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构筑镇、村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社区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齐抓共管的信访工作新格局。</w:t>
      </w:r>
      <w:r>
        <w:rPr>
          <w:rFonts w:hint="eastAsia" w:ascii="仿宋" w:hAnsi="仿宋" w:eastAsia="仿宋" w:cs="仿宋"/>
          <w:color w:val="000000"/>
          <w:sz w:val="32"/>
          <w:szCs w:val="32"/>
          <w:lang w:val="en-US" w:eastAsia="zh-CN"/>
        </w:rPr>
        <w:t>扎实开展治安联防，</w:t>
      </w:r>
      <w:r>
        <w:rPr>
          <w:rFonts w:hint="eastAsia" w:ascii="仿宋" w:hAnsi="仿宋" w:eastAsia="仿宋" w:cs="仿宋"/>
          <w:color w:val="000000"/>
          <w:sz w:val="32"/>
          <w:szCs w:val="32"/>
        </w:rPr>
        <w:t>城区治安巡逻队24小时无缝巡逻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对“老北街”</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青皮8、9组、新民巷等重点区域</w:t>
      </w:r>
      <w:r>
        <w:rPr>
          <w:rFonts w:hint="eastAsia" w:ascii="仿宋" w:hAnsi="仿宋" w:eastAsia="仿宋" w:cs="仿宋"/>
          <w:color w:val="000000"/>
          <w:sz w:val="32"/>
          <w:szCs w:val="32"/>
          <w:lang w:val="en-US" w:eastAsia="zh-CN"/>
        </w:rPr>
        <w:t>挂牌整治，开展专项整治30余次，及时化解可防性案件200余起。深化城乡城乡技防打造，“雪亮工程”建设持续推进，农村“6995”治安联防信息服务管理平台建设加快推进，建立管理层162个，用户5576户，做到监控网无死角。注重源头治理，扎实开展矛盾纠纷大调解工作，共调解矛盾纠纷100余起，化解群体性事件11起，接受群众信访215件，办理215件，办结率100%。切实抓好重点敏感时期维护社会稳定工作，对17个重点人员和13各重点群体做到一日三见面，确保</w:t>
      </w:r>
      <w:r>
        <w:rPr>
          <w:rFonts w:hint="default" w:ascii="仿宋" w:hAnsi="仿宋" w:eastAsia="仿宋" w:cs="仿宋"/>
          <w:color w:val="000000"/>
          <w:sz w:val="32"/>
          <w:szCs w:val="32"/>
          <w:lang w:val="en-US" w:eastAsia="zh-CN"/>
        </w:rPr>
        <w:t>全国两会</w:t>
      </w:r>
      <w:r>
        <w:rPr>
          <w:rFonts w:hint="eastAsia" w:ascii="仿宋" w:hAnsi="仿宋" w:eastAsia="仿宋" w:cs="仿宋"/>
          <w:color w:val="000000"/>
          <w:sz w:val="32"/>
          <w:szCs w:val="32"/>
          <w:lang w:val="en-US" w:eastAsia="zh-CN"/>
        </w:rPr>
        <w:t>、庆祝中华人民共和国成立90周年等重要时间节点期间信访信息“零报告”。</w:t>
      </w:r>
    </w:p>
    <w:p w14:paraId="00D90B89">
      <w:pPr>
        <w:keepNext w:val="0"/>
        <w:keepLines w:val="0"/>
        <w:pageBreakBefore w:val="0"/>
        <w:kinsoku/>
        <w:wordWrap/>
        <w:overflowPunct/>
        <w:topLinePunct w:val="0"/>
        <w:autoSpaceDE/>
        <w:autoSpaceDN/>
        <w:bidi w:val="0"/>
        <w:adjustRightInd/>
        <w:snapToGrid/>
        <w:spacing w:beforeAutospacing="0" w:line="560" w:lineRule="exact"/>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六</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社会事业</w:t>
      </w:r>
      <w:r>
        <w:rPr>
          <w:rFonts w:hint="eastAsia" w:ascii="仿宋" w:hAnsi="仿宋" w:eastAsia="仿宋" w:cs="仿宋"/>
          <w:b/>
          <w:bCs/>
          <w:color w:val="000000"/>
          <w:sz w:val="32"/>
          <w:szCs w:val="32"/>
        </w:rPr>
        <w:t>全面推进。</w:t>
      </w:r>
      <w:r>
        <w:rPr>
          <w:rFonts w:hint="eastAsia" w:ascii="仿宋" w:hAnsi="仿宋" w:eastAsia="仿宋" w:cs="仿宋"/>
          <w:b w:val="0"/>
          <w:bCs w:val="0"/>
          <w:color w:val="000000"/>
          <w:sz w:val="32"/>
          <w:szCs w:val="32"/>
          <w:lang w:val="en-US" w:eastAsia="zh-CN"/>
        </w:rPr>
        <w:t>完善</w:t>
      </w:r>
      <w:r>
        <w:rPr>
          <w:rFonts w:hint="eastAsia" w:ascii="仿宋" w:hAnsi="仿宋" w:eastAsia="仿宋" w:cs="仿宋"/>
          <w:b w:val="0"/>
          <w:bCs w:val="0"/>
          <w:color w:val="000000"/>
          <w:sz w:val="32"/>
          <w:szCs w:val="32"/>
        </w:rPr>
        <w:t>城乡最低生活保障</w:t>
      </w:r>
      <w:r>
        <w:rPr>
          <w:rFonts w:hint="eastAsia" w:ascii="仿宋" w:hAnsi="仿宋" w:eastAsia="仿宋" w:cs="仿宋"/>
          <w:b w:val="0"/>
          <w:bCs w:val="0"/>
          <w:color w:val="000000"/>
          <w:sz w:val="32"/>
          <w:szCs w:val="32"/>
          <w:lang w:val="en-US" w:eastAsia="zh-CN"/>
        </w:rPr>
        <w:t>体系</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累计发放农村低保资金181户77</w:t>
      </w:r>
      <w:r>
        <w:rPr>
          <w:rFonts w:hint="eastAsia" w:ascii="仿宋" w:hAnsi="仿宋" w:eastAsia="仿宋" w:cs="仿宋"/>
          <w:color w:val="000000"/>
          <w:sz w:val="32"/>
          <w:szCs w:val="32"/>
          <w:lang w:val="en-US" w:eastAsia="zh-CN"/>
        </w:rPr>
        <w:t>.13万</w:t>
      </w:r>
      <w:r>
        <w:rPr>
          <w:rFonts w:hint="eastAsia" w:ascii="仿宋" w:hAnsi="仿宋" w:eastAsia="仿宋" w:cs="仿宋"/>
          <w:color w:val="000000"/>
          <w:sz w:val="32"/>
          <w:szCs w:val="32"/>
        </w:rPr>
        <w:t>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发放城市低保金135户74</w:t>
      </w:r>
      <w:r>
        <w:rPr>
          <w:rFonts w:hint="eastAsia" w:ascii="仿宋" w:hAnsi="仿宋" w:eastAsia="仿宋" w:cs="仿宋"/>
          <w:color w:val="000000"/>
          <w:sz w:val="32"/>
          <w:szCs w:val="32"/>
          <w:lang w:val="en-US" w:eastAsia="zh-CN"/>
        </w:rPr>
        <w:t>.53万</w:t>
      </w:r>
      <w:r>
        <w:rPr>
          <w:rFonts w:hint="eastAsia" w:ascii="仿宋" w:hAnsi="仿宋" w:eastAsia="仿宋" w:cs="仿宋"/>
          <w:color w:val="000000"/>
          <w:sz w:val="32"/>
          <w:szCs w:val="32"/>
        </w:rPr>
        <w:t>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发放城乡低保残疾人生活补贴115人7</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67</w:t>
      </w:r>
      <w:r>
        <w:rPr>
          <w:rFonts w:hint="eastAsia" w:ascii="仿宋" w:hAnsi="仿宋" w:eastAsia="仿宋" w:cs="仿宋"/>
          <w:color w:val="000000"/>
          <w:sz w:val="32"/>
          <w:szCs w:val="32"/>
          <w:lang w:val="en-US" w:eastAsia="zh-CN"/>
        </w:rPr>
        <w:t>万</w:t>
      </w:r>
      <w:r>
        <w:rPr>
          <w:rFonts w:hint="eastAsia" w:ascii="仿宋" w:hAnsi="仿宋" w:eastAsia="仿宋" w:cs="仿宋"/>
          <w:color w:val="000000"/>
          <w:sz w:val="32"/>
          <w:szCs w:val="32"/>
        </w:rPr>
        <w:t>元</w:t>
      </w:r>
      <w:r>
        <w:rPr>
          <w:rFonts w:hint="eastAsia" w:ascii="仿宋" w:hAnsi="仿宋" w:eastAsia="仿宋" w:cs="仿宋"/>
          <w:color w:val="000000"/>
          <w:sz w:val="32"/>
          <w:szCs w:val="32"/>
          <w:lang w:eastAsia="zh-CN"/>
        </w:rPr>
        <w:t>，有效保障困难群众</w:t>
      </w:r>
      <w:r>
        <w:rPr>
          <w:rFonts w:hint="eastAsia" w:ascii="仿宋" w:hAnsi="仿宋" w:eastAsia="仿宋" w:cs="仿宋"/>
          <w:color w:val="000000"/>
          <w:sz w:val="32"/>
          <w:szCs w:val="32"/>
          <w:lang w:val="en-US" w:eastAsia="zh-CN"/>
        </w:rPr>
        <w:t>基本</w:t>
      </w:r>
      <w:r>
        <w:rPr>
          <w:rFonts w:hint="eastAsia" w:ascii="仿宋" w:hAnsi="仿宋" w:eastAsia="仿宋" w:cs="仿宋"/>
          <w:color w:val="000000"/>
          <w:sz w:val="32"/>
          <w:szCs w:val="32"/>
          <w:lang w:eastAsia="zh-CN"/>
        </w:rPr>
        <w:t>生活。</w:t>
      </w:r>
      <w:r>
        <w:rPr>
          <w:rFonts w:hint="eastAsia" w:ascii="仿宋" w:hAnsi="仿宋" w:eastAsia="仿宋" w:cs="仿宋"/>
          <w:b w:val="0"/>
          <w:bCs w:val="0"/>
          <w:color w:val="000000"/>
          <w:sz w:val="32"/>
          <w:szCs w:val="32"/>
        </w:rPr>
        <w:t>切实做好临时救助</w:t>
      </w:r>
      <w:r>
        <w:rPr>
          <w:rFonts w:hint="eastAsia" w:ascii="仿宋" w:hAnsi="仿宋" w:eastAsia="仿宋" w:cs="仿宋"/>
          <w:b w:val="0"/>
          <w:bCs w:val="0"/>
          <w:color w:val="000000"/>
          <w:sz w:val="32"/>
          <w:szCs w:val="32"/>
          <w:lang w:eastAsia="zh-CN"/>
        </w:rPr>
        <w:t>，</w:t>
      </w:r>
      <w:r>
        <w:rPr>
          <w:rFonts w:hint="eastAsia" w:ascii="仿宋" w:hAnsi="仿宋" w:eastAsia="仿宋" w:cs="仿宋"/>
          <w:color w:val="000000"/>
          <w:sz w:val="32"/>
          <w:szCs w:val="32"/>
        </w:rPr>
        <w:t>严格执行上级各项救助政策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将救助政策落到实处。临时救助家庭陷入困境困难群</w:t>
      </w:r>
      <w:r>
        <w:rPr>
          <w:rFonts w:hint="eastAsia" w:ascii="仿宋" w:hAnsi="仿宋" w:eastAsia="仿宋" w:cs="仿宋"/>
          <w:b w:val="0"/>
          <w:bCs w:val="0"/>
          <w:color w:val="000000"/>
          <w:sz w:val="32"/>
          <w:szCs w:val="32"/>
        </w:rPr>
        <w:t>众71户9</w:t>
      </w:r>
      <w:r>
        <w:rPr>
          <w:rFonts w:hint="eastAsia" w:ascii="仿宋" w:hAnsi="仿宋" w:eastAsia="仿宋" w:cs="仿宋"/>
          <w:b w:val="0"/>
          <w:bCs w:val="0"/>
          <w:color w:val="000000"/>
          <w:sz w:val="32"/>
          <w:szCs w:val="32"/>
          <w:lang w:val="en-US" w:eastAsia="zh-CN"/>
        </w:rPr>
        <w:t>.2万元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救助患重大疾病造成生活困难群众91人34</w:t>
      </w:r>
      <w:r>
        <w:rPr>
          <w:rFonts w:hint="eastAsia" w:ascii="仿宋" w:hAnsi="仿宋" w:eastAsia="仿宋" w:cs="仿宋"/>
          <w:b w:val="0"/>
          <w:bCs w:val="0"/>
          <w:color w:val="000000"/>
          <w:sz w:val="32"/>
          <w:szCs w:val="32"/>
          <w:lang w:val="en-US" w:eastAsia="zh-CN"/>
        </w:rPr>
        <w:t>.07万</w:t>
      </w:r>
      <w:r>
        <w:rPr>
          <w:rFonts w:hint="eastAsia" w:ascii="仿宋" w:hAnsi="仿宋" w:eastAsia="仿宋" w:cs="仿宋"/>
          <w:b w:val="0"/>
          <w:bCs w:val="0"/>
          <w:color w:val="000000"/>
          <w:sz w:val="32"/>
          <w:szCs w:val="32"/>
        </w:rPr>
        <w:t>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发放五保户生活补助资金111人69</w:t>
      </w:r>
      <w:r>
        <w:rPr>
          <w:rFonts w:hint="eastAsia" w:ascii="仿宋" w:hAnsi="仿宋" w:eastAsia="仿宋" w:cs="仿宋"/>
          <w:b w:val="0"/>
          <w:bCs w:val="0"/>
          <w:color w:val="000000"/>
          <w:sz w:val="32"/>
          <w:szCs w:val="32"/>
          <w:lang w:val="en-US" w:eastAsia="zh-CN"/>
        </w:rPr>
        <w:t>.82万</w:t>
      </w:r>
      <w:r>
        <w:rPr>
          <w:rFonts w:hint="eastAsia" w:ascii="仿宋" w:hAnsi="仿宋" w:eastAsia="仿宋" w:cs="仿宋"/>
          <w:b w:val="0"/>
          <w:bCs w:val="0"/>
          <w:color w:val="000000"/>
          <w:sz w:val="32"/>
          <w:szCs w:val="32"/>
        </w:rPr>
        <w:t>元。</w:t>
      </w:r>
      <w:r>
        <w:rPr>
          <w:rFonts w:hint="eastAsia" w:ascii="仿宋" w:hAnsi="仿宋" w:eastAsia="仿宋" w:cs="仿宋"/>
          <w:b w:val="0"/>
          <w:bCs w:val="0"/>
          <w:color w:val="000000"/>
          <w:sz w:val="32"/>
          <w:szCs w:val="32"/>
          <w:lang w:val="en-US" w:eastAsia="zh-CN"/>
        </w:rPr>
        <w:t>深入抓实减灾防灾。</w:t>
      </w:r>
      <w:r>
        <w:rPr>
          <w:rFonts w:hint="eastAsia" w:ascii="仿宋" w:hAnsi="仿宋" w:eastAsia="仿宋" w:cs="仿宋"/>
          <w:b w:val="0"/>
          <w:bCs w:val="0"/>
          <w:color w:val="000000"/>
          <w:sz w:val="32"/>
          <w:szCs w:val="32"/>
        </w:rPr>
        <w:t>制定</w:t>
      </w:r>
      <w:r>
        <w:rPr>
          <w:rFonts w:hint="eastAsia" w:ascii="仿宋" w:hAnsi="仿宋" w:eastAsia="仿宋" w:cs="仿宋"/>
          <w:b w:val="0"/>
          <w:bCs w:val="0"/>
          <w:color w:val="000000"/>
          <w:sz w:val="32"/>
          <w:szCs w:val="32"/>
          <w:lang w:val="en-US" w:eastAsia="zh-CN"/>
        </w:rPr>
        <w:t>完善</w:t>
      </w:r>
      <w:r>
        <w:rPr>
          <w:rFonts w:hint="eastAsia" w:ascii="仿宋" w:hAnsi="仿宋" w:eastAsia="仿宋" w:cs="仿宋"/>
          <w:b w:val="0"/>
          <w:bCs w:val="0"/>
          <w:color w:val="000000"/>
          <w:sz w:val="32"/>
          <w:szCs w:val="32"/>
        </w:rPr>
        <w:t>镇、村两级自然灾害应急救助预案</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建立救灾应急指挥体系</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与超市签订供货协议</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完成</w:t>
      </w:r>
      <w:r>
        <w:rPr>
          <w:rFonts w:hint="eastAsia" w:ascii="仿宋" w:hAnsi="仿宋" w:eastAsia="仿宋" w:cs="仿宋"/>
          <w:b w:val="0"/>
          <w:bCs w:val="0"/>
          <w:color w:val="000000"/>
          <w:sz w:val="32"/>
          <w:szCs w:val="32"/>
        </w:rPr>
        <w:t>救灾物资储备</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全年发放救灾资金</w:t>
      </w:r>
      <w:r>
        <w:rPr>
          <w:rFonts w:hint="eastAsia" w:ascii="仿宋" w:hAnsi="仿宋" w:eastAsia="仿宋" w:cs="仿宋"/>
          <w:b w:val="0"/>
          <w:bCs w:val="0"/>
          <w:color w:val="000000"/>
          <w:sz w:val="32"/>
          <w:szCs w:val="32"/>
          <w:lang w:val="en-US" w:eastAsia="zh-CN"/>
        </w:rPr>
        <w:t>12.06万</w:t>
      </w:r>
      <w:r>
        <w:rPr>
          <w:rFonts w:hint="eastAsia" w:ascii="仿宋" w:hAnsi="仿宋" w:eastAsia="仿宋" w:cs="仿宋"/>
          <w:b w:val="0"/>
          <w:bCs w:val="0"/>
          <w:color w:val="000000"/>
          <w:sz w:val="32"/>
          <w:szCs w:val="32"/>
        </w:rPr>
        <w:t>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为237</w:t>
      </w:r>
      <w:r>
        <w:rPr>
          <w:rFonts w:hint="eastAsia" w:ascii="仿宋" w:hAnsi="仿宋" w:eastAsia="仿宋" w:cs="仿宋"/>
          <w:b w:val="0"/>
          <w:bCs w:val="0"/>
          <w:color w:val="000000"/>
          <w:sz w:val="32"/>
          <w:szCs w:val="32"/>
        </w:rPr>
        <w:t>户</w:t>
      </w:r>
      <w:r>
        <w:rPr>
          <w:rFonts w:hint="eastAsia" w:ascii="仿宋" w:hAnsi="仿宋" w:eastAsia="仿宋" w:cs="仿宋"/>
          <w:b w:val="0"/>
          <w:bCs w:val="0"/>
          <w:color w:val="000000"/>
          <w:sz w:val="32"/>
          <w:szCs w:val="32"/>
          <w:lang w:val="en-US" w:eastAsia="zh-CN"/>
        </w:rPr>
        <w:t>948</w:t>
      </w:r>
      <w:r>
        <w:rPr>
          <w:rFonts w:hint="eastAsia" w:ascii="仿宋" w:hAnsi="仿宋" w:eastAsia="仿宋" w:cs="仿宋"/>
          <w:b w:val="0"/>
          <w:bCs w:val="0"/>
          <w:color w:val="000000"/>
          <w:sz w:val="32"/>
          <w:szCs w:val="32"/>
        </w:rPr>
        <w:t>人受灾困难群众的基本生活</w:t>
      </w:r>
      <w:r>
        <w:rPr>
          <w:rFonts w:hint="eastAsia" w:ascii="仿宋" w:hAnsi="仿宋" w:eastAsia="仿宋" w:cs="仿宋"/>
          <w:b w:val="0"/>
          <w:bCs w:val="0"/>
          <w:color w:val="000000"/>
          <w:sz w:val="32"/>
          <w:szCs w:val="32"/>
          <w:lang w:val="en-US" w:eastAsia="zh-CN"/>
        </w:rPr>
        <w:t>提供</w:t>
      </w:r>
      <w:r>
        <w:rPr>
          <w:rFonts w:hint="eastAsia" w:ascii="仿宋" w:hAnsi="仿宋" w:eastAsia="仿宋" w:cs="仿宋"/>
          <w:b w:val="0"/>
          <w:bCs w:val="0"/>
          <w:color w:val="000000"/>
          <w:sz w:val="32"/>
          <w:szCs w:val="32"/>
        </w:rPr>
        <w:t>保障。贯彻落实优抚、老龄工作。完成1333户烈属、军属、退伍军人光荣牌悬挂和信息采集</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组织</w:t>
      </w:r>
      <w:r>
        <w:rPr>
          <w:rFonts w:hint="eastAsia" w:ascii="仿宋" w:hAnsi="仿宋" w:eastAsia="仿宋" w:cs="仿宋"/>
          <w:b w:val="0"/>
          <w:bCs w:val="0"/>
          <w:color w:val="000000"/>
          <w:sz w:val="32"/>
          <w:szCs w:val="32"/>
          <w:lang w:eastAsia="zh-CN"/>
        </w:rPr>
        <w:t>优抚对象</w:t>
      </w:r>
      <w:r>
        <w:rPr>
          <w:rFonts w:hint="eastAsia" w:ascii="仿宋" w:hAnsi="仿宋" w:eastAsia="仿宋" w:cs="仿宋"/>
          <w:b w:val="0"/>
          <w:bCs w:val="0"/>
          <w:color w:val="000000"/>
          <w:sz w:val="32"/>
          <w:szCs w:val="32"/>
          <w:lang w:val="en-US" w:eastAsia="zh-CN"/>
        </w:rPr>
        <w:t>在</w:t>
      </w:r>
      <w:r>
        <w:rPr>
          <w:rFonts w:hint="eastAsia" w:ascii="仿宋" w:hAnsi="仿宋" w:eastAsia="仿宋" w:cs="仿宋"/>
          <w:b w:val="0"/>
          <w:bCs w:val="0"/>
          <w:color w:val="000000"/>
          <w:sz w:val="32"/>
          <w:szCs w:val="32"/>
        </w:rPr>
        <w:t>“春节”</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“八一”</w:t>
      </w:r>
      <w:r>
        <w:rPr>
          <w:rFonts w:hint="eastAsia" w:ascii="仿宋" w:hAnsi="仿宋" w:eastAsia="仿宋" w:cs="仿宋"/>
          <w:b w:val="0"/>
          <w:bCs w:val="0"/>
          <w:color w:val="000000"/>
          <w:sz w:val="32"/>
          <w:szCs w:val="32"/>
          <w:lang w:val="en-US" w:eastAsia="zh-CN"/>
        </w:rPr>
        <w:t>期间开展</w:t>
      </w:r>
      <w:r>
        <w:rPr>
          <w:rFonts w:hint="eastAsia" w:ascii="仿宋" w:hAnsi="仿宋" w:eastAsia="仿宋" w:cs="仿宋"/>
          <w:b w:val="0"/>
          <w:bCs w:val="0"/>
          <w:color w:val="000000"/>
          <w:sz w:val="32"/>
          <w:szCs w:val="32"/>
          <w:lang w:eastAsia="zh-CN"/>
        </w:rPr>
        <w:t>座谈</w:t>
      </w:r>
      <w:r>
        <w:rPr>
          <w:rFonts w:hint="eastAsia" w:ascii="仿宋" w:hAnsi="仿宋" w:eastAsia="仿宋" w:cs="仿宋"/>
          <w:b w:val="0"/>
          <w:bCs w:val="0"/>
          <w:color w:val="000000"/>
          <w:sz w:val="32"/>
          <w:szCs w:val="32"/>
        </w:rPr>
        <w:t>慰问</w:t>
      </w:r>
      <w:r>
        <w:rPr>
          <w:rFonts w:hint="eastAsia" w:ascii="仿宋" w:hAnsi="仿宋" w:eastAsia="仿宋" w:cs="仿宋"/>
          <w:b w:val="0"/>
          <w:bCs w:val="0"/>
          <w:color w:val="000000"/>
          <w:sz w:val="32"/>
          <w:szCs w:val="32"/>
          <w:lang w:eastAsia="zh-CN"/>
        </w:rPr>
        <w:t>，发放慰问金</w:t>
      </w:r>
      <w:r>
        <w:rPr>
          <w:rFonts w:hint="eastAsia" w:ascii="仿宋" w:hAnsi="仿宋" w:eastAsia="仿宋" w:cs="仿宋"/>
          <w:b w:val="0"/>
          <w:bCs w:val="0"/>
          <w:color w:val="000000"/>
          <w:sz w:val="32"/>
          <w:szCs w:val="32"/>
          <w:lang w:val="en-US" w:eastAsia="zh-CN"/>
        </w:rPr>
        <w:t>8.9万元</w:t>
      </w:r>
      <w:r>
        <w:rPr>
          <w:rFonts w:hint="eastAsia" w:ascii="仿宋" w:hAnsi="仿宋" w:eastAsia="仿宋" w:cs="仿宋"/>
          <w:color w:val="000000"/>
          <w:sz w:val="32"/>
          <w:szCs w:val="32"/>
          <w:lang w:val="en-US" w:eastAsia="zh-CN"/>
        </w:rPr>
        <w:t>。按时</w:t>
      </w:r>
      <w:r>
        <w:rPr>
          <w:rFonts w:hint="eastAsia" w:ascii="仿宋" w:hAnsi="仿宋" w:eastAsia="仿宋" w:cs="仿宋"/>
          <w:color w:val="000000"/>
          <w:sz w:val="32"/>
          <w:szCs w:val="32"/>
        </w:rPr>
        <w:t>发放各类优抚抚恤补助金</w:t>
      </w:r>
      <w:r>
        <w:rPr>
          <w:rFonts w:hint="eastAsia" w:ascii="仿宋" w:hAnsi="仿宋" w:eastAsia="仿宋" w:cs="仿宋"/>
          <w:color w:val="000000"/>
          <w:sz w:val="32"/>
          <w:szCs w:val="32"/>
          <w:lang w:val="en-US" w:eastAsia="zh-CN"/>
        </w:rPr>
        <w:t>232人56.2万</w:t>
      </w:r>
      <w:r>
        <w:rPr>
          <w:rFonts w:hint="eastAsia" w:ascii="仿宋" w:hAnsi="仿宋" w:eastAsia="仿宋" w:cs="仿宋"/>
          <w:color w:val="000000"/>
          <w:sz w:val="32"/>
          <w:szCs w:val="32"/>
        </w:rPr>
        <w:t>元。老龄工作有效开展</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重阳节、春节对孤寡、空巢、百岁老人进行慰问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累计</w:t>
      </w:r>
      <w:r>
        <w:rPr>
          <w:rFonts w:hint="eastAsia" w:ascii="仿宋" w:hAnsi="仿宋" w:eastAsia="仿宋" w:cs="仿宋"/>
          <w:color w:val="000000"/>
          <w:sz w:val="32"/>
          <w:szCs w:val="32"/>
        </w:rPr>
        <w:t>发放长寿补贴金1447人27</w:t>
      </w:r>
      <w:r>
        <w:rPr>
          <w:rFonts w:hint="eastAsia" w:ascii="仿宋" w:hAnsi="仿宋" w:eastAsia="仿宋" w:cs="仿宋"/>
          <w:color w:val="000000"/>
          <w:sz w:val="32"/>
          <w:szCs w:val="32"/>
          <w:lang w:val="en-US" w:eastAsia="zh-CN"/>
        </w:rPr>
        <w:t>.91万</w:t>
      </w:r>
      <w:r>
        <w:rPr>
          <w:rFonts w:hint="eastAsia" w:ascii="仿宋" w:hAnsi="仿宋" w:eastAsia="仿宋" w:cs="仿宋"/>
          <w:color w:val="000000"/>
          <w:sz w:val="32"/>
          <w:szCs w:val="32"/>
        </w:rPr>
        <w:t>元。</w:t>
      </w:r>
    </w:p>
    <w:p w14:paraId="6BFDD4A5">
      <w:pPr>
        <w:keepNext w:val="0"/>
        <w:keepLines w:val="0"/>
        <w:pageBreakBefore w:val="0"/>
        <w:widowControl/>
        <w:numPr>
          <w:ilvl w:val="0"/>
          <w:numId w:val="0"/>
        </w:numPr>
        <w:kinsoku/>
        <w:wordWrap/>
        <w:overflowPunct/>
        <w:topLinePunct w:val="0"/>
        <w:autoSpaceDE/>
        <w:autoSpaceDN/>
        <w:bidi w:val="0"/>
        <w:adjustRightInd/>
        <w:snapToGrid/>
        <w:spacing w:beforeAutospacing="0" w:line="560" w:lineRule="exact"/>
        <w:ind w:firstLine="643" w:firstLineChars="200"/>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七</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文化</w:t>
      </w:r>
      <w:r>
        <w:rPr>
          <w:rFonts w:hint="eastAsia" w:ascii="仿宋" w:hAnsi="仿宋" w:eastAsia="仿宋" w:cs="仿宋"/>
          <w:b/>
          <w:bCs/>
          <w:color w:val="000000"/>
          <w:sz w:val="32"/>
          <w:szCs w:val="32"/>
          <w:lang w:val="en-US" w:eastAsia="zh-CN"/>
        </w:rPr>
        <w:t>教育</w:t>
      </w:r>
      <w:r>
        <w:rPr>
          <w:rFonts w:hint="eastAsia" w:ascii="仿宋" w:hAnsi="仿宋" w:eastAsia="仿宋" w:cs="仿宋"/>
          <w:b/>
          <w:bCs/>
          <w:color w:val="000000"/>
          <w:sz w:val="32"/>
          <w:szCs w:val="32"/>
        </w:rPr>
        <w:t>事业健康发展。</w:t>
      </w:r>
      <w:r>
        <w:rPr>
          <w:rFonts w:hint="eastAsia" w:ascii="仿宋" w:hAnsi="仿宋" w:eastAsia="仿宋" w:cs="仿宋"/>
          <w:b w:val="0"/>
          <w:bCs w:val="0"/>
          <w:color w:val="000000"/>
          <w:kern w:val="0"/>
          <w:sz w:val="32"/>
          <w:szCs w:val="32"/>
          <w:lang w:val="en-US" w:eastAsia="zh-CN"/>
        </w:rPr>
        <w:t>公共</w:t>
      </w:r>
      <w:r>
        <w:rPr>
          <w:rFonts w:hint="eastAsia" w:ascii="仿宋" w:hAnsi="仿宋" w:eastAsia="仿宋" w:cs="仿宋"/>
          <w:b w:val="0"/>
          <w:bCs w:val="0"/>
          <w:color w:val="000000"/>
          <w:sz w:val="32"/>
          <w:szCs w:val="32"/>
        </w:rPr>
        <w:t>文化</w:t>
      </w:r>
      <w:r>
        <w:rPr>
          <w:rFonts w:hint="eastAsia" w:ascii="仿宋" w:hAnsi="仿宋" w:eastAsia="仿宋" w:cs="仿宋"/>
          <w:b w:val="0"/>
          <w:bCs w:val="0"/>
          <w:color w:val="000000"/>
          <w:sz w:val="32"/>
          <w:szCs w:val="32"/>
          <w:lang w:val="en-US" w:eastAsia="zh-CN"/>
        </w:rPr>
        <w:t>活动</w:t>
      </w:r>
      <w:r>
        <w:rPr>
          <w:rFonts w:hint="eastAsia" w:ascii="仿宋" w:hAnsi="仿宋" w:eastAsia="仿宋" w:cs="仿宋"/>
          <w:b w:val="0"/>
          <w:bCs w:val="0"/>
          <w:color w:val="000000"/>
          <w:kern w:val="0"/>
          <w:sz w:val="32"/>
          <w:szCs w:val="32"/>
          <w:lang w:val="en-US" w:eastAsia="zh-CN"/>
        </w:rPr>
        <w:t>积极开展</w:t>
      </w:r>
      <w:r>
        <w:rPr>
          <w:rFonts w:hint="eastAsia" w:ascii="仿宋" w:hAnsi="仿宋" w:eastAsia="仿宋" w:cs="仿宋"/>
          <w:b w:val="0"/>
          <w:bCs w:val="0"/>
          <w:color w:val="000000"/>
          <w:sz w:val="32"/>
          <w:szCs w:val="32"/>
          <w:lang w:val="en-US" w:eastAsia="zh-CN"/>
        </w:rPr>
        <w:t>。</w:t>
      </w:r>
      <w:r>
        <w:rPr>
          <w:rFonts w:hint="eastAsia" w:ascii="仿宋" w:hAnsi="仿宋" w:eastAsia="仿宋" w:cs="仿宋"/>
          <w:color w:val="000000"/>
          <w:sz w:val="32"/>
          <w:szCs w:val="32"/>
          <w:lang w:val="en-US" w:eastAsia="zh-CN"/>
        </w:rPr>
        <w:t>对各村、社区2019年公共文化服务站点运行情况进行考核，并根据综合文化服务中心建设基本内容和指导标准，完善各村、社区公共文化服务站点基础设施，协调购买书籍1000册补充到各</w:t>
      </w:r>
      <w:r>
        <w:rPr>
          <w:rFonts w:hint="eastAsia" w:ascii="仿宋" w:hAnsi="仿宋" w:eastAsia="仿宋" w:cs="仿宋"/>
          <w:b w:val="0"/>
          <w:bCs w:val="0"/>
          <w:color w:val="000000"/>
          <w:sz w:val="32"/>
          <w:szCs w:val="32"/>
          <w:lang w:val="en-US" w:eastAsia="zh-CN"/>
        </w:rPr>
        <w:t>农家书屋，</w:t>
      </w:r>
      <w:r>
        <w:rPr>
          <w:rFonts w:hint="eastAsia" w:ascii="仿宋" w:hAnsi="仿宋" w:eastAsia="仿宋" w:cs="仿宋"/>
          <w:b w:val="0"/>
          <w:bCs w:val="0"/>
          <w:color w:val="000000"/>
          <w:sz w:val="32"/>
          <w:szCs w:val="32"/>
        </w:rPr>
        <w:t>组织各村、社区开展</w:t>
      </w:r>
      <w:r>
        <w:rPr>
          <w:rFonts w:hint="eastAsia" w:ascii="仿宋" w:hAnsi="仿宋" w:eastAsia="仿宋" w:cs="仿宋"/>
          <w:b w:val="0"/>
          <w:bCs w:val="0"/>
          <w:color w:val="000000"/>
          <w:sz w:val="32"/>
          <w:szCs w:val="32"/>
          <w:lang w:val="en-US" w:eastAsia="zh-CN"/>
        </w:rPr>
        <w:t>各类</w:t>
      </w:r>
      <w:r>
        <w:rPr>
          <w:rFonts w:hint="eastAsia" w:ascii="仿宋" w:hAnsi="仿宋" w:eastAsia="仿宋" w:cs="仿宋"/>
          <w:b w:val="0"/>
          <w:bCs w:val="0"/>
          <w:color w:val="000000"/>
          <w:sz w:val="32"/>
          <w:szCs w:val="32"/>
        </w:rPr>
        <w:t>文化活动</w:t>
      </w:r>
      <w:r>
        <w:rPr>
          <w:rFonts w:hint="eastAsia" w:ascii="仿宋" w:hAnsi="仿宋" w:eastAsia="仿宋" w:cs="仿宋"/>
          <w:b w:val="0"/>
          <w:bCs w:val="0"/>
          <w:color w:val="000000"/>
          <w:sz w:val="32"/>
          <w:szCs w:val="32"/>
          <w:lang w:val="en-US" w:eastAsia="zh-CN"/>
        </w:rPr>
        <w:t>120余次</w:t>
      </w:r>
      <w:r>
        <w:rPr>
          <w:rFonts w:hint="eastAsia" w:ascii="仿宋" w:hAnsi="仿宋" w:eastAsia="仿宋" w:cs="仿宋"/>
          <w:b w:val="0"/>
          <w:bCs w:val="0"/>
          <w:color w:val="000000"/>
          <w:sz w:val="32"/>
          <w:szCs w:val="32"/>
        </w:rPr>
        <w:t>。</w:t>
      </w:r>
      <w:r>
        <w:rPr>
          <w:rFonts w:hint="eastAsia" w:ascii="仿宋" w:hAnsi="仿宋" w:eastAsia="仿宋" w:cs="仿宋"/>
          <w:b w:val="0"/>
          <w:bCs w:val="0"/>
          <w:color w:val="000000"/>
          <w:kern w:val="0"/>
          <w:sz w:val="32"/>
          <w:szCs w:val="32"/>
          <w:lang w:val="en-US" w:eastAsia="zh-CN"/>
        </w:rPr>
        <w:t>义务教育控辍保学反响良好，</w:t>
      </w:r>
      <w:r>
        <w:rPr>
          <w:rFonts w:hint="eastAsia" w:ascii="仿宋" w:hAnsi="仿宋" w:eastAsia="仿宋" w:cs="仿宋"/>
          <w:b w:val="0"/>
          <w:bCs w:val="0"/>
          <w:color w:val="000000"/>
          <w:sz w:val="32"/>
          <w:szCs w:val="32"/>
          <w:lang w:val="en-US" w:eastAsia="zh-CN"/>
        </w:rPr>
        <w:t>积极联系县教体局及辖区学校，及时劝返辍学儿童。</w:t>
      </w:r>
      <w:r>
        <w:rPr>
          <w:rFonts w:hint="eastAsia" w:ascii="仿宋" w:hAnsi="仿宋" w:eastAsia="仿宋" w:cs="仿宋"/>
          <w:b w:val="0"/>
          <w:bCs w:val="0"/>
          <w:color w:val="000000"/>
          <w:kern w:val="0"/>
          <w:sz w:val="32"/>
          <w:szCs w:val="32"/>
          <w:lang w:val="en-US" w:eastAsia="zh-CN"/>
        </w:rPr>
        <w:t>校园安全扎实稳定，积极</w:t>
      </w:r>
      <w:r>
        <w:rPr>
          <w:rFonts w:hint="eastAsia" w:ascii="仿宋" w:hAnsi="仿宋" w:eastAsia="仿宋" w:cs="仿宋"/>
          <w:b w:val="0"/>
          <w:bCs w:val="0"/>
          <w:color w:val="000000"/>
          <w:sz w:val="32"/>
          <w:szCs w:val="32"/>
          <w:lang w:val="en-US" w:eastAsia="zh-CN"/>
        </w:rPr>
        <w:t>开展学校食堂以及周边安全检查，联合教育局、市场监管局</w:t>
      </w:r>
      <w:r>
        <w:rPr>
          <w:rFonts w:hint="eastAsia" w:ascii="仿宋" w:hAnsi="仿宋" w:eastAsia="仿宋" w:cs="仿宋"/>
          <w:b w:val="0"/>
          <w:bCs w:val="0"/>
          <w:color w:val="000000"/>
          <w:sz w:val="32"/>
          <w:szCs w:val="32"/>
        </w:rPr>
        <w:t>对攀莲镇中</w:t>
      </w:r>
      <w:r>
        <w:rPr>
          <w:rFonts w:hint="eastAsia" w:ascii="仿宋" w:hAnsi="仿宋" w:eastAsia="仿宋" w:cs="仿宋"/>
          <w:color w:val="000000"/>
          <w:sz w:val="32"/>
          <w:szCs w:val="32"/>
        </w:rPr>
        <w:t>心校及</w:t>
      </w:r>
      <w:r>
        <w:rPr>
          <w:rFonts w:hint="eastAsia" w:ascii="仿宋" w:hAnsi="仿宋" w:eastAsia="仿宋" w:cs="仿宋"/>
          <w:color w:val="000000"/>
          <w:sz w:val="32"/>
          <w:szCs w:val="32"/>
          <w:lang w:val="en-US" w:eastAsia="zh-CN"/>
        </w:rPr>
        <w:t>下辖4</w:t>
      </w:r>
      <w:r>
        <w:rPr>
          <w:rFonts w:hint="eastAsia" w:ascii="仿宋" w:hAnsi="仿宋" w:eastAsia="仿宋" w:cs="仿宋"/>
          <w:color w:val="000000"/>
          <w:sz w:val="32"/>
          <w:szCs w:val="32"/>
        </w:rPr>
        <w:t>个</w:t>
      </w:r>
      <w:r>
        <w:rPr>
          <w:rFonts w:hint="eastAsia" w:ascii="仿宋" w:hAnsi="仿宋" w:eastAsia="仿宋" w:cs="仿宋"/>
          <w:color w:val="000000"/>
          <w:sz w:val="32"/>
          <w:szCs w:val="32"/>
          <w:lang w:val="en-US" w:eastAsia="zh-CN"/>
        </w:rPr>
        <w:t>农村小学</w:t>
      </w:r>
      <w:r>
        <w:rPr>
          <w:rFonts w:hint="eastAsia" w:ascii="仿宋" w:hAnsi="仿宋" w:eastAsia="仿宋" w:cs="仿宋"/>
          <w:color w:val="000000"/>
          <w:sz w:val="32"/>
          <w:szCs w:val="32"/>
        </w:rPr>
        <w:t>的教学</w:t>
      </w:r>
      <w:r>
        <w:rPr>
          <w:rFonts w:hint="eastAsia" w:ascii="仿宋" w:hAnsi="仿宋" w:eastAsia="仿宋" w:cs="仿宋"/>
          <w:color w:val="000000"/>
          <w:sz w:val="32"/>
          <w:szCs w:val="32"/>
          <w:lang w:val="en-US" w:eastAsia="zh-CN"/>
        </w:rPr>
        <w:t>住宿</w:t>
      </w:r>
      <w:r>
        <w:rPr>
          <w:rFonts w:hint="eastAsia" w:ascii="仿宋" w:hAnsi="仿宋" w:eastAsia="仿宋" w:cs="仿宋"/>
          <w:color w:val="000000"/>
          <w:sz w:val="32"/>
          <w:szCs w:val="32"/>
        </w:rPr>
        <w:t>设施、健康知识宣传、应急演练、师生安全教育、周边治安环境等</w:t>
      </w:r>
      <w:r>
        <w:rPr>
          <w:rFonts w:hint="eastAsia" w:ascii="仿宋" w:hAnsi="仿宋" w:eastAsia="仿宋" w:cs="仿宋"/>
          <w:color w:val="000000"/>
          <w:sz w:val="32"/>
          <w:szCs w:val="32"/>
          <w:lang w:val="en-US" w:eastAsia="zh-CN"/>
        </w:rPr>
        <w:t>开展常态化检查8次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提出整改意见</w:t>
      </w:r>
      <w:r>
        <w:rPr>
          <w:rFonts w:hint="eastAsia" w:ascii="仿宋" w:hAnsi="仿宋" w:eastAsia="仿宋" w:cs="仿宋"/>
          <w:color w:val="000000"/>
          <w:sz w:val="32"/>
          <w:szCs w:val="32"/>
          <w:lang w:val="en-US" w:eastAsia="zh-CN"/>
        </w:rPr>
        <w:t>10条</w:t>
      </w:r>
      <w:r>
        <w:rPr>
          <w:rFonts w:hint="eastAsia" w:ascii="仿宋" w:hAnsi="仿宋" w:eastAsia="仿宋" w:cs="仿宋"/>
          <w:color w:val="000000"/>
          <w:sz w:val="32"/>
          <w:szCs w:val="32"/>
        </w:rPr>
        <w:t>。</w:t>
      </w:r>
    </w:p>
    <w:p w14:paraId="16E9E31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2"/>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三</w:t>
      </w:r>
      <w:r>
        <w:rPr>
          <w:rFonts w:hint="eastAsia" w:ascii="仿宋" w:hAnsi="仿宋" w:eastAsia="仿宋" w:cs="仿宋"/>
          <w:color w:val="000000"/>
          <w:sz w:val="32"/>
          <w:szCs w:val="32"/>
          <w:lang w:eastAsia="zh-CN"/>
        </w:rPr>
        <w:t>、存在的问题</w:t>
      </w:r>
    </w:p>
    <w:p w14:paraId="238AB1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lang w:val="en-US" w:eastAsia="zh-CN"/>
        </w:rPr>
        <w:t>一</w:t>
      </w:r>
      <w:r>
        <w:rPr>
          <w:rFonts w:hint="eastAsia" w:ascii="仿宋" w:hAnsi="仿宋" w:eastAsia="仿宋" w:cs="仿宋"/>
          <w:b/>
          <w:color w:val="000000"/>
          <w:sz w:val="32"/>
          <w:szCs w:val="32"/>
        </w:rPr>
        <w:t>是征地拆迁方面</w:t>
      </w:r>
      <w:r>
        <w:rPr>
          <w:rFonts w:hint="eastAsia" w:ascii="仿宋" w:hAnsi="仿宋" w:eastAsia="仿宋" w:cs="仿宋"/>
          <w:b/>
          <w:color w:val="000000"/>
          <w:sz w:val="32"/>
          <w:szCs w:val="32"/>
          <w:lang w:eastAsia="zh-CN"/>
        </w:rPr>
        <w:t>，</w:t>
      </w:r>
      <w:r>
        <w:rPr>
          <w:rFonts w:hint="eastAsia" w:ascii="仿宋" w:hAnsi="仿宋" w:eastAsia="仿宋" w:cs="仿宋"/>
          <w:color w:val="000000"/>
          <w:sz w:val="32"/>
          <w:szCs w:val="32"/>
        </w:rPr>
        <w:t>征地批文、社保及安置房建设方面在一定程度上影响了拆迁工作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同时在征地拆迁和各类遗留问题处理方面方法较简单</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思路不够宽、办法不够多。</w:t>
      </w:r>
      <w:r>
        <w:rPr>
          <w:rFonts w:hint="eastAsia" w:ascii="仿宋" w:hAnsi="仿宋" w:eastAsia="仿宋" w:cs="仿宋"/>
          <w:b/>
          <w:color w:val="000000"/>
          <w:sz w:val="32"/>
          <w:szCs w:val="32"/>
          <w:lang w:val="en-US" w:eastAsia="zh-CN"/>
        </w:rPr>
        <w:t>二</w:t>
      </w:r>
      <w:r>
        <w:rPr>
          <w:rFonts w:hint="eastAsia" w:ascii="仿宋" w:hAnsi="仿宋" w:eastAsia="仿宋" w:cs="仿宋"/>
          <w:b/>
          <w:color w:val="000000"/>
          <w:sz w:val="32"/>
          <w:szCs w:val="32"/>
        </w:rPr>
        <w:t>是乡村振兴和脱贫攻坚方面</w:t>
      </w:r>
      <w:r>
        <w:rPr>
          <w:rFonts w:hint="eastAsia" w:ascii="仿宋" w:hAnsi="仿宋" w:eastAsia="仿宋" w:cs="仿宋"/>
          <w:b/>
          <w:color w:val="000000"/>
          <w:sz w:val="32"/>
          <w:szCs w:val="32"/>
          <w:lang w:eastAsia="zh-CN"/>
        </w:rPr>
        <w:t>，</w:t>
      </w:r>
      <w:r>
        <w:rPr>
          <w:rFonts w:hint="eastAsia" w:ascii="仿宋" w:hAnsi="仿宋" w:eastAsia="仿宋" w:cs="仿宋"/>
          <w:color w:val="000000"/>
          <w:sz w:val="32"/>
          <w:szCs w:val="32"/>
        </w:rPr>
        <w:t>群众工作做得不够深不够细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群众的参与度和支持率、满意率有待提升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脱贫攻坚巩固提升有待加强</w:t>
      </w:r>
      <w:r>
        <w:rPr>
          <w:rFonts w:hint="eastAsia" w:ascii="仿宋" w:hAnsi="仿宋" w:eastAsia="仿宋" w:cs="仿宋"/>
          <w:color w:val="000000"/>
          <w:sz w:val="32"/>
          <w:szCs w:val="32"/>
        </w:rPr>
        <w:t>。</w:t>
      </w:r>
    </w:p>
    <w:p w14:paraId="2F122E9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2"/>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四</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年主要工作安排</w:t>
      </w:r>
    </w:p>
    <w:p w14:paraId="652DE440">
      <w:pPr>
        <w:keepNext w:val="0"/>
        <w:keepLines w:val="0"/>
        <w:pageBreakBefore w:val="0"/>
        <w:widowControl w:val="0"/>
        <w:kinsoku/>
        <w:wordWrap/>
        <w:overflowPunct/>
        <w:topLinePunct w:val="0"/>
        <w:autoSpaceDE/>
        <w:autoSpaceDN/>
        <w:bidi w:val="0"/>
        <w:adjustRightInd/>
        <w:snapToGrid/>
        <w:spacing w:line="240" w:lineRule="auto"/>
        <w:ind w:right="0" w:rightChars="0" w:firstLine="66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年我镇经济发展目标是：预计镇域生产总值29.19亿元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较上年增长8.7%,其中一产增加值 2.60亿元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较上年增长8%</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其中二产增加值 11.87亿元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较上年增长7.2%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其中三产增加值 14.72亿元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较上年增长10%。</w:t>
      </w:r>
    </w:p>
    <w:p w14:paraId="4F4BC7AB">
      <w:pPr>
        <w:keepNext w:val="0"/>
        <w:keepLines w:val="0"/>
        <w:pageBreakBefore w:val="0"/>
        <w:widowControl w:val="0"/>
        <w:kinsoku/>
        <w:wordWrap/>
        <w:overflowPunct/>
        <w:topLinePunct w:val="0"/>
        <w:autoSpaceDE/>
        <w:autoSpaceDN/>
        <w:bidi w:val="0"/>
        <w:adjustRightInd/>
        <w:snapToGrid/>
        <w:spacing w:line="240" w:lineRule="auto"/>
        <w:ind w:right="0" w:rightChars="0" w:firstLine="66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为了确保上述目标的实现</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我们将认真抓好以下重点工作：</w:t>
      </w:r>
    </w:p>
    <w:p w14:paraId="705BE0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60"/>
        <w:jc w:val="both"/>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（一）</w:t>
      </w:r>
      <w:r>
        <w:rPr>
          <w:rFonts w:hint="eastAsia" w:ascii="仿宋" w:hAnsi="仿宋" w:eastAsia="仿宋" w:cs="仿宋"/>
          <w:b/>
          <w:bCs/>
          <w:color w:val="000000"/>
          <w:sz w:val="32"/>
          <w:szCs w:val="32"/>
        </w:rPr>
        <w:t>全力强化农业基础地位。</w:t>
      </w:r>
      <w:r>
        <w:rPr>
          <w:rFonts w:hint="eastAsia" w:ascii="仿宋" w:hAnsi="仿宋" w:eastAsia="仿宋" w:cs="仿宋"/>
          <w:color w:val="000000"/>
          <w:sz w:val="32"/>
          <w:szCs w:val="32"/>
        </w:rPr>
        <w:t>一是继续</w:t>
      </w:r>
      <w:r>
        <w:rPr>
          <w:rFonts w:hint="eastAsia" w:ascii="仿宋" w:hAnsi="仿宋" w:eastAsia="仿宋" w:cs="仿宋"/>
          <w:color w:val="000000"/>
          <w:sz w:val="32"/>
          <w:szCs w:val="32"/>
          <w:lang w:val="en-US" w:eastAsia="zh-CN"/>
        </w:rPr>
        <w:t>抓好农业基础设施建设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继续推进</w:t>
      </w:r>
      <w:r>
        <w:rPr>
          <w:rFonts w:hint="eastAsia" w:ascii="仿宋" w:hAnsi="仿宋" w:eastAsia="仿宋" w:cs="仿宋"/>
          <w:color w:val="000000"/>
          <w:sz w:val="32"/>
          <w:szCs w:val="32"/>
          <w:lang w:val="en-US" w:eastAsia="zh-CN"/>
        </w:rPr>
        <w:t>种</w:t>
      </w:r>
      <w:r>
        <w:rPr>
          <w:rFonts w:hint="eastAsia" w:ascii="仿宋" w:hAnsi="仿宋" w:eastAsia="仿宋" w:cs="仿宋"/>
          <w:color w:val="000000"/>
          <w:sz w:val="32"/>
          <w:szCs w:val="32"/>
        </w:rPr>
        <w:t>养殖业致富</w:t>
      </w:r>
      <w:r>
        <w:rPr>
          <w:rFonts w:hint="eastAsia" w:ascii="仿宋" w:hAnsi="仿宋" w:eastAsia="仿宋" w:cs="仿宋"/>
          <w:color w:val="000000"/>
          <w:sz w:val="32"/>
          <w:szCs w:val="32"/>
          <w:lang w:val="en-US" w:eastAsia="zh-CN"/>
        </w:rPr>
        <w:t>项目建设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千方百计地促进农业增效、农民增收。二是继续加大对农业的投入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认真做好各项补贴的发放工作和村财镇管工作。三是切实抓好防汛抗旱工作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适时开展水利兴修和田间水利配套设施建设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进一步改善农业生产条件。</w:t>
      </w:r>
    </w:p>
    <w:p w14:paraId="70F2FF74">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auto"/>
        <w:ind w:left="0" w:leftChars="0" w:right="0" w:rightChars="0" w:firstLine="660" w:firstLineChars="0"/>
        <w:jc w:val="both"/>
        <w:textAlignment w:val="auto"/>
        <w:outlineLvl w:val="9"/>
        <w:rPr>
          <w:rFonts w:hint="eastAsia" w:ascii="仿宋" w:hAnsi="仿宋" w:eastAsia="仿宋" w:cs="仿宋"/>
          <w:color w:val="000000"/>
          <w:kern w:val="2"/>
          <w:sz w:val="32"/>
          <w:szCs w:val="32"/>
          <w:lang w:val="en-US" w:eastAsia="zh-CN" w:bidi="ar-SA"/>
        </w:rPr>
      </w:pPr>
      <w:r>
        <w:rPr>
          <w:rFonts w:hint="eastAsia" w:ascii="仿宋" w:hAnsi="仿宋" w:eastAsia="仿宋" w:cs="仿宋"/>
          <w:b/>
          <w:bCs/>
          <w:color w:val="000000"/>
          <w:kern w:val="2"/>
          <w:sz w:val="32"/>
          <w:szCs w:val="32"/>
          <w:lang w:val="en-US" w:eastAsia="zh-CN" w:bidi="ar-SA"/>
        </w:rPr>
        <w:t>（二）全力保障社会发展。</w:t>
      </w:r>
      <w:r>
        <w:rPr>
          <w:rFonts w:hint="eastAsia" w:ascii="仿宋" w:hAnsi="仿宋" w:eastAsia="仿宋" w:cs="仿宋"/>
          <w:color w:val="000000"/>
          <w:kern w:val="2"/>
          <w:sz w:val="32"/>
          <w:szCs w:val="32"/>
          <w:lang w:val="en-US" w:eastAsia="zh-CN" w:bidi="ar-SA"/>
        </w:rPr>
        <w:t>全力稳定工业增势，培育扶持新型产业，加快三产经济建设步伐。围绕 “美丽宜居公园城”建设，全力推进征地拆迁，在解决遗留问题、协调施工矛盾纠纷的基础上，集中优势兵力，倒排工期，倒逼进度，加快推进南桥路、景观路、西环线、乐曼运动小镇等30余个项目征地拆迁工作。</w:t>
      </w:r>
    </w:p>
    <w:p w14:paraId="41F09AC1">
      <w:pPr>
        <w:spacing w:line="600" w:lineRule="exact"/>
        <w:ind w:firstLine="643" w:firstLineChars="20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三</w:t>
      </w:r>
      <w:r>
        <w:rPr>
          <w:rFonts w:hint="eastAsia" w:ascii="仿宋" w:hAnsi="仿宋" w:eastAsia="仿宋" w:cs="仿宋"/>
          <w:b/>
          <w:bCs/>
          <w:color w:val="000000"/>
          <w:sz w:val="32"/>
          <w:szCs w:val="32"/>
        </w:rPr>
        <w:t>）全力抓好乡村振兴工作</w:t>
      </w:r>
      <w:r>
        <w:rPr>
          <w:rFonts w:hint="eastAsia" w:ascii="仿宋" w:hAnsi="仿宋" w:eastAsia="仿宋" w:cs="仿宋"/>
          <w:b/>
          <w:bCs/>
          <w:color w:val="000000"/>
          <w:sz w:val="32"/>
          <w:szCs w:val="32"/>
          <w:lang w:eastAsia="zh-CN"/>
        </w:rPr>
        <w:t>。</w:t>
      </w:r>
      <w:r>
        <w:rPr>
          <w:rFonts w:hint="eastAsia" w:ascii="仿宋" w:hAnsi="仿宋" w:eastAsia="仿宋" w:cs="仿宋"/>
          <w:color w:val="000000"/>
          <w:sz w:val="32"/>
          <w:szCs w:val="32"/>
        </w:rPr>
        <w:t>全力抓好贤家省级乡村振兴示范村创建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做好“支部+康养+企业”结合文章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全面提升康养产业知名度。全力抓好壮大村集体经济的项目载体</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重点落实好观音村秸秆综合处理项目、</w:t>
      </w:r>
      <w:r>
        <w:rPr>
          <w:rFonts w:hint="eastAsia" w:ascii="仿宋" w:hAnsi="仿宋" w:eastAsia="仿宋" w:cs="仿宋"/>
          <w:color w:val="000000"/>
          <w:kern w:val="0"/>
          <w:sz w:val="32"/>
          <w:szCs w:val="32"/>
        </w:rPr>
        <w:t>柳溪村水资源扩容项目、</w:t>
      </w:r>
      <w:r>
        <w:rPr>
          <w:rFonts w:hint="eastAsia" w:ascii="仿宋" w:hAnsi="仿宋" w:eastAsia="仿宋" w:cs="仿宋"/>
          <w:color w:val="000000"/>
          <w:sz w:val="32"/>
          <w:szCs w:val="32"/>
        </w:rPr>
        <w:t>南厂村红军长征旧道”红色康养旅游项目、贤家村综合服务中心项目、双沟村废品垃圾回收站项目、阳光众望米易乡村度假酒店项目等7个</w:t>
      </w:r>
      <w:r>
        <w:rPr>
          <w:rFonts w:hint="eastAsia" w:ascii="仿宋" w:hAnsi="仿宋" w:eastAsia="仿宋" w:cs="仿宋"/>
          <w:color w:val="000000"/>
          <w:sz w:val="32"/>
          <w:szCs w:val="32"/>
          <w:lang w:val="en-US" w:eastAsia="zh-CN"/>
        </w:rPr>
        <w:t>重点</w:t>
      </w:r>
      <w:r>
        <w:rPr>
          <w:rFonts w:hint="eastAsia" w:ascii="仿宋" w:hAnsi="仿宋" w:eastAsia="仿宋" w:cs="仿宋"/>
          <w:color w:val="000000"/>
          <w:sz w:val="32"/>
          <w:szCs w:val="32"/>
        </w:rPr>
        <w:t>项目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夯实农村集体经济</w:t>
      </w:r>
      <w:r>
        <w:rPr>
          <w:rFonts w:hint="eastAsia" w:ascii="仿宋" w:hAnsi="仿宋" w:eastAsia="仿宋" w:cs="仿宋"/>
          <w:color w:val="000000"/>
          <w:sz w:val="32"/>
          <w:szCs w:val="32"/>
        </w:rPr>
        <w:t>。坚持规划引领和规范发展。突出全域化布局、全龄化服务和全时段开发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把握相关产业与</w:t>
      </w:r>
      <w:r>
        <w:rPr>
          <w:rFonts w:hint="eastAsia" w:ascii="仿宋" w:hAnsi="仿宋" w:eastAsia="仿宋" w:cs="仿宋"/>
          <w:color w:val="000000"/>
          <w:sz w:val="32"/>
          <w:szCs w:val="32"/>
          <w:lang w:val="en-US" w:eastAsia="zh-CN"/>
        </w:rPr>
        <w:t>社会经济</w:t>
      </w:r>
      <w:r>
        <w:rPr>
          <w:rFonts w:hint="eastAsia" w:ascii="仿宋" w:hAnsi="仿宋" w:eastAsia="仿宋" w:cs="仿宋"/>
          <w:color w:val="000000"/>
          <w:sz w:val="32"/>
          <w:szCs w:val="32"/>
        </w:rPr>
        <w:t>互为环境、互为条件、相得益彰的关系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做到高端策划</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科学规划</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突出攀莲镇特色</w:t>
      </w:r>
      <w:r>
        <w:rPr>
          <w:rFonts w:hint="eastAsia" w:ascii="仿宋" w:hAnsi="仿宋" w:eastAsia="仿宋" w:cs="仿宋"/>
          <w:color w:val="000000"/>
          <w:sz w:val="32"/>
          <w:szCs w:val="32"/>
          <w:lang w:eastAsia="zh-CN"/>
        </w:rPr>
        <w:t>。坚持打好宣传牌。利用各类媒体手段，强化宣传营销，围绕“美丽宜居公园城 阳光康养目的地”城市形象品牌，丰富康养内涵，创新营销方式，利用市、县推介、招商等各大平台活动加大</w:t>
      </w:r>
      <w:r>
        <w:rPr>
          <w:rFonts w:hint="eastAsia" w:ascii="仿宋" w:hAnsi="仿宋" w:eastAsia="仿宋" w:cs="仿宋"/>
          <w:color w:val="000000"/>
          <w:sz w:val="32"/>
          <w:szCs w:val="32"/>
          <w:lang w:val="en-US" w:eastAsia="zh-CN"/>
        </w:rPr>
        <w:t>攀莲镇</w:t>
      </w:r>
      <w:r>
        <w:rPr>
          <w:rFonts w:hint="eastAsia" w:ascii="仿宋" w:hAnsi="仿宋" w:eastAsia="仿宋" w:cs="仿宋"/>
          <w:color w:val="000000"/>
          <w:sz w:val="32"/>
          <w:szCs w:val="32"/>
          <w:lang w:eastAsia="zh-CN"/>
        </w:rPr>
        <w:t>康养旅游、</w:t>
      </w:r>
      <w:r>
        <w:rPr>
          <w:rFonts w:hint="eastAsia" w:ascii="仿宋" w:hAnsi="仿宋" w:eastAsia="仿宋" w:cs="仿宋"/>
          <w:color w:val="000000"/>
          <w:sz w:val="32"/>
          <w:szCs w:val="32"/>
          <w:lang w:val="en-US" w:eastAsia="zh-CN"/>
        </w:rPr>
        <w:t>产品产业</w:t>
      </w:r>
      <w:r>
        <w:rPr>
          <w:rFonts w:hint="eastAsia" w:ascii="仿宋" w:hAnsi="仿宋" w:eastAsia="仿宋" w:cs="仿宋"/>
          <w:color w:val="000000"/>
          <w:sz w:val="32"/>
          <w:szCs w:val="32"/>
          <w:lang w:eastAsia="zh-CN"/>
        </w:rPr>
        <w:t>推广力度，利用灯会、庙会、花会、元宵焰火晚会等重大传统活动集聚效应，打响阳光</w:t>
      </w:r>
      <w:r>
        <w:rPr>
          <w:rFonts w:hint="eastAsia" w:ascii="仿宋" w:hAnsi="仿宋" w:eastAsia="仿宋" w:cs="仿宋"/>
          <w:color w:val="000000"/>
          <w:sz w:val="32"/>
          <w:szCs w:val="32"/>
          <w:lang w:val="en-US" w:eastAsia="zh-CN"/>
        </w:rPr>
        <w:t>攀莲</w:t>
      </w:r>
      <w:r>
        <w:rPr>
          <w:rFonts w:hint="eastAsia" w:ascii="仿宋" w:hAnsi="仿宋" w:eastAsia="仿宋" w:cs="仿宋"/>
          <w:color w:val="000000"/>
          <w:sz w:val="32"/>
          <w:szCs w:val="32"/>
          <w:lang w:eastAsia="zh-CN"/>
        </w:rPr>
        <w:t>品牌。</w:t>
      </w:r>
    </w:p>
    <w:p w14:paraId="585D9132">
      <w:pPr>
        <w:spacing w:line="560"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四</w:t>
      </w:r>
      <w:r>
        <w:rPr>
          <w:rFonts w:hint="eastAsia" w:ascii="仿宋" w:hAnsi="仿宋" w:eastAsia="仿宋" w:cs="仿宋"/>
          <w:b/>
          <w:bCs/>
          <w:color w:val="000000"/>
          <w:sz w:val="32"/>
          <w:szCs w:val="32"/>
        </w:rPr>
        <w:t>）全力</w:t>
      </w:r>
      <w:r>
        <w:rPr>
          <w:rFonts w:hint="eastAsia" w:ascii="仿宋" w:hAnsi="仿宋" w:eastAsia="仿宋" w:cs="仿宋"/>
          <w:b/>
          <w:bCs/>
          <w:color w:val="000000"/>
          <w:sz w:val="32"/>
          <w:szCs w:val="32"/>
          <w:lang w:val="en-US" w:eastAsia="zh-CN"/>
        </w:rPr>
        <w:t>推进农文旅融合文章</w:t>
      </w:r>
      <w:r>
        <w:rPr>
          <w:rFonts w:hint="eastAsia" w:ascii="仿宋" w:hAnsi="仿宋" w:eastAsia="仿宋" w:cs="仿宋"/>
          <w:b/>
          <w:bCs/>
          <w:color w:val="000000"/>
          <w:sz w:val="32"/>
          <w:szCs w:val="32"/>
          <w:lang w:eastAsia="zh-CN"/>
        </w:rPr>
        <w:t>。</w:t>
      </w:r>
      <w:r>
        <w:rPr>
          <w:rFonts w:hint="eastAsia" w:ascii="仿宋" w:hAnsi="仿宋" w:eastAsia="仿宋" w:cs="仿宋"/>
          <w:color w:val="000000"/>
          <w:sz w:val="32"/>
          <w:szCs w:val="32"/>
        </w:rPr>
        <w:t>贯彻落实推进安宁河流域农文旅融合发展</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建设阳光生态经济走廊的重大部署</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坚持“康养产业活镇”思路</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以培育高端养生养老等产业集群为中心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着重打造休闲娱乐、现代农文旅相融合、信息化服务管理相结合的康养产品。研究分析攀莲镇康养产业发展重点和项目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在抓好 “暖冬”旅游市场的基础上</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积极挖掘夏季康养旅游市场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充分发挥米易县“冬暖夏凉”优越的气候环境。打造核心产品。突出康养资源禀赋优势</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搭建融合农业、医疗、旅游和运动等多产业的康养旅游目的地发展平台。培育康养产业市场主体。通过对外招大引强、对内扶持鼓励</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引入知名旅游集团、养老机构等。培育一批规模大、档次高、质量好的集养老、养生、养心为一体的健康服务新业态。重点在贤家村、观音村等有康养产业基础的村推进特色小镇、幸福美丽新村等建设</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大力发展休闲农业、乡村旅游等新产业新业态</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实施农村产业融合发展重点项目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树立一批示范典型。</w:t>
      </w:r>
    </w:p>
    <w:p w14:paraId="24E2A0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（五）全力办好民生实事。</w:t>
      </w:r>
      <w:r>
        <w:rPr>
          <w:rFonts w:hint="eastAsia" w:ascii="仿宋" w:hAnsi="仿宋" w:eastAsia="仿宋" w:cs="仿宋"/>
          <w:color w:val="000000"/>
          <w:sz w:val="32"/>
          <w:szCs w:val="32"/>
        </w:rPr>
        <w:t>严格落实各项社保政策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及时发放各类社保资金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加大弱势群体救助力度。健全就业服务体系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落实就业创业优惠政策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加强职业技能培训。健全城乡医疗卫生服务体系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实施分级诊疗制度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加强农村基层卫生队伍建设。落实“两孩”政策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提升优生优育服务水平。坚持文化惠民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抓好村（社区）文化院坝等阵地建设。</w:t>
      </w:r>
    </w:p>
    <w:p w14:paraId="7FD248FE">
      <w:pPr>
        <w:pStyle w:val="6"/>
        <w:keepNext w:val="0"/>
        <w:keepLines w:val="0"/>
        <w:pageBreakBefore w:val="0"/>
        <w:widowControl w:val="0"/>
        <w:kinsoku/>
        <w:wordWrap/>
        <w:overflowPunct/>
        <w:topLinePunct w:val="0"/>
        <w:autoSpaceDE/>
        <w:autoSpaceDN/>
        <w:bidi w:val="0"/>
        <w:adjustRightInd/>
        <w:snapToGrid/>
        <w:spacing w:before="0" w:beforeAutospacing="0" w:after="0" w:line="240" w:lineRule="auto"/>
        <w:ind w:left="0" w:leftChars="0" w:right="0" w:rightChars="0" w:firstLine="0" w:firstLineChars="0"/>
        <w:jc w:val="both"/>
        <w:textAlignment w:val="auto"/>
        <w:outlineLvl w:val="9"/>
        <w:rPr>
          <w:rFonts w:hint="eastAsia" w:ascii="仿宋" w:hAnsi="仿宋" w:eastAsia="仿宋"/>
          <w:bCs/>
          <w:color w:val="000000"/>
          <w:sz w:val="32"/>
          <w:szCs w:val="32"/>
        </w:rPr>
      </w:pPr>
      <w:r>
        <w:rPr>
          <w:rFonts w:hint="eastAsia" w:ascii="仿宋" w:hAnsi="仿宋" w:eastAsia="仿宋" w:cs="仿宋"/>
          <w:b/>
          <w:bCs/>
          <w:color w:val="000000"/>
          <w:kern w:val="2"/>
          <w:sz w:val="32"/>
          <w:szCs w:val="32"/>
          <w:lang w:val="en-US" w:eastAsia="zh-CN" w:bidi="ar-SA"/>
        </w:rPr>
        <w:t>（六）全力维护和谐稳定。</w:t>
      </w:r>
      <w:r>
        <w:rPr>
          <w:rFonts w:hint="eastAsia" w:ascii="仿宋" w:hAnsi="仿宋" w:eastAsia="仿宋" w:cs="仿宋"/>
          <w:color w:val="000000"/>
          <w:sz w:val="32"/>
          <w:szCs w:val="32"/>
        </w:rPr>
        <w:t>进一步健全社会矛盾排查调解体系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加强来信来访工作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动态掌握社情民情</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努力解决各类社会矛盾。加大普法宣传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深化网格化管理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依法打击各类违法犯罪活动。落实安全生产责任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做好重点区域、重点行业安全监管</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实现零安全事故。</w:t>
      </w:r>
      <w:r>
        <w:rPr>
          <w:rFonts w:hint="eastAsia" w:ascii="仿宋" w:hAnsi="仿宋" w:eastAsia="仿宋" w:cs="仿宋"/>
          <w:color w:val="000000"/>
          <w:sz w:val="32"/>
          <w:szCs w:val="32"/>
          <w:lang w:eastAsia="zh-CN"/>
        </w:rPr>
        <w:t>强化部门合作，形成合力，加强两违整治力度。工作高效、服务周到，依法依规及时为农户办理许可证，</w:t>
      </w:r>
      <w:r>
        <w:rPr>
          <w:rFonts w:hint="eastAsia" w:ascii="仿宋" w:hAnsi="仿宋" w:eastAsia="仿宋" w:cs="仿宋"/>
          <w:color w:val="000000"/>
          <w:sz w:val="32"/>
          <w:szCs w:val="32"/>
          <w:lang w:val="en-US" w:eastAsia="zh-CN"/>
        </w:rPr>
        <w:t>杜绝“两违”隐患。</w:t>
      </w:r>
    </w:p>
    <w:p w14:paraId="1A873EC2">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left="0" w:leftChars="0" w:firstLine="640" w:firstLineChars="200"/>
        <w:textAlignment w:val="auto"/>
        <w:rPr>
          <w:rStyle w:val="28"/>
          <w:rFonts w:hint="eastAsia" w:ascii="黑体" w:hAnsi="黑体" w:eastAsia="黑体"/>
          <w:b w:val="0"/>
          <w:bCs w:val="0"/>
        </w:rPr>
      </w:pPr>
      <w:bookmarkStart w:id="17" w:name="_Toc15377200"/>
      <w:bookmarkStart w:id="18" w:name="_Toc15396601"/>
      <w:bookmarkStart w:id="19" w:name="_Toc23990"/>
      <w:r>
        <w:rPr>
          <w:rFonts w:hint="eastAsia" w:ascii="黑体" w:hAnsi="黑体" w:eastAsia="黑体"/>
          <w:b w:val="0"/>
          <w:color w:val="000000"/>
        </w:rPr>
        <w:t>机</w:t>
      </w:r>
      <w:r>
        <w:rPr>
          <w:rStyle w:val="28"/>
          <w:rFonts w:hint="eastAsia" w:ascii="黑体" w:hAnsi="黑体" w:eastAsia="黑体"/>
          <w:b w:val="0"/>
          <w:bCs w:val="0"/>
        </w:rPr>
        <w:t>构设置</w:t>
      </w:r>
      <w:bookmarkEnd w:id="17"/>
      <w:bookmarkEnd w:id="18"/>
      <w:bookmarkEnd w:id="19"/>
    </w:p>
    <w:p w14:paraId="4563D653">
      <w:pPr>
        <w:widowControl/>
        <w:spacing w:line="580" w:lineRule="atLeast"/>
        <w:ind w:firstLine="640"/>
        <w:jc w:val="left"/>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镇机构设置及人员情况</w:t>
      </w:r>
      <w:r>
        <w:rPr>
          <w:rFonts w:hint="default" w:ascii="Times New Roman" w:hAnsi="Times New Roman" w:eastAsia="方正楷体_GBK" w:cs="Times New Roman"/>
          <w:kern w:val="0"/>
          <w:sz w:val="32"/>
          <w:szCs w:val="32"/>
          <w:lang w:val="zh-CN"/>
        </w:rPr>
        <w:t>：</w:t>
      </w:r>
      <w:r>
        <w:rPr>
          <w:rFonts w:hint="default" w:ascii="Times New Roman" w:hAnsi="Times New Roman" w:eastAsia="仿宋_GB2312" w:cs="Times New Roman"/>
          <w:sz w:val="32"/>
          <w:szCs w:val="32"/>
          <w:shd w:val="clear" w:color="auto" w:fill="FFFFFF"/>
        </w:rPr>
        <w:t>我镇按机构改革“三定方案”设置了五大办公室2个中心：即党政办，财政所、安监所、社会事务办，经济办。2个中心：农业综合服务中心，便民服务中心。</w:t>
      </w:r>
    </w:p>
    <w:p w14:paraId="4E647AD8">
      <w:pPr>
        <w:widowControl/>
        <w:spacing w:line="580" w:lineRule="atLeast"/>
        <w:ind w:firstLine="640" w:firstLineChars="200"/>
        <w:jc w:val="left"/>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我镇（镇）总编制82人。行政编制35人，行政工勤编制3人，在岗3人</w:t>
      </w:r>
      <w:r>
        <w:rPr>
          <w:rFonts w:hint="eastAsia"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事业编制44人。</w:t>
      </w:r>
    </w:p>
    <w:p w14:paraId="59206C95">
      <w:pPr>
        <w:numPr>
          <w:ilvl w:val="0"/>
          <w:numId w:val="0"/>
        </w:numPr>
        <w:ind w:leftChars="0"/>
      </w:pPr>
    </w:p>
    <w:p w14:paraId="57CF909E">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2FAE0081">
      <w:pPr>
        <w:pStyle w:val="3"/>
        <w:ind w:right="440"/>
        <w:jc w:val="right"/>
        <w:rPr>
          <w:rStyle w:val="27"/>
          <w:rFonts w:ascii="黑体" w:hAnsi="黑体" w:eastAsia="黑体"/>
          <w:b w:val="0"/>
          <w:bCs w:val="0"/>
        </w:rPr>
      </w:pPr>
      <w:bookmarkStart w:id="20" w:name="_Toc15396602"/>
      <w:bookmarkStart w:id="21" w:name="_Toc15377204"/>
      <w:bookmarkStart w:id="22" w:name="_Toc13825"/>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0"/>
      <w:bookmarkEnd w:id="21"/>
      <w:bookmarkEnd w:id="22"/>
    </w:p>
    <w:p w14:paraId="77FDAD30"/>
    <w:p w14:paraId="4652B1CC">
      <w:pPr>
        <w:pStyle w:val="26"/>
        <w:numPr>
          <w:ilvl w:val="0"/>
          <w:numId w:val="2"/>
        </w:numPr>
        <w:spacing w:line="600" w:lineRule="exact"/>
        <w:ind w:firstLineChars="0"/>
        <w:outlineLvl w:val="1"/>
        <w:rPr>
          <w:rStyle w:val="28"/>
          <w:rFonts w:ascii="黑体" w:hAnsi="黑体" w:eastAsia="黑体"/>
          <w:b w:val="0"/>
        </w:rPr>
      </w:pPr>
      <w:bookmarkStart w:id="23" w:name="_Toc15377205"/>
      <w:bookmarkStart w:id="24" w:name="_Toc13980"/>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3"/>
      <w:bookmarkEnd w:id="24"/>
      <w:bookmarkEnd w:id="25"/>
    </w:p>
    <w:p w14:paraId="7244083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年度收入决算合计为23433.05万元，支出决算合计22305.74万元。201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年度收入决算总计为26383.55万元，支出决算合计23384.</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rPr>
        <w:t>万元。与201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年相比收</w:t>
      </w:r>
      <w:r>
        <w:rPr>
          <w:rFonts w:hint="eastAsia" w:eastAsia="仿宋_GB2312" w:cs="Times New Roman"/>
          <w:sz w:val="32"/>
          <w:szCs w:val="32"/>
          <w:lang w:val="en-US" w:eastAsia="zh-CN"/>
        </w:rPr>
        <w:t>入减少2950.5</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下降11.18</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支</w:t>
      </w:r>
      <w:r>
        <w:rPr>
          <w:rFonts w:hint="eastAsia" w:eastAsia="仿宋_GB2312" w:cs="Times New Roman"/>
          <w:sz w:val="32"/>
          <w:szCs w:val="32"/>
          <w:lang w:val="en-US" w:eastAsia="zh-CN"/>
        </w:rPr>
        <w:t>出减少1078.36</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下降4.61</w:t>
      </w:r>
      <w:r>
        <w:rPr>
          <w:rFonts w:hint="default" w:ascii="Times New Roman" w:hAnsi="Times New Roman" w:eastAsia="仿宋_GB2312" w:cs="Times New Roman"/>
          <w:sz w:val="32"/>
          <w:szCs w:val="32"/>
        </w:rPr>
        <w:t>%。主要变动原因是</w:t>
      </w:r>
      <w:r>
        <w:rPr>
          <w:rFonts w:hint="eastAsia" w:eastAsia="仿宋_GB2312" w:cs="Times New Roman"/>
          <w:sz w:val="32"/>
          <w:szCs w:val="32"/>
          <w:lang w:val="en-US" w:eastAsia="zh-CN"/>
        </w:rPr>
        <w:t>基金预算相应的减少</w:t>
      </w:r>
      <w:r>
        <w:rPr>
          <w:rFonts w:hint="default" w:ascii="Times New Roman" w:hAnsi="Times New Roman" w:eastAsia="仿宋_GB2312" w:cs="Times New Roman"/>
          <w:sz w:val="32"/>
          <w:szCs w:val="32"/>
        </w:rPr>
        <w:t>。</w:t>
      </w:r>
    </w:p>
    <w:p w14:paraId="259522CC">
      <w:pPr>
        <w:spacing w:line="600" w:lineRule="exact"/>
        <w:ind w:firstLine="640" w:firstLineChars="200"/>
        <w:rPr>
          <w:rFonts w:hint="eastAsia" w:ascii="Times New Roman" w:hAnsi="Times New Roman" w:eastAsia="仿宋_GB2312" w:cs="Times New Roman"/>
          <w:sz w:val="32"/>
          <w:szCs w:val="32"/>
          <w:lang w:eastAsia="zh-CN"/>
        </w:rPr>
      </w:pPr>
    </w:p>
    <w:p w14:paraId="605495D8">
      <w:pPr>
        <w:spacing w:line="600" w:lineRule="exact"/>
        <w:ind w:firstLine="420" w:firstLineChars="200"/>
        <w:rPr>
          <w:rFonts w:hint="eastAsia" w:ascii="Times New Roman" w:hAnsi="Times New Roman" w:eastAsia="仿宋_GB2312" w:cs="Times New Roman"/>
          <w:sz w:val="32"/>
          <w:szCs w:val="32"/>
          <w:lang w:eastAsia="zh-CN"/>
        </w:rPr>
      </w:pPr>
      <w:r>
        <w:drawing>
          <wp:anchor distT="0" distB="0" distL="114300" distR="114300" simplePos="0" relativeHeight="251659264" behindDoc="0" locked="0" layoutInCell="1" allowOverlap="1">
            <wp:simplePos x="0" y="0"/>
            <wp:positionH relativeFrom="column">
              <wp:posOffset>398145</wp:posOffset>
            </wp:positionH>
            <wp:positionV relativeFrom="paragraph">
              <wp:posOffset>57150</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AE939EE">
      <w:pPr>
        <w:spacing w:line="600" w:lineRule="exact"/>
        <w:ind w:firstLine="640" w:firstLineChars="200"/>
        <w:rPr>
          <w:rFonts w:ascii="仿宋" w:hAnsi="仿宋" w:eastAsia="仿宋"/>
          <w:color w:val="000000" w:themeColor="text1"/>
          <w:sz w:val="32"/>
          <w:szCs w:val="32"/>
        </w:rPr>
      </w:pPr>
    </w:p>
    <w:p w14:paraId="67D90315">
      <w:pPr>
        <w:spacing w:line="600" w:lineRule="exact"/>
        <w:ind w:firstLine="640" w:firstLineChars="200"/>
        <w:jc w:val="left"/>
        <w:rPr>
          <w:rFonts w:ascii="仿宋_GB2312" w:eastAsia="仿宋_GB2312"/>
          <w:color w:val="000000"/>
          <w:sz w:val="32"/>
          <w:szCs w:val="32"/>
        </w:rPr>
      </w:pPr>
    </w:p>
    <w:p w14:paraId="34842884">
      <w:pPr>
        <w:spacing w:line="600" w:lineRule="exact"/>
        <w:ind w:firstLine="640" w:firstLineChars="200"/>
        <w:jc w:val="left"/>
        <w:rPr>
          <w:rFonts w:ascii="仿宋_GB2312" w:eastAsia="仿宋_GB2312"/>
          <w:color w:val="000000"/>
          <w:sz w:val="32"/>
          <w:szCs w:val="32"/>
        </w:rPr>
      </w:pPr>
    </w:p>
    <w:p w14:paraId="378EA7A5">
      <w:pPr>
        <w:spacing w:line="600" w:lineRule="exact"/>
        <w:ind w:firstLine="640" w:firstLineChars="200"/>
        <w:jc w:val="left"/>
        <w:rPr>
          <w:rFonts w:ascii="仿宋_GB2312" w:eastAsia="仿宋_GB2312"/>
          <w:color w:val="000000"/>
          <w:sz w:val="32"/>
          <w:szCs w:val="32"/>
        </w:rPr>
      </w:pPr>
    </w:p>
    <w:p w14:paraId="2E35356D">
      <w:pPr>
        <w:spacing w:line="600" w:lineRule="exact"/>
        <w:ind w:firstLine="640" w:firstLineChars="200"/>
        <w:jc w:val="left"/>
        <w:rPr>
          <w:rFonts w:ascii="仿宋_GB2312" w:eastAsia="仿宋_GB2312"/>
          <w:color w:val="000000"/>
          <w:sz w:val="32"/>
          <w:szCs w:val="32"/>
        </w:rPr>
      </w:pPr>
    </w:p>
    <w:p w14:paraId="032ECD0C">
      <w:pPr>
        <w:spacing w:line="600" w:lineRule="exact"/>
        <w:ind w:firstLine="640" w:firstLineChars="200"/>
        <w:jc w:val="left"/>
        <w:rPr>
          <w:rFonts w:ascii="仿宋_GB2312" w:eastAsia="仿宋_GB2312"/>
          <w:color w:val="000000"/>
          <w:sz w:val="32"/>
          <w:szCs w:val="32"/>
        </w:rPr>
      </w:pPr>
    </w:p>
    <w:p w14:paraId="59116734">
      <w:pPr>
        <w:spacing w:line="600" w:lineRule="exact"/>
        <w:ind w:firstLine="640" w:firstLineChars="200"/>
        <w:jc w:val="left"/>
        <w:rPr>
          <w:rFonts w:hint="eastAsia" w:ascii="仿宋" w:hAnsi="仿宋" w:eastAsia="仿宋"/>
          <w:color w:val="000000" w:themeColor="text1"/>
          <w:sz w:val="32"/>
          <w:szCs w:val="32"/>
        </w:rPr>
      </w:pPr>
    </w:p>
    <w:p w14:paraId="3B34C767">
      <w:pPr>
        <w:spacing w:line="600" w:lineRule="exact"/>
        <w:ind w:firstLine="640" w:firstLineChars="200"/>
        <w:jc w:val="left"/>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7DD1693E">
      <w:pPr>
        <w:spacing w:line="600" w:lineRule="exact"/>
        <w:ind w:firstLine="640" w:firstLineChars="200"/>
        <w:jc w:val="left"/>
        <w:rPr>
          <w:rFonts w:ascii="仿宋_GB2312" w:eastAsia="仿宋_GB2312"/>
          <w:color w:val="000000"/>
          <w:sz w:val="32"/>
          <w:szCs w:val="32"/>
        </w:rPr>
      </w:pPr>
    </w:p>
    <w:p w14:paraId="2C08ED36">
      <w:pPr>
        <w:pStyle w:val="26"/>
        <w:numPr>
          <w:ilvl w:val="0"/>
          <w:numId w:val="2"/>
        </w:numPr>
        <w:spacing w:line="600" w:lineRule="exact"/>
        <w:ind w:firstLineChars="0"/>
        <w:outlineLvl w:val="1"/>
        <w:rPr>
          <w:rStyle w:val="28"/>
          <w:rFonts w:ascii="黑体" w:hAnsi="黑体" w:eastAsia="黑体"/>
          <w:b w:val="0"/>
        </w:rPr>
      </w:pPr>
      <w:bookmarkStart w:id="26" w:name="_Toc15396604"/>
      <w:bookmarkStart w:id="27" w:name="_Toc26243"/>
      <w:bookmarkStart w:id="28"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bookmarkEnd w:id="28"/>
    </w:p>
    <w:p w14:paraId="1AD9CFED">
      <w:pPr>
        <w:pStyle w:val="26"/>
        <w:spacing w:line="600" w:lineRule="exact"/>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年攀莲镇人民政府收入决算总额为23433.05万元，其中：一般公共预算财政拨款收入1734.9万元，占</w:t>
      </w:r>
      <w:r>
        <w:rPr>
          <w:rFonts w:hint="eastAsia" w:eastAsia="仿宋_GB2312" w:cs="Times New Roman"/>
          <w:sz w:val="32"/>
          <w:szCs w:val="32"/>
          <w:lang w:val="en-US" w:eastAsia="zh-CN"/>
        </w:rPr>
        <w:t>7.4</w:t>
      </w:r>
      <w:r>
        <w:rPr>
          <w:rFonts w:hint="default" w:ascii="Times New Roman" w:hAnsi="Times New Roman" w:eastAsia="仿宋_GB2312" w:cs="Times New Roman"/>
          <w:sz w:val="32"/>
          <w:szCs w:val="32"/>
        </w:rPr>
        <w:t>%；政府性基金预算财政拨款收入21698.15万元，占92.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%；国有资本经营预算财政拨款收入0万元，占0%；事业收入0万元，占0%；经营收入0万元，占0%；附属单位上缴收入0万元，占0%；其他收入0万元，占0%。</w:t>
      </w:r>
    </w:p>
    <w:p w14:paraId="558EEAA2">
      <w:pPr>
        <w:pStyle w:val="26"/>
        <w:spacing w:line="600" w:lineRule="exact"/>
        <w:outlineLvl w:val="1"/>
        <w:rPr>
          <w:rFonts w:hint="default" w:ascii="Times New Roman"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112395</wp:posOffset>
            </wp:positionH>
            <wp:positionV relativeFrom="paragraph">
              <wp:posOffset>240665</wp:posOffset>
            </wp:positionV>
            <wp:extent cx="4572000" cy="2077720"/>
            <wp:effectExtent l="5080" t="4445" r="13970" b="13335"/>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38EB645">
      <w:pPr>
        <w:pStyle w:val="26"/>
        <w:spacing w:line="600" w:lineRule="exact"/>
        <w:outlineLvl w:val="1"/>
        <w:rPr>
          <w:rFonts w:hint="default" w:ascii="Times New Roman" w:hAnsi="Times New Roman" w:eastAsia="仿宋_GB2312" w:cs="Times New Roman"/>
          <w:sz w:val="32"/>
          <w:szCs w:val="32"/>
        </w:rPr>
      </w:pPr>
    </w:p>
    <w:p w14:paraId="6336FDB6">
      <w:pPr>
        <w:pStyle w:val="26"/>
        <w:spacing w:line="600" w:lineRule="exact"/>
        <w:outlineLvl w:val="1"/>
        <w:rPr>
          <w:rFonts w:hint="default" w:ascii="Times New Roman" w:hAnsi="Times New Roman" w:eastAsia="仿宋_GB2312" w:cs="Times New Roman"/>
          <w:sz w:val="32"/>
          <w:szCs w:val="32"/>
        </w:rPr>
      </w:pPr>
    </w:p>
    <w:p w14:paraId="562AE64A">
      <w:pPr>
        <w:pStyle w:val="26"/>
        <w:spacing w:line="600" w:lineRule="exact"/>
        <w:outlineLvl w:val="1"/>
        <w:rPr>
          <w:rFonts w:hint="default" w:ascii="Times New Roman" w:hAnsi="Times New Roman" w:eastAsia="仿宋_GB2312" w:cs="Times New Roman"/>
          <w:sz w:val="32"/>
          <w:szCs w:val="32"/>
        </w:rPr>
      </w:pPr>
    </w:p>
    <w:p w14:paraId="7E599F1B">
      <w:pPr>
        <w:pStyle w:val="26"/>
        <w:spacing w:line="600" w:lineRule="exact"/>
        <w:outlineLvl w:val="1"/>
        <w:rPr>
          <w:rFonts w:hint="default" w:ascii="Times New Roman" w:hAnsi="Times New Roman" w:eastAsia="仿宋_GB2312" w:cs="Times New Roman"/>
          <w:sz w:val="32"/>
          <w:szCs w:val="32"/>
        </w:rPr>
      </w:pPr>
    </w:p>
    <w:p w14:paraId="33067487">
      <w:pPr>
        <w:spacing w:line="600" w:lineRule="exact"/>
        <w:outlineLvl w:val="1"/>
        <w:rPr>
          <w:rFonts w:ascii="仿宋" w:hAnsi="仿宋" w:eastAsia="仿宋"/>
          <w:color w:val="000000"/>
          <w:sz w:val="32"/>
          <w:szCs w:val="32"/>
        </w:rPr>
      </w:pPr>
    </w:p>
    <w:p w14:paraId="5ADA85E0">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14:paraId="4E10CE14">
      <w:pPr>
        <w:pStyle w:val="26"/>
        <w:numPr>
          <w:ilvl w:val="0"/>
          <w:numId w:val="2"/>
        </w:numPr>
        <w:spacing w:line="600" w:lineRule="exact"/>
        <w:ind w:firstLineChars="0"/>
        <w:outlineLvl w:val="1"/>
        <w:rPr>
          <w:rStyle w:val="28"/>
          <w:rFonts w:ascii="黑体" w:hAnsi="黑体" w:eastAsia="黑体"/>
          <w:b w:val="0"/>
        </w:rPr>
      </w:pPr>
      <w:bookmarkStart w:id="29" w:name="_Toc15377207"/>
      <w:bookmarkStart w:id="30" w:name="_Toc1059"/>
      <w:bookmarkStart w:id="31"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9"/>
      <w:bookmarkEnd w:id="30"/>
      <w:bookmarkEnd w:id="31"/>
    </w:p>
    <w:p w14:paraId="6CF083AD">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年攀莲镇人民政府支出决算总额为22305.74万元，其中：基本支出1267万元，占5.</w:t>
      </w:r>
      <w:r>
        <w:rPr>
          <w:rFonts w:hint="eastAsia" w:eastAsia="仿宋_GB2312" w:cs="Times New Roman"/>
          <w:sz w:val="32"/>
          <w:szCs w:val="32"/>
          <w:lang w:val="en-US" w:eastAsia="zh-CN"/>
        </w:rPr>
        <w:t>68</w:t>
      </w:r>
      <w:r>
        <w:rPr>
          <w:rFonts w:hint="default" w:ascii="Times New Roman" w:hAnsi="Times New Roman" w:eastAsia="仿宋_GB2312" w:cs="Times New Roman"/>
          <w:sz w:val="32"/>
          <w:szCs w:val="32"/>
        </w:rPr>
        <w:t>%；项目支出21038.74万元，占94.</w:t>
      </w:r>
      <w:r>
        <w:rPr>
          <w:rFonts w:hint="eastAsia" w:eastAsia="仿宋_GB2312" w:cs="Times New Roman"/>
          <w:sz w:val="32"/>
          <w:szCs w:val="32"/>
          <w:lang w:val="en-US" w:eastAsia="zh-CN"/>
        </w:rPr>
        <w:t>32</w:t>
      </w:r>
      <w:r>
        <w:rPr>
          <w:rFonts w:hint="default" w:ascii="Times New Roman" w:hAnsi="Times New Roman" w:eastAsia="仿宋_GB2312" w:cs="Times New Roman"/>
          <w:sz w:val="32"/>
          <w:szCs w:val="32"/>
        </w:rPr>
        <w:t>%；上缴上级支出0万元，占0%；经营支出0万元，占0%；对附属单位补助支出0万元，占0%。</w:t>
      </w:r>
    </w:p>
    <w:p w14:paraId="4648D3FB">
      <w:pPr>
        <w:spacing w:line="580" w:lineRule="exact"/>
        <w:ind w:firstLine="420" w:firstLineChars="200"/>
        <w:rPr>
          <w:rFonts w:hint="default" w:ascii="Times New Roman" w:hAnsi="Times New Roman" w:eastAsia="仿宋_GB2312" w:cs="Times New Roman"/>
          <w:sz w:val="32"/>
          <w:szCs w:val="32"/>
        </w:rPr>
      </w:pPr>
      <w:r>
        <w:drawing>
          <wp:anchor distT="0" distB="0" distL="114300" distR="114300" simplePos="0" relativeHeight="251661312" behindDoc="0" locked="0" layoutInCell="1" allowOverlap="1">
            <wp:simplePos x="0" y="0"/>
            <wp:positionH relativeFrom="column">
              <wp:posOffset>1245870</wp:posOffset>
            </wp:positionH>
            <wp:positionV relativeFrom="paragraph">
              <wp:posOffset>66675</wp:posOffset>
            </wp:positionV>
            <wp:extent cx="2628900" cy="1770380"/>
            <wp:effectExtent l="5080" t="4445" r="13970" b="15875"/>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3B74482">
      <w:pPr>
        <w:spacing w:line="580" w:lineRule="exact"/>
        <w:ind w:firstLine="640" w:firstLineChars="200"/>
        <w:rPr>
          <w:rFonts w:hint="default" w:ascii="Times New Roman" w:hAnsi="Times New Roman" w:eastAsia="仿宋_GB2312" w:cs="Times New Roman"/>
          <w:sz w:val="32"/>
          <w:szCs w:val="32"/>
        </w:rPr>
      </w:pPr>
    </w:p>
    <w:p w14:paraId="0502C241">
      <w:pPr>
        <w:spacing w:line="580" w:lineRule="exact"/>
        <w:ind w:firstLine="640" w:firstLineChars="200"/>
        <w:rPr>
          <w:rFonts w:hint="default" w:ascii="Times New Roman" w:hAnsi="Times New Roman" w:eastAsia="仿宋_GB2312" w:cs="Times New Roman"/>
          <w:sz w:val="32"/>
          <w:szCs w:val="32"/>
        </w:rPr>
      </w:pPr>
    </w:p>
    <w:p w14:paraId="64720783">
      <w:pPr>
        <w:spacing w:line="580" w:lineRule="exact"/>
        <w:ind w:firstLine="640" w:firstLineChars="200"/>
        <w:rPr>
          <w:rFonts w:hint="default" w:ascii="Times New Roman" w:hAnsi="Times New Roman" w:eastAsia="仿宋_GB2312" w:cs="Times New Roman"/>
          <w:sz w:val="32"/>
          <w:szCs w:val="32"/>
        </w:rPr>
      </w:pPr>
    </w:p>
    <w:p w14:paraId="23A37A21">
      <w:pPr>
        <w:spacing w:line="600" w:lineRule="exact"/>
        <w:ind w:firstLine="640" w:firstLineChars="200"/>
        <w:rPr>
          <w:rFonts w:hint="eastAsia" w:ascii="仿宋" w:hAnsi="仿宋" w:eastAsia="仿宋"/>
          <w:color w:val="000000" w:themeColor="text1"/>
          <w:sz w:val="32"/>
          <w:szCs w:val="32"/>
        </w:rPr>
      </w:pPr>
    </w:p>
    <w:p w14:paraId="1C5634DD">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24DBCD00">
      <w:pPr>
        <w:spacing w:line="600" w:lineRule="exact"/>
        <w:ind w:firstLine="640" w:firstLineChars="200"/>
        <w:rPr>
          <w:rFonts w:ascii="仿宋_GB2312" w:eastAsia="仿宋_GB2312"/>
          <w:color w:val="FF0000"/>
          <w:sz w:val="32"/>
          <w:szCs w:val="32"/>
        </w:rPr>
      </w:pPr>
    </w:p>
    <w:p w14:paraId="4C0D29FE">
      <w:pPr>
        <w:numPr>
          <w:ilvl w:val="0"/>
          <w:numId w:val="2"/>
        </w:numPr>
        <w:spacing w:line="600" w:lineRule="exact"/>
        <w:ind w:left="1360" w:leftChars="0" w:hanging="720" w:firstLineChars="0"/>
        <w:outlineLvl w:val="1"/>
        <w:rPr>
          <w:rStyle w:val="28"/>
          <w:rFonts w:hint="eastAsia" w:ascii="黑体" w:hAnsi="黑体" w:eastAsia="黑体"/>
          <w:b w:val="0"/>
        </w:rPr>
      </w:pPr>
      <w:bookmarkStart w:id="32" w:name="_Toc16787"/>
      <w:bookmarkStart w:id="33" w:name="_Toc15396606"/>
      <w:bookmarkStart w:id="34" w:name="_Toc15377208"/>
      <w:r>
        <w:rPr>
          <w:rFonts w:hint="eastAsia" w:ascii="黑体" w:hAnsi="黑体" w:eastAsia="黑体"/>
          <w:color w:val="000000"/>
          <w:sz w:val="32"/>
          <w:szCs w:val="32"/>
        </w:rPr>
        <w:t>财</w:t>
      </w:r>
      <w:r>
        <w:rPr>
          <w:rStyle w:val="28"/>
          <w:rFonts w:hint="eastAsia" w:ascii="黑体" w:hAnsi="黑体" w:eastAsia="黑体"/>
          <w:b w:val="0"/>
        </w:rPr>
        <w:t>政拨款收入支出决算总体情况说明</w:t>
      </w:r>
      <w:bookmarkEnd w:id="32"/>
      <w:bookmarkEnd w:id="33"/>
      <w:bookmarkEnd w:id="34"/>
    </w:p>
    <w:p w14:paraId="565455A7">
      <w:pPr>
        <w:numPr>
          <w:ilvl w:val="0"/>
          <w:numId w:val="0"/>
        </w:numPr>
        <w:spacing w:line="600" w:lineRule="exact"/>
        <w:ind w:left="640" w:leftChars="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年财政拨款收</w:t>
      </w:r>
      <w:r>
        <w:rPr>
          <w:rFonts w:hint="eastAsia" w:eastAsia="仿宋_GB2312" w:cs="Times New Roman"/>
          <w:sz w:val="32"/>
          <w:szCs w:val="32"/>
          <w:lang w:val="en-US" w:eastAsia="zh-CN"/>
        </w:rPr>
        <w:t>入合计23433.04万元</w:t>
      </w:r>
      <w:r>
        <w:rPr>
          <w:rFonts w:hint="default" w:ascii="Times New Roman" w:hAnsi="Times New Roman" w:eastAsia="仿宋_GB2312" w:cs="Times New Roman"/>
          <w:sz w:val="32"/>
          <w:szCs w:val="32"/>
        </w:rPr>
        <w:t>、支</w:t>
      </w:r>
      <w:r>
        <w:rPr>
          <w:rFonts w:hint="eastAsia" w:eastAsia="仿宋_GB2312" w:cs="Times New Roman"/>
          <w:sz w:val="32"/>
          <w:szCs w:val="32"/>
          <w:lang w:val="en-US" w:eastAsia="zh-CN"/>
        </w:rPr>
        <w:t>出合计22305.74</w:t>
      </w:r>
      <w:r>
        <w:rPr>
          <w:rFonts w:hint="default" w:ascii="Times New Roman" w:hAnsi="Times New Roman" w:eastAsia="仿宋_GB2312" w:cs="Times New Roman"/>
          <w:sz w:val="32"/>
          <w:szCs w:val="32"/>
        </w:rPr>
        <w:t>万元。201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年财政拨款收</w:t>
      </w:r>
      <w:r>
        <w:rPr>
          <w:rFonts w:hint="eastAsia" w:eastAsia="仿宋_GB2312" w:cs="Times New Roman"/>
          <w:sz w:val="32"/>
          <w:szCs w:val="32"/>
          <w:lang w:val="en-US" w:eastAsia="zh-CN"/>
        </w:rPr>
        <w:t>入合计26383.55</w:t>
      </w:r>
      <w:r>
        <w:rPr>
          <w:rFonts w:hint="default" w:ascii="Times New Roman" w:hAnsi="Times New Roman" w:eastAsia="仿宋_GB2312" w:cs="Times New Roman"/>
          <w:sz w:val="32"/>
          <w:szCs w:val="32"/>
        </w:rPr>
        <w:t>、支</w:t>
      </w:r>
      <w:r>
        <w:rPr>
          <w:rFonts w:hint="eastAsia" w:eastAsia="仿宋_GB2312" w:cs="Times New Roman"/>
          <w:sz w:val="32"/>
          <w:szCs w:val="32"/>
          <w:lang w:val="en-US" w:eastAsia="zh-CN"/>
        </w:rPr>
        <w:t>出合计23384.1</w:t>
      </w:r>
      <w:r>
        <w:rPr>
          <w:rFonts w:hint="default" w:ascii="Times New Roman" w:hAnsi="Times New Roman" w:eastAsia="仿宋_GB2312" w:cs="Times New Roman"/>
          <w:sz w:val="32"/>
          <w:szCs w:val="32"/>
        </w:rPr>
        <w:t>万元，与201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年相比，收</w:t>
      </w:r>
      <w:r>
        <w:rPr>
          <w:rFonts w:hint="eastAsia" w:eastAsia="仿宋_GB2312" w:cs="Times New Roman"/>
          <w:sz w:val="32"/>
          <w:szCs w:val="32"/>
          <w:lang w:val="en-US" w:eastAsia="zh-CN"/>
        </w:rPr>
        <w:t>入合计减少2950.51</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下降11.18</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支出合计减少1078.36</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下降4.61</w:t>
      </w:r>
      <w:r>
        <w:rPr>
          <w:rFonts w:hint="default" w:ascii="Times New Roman" w:hAnsi="Times New Roman" w:eastAsia="仿宋_GB2312" w:cs="Times New Roman"/>
          <w:sz w:val="32"/>
          <w:szCs w:val="32"/>
        </w:rPr>
        <w:t>%。主要变动原因是主要变动原因是征地拆迁项目</w:t>
      </w:r>
      <w:r>
        <w:rPr>
          <w:rFonts w:hint="eastAsia" w:eastAsia="仿宋_GB2312" w:cs="Times New Roman"/>
          <w:sz w:val="32"/>
          <w:szCs w:val="32"/>
          <w:lang w:val="en-US" w:eastAsia="zh-CN"/>
        </w:rPr>
        <w:t>基金预算相应减少</w:t>
      </w:r>
      <w:r>
        <w:rPr>
          <w:rFonts w:hint="default" w:ascii="Times New Roman" w:hAnsi="Times New Roman" w:eastAsia="仿宋_GB2312" w:cs="Times New Roman"/>
          <w:sz w:val="32"/>
          <w:szCs w:val="32"/>
        </w:rPr>
        <w:t>。</w:t>
      </w:r>
    </w:p>
    <w:p w14:paraId="5BCBD1EE">
      <w:pPr>
        <w:numPr>
          <w:ilvl w:val="0"/>
          <w:numId w:val="0"/>
        </w:numPr>
        <w:spacing w:line="600" w:lineRule="exact"/>
        <w:ind w:left="640" w:leftChars="0"/>
        <w:outlineLvl w:val="1"/>
        <w:rPr>
          <w:rFonts w:hint="default" w:ascii="Times New Roman" w:hAnsi="Times New Roman" w:eastAsia="仿宋_GB2312" w:cs="Times New Roman"/>
          <w:sz w:val="32"/>
          <w:szCs w:val="32"/>
        </w:rPr>
      </w:pPr>
      <w:r>
        <w:drawing>
          <wp:anchor distT="0" distB="0" distL="114300" distR="114300" simplePos="0" relativeHeight="251665408" behindDoc="0" locked="0" layoutInCell="1" allowOverlap="1">
            <wp:simplePos x="0" y="0"/>
            <wp:positionH relativeFrom="column">
              <wp:posOffset>617220</wp:posOffset>
            </wp:positionH>
            <wp:positionV relativeFrom="paragraph">
              <wp:posOffset>66675</wp:posOffset>
            </wp:positionV>
            <wp:extent cx="4584065" cy="2543175"/>
            <wp:effectExtent l="0" t="0" r="698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4584065" cy="2543175"/>
                    </a:xfrm>
                    <a:prstGeom prst="rect">
                      <a:avLst/>
                    </a:prstGeom>
                    <a:noFill/>
                    <a:ln>
                      <a:noFill/>
                    </a:ln>
                  </pic:spPr>
                </pic:pic>
              </a:graphicData>
            </a:graphic>
          </wp:anchor>
        </w:drawing>
      </w:r>
    </w:p>
    <w:p w14:paraId="484419B9">
      <w:pPr>
        <w:numPr>
          <w:ilvl w:val="0"/>
          <w:numId w:val="0"/>
        </w:numPr>
        <w:spacing w:line="600" w:lineRule="exact"/>
        <w:ind w:left="640" w:leftChars="0"/>
        <w:outlineLvl w:val="1"/>
        <w:rPr>
          <w:rFonts w:hint="default" w:ascii="Times New Roman" w:hAnsi="Times New Roman" w:eastAsia="仿宋_GB2312" w:cs="Times New Roman"/>
          <w:sz w:val="32"/>
          <w:szCs w:val="32"/>
        </w:rPr>
      </w:pPr>
    </w:p>
    <w:p w14:paraId="40B844EE">
      <w:pPr>
        <w:numPr>
          <w:ilvl w:val="0"/>
          <w:numId w:val="0"/>
        </w:numPr>
        <w:spacing w:line="600" w:lineRule="exact"/>
        <w:ind w:left="640" w:leftChars="0"/>
        <w:outlineLvl w:val="1"/>
        <w:rPr>
          <w:rFonts w:hint="default" w:ascii="Times New Roman" w:hAnsi="Times New Roman" w:eastAsia="仿宋_GB2312" w:cs="Times New Roman"/>
          <w:sz w:val="32"/>
          <w:szCs w:val="32"/>
        </w:rPr>
      </w:pPr>
    </w:p>
    <w:p w14:paraId="7E0D74FA">
      <w:pPr>
        <w:numPr>
          <w:ilvl w:val="0"/>
          <w:numId w:val="0"/>
        </w:numPr>
        <w:spacing w:line="600" w:lineRule="exact"/>
        <w:ind w:left="640" w:leftChars="0"/>
        <w:outlineLvl w:val="1"/>
        <w:rPr>
          <w:rFonts w:hint="default" w:ascii="Times New Roman" w:hAnsi="Times New Roman" w:eastAsia="仿宋_GB2312" w:cs="Times New Roman"/>
          <w:sz w:val="32"/>
          <w:szCs w:val="32"/>
        </w:rPr>
      </w:pPr>
    </w:p>
    <w:p w14:paraId="75E64697">
      <w:pPr>
        <w:numPr>
          <w:ilvl w:val="0"/>
          <w:numId w:val="0"/>
        </w:numPr>
        <w:spacing w:line="600" w:lineRule="exact"/>
        <w:ind w:left="640" w:leftChars="0"/>
        <w:outlineLvl w:val="1"/>
        <w:rPr>
          <w:rFonts w:hint="default" w:ascii="Times New Roman" w:hAnsi="Times New Roman" w:eastAsia="仿宋_GB2312" w:cs="Times New Roman"/>
          <w:sz w:val="32"/>
          <w:szCs w:val="32"/>
        </w:rPr>
      </w:pPr>
    </w:p>
    <w:p w14:paraId="004FE705">
      <w:pPr>
        <w:numPr>
          <w:ilvl w:val="0"/>
          <w:numId w:val="0"/>
        </w:numPr>
        <w:spacing w:line="600" w:lineRule="exact"/>
        <w:ind w:left="640" w:leftChars="0"/>
        <w:outlineLvl w:val="1"/>
        <w:rPr>
          <w:rFonts w:hint="default" w:ascii="Times New Roman" w:hAnsi="Times New Roman" w:eastAsia="仿宋_GB2312" w:cs="Times New Roman"/>
          <w:sz w:val="32"/>
          <w:szCs w:val="32"/>
        </w:rPr>
      </w:pPr>
    </w:p>
    <w:p w14:paraId="665E160A">
      <w:pPr>
        <w:spacing w:line="600" w:lineRule="exact"/>
        <w:rPr>
          <w:rFonts w:ascii="仿宋" w:hAnsi="仿宋" w:eastAsia="仿宋"/>
          <w:color w:val="000000"/>
          <w:sz w:val="32"/>
          <w:szCs w:val="32"/>
        </w:rPr>
      </w:pPr>
    </w:p>
    <w:p w14:paraId="27874773">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14:paraId="7CCCA3DA">
      <w:pPr>
        <w:spacing w:line="600" w:lineRule="exact"/>
        <w:ind w:firstLine="640" w:firstLineChars="200"/>
        <w:outlineLvl w:val="1"/>
        <w:rPr>
          <w:rStyle w:val="28"/>
          <w:rFonts w:ascii="黑体" w:hAnsi="黑体" w:eastAsia="黑体"/>
          <w:b w:val="0"/>
        </w:rPr>
      </w:pPr>
      <w:bookmarkStart w:id="35" w:name="_Toc15396607"/>
      <w:bookmarkStart w:id="36" w:name="_Toc15377209"/>
      <w:bookmarkStart w:id="37" w:name="_Toc1453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5"/>
      <w:bookmarkEnd w:id="36"/>
      <w:bookmarkEnd w:id="37"/>
    </w:p>
    <w:p w14:paraId="42A72A6E">
      <w:pPr>
        <w:spacing w:line="600" w:lineRule="exact"/>
        <w:ind w:firstLine="643" w:firstLineChars="200"/>
        <w:outlineLvl w:val="2"/>
        <w:rPr>
          <w:rFonts w:hint="eastAsia"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14:paraId="44FE704A">
      <w:pPr>
        <w:spacing w:line="600" w:lineRule="exact"/>
        <w:ind w:firstLine="640" w:firstLineChars="200"/>
        <w:outlineLvl w:val="2"/>
        <w:rPr>
          <w:rFonts w:hint="eastAsia" w:eastAsia="仿宋_GB2312" w:cs="Times New Roman"/>
          <w:sz w:val="32"/>
          <w:szCs w:val="32"/>
          <w:lang w:val="en-US" w:eastAsia="zh-CN"/>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年一般公共预算财政拨款支出1652.6万元，占本年支出合计的7.</w:t>
      </w:r>
      <w:r>
        <w:rPr>
          <w:rFonts w:hint="eastAsia" w:eastAsia="仿宋_GB2312" w:cs="Times New Roman"/>
          <w:sz w:val="32"/>
          <w:szCs w:val="32"/>
          <w:lang w:val="en-US" w:eastAsia="zh-CN"/>
        </w:rPr>
        <w:t>41</w:t>
      </w: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年一般公共预算财政拨款支出</w:t>
      </w:r>
      <w:r>
        <w:rPr>
          <w:rFonts w:hint="eastAsia" w:eastAsia="仿宋_GB2312" w:cs="Times New Roman"/>
          <w:sz w:val="32"/>
          <w:szCs w:val="32"/>
          <w:lang w:val="en-US" w:eastAsia="zh-CN"/>
        </w:rPr>
        <w:t>1830.82</w:t>
      </w:r>
      <w:r>
        <w:rPr>
          <w:rFonts w:hint="default" w:ascii="Times New Roman" w:hAnsi="Times New Roman" w:eastAsia="仿宋_GB2312" w:cs="Times New Roman"/>
          <w:sz w:val="32"/>
          <w:szCs w:val="32"/>
        </w:rPr>
        <w:t>万元，与201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年相比，一般公共预算财政拨款</w:t>
      </w:r>
      <w:r>
        <w:rPr>
          <w:rFonts w:hint="eastAsia" w:eastAsia="仿宋_GB2312" w:cs="Times New Roman"/>
          <w:sz w:val="32"/>
          <w:szCs w:val="32"/>
          <w:lang w:val="en-US" w:eastAsia="zh-CN"/>
        </w:rPr>
        <w:t>减少178.22</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下降9.73</w:t>
      </w:r>
      <w:r>
        <w:rPr>
          <w:rFonts w:hint="default" w:ascii="Times New Roman" w:hAnsi="Times New Roman" w:eastAsia="仿宋_GB2312" w:cs="Times New Roman"/>
          <w:sz w:val="32"/>
          <w:szCs w:val="32"/>
        </w:rPr>
        <w:t>%。主要变动原因是</w:t>
      </w:r>
      <w:r>
        <w:rPr>
          <w:rFonts w:hint="eastAsia" w:eastAsia="仿宋_GB2312" w:cs="Times New Roman"/>
          <w:sz w:val="32"/>
          <w:szCs w:val="32"/>
          <w:lang w:val="en-US" w:eastAsia="zh-CN"/>
        </w:rPr>
        <w:t>经费减少。</w:t>
      </w:r>
    </w:p>
    <w:p w14:paraId="630D8668">
      <w:pPr>
        <w:spacing w:line="600" w:lineRule="exact"/>
        <w:ind w:firstLine="640" w:firstLineChars="200"/>
        <w:outlineLvl w:val="2"/>
        <w:rPr>
          <w:rFonts w:hint="eastAsia" w:eastAsia="仿宋_GB2312" w:cs="Times New Roman"/>
          <w:sz w:val="32"/>
          <w:szCs w:val="32"/>
          <w:lang w:val="en-US" w:eastAsia="zh-CN"/>
        </w:rPr>
      </w:pPr>
    </w:p>
    <w:p w14:paraId="1D09BC1E">
      <w:pPr>
        <w:spacing w:line="600" w:lineRule="exact"/>
        <w:ind w:firstLine="640" w:firstLineChars="200"/>
        <w:outlineLvl w:val="2"/>
        <w:rPr>
          <w:rFonts w:hint="eastAsia" w:eastAsia="仿宋_GB2312" w:cs="Times New Roman"/>
          <w:sz w:val="32"/>
          <w:szCs w:val="32"/>
          <w:lang w:val="en-US" w:eastAsia="zh-CN"/>
        </w:rPr>
      </w:pPr>
    </w:p>
    <w:p w14:paraId="50FB7096">
      <w:pPr>
        <w:spacing w:line="600" w:lineRule="exact"/>
        <w:ind w:firstLine="640" w:firstLineChars="200"/>
        <w:outlineLvl w:val="2"/>
        <w:rPr>
          <w:rFonts w:hint="eastAsia" w:eastAsia="仿宋_GB2312" w:cs="Times New Roman"/>
          <w:sz w:val="32"/>
          <w:szCs w:val="32"/>
          <w:lang w:val="en-US" w:eastAsia="zh-CN"/>
        </w:rPr>
      </w:pPr>
    </w:p>
    <w:p w14:paraId="2570FA5B">
      <w:pPr>
        <w:spacing w:line="600" w:lineRule="exact"/>
        <w:ind w:firstLine="420" w:firstLineChars="200"/>
        <w:outlineLvl w:val="2"/>
        <w:rPr>
          <w:rFonts w:hint="eastAsia" w:eastAsia="仿宋_GB2312" w:cs="Times New Roman"/>
          <w:sz w:val="32"/>
          <w:szCs w:val="32"/>
          <w:lang w:val="en-US" w:eastAsia="zh-CN"/>
        </w:rPr>
      </w:pPr>
      <w:r>
        <w:drawing>
          <wp:anchor distT="0" distB="0" distL="114300" distR="114300" simplePos="0" relativeHeight="251662336" behindDoc="0" locked="0" layoutInCell="1" allowOverlap="1">
            <wp:simplePos x="0" y="0"/>
            <wp:positionH relativeFrom="column">
              <wp:posOffset>101600</wp:posOffset>
            </wp:positionH>
            <wp:positionV relativeFrom="paragraph">
              <wp:posOffset>198120</wp:posOffset>
            </wp:positionV>
            <wp:extent cx="4572000" cy="2560320"/>
            <wp:effectExtent l="4445" t="4445" r="14605" b="6985"/>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988018B">
      <w:pPr>
        <w:spacing w:line="600" w:lineRule="exact"/>
        <w:ind w:firstLine="640" w:firstLineChars="200"/>
        <w:outlineLvl w:val="2"/>
        <w:rPr>
          <w:rFonts w:hint="eastAsia" w:eastAsia="仿宋_GB2312" w:cs="Times New Roman"/>
          <w:sz w:val="32"/>
          <w:szCs w:val="32"/>
          <w:lang w:val="en-US" w:eastAsia="zh-CN"/>
        </w:rPr>
      </w:pPr>
    </w:p>
    <w:p w14:paraId="107D5CD1">
      <w:pPr>
        <w:spacing w:line="600" w:lineRule="exact"/>
        <w:ind w:firstLine="640" w:firstLineChars="200"/>
        <w:outlineLvl w:val="2"/>
        <w:rPr>
          <w:rFonts w:hint="eastAsia" w:eastAsia="仿宋_GB2312" w:cs="Times New Roman"/>
          <w:sz w:val="32"/>
          <w:szCs w:val="32"/>
          <w:lang w:val="en-US" w:eastAsia="zh-CN"/>
        </w:rPr>
      </w:pPr>
    </w:p>
    <w:p w14:paraId="7BEA57E9">
      <w:pPr>
        <w:spacing w:line="600" w:lineRule="exact"/>
        <w:ind w:firstLine="640" w:firstLineChars="200"/>
        <w:outlineLvl w:val="2"/>
        <w:rPr>
          <w:rFonts w:hint="eastAsia" w:eastAsia="仿宋_GB2312" w:cs="Times New Roman"/>
          <w:sz w:val="32"/>
          <w:szCs w:val="32"/>
          <w:lang w:val="en-US" w:eastAsia="zh-CN"/>
        </w:rPr>
      </w:pPr>
    </w:p>
    <w:p w14:paraId="6E71154C">
      <w:pPr>
        <w:spacing w:line="600" w:lineRule="exact"/>
        <w:ind w:firstLine="640" w:firstLineChars="200"/>
        <w:outlineLvl w:val="2"/>
        <w:rPr>
          <w:rFonts w:hint="eastAsia" w:eastAsia="仿宋_GB2312" w:cs="Times New Roman"/>
          <w:sz w:val="32"/>
          <w:szCs w:val="32"/>
          <w:lang w:val="en-US" w:eastAsia="zh-CN"/>
        </w:rPr>
      </w:pPr>
    </w:p>
    <w:p w14:paraId="778B52C0">
      <w:pPr>
        <w:spacing w:line="600" w:lineRule="exact"/>
        <w:ind w:firstLine="640" w:firstLineChars="200"/>
        <w:outlineLvl w:val="2"/>
        <w:rPr>
          <w:rFonts w:hint="eastAsia" w:eastAsia="仿宋_GB2312" w:cs="Times New Roman"/>
          <w:sz w:val="32"/>
          <w:szCs w:val="32"/>
          <w:lang w:val="en-US" w:eastAsia="zh-CN"/>
        </w:rPr>
      </w:pPr>
    </w:p>
    <w:p w14:paraId="6B5C336C">
      <w:pPr>
        <w:spacing w:line="600" w:lineRule="exact"/>
        <w:rPr>
          <w:rFonts w:ascii="仿宋" w:hAnsi="仿宋" w:eastAsia="仿宋"/>
          <w:color w:val="000000"/>
          <w:sz w:val="32"/>
          <w:szCs w:val="32"/>
        </w:rPr>
      </w:pPr>
    </w:p>
    <w:p w14:paraId="27B0EC8B">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p>
    <w:p w14:paraId="76FF130A">
      <w:pPr>
        <w:keepNext w:val="0"/>
        <w:keepLines w:val="0"/>
        <w:pageBreakBefore w:val="0"/>
        <w:widowControl w:val="0"/>
        <w:numPr>
          <w:ilvl w:val="0"/>
          <w:numId w:val="0"/>
        </w:numPr>
        <w:tabs>
          <w:tab w:val="left" w:pos="634"/>
        </w:tabs>
        <w:kinsoku/>
        <w:wordWrap/>
        <w:overflowPunct/>
        <w:topLinePunct w:val="0"/>
        <w:autoSpaceDE/>
        <w:autoSpaceDN/>
        <w:bidi w:val="0"/>
        <w:adjustRightInd/>
        <w:snapToGrid/>
        <w:spacing w:line="600" w:lineRule="exact"/>
        <w:ind w:firstLine="643" w:firstLineChars="200"/>
        <w:textAlignment w:val="auto"/>
        <w:outlineLvl w:val="2"/>
        <w:rPr>
          <w:rFonts w:hint="eastAsia" w:ascii="仿宋" w:hAnsi="仿宋" w:eastAsia="仿宋"/>
          <w:b/>
          <w:color w:val="000000"/>
          <w:sz w:val="32"/>
          <w:szCs w:val="32"/>
        </w:rPr>
      </w:pPr>
      <w:bookmarkStart w:id="39" w:name="_Toc15377211"/>
      <w:r>
        <w:rPr>
          <w:rFonts w:hint="eastAsia" w:ascii="仿宋" w:hAnsi="仿宋" w:eastAsia="仿宋"/>
          <w:b/>
          <w:color w:val="000000"/>
          <w:sz w:val="32"/>
          <w:szCs w:val="32"/>
          <w:lang w:eastAsia="zh-CN"/>
        </w:rPr>
        <w:t>（二）</w:t>
      </w:r>
      <w:r>
        <w:rPr>
          <w:rFonts w:hint="eastAsia" w:ascii="仿宋" w:hAnsi="仿宋" w:eastAsia="仿宋"/>
          <w:b/>
          <w:color w:val="000000"/>
          <w:sz w:val="32"/>
          <w:szCs w:val="32"/>
        </w:rPr>
        <w:t>一般公共预算财政拨款支出决算结构情况</w:t>
      </w:r>
      <w:bookmarkEnd w:id="39"/>
    </w:p>
    <w:p w14:paraId="104D8D9D">
      <w:pPr>
        <w:numPr>
          <w:ilvl w:val="0"/>
          <w:numId w:val="0"/>
        </w:numPr>
        <w:spacing w:line="600" w:lineRule="exact"/>
        <w:ind w:firstLine="960" w:firstLineChars="300"/>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年一般公共预算财政拨款支出1652.6万元，主要用于以下方面：一般公共服务支出973.23万元，占</w:t>
      </w:r>
      <w:r>
        <w:rPr>
          <w:rFonts w:hint="eastAsia" w:eastAsia="仿宋_GB2312" w:cs="Times New Roman"/>
          <w:sz w:val="32"/>
          <w:szCs w:val="32"/>
          <w:lang w:val="en-US" w:eastAsia="zh-CN"/>
        </w:rPr>
        <w:t>58.89</w:t>
      </w:r>
      <w:r>
        <w:rPr>
          <w:rFonts w:hint="default" w:ascii="Times New Roman" w:hAnsi="Times New Roman" w:eastAsia="仿宋_GB2312" w:cs="Times New Roman"/>
          <w:sz w:val="32"/>
          <w:szCs w:val="32"/>
        </w:rPr>
        <w:t>%；文化旅游体育与传媒支出0.3</w:t>
      </w:r>
      <w:r>
        <w:rPr>
          <w:rFonts w:hint="eastAsia" w:eastAsia="仿宋_GB2312" w:cs="Times New Roman"/>
          <w:sz w:val="32"/>
          <w:szCs w:val="32"/>
          <w:lang w:val="en-US" w:eastAsia="zh-CN"/>
        </w:rPr>
        <w:t>万元，</w:t>
      </w:r>
      <w:r>
        <w:rPr>
          <w:rFonts w:hint="default" w:ascii="Times New Roman" w:hAnsi="Times New Roman" w:eastAsia="仿宋_GB2312" w:cs="Times New Roman"/>
          <w:sz w:val="32"/>
          <w:szCs w:val="32"/>
        </w:rPr>
        <w:t>占0.0</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%；社会保障和就业支出421.93万元，占</w:t>
      </w:r>
      <w:r>
        <w:rPr>
          <w:rFonts w:hint="eastAsia" w:eastAsia="仿宋_GB2312" w:cs="Times New Roman"/>
          <w:sz w:val="32"/>
          <w:szCs w:val="32"/>
          <w:lang w:val="en-US" w:eastAsia="zh-CN"/>
        </w:rPr>
        <w:t>25.53</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卫生健康支出</w:t>
      </w:r>
      <w:r>
        <w:rPr>
          <w:rFonts w:hint="eastAsia" w:eastAsia="仿宋_GB2312" w:cs="Times New Roman"/>
          <w:sz w:val="32"/>
          <w:szCs w:val="32"/>
          <w:lang w:val="en-US" w:eastAsia="zh-CN"/>
        </w:rPr>
        <w:t>68.07</w:t>
      </w:r>
      <w:r>
        <w:rPr>
          <w:rFonts w:hint="default" w:ascii="Times New Roman" w:hAnsi="Times New Roman" w:eastAsia="仿宋_GB2312" w:cs="Times New Roman"/>
          <w:sz w:val="32"/>
          <w:szCs w:val="32"/>
        </w:rPr>
        <w:t>万元，占</w:t>
      </w:r>
      <w:r>
        <w:rPr>
          <w:rFonts w:hint="eastAsia" w:eastAsia="仿宋_GB2312" w:cs="Times New Roman"/>
          <w:sz w:val="32"/>
          <w:szCs w:val="32"/>
          <w:lang w:val="en-US" w:eastAsia="zh-CN"/>
        </w:rPr>
        <w:t>4.12</w:t>
      </w:r>
      <w:r>
        <w:rPr>
          <w:rFonts w:hint="default" w:ascii="Times New Roman" w:hAnsi="Times New Roman" w:eastAsia="仿宋_GB2312" w:cs="Times New Roman"/>
          <w:sz w:val="32"/>
          <w:szCs w:val="32"/>
        </w:rPr>
        <w:t>%；农林水支出77.32万元，占</w:t>
      </w:r>
      <w:r>
        <w:rPr>
          <w:rFonts w:hint="eastAsia" w:eastAsia="仿宋_GB2312" w:cs="Times New Roman"/>
          <w:sz w:val="32"/>
          <w:szCs w:val="32"/>
          <w:lang w:val="en-US" w:eastAsia="zh-CN"/>
        </w:rPr>
        <w:t>4.68</w:t>
      </w:r>
      <w:r>
        <w:rPr>
          <w:rFonts w:hint="default" w:ascii="Times New Roman" w:hAnsi="Times New Roman" w:eastAsia="仿宋_GB2312" w:cs="Times New Roman"/>
          <w:sz w:val="32"/>
          <w:szCs w:val="32"/>
        </w:rPr>
        <w:t>%；住房保障支出111.75万元，占</w:t>
      </w:r>
      <w:r>
        <w:rPr>
          <w:rFonts w:hint="eastAsia" w:eastAsia="仿宋_GB2312" w:cs="Times New Roman"/>
          <w:sz w:val="32"/>
          <w:szCs w:val="32"/>
          <w:lang w:val="en-US" w:eastAsia="zh-CN"/>
        </w:rPr>
        <w:t>6.76</w:t>
      </w:r>
      <w:r>
        <w:rPr>
          <w:rFonts w:hint="default" w:ascii="Times New Roman" w:hAnsi="Times New Roman" w:eastAsia="仿宋_GB2312" w:cs="Times New Roman"/>
          <w:sz w:val="32"/>
          <w:szCs w:val="32"/>
        </w:rPr>
        <w:t>%。</w:t>
      </w:r>
    </w:p>
    <w:p w14:paraId="2BD6028D">
      <w:pPr>
        <w:numPr>
          <w:ilvl w:val="0"/>
          <w:numId w:val="0"/>
        </w:numPr>
        <w:spacing w:line="600" w:lineRule="exact"/>
        <w:ind w:firstLine="630" w:firstLineChars="300"/>
        <w:outlineLvl w:val="2"/>
        <w:rPr>
          <w:rFonts w:hint="default" w:ascii="Times New Roman" w:hAnsi="Times New Roman" w:eastAsia="仿宋_GB2312" w:cs="Times New Roman"/>
          <w:sz w:val="32"/>
          <w:szCs w:val="32"/>
        </w:rPr>
      </w:pPr>
      <w:r>
        <w:drawing>
          <wp:anchor distT="0" distB="0" distL="114300" distR="114300" simplePos="0" relativeHeight="251663360" behindDoc="0" locked="0" layoutInCell="1" allowOverlap="1">
            <wp:simplePos x="0" y="0"/>
            <wp:positionH relativeFrom="column">
              <wp:posOffset>341630</wp:posOffset>
            </wp:positionH>
            <wp:positionV relativeFrom="paragraph">
              <wp:posOffset>60325</wp:posOffset>
            </wp:positionV>
            <wp:extent cx="4545965" cy="2193290"/>
            <wp:effectExtent l="5080" t="4445" r="20955" b="12065"/>
            <wp:wrapNone/>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1FA8744">
      <w:pPr>
        <w:numPr>
          <w:ilvl w:val="0"/>
          <w:numId w:val="0"/>
        </w:numPr>
        <w:spacing w:line="600" w:lineRule="exact"/>
        <w:ind w:firstLine="960" w:firstLineChars="300"/>
        <w:outlineLvl w:val="2"/>
        <w:rPr>
          <w:rFonts w:hint="default" w:ascii="Times New Roman" w:hAnsi="Times New Roman" w:eastAsia="仿宋_GB2312" w:cs="Times New Roman"/>
          <w:sz w:val="32"/>
          <w:szCs w:val="32"/>
        </w:rPr>
      </w:pPr>
    </w:p>
    <w:p w14:paraId="23FC6DAF">
      <w:pPr>
        <w:numPr>
          <w:ilvl w:val="0"/>
          <w:numId w:val="0"/>
        </w:numPr>
        <w:spacing w:line="600" w:lineRule="exact"/>
        <w:ind w:firstLine="960" w:firstLineChars="300"/>
        <w:outlineLvl w:val="2"/>
        <w:rPr>
          <w:rFonts w:hint="default" w:ascii="Times New Roman" w:hAnsi="Times New Roman" w:eastAsia="仿宋_GB2312" w:cs="Times New Roman"/>
          <w:sz w:val="32"/>
          <w:szCs w:val="32"/>
        </w:rPr>
      </w:pPr>
    </w:p>
    <w:p w14:paraId="27A7D188">
      <w:pPr>
        <w:numPr>
          <w:ilvl w:val="0"/>
          <w:numId w:val="0"/>
        </w:numPr>
        <w:spacing w:line="600" w:lineRule="exact"/>
        <w:outlineLvl w:val="2"/>
        <w:rPr>
          <w:rFonts w:hint="eastAsia" w:ascii="Times New Roman" w:hAnsi="Times New Roman" w:eastAsia="仿宋_GB2312" w:cs="Times New Roman"/>
          <w:sz w:val="32"/>
          <w:szCs w:val="32"/>
        </w:rPr>
      </w:pPr>
    </w:p>
    <w:p w14:paraId="70574359">
      <w:pPr>
        <w:spacing w:line="600" w:lineRule="exact"/>
        <w:ind w:firstLine="640" w:firstLineChars="200"/>
        <w:rPr>
          <w:rFonts w:hint="eastAsia" w:ascii="仿宋" w:hAnsi="仿宋" w:eastAsia="仿宋"/>
          <w:color w:val="000000"/>
          <w:sz w:val="32"/>
          <w:szCs w:val="32"/>
        </w:rPr>
      </w:pPr>
    </w:p>
    <w:p w14:paraId="3911BD57">
      <w:pPr>
        <w:spacing w:line="600" w:lineRule="exact"/>
        <w:ind w:firstLine="640" w:firstLineChars="200"/>
        <w:rPr>
          <w:rFonts w:hint="eastAsia" w:ascii="仿宋" w:hAnsi="仿宋" w:eastAsia="仿宋"/>
          <w:color w:val="000000"/>
          <w:sz w:val="32"/>
          <w:szCs w:val="32"/>
        </w:rPr>
      </w:pPr>
    </w:p>
    <w:p w14:paraId="693E7A20">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707388BA">
      <w:pPr>
        <w:spacing w:line="600" w:lineRule="exact"/>
        <w:ind w:firstLine="640" w:firstLineChars="200"/>
        <w:rPr>
          <w:rFonts w:ascii="仿宋" w:hAnsi="仿宋" w:eastAsia="仿宋"/>
          <w:color w:val="000000"/>
          <w:sz w:val="32"/>
          <w:szCs w:val="32"/>
        </w:rPr>
      </w:pPr>
    </w:p>
    <w:p w14:paraId="462FE711">
      <w:pPr>
        <w:numPr>
          <w:ilvl w:val="0"/>
          <w:numId w:val="3"/>
        </w:numPr>
        <w:spacing w:line="600" w:lineRule="exact"/>
        <w:ind w:left="0" w:leftChars="0" w:firstLine="643" w:firstLineChars="200"/>
        <w:outlineLvl w:val="2"/>
        <w:rPr>
          <w:rFonts w:hint="eastAsia" w:ascii="仿宋" w:hAnsi="仿宋" w:eastAsia="仿宋"/>
          <w:b/>
          <w:color w:val="000000"/>
          <w:sz w:val="32"/>
          <w:szCs w:val="32"/>
        </w:rPr>
      </w:pPr>
      <w:bookmarkStart w:id="40" w:name="_Toc15377212"/>
      <w:r>
        <w:rPr>
          <w:rFonts w:hint="eastAsia" w:ascii="仿宋" w:hAnsi="仿宋" w:eastAsia="仿宋"/>
          <w:b/>
          <w:color w:val="000000"/>
          <w:sz w:val="32"/>
          <w:szCs w:val="32"/>
        </w:rPr>
        <w:t>一般公共预算财政拨款支出决算具体情况</w:t>
      </w:r>
      <w:bookmarkEnd w:id="40"/>
    </w:p>
    <w:p w14:paraId="4437A527">
      <w:pPr>
        <w:spacing w:line="600" w:lineRule="exact"/>
        <w:ind w:firstLine="643" w:firstLineChars="200"/>
        <w:outlineLvl w:val="2"/>
        <w:rPr>
          <w:rFonts w:hint="default" w:ascii="Times New Roman" w:hAnsi="Times New Roman" w:eastAsia="仿宋_GB2312" w:cs="Times New Roman"/>
          <w:sz w:val="32"/>
          <w:szCs w:val="32"/>
        </w:rPr>
      </w:pPr>
      <w:r>
        <w:rPr>
          <w:rFonts w:hint="eastAsia" w:ascii="仿宋" w:hAnsi="仿宋" w:eastAsia="仿宋"/>
          <w:b/>
          <w:color w:val="000000"/>
          <w:sz w:val="32"/>
          <w:szCs w:val="32"/>
          <w:lang w:val="en-US" w:eastAsia="zh-CN"/>
        </w:rPr>
        <w:t xml:space="preserve">   </w:t>
      </w:r>
      <w:r>
        <w:rPr>
          <w:rFonts w:hint="default" w:ascii="Times New Roman" w:hAnsi="Times New Roman" w:eastAsia="仿宋" w:cs="Times New Roman"/>
          <w:b/>
          <w:color w:val="000000"/>
          <w:sz w:val="32"/>
          <w:szCs w:val="32"/>
        </w:rPr>
        <w:t>20</w:t>
      </w:r>
      <w:r>
        <w:rPr>
          <w:rFonts w:hint="eastAsia" w:eastAsia="仿宋" w:cs="Times New Roman"/>
          <w:b/>
          <w:color w:val="000000"/>
          <w:sz w:val="32"/>
          <w:szCs w:val="32"/>
          <w:lang w:val="en-US" w:eastAsia="zh-CN"/>
        </w:rPr>
        <w:t>19</w:t>
      </w:r>
      <w:r>
        <w:rPr>
          <w:rFonts w:hint="default" w:ascii="Times New Roman" w:hAnsi="Times New Roman" w:eastAsia="仿宋" w:cs="Times New Roman"/>
          <w:b/>
          <w:color w:val="000000"/>
          <w:sz w:val="32"/>
          <w:szCs w:val="32"/>
        </w:rPr>
        <w:t>年一般公共预算支出决算数为1</w:t>
      </w:r>
      <w:r>
        <w:rPr>
          <w:rFonts w:hint="eastAsia" w:eastAsia="仿宋" w:cs="Times New Roman"/>
          <w:b/>
          <w:color w:val="000000"/>
          <w:sz w:val="32"/>
          <w:szCs w:val="32"/>
          <w:lang w:val="en-US" w:eastAsia="zh-CN"/>
        </w:rPr>
        <w:t>652.6</w:t>
      </w:r>
      <w:r>
        <w:rPr>
          <w:rFonts w:hint="default" w:ascii="Times New Roman" w:hAnsi="Times New Roman" w:eastAsia="仿宋" w:cs="Times New Roman"/>
          <w:b/>
          <w:color w:val="000000"/>
          <w:sz w:val="32"/>
          <w:szCs w:val="32"/>
        </w:rPr>
        <w:t>，</w:t>
      </w:r>
      <w:r>
        <w:rPr>
          <w:rStyle w:val="17"/>
          <w:rFonts w:hint="default" w:ascii="Times New Roman" w:hAnsi="Times New Roman" w:eastAsia="仿宋" w:cs="Times New Roman"/>
          <w:bCs/>
          <w:color w:val="000000"/>
          <w:sz w:val="32"/>
          <w:szCs w:val="32"/>
        </w:rPr>
        <w:t>完成预算100%。其中：</w:t>
      </w:r>
    </w:p>
    <w:p w14:paraId="4B42845F">
      <w:pPr>
        <w:numPr>
          <w:ilvl w:val="0"/>
          <w:numId w:val="0"/>
        </w:num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eastAsia" w:eastAsia="仿宋" w:cs="Times New Roman"/>
          <w:bCs/>
          <w:color w:val="000000"/>
          <w:sz w:val="32"/>
          <w:szCs w:val="32"/>
          <w:lang w:val="en-US" w:eastAsia="zh-CN"/>
        </w:rPr>
        <w:t>1.</w:t>
      </w:r>
      <w:r>
        <w:rPr>
          <w:rStyle w:val="17"/>
          <w:rFonts w:hint="default" w:ascii="Times New Roman" w:hAnsi="Times New Roman" w:eastAsia="仿宋" w:cs="Times New Roman"/>
          <w:bCs/>
          <w:color w:val="000000"/>
          <w:sz w:val="32"/>
          <w:szCs w:val="32"/>
        </w:rPr>
        <w:t>一般公共服务（类）政府办公厅（室）及相关机构事务（款）行政运行（项）:</w:t>
      </w:r>
      <w:r>
        <w:rPr>
          <w:rFonts w:hint="default" w:ascii="Times New Roman" w:hAnsi="Times New Roman" w:eastAsia="仿宋_GB2312" w:cs="Times New Roman"/>
          <w:color w:val="333333"/>
          <w:kern w:val="0"/>
          <w:sz w:val="32"/>
          <w:szCs w:val="32"/>
        </w:rPr>
        <w:t>支出决算为</w:t>
      </w:r>
      <w:r>
        <w:rPr>
          <w:rFonts w:hint="eastAsia" w:eastAsia="仿宋_GB2312" w:cs="Times New Roman"/>
          <w:color w:val="333333"/>
          <w:kern w:val="0"/>
          <w:sz w:val="32"/>
          <w:szCs w:val="32"/>
          <w:lang w:val="en-US" w:eastAsia="zh-CN"/>
        </w:rPr>
        <w:t>479.34</w:t>
      </w:r>
      <w:r>
        <w:rPr>
          <w:rFonts w:hint="default" w:ascii="Times New Roman" w:hAnsi="Times New Roman" w:eastAsia="仿宋_GB2312" w:cs="Times New Roman"/>
          <w:color w:val="333333"/>
          <w:kern w:val="0"/>
          <w:sz w:val="32"/>
          <w:szCs w:val="32"/>
        </w:rPr>
        <w:t>万元，完成预算100%，决算数与预算数持平；</w:t>
      </w:r>
    </w:p>
    <w:p w14:paraId="53E72C48">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一般公共服务（类）政府办公厅（室）及相关机构事务（款）</w:t>
      </w:r>
      <w:r>
        <w:rPr>
          <w:rStyle w:val="17"/>
          <w:rFonts w:hint="default" w:ascii="Times New Roman" w:hAnsi="Times New Roman" w:eastAsia="仿宋" w:cs="Times New Roman"/>
          <w:b w:val="0"/>
          <w:color w:val="000000"/>
          <w:sz w:val="32"/>
          <w:szCs w:val="32"/>
        </w:rPr>
        <w:t>一般行政管理事务</w:t>
      </w:r>
      <w:r>
        <w:rPr>
          <w:rStyle w:val="17"/>
          <w:rFonts w:hint="default" w:ascii="Times New Roman" w:hAnsi="Times New Roman" w:eastAsia="仿宋" w:cs="Times New Roman"/>
          <w:bCs/>
          <w:color w:val="000000"/>
          <w:sz w:val="32"/>
          <w:szCs w:val="32"/>
        </w:rPr>
        <w:t>（项）：</w:t>
      </w:r>
      <w:r>
        <w:rPr>
          <w:rFonts w:hint="default" w:ascii="Times New Roman" w:hAnsi="Times New Roman" w:eastAsia="仿宋_GB2312" w:cs="Times New Roman"/>
          <w:color w:val="333333"/>
          <w:kern w:val="0"/>
          <w:sz w:val="32"/>
          <w:szCs w:val="32"/>
        </w:rPr>
        <w:t>支出决算为46.72万元，完成预算100%，决算数与预算数持平；</w:t>
      </w:r>
    </w:p>
    <w:p w14:paraId="00B279CE">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一般公共服务（类）政府办公厅（室）及相关机构事务（款）事业运行（项）：</w:t>
      </w:r>
      <w:r>
        <w:rPr>
          <w:rFonts w:hint="default" w:ascii="Times New Roman" w:hAnsi="Times New Roman" w:eastAsia="仿宋_GB2312" w:cs="Times New Roman"/>
          <w:color w:val="333333"/>
          <w:kern w:val="0"/>
          <w:sz w:val="32"/>
          <w:szCs w:val="32"/>
        </w:rPr>
        <w:t>支出决算为436.26万元，完成预算100%，决算数与预算数持平；</w:t>
      </w:r>
    </w:p>
    <w:p w14:paraId="1C3F2DE7">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color w:val="000000"/>
          <w:sz w:val="32"/>
          <w:szCs w:val="32"/>
        </w:rPr>
        <w:t>一般公共服务（类）统计信息事务（款） 专项普查活动（项）：</w:t>
      </w:r>
      <w:r>
        <w:rPr>
          <w:rFonts w:hint="default" w:ascii="Times New Roman" w:hAnsi="Times New Roman" w:eastAsia="仿宋_GB2312" w:cs="Times New Roman"/>
          <w:color w:val="333333"/>
          <w:kern w:val="0"/>
          <w:sz w:val="32"/>
          <w:szCs w:val="32"/>
        </w:rPr>
        <w:t>支出决算为</w:t>
      </w:r>
      <w:r>
        <w:rPr>
          <w:rFonts w:hint="eastAsia" w:eastAsia="仿宋_GB2312" w:cs="Times New Roman"/>
          <w:color w:val="333333"/>
          <w:kern w:val="0"/>
          <w:sz w:val="32"/>
          <w:szCs w:val="32"/>
          <w:lang w:val="en-US" w:eastAsia="zh-CN"/>
        </w:rPr>
        <w:t>8.01</w:t>
      </w:r>
      <w:r>
        <w:rPr>
          <w:rFonts w:hint="default" w:ascii="Times New Roman" w:hAnsi="Times New Roman" w:eastAsia="仿宋_GB2312" w:cs="Times New Roman"/>
          <w:color w:val="333333"/>
          <w:kern w:val="0"/>
          <w:sz w:val="32"/>
          <w:szCs w:val="32"/>
        </w:rPr>
        <w:t>万元，完成预算100%，决算数与预算数持平；</w:t>
      </w:r>
    </w:p>
    <w:p w14:paraId="7C6EE773">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color w:val="000000"/>
          <w:sz w:val="32"/>
          <w:szCs w:val="32"/>
        </w:rPr>
        <w:t>一般公共服务（类）组织事务（款） 行政运行（项）：</w:t>
      </w:r>
      <w:r>
        <w:rPr>
          <w:rFonts w:hint="default" w:ascii="Times New Roman" w:hAnsi="Times New Roman" w:eastAsia="仿宋_GB2312" w:cs="Times New Roman"/>
          <w:color w:val="333333"/>
          <w:kern w:val="0"/>
          <w:sz w:val="32"/>
          <w:szCs w:val="32"/>
        </w:rPr>
        <w:t>支出决算为</w:t>
      </w:r>
      <w:r>
        <w:rPr>
          <w:rFonts w:hint="eastAsia" w:eastAsia="仿宋_GB2312" w:cs="Times New Roman"/>
          <w:color w:val="333333"/>
          <w:kern w:val="0"/>
          <w:sz w:val="32"/>
          <w:szCs w:val="32"/>
          <w:lang w:val="en-US" w:eastAsia="zh-CN"/>
        </w:rPr>
        <w:t>2</w:t>
      </w:r>
      <w:r>
        <w:rPr>
          <w:rFonts w:hint="default" w:ascii="Times New Roman" w:hAnsi="Times New Roman" w:eastAsia="仿宋_GB2312" w:cs="Times New Roman"/>
          <w:color w:val="333333"/>
          <w:kern w:val="0"/>
          <w:sz w:val="32"/>
          <w:szCs w:val="32"/>
        </w:rPr>
        <w:t>万元，完成预算100%，决算数与预算数持平；</w:t>
      </w:r>
    </w:p>
    <w:p w14:paraId="285EE6B9">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2.</w:t>
      </w:r>
      <w:r>
        <w:rPr>
          <w:rStyle w:val="17"/>
          <w:rFonts w:hint="eastAsia" w:ascii="仿宋" w:hAnsi="仿宋" w:eastAsia="仿宋"/>
          <w:bCs/>
          <w:color w:val="000000"/>
          <w:sz w:val="32"/>
          <w:szCs w:val="32"/>
        </w:rPr>
        <w:t>文化旅游体育与传媒支出（类）新闻出版电影（款） 其他新闻出版电影支出（项）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支出决算为0.3万元，</w:t>
      </w:r>
      <w:r>
        <w:rPr>
          <w:rFonts w:hint="default" w:ascii="Times New Roman" w:hAnsi="Times New Roman" w:eastAsia="仿宋_GB2312" w:cs="Times New Roman"/>
          <w:color w:val="333333"/>
          <w:kern w:val="0"/>
          <w:sz w:val="32"/>
          <w:szCs w:val="32"/>
        </w:rPr>
        <w:t>完成预算100%，决算数与预算数持平；</w:t>
      </w:r>
    </w:p>
    <w:p w14:paraId="678606ED">
      <w:pPr>
        <w:spacing w:line="600" w:lineRule="exact"/>
        <w:ind w:firstLine="643" w:firstLineChars="200"/>
        <w:rPr>
          <w:rStyle w:val="17"/>
          <w:rFonts w:hint="default" w:ascii="Times New Roman" w:hAnsi="Times New Roman" w:eastAsia="仿宋" w:cs="Times New Roman"/>
          <w:bCs/>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Style w:val="17"/>
          <w:rFonts w:hint="default" w:ascii="Times New Roman" w:hAnsi="Times New Roman" w:eastAsia="仿宋" w:cs="Times New Roman"/>
          <w:bCs/>
          <w:color w:val="000000"/>
          <w:sz w:val="32"/>
          <w:szCs w:val="32"/>
        </w:rPr>
        <w:t>社会保障和就业（类）民政管理事务（款）基层政权和社区建设（项）:</w:t>
      </w:r>
      <w:r>
        <w:rPr>
          <w:rFonts w:hint="default" w:ascii="Times New Roman" w:hAnsi="Times New Roman" w:eastAsia="仿宋_GB2312" w:cs="Times New Roman"/>
          <w:color w:val="333333"/>
          <w:kern w:val="0"/>
          <w:sz w:val="32"/>
          <w:szCs w:val="32"/>
        </w:rPr>
        <w:t>支出决算为251.78万元，完成预算100%，决算数与预算数持平；</w:t>
      </w:r>
    </w:p>
    <w:p w14:paraId="184862C3">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社会保障和就业（类）行政事业单位离退休（款）未归口管理的行政单位离退休（项）:</w:t>
      </w:r>
      <w:r>
        <w:rPr>
          <w:rFonts w:hint="default" w:ascii="Times New Roman" w:hAnsi="Times New Roman" w:eastAsia="仿宋_GB2312" w:cs="Times New Roman"/>
          <w:color w:val="333333"/>
          <w:kern w:val="0"/>
          <w:sz w:val="32"/>
          <w:szCs w:val="32"/>
        </w:rPr>
        <w:t>支出决算为30.96万元，完成预算100%，决算数与预算数持平；</w:t>
      </w:r>
    </w:p>
    <w:p w14:paraId="150AB2F8">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社会保障和就业（类）行政事业单位离退休（款）机关事业单位基本养老保险缴费支出（项）：</w:t>
      </w:r>
      <w:r>
        <w:rPr>
          <w:rFonts w:hint="default" w:ascii="Times New Roman" w:hAnsi="Times New Roman" w:eastAsia="仿宋_GB2312" w:cs="Times New Roman"/>
          <w:color w:val="333333"/>
          <w:kern w:val="0"/>
          <w:sz w:val="32"/>
          <w:szCs w:val="32"/>
        </w:rPr>
        <w:t>支出决算为87.84万元，完成预算100%，决算数与预算数持平；</w:t>
      </w:r>
    </w:p>
    <w:p w14:paraId="58293D25">
      <w:pPr>
        <w:pStyle w:val="2"/>
        <w:ind w:firstLine="643" w:firstLineChars="200"/>
        <w:rPr>
          <w:rStyle w:val="17"/>
          <w:rFonts w:hint="default" w:ascii="Times New Roman" w:hAnsi="Times New Roman" w:eastAsia="仿宋" w:cs="Times New Roman"/>
          <w:b w:val="0"/>
          <w:bCs/>
          <w:sz w:val="32"/>
          <w:szCs w:val="32"/>
        </w:rPr>
      </w:pPr>
      <w:r>
        <w:rPr>
          <w:rStyle w:val="17"/>
          <w:rFonts w:hint="default" w:ascii="Times New Roman" w:hAnsi="Times New Roman" w:eastAsia="仿宋" w:cs="Times New Roman"/>
          <w:bCs/>
          <w:sz w:val="32"/>
          <w:szCs w:val="32"/>
        </w:rPr>
        <w:t>社会保障和就业（类）抚恤（款）死亡抚恤（项）:</w:t>
      </w:r>
      <w:r>
        <w:rPr>
          <w:rFonts w:hint="default" w:ascii="Times New Roman" w:hAnsi="Times New Roman" w:eastAsia="仿宋_GB2312" w:cs="Times New Roman"/>
          <w:color w:val="333333"/>
          <w:kern w:val="0"/>
          <w:sz w:val="32"/>
          <w:szCs w:val="32"/>
        </w:rPr>
        <w:t>支出决算为46.35万元，完成预算100%，决算数与预算数持平；</w:t>
      </w:r>
    </w:p>
    <w:p w14:paraId="118A29F1">
      <w:pPr>
        <w:pStyle w:val="2"/>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sz w:val="32"/>
          <w:szCs w:val="32"/>
        </w:rPr>
        <w:t>社会保障和就业（类）抚恤（款）伤残抚恤（项）:</w:t>
      </w:r>
      <w:r>
        <w:rPr>
          <w:rFonts w:hint="default" w:ascii="Times New Roman" w:hAnsi="Times New Roman" w:eastAsia="仿宋_GB2312" w:cs="Times New Roman"/>
          <w:color w:val="333333"/>
          <w:kern w:val="0"/>
          <w:sz w:val="32"/>
          <w:szCs w:val="32"/>
        </w:rPr>
        <w:t>支出决算为3.36万元，完成预算100%，决算数与预算数持平；</w:t>
      </w:r>
    </w:p>
    <w:p w14:paraId="26B79899">
      <w:pPr>
        <w:pStyle w:val="2"/>
        <w:ind w:firstLine="643" w:firstLineChars="200"/>
        <w:rPr>
          <w:rFonts w:ascii="仿宋" w:hAnsi="仿宋" w:eastAsia="仿宋"/>
          <w:b/>
          <w:color w:val="000000"/>
          <w:sz w:val="32"/>
          <w:szCs w:val="32"/>
        </w:rPr>
      </w:pPr>
      <w:r>
        <w:rPr>
          <w:rStyle w:val="17"/>
          <w:rFonts w:hint="default" w:ascii="Times New Roman" w:hAnsi="Times New Roman" w:eastAsia="仿宋" w:cs="Times New Roman"/>
          <w:bCs/>
          <w:sz w:val="32"/>
          <w:szCs w:val="32"/>
        </w:rPr>
        <w:t>社会保障和就业（类）退役军人管理事务（款） 拥军优属（项）:</w:t>
      </w:r>
      <w:r>
        <w:rPr>
          <w:rFonts w:hint="default" w:ascii="Times New Roman" w:hAnsi="Times New Roman" w:eastAsia="仿宋_GB2312" w:cs="Times New Roman"/>
          <w:color w:val="333333"/>
          <w:kern w:val="0"/>
          <w:sz w:val="32"/>
          <w:szCs w:val="32"/>
        </w:rPr>
        <w:t>支出决算为1.64万元，完成预算100%，决算数与预算数持平；</w:t>
      </w:r>
    </w:p>
    <w:p w14:paraId="3FC0730C">
      <w:pPr>
        <w:pStyle w:val="2"/>
        <w:numPr>
          <w:ilvl w:val="0"/>
          <w:numId w:val="0"/>
        </w:numPr>
        <w:ind w:firstLine="643" w:firstLineChars="200"/>
        <w:rPr>
          <w:rFonts w:hint="default" w:ascii="Times New Roman" w:hAnsi="Times New Roman" w:eastAsia="仿宋_GB2312" w:cs="Times New Roman"/>
          <w:color w:val="333333"/>
          <w:kern w:val="0"/>
          <w:sz w:val="32"/>
          <w:szCs w:val="32"/>
        </w:rPr>
      </w:pPr>
      <w:r>
        <w:rPr>
          <w:rFonts w:hint="eastAsia" w:ascii="仿宋" w:hAnsi="仿宋" w:eastAsia="仿宋"/>
          <w:b/>
          <w:bCs/>
          <w:color w:val="000000" w:themeColor="text1"/>
          <w:sz w:val="32"/>
          <w:szCs w:val="32"/>
          <w:lang w:val="en-US" w:eastAsia="zh-CN"/>
        </w:rPr>
        <w:t>4.</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（类）行政事业单位医疗（款）行政单位医疗（项）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支出决算为31.65万元，完成预算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default" w:ascii="Times New Roman" w:hAnsi="Times New Roman" w:eastAsia="仿宋_GB2312" w:cs="Times New Roman"/>
          <w:color w:val="333333"/>
          <w:kern w:val="0"/>
          <w:sz w:val="32"/>
          <w:szCs w:val="32"/>
        </w:rPr>
        <w:t>决算数与预算数持平；</w:t>
      </w:r>
    </w:p>
    <w:p w14:paraId="554EF6F6">
      <w:pPr>
        <w:numPr>
          <w:ilvl w:val="0"/>
          <w:numId w:val="0"/>
        </w:numPr>
        <w:rPr>
          <w:rFonts w:hint="default" w:ascii="Times New Roman" w:hAnsi="Times New Roman" w:eastAsia="仿宋_GB2312" w:cs="Times New Roman"/>
          <w:color w:val="333333"/>
          <w:kern w:val="0"/>
          <w:sz w:val="32"/>
          <w:szCs w:val="32"/>
        </w:rPr>
      </w:pPr>
      <w:r>
        <w:rPr>
          <w:rFonts w:hint="eastAsia"/>
          <w:lang w:val="en-US" w:eastAsia="zh-CN"/>
        </w:rPr>
        <w:t xml:space="preserve">        </w:t>
      </w: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（类）行政事业单位医疗（款）事业单位医疗（项）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支出决算为30.69万元，完成预算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default" w:ascii="Times New Roman" w:hAnsi="Times New Roman" w:eastAsia="仿宋_GB2312" w:cs="Times New Roman"/>
          <w:color w:val="333333"/>
          <w:kern w:val="0"/>
          <w:sz w:val="32"/>
          <w:szCs w:val="32"/>
        </w:rPr>
        <w:t>决算数与预算数持平；</w:t>
      </w:r>
    </w:p>
    <w:p w14:paraId="5063DA75">
      <w:pPr>
        <w:numPr>
          <w:ilvl w:val="0"/>
          <w:numId w:val="0"/>
        </w:numPr>
        <w:ind w:firstLine="643" w:firstLineChars="200"/>
        <w:rPr>
          <w:rFonts w:hint="default" w:ascii="Times New Roman" w:hAnsi="Times New Roman" w:eastAsia="仿宋_GB2312" w:cs="Times New Roman"/>
          <w:color w:val="333333"/>
          <w:kern w:val="0"/>
          <w:sz w:val="32"/>
          <w:szCs w:val="32"/>
        </w:rPr>
      </w:pPr>
      <w:r>
        <w:rPr>
          <w:rFonts w:hint="eastAsia" w:ascii="仿宋" w:hAnsi="仿宋" w:eastAsia="仿宋"/>
          <w:b/>
          <w:bCs/>
          <w:color w:val="000000" w:themeColor="text1"/>
          <w:sz w:val="32"/>
          <w:szCs w:val="32"/>
        </w:rPr>
        <w:t>卫生健康</w:t>
      </w:r>
      <w:r>
        <w:rPr>
          <w:rStyle w:val="17"/>
          <w:rFonts w:hint="eastAsia" w:ascii="仿宋" w:hAnsi="仿宋" w:eastAsia="仿宋"/>
          <w:bCs/>
          <w:color w:val="000000"/>
          <w:sz w:val="32"/>
          <w:szCs w:val="32"/>
        </w:rPr>
        <w:t>（类）行政事业单位医疗（款）公务员医疗补助（项）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支出决算为5.73万元，完成预算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default" w:ascii="Times New Roman" w:hAnsi="Times New Roman" w:eastAsia="仿宋_GB2312" w:cs="Times New Roman"/>
          <w:color w:val="333333"/>
          <w:kern w:val="0"/>
          <w:sz w:val="32"/>
          <w:szCs w:val="32"/>
        </w:rPr>
        <w:t>决算数与预算数持平；</w:t>
      </w:r>
    </w:p>
    <w:p w14:paraId="31A896F7">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eastAsia" w:eastAsia="仿宋" w:cs="Times New Roman"/>
          <w:bCs/>
          <w:color w:val="000000"/>
          <w:sz w:val="32"/>
          <w:szCs w:val="32"/>
          <w:lang w:val="en-US" w:eastAsia="zh-CN"/>
        </w:rPr>
        <w:t>5.</w:t>
      </w:r>
      <w:r>
        <w:rPr>
          <w:rStyle w:val="17"/>
          <w:rFonts w:hint="default" w:ascii="Times New Roman" w:hAnsi="Times New Roman" w:eastAsia="仿宋" w:cs="Times New Roman"/>
          <w:bCs/>
          <w:color w:val="000000"/>
          <w:sz w:val="32"/>
          <w:szCs w:val="32"/>
        </w:rPr>
        <w:t>农林水（类）农业（款）农业生产支持补贴（项）:</w:t>
      </w:r>
      <w:r>
        <w:rPr>
          <w:rFonts w:hint="default" w:ascii="Times New Roman" w:hAnsi="Times New Roman" w:eastAsia="仿宋_GB2312" w:cs="Times New Roman"/>
          <w:color w:val="333333"/>
          <w:kern w:val="0"/>
          <w:sz w:val="32"/>
          <w:szCs w:val="32"/>
        </w:rPr>
        <w:t>支出决算为0.41万元，完成预算100%，决算数与预算数持平；</w:t>
      </w:r>
    </w:p>
    <w:p w14:paraId="416EC382">
      <w:pPr>
        <w:spacing w:line="600" w:lineRule="exact"/>
        <w:ind w:firstLine="643" w:firstLineChars="200"/>
        <w:rPr>
          <w:rStyle w:val="17"/>
          <w:rFonts w:hint="default" w:ascii="Times New Roman" w:hAnsi="Times New Roman" w:eastAsia="仿宋" w:cs="Times New Roman"/>
          <w:b w:val="0"/>
          <w:bCs/>
          <w:color w:val="000000"/>
          <w:sz w:val="32"/>
          <w:szCs w:val="32"/>
        </w:rPr>
      </w:pPr>
      <w:r>
        <w:rPr>
          <w:rStyle w:val="17"/>
          <w:rFonts w:hint="default" w:ascii="Times New Roman" w:hAnsi="Times New Roman" w:eastAsia="仿宋" w:cs="Times New Roman"/>
          <w:bCs/>
          <w:color w:val="000000"/>
          <w:sz w:val="32"/>
          <w:szCs w:val="32"/>
        </w:rPr>
        <w:t>农林水（类）农业（款）对高校毕业生到基层任职补助（项）:</w:t>
      </w:r>
      <w:r>
        <w:rPr>
          <w:rFonts w:hint="default" w:ascii="Times New Roman" w:hAnsi="Times New Roman" w:eastAsia="仿宋_GB2312" w:cs="Times New Roman"/>
          <w:color w:val="333333"/>
          <w:kern w:val="0"/>
          <w:sz w:val="32"/>
          <w:szCs w:val="32"/>
        </w:rPr>
        <w:t>支出决算为3.07万元，完成预算100%，决算数与预算数持平；</w:t>
      </w:r>
    </w:p>
    <w:p w14:paraId="2238C9FA">
      <w:pPr>
        <w:pStyle w:val="2"/>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sz w:val="32"/>
          <w:szCs w:val="32"/>
        </w:rPr>
        <w:t>农林水（类）农业（款）其他农业支出(项）:</w:t>
      </w:r>
      <w:r>
        <w:rPr>
          <w:rFonts w:hint="default" w:ascii="Times New Roman" w:hAnsi="Times New Roman" w:eastAsia="仿宋_GB2312" w:cs="Times New Roman"/>
          <w:color w:val="333333"/>
          <w:kern w:val="0"/>
          <w:sz w:val="32"/>
          <w:szCs w:val="32"/>
        </w:rPr>
        <w:t>支出决算为6.63万元，完成预算100%，决算数与预算数持平；</w:t>
      </w:r>
    </w:p>
    <w:p w14:paraId="1439E69F">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color w:val="000000"/>
          <w:sz w:val="32"/>
          <w:szCs w:val="32"/>
        </w:rPr>
        <w:t>农林水（类）水利（款）抗旱(项）:</w:t>
      </w:r>
      <w:r>
        <w:rPr>
          <w:rFonts w:hint="default" w:ascii="Times New Roman" w:hAnsi="Times New Roman" w:eastAsia="仿宋_GB2312" w:cs="Times New Roman"/>
          <w:color w:val="333333"/>
          <w:kern w:val="0"/>
          <w:sz w:val="32"/>
          <w:szCs w:val="32"/>
        </w:rPr>
        <w:t>支出决算为4万元，完成预算100%，决算数与预算数持平；</w:t>
      </w:r>
    </w:p>
    <w:p w14:paraId="0212165C">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color w:val="000000"/>
          <w:sz w:val="32"/>
          <w:szCs w:val="32"/>
        </w:rPr>
        <w:t>农林水（类）农村综合改革（款）对村民委员会和村党支部的补助(项）:</w:t>
      </w:r>
      <w:r>
        <w:rPr>
          <w:rFonts w:hint="default" w:ascii="Times New Roman" w:hAnsi="Times New Roman" w:eastAsia="仿宋_GB2312" w:cs="Times New Roman"/>
          <w:color w:val="333333"/>
          <w:kern w:val="0"/>
          <w:sz w:val="32"/>
          <w:szCs w:val="32"/>
        </w:rPr>
        <w:t>支出决算为36.2万元，完成预算100%，决算数与预算数持平；</w:t>
      </w:r>
    </w:p>
    <w:p w14:paraId="32AF00A9">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color w:val="000000"/>
          <w:sz w:val="32"/>
          <w:szCs w:val="32"/>
        </w:rPr>
        <w:t>农林水（类）农村综合改革（款）对村级一事一议的补助(项）:</w:t>
      </w:r>
      <w:r>
        <w:rPr>
          <w:rFonts w:hint="default" w:ascii="Times New Roman" w:hAnsi="Times New Roman" w:eastAsia="仿宋_GB2312" w:cs="Times New Roman"/>
          <w:color w:val="333333"/>
          <w:kern w:val="0"/>
          <w:sz w:val="32"/>
          <w:szCs w:val="32"/>
        </w:rPr>
        <w:t>支出决算为25万元，完成预算100%，决算数与预算数持平；</w:t>
      </w:r>
    </w:p>
    <w:p w14:paraId="25A2EBD5">
      <w:pPr>
        <w:spacing w:line="600" w:lineRule="exact"/>
        <w:ind w:firstLine="643" w:firstLineChars="200"/>
        <w:rPr>
          <w:rFonts w:hint="default" w:ascii="Times New Roman" w:hAnsi="Times New Roman" w:eastAsia="仿宋_GB2312" w:cs="Times New Roman"/>
          <w:color w:val="333333"/>
          <w:kern w:val="0"/>
          <w:sz w:val="32"/>
          <w:szCs w:val="32"/>
        </w:rPr>
      </w:pPr>
      <w:r>
        <w:rPr>
          <w:rStyle w:val="17"/>
          <w:rFonts w:hint="default" w:ascii="Times New Roman" w:hAnsi="Times New Roman" w:eastAsia="仿宋" w:cs="Times New Roman"/>
          <w:bCs/>
          <w:sz w:val="32"/>
          <w:szCs w:val="32"/>
        </w:rPr>
        <w:t>农林水（类）  其他农林水支出（款）其他农业支出(项）:</w:t>
      </w:r>
      <w:r>
        <w:rPr>
          <w:rFonts w:hint="default" w:ascii="Times New Roman" w:hAnsi="Times New Roman" w:eastAsia="仿宋_GB2312" w:cs="Times New Roman"/>
          <w:color w:val="333333"/>
          <w:kern w:val="0"/>
          <w:sz w:val="32"/>
          <w:szCs w:val="32"/>
        </w:rPr>
        <w:t>支出决算为</w:t>
      </w:r>
      <w:r>
        <w:rPr>
          <w:rFonts w:hint="eastAsia" w:eastAsia="仿宋_GB2312" w:cs="Times New Roman"/>
          <w:color w:val="333333"/>
          <w:kern w:val="0"/>
          <w:sz w:val="32"/>
          <w:szCs w:val="32"/>
          <w:lang w:val="en-US" w:eastAsia="zh-CN"/>
        </w:rPr>
        <w:t>2</w:t>
      </w:r>
      <w:r>
        <w:rPr>
          <w:rFonts w:hint="default" w:ascii="Times New Roman" w:hAnsi="Times New Roman" w:eastAsia="仿宋_GB2312" w:cs="Times New Roman"/>
          <w:color w:val="333333"/>
          <w:kern w:val="0"/>
          <w:sz w:val="32"/>
          <w:szCs w:val="32"/>
        </w:rPr>
        <w:t>万元，完成预算100%，决算数与预算数持平；</w:t>
      </w:r>
    </w:p>
    <w:p w14:paraId="635A26BB">
      <w:pPr>
        <w:spacing w:line="600" w:lineRule="exact"/>
        <w:ind w:firstLine="643" w:firstLineChars="200"/>
        <w:rPr>
          <w:rFonts w:ascii="仿宋" w:hAnsi="仿宋" w:eastAsia="仿宋"/>
          <w:b/>
          <w:color w:val="000000"/>
          <w:sz w:val="32"/>
          <w:szCs w:val="32"/>
        </w:rPr>
      </w:pPr>
      <w:r>
        <w:rPr>
          <w:rStyle w:val="17"/>
          <w:rFonts w:hint="eastAsia" w:eastAsia="仿宋" w:cs="Times New Roman"/>
          <w:bCs/>
          <w:color w:val="000000"/>
          <w:sz w:val="32"/>
          <w:szCs w:val="32"/>
          <w:lang w:val="en-US" w:eastAsia="zh-CN"/>
        </w:rPr>
        <w:t>6.</w:t>
      </w:r>
      <w:r>
        <w:rPr>
          <w:rStyle w:val="17"/>
          <w:rFonts w:hint="default" w:ascii="Times New Roman" w:hAnsi="Times New Roman" w:eastAsia="仿宋" w:cs="Times New Roman"/>
          <w:bCs/>
          <w:color w:val="000000"/>
          <w:sz w:val="32"/>
          <w:szCs w:val="32"/>
        </w:rPr>
        <w:t>住房保障（类）住房改革支出（款）住房公积金（项）:</w:t>
      </w:r>
      <w:r>
        <w:rPr>
          <w:rFonts w:hint="default" w:ascii="Times New Roman" w:hAnsi="Times New Roman" w:eastAsia="仿宋_GB2312" w:cs="Times New Roman"/>
          <w:color w:val="333333"/>
          <w:kern w:val="0"/>
          <w:sz w:val="32"/>
          <w:szCs w:val="32"/>
        </w:rPr>
        <w:t>支出决算为111.75万元，完成预算100%，决算数与预算数持平</w:t>
      </w:r>
    </w:p>
    <w:p w14:paraId="7F3B7497">
      <w:pPr>
        <w:tabs>
          <w:tab w:val="right" w:pos="8306"/>
        </w:tabs>
        <w:spacing w:line="600" w:lineRule="exact"/>
        <w:ind w:firstLine="640"/>
        <w:outlineLvl w:val="1"/>
        <w:rPr>
          <w:rStyle w:val="28"/>
          <w:rFonts w:hint="eastAsia" w:ascii="黑体" w:hAnsi="黑体" w:eastAsia="黑体"/>
          <w:b w:val="0"/>
        </w:rPr>
      </w:pPr>
      <w:bookmarkStart w:id="41" w:name="_Toc15377214"/>
      <w:bookmarkStart w:id="42" w:name="_Toc15396608"/>
      <w:bookmarkStart w:id="43" w:name="_Toc19711"/>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1"/>
      <w:bookmarkEnd w:id="42"/>
      <w:bookmarkEnd w:id="43"/>
    </w:p>
    <w:p w14:paraId="323CC86F">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rPr>
        <w:t>年一般公共预算财政拨款基本支出1267万元，其中：</w:t>
      </w:r>
    </w:p>
    <w:p w14:paraId="6BC3CEE3">
      <w:pPr>
        <w:spacing w:line="600" w:lineRule="exact"/>
        <w:ind w:firstLine="645"/>
        <w:rPr>
          <w:rFonts w:ascii="仿宋" w:hAnsi="仿宋" w:eastAsia="仿宋"/>
          <w:color w:val="000000"/>
          <w:sz w:val="32"/>
          <w:szCs w:val="32"/>
        </w:rPr>
      </w:pPr>
      <w:r>
        <w:rPr>
          <w:rFonts w:hint="default" w:ascii="Times New Roman" w:hAnsi="Times New Roman" w:eastAsia="仿宋_GB2312" w:cs="Times New Roman"/>
          <w:sz w:val="32"/>
          <w:szCs w:val="32"/>
        </w:rPr>
        <w:t>人员经费</w:t>
      </w:r>
      <w:r>
        <w:rPr>
          <w:rFonts w:hint="eastAsia" w:eastAsia="仿宋_GB2312" w:cs="Times New Roman"/>
          <w:sz w:val="32"/>
          <w:szCs w:val="32"/>
          <w:lang w:val="en-US" w:eastAsia="zh-CN"/>
        </w:rPr>
        <w:t>1241.13</w:t>
      </w:r>
      <w:r>
        <w:rPr>
          <w:rFonts w:hint="default" w:ascii="Times New Roman" w:hAnsi="Times New Roman" w:eastAsia="仿宋_GB2312" w:cs="Times New Roman"/>
          <w:sz w:val="32"/>
          <w:szCs w:val="32"/>
        </w:rPr>
        <w:t>万元，主要包括：基本工资257.47万元、津贴补贴429.68万元、奖金11.01万元、伙食补助费</w:t>
      </w:r>
      <w:r>
        <w:rPr>
          <w:rFonts w:hint="eastAsia" w:eastAsia="仿宋_GB2312" w:cs="Times New Roman"/>
          <w:sz w:val="32"/>
          <w:szCs w:val="32"/>
          <w:lang w:val="en-US" w:eastAsia="zh-CN"/>
        </w:rPr>
        <w:t>0万元</w:t>
      </w:r>
      <w:r>
        <w:rPr>
          <w:rFonts w:hint="default" w:ascii="Times New Roman" w:hAnsi="Times New Roman" w:eastAsia="仿宋_GB2312" w:cs="Times New Roman"/>
          <w:sz w:val="32"/>
          <w:szCs w:val="32"/>
        </w:rPr>
        <w:t>、绩效工资121.88万元、机关事业单位基本养老保险缴费87.84万元、职业年金缴费</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万元、职工基本医疗保险缴费62.34万元、公务员医疗补助缴费5.73万元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其他社会保障缴费7.39万元、其他工资福利支出60.5万元、离休费</w:t>
      </w:r>
      <w:r>
        <w:rPr>
          <w:rFonts w:hint="eastAsia" w:eastAsia="仿宋_GB2312" w:cs="Times New Roman"/>
          <w:sz w:val="32"/>
          <w:szCs w:val="32"/>
          <w:lang w:val="en-US" w:eastAsia="zh-CN"/>
        </w:rPr>
        <w:t>0万元</w:t>
      </w:r>
      <w:r>
        <w:rPr>
          <w:rFonts w:hint="default" w:ascii="Times New Roman" w:hAnsi="Times New Roman" w:eastAsia="仿宋_GB2312" w:cs="Times New Roman"/>
          <w:sz w:val="32"/>
          <w:szCs w:val="32"/>
        </w:rPr>
        <w:t>、退休费28.2万元、抚恤金46.35万元、生活补助8.1万元、医疗费</w:t>
      </w:r>
      <w:r>
        <w:rPr>
          <w:rFonts w:hint="eastAsia" w:eastAsia="仿宋_GB2312" w:cs="Times New Roman"/>
          <w:sz w:val="32"/>
          <w:szCs w:val="32"/>
          <w:lang w:val="en-US" w:eastAsia="zh-CN"/>
        </w:rPr>
        <w:t>补助2.76万元</w:t>
      </w:r>
      <w:r>
        <w:rPr>
          <w:rFonts w:hint="default" w:ascii="Times New Roman" w:hAnsi="Times New Roman" w:eastAsia="仿宋_GB2312" w:cs="Times New Roman"/>
          <w:sz w:val="32"/>
          <w:szCs w:val="32"/>
        </w:rPr>
        <w:t>、奖励金0.13万元、住房公积金111.75万元、提租补贴、购房补贴、其他对个人和家庭的补助支出等。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公用经费25.87万元，主要包括：其他交通费25.87万元、办公费、印刷费、咨询费、手续费、水费、电费、邮电费、取暖费、物业管理费、差旅费、因公出国（境）费用、维修（护）费、租赁费、会议费、培训费、公务接待费、劳务费、委托业务费、工会经费、福利费、公务用车运行维护费、税金及附加费用、其他商品和服务支出、办公设备购置、专用设备购置、信息网络及软件购置更新、其他资本性支出等。</w:t>
      </w:r>
    </w:p>
    <w:p w14:paraId="18248C0B">
      <w:pPr>
        <w:numPr>
          <w:ilvl w:val="0"/>
          <w:numId w:val="4"/>
        </w:numPr>
        <w:spacing w:line="600" w:lineRule="exact"/>
        <w:ind w:firstLine="640"/>
        <w:outlineLvl w:val="1"/>
        <w:rPr>
          <w:rStyle w:val="28"/>
          <w:rFonts w:hint="eastAsia" w:ascii="仿宋_GB2312" w:hAnsi="仿宋_GB2312" w:eastAsia="仿宋_GB2312" w:cs="仿宋_GB2312"/>
          <w:b w:val="0"/>
          <w:sz w:val="32"/>
          <w:szCs w:val="32"/>
        </w:rPr>
      </w:pPr>
      <w:bookmarkStart w:id="44" w:name="_Toc15377215"/>
      <w:bookmarkStart w:id="45" w:name="_Toc18818"/>
      <w:bookmarkStart w:id="46" w:name="_Toc15396609"/>
      <w:r>
        <w:rPr>
          <w:rStyle w:val="28"/>
          <w:rFonts w:hint="eastAsia" w:ascii="仿宋_GB2312" w:hAnsi="仿宋_GB2312" w:eastAsia="仿宋_GB2312" w:cs="仿宋_GB2312"/>
          <w:sz w:val="32"/>
          <w:szCs w:val="32"/>
        </w:rPr>
        <w:t>“</w:t>
      </w:r>
      <w:r>
        <w:rPr>
          <w:rStyle w:val="28"/>
          <w:rFonts w:hint="eastAsia" w:ascii="仿宋_GB2312" w:hAnsi="仿宋_GB2312" w:eastAsia="仿宋_GB2312" w:cs="仿宋_GB2312"/>
          <w:b w:val="0"/>
          <w:sz w:val="32"/>
          <w:szCs w:val="32"/>
        </w:rPr>
        <w:t>三公”经费财政拨款支出决算情况说明</w:t>
      </w:r>
      <w:bookmarkEnd w:id="44"/>
      <w:bookmarkEnd w:id="45"/>
      <w:bookmarkEnd w:id="46"/>
    </w:p>
    <w:p w14:paraId="2DF5E8AC">
      <w:pPr>
        <w:spacing w:line="600" w:lineRule="exact"/>
        <w:ind w:firstLine="640"/>
        <w:outlineLvl w:val="2"/>
        <w:rPr>
          <w:rFonts w:hint="eastAsia" w:ascii="仿宋_GB2312" w:hAnsi="仿宋_GB2312" w:eastAsia="仿宋_GB2312" w:cs="仿宋_GB2312"/>
          <w:sz w:val="32"/>
          <w:szCs w:val="32"/>
        </w:rPr>
      </w:pPr>
      <w:bookmarkStart w:id="47" w:name="_Toc15377216"/>
      <w:r>
        <w:rPr>
          <w:rFonts w:hint="eastAsia" w:ascii="仿宋_GB2312" w:hAnsi="仿宋_GB2312" w:eastAsia="仿宋_GB2312" w:cs="仿宋_GB2312"/>
          <w:b/>
          <w:color w:val="000000"/>
          <w:sz w:val="32"/>
          <w:szCs w:val="32"/>
        </w:rPr>
        <w:t>（一）“三公”经费财政拨款支出决算总体情况说明</w:t>
      </w:r>
      <w:bookmarkEnd w:id="47"/>
    </w:p>
    <w:p w14:paraId="30238D69">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2018年“三公”经费财政拨款支出决算为</w:t>
      </w:r>
      <w:r>
        <w:rPr>
          <w:rFonts w:hint="eastAsia" w:ascii="仿宋_GB2312" w:hAnsi="仿宋_GB2312" w:eastAsia="仿宋_GB2312" w:cs="仿宋_GB2312"/>
          <w:sz w:val="32"/>
          <w:szCs w:val="32"/>
          <w:lang w:val="en-US" w:eastAsia="zh-CN"/>
        </w:rPr>
        <w:t>10.98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包括政府性基金预算公务用车运行费3.12万元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val="en-US" w:eastAsia="zh-CN"/>
        </w:rPr>
        <w:t>36.6</w:t>
      </w:r>
      <w:r>
        <w:rPr>
          <w:rFonts w:hint="eastAsia" w:ascii="仿宋_GB2312" w:hAnsi="仿宋_GB2312" w:eastAsia="仿宋_GB2312" w:cs="仿宋_GB2312"/>
          <w:sz w:val="32"/>
          <w:szCs w:val="32"/>
        </w:rPr>
        <w:t>%，决算数小于预算数的主要原因是厉行节约要求，进一步从严控制“三公”经费开支，全年实际支出比预算有所节约。</w:t>
      </w:r>
    </w:p>
    <w:p w14:paraId="759E5809">
      <w:pPr>
        <w:spacing w:line="600" w:lineRule="exact"/>
        <w:ind w:firstLine="640"/>
        <w:outlineLvl w:val="2"/>
        <w:rPr>
          <w:rFonts w:hint="eastAsia" w:ascii="仿宋_GB2312" w:hAnsi="仿宋_GB2312" w:eastAsia="仿宋_GB2312" w:cs="仿宋_GB2312"/>
          <w:b/>
          <w:color w:val="000000"/>
          <w:sz w:val="32"/>
          <w:szCs w:val="32"/>
        </w:rPr>
      </w:pPr>
      <w:bookmarkStart w:id="48" w:name="_Toc15377217"/>
      <w:r>
        <w:rPr>
          <w:rFonts w:hint="eastAsia" w:ascii="仿宋_GB2312" w:hAnsi="仿宋_GB2312" w:eastAsia="仿宋_GB2312" w:cs="仿宋_GB2312"/>
          <w:b/>
          <w:color w:val="000000"/>
          <w:sz w:val="32"/>
          <w:szCs w:val="32"/>
        </w:rPr>
        <w:t>（二）“三公”经费财政拨款支出决算具体情况说明</w:t>
      </w:r>
      <w:bookmarkEnd w:id="48"/>
    </w:p>
    <w:p w14:paraId="2C6B6777">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9.32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84.88</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1.66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15.12</w:t>
      </w:r>
      <w:r>
        <w:rPr>
          <w:rFonts w:hint="eastAsia" w:ascii="仿宋_GB2312" w:hAnsi="仿宋_GB2312" w:eastAsia="仿宋_GB2312" w:cs="仿宋_GB2312"/>
          <w:color w:val="000000"/>
          <w:sz w:val="32"/>
          <w:szCs w:val="32"/>
        </w:rPr>
        <w:t>%。具体情况如下：</w:t>
      </w:r>
    </w:p>
    <w:p w14:paraId="40A90B62">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drawing>
          <wp:anchor distT="0" distB="0" distL="114300" distR="114300" simplePos="0" relativeHeight="251664384" behindDoc="0" locked="0" layoutInCell="1" allowOverlap="1">
            <wp:simplePos x="0" y="0"/>
            <wp:positionH relativeFrom="column">
              <wp:posOffset>299720</wp:posOffset>
            </wp:positionH>
            <wp:positionV relativeFrom="paragraph">
              <wp:posOffset>245745</wp:posOffset>
            </wp:positionV>
            <wp:extent cx="4518660" cy="2404745"/>
            <wp:effectExtent l="4445" t="4445" r="10795" b="10160"/>
            <wp:wrapNone/>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A6F1535">
      <w:pPr>
        <w:pStyle w:val="2"/>
        <w:rPr>
          <w:rFonts w:hint="eastAsia" w:ascii="仿宋" w:hAnsi="仿宋" w:eastAsia="仿宋"/>
          <w:color w:val="000000"/>
          <w:sz w:val="32"/>
          <w:szCs w:val="32"/>
        </w:rPr>
      </w:pPr>
    </w:p>
    <w:p w14:paraId="3D78EE4C">
      <w:pPr>
        <w:rPr>
          <w:rFonts w:hint="eastAsia" w:ascii="仿宋" w:hAnsi="仿宋" w:eastAsia="仿宋"/>
          <w:color w:val="000000"/>
          <w:sz w:val="32"/>
          <w:szCs w:val="32"/>
        </w:rPr>
      </w:pPr>
    </w:p>
    <w:p w14:paraId="047586A0">
      <w:pPr>
        <w:pStyle w:val="2"/>
        <w:rPr>
          <w:rFonts w:hint="eastAsia"/>
        </w:rPr>
      </w:pPr>
    </w:p>
    <w:p w14:paraId="40717BB9">
      <w:pPr>
        <w:spacing w:line="600" w:lineRule="exact"/>
        <w:ind w:firstLine="640"/>
        <w:rPr>
          <w:rFonts w:hint="eastAsia" w:ascii="仿宋" w:hAnsi="仿宋" w:eastAsia="仿宋"/>
          <w:color w:val="000000"/>
          <w:sz w:val="32"/>
          <w:szCs w:val="32"/>
        </w:rPr>
      </w:pPr>
    </w:p>
    <w:p w14:paraId="14841058">
      <w:pPr>
        <w:spacing w:line="600" w:lineRule="exact"/>
        <w:ind w:firstLine="640"/>
        <w:rPr>
          <w:rFonts w:hint="eastAsia" w:ascii="仿宋" w:hAnsi="仿宋" w:eastAsia="仿宋"/>
          <w:color w:val="000000"/>
          <w:sz w:val="32"/>
          <w:szCs w:val="32"/>
        </w:rPr>
      </w:pPr>
    </w:p>
    <w:p w14:paraId="2AACD74E">
      <w:pPr>
        <w:spacing w:line="600" w:lineRule="exact"/>
        <w:ind w:firstLine="640"/>
        <w:rPr>
          <w:rFonts w:hint="eastAsia" w:ascii="仿宋" w:hAnsi="仿宋" w:eastAsia="仿宋"/>
          <w:color w:val="000000"/>
          <w:sz w:val="32"/>
          <w:szCs w:val="32"/>
        </w:rPr>
      </w:pPr>
    </w:p>
    <w:p w14:paraId="3D8D7643">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30C1B5AD">
      <w:pPr>
        <w:numPr>
          <w:ilvl w:val="0"/>
          <w:numId w:val="5"/>
        </w:numPr>
        <w:spacing w:line="600" w:lineRule="exact"/>
        <w:ind w:firstLine="640"/>
        <w:rPr>
          <w:rStyle w:val="17"/>
          <w:rFonts w:ascii="仿宋" w:hAnsi="仿宋" w:eastAsia="仿宋"/>
          <w:b w:val="0"/>
          <w:bCs/>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p>
    <w:p w14:paraId="03DC78AC">
      <w:pPr>
        <w:numPr>
          <w:ilvl w:val="0"/>
          <w:numId w:val="5"/>
        </w:num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p>
    <w:p w14:paraId="55C6AD08">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w:t>
      </w:r>
    </w:p>
    <w:p w14:paraId="1953B380">
      <w:pPr>
        <w:spacing w:line="600" w:lineRule="exact"/>
        <w:ind w:firstLine="64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9.32</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37.28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1.09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10.47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default" w:ascii="Times New Roman" w:hAnsi="Times New Roman" w:eastAsia="仿宋_GB2312" w:cs="Times New Roman"/>
          <w:sz w:val="32"/>
          <w:szCs w:val="32"/>
        </w:rPr>
        <w:t>厉行节约要求，进一步从严控制“三公”经费开支，全年实际支出比预算有所节约。</w:t>
      </w:r>
    </w:p>
    <w:p w14:paraId="603F166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722DC2E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9.32</w:t>
      </w:r>
      <w:r>
        <w:rPr>
          <w:rFonts w:hint="eastAsia" w:ascii="仿宋_GB2312" w:eastAsia="仿宋_GB2312"/>
          <w:color w:val="000000"/>
          <w:sz w:val="32"/>
          <w:szCs w:val="32"/>
        </w:rPr>
        <w:t>万元。</w:t>
      </w:r>
      <w:r>
        <w:rPr>
          <w:rFonts w:hint="default" w:ascii="Times New Roman" w:hAnsi="Times New Roman" w:eastAsia="仿宋_GB2312" w:cs="Times New Roman"/>
          <w:sz w:val="32"/>
          <w:szCs w:val="32"/>
        </w:rPr>
        <w:t>要用于下村等所需的公务用车燃料费、维修费、过路过桥费、保险费等支出</w:t>
      </w:r>
      <w:r>
        <w:rPr>
          <w:rFonts w:hint="eastAsia" w:eastAsia="仿宋_GB2312" w:cs="Times New Roman"/>
          <w:sz w:val="32"/>
          <w:szCs w:val="32"/>
          <w:lang w:val="en-US" w:eastAsia="zh-CN"/>
        </w:rPr>
        <w:t xml:space="preserve">                </w:t>
      </w: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1.66</w:t>
      </w:r>
      <w:r>
        <w:rPr>
          <w:rFonts w:hint="eastAsia" w:ascii="仿宋_GB2312" w:eastAsia="仿宋_GB2312"/>
          <w:color w:val="000000"/>
          <w:sz w:val="32"/>
          <w:szCs w:val="32"/>
        </w:rPr>
        <w:t>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33.2</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0.73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78.49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default" w:ascii="Times New Roman" w:hAnsi="Times New Roman" w:eastAsia="仿宋_GB2312" w:cs="Times New Roman"/>
          <w:sz w:val="32"/>
          <w:szCs w:val="32"/>
        </w:rPr>
        <w:t>2018年度调研、交流、指导等的任务增加</w:t>
      </w:r>
      <w:r>
        <w:rPr>
          <w:rFonts w:hint="eastAsia" w:eastAsia="仿宋_GB2312" w:cs="Times New Roman"/>
          <w:sz w:val="32"/>
          <w:szCs w:val="32"/>
          <w:lang w:eastAsia="zh-CN"/>
        </w:rPr>
        <w:t>。</w:t>
      </w:r>
      <w:r>
        <w:rPr>
          <w:rFonts w:hint="eastAsia" w:ascii="仿宋_GB2312" w:eastAsia="仿宋_GB2312"/>
          <w:color w:val="000000"/>
          <w:sz w:val="32"/>
          <w:szCs w:val="32"/>
        </w:rPr>
        <w:t>其中：</w:t>
      </w:r>
    </w:p>
    <w:p w14:paraId="7250C4FA">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1.66</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批次，共计支出</w:t>
      </w:r>
      <w:r>
        <w:rPr>
          <w:rFonts w:hint="eastAsia" w:ascii="仿宋_GB2312" w:eastAsia="仿宋_GB2312"/>
          <w:color w:val="000000"/>
          <w:sz w:val="32"/>
          <w:szCs w:val="32"/>
          <w:lang w:val="en-US" w:eastAsia="zh-CN"/>
        </w:rPr>
        <w:t>1.66</w:t>
      </w:r>
      <w:r>
        <w:rPr>
          <w:rFonts w:hint="eastAsia" w:ascii="仿宋_GB2312" w:eastAsia="仿宋_GB2312"/>
          <w:color w:val="000000"/>
          <w:sz w:val="32"/>
          <w:szCs w:val="32"/>
        </w:rPr>
        <w:t>万元，</w:t>
      </w:r>
      <w:r>
        <w:rPr>
          <w:rFonts w:hint="eastAsia" w:ascii="Times New Roman" w:hAnsi="Times New Roman" w:eastAsia="仿宋_GB2312" w:cs="仿宋_GB2312"/>
          <w:color w:val="000000"/>
          <w:kern w:val="0"/>
          <w:sz w:val="32"/>
          <w:szCs w:val="32"/>
        </w:rPr>
        <w:t>具体内容包括：接待米易县林业局对镇相关工作检查及指导费用</w:t>
      </w:r>
      <w:r>
        <w:rPr>
          <w:rFonts w:ascii="Times New Roman" w:hAnsi="Times New Roman" w:eastAsia="仿宋_GB2312" w:cs="Times New Roman"/>
          <w:color w:val="000000"/>
          <w:kern w:val="0"/>
          <w:sz w:val="32"/>
          <w:szCs w:val="32"/>
        </w:rPr>
        <w:t>0.20</w:t>
      </w:r>
      <w:r>
        <w:rPr>
          <w:rFonts w:hint="eastAsia" w:ascii="Times New Roman" w:hAnsi="Times New Roman" w:eastAsia="仿宋_GB2312" w:cs="仿宋_GB2312"/>
          <w:color w:val="000000"/>
          <w:kern w:val="0"/>
          <w:sz w:val="32"/>
          <w:szCs w:val="32"/>
        </w:rPr>
        <w:t>万元，接待盐边县渔门镇费用</w:t>
      </w:r>
      <w:r>
        <w:rPr>
          <w:rFonts w:ascii="Times New Roman" w:hAnsi="Times New Roman" w:eastAsia="仿宋_GB2312" w:cs="Times New Roman"/>
          <w:color w:val="000000"/>
          <w:kern w:val="0"/>
          <w:sz w:val="32"/>
          <w:szCs w:val="32"/>
        </w:rPr>
        <w:t>0.23</w:t>
      </w:r>
      <w:r>
        <w:rPr>
          <w:rFonts w:hint="eastAsia" w:ascii="Times New Roman" w:hAnsi="Times New Roman" w:eastAsia="仿宋_GB2312" w:cs="仿宋_GB2312"/>
          <w:color w:val="000000"/>
          <w:kern w:val="0"/>
          <w:sz w:val="32"/>
          <w:szCs w:val="32"/>
        </w:rPr>
        <w:t>万元，接待华坪县兴泉镇费用</w:t>
      </w:r>
      <w:r>
        <w:rPr>
          <w:rFonts w:ascii="Times New Roman" w:hAnsi="Times New Roman" w:eastAsia="仿宋_GB2312" w:cs="Times New Roman"/>
          <w:color w:val="000000"/>
          <w:kern w:val="0"/>
          <w:sz w:val="32"/>
          <w:szCs w:val="32"/>
        </w:rPr>
        <w:t>0.32</w:t>
      </w:r>
      <w:r>
        <w:rPr>
          <w:rFonts w:hint="eastAsia" w:ascii="Times New Roman" w:hAnsi="Times New Roman" w:eastAsia="仿宋_GB2312" w:cs="仿宋_GB2312"/>
          <w:color w:val="000000"/>
          <w:kern w:val="0"/>
          <w:sz w:val="32"/>
          <w:szCs w:val="32"/>
        </w:rPr>
        <w:t>，接待宁南县景星镇费用</w:t>
      </w:r>
      <w:r>
        <w:rPr>
          <w:rFonts w:ascii="Times New Roman" w:hAnsi="Times New Roman" w:eastAsia="仿宋_GB2312" w:cs="Times New Roman"/>
          <w:color w:val="000000"/>
          <w:kern w:val="0"/>
          <w:sz w:val="32"/>
          <w:szCs w:val="32"/>
        </w:rPr>
        <w:t>0.3</w:t>
      </w:r>
      <w:r>
        <w:rPr>
          <w:rFonts w:hint="eastAsia" w:ascii="Times New Roman" w:hAnsi="Times New Roman" w:eastAsia="仿宋_GB2312" w:cs="仿宋_GB2312"/>
          <w:color w:val="000000"/>
          <w:kern w:val="0"/>
          <w:sz w:val="32"/>
          <w:szCs w:val="32"/>
        </w:rPr>
        <w:t>万元接待县政协费用</w:t>
      </w:r>
      <w:r>
        <w:rPr>
          <w:rFonts w:ascii="Times New Roman" w:hAnsi="Times New Roman" w:eastAsia="仿宋_GB2312" w:cs="Times New Roman"/>
          <w:color w:val="000000"/>
          <w:kern w:val="0"/>
          <w:sz w:val="32"/>
          <w:szCs w:val="32"/>
        </w:rPr>
        <w:t>0.32</w:t>
      </w:r>
      <w:r>
        <w:rPr>
          <w:rFonts w:hint="eastAsia" w:ascii="Times New Roman" w:hAnsi="Times New Roman" w:eastAsia="仿宋_GB2312" w:cs="仿宋_GB2312"/>
          <w:color w:val="000000"/>
          <w:kern w:val="0"/>
          <w:sz w:val="32"/>
          <w:szCs w:val="32"/>
        </w:rPr>
        <w:t>万元，接待县扶贫和移民局</w:t>
      </w:r>
      <w:r>
        <w:rPr>
          <w:rFonts w:ascii="Times New Roman" w:hAnsi="Times New Roman" w:eastAsia="仿宋_GB2312" w:cs="Times New Roman"/>
          <w:color w:val="000000"/>
          <w:kern w:val="0"/>
          <w:sz w:val="32"/>
          <w:szCs w:val="32"/>
        </w:rPr>
        <w:t>0.29</w:t>
      </w:r>
      <w:r>
        <w:rPr>
          <w:rFonts w:hint="eastAsia" w:ascii="Times New Roman" w:hAnsi="Times New Roman" w:eastAsia="仿宋_GB2312" w:cs="仿宋_GB2312"/>
          <w:color w:val="000000"/>
          <w:kern w:val="0"/>
          <w:sz w:val="32"/>
          <w:szCs w:val="32"/>
        </w:rPr>
        <w:t>万元。</w:t>
      </w:r>
    </w:p>
    <w:p w14:paraId="38F01479">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bookmarkStart w:id="49" w:name="_Toc15396610"/>
      <w:bookmarkStart w:id="50" w:name="_Toc15377218"/>
    </w:p>
    <w:p w14:paraId="67987A95">
      <w:pPr>
        <w:spacing w:line="600" w:lineRule="exact"/>
        <w:ind w:firstLine="640"/>
        <w:outlineLvl w:val="1"/>
        <w:rPr>
          <w:rStyle w:val="28"/>
          <w:rFonts w:ascii="黑体" w:hAnsi="黑体" w:eastAsia="黑体"/>
        </w:rPr>
      </w:pPr>
      <w:bookmarkStart w:id="51" w:name="_Toc29826"/>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9"/>
      <w:bookmarkEnd w:id="50"/>
      <w:bookmarkEnd w:id="51"/>
    </w:p>
    <w:p w14:paraId="528A957C">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9年政府性基金预算拨款支出20653.14万元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2018年</w:t>
      </w:r>
      <w:r>
        <w:rPr>
          <w:rFonts w:hint="eastAsia" w:ascii="仿宋_GB2312" w:eastAsia="仿宋_GB2312"/>
          <w:color w:val="000000"/>
          <w:sz w:val="32"/>
          <w:szCs w:val="32"/>
        </w:rPr>
        <w:t>政府性基金预算拨款支出</w:t>
      </w:r>
      <w:r>
        <w:rPr>
          <w:rFonts w:hint="default" w:ascii="Times New Roman" w:hAnsi="Times New Roman" w:eastAsia="仿宋_GB2312" w:cs="Times New Roman"/>
          <w:sz w:val="32"/>
          <w:szCs w:val="32"/>
        </w:rPr>
        <w:t>21553.2</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与201</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年相比，</w:t>
      </w:r>
      <w:r>
        <w:rPr>
          <w:rFonts w:hint="eastAsia" w:eastAsia="仿宋_GB2312" w:cs="Times New Roman"/>
          <w:sz w:val="32"/>
          <w:szCs w:val="32"/>
          <w:lang w:val="en-US" w:eastAsia="zh-CN"/>
        </w:rPr>
        <w:t>减少900.13</w:t>
      </w:r>
      <w:r>
        <w:rPr>
          <w:rFonts w:hint="default" w:ascii="Times New Roman" w:hAnsi="Times New Roman" w:eastAsia="仿宋_GB2312" w:cs="Times New Roman"/>
          <w:sz w:val="32"/>
          <w:szCs w:val="32"/>
        </w:rPr>
        <w:t>万元，</w:t>
      </w:r>
      <w:r>
        <w:rPr>
          <w:rFonts w:hint="eastAsia" w:eastAsia="仿宋_GB2312" w:cs="Times New Roman"/>
          <w:sz w:val="32"/>
          <w:szCs w:val="32"/>
          <w:lang w:val="en-US" w:eastAsia="zh-CN"/>
        </w:rPr>
        <w:t>下降4.18</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w:t>
      </w:r>
      <w:r>
        <w:rPr>
          <w:rFonts w:hint="eastAsia" w:eastAsia="仿宋_GB2312" w:cs="Times New Roman"/>
          <w:sz w:val="32"/>
          <w:szCs w:val="32"/>
          <w:lang w:val="en-US" w:eastAsia="zh-CN"/>
        </w:rPr>
        <w:t>主要原因是征地拆迁项目费减少。</w:t>
      </w:r>
    </w:p>
    <w:p w14:paraId="30E85E6B">
      <w:pPr>
        <w:numPr>
          <w:ilvl w:val="0"/>
          <w:numId w:val="6"/>
        </w:numPr>
        <w:spacing w:line="600" w:lineRule="exact"/>
        <w:ind w:firstLine="640"/>
        <w:outlineLvl w:val="1"/>
        <w:rPr>
          <w:rStyle w:val="28"/>
          <w:rFonts w:ascii="黑体" w:hAnsi="黑体" w:eastAsia="黑体"/>
          <w:b w:val="0"/>
        </w:rPr>
      </w:pPr>
      <w:bookmarkStart w:id="52" w:name="_Toc15396611"/>
      <w:bookmarkStart w:id="53" w:name="_Toc28182"/>
      <w:bookmarkStart w:id="54" w:name="_Toc15377219"/>
      <w:r>
        <w:rPr>
          <w:rStyle w:val="28"/>
          <w:rFonts w:hint="eastAsia" w:ascii="黑体" w:hAnsi="黑体" w:eastAsia="黑体"/>
          <w:b w:val="0"/>
        </w:rPr>
        <w:t>国有资本经营预算支出决算情况说明</w:t>
      </w:r>
      <w:bookmarkEnd w:id="52"/>
      <w:bookmarkEnd w:id="53"/>
      <w:bookmarkEnd w:id="54"/>
    </w:p>
    <w:p w14:paraId="1FE79005">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91233B4">
      <w:pPr>
        <w:spacing w:line="600" w:lineRule="exact"/>
        <w:ind w:firstLine="800" w:firstLineChars="250"/>
        <w:outlineLvl w:val="1"/>
        <w:rPr>
          <w:rStyle w:val="28"/>
          <w:rFonts w:ascii="黑体" w:hAnsi="黑体" w:eastAsia="黑体"/>
        </w:rPr>
      </w:pPr>
      <w:bookmarkStart w:id="55" w:name="_Toc15396612"/>
      <w:bookmarkStart w:id="56" w:name="_Toc15630"/>
      <w:bookmarkStart w:id="57"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55"/>
      <w:bookmarkEnd w:id="56"/>
      <w:bookmarkEnd w:id="57"/>
    </w:p>
    <w:p w14:paraId="2E491DCC">
      <w:pPr>
        <w:spacing w:line="600" w:lineRule="exact"/>
        <w:ind w:firstLine="643" w:firstLineChars="200"/>
        <w:outlineLvl w:val="2"/>
        <w:rPr>
          <w:rFonts w:ascii="仿宋" w:hAnsi="仿宋" w:eastAsia="仿宋"/>
          <w:color w:val="000000"/>
          <w:sz w:val="32"/>
          <w:szCs w:val="32"/>
        </w:rPr>
      </w:pPr>
      <w:bookmarkStart w:id="58" w:name="_Toc15377222"/>
      <w:r>
        <w:rPr>
          <w:rFonts w:hint="eastAsia" w:ascii="仿宋" w:hAnsi="仿宋" w:eastAsia="仿宋"/>
          <w:b/>
          <w:color w:val="000000"/>
          <w:sz w:val="32"/>
          <w:szCs w:val="32"/>
        </w:rPr>
        <w:t>（一）机关运行经费支出情况</w:t>
      </w:r>
      <w:bookmarkEnd w:id="58"/>
    </w:p>
    <w:p w14:paraId="76E5E6E4">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行政</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28.07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1.28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4.78</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w:t>
      </w:r>
      <w:r>
        <w:rPr>
          <w:rFonts w:hint="default" w:ascii="Times New Roman" w:hAnsi="Times New Roman" w:eastAsia="仿宋_GB2312" w:cs="Times New Roman"/>
          <w:color w:val="000000"/>
          <w:sz w:val="32"/>
          <w:szCs w:val="32"/>
        </w:rPr>
        <w:t>其他交通费用</w:t>
      </w:r>
      <w:r>
        <w:rPr>
          <w:rFonts w:hint="eastAsia" w:eastAsia="仿宋_GB2312" w:cs="Times New Roman"/>
          <w:color w:val="000000"/>
          <w:sz w:val="32"/>
          <w:szCs w:val="32"/>
          <w:lang w:val="en-US" w:eastAsia="zh-CN"/>
        </w:rPr>
        <w:t>增加。</w:t>
      </w:r>
    </w:p>
    <w:p w14:paraId="144A376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9" w:name="_Toc15377223"/>
      <w:r>
        <w:rPr>
          <w:rFonts w:hint="eastAsia" w:ascii="仿宋" w:hAnsi="仿宋" w:eastAsia="仿宋"/>
          <w:b/>
          <w:color w:val="000000"/>
          <w:sz w:val="32"/>
          <w:szCs w:val="32"/>
        </w:rPr>
        <w:t>（二）政府采购支出情况</w:t>
      </w:r>
      <w:bookmarkEnd w:id="59"/>
    </w:p>
    <w:p w14:paraId="7A7D40D6">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攀莲镇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088A9D8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0" w:name="_Toc15377224"/>
      <w:r>
        <w:rPr>
          <w:rFonts w:hint="eastAsia" w:ascii="仿宋" w:hAnsi="仿宋" w:eastAsia="仿宋"/>
          <w:b/>
          <w:color w:val="000000"/>
          <w:sz w:val="32"/>
          <w:szCs w:val="32"/>
        </w:rPr>
        <w:t>（三）国有资产占有使用情况</w:t>
      </w:r>
      <w:bookmarkEnd w:id="60"/>
    </w:p>
    <w:p w14:paraId="7CE678BF">
      <w:pPr>
        <w:autoSpaceDE w:val="0"/>
        <w:autoSpaceDN w:val="0"/>
        <w:adjustRightInd w:val="0"/>
        <w:spacing w:line="60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截至201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年12月31日，共有车辆5辆，其中：部级领导干部用车0辆、一般公务用车5辆、一般执法执勤用车0辆、特种专业技术用车0辆、其他用车0辆。</w:t>
      </w:r>
    </w:p>
    <w:p w14:paraId="7DFA30EF">
      <w:pPr>
        <w:autoSpaceDE w:val="0"/>
        <w:autoSpaceDN w:val="0"/>
        <w:adjustRightInd w:val="0"/>
        <w:spacing w:line="60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单价50万元以上通用设备2台（套），单价100万元以上专用设备0台（套）。</w:t>
      </w:r>
    </w:p>
    <w:p w14:paraId="28D82608">
      <w:pPr>
        <w:autoSpaceDE w:val="0"/>
        <w:autoSpaceDN w:val="0"/>
        <w:adjustRightInd w:val="0"/>
        <w:spacing w:line="600" w:lineRule="exact"/>
        <w:jc w:val="left"/>
        <w:rPr>
          <w:rFonts w:ascii="仿宋" w:hAnsi="仿宋" w:eastAsia="仿宋"/>
          <w:b/>
          <w:color w:val="FF0000"/>
          <w:sz w:val="32"/>
          <w:szCs w:val="32"/>
        </w:rPr>
      </w:pPr>
    </w:p>
    <w:p w14:paraId="3CB074CA">
      <w:pPr>
        <w:numPr>
          <w:ilvl w:val="0"/>
          <w:numId w:val="3"/>
        </w:numPr>
        <w:autoSpaceDE w:val="0"/>
        <w:autoSpaceDN w:val="0"/>
        <w:adjustRightInd w:val="0"/>
        <w:spacing w:line="600" w:lineRule="exact"/>
        <w:ind w:left="0" w:leftChars="0" w:firstLine="643" w:firstLineChars="200"/>
        <w:jc w:val="left"/>
        <w:outlineLvl w:val="2"/>
        <w:rPr>
          <w:rFonts w:hint="eastAsia" w:ascii="仿宋" w:hAnsi="仿宋" w:eastAsia="仿宋"/>
          <w:b/>
          <w:color w:val="000000"/>
          <w:sz w:val="32"/>
          <w:szCs w:val="32"/>
        </w:rPr>
      </w:pPr>
      <w:r>
        <w:rPr>
          <w:rFonts w:hint="eastAsia" w:ascii="仿宋" w:hAnsi="仿宋" w:eastAsia="仿宋"/>
          <w:b/>
          <w:color w:val="000000"/>
          <w:sz w:val="32"/>
          <w:szCs w:val="32"/>
        </w:rPr>
        <w:t>预算绩效管理情况。</w:t>
      </w:r>
    </w:p>
    <w:p w14:paraId="05279E0A">
      <w:pPr>
        <w:spacing w:line="580" w:lineRule="exact"/>
        <w:ind w:firstLine="420" w:firstLineChars="200"/>
        <w:rPr>
          <w:rFonts w:hint="default" w:ascii="Times New Roman" w:hAnsi="Times New Roman" w:eastAsia="仿宋_GB2312" w:cs="Times New Roman"/>
          <w:sz w:val="32"/>
          <w:szCs w:val="32"/>
        </w:rPr>
      </w:pPr>
      <w:r>
        <w:rPr>
          <w:rFonts w:hint="eastAsia"/>
          <w:lang w:val="en-US" w:eastAsia="zh-CN"/>
        </w:rPr>
        <w:t xml:space="preserve">  </w:t>
      </w:r>
      <w:r>
        <w:rPr>
          <w:rFonts w:hint="default" w:ascii="Times New Roman" w:hAnsi="Times New Roman" w:eastAsia="仿宋_GB2312" w:cs="Times New Roman"/>
          <w:sz w:val="32"/>
          <w:szCs w:val="32"/>
        </w:rPr>
        <w:t>根据预算绩效管理要求，本部门（单位）在年初预算编制阶段，组织对</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项目开展了预算事前绩效评估，对</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项目编制了绩效目标，预算执行过程中，选取</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项目开展绩效监控，年终执行完毕后，对选取</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项目开展了绩效目标完成情况梳理填报。</w:t>
      </w:r>
    </w:p>
    <w:p w14:paraId="150015E5">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年部门整体支出开展绩效自评，从评价情况来看通过开展整体支出绩效自评，不仅</w:t>
      </w:r>
      <w:r>
        <w:rPr>
          <w:rFonts w:hint="default" w:ascii="Times New Roman" w:hAnsi="Times New Roman" w:eastAsia="仿宋_GB2312" w:cs="Times New Roman"/>
          <w:sz w:val="32"/>
          <w:szCs w:val="32"/>
          <w:shd w:val="clear" w:color="auto" w:fill="FFFFFF"/>
        </w:rPr>
        <w:t>建立健全了财务管理制度和约束机制，依法、有效地使用财政资金，提高财政资金使用效率，合理分配人、财、物，完成了我镇职能目标，更实现了较高的工作效率。</w:t>
      </w:r>
      <w:r>
        <w:rPr>
          <w:rFonts w:hint="default" w:ascii="Times New Roman" w:hAnsi="Times New Roman" w:eastAsia="仿宋_GB2312" w:cs="Times New Roman"/>
          <w:sz w:val="32"/>
          <w:szCs w:val="32"/>
        </w:rPr>
        <w:t>本部门还自行组织了</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项目绩效评价，从评价情况来看</w:t>
      </w:r>
      <w:r>
        <w:rPr>
          <w:rFonts w:hint="default" w:ascii="Times New Roman" w:hAnsi="Times New Roman" w:eastAsia="仿宋_GB2312" w:cs="Times New Roman"/>
          <w:kern w:val="0"/>
          <w:sz w:val="32"/>
          <w:szCs w:val="32"/>
        </w:rPr>
        <w:t>农村公共服务运行维护项目实施后，村内基层组织活动得以扎实、有序推进，对巩固基层工作，促进干群关系提供了有力保障；农村公共服务运行维护项目的实施促进了村内道路、水利灌溉条件的改善，对促进农村经济社会各项事业发展起到了积极推动作用</w:t>
      </w:r>
      <w:r>
        <w:rPr>
          <w:rFonts w:hint="default" w:ascii="Times New Roman" w:hAnsi="Times New Roman" w:eastAsia="仿宋_GB2312" w:cs="Times New Roman"/>
          <w:sz w:val="32"/>
          <w:szCs w:val="32"/>
        </w:rPr>
        <w:t>。</w:t>
      </w:r>
    </w:p>
    <w:p w14:paraId="7E036D25">
      <w:pPr>
        <w:numPr>
          <w:ilvl w:val="0"/>
          <w:numId w:val="7"/>
        </w:num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rPr>
        <w:t>项目绩效目标完成情况。</w:t>
      </w:r>
      <w:r>
        <w:rPr>
          <w:rFonts w:hint="default" w:ascii="Times New Roman" w:hAnsi="Times New Roman" w:eastAsia="楷体_GB2312" w:cs="Times New Roman"/>
          <w:b/>
          <w:bCs/>
          <w:sz w:val="32"/>
          <w:szCs w:val="32"/>
        </w:rPr>
        <w:br w:type="textWrapping"/>
      </w:r>
      <w:r>
        <w:rPr>
          <w:rFonts w:hint="default" w:ascii="Times New Roman" w:hAnsi="Times New Roman" w:eastAsia="仿宋_GB2312" w:cs="Times New Roman"/>
          <w:sz w:val="32"/>
          <w:szCs w:val="32"/>
        </w:rPr>
        <w:t xml:space="preserve">  本部门在201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年度部门决算中反映</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年农村公共服务运行维护项目</w:t>
      </w:r>
      <w:r>
        <w:rPr>
          <w:rFonts w:hint="default" w:ascii="Times New Roman" w:hAnsi="Times New Roman" w:eastAsia="仿宋_GB2312" w:cs="Times New Roman"/>
          <w:sz w:val="32"/>
          <w:szCs w:val="32"/>
        </w:rPr>
        <w:t xml:space="preserve">等项目绩效目标实际完成情况。 </w:t>
      </w:r>
    </w:p>
    <w:p w14:paraId="381E9289">
      <w:pPr>
        <w:numPr>
          <w:ilvl w:val="0"/>
          <w:numId w:val="8"/>
        </w:num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项目绩效目标完成情况综述。项目全年预算数</w:t>
      </w:r>
      <w:r>
        <w:rPr>
          <w:rFonts w:hint="eastAsia" w:eastAsia="仿宋_GB2312" w:cs="Times New Roman"/>
          <w:sz w:val="32"/>
          <w:szCs w:val="32"/>
          <w:lang w:val="en-US" w:eastAsia="zh-CN"/>
        </w:rPr>
        <w:t>36.9</w:t>
      </w:r>
      <w:r>
        <w:rPr>
          <w:rFonts w:hint="default" w:ascii="Times New Roman" w:hAnsi="Times New Roman" w:eastAsia="仿宋_GB2312" w:cs="Times New Roman"/>
          <w:sz w:val="32"/>
          <w:szCs w:val="32"/>
        </w:rPr>
        <w:t>万元，执行数为</w:t>
      </w:r>
      <w:r>
        <w:rPr>
          <w:rFonts w:hint="eastAsia" w:eastAsia="仿宋_GB2312" w:cs="Times New Roman"/>
          <w:sz w:val="32"/>
          <w:szCs w:val="32"/>
          <w:lang w:val="en-US" w:eastAsia="zh-CN"/>
        </w:rPr>
        <w:t>36.9</w:t>
      </w:r>
      <w:r>
        <w:rPr>
          <w:rFonts w:hint="default" w:ascii="Times New Roman" w:hAnsi="Times New Roman" w:eastAsia="仿宋_GB2312" w:cs="Times New Roman"/>
          <w:sz w:val="32"/>
          <w:szCs w:val="32"/>
        </w:rPr>
        <w:t>万元，完成预算的100%。通过此项目实施，</w:t>
      </w:r>
      <w:r>
        <w:rPr>
          <w:rFonts w:hint="default" w:ascii="Times New Roman" w:hAnsi="Times New Roman" w:eastAsia="仿宋_GB2312" w:cs="Times New Roman"/>
          <w:kern w:val="0"/>
          <w:sz w:val="32"/>
          <w:szCs w:val="32"/>
        </w:rPr>
        <w:t>村内基层组织活动得以扎实、有序推进，对巩固基层工作，促进干群关系提供了有力保障；农村公共服务运行维护项目的实施促进了村内道路、水利灌溉条件的改善，对促进农村经济社会各项事业发展起到了积极推动作用</w:t>
      </w:r>
      <w:r>
        <w:rPr>
          <w:rFonts w:hint="default" w:ascii="Times New Roman" w:hAnsi="Times New Roman" w:eastAsia="仿宋_GB2312" w:cs="Times New Roman"/>
          <w:sz w:val="32"/>
          <w:szCs w:val="32"/>
        </w:rPr>
        <w:t>。</w:t>
      </w: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A3266C4">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D9425A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153BDB5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7A852">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07053">
            <w:pPr>
              <w:widowControl/>
              <w:jc w:val="center"/>
              <w:textAlignment w:val="center"/>
              <w:rPr>
                <w:rFonts w:ascii="宋体" w:hAnsi="宋体" w:cs="宋体"/>
                <w:color w:val="000000"/>
                <w:sz w:val="24"/>
              </w:rPr>
            </w:pPr>
            <w:r>
              <w:rPr>
                <w:rFonts w:hint="eastAsia" w:ascii="Times New Roman" w:hAnsi="Times New Roman" w:cs="宋体"/>
                <w:color w:val="000000"/>
                <w:sz w:val="24"/>
                <w:lang w:eastAsia="zh-CN"/>
              </w:rPr>
              <w:t>201</w:t>
            </w:r>
            <w:r>
              <w:rPr>
                <w:rFonts w:hint="eastAsia" w:ascii="Times New Roman" w:hAnsi="Times New Roman" w:cs="宋体"/>
                <w:color w:val="000000"/>
                <w:sz w:val="24"/>
                <w:lang w:val="en-US" w:eastAsia="zh-CN"/>
              </w:rPr>
              <w:t>9</w:t>
            </w:r>
            <w:r>
              <w:rPr>
                <w:rFonts w:hint="eastAsia" w:ascii="Times New Roman" w:hAnsi="Times New Roman" w:cs="宋体"/>
                <w:color w:val="000000"/>
                <w:sz w:val="24"/>
                <w:lang w:eastAsia="zh-CN"/>
              </w:rPr>
              <w:t>年基层组织活动和农村公共服务运行维护建设项目</w:t>
            </w:r>
          </w:p>
        </w:tc>
      </w:tr>
      <w:tr w14:paraId="78FA47D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B756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15E13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米易县攀莲镇人民政府</w:t>
            </w:r>
          </w:p>
        </w:tc>
      </w:tr>
      <w:tr w14:paraId="4A1DCAA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97AF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BD6D41">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710BFD">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36.9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0410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CE56A">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36.9</w:t>
            </w:r>
          </w:p>
        </w:tc>
      </w:tr>
      <w:tr w14:paraId="26C2AD68">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48F8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D091F">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AC0EC">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36.9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1B91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16EA2">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36.9</w:t>
            </w:r>
          </w:p>
        </w:tc>
      </w:tr>
      <w:tr w14:paraId="08A5C296">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5183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FE7575">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E5D3D">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0A948">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69D9D">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391FB11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45E7D">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6562F">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9DA1A">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755A653">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740B5">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00685">
            <w:pPr>
              <w:widowControl/>
              <w:jc w:val="center"/>
              <w:textAlignment w:val="center"/>
              <w:rPr>
                <w:rFonts w:ascii="宋体" w:hAnsi="宋体" w:cs="宋体"/>
                <w:color w:val="000000"/>
                <w:sz w:val="24"/>
              </w:rPr>
            </w:pPr>
            <w:r>
              <w:rPr>
                <w:rFonts w:hint="default" w:ascii="Times New Roman" w:hAnsi="Times New Roman" w:cs="Times New Roman"/>
                <w:color w:val="000000"/>
                <w:kern w:val="0"/>
                <w:sz w:val="24"/>
              </w:rPr>
              <w:t xml:space="preserve"> 通过农村公共服务运行维护项目的实施，促进了村内道路、水利灌溉条件的改善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223A5">
            <w:pPr>
              <w:widowControl/>
              <w:jc w:val="center"/>
              <w:textAlignment w:val="center"/>
              <w:rPr>
                <w:rFonts w:ascii="宋体" w:hAnsi="宋体" w:cs="宋体"/>
                <w:color w:val="000000"/>
                <w:sz w:val="24"/>
              </w:rPr>
            </w:pPr>
            <w:r>
              <w:rPr>
                <w:rFonts w:hint="default" w:ascii="Times New Roman" w:hAnsi="Times New Roman" w:cs="Times New Roman"/>
                <w:color w:val="000000"/>
                <w:sz w:val="24"/>
              </w:rPr>
              <w:t>项目实施后，为群众提供了良好的生活环境对促进农村经济社会各项事业发展起到了积极作用。</w:t>
            </w:r>
          </w:p>
        </w:tc>
      </w:tr>
      <w:tr w14:paraId="23137A5E">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FBC6891">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75BAC">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D6F0A">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DF754">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914CB7">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86C36">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645EE5A">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0F1930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FCA159">
            <w:pPr>
              <w:widowControl/>
              <w:jc w:val="center"/>
              <w:textAlignment w:val="center"/>
              <w:rPr>
                <w:rFonts w:ascii="宋体" w:hAnsi="宋体" w:cs="宋体"/>
                <w:color w:val="000000"/>
                <w:sz w:val="24"/>
              </w:rPr>
            </w:pPr>
            <w:r>
              <w:rPr>
                <w:rFonts w:hint="default" w:ascii="Times New Roman" w:hAnsi="Times New Roman" w:cs="Times New Roman"/>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0AF95">
            <w:pPr>
              <w:widowControl/>
              <w:jc w:val="center"/>
              <w:textAlignment w:val="center"/>
              <w:rPr>
                <w:rFonts w:ascii="宋体" w:hAnsi="宋体" w:cs="宋体"/>
                <w:color w:val="000000"/>
                <w:sz w:val="24"/>
              </w:rPr>
            </w:pPr>
            <w:r>
              <w:rPr>
                <w:rFonts w:hint="default" w:ascii="Times New Roman" w:hAnsi="Times New Roman" w:cs="Times New Roman"/>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5275A6">
            <w:pPr>
              <w:widowControl/>
              <w:jc w:val="center"/>
              <w:textAlignment w:val="center"/>
              <w:rPr>
                <w:rFonts w:ascii="宋体" w:hAnsi="宋体" w:cs="宋体"/>
                <w:color w:val="000000"/>
                <w:sz w:val="24"/>
              </w:rPr>
            </w:pPr>
            <w:r>
              <w:rPr>
                <w:rFonts w:hint="default" w:ascii="Times New Roman" w:hAnsi="Times New Roman" w:cs="Times New Roman"/>
                <w:color w:val="000000"/>
                <w:sz w:val="24"/>
              </w:rPr>
              <w:t>专项会议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A87D7">
            <w:pPr>
              <w:widowControl/>
              <w:jc w:val="center"/>
              <w:textAlignment w:val="center"/>
              <w:rPr>
                <w:rFonts w:ascii="宋体" w:hAnsi="宋体" w:cs="宋体"/>
                <w:color w:val="000000"/>
                <w:sz w:val="24"/>
              </w:rPr>
            </w:pPr>
            <w:r>
              <w:rPr>
                <w:rFonts w:hint="default" w:ascii="Times New Roman" w:hAnsi="Times New Roman" w:cs="Times New Roman"/>
                <w:color w:val="000000"/>
                <w:sz w:val="24"/>
              </w:rPr>
              <w:t>3</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D3A14">
            <w:pPr>
              <w:widowControl/>
              <w:jc w:val="center"/>
              <w:textAlignment w:val="center"/>
              <w:rPr>
                <w:rFonts w:ascii="宋体" w:hAnsi="宋体" w:cs="宋体"/>
                <w:color w:val="000000"/>
                <w:sz w:val="24"/>
              </w:rPr>
            </w:pPr>
            <w:r>
              <w:rPr>
                <w:rFonts w:hint="default" w:ascii="Times New Roman" w:hAnsi="Times New Roman" w:cs="Times New Roman"/>
                <w:color w:val="000000"/>
                <w:sz w:val="24"/>
              </w:rPr>
              <w:t>3</w:t>
            </w:r>
          </w:p>
        </w:tc>
      </w:tr>
      <w:tr w14:paraId="6D2056D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F94E9F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3D397">
            <w:pPr>
              <w:widowControl/>
              <w:jc w:val="center"/>
              <w:textAlignment w:val="center"/>
              <w:rPr>
                <w:rFonts w:ascii="宋体" w:hAnsi="宋体" w:cs="宋体"/>
                <w:color w:val="000000"/>
                <w:sz w:val="24"/>
              </w:rPr>
            </w:pPr>
            <w:r>
              <w:rPr>
                <w:rFonts w:hint="default" w:ascii="Times New Roman" w:hAnsi="Times New Roman" w:cs="Times New Roman"/>
                <w:color w:val="000000"/>
                <w:kern w:val="0"/>
                <w:sz w:val="24"/>
              </w:rPr>
              <w:t>可持续性影响指标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6DBD3">
            <w:pPr>
              <w:widowControl/>
              <w:jc w:val="center"/>
              <w:textAlignment w:val="center"/>
              <w:rPr>
                <w:rFonts w:ascii="宋体" w:hAnsi="宋体" w:cs="宋体"/>
                <w:color w:val="000000"/>
                <w:sz w:val="24"/>
              </w:rPr>
            </w:pPr>
            <w:r>
              <w:rPr>
                <w:rFonts w:hint="default" w:ascii="Times New Roman" w:hAnsi="Times New Roman" w:cs="Times New Roman"/>
                <w:color w:val="000000"/>
                <w:kern w:val="0"/>
                <w:sz w:val="24"/>
              </w:rPr>
              <w:t>可持续性影响效益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AF825">
            <w:pPr>
              <w:widowControl/>
              <w:jc w:val="center"/>
              <w:textAlignment w:val="center"/>
              <w:rPr>
                <w:rFonts w:ascii="宋体" w:hAnsi="宋体" w:cs="宋体"/>
                <w:color w:val="000000"/>
                <w:sz w:val="24"/>
              </w:rPr>
            </w:pPr>
            <w:r>
              <w:rPr>
                <w:rFonts w:hint="default" w:ascii="Times New Roman" w:hAnsi="Times New Roman" w:cs="Times New Roman"/>
                <w:color w:val="000000"/>
                <w:sz w:val="24"/>
              </w:rPr>
              <w:t>持续性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BF7E6F">
            <w:pPr>
              <w:widowControl/>
              <w:jc w:val="center"/>
              <w:textAlignment w:val="center"/>
              <w:rPr>
                <w:rFonts w:ascii="宋体" w:hAnsi="宋体" w:cs="宋体"/>
                <w:color w:val="000000"/>
                <w:sz w:val="24"/>
              </w:rPr>
            </w:pPr>
            <w:r>
              <w:rPr>
                <w:rFonts w:hint="default" w:ascii="Times New Roman" w:hAnsi="Times New Roman" w:cs="Times New Roman"/>
                <w:color w:val="000000"/>
                <w:sz w:val="24"/>
              </w:rPr>
              <w:t>持续提高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8C6DF8">
            <w:pPr>
              <w:widowControl/>
              <w:jc w:val="center"/>
              <w:textAlignment w:val="center"/>
              <w:rPr>
                <w:rFonts w:ascii="宋体" w:hAnsi="宋体" w:cs="宋体"/>
                <w:color w:val="000000"/>
                <w:sz w:val="24"/>
              </w:rPr>
            </w:pPr>
            <w:r>
              <w:rPr>
                <w:rFonts w:hint="default" w:ascii="Times New Roman" w:hAnsi="Times New Roman" w:cs="Times New Roman"/>
                <w:color w:val="000000"/>
                <w:sz w:val="24"/>
              </w:rPr>
              <w:t>持续提高</w:t>
            </w:r>
          </w:p>
        </w:tc>
      </w:tr>
      <w:tr w14:paraId="123D0EC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C507764">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94EC9F">
            <w:pPr>
              <w:widowControl/>
              <w:jc w:val="center"/>
              <w:textAlignment w:val="center"/>
              <w:rPr>
                <w:rFonts w:ascii="宋体" w:hAnsi="宋体" w:cs="宋体"/>
                <w:color w:val="000000"/>
                <w:sz w:val="24"/>
              </w:rPr>
            </w:pPr>
            <w:r>
              <w:rPr>
                <w:rFonts w:hint="default" w:ascii="Times New Roman" w:hAnsi="Times New Roman" w:cs="Times New Roman"/>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48B92">
            <w:pPr>
              <w:widowControl/>
              <w:jc w:val="center"/>
              <w:textAlignment w:val="center"/>
              <w:rPr>
                <w:rFonts w:ascii="宋体" w:hAnsi="宋体" w:cs="宋体"/>
                <w:color w:val="000000"/>
                <w:sz w:val="24"/>
              </w:rPr>
            </w:pPr>
            <w:r>
              <w:rPr>
                <w:rFonts w:hint="default" w:ascii="Times New Roman" w:hAnsi="Times New Roman" w:cs="Times New Roman"/>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9F036">
            <w:pPr>
              <w:widowControl/>
              <w:jc w:val="center"/>
              <w:textAlignment w:val="center"/>
              <w:rPr>
                <w:rFonts w:ascii="宋体" w:hAnsi="宋体" w:cs="宋体"/>
                <w:color w:val="000000"/>
                <w:sz w:val="24"/>
              </w:rPr>
            </w:pPr>
            <w:r>
              <w:rPr>
                <w:rFonts w:hint="default" w:ascii="Times New Roman" w:hAnsi="Times New Roman" w:cs="Times New Roman"/>
                <w:color w:val="000000"/>
                <w:sz w:val="24"/>
              </w:rPr>
              <w:t>公平公正性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744C19">
            <w:pPr>
              <w:widowControl/>
              <w:jc w:val="center"/>
              <w:textAlignment w:val="center"/>
              <w:rPr>
                <w:rFonts w:ascii="宋体" w:hAnsi="宋体" w:cs="宋体"/>
                <w:color w:val="000000"/>
                <w:sz w:val="24"/>
              </w:rPr>
            </w:pPr>
            <w:r>
              <w:rPr>
                <w:rFonts w:hint="default" w:ascii="Times New Roman" w:hAnsi="Times New Roman" w:cs="Times New Roman"/>
                <w:color w:val="000000"/>
                <w:sz w:val="24"/>
              </w:rPr>
              <w:t>持续提高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534793">
            <w:pPr>
              <w:widowControl/>
              <w:jc w:val="center"/>
              <w:textAlignment w:val="center"/>
              <w:rPr>
                <w:rFonts w:ascii="宋体" w:hAnsi="宋体" w:cs="宋体"/>
                <w:color w:val="000000"/>
                <w:sz w:val="24"/>
              </w:rPr>
            </w:pPr>
            <w:r>
              <w:rPr>
                <w:rFonts w:hint="default" w:ascii="Times New Roman" w:hAnsi="Times New Roman" w:cs="Times New Roman"/>
                <w:color w:val="000000"/>
                <w:sz w:val="24"/>
              </w:rPr>
              <w:t>持续提高</w:t>
            </w:r>
          </w:p>
        </w:tc>
      </w:tr>
      <w:tr w14:paraId="72E73F0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D61C17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2FEF5">
            <w:pPr>
              <w:widowControl/>
              <w:jc w:val="center"/>
              <w:textAlignment w:val="center"/>
              <w:rPr>
                <w:rFonts w:ascii="宋体" w:hAnsi="宋体" w:cs="宋体"/>
                <w:color w:val="000000"/>
                <w:kern w:val="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971E7">
            <w:pPr>
              <w:widowControl/>
              <w:jc w:val="center"/>
              <w:textAlignment w:val="center"/>
              <w:rPr>
                <w:rFonts w:ascii="宋体" w:hAnsi="宋体" w:cs="宋体"/>
                <w:color w:val="000000"/>
                <w:sz w:val="24"/>
              </w:rPr>
            </w:pPr>
            <w:r>
              <w:rPr>
                <w:rFonts w:hint="default" w:ascii="Times New Roman" w:hAnsi="Times New Roman" w:cs="Times New Roman"/>
                <w:color w:val="00000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3218F5">
            <w:pPr>
              <w:widowControl/>
              <w:jc w:val="center"/>
              <w:textAlignment w:val="center"/>
              <w:rPr>
                <w:rFonts w:ascii="宋体" w:hAnsi="宋体" w:cs="宋体"/>
                <w:color w:val="000000"/>
                <w:sz w:val="24"/>
              </w:rPr>
            </w:pPr>
            <w:r>
              <w:rPr>
                <w:rFonts w:hint="default" w:ascii="Times New Roman" w:hAnsi="Times New Roman" w:cs="Times New Roman"/>
                <w:color w:val="000000"/>
                <w:sz w:val="24"/>
              </w:rPr>
              <w:t>社会对象满意度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87D14C">
            <w:pPr>
              <w:widowControl/>
              <w:jc w:val="center"/>
              <w:textAlignment w:val="center"/>
              <w:rPr>
                <w:rFonts w:ascii="宋体" w:hAnsi="宋体" w:cs="宋体"/>
                <w:color w:val="000000"/>
                <w:sz w:val="24"/>
              </w:rPr>
            </w:pPr>
            <w:r>
              <w:rPr>
                <w:rFonts w:hint="default" w:ascii="Times New Roman" w:hAnsi="Times New Roman" w:cs="Times New Roman"/>
                <w:color w:val="000000"/>
                <w:sz w:val="24"/>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C5C61">
            <w:pPr>
              <w:widowControl/>
              <w:jc w:val="center"/>
              <w:textAlignment w:val="center"/>
              <w:rPr>
                <w:rFonts w:ascii="宋体" w:hAnsi="宋体" w:cs="宋体"/>
                <w:color w:val="000000"/>
                <w:sz w:val="24"/>
              </w:rPr>
            </w:pPr>
            <w:r>
              <w:rPr>
                <w:rFonts w:hint="default" w:ascii="Times New Roman" w:hAnsi="Times New Roman" w:cs="Times New Roman"/>
                <w:color w:val="000000"/>
                <w:sz w:val="24"/>
              </w:rPr>
              <w:t>98%</w:t>
            </w:r>
          </w:p>
        </w:tc>
      </w:tr>
    </w:tbl>
    <w:p w14:paraId="65CF8BF9">
      <w:pPr>
        <w:spacing w:line="580" w:lineRule="exact"/>
        <w:rPr>
          <w:rFonts w:ascii="仿宋_GB2312" w:hAnsi="仿宋_GB2312" w:eastAsia="仿宋_GB2312" w:cs="仿宋_GB2312"/>
          <w:sz w:val="32"/>
          <w:szCs w:val="32"/>
        </w:rPr>
      </w:pPr>
    </w:p>
    <w:p w14:paraId="27711CD8">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04AA1361">
      <w:pPr>
        <w:numPr>
          <w:ilvl w:val="0"/>
          <w:numId w:val="0"/>
        </w:numPr>
        <w:spacing w:line="580" w:lineRule="exact"/>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bCs/>
          <w:sz w:val="32"/>
          <w:szCs w:val="32"/>
          <w:lang w:eastAsia="zh-CN"/>
        </w:rPr>
        <w:t>（三）</w:t>
      </w:r>
      <w:r>
        <w:rPr>
          <w:rFonts w:hint="eastAsia" w:ascii="方正楷体_GBK" w:hAnsi="方正楷体_GBK" w:eastAsia="方正楷体_GBK" w:cs="方正楷体_GBK"/>
          <w:b/>
          <w:bCs/>
          <w:sz w:val="32"/>
          <w:szCs w:val="32"/>
        </w:rPr>
        <w:t>部门开展绩效评价结果。</w:t>
      </w:r>
    </w:p>
    <w:p w14:paraId="3975CE1C">
      <w:pPr>
        <w:spacing w:line="58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年部门整体支出绩效评价情况开展自</w:t>
      </w:r>
      <w:r>
        <w:rPr>
          <w:rFonts w:hint="eastAsia" w:eastAsia="仿宋_GB2312" w:cs="Times New Roman"/>
          <w:sz w:val="32"/>
          <w:szCs w:val="32"/>
          <w:lang w:eastAsia="zh-CN"/>
        </w:rPr>
        <w:t>查</w:t>
      </w:r>
      <w:r>
        <w:rPr>
          <w:rFonts w:hint="default" w:ascii="Times New Roman" w:hAnsi="Times New Roman" w:eastAsia="仿宋_GB2312" w:cs="Times New Roman"/>
          <w:sz w:val="32"/>
          <w:szCs w:val="32"/>
        </w:rPr>
        <w:t>《攀莲镇201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年部门整体支出绩效评价报告》见附件</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w:t>
      </w:r>
    </w:p>
    <w:p w14:paraId="55F18C28">
      <w:pPr>
        <w:spacing w:line="580" w:lineRule="exact"/>
        <w:ind w:firstLine="640" w:firstLineChars="200"/>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t>本部门自行组织</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项目开展了绩效评价，《</w:t>
      </w:r>
      <w:r>
        <w:rPr>
          <w:rFonts w:hint="default" w:ascii="Times New Roman" w:hAnsi="Times New Roman" w:eastAsia="仿宋_GB2312" w:cs="Times New Roman"/>
          <w:kern w:val="0"/>
          <w:sz w:val="32"/>
          <w:szCs w:val="32"/>
        </w:rPr>
        <w:t>201</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年农村公共服务运行维护</w:t>
      </w:r>
      <w:r>
        <w:rPr>
          <w:rFonts w:hint="default" w:ascii="Times New Roman" w:hAnsi="Times New Roman" w:eastAsia="仿宋_GB2312" w:cs="Times New Roman"/>
          <w:sz w:val="32"/>
          <w:szCs w:val="32"/>
        </w:rPr>
        <w:t>项目绩效评价报告》见附件</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w:t>
      </w:r>
    </w:p>
    <w:p w14:paraId="383C06D2">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4F180D1C">
      <w:pPr>
        <w:numPr>
          <w:ilvl w:val="0"/>
          <w:numId w:val="9"/>
        </w:numPr>
        <w:spacing w:line="600" w:lineRule="exact"/>
        <w:ind w:firstLine="660" w:firstLineChars="150"/>
        <w:jc w:val="center"/>
        <w:outlineLvl w:val="0"/>
        <w:rPr>
          <w:rStyle w:val="27"/>
          <w:rFonts w:ascii="黑体" w:hAnsi="黑体" w:eastAsia="黑体"/>
          <w:b w:val="0"/>
        </w:rPr>
      </w:pPr>
      <w:bookmarkStart w:id="61" w:name="_Toc23229"/>
      <w:bookmarkStart w:id="62" w:name="_Toc15396613"/>
      <w:bookmarkStart w:id="63"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61"/>
      <w:bookmarkEnd w:id="62"/>
      <w:bookmarkEnd w:id="63"/>
    </w:p>
    <w:p w14:paraId="04DEC682">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60295023">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14:paraId="2DC8FB83">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14:paraId="6CE4B644">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4.其他收入：指单位取得的除上述收入以外的各项收入。</w:t>
      </w:r>
    </w:p>
    <w:p w14:paraId="52321CA4">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6585079C">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6.年初结转和结余：指以前年度尚未完成、结转到本年按有关规定继续使用的资金。</w:t>
      </w:r>
    </w:p>
    <w:p w14:paraId="4CA5BF4D">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7.结余分配：指事业单位按照事业单位会计制度的规定从非财政补助结余中分配的事业基金和职工福利基金等。</w:t>
      </w:r>
    </w:p>
    <w:p w14:paraId="566CBE35">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8、年末结转和结余：指单位按有关规定结转到下年或以后年度继续使用的资金。</w:t>
      </w:r>
    </w:p>
    <w:p w14:paraId="48F6507D">
      <w:pPr>
        <w:widowControl/>
        <w:ind w:firstLine="640" w:firstLineChars="20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9.一般公共服务（类）政府办公厅（室）及相关机构事务（款）行政运行（项）：指行政单位（包括实行公务员管理的事业单位）的基本支出；一般行政管理事务（项）指行政单位（包括实行公务员管理的事业单位）未单独设置项级科目的其他项目支出；事业运行（项）指事业单位的基本支出，不包括行政单位（包括实行公务员管理的事业单位）后勤服务中心、医务室等附属事业单位；其他一般公共服务支出指除上述项目以外的其他一般公共服务支出。</w:t>
      </w:r>
      <w:r>
        <w:rPr>
          <w:rFonts w:hint="default" w:ascii="Times New Roman" w:hAnsi="Times New Roman" w:eastAsia="仿宋_GB2312" w:cs="Times New Roman"/>
          <w:color w:val="000000"/>
          <w:kern w:val="0"/>
          <w:sz w:val="32"/>
          <w:szCs w:val="32"/>
        </w:rPr>
        <w:br w:type="textWrapping"/>
      </w:r>
      <w:r>
        <w:rPr>
          <w:rFonts w:hint="default" w:ascii="Times New Roman" w:hAnsi="Times New Roman" w:eastAsia="仿宋_GB2312" w:cs="Times New Roman"/>
          <w:color w:val="000000"/>
          <w:kern w:val="0"/>
          <w:sz w:val="32"/>
          <w:szCs w:val="32"/>
        </w:rPr>
        <w:t xml:space="preserve">   </w:t>
      </w:r>
      <w:r>
        <w:rPr>
          <w:rFonts w:hint="eastAsia"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10.公共安全（类）公安（款）治安管理（项）：指各级公安机关开展治安管理工作的支出，包括所属巡警队、特警队、派出所、110等方面的支出。</w:t>
      </w:r>
      <w:r>
        <w:rPr>
          <w:rFonts w:hint="default" w:ascii="Times New Roman" w:hAnsi="Times New Roman" w:eastAsia="仿宋_GB2312" w:cs="Times New Roman"/>
          <w:color w:val="000000"/>
          <w:kern w:val="0"/>
          <w:sz w:val="32"/>
          <w:szCs w:val="32"/>
        </w:rPr>
        <w:br w:type="textWrapping"/>
      </w:r>
      <w:r>
        <w:rPr>
          <w:rFonts w:hint="default" w:ascii="Times New Roman" w:hAnsi="Times New Roman" w:eastAsia="仿宋_GB2312" w:cs="Times New Roman"/>
          <w:color w:val="000000"/>
          <w:kern w:val="0"/>
          <w:sz w:val="32"/>
          <w:szCs w:val="32"/>
        </w:rPr>
        <w:t xml:space="preserve">   </w:t>
      </w:r>
      <w:r>
        <w:rPr>
          <w:rFonts w:hint="eastAsia"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11.社会保障和就业（类）行政事业单位离退休（款）未归口管理的行政单位离退休（项）：指未实行归口管理的行政单位（包括实行公务员管理的事业单位）开支的离退休支出；机关事业单位基本养老保险缴费支出（项）指机关事业单位实施养老保险制度由单位缴纳的基本养老保险费支出；机关事业单位职业年金缴费支出（项）指指机关事业单位实施养老保险制度由单位实际缴纳的职业年金支出。</w:t>
      </w:r>
      <w:r>
        <w:rPr>
          <w:rFonts w:hint="default" w:ascii="Times New Roman" w:hAnsi="Times New Roman" w:eastAsia="仿宋_GB2312" w:cs="Times New Roman"/>
          <w:color w:val="000000"/>
          <w:kern w:val="0"/>
          <w:sz w:val="32"/>
          <w:szCs w:val="32"/>
        </w:rPr>
        <w:br w:type="textWrapping"/>
      </w:r>
      <w:r>
        <w:rPr>
          <w:rFonts w:hint="eastAsia"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12.城乡社区（类）国有土地使用权出让收入及对应专项债务收入安排的支出（款）征地和拆迁补偿支出（项）指地方人民政府在征地和收购土地过程中支付的土地赔偿费、安置补助费、地上附着和青苗补偿费、拆迁补偿费支出。</w:t>
      </w:r>
      <w:r>
        <w:rPr>
          <w:rFonts w:hint="default" w:ascii="Times New Roman" w:hAnsi="Times New Roman" w:eastAsia="仿宋_GB2312" w:cs="Times New Roman"/>
          <w:color w:val="000000"/>
          <w:kern w:val="0"/>
          <w:sz w:val="32"/>
          <w:szCs w:val="32"/>
        </w:rPr>
        <w:br w:type="textWrapping"/>
      </w:r>
      <w:r>
        <w:rPr>
          <w:rFonts w:hint="default" w:ascii="Times New Roman" w:hAnsi="Times New Roman" w:eastAsia="仿宋_GB2312" w:cs="Times New Roman"/>
          <w:color w:val="000000"/>
          <w:kern w:val="0"/>
          <w:sz w:val="32"/>
          <w:szCs w:val="32"/>
        </w:rPr>
        <w:t>     城乡社区（类）国有土地使用权出让收入及对应专项债务收入安排的支出（款）补助被征地农民支出（项）指土地出让收入用于补助被征地农民社会保障支出以及保持被征地农民原有生活水平支出。</w:t>
      </w:r>
      <w:r>
        <w:rPr>
          <w:rFonts w:hint="default" w:ascii="Times New Roman" w:hAnsi="Times New Roman" w:eastAsia="仿宋_GB2312" w:cs="Times New Roman"/>
          <w:color w:val="000000"/>
          <w:kern w:val="0"/>
          <w:sz w:val="32"/>
          <w:szCs w:val="32"/>
        </w:rPr>
        <w:br w:type="textWrapping"/>
      </w:r>
      <w:r>
        <w:rPr>
          <w:rFonts w:hint="default" w:ascii="Times New Roman" w:hAnsi="Times New Roman" w:eastAsia="仿宋_GB2312" w:cs="Times New Roman"/>
          <w:color w:val="000000"/>
          <w:kern w:val="0"/>
          <w:sz w:val="32"/>
          <w:szCs w:val="32"/>
        </w:rPr>
        <w:t xml:space="preserve">  </w:t>
      </w:r>
      <w:r>
        <w:rPr>
          <w:rFonts w:hint="eastAsia"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13.农林水（类）农业（款）农业生产支持补贴（项）：指对种粮农民直接补贴，对农业生产资料补贴、技术物化补贴，推广先进适用农技农艺技术等方面支出；对高校毕业生到基层任职补助（项）指按规定对高校毕业生到基层任职的补助支出。</w:t>
      </w:r>
      <w:r>
        <w:rPr>
          <w:rFonts w:hint="default" w:ascii="Times New Roman" w:hAnsi="Times New Roman" w:eastAsia="仿宋_GB2312" w:cs="Times New Roman"/>
          <w:color w:val="000000"/>
          <w:kern w:val="0"/>
          <w:sz w:val="32"/>
          <w:szCs w:val="32"/>
        </w:rPr>
        <w:br w:type="textWrapping"/>
      </w:r>
      <w:r>
        <w:rPr>
          <w:rFonts w:hint="default" w:ascii="Times New Roman" w:hAnsi="Times New Roman" w:eastAsia="仿宋_GB2312" w:cs="Times New Roman"/>
          <w:color w:val="000000"/>
          <w:kern w:val="0"/>
          <w:sz w:val="32"/>
          <w:szCs w:val="32"/>
        </w:rPr>
        <w:t>      14.住房保障（类）住房改革支出（款）住房公积金（项）：指行政事业单位按人力资源和社会保障部、财政部规定的基本工资和津贴补贴以及规定比例为职工缴纳的住房公积金。</w:t>
      </w:r>
    </w:p>
    <w:p w14:paraId="44DD53E6">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15.基本支出：指为保障机构正常运转、完成日常工作任务而发生的人员支出和公用支出。</w:t>
      </w:r>
    </w:p>
    <w:p w14:paraId="4DC43F33">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16.项目支出：指在基本支出之外为完成特定行政任务和事业发展目标所发生的支出。</w:t>
      </w:r>
    </w:p>
    <w:p w14:paraId="735F7B04">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17.经营支出：指事业单位在专业业务活动及其辅助活动之外开展非独立核算经营活动发生的支出。</w:t>
      </w:r>
    </w:p>
    <w:p w14:paraId="1AE97FD6">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434E2DA">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2B4E23">
      <w:pPr>
        <w:pStyle w:val="25"/>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20.固定资产：企业生产经营过程中的重要劳动资料。它能够在若干个生产经营周期中发挥作用，并保持其原有的实物形态，但其价值则由于损耗而逐渐减少。</w:t>
      </w:r>
    </w:p>
    <w:p w14:paraId="318A78FE">
      <w:pPr>
        <w:pStyle w:val="25"/>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21.固定资产折旧：指固定资产由于损耗而减少的价值。 固定资产损耗分为有形损耗和无形损耗两种。</w:t>
      </w:r>
    </w:p>
    <w:p w14:paraId="12FDC4F9">
      <w:pPr>
        <w:pStyle w:val="25"/>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固定资产清理：在固定资产出售或者不能继续使用而报废时对固定资产进行的处置 固定资产报废：由于使用期限已满不再继续使用而形成的正常报废，或由于折旧年限估计不准确或非正常原因造成的提前报废。 </w:t>
      </w:r>
    </w:p>
    <w:p w14:paraId="1ADAF0F8">
      <w:pPr>
        <w:pStyle w:val="25"/>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23.其他交通费用：除公务用车运行维护费以外的其他交通费用。如飞机、船舶等的燃料费、维修费、过桥过路费、保险费、出租车费用、公务交通补贴等。</w:t>
      </w:r>
    </w:p>
    <w:p w14:paraId="1003D5C5">
      <w:pPr>
        <w:pStyle w:val="25"/>
        <w:spacing w:line="560" w:lineRule="exact"/>
        <w:ind w:firstLine="640" w:firstLineChars="200"/>
        <w:rPr>
          <w:rFonts w:hint="default" w:ascii="Times New Roman" w:hAnsi="Times New Roman" w:eastAsia="仿宋_GB2312" w:cs="Times New Roman"/>
          <w:sz w:val="32"/>
          <w:szCs w:val="32"/>
        </w:rPr>
      </w:pPr>
    </w:p>
    <w:p w14:paraId="1769E600">
      <w:pPr>
        <w:pStyle w:val="6"/>
      </w:pPr>
    </w:p>
    <w:p w14:paraId="67CBA599">
      <w:pPr>
        <w:spacing w:line="600" w:lineRule="exact"/>
        <w:jc w:val="left"/>
        <w:rPr>
          <w:rFonts w:ascii="宋体"/>
          <w:b/>
          <w:color w:val="000000"/>
          <w:sz w:val="44"/>
          <w:szCs w:val="44"/>
        </w:rPr>
      </w:pPr>
    </w:p>
    <w:p w14:paraId="11CF5B8B">
      <w:pPr>
        <w:spacing w:line="600" w:lineRule="exact"/>
        <w:jc w:val="center"/>
        <w:outlineLvl w:val="0"/>
        <w:rPr>
          <w:rStyle w:val="27"/>
          <w:rFonts w:hint="eastAsia" w:ascii="仿宋_GB2312" w:hAnsi="仿宋_GB2312" w:eastAsia="仿宋_GB2312" w:cs="仿宋_GB2312"/>
          <w:b w:val="0"/>
          <w:sz w:val="32"/>
          <w:szCs w:val="32"/>
        </w:rPr>
      </w:pPr>
      <w:bookmarkStart w:id="64" w:name="_Toc15377226"/>
      <w:r>
        <w:rPr>
          <w:rFonts w:ascii="宋体"/>
          <w:b/>
          <w:color w:val="000000"/>
          <w:sz w:val="44"/>
          <w:szCs w:val="44"/>
        </w:rPr>
        <w:br w:type="page"/>
      </w:r>
      <w:bookmarkStart w:id="65" w:name="_Toc26848"/>
      <w:bookmarkStart w:id="66" w:name="_Toc15396614"/>
      <w:r>
        <w:rPr>
          <w:rFonts w:hint="eastAsia" w:ascii="黑体" w:hAnsi="黑体" w:eastAsia="黑体" w:cs="黑体"/>
          <w:color w:val="000000"/>
          <w:sz w:val="32"/>
          <w:szCs w:val="32"/>
        </w:rPr>
        <w:t>第</w:t>
      </w:r>
      <w:r>
        <w:rPr>
          <w:rStyle w:val="27"/>
          <w:rFonts w:hint="eastAsia" w:ascii="黑体" w:hAnsi="黑体" w:eastAsia="黑体" w:cs="黑体"/>
          <w:b w:val="0"/>
          <w:sz w:val="32"/>
          <w:szCs w:val="32"/>
        </w:rPr>
        <w:t>四部分 附件</w:t>
      </w:r>
      <w:bookmarkEnd w:id="65"/>
      <w:bookmarkEnd w:id="66"/>
    </w:p>
    <w:p w14:paraId="7193CE65">
      <w:pPr>
        <w:spacing w:line="600" w:lineRule="exact"/>
        <w:jc w:val="left"/>
        <w:outlineLvl w:val="0"/>
        <w:rPr>
          <w:rFonts w:hint="eastAsia" w:ascii="仿宋_GB2312" w:hAnsi="仿宋_GB2312" w:eastAsia="仿宋_GB2312" w:cs="仿宋_GB2312"/>
          <w:sz w:val="32"/>
          <w:szCs w:val="32"/>
        </w:rPr>
      </w:pPr>
      <w:bookmarkStart w:id="67" w:name="_Toc13330"/>
      <w:r>
        <w:rPr>
          <w:rFonts w:hint="eastAsia" w:ascii="仿宋_GB2312" w:hAnsi="仿宋_GB2312" w:eastAsia="仿宋_GB2312" w:cs="仿宋_GB2312"/>
          <w:sz w:val="32"/>
          <w:szCs w:val="32"/>
        </w:rPr>
        <w:t>附件1</w:t>
      </w:r>
      <w:bookmarkEnd w:id="67"/>
    </w:p>
    <w:p w14:paraId="68AEAEC4">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米易县</w:t>
      </w:r>
      <w:r>
        <w:rPr>
          <w:rFonts w:hint="eastAsia" w:ascii="仿宋_GB2312" w:hAnsi="仿宋_GB2312" w:eastAsia="仿宋_GB2312" w:cs="仿宋_GB2312"/>
          <w:b/>
          <w:bCs/>
          <w:sz w:val="32"/>
          <w:szCs w:val="32"/>
          <w:lang w:eastAsia="zh-CN"/>
        </w:rPr>
        <w:t>攀莲</w:t>
      </w:r>
      <w:r>
        <w:rPr>
          <w:rFonts w:hint="eastAsia" w:ascii="仿宋_GB2312" w:hAnsi="仿宋_GB2312" w:eastAsia="仿宋_GB2312" w:cs="仿宋_GB2312"/>
          <w:b/>
          <w:bCs/>
          <w:sz w:val="32"/>
          <w:szCs w:val="32"/>
        </w:rPr>
        <w:t>镇人民政府部门支出绩效评价自评报告</w:t>
      </w:r>
    </w:p>
    <w:p w14:paraId="6DDB1869">
      <w:pPr>
        <w:ind w:right="420" w:rightChars="200" w:firstLine="640"/>
        <w:rPr>
          <w:rFonts w:hint="eastAsia" w:ascii="仿宋_GB2312" w:hAnsi="仿宋_GB2312" w:eastAsia="仿宋_GB2312" w:cs="仿宋_GB2312"/>
          <w:color w:val="000000"/>
          <w:kern w:val="0"/>
          <w:sz w:val="32"/>
          <w:szCs w:val="32"/>
        </w:rPr>
      </w:pPr>
    </w:p>
    <w:p w14:paraId="40A026D5">
      <w:pPr>
        <w:ind w:right="420" w:rightChars="200" w:firstLine="64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部门（单位）概况</w:t>
      </w:r>
    </w:p>
    <w:p w14:paraId="28BB4EC5">
      <w:pPr>
        <w:ind w:right="420" w:rightChars="200" w:firstLine="640"/>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lang w:val="zh-CN"/>
        </w:rPr>
        <w:t>机构组成：</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莲镇幅员面积1</w:t>
      </w:r>
      <w:r>
        <w:rPr>
          <w:rFonts w:hint="eastAsia" w:ascii="仿宋_GB2312" w:hAnsi="仿宋_GB2312" w:eastAsia="仿宋_GB2312" w:cs="仿宋_GB2312"/>
          <w:color w:val="auto"/>
          <w:sz w:val="32"/>
          <w:szCs w:val="32"/>
          <w:lang w:val="en-US" w:eastAsia="zh-CN"/>
        </w:rPr>
        <w:t>78</w:t>
      </w:r>
      <w:r>
        <w:rPr>
          <w:rFonts w:hint="eastAsia" w:ascii="仿宋_GB2312" w:hAnsi="仿宋_GB2312" w:eastAsia="仿宋_GB2312" w:cs="仿宋_GB2312"/>
          <w:color w:val="auto"/>
          <w:sz w:val="32"/>
          <w:szCs w:val="32"/>
        </w:rPr>
        <w:t>平方公里，辖</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个行政村、</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个村民小组和</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个社区居委会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lang w:val="zh-CN"/>
        </w:rPr>
        <w:t>财政全额拨款行政单位1个，独立核算机构数1个。</w:t>
      </w:r>
    </w:p>
    <w:p w14:paraId="205B3E0F">
      <w:pPr>
        <w:ind w:right="420" w:rightChars="200" w:firstLine="640"/>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zh-CN"/>
        </w:rPr>
        <w:t>机构职能：</w:t>
      </w:r>
    </w:p>
    <w:p w14:paraId="5A8F0A1E">
      <w:pPr>
        <w:spacing w:line="0" w:lineRule="atLeast"/>
        <w:ind w:right="420" w:rightChars="200" w:firstLine="8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贯彻执行《中华人民共和国会计法》、《中华人民共和国预算法》、《会计基础工作规范》、《会计电算化工作规范》及相关法律、法规。</w:t>
      </w:r>
    </w:p>
    <w:p w14:paraId="6A89B112">
      <w:pPr>
        <w:widowControl/>
        <w:spacing w:line="580" w:lineRule="exact"/>
        <w:ind w:firstLine="800" w:firstLineChars="25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2</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bidi="ar"/>
        </w:rPr>
        <w:t>基本职能</w:t>
      </w:r>
    </w:p>
    <w:p w14:paraId="1B7FAFBE">
      <w:pPr>
        <w:widowControl/>
        <w:spacing w:line="580" w:lineRule="exact"/>
        <w:ind w:firstLine="643"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bidi="ar"/>
        </w:rPr>
        <w:t>（1）落实政策。</w:t>
      </w:r>
      <w:r>
        <w:rPr>
          <w:rFonts w:hint="eastAsia" w:ascii="仿宋_GB2312" w:hAnsi="仿宋_GB2312" w:eastAsia="仿宋_GB2312" w:cs="仿宋_GB2312"/>
          <w:color w:val="auto"/>
          <w:kern w:val="0"/>
          <w:sz w:val="32"/>
          <w:szCs w:val="32"/>
          <w:lang w:bidi="ar"/>
        </w:rPr>
        <w:t>宣传、落实好党的路线、方针、政策和国家的法律、法规，稳定农村基本经济制度，坚持依法行政，推进政务公开，加强对村民委员会的指导，提高、培育村民委员会自治能力。</w:t>
      </w:r>
    </w:p>
    <w:p w14:paraId="18DCA03F">
      <w:pPr>
        <w:widowControl/>
        <w:spacing w:line="580" w:lineRule="exact"/>
        <w:ind w:firstLine="643"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bidi="ar"/>
        </w:rPr>
        <w:t>（2）促进发展。</w:t>
      </w:r>
      <w:r>
        <w:rPr>
          <w:rFonts w:hint="eastAsia" w:ascii="仿宋_GB2312" w:hAnsi="仿宋_GB2312" w:eastAsia="仿宋_GB2312" w:cs="仿宋_GB2312"/>
          <w:color w:val="auto"/>
          <w:kern w:val="0"/>
          <w:sz w:val="32"/>
          <w:szCs w:val="32"/>
          <w:lang w:bidi="ar"/>
        </w:rPr>
        <w:t>科学制订发展规划，营造农村经济发展环境，加强农村市场监督，培育、提升市场功能，搞活市场流通，推广农业技术，完善农业社会化服务体系，引导农民发展现代化农业，调整产业结构，加强农村劳动力技能培训，引导农村劳动力转移和就业，不断提高社会主义新农村建设水平。</w:t>
      </w:r>
    </w:p>
    <w:p w14:paraId="2E22F294">
      <w:pPr>
        <w:widowControl/>
        <w:spacing w:line="580" w:lineRule="exact"/>
        <w:ind w:firstLine="643"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bidi="ar"/>
        </w:rPr>
        <w:t>（3）维护稳定。</w:t>
      </w:r>
      <w:r>
        <w:rPr>
          <w:rFonts w:hint="eastAsia" w:ascii="仿宋_GB2312" w:hAnsi="仿宋_GB2312" w:eastAsia="仿宋_GB2312" w:cs="仿宋_GB2312"/>
          <w:color w:val="auto"/>
          <w:kern w:val="0"/>
          <w:sz w:val="32"/>
          <w:szCs w:val="32"/>
          <w:lang w:bidi="ar"/>
        </w:rPr>
        <w:t>要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w:t>
      </w:r>
    </w:p>
    <w:p w14:paraId="28F13596">
      <w:pPr>
        <w:widowControl/>
        <w:spacing w:line="580" w:lineRule="exact"/>
        <w:ind w:firstLine="643"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bidi="ar"/>
        </w:rPr>
        <w:t>（4）加强管理。</w:t>
      </w:r>
      <w:r>
        <w:rPr>
          <w:rFonts w:hint="eastAsia" w:ascii="仿宋_GB2312" w:hAnsi="仿宋_GB2312" w:eastAsia="仿宋_GB2312" w:cs="仿宋_GB2312"/>
          <w:color w:val="auto"/>
          <w:kern w:val="0"/>
          <w:sz w:val="32"/>
          <w:szCs w:val="32"/>
          <w:lang w:bidi="ar"/>
        </w:rPr>
        <w:t>加强民政、教育、科技、文化、卫生、计划生育、安全生产、劳动保障和乡村规划等社会管理，加强社会主义精神文明建设，做好防灾减灾工作，加强环境保护，努力改善农村人居环境，不断提高农村人口素质和农民生活质量。</w:t>
      </w:r>
    </w:p>
    <w:p w14:paraId="72FCCA55">
      <w:pPr>
        <w:widowControl/>
        <w:spacing w:line="580" w:lineRule="exact"/>
        <w:ind w:firstLine="643" w:firstLineChars="200"/>
        <w:jc w:val="lef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lang w:bidi="ar"/>
        </w:rPr>
        <w:t>（5）提供服务。</w:t>
      </w:r>
      <w:r>
        <w:rPr>
          <w:rFonts w:hint="eastAsia" w:ascii="仿宋_GB2312" w:hAnsi="仿宋_GB2312" w:eastAsia="仿宋_GB2312" w:cs="仿宋_GB2312"/>
          <w:color w:val="auto"/>
          <w:kern w:val="0"/>
          <w:sz w:val="32"/>
          <w:szCs w:val="32"/>
          <w:lang w:bidi="ar"/>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人民群众的关系。</w:t>
      </w:r>
    </w:p>
    <w:p w14:paraId="7A3447D4">
      <w:pPr>
        <w:widowControl/>
        <w:snapToGrid w:val="0"/>
        <w:spacing w:line="56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二、基本情况</w:t>
      </w:r>
    </w:p>
    <w:p w14:paraId="76A0E63B">
      <w:pPr>
        <w:pStyle w:val="14"/>
        <w:shd w:val="clear" w:color="auto" w:fill="FFFFFF"/>
        <w:spacing w:line="560" w:lineRule="exact"/>
        <w:ind w:firstLine="480" w:firstLineChars="15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w:t>
      </w:r>
      <w:r>
        <w:rPr>
          <w:rFonts w:hint="eastAsia" w:ascii="仿宋_GB2312" w:hAnsi="仿宋_GB2312" w:eastAsia="仿宋_GB2312" w:cs="仿宋_GB2312"/>
          <w:color w:val="auto"/>
          <w:sz w:val="32"/>
          <w:szCs w:val="32"/>
          <w:shd w:val="clear" w:color="auto" w:fill="FFFFFF"/>
          <w:lang w:eastAsia="zh-CN"/>
        </w:rPr>
        <w:t>单位人员编制、实有人数情况</w:t>
      </w:r>
      <w:r>
        <w:rPr>
          <w:rFonts w:hint="eastAsia" w:ascii="仿宋_GB2312" w:hAnsi="仿宋_GB2312" w:eastAsia="仿宋_GB2312" w:cs="仿宋_GB2312"/>
          <w:color w:val="auto"/>
          <w:sz w:val="32"/>
          <w:szCs w:val="32"/>
          <w:shd w:val="clear" w:color="auto" w:fill="FFFFFF"/>
        </w:rPr>
        <w:t>：</w:t>
      </w:r>
    </w:p>
    <w:p w14:paraId="08896E24">
      <w:pPr>
        <w:keepNext w:val="0"/>
        <w:keepLines w:val="0"/>
        <w:widowControl/>
        <w:suppressLineNumbers w:val="0"/>
        <w:spacing w:before="0" w:beforeAutospacing="0" w:after="0" w:afterAutospacing="0" w:line="580" w:lineRule="atLeast"/>
        <w:ind w:left="0" w:right="0" w:firstLine="640"/>
        <w:jc w:val="left"/>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乡（镇）</w:t>
      </w:r>
      <w:r>
        <w:rPr>
          <w:rFonts w:hint="eastAsia" w:ascii="仿宋_GB2312" w:hAnsi="仿宋_GB2312" w:eastAsia="仿宋_GB2312" w:cs="仿宋_GB2312"/>
          <w:color w:val="auto"/>
          <w:sz w:val="32"/>
          <w:szCs w:val="32"/>
          <w:shd w:val="clear" w:color="auto" w:fill="FFFFFF"/>
          <w:lang w:eastAsia="zh-CN"/>
        </w:rPr>
        <w:t>机构设置及</w:t>
      </w:r>
      <w:r>
        <w:rPr>
          <w:rFonts w:hint="eastAsia" w:ascii="仿宋_GB2312" w:hAnsi="仿宋_GB2312" w:eastAsia="仿宋_GB2312" w:cs="仿宋_GB2312"/>
          <w:color w:val="auto"/>
          <w:sz w:val="32"/>
          <w:szCs w:val="32"/>
          <w:shd w:val="clear" w:color="auto" w:fill="FFFFFF"/>
        </w:rPr>
        <w:t>人员情况</w:t>
      </w:r>
      <w:r>
        <w:rPr>
          <w:rFonts w:hint="eastAsia" w:ascii="仿宋_GB2312" w:hAnsi="仿宋_GB2312" w:eastAsia="仿宋_GB2312" w:cs="仿宋_GB2312"/>
          <w:color w:val="auto"/>
          <w:kern w:val="0"/>
          <w:sz w:val="32"/>
          <w:szCs w:val="32"/>
          <w:lang w:val="zh-CN"/>
        </w:rPr>
        <w:t>：</w:t>
      </w:r>
      <w:r>
        <w:rPr>
          <w:rFonts w:hint="eastAsia" w:ascii="仿宋_GB2312" w:hAnsi="仿宋_GB2312" w:eastAsia="仿宋_GB2312" w:cs="仿宋_GB2312"/>
          <w:color w:val="auto"/>
          <w:sz w:val="32"/>
          <w:szCs w:val="32"/>
          <w:shd w:val="clear" w:color="auto" w:fill="FFFFFF"/>
          <w:lang w:eastAsia="zh-CN"/>
        </w:rPr>
        <w:t>我镇按机构改革“三定方案”设置了五大办公室</w:t>
      </w:r>
      <w:r>
        <w:rPr>
          <w:rFonts w:hint="eastAsia" w:ascii="仿宋_GB2312" w:hAnsi="仿宋_GB2312" w:eastAsia="仿宋_GB2312" w:cs="仿宋_GB2312"/>
          <w:color w:val="auto"/>
          <w:sz w:val="32"/>
          <w:szCs w:val="32"/>
          <w:shd w:val="clear" w:color="auto" w:fill="FFFFFF"/>
          <w:lang w:val="en-US" w:eastAsia="zh-CN"/>
        </w:rPr>
        <w:t>2个中心</w:t>
      </w:r>
      <w:r>
        <w:rPr>
          <w:rFonts w:hint="eastAsia" w:ascii="仿宋_GB2312" w:hAnsi="仿宋_GB2312" w:eastAsia="仿宋_GB2312" w:cs="仿宋_GB2312"/>
          <w:color w:val="auto"/>
          <w:sz w:val="32"/>
          <w:szCs w:val="32"/>
          <w:shd w:val="clear" w:color="auto" w:fill="FFFFFF"/>
          <w:lang w:eastAsia="zh-CN"/>
        </w:rPr>
        <w:t>：即党政办，财政所、安监所、社会事务办，经济办。</w:t>
      </w:r>
      <w:r>
        <w:rPr>
          <w:rFonts w:hint="eastAsia" w:ascii="仿宋_GB2312" w:hAnsi="仿宋_GB2312" w:eastAsia="仿宋_GB2312" w:cs="仿宋_GB2312"/>
          <w:color w:val="auto"/>
          <w:sz w:val="32"/>
          <w:szCs w:val="32"/>
          <w:shd w:val="clear" w:color="auto" w:fill="FFFFFF"/>
          <w:lang w:val="en-US" w:eastAsia="zh-CN"/>
        </w:rPr>
        <w:t>2个中心：</w:t>
      </w:r>
      <w:r>
        <w:rPr>
          <w:rFonts w:hint="eastAsia" w:ascii="仿宋_GB2312" w:hAnsi="仿宋_GB2312" w:eastAsia="仿宋_GB2312" w:cs="仿宋_GB2312"/>
          <w:color w:val="auto"/>
          <w:sz w:val="32"/>
          <w:szCs w:val="32"/>
          <w:shd w:val="clear" w:color="auto" w:fill="FFFFFF"/>
          <w:lang w:eastAsia="zh-CN"/>
        </w:rPr>
        <w:t>农业综合服务中心，便民服务中心。</w:t>
      </w:r>
    </w:p>
    <w:p w14:paraId="346DC0AF">
      <w:pPr>
        <w:widowControl/>
        <w:spacing w:line="580" w:lineRule="atLeast"/>
        <w:ind w:firstLine="640" w:firstLineChars="200"/>
        <w:jc w:val="left"/>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t>我镇</w:t>
      </w:r>
      <w:r>
        <w:rPr>
          <w:rFonts w:hint="eastAsia" w:ascii="仿宋_GB2312" w:hAnsi="仿宋_GB2312" w:eastAsia="仿宋_GB2312" w:cs="仿宋_GB2312"/>
          <w:color w:val="auto"/>
          <w:sz w:val="32"/>
          <w:szCs w:val="32"/>
          <w:shd w:val="clear" w:color="auto" w:fill="FFFFFF"/>
        </w:rPr>
        <w:t>（镇）总编制82人。行政编制35人</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行政工勤编制3人;事业编制44人，</w:t>
      </w:r>
    </w:p>
    <w:p w14:paraId="44F3AB1F">
      <w:pPr>
        <w:keepNext w:val="0"/>
        <w:keepLines w:val="0"/>
        <w:pageBreakBefore w:val="0"/>
        <w:numPr>
          <w:ilvl w:val="0"/>
          <w:numId w:val="1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乡（镇）资产情况：</w:t>
      </w:r>
      <w:r>
        <w:rPr>
          <w:rFonts w:hint="eastAsia" w:ascii="仿宋_GB2312" w:hAnsi="仿宋_GB2312" w:eastAsia="仿宋_GB2312" w:cs="仿宋_GB2312"/>
          <w:color w:val="auto"/>
          <w:sz w:val="32"/>
          <w:szCs w:val="32"/>
          <w:shd w:val="clear" w:color="auto" w:fill="FFFFFF"/>
          <w:lang w:val="en-US" w:eastAsia="zh-CN"/>
        </w:rPr>
        <w:t>2019年末</w:t>
      </w:r>
      <w:r>
        <w:rPr>
          <w:rFonts w:hint="eastAsia" w:ascii="仿宋_GB2312" w:hAnsi="仿宋_GB2312" w:eastAsia="仿宋_GB2312" w:cs="仿宋_GB2312"/>
          <w:color w:val="auto"/>
          <w:sz w:val="32"/>
          <w:szCs w:val="32"/>
          <w:shd w:val="clear" w:color="auto" w:fill="FFFFFF"/>
        </w:rPr>
        <w:t>资产总额为</w:t>
      </w:r>
      <w:r>
        <w:rPr>
          <w:rFonts w:hint="eastAsia" w:ascii="仿宋_GB2312" w:hAnsi="仿宋_GB2312" w:eastAsia="仿宋_GB2312" w:cs="仿宋_GB2312"/>
          <w:color w:val="auto"/>
          <w:sz w:val="32"/>
          <w:szCs w:val="32"/>
          <w:shd w:val="clear" w:color="auto" w:fill="FFFFFF"/>
          <w:lang w:val="en-US" w:eastAsia="zh-CN"/>
        </w:rPr>
        <w:t>27480.42</w:t>
      </w:r>
      <w:r>
        <w:rPr>
          <w:rFonts w:hint="eastAsia" w:ascii="仿宋_GB2312" w:hAnsi="仿宋_GB2312" w:eastAsia="仿宋_GB2312" w:cs="仿宋_GB2312"/>
          <w:color w:val="auto"/>
          <w:sz w:val="32"/>
          <w:szCs w:val="32"/>
          <w:shd w:val="clear" w:color="auto" w:fill="FFFFFF"/>
        </w:rPr>
        <w:t>万元，其中流动资产</w:t>
      </w:r>
      <w:r>
        <w:rPr>
          <w:rFonts w:hint="eastAsia" w:ascii="仿宋_GB2312" w:hAnsi="仿宋_GB2312" w:eastAsia="仿宋_GB2312" w:cs="仿宋_GB2312"/>
          <w:color w:val="auto"/>
          <w:sz w:val="32"/>
          <w:szCs w:val="32"/>
          <w:shd w:val="clear" w:color="auto" w:fill="FFFFFF"/>
          <w:lang w:val="en-US" w:eastAsia="zh-CN"/>
        </w:rPr>
        <w:t>26937.32</w:t>
      </w:r>
      <w:r>
        <w:rPr>
          <w:rFonts w:hint="eastAsia" w:ascii="仿宋_GB2312" w:hAnsi="仿宋_GB2312" w:eastAsia="仿宋_GB2312" w:cs="仿宋_GB2312"/>
          <w:color w:val="auto"/>
          <w:sz w:val="32"/>
          <w:szCs w:val="32"/>
          <w:shd w:val="clear" w:color="auto" w:fill="FFFFFF"/>
        </w:rPr>
        <w:t>万元，固定资产</w:t>
      </w:r>
      <w:r>
        <w:rPr>
          <w:rFonts w:hint="eastAsia" w:ascii="仿宋_GB2312" w:hAnsi="仿宋_GB2312" w:eastAsia="仿宋_GB2312" w:cs="仿宋_GB2312"/>
          <w:color w:val="auto"/>
          <w:sz w:val="32"/>
          <w:szCs w:val="32"/>
          <w:shd w:val="clear" w:color="auto" w:fill="FFFFFF"/>
          <w:lang w:val="en-US" w:eastAsia="zh-CN"/>
        </w:rPr>
        <w:t>543.10</w:t>
      </w:r>
      <w:r>
        <w:rPr>
          <w:rFonts w:hint="eastAsia" w:ascii="仿宋_GB2312" w:hAnsi="仿宋_GB2312" w:eastAsia="仿宋_GB2312" w:cs="仿宋_GB2312"/>
          <w:color w:val="auto"/>
          <w:sz w:val="32"/>
          <w:szCs w:val="32"/>
          <w:shd w:val="clear" w:color="auto" w:fill="FFFFFF"/>
        </w:rPr>
        <w:t>万元。乡（镇）实有汽车4辆，编办和财政乡（镇）核定的编制数为 5辆</w:t>
      </w:r>
      <w:r>
        <w:rPr>
          <w:rFonts w:hint="eastAsia" w:ascii="仿宋_GB2312" w:hAnsi="仿宋_GB2312" w:eastAsia="仿宋_GB2312" w:cs="仿宋_GB2312"/>
          <w:color w:val="auto"/>
          <w:sz w:val="32"/>
          <w:szCs w:val="32"/>
          <w:shd w:val="clear" w:color="auto" w:fill="FFFFFF"/>
          <w:lang w:eastAsia="zh-CN"/>
        </w:rPr>
        <w:t>。</w:t>
      </w:r>
    </w:p>
    <w:p w14:paraId="0C001B86">
      <w:pPr>
        <w:keepNext w:val="0"/>
        <w:keepLines w:val="0"/>
        <w:pageBreakBefore w:val="0"/>
        <w:widowControl w:val="0"/>
        <w:numPr>
          <w:ilvl w:val="0"/>
          <w:numId w:val="11"/>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部门财政资金收支情况</w:t>
      </w:r>
    </w:p>
    <w:p w14:paraId="7BAD2518">
      <w:pPr>
        <w:keepNext w:val="0"/>
        <w:keepLines w:val="0"/>
        <w:pageBreakBefore w:val="0"/>
        <w:widowControl w:val="0"/>
        <w:numPr>
          <w:ilvl w:val="0"/>
          <w:numId w:val="12"/>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收入情况</w:t>
      </w:r>
    </w:p>
    <w:p w14:paraId="1EC9CC10">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年攀莲镇人民政府收入决算总额为23433.05万元，其中：一般公共预算财政拨款收入1734.9万元，占</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%；政府性基金预算财政拨款收入21698.15万元，占92.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%；国有资本经营预算财政拨款收入0万元，占0%；事业收入0万元，占0%；经营收入0万元，占0%；附属单位上缴收入0万元，占0%；其他收入0万元，占0%。</w:t>
      </w:r>
    </w:p>
    <w:p w14:paraId="2AC7F708">
      <w:pPr>
        <w:keepNext w:val="0"/>
        <w:keepLines w:val="0"/>
        <w:pageBreakBefore w:val="0"/>
        <w:widowControl w:val="0"/>
        <w:numPr>
          <w:ilvl w:val="0"/>
          <w:numId w:val="13"/>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支出情况</w:t>
      </w:r>
    </w:p>
    <w:p w14:paraId="3FF20C25">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年攀莲镇人民政府支出决算总额为22305.74万元，其中：基本支出1267万元，占5.</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%；项目支出21038.74万元，占94.</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%；上缴上级支出0万元，占0%；经营支出0万元，占0%；对附属单位补助支出0万元，占0%。</w:t>
      </w:r>
    </w:p>
    <w:p w14:paraId="1BA3C915">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一般公共服务支出</w:t>
      </w:r>
      <w:r>
        <w:rPr>
          <w:rFonts w:hint="eastAsia" w:ascii="仿宋_GB2312" w:hAnsi="仿宋_GB2312" w:eastAsia="仿宋_GB2312" w:cs="仿宋_GB2312"/>
          <w:color w:val="auto"/>
          <w:sz w:val="32"/>
          <w:szCs w:val="32"/>
          <w:lang w:val="en-US" w:eastAsia="zh-CN"/>
        </w:rPr>
        <w:t>993.23</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shd w:val="clear" w:color="auto" w:fill="FFFFFF"/>
        </w:rPr>
        <w:t>机关及下属事业单位人员工资、日常运转以及为完成特定行政工作任务和事业发展目标而安排的年度项目支出</w:t>
      </w:r>
      <w:r>
        <w:rPr>
          <w:rFonts w:hint="eastAsia" w:ascii="仿宋_GB2312" w:hAnsi="仿宋_GB2312" w:eastAsia="仿宋_GB2312" w:cs="仿宋_GB2312"/>
          <w:color w:val="auto"/>
          <w:sz w:val="32"/>
          <w:szCs w:val="32"/>
        </w:rPr>
        <w:t>。</w:t>
      </w:r>
    </w:p>
    <w:p w14:paraId="2D9762AD">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社会保障和就业</w:t>
      </w:r>
      <w:r>
        <w:rPr>
          <w:rFonts w:hint="eastAsia" w:ascii="仿宋_GB2312" w:hAnsi="仿宋_GB2312" w:eastAsia="仿宋_GB2312" w:cs="仿宋_GB2312"/>
          <w:color w:val="auto"/>
          <w:sz w:val="32"/>
          <w:szCs w:val="32"/>
          <w:lang w:val="en-US" w:eastAsia="zh-CN"/>
        </w:rPr>
        <w:t>333.95</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shd w:val="clear" w:color="auto" w:fill="FFFFFF"/>
        </w:rPr>
        <w:t>用于单位离退休人员支出、抚恤及自然灾害生活救助</w:t>
      </w:r>
      <w:r>
        <w:rPr>
          <w:rFonts w:hint="eastAsia" w:ascii="仿宋_GB2312" w:hAnsi="仿宋_GB2312" w:eastAsia="仿宋_GB2312" w:cs="仿宋_GB2312"/>
          <w:color w:val="auto"/>
          <w:sz w:val="32"/>
          <w:szCs w:val="32"/>
        </w:rPr>
        <w:t>。</w:t>
      </w:r>
    </w:p>
    <w:p w14:paraId="316A423A">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农林水支出</w:t>
      </w:r>
      <w:r>
        <w:rPr>
          <w:rFonts w:hint="eastAsia" w:ascii="仿宋_GB2312" w:hAnsi="仿宋_GB2312" w:eastAsia="仿宋_GB2312" w:cs="仿宋_GB2312"/>
          <w:color w:val="auto"/>
          <w:sz w:val="32"/>
          <w:szCs w:val="32"/>
          <w:lang w:val="en-US" w:eastAsia="zh-CN"/>
        </w:rPr>
        <w:t>227.60</w:t>
      </w:r>
      <w:r>
        <w:rPr>
          <w:rFonts w:hint="eastAsia" w:ascii="仿宋_GB2312" w:hAnsi="仿宋_GB2312" w:eastAsia="仿宋_GB2312" w:cs="仿宋_GB2312"/>
          <w:color w:val="auto"/>
          <w:sz w:val="32"/>
          <w:szCs w:val="32"/>
        </w:rPr>
        <w:t>万元，主要用于：用于</w:t>
      </w:r>
      <w:r>
        <w:rPr>
          <w:rFonts w:hint="eastAsia" w:ascii="仿宋_GB2312" w:hAnsi="仿宋_GB2312" w:eastAsia="仿宋_GB2312" w:cs="仿宋_GB2312"/>
          <w:color w:val="auto"/>
          <w:sz w:val="32"/>
          <w:szCs w:val="32"/>
          <w:shd w:val="clear" w:color="auto" w:fill="FFFFFF"/>
        </w:rPr>
        <w:t>政府下属事业单位、村级自治组织正常运转的日常基本支出及水利建设移民等项目支出。</w:t>
      </w:r>
    </w:p>
    <w:p w14:paraId="0725CD54">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文化旅游体育与传媒支出</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rPr>
        <w:t>万元，主要</w:t>
      </w:r>
      <w:r>
        <w:rPr>
          <w:rFonts w:hint="eastAsia" w:ascii="仿宋_GB2312" w:hAnsi="仿宋_GB2312" w:eastAsia="仿宋_GB2312" w:cs="仿宋_GB2312"/>
          <w:color w:val="auto"/>
          <w:sz w:val="32"/>
          <w:szCs w:val="32"/>
          <w:lang w:eastAsia="zh-CN"/>
        </w:rPr>
        <w:t>村级文化阅报栏服务</w:t>
      </w:r>
      <w:r>
        <w:rPr>
          <w:rFonts w:hint="eastAsia" w:ascii="仿宋_GB2312" w:hAnsi="仿宋_GB2312" w:eastAsia="仿宋_GB2312" w:cs="仿宋_GB2312"/>
          <w:bCs/>
          <w:color w:val="auto"/>
          <w:sz w:val="32"/>
          <w:szCs w:val="32"/>
        </w:rPr>
        <w:t>支出。</w:t>
      </w:r>
    </w:p>
    <w:p w14:paraId="61321FB5">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111.75</w:t>
      </w:r>
      <w:r>
        <w:rPr>
          <w:rFonts w:hint="eastAsia" w:ascii="仿宋_GB2312" w:hAnsi="仿宋_GB2312" w:eastAsia="仿宋_GB2312" w:cs="仿宋_GB2312"/>
          <w:color w:val="auto"/>
          <w:sz w:val="32"/>
          <w:szCs w:val="32"/>
        </w:rPr>
        <w:t>万元，主要用于：</w:t>
      </w:r>
      <w:r>
        <w:rPr>
          <w:rFonts w:hint="eastAsia" w:ascii="仿宋_GB2312" w:hAnsi="仿宋_GB2312" w:eastAsia="仿宋_GB2312" w:cs="仿宋_GB2312"/>
          <w:color w:val="auto"/>
          <w:sz w:val="32"/>
          <w:szCs w:val="32"/>
          <w:shd w:val="clear" w:color="auto" w:fill="FFFFFF"/>
        </w:rPr>
        <w:t>机关及下属事业单位按照规定标准为职工缴纳住房公积金等支出</w:t>
      </w:r>
      <w:r>
        <w:rPr>
          <w:rFonts w:hint="eastAsia" w:ascii="仿宋_GB2312" w:hAnsi="仿宋_GB2312" w:eastAsia="仿宋_GB2312" w:cs="仿宋_GB2312"/>
          <w:color w:val="auto"/>
          <w:sz w:val="32"/>
          <w:szCs w:val="32"/>
        </w:rPr>
        <w:t>。</w:t>
      </w:r>
    </w:p>
    <w:p w14:paraId="1D0C5B4D">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auto"/>
          <w:sz w:val="32"/>
          <w:szCs w:val="32"/>
        </w:rPr>
        <w:t>卫生健康支出</w:t>
      </w:r>
      <w:r>
        <w:rPr>
          <w:rFonts w:hint="eastAsia" w:ascii="仿宋_GB2312" w:hAnsi="仿宋_GB2312" w:eastAsia="仿宋_GB2312" w:cs="仿宋_GB2312"/>
          <w:color w:val="auto"/>
          <w:sz w:val="32"/>
          <w:szCs w:val="32"/>
          <w:lang w:val="en-US" w:eastAsia="zh-CN"/>
        </w:rPr>
        <w:t>68.07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主要用于</w:t>
      </w:r>
      <w:r>
        <w:rPr>
          <w:rFonts w:hint="eastAsia" w:ascii="仿宋_GB2312" w:hAnsi="仿宋_GB2312" w:eastAsia="仿宋_GB2312" w:cs="仿宋_GB2312"/>
          <w:color w:val="auto"/>
          <w:sz w:val="32"/>
          <w:szCs w:val="32"/>
          <w:lang w:eastAsia="zh-CN"/>
        </w:rPr>
        <w:t>职工医疗保险及公务员医疗补助。</w:t>
      </w:r>
    </w:p>
    <w:p w14:paraId="59632254">
      <w:pPr>
        <w:keepNext w:val="0"/>
        <w:keepLines w:val="0"/>
        <w:pageBreakBefore w:val="0"/>
        <w:numPr>
          <w:ilvl w:val="0"/>
          <w:numId w:val="14"/>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rPr>
        <w:t>政府性基金预算拨款支出20653.14万元</w:t>
      </w:r>
      <w:r>
        <w:rPr>
          <w:rFonts w:hint="eastAsia" w:ascii="仿宋_GB2312" w:hAnsi="仿宋_GB2312" w:eastAsia="仿宋_GB2312" w:cs="仿宋_GB2312"/>
          <w:color w:val="000000"/>
          <w:sz w:val="32"/>
          <w:szCs w:val="32"/>
          <w:lang w:eastAsia="zh-CN"/>
        </w:rPr>
        <w:t>，主要用于征地拆迁项目支出。</w:t>
      </w:r>
      <w:r>
        <w:rPr>
          <w:rFonts w:hint="eastAsia" w:ascii="仿宋_GB2312" w:hAnsi="仿宋_GB2312" w:eastAsia="仿宋_GB2312" w:cs="仿宋_GB2312"/>
          <w:color w:val="auto"/>
          <w:sz w:val="32"/>
          <w:szCs w:val="32"/>
          <w:lang w:val="en-US" w:eastAsia="zh-CN"/>
        </w:rPr>
        <w:t xml:space="preserve">  </w:t>
      </w:r>
    </w:p>
    <w:p w14:paraId="6BAFB7C8">
      <w:pPr>
        <w:keepNext w:val="0"/>
        <w:keepLines w:val="0"/>
        <w:pageBreakBefore w:val="0"/>
        <w:widowControl w:val="0"/>
        <w:numPr>
          <w:ilvl w:val="0"/>
          <w:numId w:val="11"/>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部门财政支出管理情况</w:t>
      </w:r>
    </w:p>
    <w:p w14:paraId="16F6B4D3">
      <w:pPr>
        <w:keepNext w:val="0"/>
        <w:keepLines w:val="0"/>
        <w:pageBreakBefore w:val="0"/>
        <w:widowControl w:val="0"/>
        <w:numPr>
          <w:ilvl w:val="0"/>
          <w:numId w:val="15"/>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预算编制情况</w:t>
      </w:r>
    </w:p>
    <w:p w14:paraId="6A86935E">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bidi="ar"/>
        </w:rPr>
        <w:t>1、201</w:t>
      </w:r>
      <w:r>
        <w:rPr>
          <w:rFonts w:hint="eastAsia" w:ascii="仿宋_GB2312" w:hAnsi="仿宋_GB2312" w:eastAsia="仿宋_GB2312" w:cs="仿宋_GB2312"/>
          <w:color w:val="auto"/>
          <w:sz w:val="32"/>
          <w:szCs w:val="32"/>
          <w:lang w:val="en-US" w:eastAsia="zh-CN" w:bidi="ar"/>
        </w:rPr>
        <w:t>9</w:t>
      </w:r>
      <w:r>
        <w:rPr>
          <w:rFonts w:hint="eastAsia" w:ascii="仿宋_GB2312" w:hAnsi="仿宋_GB2312" w:eastAsia="仿宋_GB2312" w:cs="仿宋_GB2312"/>
          <w:color w:val="auto"/>
          <w:sz w:val="32"/>
          <w:szCs w:val="32"/>
          <w:lang w:bidi="ar"/>
        </w:rPr>
        <w:t>年收入预算总额为</w:t>
      </w:r>
      <w:r>
        <w:rPr>
          <w:rFonts w:hint="eastAsia" w:ascii="仿宋_GB2312" w:hAnsi="仿宋_GB2312" w:eastAsia="仿宋_GB2312" w:cs="仿宋_GB2312"/>
          <w:color w:val="auto"/>
          <w:sz w:val="32"/>
          <w:szCs w:val="32"/>
          <w:lang w:val="en-US" w:eastAsia="zh-CN" w:bidi="ar"/>
        </w:rPr>
        <w:t>1734.90</w:t>
      </w:r>
      <w:r>
        <w:rPr>
          <w:rFonts w:hint="eastAsia" w:ascii="仿宋_GB2312" w:hAnsi="仿宋_GB2312" w:eastAsia="仿宋_GB2312" w:cs="仿宋_GB2312"/>
          <w:color w:val="auto"/>
          <w:sz w:val="32"/>
          <w:szCs w:val="32"/>
          <w:lang w:bidi="ar"/>
        </w:rPr>
        <w:t>万元，其中：工资福利支出</w:t>
      </w:r>
      <w:r>
        <w:rPr>
          <w:rFonts w:hint="eastAsia" w:ascii="仿宋_GB2312" w:hAnsi="仿宋_GB2312" w:eastAsia="仿宋_GB2312" w:cs="仿宋_GB2312"/>
          <w:color w:val="auto"/>
          <w:sz w:val="32"/>
          <w:szCs w:val="32"/>
          <w:lang w:val="en-US" w:eastAsia="zh-CN" w:bidi="ar"/>
        </w:rPr>
        <w:t>719.33</w:t>
      </w:r>
      <w:r>
        <w:rPr>
          <w:rFonts w:hint="eastAsia" w:ascii="仿宋_GB2312" w:hAnsi="仿宋_GB2312" w:eastAsia="仿宋_GB2312" w:cs="仿宋_GB2312"/>
          <w:color w:val="auto"/>
          <w:sz w:val="32"/>
          <w:szCs w:val="32"/>
          <w:lang w:bidi="ar"/>
        </w:rPr>
        <w:t>万元，日常公用支出</w:t>
      </w:r>
      <w:r>
        <w:rPr>
          <w:rFonts w:hint="eastAsia" w:ascii="仿宋_GB2312" w:hAnsi="仿宋_GB2312" w:eastAsia="仿宋_GB2312" w:cs="仿宋_GB2312"/>
          <w:color w:val="auto"/>
          <w:sz w:val="32"/>
          <w:szCs w:val="32"/>
          <w:lang w:val="en-US" w:eastAsia="zh-CN" w:bidi="ar"/>
        </w:rPr>
        <w:t>129.60</w:t>
      </w:r>
      <w:r>
        <w:rPr>
          <w:rFonts w:hint="eastAsia" w:ascii="仿宋_GB2312" w:hAnsi="仿宋_GB2312" w:eastAsia="仿宋_GB2312" w:cs="仿宋_GB2312"/>
          <w:color w:val="auto"/>
          <w:sz w:val="32"/>
          <w:szCs w:val="32"/>
          <w:lang w:bidi="ar"/>
        </w:rPr>
        <w:t>万元，对个人和家庭的补助支出</w:t>
      </w:r>
      <w:r>
        <w:rPr>
          <w:rFonts w:hint="eastAsia" w:ascii="仿宋_GB2312" w:hAnsi="仿宋_GB2312" w:eastAsia="仿宋_GB2312" w:cs="仿宋_GB2312"/>
          <w:color w:val="auto"/>
          <w:sz w:val="32"/>
          <w:szCs w:val="32"/>
          <w:lang w:val="en-US" w:eastAsia="zh-CN" w:bidi="ar"/>
        </w:rPr>
        <w:t>318.43</w:t>
      </w:r>
      <w:r>
        <w:rPr>
          <w:rFonts w:hint="eastAsia" w:ascii="仿宋_GB2312" w:hAnsi="仿宋_GB2312" w:eastAsia="仿宋_GB2312" w:cs="仿宋_GB2312"/>
          <w:color w:val="auto"/>
          <w:sz w:val="32"/>
          <w:szCs w:val="32"/>
          <w:lang w:bidi="ar"/>
        </w:rPr>
        <w:t>万元，</w:t>
      </w:r>
      <w:r>
        <w:rPr>
          <w:rFonts w:hint="eastAsia" w:ascii="仿宋_GB2312" w:hAnsi="仿宋_GB2312" w:eastAsia="仿宋_GB2312" w:cs="仿宋_GB2312"/>
          <w:color w:val="auto"/>
          <w:sz w:val="32"/>
          <w:szCs w:val="32"/>
          <w:lang w:eastAsia="zh-CN" w:bidi="ar"/>
        </w:rPr>
        <w:t>机关</w:t>
      </w:r>
      <w:r>
        <w:rPr>
          <w:rFonts w:hint="eastAsia" w:ascii="仿宋_GB2312" w:hAnsi="仿宋_GB2312" w:eastAsia="仿宋_GB2312" w:cs="仿宋_GB2312"/>
          <w:color w:val="auto"/>
          <w:sz w:val="32"/>
          <w:szCs w:val="32"/>
          <w:lang w:bidi="ar"/>
        </w:rPr>
        <w:t>资本性支出</w:t>
      </w:r>
      <w:r>
        <w:rPr>
          <w:rFonts w:hint="eastAsia" w:ascii="仿宋_GB2312" w:hAnsi="仿宋_GB2312" w:eastAsia="仿宋_GB2312" w:cs="仿宋_GB2312"/>
          <w:color w:val="auto"/>
          <w:sz w:val="32"/>
          <w:szCs w:val="32"/>
          <w:lang w:val="en-US" w:eastAsia="zh-CN" w:bidi="ar"/>
        </w:rPr>
        <w:t>131.28</w:t>
      </w:r>
      <w:r>
        <w:rPr>
          <w:rFonts w:hint="eastAsia" w:ascii="仿宋_GB2312" w:hAnsi="仿宋_GB2312" w:eastAsia="仿宋_GB2312" w:cs="仿宋_GB2312"/>
          <w:color w:val="auto"/>
          <w:sz w:val="32"/>
          <w:szCs w:val="32"/>
          <w:lang w:bidi="ar"/>
        </w:rPr>
        <w:t>万元</w:t>
      </w:r>
      <w:r>
        <w:rPr>
          <w:rFonts w:hint="eastAsia" w:ascii="仿宋_GB2312" w:hAnsi="仿宋_GB2312" w:eastAsia="仿宋_GB2312" w:cs="仿宋_GB2312"/>
          <w:color w:val="auto"/>
          <w:sz w:val="32"/>
          <w:szCs w:val="32"/>
          <w:lang w:val="en-US" w:eastAsia="zh-CN" w:bidi="ar"/>
        </w:rPr>
        <w:t>。对事业单位经常性补助436.26万元。</w:t>
      </w:r>
    </w:p>
    <w:p w14:paraId="306977AD">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eastAsia="zh-CN" w:bidi="ar"/>
        </w:rPr>
        <w:t>三公经费情况：</w:t>
      </w:r>
      <w:r>
        <w:rPr>
          <w:rFonts w:hint="eastAsia" w:ascii="仿宋_GB2312" w:hAnsi="仿宋_GB2312" w:eastAsia="仿宋_GB2312" w:cs="仿宋_GB2312"/>
          <w:color w:val="auto"/>
          <w:sz w:val="32"/>
          <w:szCs w:val="32"/>
          <w:lang w:bidi="ar"/>
        </w:rPr>
        <w:t>201</w:t>
      </w:r>
      <w:r>
        <w:rPr>
          <w:rFonts w:hint="eastAsia" w:ascii="仿宋_GB2312" w:hAnsi="仿宋_GB2312" w:eastAsia="仿宋_GB2312" w:cs="仿宋_GB2312"/>
          <w:color w:val="auto"/>
          <w:sz w:val="32"/>
          <w:szCs w:val="32"/>
          <w:lang w:val="en-US" w:eastAsia="zh-CN" w:bidi="ar"/>
        </w:rPr>
        <w:t>9</w:t>
      </w:r>
      <w:r>
        <w:rPr>
          <w:rFonts w:hint="eastAsia" w:ascii="仿宋_GB2312" w:hAnsi="仿宋_GB2312" w:eastAsia="仿宋_GB2312" w:cs="仿宋_GB2312"/>
          <w:color w:val="auto"/>
          <w:sz w:val="32"/>
          <w:szCs w:val="32"/>
          <w:lang w:bidi="ar"/>
        </w:rPr>
        <w:t>年米</w:t>
      </w:r>
      <w:r>
        <w:rPr>
          <w:rFonts w:hint="eastAsia" w:ascii="仿宋_GB2312" w:hAnsi="仿宋_GB2312" w:eastAsia="仿宋_GB2312" w:cs="仿宋_GB2312"/>
          <w:color w:val="auto"/>
          <w:sz w:val="32"/>
          <w:szCs w:val="32"/>
        </w:rPr>
        <w:t>易县</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莲镇人民政府未安排出国计划，经费预算0万元；安排公务接待费预算</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bidi="ar"/>
        </w:rPr>
        <w:t>万元；公务用车购置及运行维护费</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万元。其中：运行维护费</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万元，车辆购置费0万元。</w:t>
      </w:r>
    </w:p>
    <w:p w14:paraId="0133279B">
      <w:pPr>
        <w:keepNext w:val="0"/>
        <w:keepLines w:val="0"/>
        <w:pageBreakBefore w:val="0"/>
        <w:widowControl w:val="0"/>
        <w:numPr>
          <w:ilvl w:val="0"/>
          <w:numId w:val="0"/>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（二）执行管理情况</w:t>
      </w:r>
    </w:p>
    <w:p w14:paraId="3FF43E82">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本单位预算安排支出主要用于保障该部门机构正常运转、完成日常工作任务以及本单位承担的各项工作。</w:t>
      </w:r>
    </w:p>
    <w:p w14:paraId="6F4F54EC">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320" w:firstLineChars="10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基本支出，是用于保障党政办、经济办、社会事务办、安监所等机构正常运转的日常支出，包括基本工资、津贴补贴、离退休费、住房公积金和日常公用经费等。</w:t>
      </w:r>
    </w:p>
    <w:p w14:paraId="023E3828">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320" w:firstLineChars="100"/>
        <w:textAlignment w:val="auto"/>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bidi="ar"/>
        </w:rPr>
        <w:t>项目支出，是用于保障党政办、经济办、社会事务办、安监所等机构为完成特定的行政工作任务或事业发展目标，用于专项业务工作的经费支出。</w:t>
      </w:r>
      <w:r>
        <w:rPr>
          <w:rFonts w:hint="eastAsia" w:ascii="仿宋_GB2312" w:hAnsi="仿宋_GB2312" w:eastAsia="仿宋_GB2312" w:cs="仿宋_GB2312"/>
          <w:color w:val="auto"/>
          <w:sz w:val="32"/>
          <w:szCs w:val="32"/>
          <w:lang w:val="en-US" w:eastAsia="zh-CN" w:bidi="ar"/>
        </w:rPr>
        <w:t xml:space="preserve"> </w:t>
      </w:r>
    </w:p>
    <w:p w14:paraId="28815C4A">
      <w:pPr>
        <w:keepNext w:val="0"/>
        <w:keepLines w:val="0"/>
        <w:pageBreakBefore w:val="0"/>
        <w:widowControl w:val="0"/>
        <w:numPr>
          <w:ilvl w:val="0"/>
          <w:numId w:val="15"/>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决算编制情况</w:t>
      </w:r>
    </w:p>
    <w:p w14:paraId="56BAEA74">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1.收入情况：</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年攀莲镇人民政府收入决算总额为23433.05万元，其中：一般公共预算财政拨款收入1734.9万元，占</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%；政府性基金预算财政拨款收入21698.15万元，占92.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%；国有资本经营预算财政拨款收入0万元，占0%；事业收入0万元，占0%；经营收入0万元，占0%；附属单位上缴收入0万元，占0%；其他收入0万元，占0%。</w:t>
      </w:r>
    </w:p>
    <w:p w14:paraId="41478D65">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2.支出情况： </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年攀莲镇人民政府支出决算总额为22305.74万元，其中：基本支出1267万元，占5.</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%；项目支出21038.74万元，占94.</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%；上缴上级支出0万元，占0%；经营支出0万元，占0%；对附属单位补助支出0万元，占0%。</w:t>
      </w:r>
    </w:p>
    <w:p w14:paraId="648134B1">
      <w:pPr>
        <w:keepNext w:val="0"/>
        <w:keepLines w:val="0"/>
        <w:pageBreakBefore w:val="0"/>
        <w:numPr>
          <w:ilvl w:val="0"/>
          <w:numId w:val="1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0" w:leftChars="0" w:firstLine="960" w:firstLineChars="3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bidi="ar"/>
        </w:rPr>
        <w:t>三公经费情况：</w:t>
      </w:r>
      <w:r>
        <w:rPr>
          <w:rFonts w:hint="eastAsia" w:ascii="仿宋_GB2312" w:hAnsi="仿宋_GB2312" w:eastAsia="仿宋_GB2312" w:cs="仿宋_GB2312"/>
          <w:color w:val="auto"/>
          <w:sz w:val="32"/>
          <w:szCs w:val="32"/>
          <w:lang w:bidi="ar"/>
        </w:rPr>
        <w:t>201</w:t>
      </w:r>
      <w:r>
        <w:rPr>
          <w:rFonts w:hint="eastAsia" w:ascii="仿宋_GB2312" w:hAnsi="仿宋_GB2312" w:eastAsia="仿宋_GB2312" w:cs="仿宋_GB2312"/>
          <w:color w:val="auto"/>
          <w:sz w:val="32"/>
          <w:szCs w:val="32"/>
          <w:lang w:val="en-US" w:eastAsia="zh-CN" w:bidi="ar"/>
        </w:rPr>
        <w:t>9</w:t>
      </w:r>
      <w:r>
        <w:rPr>
          <w:rFonts w:hint="eastAsia" w:ascii="仿宋_GB2312" w:hAnsi="仿宋_GB2312" w:eastAsia="仿宋_GB2312" w:cs="仿宋_GB2312"/>
          <w:color w:val="auto"/>
          <w:sz w:val="32"/>
          <w:szCs w:val="32"/>
          <w:lang w:bidi="ar"/>
        </w:rPr>
        <w:t>年米</w:t>
      </w:r>
      <w:r>
        <w:rPr>
          <w:rFonts w:hint="eastAsia" w:ascii="仿宋_GB2312" w:hAnsi="仿宋_GB2312" w:eastAsia="仿宋_GB2312" w:cs="仿宋_GB2312"/>
          <w:color w:val="auto"/>
          <w:sz w:val="32"/>
          <w:szCs w:val="32"/>
        </w:rPr>
        <w:t>易县</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莲镇人民政府无因公出国（境）情况；公务接待费预算</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bidi="ar"/>
        </w:rPr>
        <w:t>万元</w:t>
      </w:r>
      <w:r>
        <w:rPr>
          <w:rFonts w:hint="eastAsia" w:ascii="仿宋_GB2312" w:hAnsi="仿宋_GB2312" w:eastAsia="仿宋_GB2312" w:cs="仿宋_GB2312"/>
          <w:color w:val="auto"/>
          <w:sz w:val="32"/>
          <w:szCs w:val="32"/>
          <w:lang w:eastAsia="zh-CN" w:bidi="ar"/>
        </w:rPr>
        <w:t>，当年实际支出</w:t>
      </w:r>
      <w:r>
        <w:rPr>
          <w:rFonts w:hint="eastAsia" w:ascii="仿宋_GB2312" w:hAnsi="仿宋_GB2312" w:eastAsia="仿宋_GB2312" w:cs="仿宋_GB2312"/>
          <w:color w:val="auto"/>
          <w:sz w:val="32"/>
          <w:szCs w:val="32"/>
          <w:lang w:val="en-US" w:eastAsia="zh-CN" w:bidi="ar"/>
        </w:rPr>
        <w:t>1.66万元</w:t>
      </w:r>
      <w:r>
        <w:rPr>
          <w:rFonts w:hint="eastAsia" w:ascii="仿宋_GB2312" w:hAnsi="仿宋_GB2312" w:eastAsia="仿宋_GB2312" w:cs="仿宋_GB2312"/>
          <w:color w:val="auto"/>
          <w:sz w:val="32"/>
          <w:szCs w:val="32"/>
        </w:rPr>
        <w:t>未超出预</w:t>
      </w:r>
      <w:r>
        <w:rPr>
          <w:rFonts w:hint="eastAsia" w:ascii="仿宋_GB2312" w:hAnsi="仿宋_GB2312" w:eastAsia="仿宋_GB2312" w:cs="仿宋_GB2312"/>
          <w:color w:val="auto"/>
          <w:sz w:val="32"/>
          <w:szCs w:val="32"/>
          <w:lang w:eastAsia="zh-CN"/>
        </w:rPr>
        <w:t>算</w:t>
      </w:r>
      <w:r>
        <w:rPr>
          <w:rFonts w:hint="eastAsia" w:ascii="仿宋_GB2312" w:hAnsi="仿宋_GB2312" w:eastAsia="仿宋_GB2312" w:cs="仿宋_GB2312"/>
          <w:color w:val="auto"/>
          <w:sz w:val="32"/>
          <w:szCs w:val="32"/>
          <w:lang w:bidi="ar"/>
        </w:rPr>
        <w:t>；公务用车购置及运行维护费</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万元。其中：运行维护费</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万元，车辆购置费0万元。</w:t>
      </w:r>
      <w:r>
        <w:rPr>
          <w:rFonts w:hint="eastAsia" w:ascii="仿宋_GB2312" w:hAnsi="仿宋_GB2312" w:eastAsia="仿宋_GB2312" w:cs="仿宋_GB2312"/>
          <w:color w:val="auto"/>
          <w:sz w:val="32"/>
          <w:szCs w:val="32"/>
          <w:lang w:eastAsia="zh-CN" w:bidi="ar"/>
        </w:rPr>
        <w:t>当年</w:t>
      </w:r>
      <w:r>
        <w:rPr>
          <w:rFonts w:hint="eastAsia" w:ascii="仿宋_GB2312" w:hAnsi="仿宋_GB2312" w:eastAsia="仿宋_GB2312" w:cs="仿宋_GB2312"/>
          <w:color w:val="auto"/>
          <w:sz w:val="32"/>
          <w:szCs w:val="32"/>
          <w:lang w:bidi="ar"/>
        </w:rPr>
        <w:t>运行维护费</w:t>
      </w:r>
      <w:r>
        <w:rPr>
          <w:rFonts w:hint="eastAsia" w:ascii="仿宋_GB2312" w:hAnsi="仿宋_GB2312" w:eastAsia="仿宋_GB2312" w:cs="仿宋_GB2312"/>
          <w:color w:val="auto"/>
          <w:sz w:val="32"/>
          <w:szCs w:val="32"/>
          <w:lang w:eastAsia="zh-CN" w:bidi="ar"/>
        </w:rPr>
        <w:t>实际支出</w:t>
      </w:r>
      <w:r>
        <w:rPr>
          <w:rFonts w:hint="eastAsia" w:ascii="仿宋_GB2312" w:hAnsi="仿宋_GB2312" w:eastAsia="仿宋_GB2312" w:cs="仿宋_GB2312"/>
          <w:color w:val="auto"/>
          <w:sz w:val="32"/>
          <w:szCs w:val="32"/>
          <w:lang w:val="en-US" w:eastAsia="zh-CN" w:bidi="ar"/>
        </w:rPr>
        <w:t>9.32万元，</w:t>
      </w:r>
      <w:r>
        <w:rPr>
          <w:rFonts w:hint="eastAsia" w:ascii="仿宋_GB2312" w:hAnsi="仿宋_GB2312" w:eastAsia="仿宋_GB2312" w:cs="仿宋_GB2312"/>
          <w:color w:val="auto"/>
          <w:sz w:val="32"/>
          <w:szCs w:val="32"/>
          <w:lang w:bidi="ar"/>
        </w:rPr>
        <w:t>车辆购置费0万元</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rPr>
        <w:t>未超出预算安排</w:t>
      </w:r>
      <w:r>
        <w:rPr>
          <w:rFonts w:hint="eastAsia" w:ascii="仿宋_GB2312" w:hAnsi="仿宋_GB2312" w:eastAsia="仿宋_GB2312" w:cs="仿宋_GB2312"/>
          <w:color w:val="auto"/>
          <w:sz w:val="32"/>
          <w:szCs w:val="32"/>
          <w:lang w:eastAsia="zh-CN"/>
        </w:rPr>
        <w:t>。</w:t>
      </w:r>
    </w:p>
    <w:p w14:paraId="367F2EA4">
      <w:pPr>
        <w:keepNext w:val="0"/>
        <w:keepLines w:val="0"/>
        <w:pageBreakBefore w:val="0"/>
        <w:widowControl w:val="0"/>
        <w:numPr>
          <w:ilvl w:val="0"/>
          <w:numId w:val="15"/>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支出绩效情况</w:t>
      </w:r>
    </w:p>
    <w:p w14:paraId="3405A706">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莲镇人民政府财政拨款支出主要用于保障该部门机构正常运转、完成日常工作任务以及</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 xml:space="preserve">莲镇人民政府事业发展相关工作。  </w:t>
      </w:r>
    </w:p>
    <w:p w14:paraId="05D8A1A5">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基本支出，是用于保障</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莲镇人民政府机关、下属事业单位等机构正常运转的日常支出，包括基本工资、津贴补贴等人员经费以及办公费、印刷费、水电费、办公设备购置等日常公用经费。</w:t>
      </w:r>
    </w:p>
    <w:p w14:paraId="135EF005">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项目支出，是用于保障</w:t>
      </w:r>
      <w:r>
        <w:rPr>
          <w:rFonts w:hint="eastAsia" w:ascii="仿宋_GB2312" w:hAnsi="仿宋_GB2312" w:eastAsia="仿宋_GB2312" w:cs="仿宋_GB2312"/>
          <w:color w:val="auto"/>
          <w:sz w:val="32"/>
          <w:szCs w:val="32"/>
          <w:lang w:eastAsia="zh-CN"/>
        </w:rPr>
        <w:t>攀</w:t>
      </w:r>
      <w:r>
        <w:rPr>
          <w:rFonts w:hint="eastAsia" w:ascii="仿宋_GB2312" w:hAnsi="仿宋_GB2312" w:eastAsia="仿宋_GB2312" w:cs="仿宋_GB2312"/>
          <w:color w:val="auto"/>
          <w:sz w:val="32"/>
          <w:szCs w:val="32"/>
        </w:rPr>
        <w:t>莲镇人民政府机关、下属事业单位等机构为完成特定的行政工作任务或事业发展目标，用于专项业务工作的经费支出。</w:t>
      </w:r>
    </w:p>
    <w:p w14:paraId="25B92CA1">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按支出功能分类主要用于以下方面:</w:t>
      </w:r>
    </w:p>
    <w:p w14:paraId="6A4C2DAB">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一般公共服务支出</w:t>
      </w:r>
      <w:r>
        <w:rPr>
          <w:rFonts w:hint="eastAsia" w:ascii="仿宋_GB2312" w:hAnsi="仿宋_GB2312" w:eastAsia="仿宋_GB2312" w:cs="仿宋_GB2312"/>
          <w:color w:val="000000"/>
          <w:sz w:val="32"/>
          <w:szCs w:val="32"/>
          <w:lang w:val="en-US" w:eastAsia="zh-CN"/>
        </w:rPr>
        <w:t>993.23</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shd w:val="clear" w:color="auto" w:fill="FFFFFF"/>
        </w:rPr>
        <w:t>机关及下属事业单位人员工资、日常运转以及为完成特定行政工作任务和事业发展目标而安排的年度项目支出</w:t>
      </w:r>
      <w:r>
        <w:rPr>
          <w:rFonts w:hint="eastAsia" w:ascii="仿宋_GB2312" w:hAnsi="仿宋_GB2312" w:eastAsia="仿宋_GB2312" w:cs="仿宋_GB2312"/>
          <w:color w:val="000000"/>
          <w:sz w:val="32"/>
          <w:szCs w:val="32"/>
        </w:rPr>
        <w:t>。</w:t>
      </w:r>
    </w:p>
    <w:p w14:paraId="6D5019E9">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sz w:val="32"/>
          <w:szCs w:val="32"/>
          <w:lang w:val="en-US" w:eastAsia="zh-CN"/>
        </w:rPr>
        <w:t>333.95</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shd w:val="clear" w:color="auto" w:fill="FFFFFF"/>
        </w:rPr>
        <w:t>用于单位离退休人员支出、抚恤及自然灾害生活救助</w:t>
      </w:r>
      <w:r>
        <w:rPr>
          <w:rFonts w:hint="eastAsia" w:ascii="仿宋_GB2312" w:hAnsi="仿宋_GB2312" w:eastAsia="仿宋_GB2312" w:cs="仿宋_GB2312"/>
          <w:color w:val="000000"/>
          <w:sz w:val="32"/>
          <w:szCs w:val="32"/>
        </w:rPr>
        <w:t>。</w:t>
      </w:r>
    </w:p>
    <w:p w14:paraId="71D78015">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227.60</w:t>
      </w:r>
      <w:r>
        <w:rPr>
          <w:rFonts w:hint="eastAsia" w:ascii="仿宋_GB2312" w:hAnsi="仿宋_GB2312" w:eastAsia="仿宋_GB2312" w:cs="仿宋_GB2312"/>
          <w:color w:val="000000"/>
          <w:sz w:val="32"/>
          <w:szCs w:val="32"/>
        </w:rPr>
        <w:t>万元，主要用于：用于</w:t>
      </w:r>
      <w:r>
        <w:rPr>
          <w:rFonts w:hint="eastAsia" w:ascii="仿宋_GB2312" w:hAnsi="仿宋_GB2312" w:eastAsia="仿宋_GB2312" w:cs="仿宋_GB2312"/>
          <w:color w:val="000000"/>
          <w:sz w:val="32"/>
          <w:szCs w:val="32"/>
          <w:shd w:val="clear" w:color="auto" w:fill="FFFFFF"/>
        </w:rPr>
        <w:t>政府下属事业单位、村级自治组织正常运转的日常基本支出及水利建设移民等项目支出。</w:t>
      </w:r>
    </w:p>
    <w:p w14:paraId="771392D7">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万元，主要</w:t>
      </w:r>
      <w:r>
        <w:rPr>
          <w:rFonts w:hint="eastAsia" w:ascii="仿宋_GB2312" w:hAnsi="仿宋_GB2312" w:eastAsia="仿宋_GB2312" w:cs="仿宋_GB2312"/>
          <w:color w:val="000000"/>
          <w:sz w:val="32"/>
          <w:szCs w:val="32"/>
          <w:lang w:eastAsia="zh-CN"/>
        </w:rPr>
        <w:t>村级文化阅报栏服务</w:t>
      </w:r>
      <w:r>
        <w:rPr>
          <w:rFonts w:hint="eastAsia" w:ascii="仿宋_GB2312" w:hAnsi="仿宋_GB2312" w:eastAsia="仿宋_GB2312" w:cs="仿宋_GB2312"/>
          <w:bCs/>
          <w:color w:val="000000"/>
          <w:sz w:val="32"/>
          <w:szCs w:val="32"/>
        </w:rPr>
        <w:t>支出。</w:t>
      </w:r>
    </w:p>
    <w:p w14:paraId="740B4840">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111.75</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shd w:val="clear" w:color="auto" w:fill="FFFFFF"/>
        </w:rPr>
        <w:t>机关及下属事业单位按照规定标准为职工缴纳住房公积金等支出</w:t>
      </w:r>
      <w:r>
        <w:rPr>
          <w:rFonts w:hint="eastAsia" w:ascii="仿宋_GB2312" w:hAnsi="仿宋_GB2312" w:eastAsia="仿宋_GB2312" w:cs="仿宋_GB2312"/>
          <w:color w:val="000000"/>
          <w:sz w:val="32"/>
          <w:szCs w:val="32"/>
        </w:rPr>
        <w:t>。</w:t>
      </w:r>
    </w:p>
    <w:p w14:paraId="2AD5E04C">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rPr>
      </w:pPr>
      <w:r>
        <w:rPr>
          <w:rFonts w:hint="eastAsia" w:ascii="仿宋_GB2312" w:hAnsi="仿宋_GB2312" w:eastAsia="仿宋_GB2312" w:cs="仿宋_GB2312"/>
          <w:color w:val="000000"/>
          <w:sz w:val="32"/>
          <w:szCs w:val="32"/>
        </w:rPr>
        <w:t>卫生健康支出</w:t>
      </w:r>
      <w:r>
        <w:rPr>
          <w:rFonts w:hint="eastAsia" w:ascii="仿宋_GB2312" w:hAnsi="仿宋_GB2312" w:eastAsia="仿宋_GB2312" w:cs="仿宋_GB2312"/>
          <w:color w:val="000000"/>
          <w:sz w:val="32"/>
          <w:szCs w:val="32"/>
          <w:lang w:val="en-US" w:eastAsia="zh-CN"/>
        </w:rPr>
        <w:t>68.07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卫生整治等劳务费。</w:t>
      </w:r>
    </w:p>
    <w:p w14:paraId="6258DE6B">
      <w:pPr>
        <w:keepNext w:val="0"/>
        <w:keepLines w:val="0"/>
        <w:pageBreakBefore w:val="0"/>
        <w:numPr>
          <w:ilvl w:val="0"/>
          <w:numId w:val="16"/>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640" w:firstLineChars="200"/>
        <w:textAlignment w:val="auto"/>
        <w:rPr>
          <w:rFonts w:hint="eastAsia"/>
        </w:rPr>
      </w:pPr>
      <w:r>
        <w:rPr>
          <w:rFonts w:hint="eastAsia" w:ascii="仿宋_GB2312" w:hAnsi="仿宋_GB2312" w:eastAsia="仿宋_GB2312" w:cs="仿宋_GB2312"/>
          <w:color w:val="000000"/>
          <w:sz w:val="32"/>
          <w:szCs w:val="32"/>
        </w:rPr>
        <w:t>政府性基金预算拨款支出20653.14万元</w:t>
      </w:r>
      <w:r>
        <w:rPr>
          <w:rFonts w:hint="eastAsia" w:ascii="仿宋_GB2312" w:hAnsi="仿宋_GB2312" w:eastAsia="仿宋_GB2312" w:cs="仿宋_GB2312"/>
          <w:color w:val="000000"/>
          <w:sz w:val="32"/>
          <w:szCs w:val="32"/>
          <w:lang w:eastAsia="zh-CN"/>
        </w:rPr>
        <w:t>，主要用于征地拆迁项目支出。</w:t>
      </w:r>
    </w:p>
    <w:p w14:paraId="7046F5D6">
      <w:pPr>
        <w:keepNext w:val="0"/>
        <w:keepLines w:val="0"/>
        <w:pageBreakBefore w:val="0"/>
        <w:numPr>
          <w:ilvl w:val="0"/>
          <w:numId w:val="17"/>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我单位严格建立财务管理制度，健全内控制度，严格按财务规定进行会计核算及账务管理，严格遵守政府采购制度。</w:t>
      </w:r>
    </w:p>
    <w:p w14:paraId="2CB03120">
      <w:pPr>
        <w:keepNext w:val="0"/>
        <w:keepLines w:val="0"/>
        <w:pageBreakBefore w:val="0"/>
        <w:widowControl w:val="0"/>
        <w:numPr>
          <w:ilvl w:val="0"/>
          <w:numId w:val="11"/>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评价结论及建议</w:t>
      </w:r>
    </w:p>
    <w:p w14:paraId="61598BB4">
      <w:pPr>
        <w:keepNext w:val="0"/>
        <w:keepLines w:val="0"/>
        <w:pageBreakBefore w:val="0"/>
        <w:widowControl w:val="0"/>
        <w:numPr>
          <w:ilvl w:val="0"/>
          <w:numId w:val="18"/>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评价结论</w:t>
      </w:r>
    </w:p>
    <w:p w14:paraId="53397FAD">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按照国家政策法规规定，结合我镇实际情况，建立健全了财务管理制度和约束机制，依法、有效地使用财政资金，提高财政资金使用效率，合理分配人、财、物，完成了我镇职能目标，实现了较高的工作效率和支出绩效；部门支出绩效评价指标体系自评9</w:t>
      </w:r>
      <w:r>
        <w:rPr>
          <w:rFonts w:hint="eastAsia" w:ascii="仿宋_GB2312" w:hAnsi="仿宋_GB2312" w:eastAsia="仿宋_GB2312" w:cs="仿宋_GB2312"/>
          <w:color w:val="auto"/>
          <w:sz w:val="32"/>
          <w:szCs w:val="32"/>
          <w:shd w:val="clear" w:color="auto" w:fill="FFFFFF"/>
          <w:lang w:val="en-US" w:eastAsia="zh-CN"/>
        </w:rPr>
        <w:t>8</w:t>
      </w:r>
      <w:r>
        <w:rPr>
          <w:rFonts w:hint="eastAsia" w:ascii="仿宋_GB2312" w:hAnsi="仿宋_GB2312" w:eastAsia="仿宋_GB2312" w:cs="仿宋_GB2312"/>
          <w:color w:val="auto"/>
          <w:sz w:val="32"/>
          <w:szCs w:val="32"/>
          <w:shd w:val="clear" w:color="auto" w:fill="FFFFFF"/>
        </w:rPr>
        <w:t>分。</w:t>
      </w:r>
    </w:p>
    <w:p w14:paraId="6AE2510F">
      <w:pPr>
        <w:keepNext w:val="0"/>
        <w:keepLines w:val="0"/>
        <w:pageBreakBefore w:val="0"/>
        <w:widowControl w:val="0"/>
        <w:numPr>
          <w:ilvl w:val="0"/>
          <w:numId w:val="18"/>
        </w:numPr>
        <w:pBdr>
          <w:top w:val="single" w:color="FFFFFF" w:sz="4" w:space="0"/>
          <w:left w:val="single" w:color="FFFFFF" w:sz="4" w:space="31"/>
          <w:bottom w:val="single" w:color="FFFFFF" w:sz="4" w:space="31"/>
          <w:right w:val="single" w:color="FFFFFF" w:sz="4" w:space="2"/>
        </w:pBd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存在问题</w:t>
      </w:r>
    </w:p>
    <w:p w14:paraId="39D3A58F">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320" w:firstLineChars="10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lang w:val="zh-CN"/>
        </w:rPr>
        <w:t>公务卡支出还存在休眠卡现象，公务卡支付频率不高，</w:t>
      </w:r>
      <w:r>
        <w:rPr>
          <w:rFonts w:hint="eastAsia" w:ascii="仿宋_GB2312" w:hAnsi="仿宋_GB2312" w:eastAsia="仿宋_GB2312" w:cs="仿宋_GB2312"/>
          <w:color w:val="auto"/>
          <w:sz w:val="32"/>
          <w:szCs w:val="32"/>
          <w:shd w:val="clear" w:color="auto" w:fill="FFFFFF"/>
        </w:rPr>
        <w:t>应加大公务卡支付力度</w:t>
      </w:r>
      <w:r>
        <w:rPr>
          <w:rFonts w:hint="eastAsia" w:ascii="仿宋_GB2312" w:hAnsi="仿宋_GB2312" w:eastAsia="仿宋_GB2312" w:cs="仿宋_GB2312"/>
          <w:color w:val="auto"/>
          <w:sz w:val="32"/>
          <w:szCs w:val="32"/>
          <w:shd w:val="clear" w:color="auto" w:fill="FFFFFF"/>
          <w:lang w:val="en-US" w:eastAsia="zh-CN"/>
        </w:rPr>
        <w:t xml:space="preserve">. </w:t>
      </w:r>
    </w:p>
    <w:p w14:paraId="47292F00">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我镇财务人员</w:t>
      </w:r>
      <w:r>
        <w:rPr>
          <w:rFonts w:hint="eastAsia" w:ascii="仿宋_GB2312" w:hAnsi="仿宋_GB2312" w:eastAsia="仿宋_GB2312" w:cs="仿宋_GB2312"/>
          <w:color w:val="auto"/>
          <w:sz w:val="32"/>
          <w:szCs w:val="32"/>
          <w:lang w:eastAsia="zh-CN"/>
        </w:rPr>
        <w:t>大部分年龄偏大，对新的财务会计工作吃力，建议调整岗位。</w:t>
      </w:r>
    </w:p>
    <w:p w14:paraId="34B3EE85">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改进建议</w:t>
      </w:r>
    </w:p>
    <w:p w14:paraId="388CD14D">
      <w:pPr>
        <w:keepNext w:val="0"/>
        <w:keepLines w:val="0"/>
        <w:pageBreakBefore w:val="0"/>
        <w:numPr>
          <w:ilvl w:val="0"/>
          <w:numId w:val="0"/>
        </w:numPr>
        <w:pBdr>
          <w:top w:val="single" w:color="FFFFFF" w:sz="4" w:space="0"/>
          <w:left w:val="single" w:color="FFFFFF" w:sz="4" w:space="31"/>
          <w:bottom w:val="single" w:color="FFFFFF" w:sz="4" w:space="31"/>
          <w:right w:val="single" w:color="FFFFFF" w:sz="4" w:space="2"/>
        </w:pBdr>
        <w:kinsoku/>
        <w:overflowPunct/>
        <w:topLinePunct w:val="0"/>
        <w:autoSpaceDE/>
        <w:autoSpaceDN/>
        <w:bidi w:val="0"/>
        <w:adjustRightInd/>
        <w:snapToGrid/>
        <w:spacing w:line="580" w:lineRule="exact"/>
        <w:ind w:leftChars="0" w:firstLine="320" w:firstLineChars="1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lang w:val="zh-CN"/>
        </w:rPr>
        <w:t>公务卡支出还存在休眠卡现象，公务卡支付频率不高，</w:t>
      </w:r>
      <w:r>
        <w:rPr>
          <w:rFonts w:hint="eastAsia" w:ascii="仿宋_GB2312" w:hAnsi="仿宋_GB2312" w:eastAsia="仿宋_GB2312" w:cs="仿宋_GB2312"/>
          <w:color w:val="auto"/>
          <w:sz w:val="32"/>
          <w:szCs w:val="32"/>
          <w:shd w:val="clear" w:color="auto" w:fill="FFFFFF"/>
        </w:rPr>
        <w:t>应加大公务卡支付力度</w:t>
      </w:r>
      <w:r>
        <w:rPr>
          <w:rFonts w:hint="eastAsia" w:ascii="仿宋_GB2312" w:hAnsi="仿宋_GB2312" w:eastAsia="仿宋_GB2312" w:cs="仿宋_GB2312"/>
          <w:color w:val="auto"/>
          <w:sz w:val="32"/>
          <w:szCs w:val="32"/>
          <w:shd w:val="clear" w:color="auto" w:fill="FFFFFF"/>
          <w:lang w:eastAsia="zh-CN"/>
        </w:rPr>
        <w:t>。</w:t>
      </w:r>
    </w:p>
    <w:p w14:paraId="51074136">
      <w:pPr>
        <w:widowControl/>
        <w:jc w:val="left"/>
        <w:rPr>
          <w:rStyle w:val="27"/>
          <w:rFonts w:hint="default" w:ascii="Times New Roman" w:hAnsi="Times New Roman" w:eastAsia="方正黑体_GBK" w:cs="Times New Roman"/>
          <w:b w:val="0"/>
          <w:bCs w:val="0"/>
          <w:sz w:val="32"/>
          <w:szCs w:val="32"/>
        </w:rPr>
      </w:pPr>
      <w:bookmarkStart w:id="68" w:name="_Toc12310"/>
    </w:p>
    <w:p w14:paraId="572BD8D8">
      <w:pPr>
        <w:widowControl/>
        <w:jc w:val="left"/>
        <w:rPr>
          <w:rStyle w:val="27"/>
          <w:rFonts w:hint="default" w:ascii="Times New Roman" w:hAnsi="Times New Roman" w:eastAsia="方正黑体_GBK" w:cs="Times New Roman"/>
          <w:b w:val="0"/>
          <w:bCs w:val="0"/>
          <w:sz w:val="32"/>
          <w:szCs w:val="32"/>
        </w:rPr>
      </w:pPr>
    </w:p>
    <w:p w14:paraId="5F92C809">
      <w:pPr>
        <w:widowControl/>
        <w:jc w:val="left"/>
        <w:rPr>
          <w:rStyle w:val="27"/>
          <w:rFonts w:hint="default" w:ascii="Times New Roman" w:hAnsi="Times New Roman" w:eastAsia="方正黑体_GBK" w:cs="Times New Roman"/>
          <w:b w:val="0"/>
          <w:bCs w:val="0"/>
          <w:sz w:val="32"/>
          <w:szCs w:val="32"/>
        </w:rPr>
      </w:pPr>
    </w:p>
    <w:p w14:paraId="0E12F717">
      <w:pPr>
        <w:widowControl/>
        <w:jc w:val="left"/>
        <w:rPr>
          <w:rStyle w:val="27"/>
          <w:rFonts w:hint="default" w:ascii="Times New Roman" w:hAnsi="Times New Roman" w:eastAsia="方正黑体_GBK" w:cs="Times New Roman"/>
          <w:b w:val="0"/>
          <w:bCs w:val="0"/>
          <w:sz w:val="32"/>
          <w:szCs w:val="32"/>
        </w:rPr>
      </w:pPr>
    </w:p>
    <w:p w14:paraId="4332E0B7">
      <w:pPr>
        <w:widowControl/>
        <w:jc w:val="left"/>
        <w:rPr>
          <w:rStyle w:val="27"/>
          <w:rFonts w:hint="default" w:ascii="Times New Roman" w:hAnsi="Times New Roman" w:eastAsia="方正黑体_GBK" w:cs="Times New Roman"/>
          <w:b w:val="0"/>
          <w:bCs w:val="0"/>
          <w:sz w:val="32"/>
          <w:szCs w:val="32"/>
        </w:rPr>
      </w:pPr>
    </w:p>
    <w:p w14:paraId="12DEE5C5">
      <w:pPr>
        <w:widowControl/>
        <w:jc w:val="left"/>
        <w:rPr>
          <w:rStyle w:val="27"/>
          <w:rFonts w:hint="default" w:ascii="Times New Roman" w:hAnsi="Times New Roman" w:eastAsia="方正黑体_GBK" w:cs="Times New Roman"/>
          <w:b w:val="0"/>
          <w:bCs w:val="0"/>
          <w:sz w:val="32"/>
          <w:szCs w:val="32"/>
        </w:rPr>
      </w:pPr>
    </w:p>
    <w:p w14:paraId="40FCCE91">
      <w:pPr>
        <w:widowControl/>
        <w:jc w:val="left"/>
        <w:rPr>
          <w:rStyle w:val="27"/>
          <w:rFonts w:hint="default" w:ascii="Times New Roman" w:hAnsi="Times New Roman" w:eastAsia="方正黑体_GBK" w:cs="Times New Roman"/>
          <w:b w:val="0"/>
          <w:bCs w:val="0"/>
          <w:sz w:val="32"/>
          <w:szCs w:val="32"/>
        </w:rPr>
      </w:pPr>
    </w:p>
    <w:p w14:paraId="7BEA571D">
      <w:pPr>
        <w:widowControl/>
        <w:jc w:val="left"/>
        <w:rPr>
          <w:rStyle w:val="27"/>
          <w:rFonts w:hint="default" w:ascii="Times New Roman" w:hAnsi="Times New Roman" w:eastAsia="方正黑体_GBK" w:cs="Times New Roman"/>
          <w:b w:val="0"/>
          <w:bCs w:val="0"/>
          <w:sz w:val="32"/>
          <w:szCs w:val="32"/>
        </w:rPr>
      </w:pPr>
    </w:p>
    <w:p w14:paraId="42542DDD">
      <w:pPr>
        <w:widowControl/>
        <w:jc w:val="left"/>
        <w:rPr>
          <w:rStyle w:val="27"/>
          <w:rFonts w:hint="default" w:ascii="Times New Roman" w:hAnsi="Times New Roman" w:eastAsia="方正黑体_GBK" w:cs="Times New Roman"/>
          <w:b w:val="0"/>
          <w:bCs w:val="0"/>
          <w:sz w:val="32"/>
          <w:szCs w:val="32"/>
        </w:rPr>
      </w:pPr>
    </w:p>
    <w:p w14:paraId="2B303C24">
      <w:pPr>
        <w:widowControl/>
        <w:jc w:val="left"/>
        <w:rPr>
          <w:rStyle w:val="27"/>
          <w:rFonts w:hint="default" w:ascii="Times New Roman" w:hAnsi="Times New Roman" w:eastAsia="方正黑体_GBK" w:cs="Times New Roman"/>
          <w:b w:val="0"/>
          <w:bCs w:val="0"/>
          <w:sz w:val="32"/>
          <w:szCs w:val="32"/>
        </w:rPr>
      </w:pPr>
    </w:p>
    <w:p w14:paraId="5B1C9E1E">
      <w:pPr>
        <w:widowControl/>
        <w:jc w:val="left"/>
        <w:rPr>
          <w:rStyle w:val="27"/>
          <w:rFonts w:hint="default" w:ascii="Times New Roman" w:hAnsi="Times New Roman" w:eastAsia="方正黑体_GBK" w:cs="Times New Roman"/>
          <w:b w:val="0"/>
          <w:bCs w:val="0"/>
          <w:sz w:val="32"/>
          <w:szCs w:val="32"/>
        </w:rPr>
      </w:pPr>
    </w:p>
    <w:p w14:paraId="3244BD4F">
      <w:pPr>
        <w:widowControl/>
        <w:jc w:val="left"/>
        <w:rPr>
          <w:rStyle w:val="27"/>
          <w:rFonts w:hint="default" w:ascii="Times New Roman" w:hAnsi="Times New Roman" w:eastAsia="方正黑体_GBK" w:cs="Times New Roman"/>
          <w:b w:val="0"/>
          <w:bCs w:val="0"/>
          <w:sz w:val="32"/>
          <w:szCs w:val="32"/>
        </w:rPr>
      </w:pPr>
    </w:p>
    <w:p w14:paraId="24C0BE3A">
      <w:pPr>
        <w:widowControl/>
        <w:jc w:val="left"/>
        <w:rPr>
          <w:rStyle w:val="27"/>
          <w:rFonts w:hint="default" w:ascii="Times New Roman" w:hAnsi="Times New Roman" w:eastAsia="方正黑体_GBK" w:cs="Times New Roman"/>
          <w:b w:val="0"/>
          <w:bCs w:val="0"/>
          <w:sz w:val="32"/>
          <w:szCs w:val="32"/>
        </w:rPr>
      </w:pPr>
    </w:p>
    <w:p w14:paraId="2A522D53">
      <w:pPr>
        <w:widowControl/>
        <w:jc w:val="left"/>
        <w:rPr>
          <w:rStyle w:val="27"/>
          <w:rFonts w:hint="default" w:ascii="Times New Roman" w:hAnsi="Times New Roman" w:eastAsia="方正黑体_GBK" w:cs="Times New Roman"/>
          <w:b w:val="0"/>
          <w:bCs w:val="0"/>
          <w:sz w:val="32"/>
          <w:szCs w:val="32"/>
        </w:rPr>
      </w:pPr>
    </w:p>
    <w:p w14:paraId="330AA9C0">
      <w:pPr>
        <w:widowControl/>
        <w:jc w:val="left"/>
        <w:rPr>
          <w:rStyle w:val="27"/>
          <w:rFonts w:hint="default" w:ascii="Times New Roman" w:hAnsi="Times New Roman" w:eastAsia="方正黑体_GBK" w:cs="Times New Roman"/>
          <w:b w:val="0"/>
          <w:bCs w:val="0"/>
          <w:sz w:val="32"/>
          <w:szCs w:val="32"/>
        </w:rPr>
      </w:pPr>
    </w:p>
    <w:p w14:paraId="72F14767">
      <w:pPr>
        <w:widowControl/>
        <w:jc w:val="left"/>
        <w:rPr>
          <w:rStyle w:val="27"/>
          <w:rFonts w:hint="default" w:ascii="Times New Roman" w:hAnsi="Times New Roman" w:eastAsia="方正黑体_GBK" w:cs="Times New Roman"/>
          <w:b w:val="0"/>
          <w:bCs w:val="0"/>
          <w:sz w:val="32"/>
          <w:szCs w:val="32"/>
        </w:rPr>
      </w:pPr>
    </w:p>
    <w:p w14:paraId="70F2B3EC">
      <w:pPr>
        <w:widowControl/>
        <w:jc w:val="left"/>
        <w:rPr>
          <w:rStyle w:val="27"/>
          <w:rFonts w:hint="default" w:ascii="Times New Roman" w:hAnsi="Times New Roman" w:eastAsia="方正黑体_GBK" w:cs="Times New Roman"/>
          <w:b w:val="0"/>
          <w:bCs w:val="0"/>
          <w:sz w:val="32"/>
          <w:szCs w:val="32"/>
        </w:rPr>
      </w:pPr>
    </w:p>
    <w:p w14:paraId="06B4580D">
      <w:pPr>
        <w:widowControl/>
        <w:jc w:val="left"/>
        <w:rPr>
          <w:rStyle w:val="27"/>
          <w:rFonts w:hint="default" w:ascii="Times New Roman" w:hAnsi="Times New Roman" w:eastAsia="方正黑体_GBK" w:cs="Times New Roman"/>
          <w:b w:val="0"/>
          <w:bCs w:val="0"/>
          <w:sz w:val="32"/>
          <w:szCs w:val="32"/>
        </w:rPr>
      </w:pPr>
    </w:p>
    <w:p w14:paraId="27856B1F">
      <w:pPr>
        <w:widowControl/>
        <w:jc w:val="left"/>
        <w:rPr>
          <w:rStyle w:val="27"/>
          <w:rFonts w:hint="default" w:ascii="Times New Roman" w:hAnsi="Times New Roman" w:eastAsia="方正黑体_GBK" w:cs="Times New Roman"/>
          <w:b w:val="0"/>
          <w:bCs w:val="0"/>
          <w:sz w:val="32"/>
          <w:szCs w:val="32"/>
        </w:rPr>
      </w:pPr>
    </w:p>
    <w:p w14:paraId="76226795">
      <w:pPr>
        <w:widowControl/>
        <w:jc w:val="left"/>
        <w:rPr>
          <w:rStyle w:val="27"/>
          <w:rFonts w:hint="default" w:ascii="Times New Roman" w:hAnsi="Times New Roman" w:eastAsia="方正黑体_GBK" w:cs="Times New Roman"/>
          <w:b w:val="0"/>
          <w:bCs w:val="0"/>
          <w:sz w:val="32"/>
          <w:szCs w:val="32"/>
        </w:rPr>
      </w:pPr>
    </w:p>
    <w:p w14:paraId="5F872B20">
      <w:pPr>
        <w:widowControl/>
        <w:jc w:val="left"/>
        <w:rPr>
          <w:rStyle w:val="27"/>
          <w:rFonts w:hint="default" w:ascii="Times New Roman" w:hAnsi="Times New Roman" w:eastAsia="方正黑体_GBK" w:cs="Times New Roman"/>
          <w:b w:val="0"/>
          <w:bCs w:val="0"/>
          <w:sz w:val="32"/>
          <w:szCs w:val="32"/>
        </w:rPr>
      </w:pPr>
      <w:r>
        <w:rPr>
          <w:rStyle w:val="27"/>
          <w:rFonts w:hint="default" w:ascii="Times New Roman" w:hAnsi="Times New Roman" w:eastAsia="方正黑体_GBK" w:cs="Times New Roman"/>
          <w:b w:val="0"/>
          <w:bCs w:val="0"/>
          <w:sz w:val="32"/>
          <w:szCs w:val="32"/>
        </w:rPr>
        <w:t>附件2</w:t>
      </w:r>
    </w:p>
    <w:bookmarkEnd w:id="68"/>
    <w:p w14:paraId="62D1AFA4">
      <w:pPr>
        <w:autoSpaceDE w:val="0"/>
        <w:autoSpaceDN w:val="0"/>
        <w:adjustRightInd w:val="0"/>
        <w:spacing w:line="600" w:lineRule="exact"/>
        <w:jc w:val="center"/>
        <w:rPr>
          <w:rFonts w:hint="eastAsia" w:ascii="Times New Roman" w:hAnsi="Times New Roman" w:cs="宋体"/>
          <w:b/>
          <w:bCs/>
          <w:sz w:val="44"/>
          <w:szCs w:val="44"/>
          <w:lang w:eastAsia="zh-CN"/>
        </w:rPr>
      </w:pPr>
      <w:r>
        <w:rPr>
          <w:rFonts w:hint="default" w:ascii="Times New Roman" w:hAnsi="Times New Roman" w:eastAsia="方正小标宋_GBK" w:cs="Times New Roman"/>
          <w:bCs/>
          <w:kern w:val="0"/>
          <w:sz w:val="44"/>
          <w:szCs w:val="44"/>
        </w:rPr>
        <w:t>攀莲镇</w:t>
      </w:r>
      <w:r>
        <w:rPr>
          <w:rFonts w:hint="eastAsia" w:ascii="Times New Roman" w:hAnsi="Times New Roman" w:cs="宋体"/>
          <w:b/>
          <w:bCs/>
          <w:sz w:val="44"/>
          <w:szCs w:val="44"/>
          <w:lang w:eastAsia="zh-CN"/>
        </w:rPr>
        <w:t>基层组织活动和公共服务运行项目资金绩效自评报告</w:t>
      </w:r>
    </w:p>
    <w:p w14:paraId="6D915AD7">
      <w:pPr>
        <w:autoSpaceDE w:val="0"/>
        <w:autoSpaceDN w:val="0"/>
        <w:adjustRightInd w:val="0"/>
        <w:spacing w:line="600" w:lineRule="exact"/>
        <w:jc w:val="center"/>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（201</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lang w:eastAsia="zh-CN"/>
        </w:rPr>
        <w:t>年基层组织活动和农村公共服务运行维护建设项目）</w:t>
      </w:r>
    </w:p>
    <w:p w14:paraId="0AB505A5">
      <w:pPr>
        <w:pStyle w:val="2"/>
        <w:rPr>
          <w:rFonts w:hint="default"/>
        </w:rPr>
      </w:pPr>
    </w:p>
    <w:p w14:paraId="6333A413">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在县财政局的领导下，攀莲镇政府高度重视、精心组织，各社区村民委员会认真负责，严格按照项目管理规定，扎实做好基层组织活动和农村公共服务运行维护项目各项工作，圆满完成工作任务。</w:t>
      </w:r>
    </w:p>
    <w:p w14:paraId="6325DB5A">
      <w:pPr>
        <w:autoSpaceDE w:val="0"/>
        <w:autoSpaceDN w:val="0"/>
        <w:adjustRightInd w:val="0"/>
        <w:spacing w:line="600" w:lineRule="exact"/>
        <w:ind w:firstLine="643" w:firstLineChars="200"/>
        <w:jc w:val="left"/>
        <w:rPr>
          <w:rFonts w:ascii="仿宋" w:hAnsi="仿宋" w:eastAsia="仿宋"/>
          <w:b/>
          <w:kern w:val="0"/>
          <w:sz w:val="32"/>
          <w:szCs w:val="32"/>
        </w:rPr>
      </w:pPr>
      <w:r>
        <w:rPr>
          <w:rFonts w:ascii="仿宋" w:hAnsi="仿宋" w:eastAsia="仿宋"/>
          <w:b/>
          <w:kern w:val="0"/>
          <w:sz w:val="32"/>
          <w:szCs w:val="32"/>
        </w:rPr>
        <w:t>一、项目概况</w:t>
      </w:r>
    </w:p>
    <w:p w14:paraId="3B8A54E4">
      <w:pPr>
        <w:autoSpaceDE w:val="0"/>
        <w:autoSpaceDN w:val="0"/>
        <w:adjustRightInd w:val="0"/>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lang w:eastAsia="zh-CN"/>
        </w:rPr>
        <w:t>（一）</w:t>
      </w:r>
      <w:r>
        <w:rPr>
          <w:rFonts w:ascii="仿宋" w:hAnsi="仿宋" w:eastAsia="仿宋"/>
          <w:kern w:val="0"/>
          <w:sz w:val="32"/>
          <w:szCs w:val="32"/>
        </w:rPr>
        <w:t>2019年农村公共服务运行维护项目</w:t>
      </w:r>
    </w:p>
    <w:p w14:paraId="329F8108">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1.2019年农村公共服务运行维护项目</w:t>
      </w:r>
    </w:p>
    <w:p w14:paraId="3EE7F525">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2019度攀莲镇农村公共服务运行项目由各村召开村民代表大会决议通过项目实施内容、项目实施方及项目金额后申报给县财政局综改办，由县财政局审核通过后，交由各村组织实施。</w:t>
      </w:r>
    </w:p>
    <w:p w14:paraId="6F556C79">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攀莲镇7个行政社区（村），2019年度共计申报农村公共服务运行项目7个，项目涵盖水利、村内道路等2个类别。全部项目实施均按照“三议三定五公开”的要求，由各村组织召开项目区村民代表大会，对项目实施内容、项目实施方选择等内容进行公开表决，充分保障了村民的知情权、参与权、决策权、监督权。每个村均成立了工作领导小组、理财小组以及质量监督小组，监督项目的实施。</w:t>
      </w:r>
    </w:p>
    <w:p w14:paraId="772374A0">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2019年度攀莲镇农村公共服务运行项目，均按照《四川省农村公共服务运行维护机制建设工作手册》和《米易县农村公共服务运行维护机制建设工作实施方案》实施，重点支持沟渠整治修复、村内道路功能完善等项目。</w:t>
      </w:r>
    </w:p>
    <w:p w14:paraId="22703AB5">
      <w:pPr>
        <w:autoSpaceDE w:val="0"/>
        <w:autoSpaceDN w:val="0"/>
        <w:adjustRightInd w:val="0"/>
        <w:spacing w:line="600" w:lineRule="exact"/>
        <w:ind w:firstLine="643" w:firstLineChars="200"/>
        <w:jc w:val="left"/>
        <w:rPr>
          <w:rFonts w:ascii="仿宋" w:hAnsi="仿宋" w:eastAsia="仿宋"/>
          <w:b/>
          <w:kern w:val="0"/>
          <w:sz w:val="32"/>
          <w:szCs w:val="32"/>
        </w:rPr>
      </w:pPr>
      <w:r>
        <w:rPr>
          <w:rFonts w:ascii="仿宋" w:hAnsi="仿宋" w:eastAsia="仿宋"/>
          <w:b/>
          <w:kern w:val="0"/>
          <w:sz w:val="32"/>
          <w:szCs w:val="32"/>
        </w:rPr>
        <w:t>二、项目资金计划和使用情况</w:t>
      </w:r>
    </w:p>
    <w:p w14:paraId="5C2807D4">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（一）资金计划、到位及使用情况。</w:t>
      </w:r>
    </w:p>
    <w:p w14:paraId="5A330100">
      <w:pPr>
        <w:autoSpaceDE w:val="0"/>
        <w:autoSpaceDN w:val="0"/>
        <w:adjustRightInd w:val="0"/>
        <w:spacing w:line="600" w:lineRule="exact"/>
        <w:ind w:firstLine="643" w:firstLineChars="200"/>
        <w:jc w:val="left"/>
        <w:rPr>
          <w:rFonts w:ascii="仿宋" w:hAnsi="仿宋" w:eastAsia="仿宋"/>
          <w:b/>
          <w:bCs/>
          <w:kern w:val="0"/>
          <w:sz w:val="32"/>
          <w:szCs w:val="32"/>
        </w:rPr>
      </w:pPr>
      <w:r>
        <w:rPr>
          <w:rFonts w:ascii="仿宋" w:hAnsi="仿宋" w:eastAsia="仿宋"/>
          <w:b/>
          <w:bCs/>
          <w:kern w:val="0"/>
          <w:sz w:val="32"/>
          <w:szCs w:val="32"/>
        </w:rPr>
        <w:t>1.资金计划及到位。</w:t>
      </w:r>
    </w:p>
    <w:p w14:paraId="20D64394">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2019年度攀莲镇农村公共服务运行维护项目共审批上报项目资金36</w:t>
      </w:r>
      <w:r>
        <w:rPr>
          <w:rFonts w:hint="eastAsia" w:ascii="仿宋" w:hAnsi="仿宋" w:eastAsia="仿宋"/>
          <w:kern w:val="0"/>
          <w:sz w:val="32"/>
          <w:szCs w:val="32"/>
          <w:lang w:val="en-US" w:eastAsia="zh-CN"/>
        </w:rPr>
        <w:t>.</w:t>
      </w:r>
      <w:r>
        <w:rPr>
          <w:rFonts w:ascii="仿宋" w:hAnsi="仿宋" w:eastAsia="仿宋"/>
          <w:kern w:val="0"/>
          <w:sz w:val="32"/>
          <w:szCs w:val="32"/>
        </w:rPr>
        <w:t>90</w:t>
      </w:r>
      <w:r>
        <w:rPr>
          <w:rFonts w:hint="eastAsia" w:ascii="仿宋" w:hAnsi="仿宋" w:eastAsia="仿宋"/>
          <w:kern w:val="0"/>
          <w:sz w:val="32"/>
          <w:szCs w:val="32"/>
          <w:lang w:eastAsia="zh-CN"/>
        </w:rPr>
        <w:t>万元</w:t>
      </w:r>
      <w:r>
        <w:rPr>
          <w:rFonts w:ascii="仿宋" w:hAnsi="仿宋" w:eastAsia="仿宋"/>
          <w:kern w:val="0"/>
          <w:sz w:val="32"/>
          <w:szCs w:val="32"/>
        </w:rPr>
        <w:t>。</w:t>
      </w:r>
    </w:p>
    <w:p w14:paraId="4BC7F1EC">
      <w:pPr>
        <w:autoSpaceDE w:val="0"/>
        <w:autoSpaceDN w:val="0"/>
        <w:adjustRightInd w:val="0"/>
        <w:spacing w:line="600" w:lineRule="exact"/>
        <w:ind w:firstLine="643" w:firstLineChars="200"/>
        <w:jc w:val="left"/>
        <w:rPr>
          <w:rFonts w:ascii="仿宋" w:hAnsi="仿宋" w:eastAsia="仿宋"/>
          <w:b/>
          <w:bCs/>
          <w:kern w:val="0"/>
          <w:sz w:val="32"/>
          <w:szCs w:val="32"/>
        </w:rPr>
      </w:pPr>
      <w:r>
        <w:rPr>
          <w:rFonts w:ascii="仿宋" w:hAnsi="仿宋" w:eastAsia="仿宋"/>
          <w:b/>
          <w:bCs/>
          <w:kern w:val="0"/>
          <w:sz w:val="32"/>
          <w:szCs w:val="32"/>
        </w:rPr>
        <w:t>2.资金使用</w:t>
      </w:r>
    </w:p>
    <w:p w14:paraId="608CF7E0">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严格按照《米易县基层组织活动和公共服务运行资金使用细则》（米财预</w:t>
      </w:r>
      <w:r>
        <w:rPr>
          <w:rFonts w:ascii="仿宋" w:hAnsi="仿宋" w:eastAsia="仿宋"/>
          <w:sz w:val="32"/>
          <w:szCs w:val="32"/>
        </w:rPr>
        <w:t>〔2018〕</w:t>
      </w:r>
      <w:r>
        <w:rPr>
          <w:rFonts w:ascii="仿宋" w:hAnsi="仿宋" w:eastAsia="仿宋"/>
          <w:kern w:val="0"/>
          <w:sz w:val="32"/>
          <w:szCs w:val="32"/>
        </w:rPr>
        <w:t>150号）文件执行。</w:t>
      </w:r>
    </w:p>
    <w:p w14:paraId="79B1BC69">
      <w:pPr>
        <w:autoSpaceDE w:val="0"/>
        <w:autoSpaceDN w:val="0"/>
        <w:adjustRightInd w:val="0"/>
        <w:spacing w:line="600" w:lineRule="exact"/>
        <w:ind w:firstLine="640" w:firstLineChars="200"/>
        <w:jc w:val="left"/>
        <w:rPr>
          <w:rFonts w:hint="eastAsia" w:ascii="仿宋" w:hAnsi="仿宋" w:eastAsia="仿宋"/>
          <w:kern w:val="0"/>
          <w:sz w:val="32"/>
          <w:szCs w:val="32"/>
          <w:lang w:eastAsia="zh-CN"/>
        </w:rPr>
      </w:pPr>
      <w:r>
        <w:rPr>
          <w:rFonts w:ascii="仿宋" w:hAnsi="仿宋" w:eastAsia="仿宋"/>
          <w:kern w:val="0"/>
          <w:sz w:val="32"/>
          <w:szCs w:val="32"/>
        </w:rPr>
        <w:t>2019年度共计2大类7个项目均由村级验收合格后，乡镇组织相关人员进行验收后，向县财政申请项目资金报账，县财政组织相关人员对项目进行抽查，验收合格后，拨付项目资金支付清算。7个社区（村）</w:t>
      </w:r>
      <w:r>
        <w:rPr>
          <w:rFonts w:hint="eastAsia" w:ascii="仿宋" w:hAnsi="仿宋" w:eastAsia="仿宋"/>
          <w:kern w:val="0"/>
          <w:sz w:val="32"/>
          <w:szCs w:val="32"/>
        </w:rPr>
        <w:t>财政资金</w:t>
      </w:r>
      <w:r>
        <w:rPr>
          <w:rFonts w:ascii="仿宋" w:hAnsi="仿宋" w:eastAsia="仿宋"/>
          <w:kern w:val="0"/>
          <w:sz w:val="32"/>
          <w:szCs w:val="32"/>
        </w:rPr>
        <w:t>支出情况是：青皮支出5</w:t>
      </w:r>
      <w:r>
        <w:rPr>
          <w:rFonts w:hint="eastAsia" w:ascii="仿宋" w:hAnsi="仿宋" w:eastAsia="仿宋"/>
          <w:kern w:val="0"/>
          <w:sz w:val="32"/>
          <w:szCs w:val="32"/>
          <w:lang w:val="en-US" w:eastAsia="zh-CN"/>
        </w:rPr>
        <w:t>.</w:t>
      </w:r>
      <w:r>
        <w:rPr>
          <w:rFonts w:ascii="仿宋" w:hAnsi="仿宋" w:eastAsia="仿宋"/>
          <w:kern w:val="0"/>
          <w:sz w:val="32"/>
          <w:szCs w:val="32"/>
        </w:rPr>
        <w:t>5</w:t>
      </w:r>
      <w:r>
        <w:rPr>
          <w:rFonts w:hint="eastAsia" w:ascii="仿宋" w:hAnsi="仿宋" w:eastAsia="仿宋"/>
          <w:kern w:val="0"/>
          <w:sz w:val="32"/>
          <w:szCs w:val="32"/>
          <w:lang w:val="en-US" w:eastAsia="zh-CN"/>
        </w:rPr>
        <w:t>0万</w:t>
      </w:r>
      <w:r>
        <w:rPr>
          <w:rFonts w:ascii="仿宋" w:hAnsi="仿宋" w:eastAsia="仿宋"/>
          <w:kern w:val="0"/>
          <w:sz w:val="32"/>
          <w:szCs w:val="32"/>
        </w:rPr>
        <w:t>元,水塘支出5</w:t>
      </w:r>
      <w:r>
        <w:rPr>
          <w:rFonts w:hint="eastAsia" w:ascii="仿宋" w:hAnsi="仿宋" w:eastAsia="仿宋"/>
          <w:kern w:val="0"/>
          <w:sz w:val="32"/>
          <w:szCs w:val="32"/>
          <w:lang w:val="en-US" w:eastAsia="zh-CN"/>
        </w:rPr>
        <w:t>.</w:t>
      </w:r>
      <w:r>
        <w:rPr>
          <w:rFonts w:ascii="仿宋" w:hAnsi="仿宋" w:eastAsia="仿宋"/>
          <w:kern w:val="0"/>
          <w:sz w:val="32"/>
          <w:szCs w:val="32"/>
        </w:rPr>
        <w:t>00</w:t>
      </w:r>
      <w:r>
        <w:rPr>
          <w:rFonts w:hint="eastAsia" w:ascii="仿宋" w:hAnsi="仿宋" w:eastAsia="仿宋"/>
          <w:kern w:val="0"/>
          <w:sz w:val="32"/>
          <w:szCs w:val="32"/>
          <w:lang w:eastAsia="zh-CN"/>
        </w:rPr>
        <w:t>万</w:t>
      </w:r>
      <w:r>
        <w:rPr>
          <w:rFonts w:ascii="仿宋" w:hAnsi="仿宋" w:eastAsia="仿宋"/>
          <w:kern w:val="0"/>
          <w:sz w:val="32"/>
          <w:szCs w:val="32"/>
        </w:rPr>
        <w:t>元,贤家支出5</w:t>
      </w:r>
      <w:r>
        <w:rPr>
          <w:rFonts w:hint="eastAsia" w:ascii="仿宋" w:hAnsi="仿宋" w:eastAsia="仿宋"/>
          <w:kern w:val="0"/>
          <w:sz w:val="32"/>
          <w:szCs w:val="32"/>
          <w:lang w:val="en-US" w:eastAsia="zh-CN"/>
        </w:rPr>
        <w:t>.</w:t>
      </w:r>
      <w:r>
        <w:rPr>
          <w:rFonts w:ascii="仿宋" w:hAnsi="仿宋" w:eastAsia="仿宋"/>
          <w:kern w:val="0"/>
          <w:sz w:val="32"/>
          <w:szCs w:val="32"/>
        </w:rPr>
        <w:t>50</w:t>
      </w:r>
      <w:r>
        <w:rPr>
          <w:rFonts w:hint="eastAsia" w:ascii="仿宋" w:hAnsi="仿宋" w:eastAsia="仿宋"/>
          <w:kern w:val="0"/>
          <w:sz w:val="32"/>
          <w:szCs w:val="32"/>
          <w:lang w:eastAsia="zh-CN"/>
        </w:rPr>
        <w:t>万</w:t>
      </w:r>
      <w:r>
        <w:rPr>
          <w:rFonts w:ascii="仿宋" w:hAnsi="仿宋" w:eastAsia="仿宋"/>
          <w:kern w:val="0"/>
          <w:sz w:val="32"/>
          <w:szCs w:val="32"/>
        </w:rPr>
        <w:t>元，柳溪支出5</w:t>
      </w:r>
      <w:r>
        <w:rPr>
          <w:rFonts w:hint="eastAsia" w:ascii="仿宋" w:hAnsi="仿宋" w:eastAsia="仿宋"/>
          <w:kern w:val="0"/>
          <w:sz w:val="32"/>
          <w:szCs w:val="32"/>
          <w:lang w:val="en-US" w:eastAsia="zh-CN"/>
        </w:rPr>
        <w:t>.</w:t>
      </w:r>
      <w:r>
        <w:rPr>
          <w:rFonts w:ascii="仿宋" w:hAnsi="仿宋" w:eastAsia="仿宋"/>
          <w:kern w:val="0"/>
          <w:sz w:val="32"/>
          <w:szCs w:val="32"/>
        </w:rPr>
        <w:t>00</w:t>
      </w:r>
      <w:r>
        <w:rPr>
          <w:rFonts w:hint="eastAsia" w:ascii="仿宋" w:hAnsi="仿宋" w:eastAsia="仿宋"/>
          <w:kern w:val="0"/>
          <w:sz w:val="32"/>
          <w:szCs w:val="32"/>
          <w:lang w:eastAsia="zh-CN"/>
        </w:rPr>
        <w:t>万</w:t>
      </w:r>
      <w:r>
        <w:rPr>
          <w:rFonts w:ascii="仿宋" w:hAnsi="仿宋" w:eastAsia="仿宋"/>
          <w:kern w:val="0"/>
          <w:sz w:val="32"/>
          <w:szCs w:val="32"/>
        </w:rPr>
        <w:t>元，观音支出5</w:t>
      </w:r>
      <w:r>
        <w:rPr>
          <w:rFonts w:hint="eastAsia" w:ascii="仿宋" w:hAnsi="仿宋" w:eastAsia="仿宋"/>
          <w:kern w:val="0"/>
          <w:sz w:val="32"/>
          <w:szCs w:val="32"/>
          <w:lang w:val="en-US" w:eastAsia="zh-CN"/>
        </w:rPr>
        <w:t>.</w:t>
      </w:r>
      <w:r>
        <w:rPr>
          <w:rFonts w:ascii="仿宋" w:hAnsi="仿宋" w:eastAsia="仿宋"/>
          <w:kern w:val="0"/>
          <w:sz w:val="32"/>
          <w:szCs w:val="32"/>
        </w:rPr>
        <w:t>2</w:t>
      </w:r>
      <w:r>
        <w:rPr>
          <w:rFonts w:hint="eastAsia" w:ascii="仿宋" w:hAnsi="仿宋" w:eastAsia="仿宋"/>
          <w:kern w:val="0"/>
          <w:sz w:val="32"/>
          <w:szCs w:val="32"/>
          <w:lang w:eastAsia="zh-CN"/>
        </w:rPr>
        <w:t>万</w:t>
      </w:r>
      <w:r>
        <w:rPr>
          <w:rFonts w:ascii="仿宋" w:hAnsi="仿宋" w:eastAsia="仿宋"/>
          <w:kern w:val="0"/>
          <w:sz w:val="32"/>
          <w:szCs w:val="32"/>
        </w:rPr>
        <w:t>元，南厂支出5</w:t>
      </w:r>
      <w:r>
        <w:rPr>
          <w:rFonts w:hint="eastAsia" w:ascii="仿宋" w:hAnsi="仿宋" w:eastAsia="仿宋"/>
          <w:kern w:val="0"/>
          <w:sz w:val="32"/>
          <w:szCs w:val="32"/>
          <w:lang w:val="en-US" w:eastAsia="zh-CN"/>
        </w:rPr>
        <w:t>.</w:t>
      </w:r>
      <w:r>
        <w:rPr>
          <w:rFonts w:ascii="仿宋" w:hAnsi="仿宋" w:eastAsia="仿宋"/>
          <w:kern w:val="0"/>
          <w:sz w:val="32"/>
          <w:szCs w:val="32"/>
        </w:rPr>
        <w:t>2</w:t>
      </w:r>
      <w:r>
        <w:rPr>
          <w:rFonts w:hint="eastAsia" w:ascii="仿宋" w:hAnsi="仿宋" w:eastAsia="仿宋"/>
          <w:kern w:val="0"/>
          <w:sz w:val="32"/>
          <w:szCs w:val="32"/>
          <w:lang w:eastAsia="zh-CN"/>
        </w:rPr>
        <w:t>万</w:t>
      </w:r>
      <w:r>
        <w:rPr>
          <w:rFonts w:ascii="仿宋" w:hAnsi="仿宋" w:eastAsia="仿宋"/>
          <w:kern w:val="0"/>
          <w:sz w:val="32"/>
          <w:szCs w:val="32"/>
        </w:rPr>
        <w:t>元，双沟村5</w:t>
      </w:r>
      <w:r>
        <w:rPr>
          <w:rFonts w:hint="eastAsia" w:ascii="仿宋" w:hAnsi="仿宋" w:eastAsia="仿宋"/>
          <w:kern w:val="0"/>
          <w:sz w:val="32"/>
          <w:szCs w:val="32"/>
          <w:lang w:val="en-US" w:eastAsia="zh-CN"/>
        </w:rPr>
        <w:t>.</w:t>
      </w:r>
      <w:r>
        <w:rPr>
          <w:rFonts w:ascii="仿宋" w:hAnsi="仿宋" w:eastAsia="仿宋"/>
          <w:kern w:val="0"/>
          <w:sz w:val="32"/>
          <w:szCs w:val="32"/>
        </w:rPr>
        <w:t>5</w:t>
      </w:r>
      <w:r>
        <w:rPr>
          <w:rFonts w:hint="eastAsia" w:ascii="仿宋" w:hAnsi="仿宋" w:eastAsia="仿宋"/>
          <w:kern w:val="0"/>
          <w:sz w:val="32"/>
          <w:szCs w:val="32"/>
          <w:lang w:eastAsia="zh-CN"/>
        </w:rPr>
        <w:t>万</w:t>
      </w:r>
      <w:r>
        <w:rPr>
          <w:rFonts w:ascii="仿宋" w:hAnsi="仿宋" w:eastAsia="仿宋"/>
          <w:kern w:val="0"/>
          <w:sz w:val="32"/>
          <w:szCs w:val="32"/>
        </w:rPr>
        <w:t>元</w:t>
      </w:r>
      <w:r>
        <w:rPr>
          <w:rFonts w:hint="eastAsia" w:ascii="仿宋" w:hAnsi="仿宋" w:eastAsia="仿宋"/>
          <w:kern w:val="0"/>
          <w:sz w:val="32"/>
          <w:szCs w:val="32"/>
        </w:rPr>
        <w:t>，合计36</w:t>
      </w:r>
      <w:r>
        <w:rPr>
          <w:rFonts w:hint="eastAsia" w:ascii="仿宋" w:hAnsi="仿宋" w:eastAsia="仿宋"/>
          <w:kern w:val="0"/>
          <w:sz w:val="32"/>
          <w:szCs w:val="32"/>
          <w:lang w:val="en-US" w:eastAsia="zh-CN"/>
        </w:rPr>
        <w:t>.</w:t>
      </w:r>
      <w:r>
        <w:rPr>
          <w:rFonts w:hint="eastAsia" w:ascii="仿宋" w:hAnsi="仿宋" w:eastAsia="仿宋"/>
          <w:kern w:val="0"/>
          <w:sz w:val="32"/>
          <w:szCs w:val="32"/>
        </w:rPr>
        <w:t>90</w:t>
      </w:r>
      <w:r>
        <w:rPr>
          <w:rFonts w:hint="eastAsia" w:ascii="仿宋" w:hAnsi="仿宋" w:eastAsia="仿宋"/>
          <w:kern w:val="0"/>
          <w:sz w:val="32"/>
          <w:szCs w:val="32"/>
          <w:lang w:eastAsia="zh-CN"/>
        </w:rPr>
        <w:t>万</w:t>
      </w:r>
      <w:r>
        <w:rPr>
          <w:rFonts w:hint="eastAsia" w:ascii="仿宋" w:hAnsi="仿宋" w:eastAsia="仿宋"/>
          <w:kern w:val="0"/>
          <w:sz w:val="32"/>
          <w:szCs w:val="32"/>
        </w:rPr>
        <w:t>元</w:t>
      </w:r>
      <w:r>
        <w:rPr>
          <w:rFonts w:hint="eastAsia" w:ascii="仿宋" w:hAnsi="仿宋" w:eastAsia="仿宋"/>
          <w:kern w:val="0"/>
          <w:sz w:val="32"/>
          <w:szCs w:val="32"/>
          <w:lang w:eastAsia="zh-CN"/>
        </w:rPr>
        <w:t>。</w:t>
      </w:r>
    </w:p>
    <w:p w14:paraId="64073DFB">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（二）项目财务管理情况。</w:t>
      </w:r>
    </w:p>
    <w:p w14:paraId="6E4E22E2">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公共服务运行维护项目资金实行报账制。县财政将资金转付到攀莲财政支付中心，由支付中心监管。项目验收合格后，由支付中心统一将资金兑付到各实施方（2019年度拨付到各村账户核算，镇村财中心做账核算）。</w:t>
      </w:r>
    </w:p>
    <w:p w14:paraId="4087046F">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经费使用进行了公示，接受群众监督。</w:t>
      </w:r>
    </w:p>
    <w:p w14:paraId="4BD3C743">
      <w:pPr>
        <w:autoSpaceDE w:val="0"/>
        <w:autoSpaceDN w:val="0"/>
        <w:adjustRightInd w:val="0"/>
        <w:spacing w:line="600" w:lineRule="exact"/>
        <w:ind w:firstLine="643" w:firstLineChars="200"/>
        <w:jc w:val="left"/>
        <w:rPr>
          <w:rFonts w:ascii="仿宋" w:hAnsi="仿宋" w:eastAsia="仿宋"/>
          <w:kern w:val="0"/>
          <w:sz w:val="32"/>
          <w:szCs w:val="32"/>
        </w:rPr>
      </w:pPr>
      <w:r>
        <w:rPr>
          <w:rFonts w:ascii="仿宋" w:hAnsi="仿宋" w:eastAsia="仿宋"/>
          <w:b/>
          <w:kern w:val="0"/>
          <w:sz w:val="32"/>
          <w:szCs w:val="32"/>
        </w:rPr>
        <w:t>三、项目组织实施和使用情况</w:t>
      </w:r>
    </w:p>
    <w:p w14:paraId="5C337E5C">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农村公共服务运行维护项目年初时由各村组织召开村民代表大会决议讨论确定项目，选取项目实施方，并推选村民代表组成质量监督小组、理财小组监管项目实施。</w:t>
      </w:r>
    </w:p>
    <w:p w14:paraId="303D0819">
      <w:pPr>
        <w:autoSpaceDE w:val="0"/>
        <w:autoSpaceDN w:val="0"/>
        <w:adjustRightInd w:val="0"/>
        <w:spacing w:line="600" w:lineRule="exact"/>
        <w:ind w:firstLine="643" w:firstLineChars="200"/>
        <w:jc w:val="left"/>
        <w:rPr>
          <w:rFonts w:ascii="仿宋" w:hAnsi="仿宋" w:eastAsia="仿宋"/>
          <w:b/>
          <w:kern w:val="0"/>
          <w:sz w:val="32"/>
          <w:szCs w:val="32"/>
        </w:rPr>
      </w:pPr>
      <w:r>
        <w:rPr>
          <w:rFonts w:ascii="仿宋" w:hAnsi="仿宋" w:eastAsia="仿宋"/>
          <w:b/>
          <w:kern w:val="0"/>
          <w:sz w:val="32"/>
          <w:szCs w:val="32"/>
        </w:rPr>
        <w:t>四、项目绩效情况</w:t>
      </w:r>
    </w:p>
    <w:p w14:paraId="29412BD8">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（一）项目完成情况。</w:t>
      </w:r>
    </w:p>
    <w:p w14:paraId="36B22F26">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在县财政局的领导、关心和支持下，全面完成农村公共服务运行维护项目各项工作。改善了农村公共服务条件，为推进各村经济社会发展起到了积极推动作用，受到群众好评。</w:t>
      </w:r>
    </w:p>
    <w:p w14:paraId="74B100D1">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（二）项目效益情况。</w:t>
      </w:r>
    </w:p>
    <w:p w14:paraId="477FED5B">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农村公共服务运行维护项目实施后，农村公共服务运行维护项目的实施促进了村内道路、水利灌溉条件的改善，对促进农村经济社会各项事业发展起到了积极推动作用。</w:t>
      </w:r>
    </w:p>
    <w:p w14:paraId="223C1FCA">
      <w:pPr>
        <w:autoSpaceDE w:val="0"/>
        <w:autoSpaceDN w:val="0"/>
        <w:adjustRightInd w:val="0"/>
        <w:spacing w:line="600" w:lineRule="exact"/>
        <w:ind w:firstLine="803" w:firstLineChars="250"/>
        <w:jc w:val="left"/>
        <w:rPr>
          <w:rFonts w:ascii="仿宋" w:hAnsi="仿宋" w:eastAsia="仿宋"/>
          <w:b/>
          <w:kern w:val="0"/>
          <w:sz w:val="32"/>
          <w:szCs w:val="32"/>
        </w:rPr>
      </w:pPr>
      <w:r>
        <w:rPr>
          <w:rFonts w:ascii="仿宋" w:hAnsi="仿宋" w:eastAsia="仿宋"/>
          <w:b/>
          <w:kern w:val="0"/>
          <w:sz w:val="32"/>
          <w:szCs w:val="32"/>
        </w:rPr>
        <w:t>五、评价结论和问题及建议</w:t>
      </w:r>
    </w:p>
    <w:p w14:paraId="49B41995">
      <w:pPr>
        <w:autoSpaceDE w:val="0"/>
        <w:autoSpaceDN w:val="0"/>
        <w:adjustRightInd w:val="0"/>
        <w:spacing w:line="600" w:lineRule="exact"/>
        <w:ind w:firstLine="640" w:firstLineChars="200"/>
        <w:jc w:val="left"/>
        <w:rPr>
          <w:rFonts w:ascii="仿宋" w:hAnsi="仿宋" w:eastAsia="仿宋"/>
          <w:b/>
          <w:kern w:val="0"/>
          <w:sz w:val="32"/>
          <w:szCs w:val="32"/>
        </w:rPr>
      </w:pPr>
      <w:r>
        <w:rPr>
          <w:rFonts w:ascii="仿宋" w:hAnsi="仿宋" w:eastAsia="仿宋"/>
          <w:kern w:val="0"/>
          <w:sz w:val="32"/>
          <w:szCs w:val="32"/>
        </w:rPr>
        <w:t>（一）农村公共服务运行维护项目实施，取得了很好的效益，强化了基层组织政治功能和服务功能。通过对照支出绩效评分表认真自查，自评分为9</w:t>
      </w:r>
      <w:r>
        <w:rPr>
          <w:rFonts w:hint="eastAsia" w:ascii="仿宋" w:hAnsi="仿宋" w:eastAsia="仿宋"/>
          <w:kern w:val="0"/>
          <w:sz w:val="32"/>
          <w:szCs w:val="32"/>
          <w:lang w:val="en-US" w:eastAsia="zh-CN"/>
        </w:rPr>
        <w:t>8</w:t>
      </w:r>
      <w:r>
        <w:rPr>
          <w:rFonts w:ascii="仿宋" w:hAnsi="仿宋" w:eastAsia="仿宋"/>
          <w:kern w:val="0"/>
          <w:sz w:val="32"/>
          <w:szCs w:val="32"/>
        </w:rPr>
        <w:t>分。</w:t>
      </w:r>
    </w:p>
    <w:p w14:paraId="44333E48">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（二）存在的问题。</w:t>
      </w:r>
    </w:p>
    <w:p w14:paraId="0D2113E7">
      <w:pPr>
        <w:autoSpaceDE w:val="0"/>
        <w:autoSpaceDN w:val="0"/>
        <w:adjustRightInd w:val="0"/>
        <w:spacing w:line="600" w:lineRule="exact"/>
        <w:ind w:firstLine="640" w:firstLineChars="200"/>
        <w:jc w:val="left"/>
        <w:rPr>
          <w:rFonts w:ascii="仿宋" w:hAnsi="仿宋" w:eastAsia="仿宋"/>
          <w:kern w:val="0"/>
          <w:sz w:val="32"/>
          <w:szCs w:val="32"/>
        </w:rPr>
      </w:pPr>
      <w:r>
        <w:rPr>
          <w:rFonts w:hint="eastAsia" w:ascii="仿宋" w:hAnsi="仿宋" w:eastAsia="仿宋"/>
          <w:kern w:val="0"/>
          <w:sz w:val="32"/>
          <w:szCs w:val="32"/>
        </w:rPr>
        <w:t>随着农村建设加大，村级开支增加，</w:t>
      </w:r>
      <w:r>
        <w:rPr>
          <w:rFonts w:ascii="仿宋" w:hAnsi="仿宋" w:eastAsia="仿宋"/>
          <w:kern w:val="0"/>
          <w:sz w:val="32"/>
          <w:szCs w:val="32"/>
        </w:rPr>
        <w:t>农村公共服务运行维护项目由于项目资金过小，涵盖面小，各村需要解决的问题较多，在统筹使用资金时难度较大。</w:t>
      </w:r>
    </w:p>
    <w:p w14:paraId="47079525">
      <w:pPr>
        <w:autoSpaceDE w:val="0"/>
        <w:autoSpaceDN w:val="0"/>
        <w:adjustRightInd w:val="0"/>
        <w:spacing w:line="600" w:lineRule="exact"/>
        <w:ind w:left="540"/>
        <w:jc w:val="left"/>
        <w:rPr>
          <w:rFonts w:ascii="仿宋" w:hAnsi="仿宋" w:eastAsia="仿宋"/>
          <w:kern w:val="0"/>
          <w:sz w:val="32"/>
          <w:szCs w:val="32"/>
        </w:rPr>
      </w:pPr>
      <w:r>
        <w:rPr>
          <w:rFonts w:ascii="仿宋" w:hAnsi="仿宋" w:eastAsia="仿宋"/>
          <w:kern w:val="0"/>
          <w:sz w:val="32"/>
          <w:szCs w:val="32"/>
        </w:rPr>
        <w:t>（三）相关建议。</w:t>
      </w:r>
    </w:p>
    <w:p w14:paraId="72D93803">
      <w:pPr>
        <w:autoSpaceDE w:val="0"/>
        <w:autoSpaceDN w:val="0"/>
        <w:adjustRightInd w:val="0"/>
        <w:spacing w:line="600" w:lineRule="exact"/>
        <w:ind w:firstLine="640" w:firstLineChars="200"/>
        <w:jc w:val="left"/>
        <w:rPr>
          <w:rFonts w:ascii="仿宋" w:hAnsi="仿宋" w:eastAsia="仿宋"/>
          <w:kern w:val="0"/>
          <w:sz w:val="32"/>
          <w:szCs w:val="32"/>
        </w:rPr>
      </w:pPr>
      <w:r>
        <w:rPr>
          <w:rFonts w:ascii="仿宋" w:hAnsi="仿宋" w:eastAsia="仿宋"/>
          <w:kern w:val="0"/>
          <w:sz w:val="32"/>
          <w:szCs w:val="32"/>
        </w:rPr>
        <w:t>建议财政部门加大农村公共服务运行维护项目的投入、监管业务及相关法律政策的培训力度。</w:t>
      </w:r>
    </w:p>
    <w:p w14:paraId="5D8B07B1">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p>
    <w:p w14:paraId="66A3FFE7">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p>
    <w:p w14:paraId="546F2204">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p>
    <w:p w14:paraId="79E59476">
      <w:pPr>
        <w:autoSpaceDE w:val="0"/>
        <w:autoSpaceDN w:val="0"/>
        <w:adjustRightInd w:val="0"/>
        <w:spacing w:line="600" w:lineRule="exact"/>
        <w:ind w:firstLine="4320" w:firstLineChars="1350"/>
        <w:jc w:val="left"/>
        <w:rPr>
          <w:rFonts w:hint="default" w:ascii="Times New Roman" w:hAnsi="Times New Roman" w:eastAsia="仿宋_GB2312" w:cs="Times New Roman"/>
          <w:kern w:val="0"/>
          <w:sz w:val="32"/>
          <w:szCs w:val="32"/>
        </w:rPr>
      </w:pPr>
    </w:p>
    <w:p w14:paraId="1329A33E">
      <w:pPr>
        <w:spacing w:line="580" w:lineRule="exact"/>
        <w:jc w:val="center"/>
        <w:rPr>
          <w:rFonts w:hint="default" w:ascii="Times New Roman" w:hAnsi="Times New Roman" w:eastAsia="黑体" w:cs="Times New Roman"/>
          <w:sz w:val="44"/>
          <w:szCs w:val="44"/>
        </w:rPr>
      </w:pPr>
    </w:p>
    <w:p w14:paraId="3AE90ED8">
      <w:pPr>
        <w:spacing w:line="580" w:lineRule="exact"/>
        <w:ind w:firstLine="640" w:firstLineChars="200"/>
        <w:rPr>
          <w:rFonts w:hint="default" w:ascii="Times New Roman" w:hAnsi="Times New Roman" w:eastAsia="仿宋_GB2312" w:cs="Times New Roman"/>
          <w:sz w:val="32"/>
          <w:szCs w:val="32"/>
        </w:rPr>
      </w:pPr>
    </w:p>
    <w:p w14:paraId="41050875">
      <w:pPr>
        <w:spacing w:line="600" w:lineRule="exact"/>
        <w:jc w:val="center"/>
        <w:outlineLvl w:val="0"/>
        <w:rPr>
          <w:rFonts w:hint="default" w:ascii="Times New Roman" w:hAnsi="Times New Roman" w:eastAsia="黑体" w:cs="Times New Roman"/>
          <w:color w:val="000000"/>
          <w:sz w:val="44"/>
          <w:szCs w:val="44"/>
        </w:rPr>
      </w:pPr>
    </w:p>
    <w:p w14:paraId="39BB0C50">
      <w:pPr>
        <w:spacing w:line="600" w:lineRule="exact"/>
        <w:jc w:val="center"/>
        <w:outlineLvl w:val="0"/>
        <w:rPr>
          <w:rFonts w:hint="default" w:ascii="Times New Roman" w:hAnsi="Times New Roman" w:eastAsia="黑体" w:cs="Times New Roman"/>
          <w:color w:val="000000"/>
          <w:sz w:val="44"/>
          <w:szCs w:val="44"/>
        </w:rPr>
      </w:pPr>
    </w:p>
    <w:p w14:paraId="5DFE6E1B">
      <w:pPr>
        <w:spacing w:line="580" w:lineRule="exact"/>
        <w:jc w:val="center"/>
        <w:rPr>
          <w:rFonts w:ascii="方正小标宋简体" w:hAnsi="方正小标宋简体" w:eastAsia="方正小标宋简体" w:cs="方正小标宋简体"/>
          <w:sz w:val="44"/>
          <w:szCs w:val="44"/>
        </w:rPr>
      </w:pPr>
    </w:p>
    <w:p w14:paraId="7029FD37">
      <w:pPr>
        <w:widowControl/>
        <w:jc w:val="left"/>
        <w:rPr>
          <w:rStyle w:val="27"/>
          <w:rFonts w:ascii="黑体" w:hAnsi="黑体" w:eastAsia="黑体"/>
          <w:b w:val="0"/>
        </w:rPr>
      </w:pPr>
      <w:r>
        <w:rPr>
          <w:rStyle w:val="27"/>
          <w:rFonts w:ascii="黑体" w:hAnsi="黑体" w:eastAsia="黑体"/>
          <w:b w:val="0"/>
        </w:rPr>
        <w:br w:type="page"/>
      </w:r>
    </w:p>
    <w:p w14:paraId="752BD587">
      <w:pPr>
        <w:spacing w:line="600" w:lineRule="exact"/>
        <w:jc w:val="center"/>
        <w:outlineLvl w:val="0"/>
        <w:rPr>
          <w:rStyle w:val="27"/>
          <w:rFonts w:ascii="黑体" w:hAnsi="黑体" w:eastAsia="黑体"/>
          <w:b w:val="0"/>
        </w:rPr>
      </w:pPr>
    </w:p>
    <w:p w14:paraId="07A3DF9B">
      <w:pPr>
        <w:spacing w:line="600" w:lineRule="exact"/>
        <w:jc w:val="center"/>
        <w:outlineLvl w:val="0"/>
        <w:rPr>
          <w:rStyle w:val="27"/>
          <w:rFonts w:ascii="黑体" w:hAnsi="黑体" w:eastAsia="黑体"/>
          <w:b w:val="0"/>
        </w:rPr>
      </w:pPr>
      <w:bookmarkStart w:id="69" w:name="_Toc10222"/>
      <w:bookmarkStart w:id="70"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64"/>
      <w:bookmarkEnd w:id="69"/>
      <w:bookmarkEnd w:id="70"/>
    </w:p>
    <w:p w14:paraId="138F811F">
      <w:pPr>
        <w:pStyle w:val="4"/>
        <w:rPr>
          <w:rFonts w:ascii="仿宋" w:hAnsi="仿宋" w:eastAsia="仿宋"/>
          <w:color w:val="000000"/>
        </w:rPr>
      </w:pPr>
      <w:bookmarkStart w:id="71" w:name="_Toc11946"/>
      <w:bookmarkStart w:id="72"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71"/>
      <w:bookmarkEnd w:id="72"/>
    </w:p>
    <w:p w14:paraId="5F6808B1">
      <w:pPr>
        <w:pStyle w:val="4"/>
        <w:rPr>
          <w:rFonts w:ascii="仿宋" w:hAnsi="仿宋" w:eastAsia="仿宋"/>
          <w:color w:val="000000"/>
        </w:rPr>
      </w:pPr>
      <w:bookmarkStart w:id="73" w:name="_Toc15396620"/>
      <w:bookmarkStart w:id="74" w:name="_Toc31192"/>
      <w:r>
        <w:rPr>
          <w:rFonts w:hint="eastAsia" w:ascii="仿宋" w:hAnsi="仿宋" w:eastAsia="仿宋"/>
          <w:b w:val="0"/>
          <w:color w:val="000000"/>
        </w:rPr>
        <w:t>二、收</w:t>
      </w:r>
      <w:r>
        <w:rPr>
          <w:rStyle w:val="28"/>
          <w:rFonts w:hint="eastAsia" w:ascii="仿宋" w:hAnsi="仿宋" w:eastAsia="仿宋"/>
          <w:b w:val="0"/>
          <w:bCs w:val="0"/>
        </w:rPr>
        <w:t>入决算表</w:t>
      </w:r>
      <w:bookmarkEnd w:id="73"/>
      <w:bookmarkEnd w:id="74"/>
    </w:p>
    <w:p w14:paraId="53E02C96">
      <w:pPr>
        <w:pStyle w:val="4"/>
        <w:rPr>
          <w:rFonts w:ascii="仿宋" w:hAnsi="仿宋" w:eastAsia="仿宋"/>
          <w:color w:val="000000"/>
        </w:rPr>
      </w:pPr>
      <w:bookmarkStart w:id="75" w:name="_Toc15257"/>
      <w:bookmarkStart w:id="76"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75"/>
      <w:bookmarkEnd w:id="76"/>
    </w:p>
    <w:p w14:paraId="10AE6719">
      <w:pPr>
        <w:pStyle w:val="4"/>
        <w:rPr>
          <w:rFonts w:ascii="仿宋" w:hAnsi="仿宋" w:eastAsia="仿宋"/>
          <w:b w:val="0"/>
          <w:color w:val="000000"/>
        </w:rPr>
      </w:pPr>
      <w:bookmarkStart w:id="77" w:name="_Toc2085"/>
      <w:bookmarkStart w:id="78"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77"/>
      <w:bookmarkEnd w:id="78"/>
    </w:p>
    <w:p w14:paraId="721A287B">
      <w:pPr>
        <w:pStyle w:val="4"/>
        <w:rPr>
          <w:rStyle w:val="28"/>
          <w:rFonts w:ascii="仿宋" w:hAnsi="仿宋" w:eastAsia="仿宋"/>
          <w:b w:val="0"/>
          <w:bCs w:val="0"/>
        </w:rPr>
      </w:pPr>
      <w:bookmarkStart w:id="79" w:name="_Toc15396623"/>
      <w:bookmarkStart w:id="80" w:name="_Toc1485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79"/>
      <w:bookmarkEnd w:id="80"/>
      <w:bookmarkStart w:id="81" w:name="_Toc15396624"/>
    </w:p>
    <w:p w14:paraId="00404614">
      <w:pPr>
        <w:pStyle w:val="4"/>
        <w:rPr>
          <w:rFonts w:ascii="仿宋" w:hAnsi="仿宋" w:eastAsia="仿宋"/>
          <w:color w:val="000000"/>
        </w:rPr>
      </w:pPr>
      <w:bookmarkStart w:id="82" w:name="_Toc14087"/>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81"/>
      <w:bookmarkEnd w:id="82"/>
    </w:p>
    <w:p w14:paraId="10A5A5FE">
      <w:pPr>
        <w:pStyle w:val="4"/>
        <w:rPr>
          <w:rFonts w:ascii="仿宋" w:hAnsi="仿宋" w:eastAsia="仿宋"/>
          <w:color w:val="000000"/>
        </w:rPr>
      </w:pPr>
      <w:bookmarkStart w:id="83" w:name="_Toc15396625"/>
      <w:bookmarkStart w:id="84" w:name="_Toc15499"/>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83"/>
      <w:bookmarkEnd w:id="84"/>
    </w:p>
    <w:p w14:paraId="056493DA">
      <w:pPr>
        <w:pStyle w:val="4"/>
        <w:rPr>
          <w:rFonts w:ascii="仿宋" w:hAnsi="仿宋" w:eastAsia="仿宋"/>
          <w:color w:val="000000"/>
        </w:rPr>
      </w:pPr>
      <w:bookmarkStart w:id="85" w:name="_Toc15396626"/>
      <w:bookmarkStart w:id="86" w:name="_Toc2280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85"/>
      <w:bookmarkEnd w:id="86"/>
    </w:p>
    <w:p w14:paraId="02B37274">
      <w:pPr>
        <w:pStyle w:val="4"/>
        <w:rPr>
          <w:rFonts w:ascii="仿宋" w:hAnsi="仿宋" w:eastAsia="仿宋"/>
          <w:color w:val="000000"/>
        </w:rPr>
      </w:pPr>
      <w:bookmarkStart w:id="87" w:name="_Toc21541"/>
      <w:bookmarkStart w:id="88"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87"/>
      <w:bookmarkEnd w:id="88"/>
    </w:p>
    <w:p w14:paraId="468142EE">
      <w:pPr>
        <w:pStyle w:val="4"/>
        <w:rPr>
          <w:rFonts w:ascii="仿宋" w:hAnsi="仿宋" w:eastAsia="仿宋"/>
          <w:color w:val="000000"/>
        </w:rPr>
      </w:pPr>
      <w:bookmarkStart w:id="89" w:name="_Toc10518"/>
      <w:bookmarkStart w:id="90"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89"/>
      <w:bookmarkEnd w:id="90"/>
    </w:p>
    <w:p w14:paraId="70BC3F05">
      <w:pPr>
        <w:pStyle w:val="4"/>
        <w:rPr>
          <w:rFonts w:ascii="仿宋" w:hAnsi="仿宋" w:eastAsia="仿宋"/>
          <w:color w:val="000000"/>
        </w:rPr>
      </w:pPr>
      <w:bookmarkStart w:id="91" w:name="_Toc15396629"/>
      <w:bookmarkStart w:id="92" w:name="_Toc28502"/>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91"/>
      <w:bookmarkEnd w:id="92"/>
    </w:p>
    <w:p w14:paraId="1AFF7967">
      <w:pPr>
        <w:pStyle w:val="4"/>
        <w:rPr>
          <w:rFonts w:ascii="仿宋" w:hAnsi="仿宋" w:eastAsia="仿宋"/>
          <w:color w:val="000000"/>
        </w:rPr>
      </w:pPr>
      <w:bookmarkStart w:id="93" w:name="_Toc18190"/>
      <w:bookmarkStart w:id="94"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93"/>
      <w:bookmarkEnd w:id="94"/>
    </w:p>
    <w:p w14:paraId="271A3779">
      <w:pPr>
        <w:pStyle w:val="4"/>
        <w:rPr>
          <w:rStyle w:val="28"/>
          <w:rFonts w:hint="eastAsia" w:ascii="仿宋" w:hAnsi="仿宋" w:eastAsia="仿宋"/>
          <w:b w:val="0"/>
          <w:bCs w:val="0"/>
        </w:rPr>
      </w:pPr>
      <w:bookmarkStart w:id="95" w:name="_Toc15396631"/>
      <w:bookmarkStart w:id="96" w:name="_Toc4973"/>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95"/>
      <w:bookmarkEnd w:id="96"/>
    </w:p>
    <w:p w14:paraId="5E61A47C">
      <w:pPr>
        <w:outlineLvl w:val="1"/>
        <w:rPr>
          <w:rFonts w:hint="eastAsia" w:eastAsia="仿宋"/>
          <w:lang w:eastAsia="zh-CN"/>
        </w:rPr>
      </w:pPr>
      <w:bookmarkStart w:id="97" w:name="_Toc31464"/>
      <w:r>
        <w:rPr>
          <w:rStyle w:val="28"/>
          <w:rFonts w:hint="eastAsia" w:ascii="仿宋" w:hAnsi="仿宋" w:eastAsia="仿宋"/>
          <w:b w:val="0"/>
          <w:bCs w:val="0"/>
          <w:lang w:eastAsia="zh-CN"/>
        </w:rPr>
        <w:t>十四、</w:t>
      </w:r>
      <w:bookmarkEnd w:id="97"/>
      <w:r>
        <w:rPr>
          <w:rStyle w:val="28"/>
          <w:rFonts w:hint="eastAsia" w:ascii="仿宋" w:hAnsi="仿宋" w:eastAsia="仿宋"/>
          <w:b w:val="0"/>
          <w:bCs w:val="0"/>
          <w:lang w:eastAsia="zh-CN"/>
        </w:rPr>
        <w:t>机关运行经费、资产占用情况及政府采购支出信息表</w:t>
      </w:r>
    </w:p>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Helvetica Neue">
    <w:altName w:val="Times New Roman"/>
    <w:panose1 w:val="00000000000000000000"/>
    <w:charset w:val="00"/>
    <w:family w:val="auto"/>
    <w:pitch w:val="default"/>
    <w:sig w:usb0="00000000" w:usb1="00000000" w:usb2="00000000"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FA93">
    <w:pPr>
      <w:pStyle w:val="10"/>
      <w:jc w:val="center"/>
    </w:pPr>
  </w:p>
  <w:p w14:paraId="68C31D7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BFA66">
    <w:pPr>
      <w:pStyle w:val="10"/>
      <w:jc w:val="center"/>
    </w:pPr>
  </w:p>
  <w:p w14:paraId="37D047CA">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BF88">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70429">
    <w:pPr>
      <w:pStyle w:val="10"/>
      <w:jc w:val="center"/>
    </w:pPr>
    <w:r>
      <w:rPr>
        <w:sz w:val="18"/>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
                </w:sdtPr>
                <w:sdtContent>
                  <w:p w14:paraId="3FC8BF53">
                    <w:pPr>
                      <w:pStyle w:val="10"/>
                      <w:jc w:val="center"/>
                    </w:pPr>
                    <w:r>
                      <w:fldChar w:fldCharType="begin"/>
                    </w:r>
                    <w:r>
                      <w:instrText xml:space="preserve">PAGE   \* MERGEFORMAT</w:instrText>
                    </w:r>
                    <w:r>
                      <w:fldChar w:fldCharType="separate"/>
                    </w:r>
                    <w:r>
                      <w:rPr>
                        <w:lang w:val="zh-CN"/>
                      </w:rPr>
                      <w:t>24</w:t>
                    </w:r>
                    <w:r>
                      <w:fldChar w:fldCharType="end"/>
                    </w:r>
                  </w:p>
                </w:sdtContent>
              </w:sdt>
              <w:p w14:paraId="42CD93B8">
                <w:pPr>
                  <w:pStyle w:val="2"/>
                </w:pPr>
              </w:p>
            </w:txbxContent>
          </v:textbox>
        </v:shape>
      </w:pict>
    </w:r>
  </w:p>
  <w:p w14:paraId="235EEDEC">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BEB13">
    <w:pPr>
      <w:pStyle w:val="10"/>
    </w:pPr>
    <w:r>
      <w:rPr>
        <w:sz w:val="18"/>
      </w:rPr>
      <w:pict>
        <v:shape id="_x0000_s2052" o:spid="_x0000_s205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54A6305D">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AB5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A0AF8"/>
    <w:multiLevelType w:val="singleLevel"/>
    <w:tmpl w:val="830A0AF8"/>
    <w:lvl w:ilvl="0" w:tentative="0">
      <w:start w:val="2"/>
      <w:numFmt w:val="chineseCounting"/>
      <w:suff w:val="nothing"/>
      <w:lvlText w:val="（%1）"/>
      <w:lvlJc w:val="left"/>
      <w:rPr>
        <w:rFonts w:hint="eastAsia"/>
      </w:rPr>
    </w:lvl>
  </w:abstractNum>
  <w:abstractNum w:abstractNumId="1">
    <w:nsid w:val="843EFA5B"/>
    <w:multiLevelType w:val="singleLevel"/>
    <w:tmpl w:val="843EFA5B"/>
    <w:lvl w:ilvl="0" w:tentative="0">
      <w:start w:val="2"/>
      <w:numFmt w:val="chineseCounting"/>
      <w:suff w:val="nothing"/>
      <w:lvlText w:val="%1、"/>
      <w:lvlJc w:val="left"/>
      <w:rPr>
        <w:rFonts w:hint="eastAsia"/>
      </w:rPr>
    </w:lvl>
  </w:abstractNum>
  <w:abstractNum w:abstractNumId="2">
    <w:nsid w:val="8D1A6F42"/>
    <w:multiLevelType w:val="singleLevel"/>
    <w:tmpl w:val="8D1A6F42"/>
    <w:lvl w:ilvl="0" w:tentative="0">
      <w:start w:val="4"/>
      <w:numFmt w:val="chineseCounting"/>
      <w:suff w:val="nothing"/>
      <w:lvlText w:val="(%1）"/>
      <w:lvlJc w:val="left"/>
      <w:rPr>
        <w:rFonts w:hint="eastAsia"/>
      </w:rPr>
    </w:lvl>
  </w:abstractNum>
  <w:abstractNum w:abstractNumId="3">
    <w:nsid w:val="9720ABED"/>
    <w:multiLevelType w:val="singleLevel"/>
    <w:tmpl w:val="9720ABED"/>
    <w:lvl w:ilvl="0" w:tentative="0">
      <w:start w:val="1"/>
      <w:numFmt w:val="chineseCounting"/>
      <w:suff w:val="nothing"/>
      <w:lvlText w:val="（%1）"/>
      <w:lvlJc w:val="left"/>
      <w:rPr>
        <w:rFonts w:hint="eastAsia"/>
      </w:rPr>
    </w:lvl>
  </w:abstractNum>
  <w:abstractNum w:abstractNumId="4">
    <w:nsid w:val="A46ABBD1"/>
    <w:multiLevelType w:val="singleLevel"/>
    <w:tmpl w:val="A46ABBD1"/>
    <w:lvl w:ilvl="0" w:tentative="0">
      <w:start w:val="1"/>
      <w:numFmt w:val="chineseCounting"/>
      <w:suff w:val="nothing"/>
      <w:lvlText w:val="（%1）"/>
      <w:lvlJc w:val="left"/>
      <w:rPr>
        <w:rFonts w:hint="eastAsia"/>
      </w:rPr>
    </w:lvl>
  </w:abstractNum>
  <w:abstractNum w:abstractNumId="5">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6">
    <w:nsid w:val="B245D1E9"/>
    <w:multiLevelType w:val="singleLevel"/>
    <w:tmpl w:val="B245D1E9"/>
    <w:lvl w:ilvl="0" w:tentative="0">
      <w:start w:val="2"/>
      <w:numFmt w:val="decimal"/>
      <w:suff w:val="nothing"/>
      <w:lvlText w:val="%1、"/>
      <w:lvlJc w:val="left"/>
    </w:lvl>
  </w:abstractNum>
  <w:abstractNum w:abstractNumId="7">
    <w:nsid w:val="CF652CEC"/>
    <w:multiLevelType w:val="singleLevel"/>
    <w:tmpl w:val="CF652CEC"/>
    <w:lvl w:ilvl="0" w:tentative="0">
      <w:start w:val="9"/>
      <w:numFmt w:val="chineseCounting"/>
      <w:suff w:val="nothing"/>
      <w:lvlText w:val="%1、"/>
      <w:lvlJc w:val="left"/>
      <w:rPr>
        <w:rFonts w:hint="eastAsia"/>
      </w:rPr>
    </w:lvl>
  </w:abstractNum>
  <w:abstractNum w:abstractNumId="8">
    <w:nsid w:val="D6BCAC86"/>
    <w:multiLevelType w:val="singleLevel"/>
    <w:tmpl w:val="D6BCAC86"/>
    <w:lvl w:ilvl="0" w:tentative="0">
      <w:start w:val="1"/>
      <w:numFmt w:val="chineseCounting"/>
      <w:suff w:val="nothing"/>
      <w:lvlText w:val="%1、"/>
      <w:lvlJc w:val="left"/>
      <w:rPr>
        <w:rFonts w:hint="eastAsia"/>
      </w:rPr>
    </w:lvl>
  </w:abstractNum>
  <w:abstractNum w:abstractNumId="9">
    <w:nsid w:val="DC82C407"/>
    <w:multiLevelType w:val="singleLevel"/>
    <w:tmpl w:val="DC82C407"/>
    <w:lvl w:ilvl="0" w:tentative="0">
      <w:start w:val="1"/>
      <w:numFmt w:val="decimal"/>
      <w:suff w:val="nothing"/>
      <w:lvlText w:val="%1、"/>
      <w:lvlJc w:val="left"/>
    </w:lvl>
  </w:abstractNum>
  <w:abstractNum w:abstractNumId="10">
    <w:nsid w:val="E2FA047D"/>
    <w:multiLevelType w:val="singleLevel"/>
    <w:tmpl w:val="E2FA047D"/>
    <w:lvl w:ilvl="0" w:tentative="0">
      <w:start w:val="3"/>
      <w:numFmt w:val="chineseCounting"/>
      <w:suff w:val="space"/>
      <w:lvlText w:val="第%1部分"/>
      <w:lvlJc w:val="left"/>
      <w:rPr>
        <w:rFonts w:hint="eastAsia"/>
      </w:rPr>
    </w:lvl>
  </w:abstractNum>
  <w:abstractNum w:abstractNumId="1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12">
    <w:nsid w:val="F033B994"/>
    <w:multiLevelType w:val="singleLevel"/>
    <w:tmpl w:val="F033B994"/>
    <w:lvl w:ilvl="0" w:tentative="0">
      <w:start w:val="7"/>
      <w:numFmt w:val="chineseCounting"/>
      <w:suff w:val="nothing"/>
      <w:lvlText w:val="%1、"/>
      <w:lvlJc w:val="left"/>
      <w:rPr>
        <w:rFonts w:hint="eastAsia"/>
      </w:rPr>
    </w:lvl>
  </w:abstractNum>
  <w:abstractNum w:abstractNumId="13">
    <w:nsid w:val="F06E6E62"/>
    <w:multiLevelType w:val="singleLevel"/>
    <w:tmpl w:val="F06E6E62"/>
    <w:lvl w:ilvl="0" w:tentative="0">
      <w:start w:val="1"/>
      <w:numFmt w:val="chineseCounting"/>
      <w:suff w:val="nothing"/>
      <w:lvlText w:val="（%1）"/>
      <w:lvlJc w:val="left"/>
      <w:rPr>
        <w:rFonts w:hint="eastAsia"/>
      </w:rPr>
    </w:lvl>
  </w:abstractNum>
  <w:abstractNum w:abstractNumId="1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5">
    <w:nsid w:val="53506EF4"/>
    <w:multiLevelType w:val="singleLevel"/>
    <w:tmpl w:val="53506EF4"/>
    <w:lvl w:ilvl="0" w:tentative="0">
      <w:start w:val="1"/>
      <w:numFmt w:val="decimal"/>
      <w:suff w:val="nothing"/>
      <w:lvlText w:val="%1、"/>
      <w:lvlJc w:val="left"/>
    </w:lvl>
  </w:abstractNum>
  <w:abstractNum w:abstractNumId="16">
    <w:nsid w:val="70EF17BE"/>
    <w:multiLevelType w:val="singleLevel"/>
    <w:tmpl w:val="70EF17BE"/>
    <w:lvl w:ilvl="0" w:tentative="0">
      <w:start w:val="2"/>
      <w:numFmt w:val="chineseCounting"/>
      <w:suff w:val="nothing"/>
      <w:lvlText w:val="（%1）"/>
      <w:lvlJc w:val="left"/>
      <w:rPr>
        <w:rFonts w:hint="eastAsia"/>
      </w:rPr>
    </w:lvl>
  </w:abstractNum>
  <w:abstractNum w:abstractNumId="17">
    <w:nsid w:val="7E43D979"/>
    <w:multiLevelType w:val="singleLevel"/>
    <w:tmpl w:val="7E43D979"/>
    <w:lvl w:ilvl="0" w:tentative="0">
      <w:start w:val="1"/>
      <w:numFmt w:val="decimal"/>
      <w:lvlText w:val="%1."/>
      <w:lvlJc w:val="left"/>
      <w:pPr>
        <w:tabs>
          <w:tab w:val="left" w:pos="312"/>
        </w:tabs>
      </w:pPr>
    </w:lvl>
  </w:abstractNum>
  <w:num w:numId="1">
    <w:abstractNumId w:val="8"/>
  </w:num>
  <w:num w:numId="2">
    <w:abstractNumId w:val="14"/>
  </w:num>
  <w:num w:numId="3">
    <w:abstractNumId w:val="0"/>
  </w:num>
  <w:num w:numId="4">
    <w:abstractNumId w:val="12"/>
  </w:num>
  <w:num w:numId="5">
    <w:abstractNumId w:val="17"/>
  </w:num>
  <w:num w:numId="6">
    <w:abstractNumId w:val="7"/>
  </w:num>
  <w:num w:numId="7">
    <w:abstractNumId w:val="11"/>
  </w:num>
  <w:num w:numId="8">
    <w:abstractNumId w:val="5"/>
  </w:num>
  <w:num w:numId="9">
    <w:abstractNumId w:val="10"/>
  </w:num>
  <w:num w:numId="10">
    <w:abstractNumId w:val="6"/>
  </w:num>
  <w:num w:numId="11">
    <w:abstractNumId w:val="1"/>
  </w:num>
  <w:num w:numId="12">
    <w:abstractNumId w:val="4"/>
  </w:num>
  <w:num w:numId="13">
    <w:abstractNumId w:val="16"/>
  </w:num>
  <w:num w:numId="14">
    <w:abstractNumId w:val="9"/>
  </w:num>
  <w:num w:numId="15">
    <w:abstractNumId w:val="3"/>
  </w:num>
  <w:num w:numId="16">
    <w:abstractNumId w:val="1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RmZmZlMzIzZmY5N2JjOGViODY3ZDViNjY3ZTBlNz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160987"/>
    <w:rsid w:val="094A650F"/>
    <w:rsid w:val="10C055FF"/>
    <w:rsid w:val="134D37C3"/>
    <w:rsid w:val="16BB723D"/>
    <w:rsid w:val="1C6938B4"/>
    <w:rsid w:val="1C8849F2"/>
    <w:rsid w:val="1D762CB5"/>
    <w:rsid w:val="240371BF"/>
    <w:rsid w:val="24BD75A9"/>
    <w:rsid w:val="29FD04D3"/>
    <w:rsid w:val="2CD2762F"/>
    <w:rsid w:val="2E37441B"/>
    <w:rsid w:val="2F7A6E87"/>
    <w:rsid w:val="319F7F4E"/>
    <w:rsid w:val="33142B62"/>
    <w:rsid w:val="39346152"/>
    <w:rsid w:val="3BC0190F"/>
    <w:rsid w:val="444E522D"/>
    <w:rsid w:val="4C6442C0"/>
    <w:rsid w:val="4ECE2238"/>
    <w:rsid w:val="5A401F20"/>
    <w:rsid w:val="62C4233A"/>
    <w:rsid w:val="6FE2496A"/>
    <w:rsid w:val="72734D90"/>
    <w:rsid w:val="7CFB09BC"/>
    <w:rsid w:val="7D6C40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默认"/>
    <w:basedOn w:val="1"/>
    <w:next w:val="1"/>
    <w:qFormat/>
    <w:uiPriority w:val="0"/>
    <w:pPr>
      <w:widowControl/>
    </w:pPr>
    <w:rPr>
      <w:rFonts w:ascii="Helvetica Neue" w:hAnsi="Helvetica Neue" w:eastAsia="Arial Unicode MS" w:cs="Arial Unicode MS"/>
      <w:color w:val="000000"/>
      <w:sz w:val="22"/>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eastAsia="仿宋"/>
      <w:kern w:val="0"/>
      <w:sz w:val="32"/>
      <w:szCs w:val="21"/>
    </w:r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image" Target="media/image1.png"/><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2"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2"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3"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收入决算</c:v>
                </c:pt>
              </c:strCache>
            </c:strRef>
          </c:tx>
          <c:spPr>
            <a:solidFill>
              <a:schemeClr val="accent1"/>
            </a:solidFill>
            <a:ln>
              <a:noFill/>
            </a:ln>
            <a:effectLst/>
          </c:spPr>
          <c:invertIfNegative val="0"/>
          <c:dLbls>
            <c:delete val="1"/>
          </c:dLbls>
          <c:cat>
            <c:numRef>
              <c:f>[工作簿1]Sheet1!$B$1:$C$1</c:f>
              <c:numCache>
                <c:formatCode>General</c:formatCode>
                <c:ptCount val="2"/>
                <c:pt idx="0">
                  <c:v>2019</c:v>
                </c:pt>
                <c:pt idx="1">
                  <c:v>2018</c:v>
                </c:pt>
              </c:numCache>
            </c:numRef>
          </c:cat>
          <c:val>
            <c:numRef>
              <c:f>[工作簿1]Sheet1!$B$2:$C$2</c:f>
              <c:numCache>
                <c:formatCode>General</c:formatCode>
                <c:ptCount val="2"/>
                <c:pt idx="0">
                  <c:v>23433.05</c:v>
                </c:pt>
                <c:pt idx="1">
                  <c:v>26383.55</c:v>
                </c:pt>
              </c:numCache>
            </c:numRef>
          </c:val>
        </c:ser>
        <c:ser>
          <c:idx val="1"/>
          <c:order val="1"/>
          <c:tx>
            <c:strRef>
              <c:f>[工作簿1]Sheet1!$A$3</c:f>
              <c:strCache>
                <c:ptCount val="1"/>
                <c:pt idx="0">
                  <c:v>支出决算</c:v>
                </c:pt>
              </c:strCache>
            </c:strRef>
          </c:tx>
          <c:spPr>
            <a:solidFill>
              <a:schemeClr val="accent2"/>
            </a:solidFill>
            <a:ln>
              <a:noFill/>
            </a:ln>
            <a:effectLst/>
          </c:spPr>
          <c:invertIfNegative val="0"/>
          <c:dLbls>
            <c:delete val="1"/>
          </c:dLbls>
          <c:cat>
            <c:numRef>
              <c:f>[工作簿1]Sheet1!$B$1:$C$1</c:f>
              <c:numCache>
                <c:formatCode>General</c:formatCode>
                <c:ptCount val="2"/>
                <c:pt idx="0">
                  <c:v>2019</c:v>
                </c:pt>
                <c:pt idx="1">
                  <c:v>2018</c:v>
                </c:pt>
              </c:numCache>
            </c:numRef>
          </c:cat>
          <c:val>
            <c:numRef>
              <c:f>[工作簿1]Sheet1!$B$3:$C$3</c:f>
              <c:numCache>
                <c:formatCode>General</c:formatCode>
                <c:ptCount val="2"/>
                <c:pt idx="0">
                  <c:v>22305.74</c:v>
                </c:pt>
                <c:pt idx="1">
                  <c:v>23384.1</c:v>
                </c:pt>
              </c:numCache>
            </c:numRef>
          </c:val>
        </c:ser>
        <c:dLbls>
          <c:showLegendKey val="0"/>
          <c:showVal val="0"/>
          <c:showCatName val="0"/>
          <c:showSerName val="0"/>
          <c:showPercent val="0"/>
          <c:showBubbleSize val="0"/>
        </c:dLbls>
        <c:gapWidth val="219"/>
        <c:overlap val="-27"/>
        <c:axId val="189187071"/>
        <c:axId val="104559591"/>
      </c:barChart>
      <c:catAx>
        <c:axId val="1891870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559591"/>
        <c:crosses val="autoZero"/>
        <c:auto val="1"/>
        <c:lblAlgn val="ctr"/>
        <c:lblOffset val="100"/>
        <c:noMultiLvlLbl val="0"/>
      </c:catAx>
      <c:valAx>
        <c:axId val="104559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1870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fdf9150-2984-4d9c-9c4c-99fb2ea88c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[工作簿2]Sheet1!$A$2</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92.6%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[工作簿2]Sheet1!$B$1:$C$1</c:f>
              <c:strCache>
                <c:ptCount val="2"/>
                <c:pt idx="0">
                  <c:v>一般公共预算财政拨款收入</c:v>
                </c:pt>
                <c:pt idx="1">
                  <c:v>政府性基金预算财政拨款收入</c:v>
                </c:pt>
              </c:strCache>
            </c:strRef>
          </c:cat>
          <c:val>
            <c:numRef>
              <c:f>[工作簿2]Sheet1!$B$2:$C$2</c:f>
              <c:numCache>
                <c:formatCode>General</c:formatCode>
                <c:ptCount val="2"/>
                <c:pt idx="0">
                  <c:v>1734.9</c:v>
                </c:pt>
                <c:pt idx="1">
                  <c:v>21698.15</c:v>
                </c:pt>
              </c:numCache>
            </c:numRef>
          </c:val>
        </c:ser>
        <c:ser>
          <c:idx val="1"/>
          <c:order val="1"/>
          <c:tx>
            <c:strRef>
              <c:f>[工作簿2]Sheet1!$A$3</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[工作簿2]Sheet1!$B$1:$C$1</c:f>
              <c:strCache>
                <c:ptCount val="2"/>
                <c:pt idx="0">
                  <c:v>一般公共预算财政拨款收入</c:v>
                </c:pt>
                <c:pt idx="1">
                  <c:v>政府性基金预算财政拨款收入</c:v>
                </c:pt>
              </c:strCache>
            </c:strRef>
          </c:cat>
          <c:val>
            <c:numRef>
              <c:f>[工作簿2]Sheet1!$B$3:$C$3</c:f>
              <c:numCache>
                <c:formatCode>0.00%</c:formatCode>
                <c:ptCount val="2"/>
                <c:pt idx="0">
                  <c:v>0.074</c:v>
                </c:pt>
                <c:pt idx="1">
                  <c:v>0.926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062f8b-f92d-49de-aca0-f74c7606745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manualLayout>
          <c:layoutTarget val="inner"/>
          <c:xMode val="edge"/>
          <c:yMode val="edge"/>
          <c:x val="0.337025966183575"/>
          <c:y val="0.196682561531151"/>
          <c:w val="0.347083333333333"/>
          <c:h val="0.635231316725979"/>
        </c:manualLayout>
      </c:layout>
      <c:pieChart>
        <c:varyColors val="1"/>
        <c:ser>
          <c:idx val="1"/>
          <c:order val="1"/>
          <c:tx>
            <c:strRef>
              <c:f>[工作簿2]Sheet1!$A$3</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[工作簿2]Sheet1!$B$1:$C$1</c:f>
              <c:strCache>
                <c:ptCount val="2"/>
                <c:pt idx="0">
                  <c:v>基本支出</c:v>
                </c:pt>
                <c:pt idx="1">
                  <c:v>项目支出</c:v>
                </c:pt>
              </c:strCache>
            </c:strRef>
          </c:cat>
          <c:val>
            <c:numRef>
              <c:f>[工作簿2]Sheet1!$B$3:$C$3</c:f>
              <c:numCache>
                <c:formatCode>0.00%</c:formatCode>
                <c:ptCount val="2"/>
                <c:pt idx="0">
                  <c:v>0.0568</c:v>
                </c:pt>
                <c:pt idx="1">
                  <c:v>0.9432</c:v>
                </c:pt>
              </c:numCache>
            </c:numRef>
          </c:val>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[工作簿2]Sheet1!$A$2</c15:sqref>
                        </c15:formulaRef>
                      </c:ext>
                    </c:extLst>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extLst>
                      <c:ext uri="{02D57815-91ED-43cb-92C2-25804820EDAC}">
                        <c15:fullRef>
                          <c15:sqref/>
                        </c15:fullRef>
                        <c15:formulaRef>
                          <c15:sqref>[工作簿2]Sheet1!$B$1:$C$1</c15:sqref>
                        </c15:formulaRef>
                      </c:ext>
                    </c:extLst>
                    <c:strCache>
                      <c:ptCount val="2"/>
                      <c:pt idx="0">
                        <c:v>基本支出</c:v>
                      </c:pt>
                      <c:pt idx="1">
                        <c:v>项目支出</c:v>
                      </c:pt>
                    </c:strCache>
                  </c:strRef>
                </c:cat>
                <c:val>
                  <c:numRef>
                    <c:extLst>
                      <c:ext uri="{02D57815-91ED-43cb-92C2-25804820EDAC}">
                        <c15:formulaRef>
                          <c15:sqref>{1267,21038.74}</c15:sqref>
                        </c15:formulaRef>
                      </c:ext>
                    </c:extLst>
                    <c:numCache>
                      <c:formatCode>General</c:formatCode>
                      <c:ptCount val="2"/>
                      <c:pt idx="0">
                        <c:v>1267</c:v>
                      </c:pt>
                      <c:pt idx="1">
                        <c:v>21038.74</c:v>
                      </c:pt>
                    </c:numCache>
                  </c:numRef>
                </c:val>
              </c15:ser>
            </c15:filteredPieSeries>
          </c:ext>
        </c:extLst>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511ef07-591d-476f-b603-57ded4e88a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[工作簿2]Sheet1!$B$1</c:f>
              <c:strCache>
                <c:ptCount val="1"/>
                <c:pt idx="0">
                  <c:v>一般公共预算财政拨款支出决算变动情况图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[工作簿2]Sheet1!$A$2:$A$3</c:f>
              <c:numCache>
                <c:formatCode>General</c:formatCode>
                <c:ptCount val="2"/>
                <c:pt idx="0">
                  <c:v>2018</c:v>
                </c:pt>
                <c:pt idx="1">
                  <c:v>2019</c:v>
                </c:pt>
              </c:numCache>
            </c:numRef>
          </c:cat>
          <c:val>
            <c:numRef>
              <c:f>[工作簿2]Sheet1!$B$2:$B$3</c:f>
              <c:numCache>
                <c:formatCode>General</c:formatCode>
                <c:ptCount val="2"/>
                <c:pt idx="0">
                  <c:v>1830.82</c:v>
                </c:pt>
                <c:pt idx="1">
                  <c:v>1652.6</c:v>
                </c:pt>
              </c:numCache>
            </c:numRef>
          </c:val>
        </c:ser>
        <c:dLbls>
          <c:showLegendKey val="0"/>
          <c:showVal val="1"/>
          <c:showCatName val="0"/>
          <c:showSerName val="0"/>
          <c:showPercent val="0"/>
          <c:showBubbleSize val="0"/>
        </c:dLbls>
        <c:gapWidth val="219"/>
        <c:overlap val="-27"/>
        <c:axId val="134594255"/>
        <c:axId val="644673755"/>
      </c:barChart>
      <c:catAx>
        <c:axId val="1345942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673755"/>
        <c:crosses val="autoZero"/>
        <c:auto val="1"/>
        <c:lblAlgn val="ctr"/>
        <c:lblOffset val="100"/>
        <c:noMultiLvlLbl val="0"/>
      </c:catAx>
      <c:valAx>
        <c:axId val="6446737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594255"/>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608eca-f683-40c5-adf8-12768fc19d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一般公共预算财政拨款支出决算图</a:t>
            </a:r>
          </a:p>
        </c:rich>
      </c:tx>
      <c:layout/>
      <c:overlay val="0"/>
      <c:spPr>
        <a:noFill/>
        <a:ln>
          <a:noFill/>
        </a:ln>
        <a:effectLst/>
      </c:spPr>
    </c:title>
    <c:autoTitleDeleted val="0"/>
    <c:plotArea>
      <c:layout/>
      <c:pieChart>
        <c:varyColors val="1"/>
        <c:ser>
          <c:idx val="0"/>
          <c:order val="0"/>
          <c:tx>
            <c:strRef>
              <c:f>[工作簿3]Sheet1!$B$1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983417690412087"/>
                  <c:y val="-0.024952041222083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58.89%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0.02%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25.53%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4.12%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4.68%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6.76%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[工作簿3]Sheet1!$A$2:$A$7</c:f>
              <c:strCache>
                <c:ptCount val="6"/>
                <c:pt idx="0">
                  <c:v>一般公共服务支出</c:v>
                </c:pt>
                <c:pt idx="1">
                  <c:v>文化旅游体育与传媒支出</c:v>
                </c:pt>
                <c:pt idx="2">
                  <c:v>社会保障和就业支出</c:v>
                </c:pt>
                <c:pt idx="3">
                  <c:v>卫生健康支出</c:v>
                </c:pt>
                <c:pt idx="4">
                  <c:v>农林水支出</c:v>
                </c:pt>
                <c:pt idx="5">
                  <c:v>住房保障支出</c:v>
                </c:pt>
              </c:strCache>
            </c:strRef>
          </c:cat>
          <c:val>
            <c:numRef>
              <c:f>[工作簿3]Sheet1!$B$2:$B$7</c:f>
              <c:numCache>
                <c:formatCode>General</c:formatCode>
                <c:ptCount val="6"/>
                <c:pt idx="0">
                  <c:v>973.23</c:v>
                </c:pt>
                <c:pt idx="1">
                  <c:v>0.3</c:v>
                </c:pt>
                <c:pt idx="2">
                  <c:v>421.93</c:v>
                </c:pt>
                <c:pt idx="3">
                  <c:v>68.07</c:v>
                </c:pt>
                <c:pt idx="4">
                  <c:v>77.32</c:v>
                </c:pt>
                <c:pt idx="5">
                  <c:v>111.75</c:v>
                </c:pt>
              </c:numCache>
            </c:numRef>
          </c:val>
        </c:ser>
        <c:ser>
          <c:idx val="1"/>
          <c:order val="1"/>
          <c:tx>
            <c:strRef>
              <c:f>[工作簿3]Sheet1!$C$1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[工作簿3]Sheet1!$A$2:$A$7</c:f>
              <c:strCache>
                <c:ptCount val="6"/>
                <c:pt idx="0">
                  <c:v>一般公共服务支出</c:v>
                </c:pt>
                <c:pt idx="1">
                  <c:v>文化旅游体育与传媒支出</c:v>
                </c:pt>
                <c:pt idx="2">
                  <c:v>社会保障和就业支出</c:v>
                </c:pt>
                <c:pt idx="3">
                  <c:v>卫生健康支出</c:v>
                </c:pt>
                <c:pt idx="4">
                  <c:v>农林水支出</c:v>
                </c:pt>
                <c:pt idx="5">
                  <c:v>住房保障支出</c:v>
                </c:pt>
              </c:strCache>
            </c:strRef>
          </c:cat>
          <c:val>
            <c:numRef>
              <c:f>[工作簿3]Sheet1!$C$2:$C$7</c:f>
              <c:numCache>
                <c:formatCode>0.00%</c:formatCode>
                <c:ptCount val="6"/>
                <c:pt idx="0">
                  <c:v>0.5889</c:v>
                </c:pt>
                <c:pt idx="1">
                  <c:v>0.0002</c:v>
                </c:pt>
                <c:pt idx="2">
                  <c:v>0.2553</c:v>
                </c:pt>
                <c:pt idx="3">
                  <c:v>0.0412</c:v>
                </c:pt>
                <c:pt idx="4">
                  <c:v>0.0468</c:v>
                </c:pt>
                <c:pt idx="5">
                  <c:v>0.0676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de9b5b8-73aa-4d08-9850-90e1371d42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[工作簿4]Sheet1!$A$2</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84.88%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a:t>
                    </a:r>
                    <a:r>
                      <a:rPr lang="en-US" altLang="zh-CN"/>
                      <a:t>5.12%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[工作簿4]Sheet1!$B$1:$C$1</c:f>
              <c:strCache>
                <c:ptCount val="2"/>
                <c:pt idx="0">
                  <c:v>公务用车购置及运行维护费支出决算</c:v>
                </c:pt>
                <c:pt idx="1">
                  <c:v>公务接待费支出决算</c:v>
                </c:pt>
              </c:strCache>
            </c:strRef>
          </c:cat>
          <c:val>
            <c:numRef>
              <c:f>[工作簿4]Sheet1!$B$2:$C$2</c:f>
              <c:numCache>
                <c:formatCode>General</c:formatCode>
                <c:ptCount val="2"/>
                <c:pt idx="0">
                  <c:v>9.32</c:v>
                </c:pt>
                <c:pt idx="1">
                  <c:v>1.66</c:v>
                </c:pt>
              </c:numCache>
            </c:numRef>
          </c:val>
        </c:ser>
        <c:ser>
          <c:idx val="1"/>
          <c:order val="1"/>
          <c:tx>
            <c:strRef>
              <c:f>[工作簿4]Sheet1!$A$3</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[工作簿4]Sheet1!$B$1:$C$1</c:f>
              <c:strCache>
                <c:ptCount val="2"/>
                <c:pt idx="0">
                  <c:v>公务用车购置及运行维护费支出决算</c:v>
                </c:pt>
                <c:pt idx="1">
                  <c:v>公务接待费支出决算</c:v>
                </c:pt>
              </c:strCache>
            </c:strRef>
          </c:cat>
          <c:val>
            <c:numRef>
              <c:f>[工作簿4]Sheet1!$B$3:$C$3</c:f>
              <c:numCache>
                <c:formatCode>0.00%</c:formatCode>
                <c:ptCount val="2"/>
                <c:pt idx="0">
                  <c:v>0.8488</c:v>
                </c:pt>
                <c:pt idx="1">
                  <c:v>0.1512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5dc01cc-384a-4ace-918f-3e964d20b8f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textRotate="1"/>
    <customShpInfo spid="_x0000_s205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16749</Words>
  <Characters>18244</Characters>
  <Lines>7</Lines>
  <Paragraphs>17</Paragraphs>
  <TotalTime>31</TotalTime>
  <ScaleCrop>false</ScaleCrop>
  <LinksUpToDate>false</LinksUpToDate>
  <CharactersWithSpaces>18386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2020-07-23T10:58:00Z</cp:lastPrinted>
  <dcterms:modified xsi:type="dcterms:W3CDTF">2026-08-20T11:06:59Z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7A10AE8F2DEB4A439256535E3E135DAA_12</vt:lpwstr>
  </property>
</Properties>
</file>