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044E6">
      <w:pPr>
        <w:spacing w:line="600" w:lineRule="exact"/>
        <w:jc w:val="center"/>
        <w:outlineLvl w:val="0"/>
        <w:rPr>
          <w:rFonts w:ascii="方正小标宋简体" w:hAnsi="宋体" w:eastAsia="方正小标宋简体"/>
          <w:color w:val="000000"/>
          <w:sz w:val="72"/>
          <w:szCs w:val="72"/>
        </w:rPr>
      </w:pPr>
      <w:bookmarkStart w:id="76" w:name="_GoBack"/>
      <w:bookmarkEnd w:id="76"/>
      <w:bookmarkStart w:id="0" w:name="_Toc15306267"/>
    </w:p>
    <w:p w14:paraId="677D990E">
      <w:pPr>
        <w:spacing w:line="600" w:lineRule="exact"/>
        <w:jc w:val="center"/>
        <w:outlineLvl w:val="0"/>
        <w:rPr>
          <w:rFonts w:ascii="方正小标宋简体" w:hAnsi="宋体" w:eastAsia="方正小标宋简体"/>
          <w:color w:val="000000"/>
          <w:sz w:val="72"/>
          <w:szCs w:val="72"/>
        </w:rPr>
      </w:pPr>
    </w:p>
    <w:p w14:paraId="2D130B6F">
      <w:pPr>
        <w:spacing w:line="600" w:lineRule="exact"/>
        <w:jc w:val="center"/>
        <w:outlineLvl w:val="0"/>
        <w:rPr>
          <w:rFonts w:ascii="方正小标宋简体" w:hAnsi="宋体" w:eastAsia="方正小标宋简体"/>
          <w:color w:val="000000"/>
          <w:sz w:val="72"/>
          <w:szCs w:val="72"/>
        </w:rPr>
      </w:pPr>
    </w:p>
    <w:p w14:paraId="218F15E5">
      <w:pPr>
        <w:spacing w:line="600" w:lineRule="exact"/>
        <w:jc w:val="center"/>
        <w:outlineLvl w:val="0"/>
        <w:rPr>
          <w:rFonts w:ascii="方正小标宋简体" w:hAnsi="宋体" w:eastAsia="方正小标宋简体"/>
          <w:color w:val="000000"/>
          <w:sz w:val="72"/>
          <w:szCs w:val="72"/>
        </w:rPr>
      </w:pPr>
    </w:p>
    <w:p w14:paraId="31ADE94E">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8441"/>
      <w:bookmarkStart w:id="4" w:name="_Toc15396475"/>
      <w:bookmarkStart w:id="5" w:name="_Toc15377193"/>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p w14:paraId="426311FA">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8442"/>
      <w:bookmarkStart w:id="8" w:name="_Toc15377194"/>
      <w:bookmarkStart w:id="9" w:name="_Toc15396598"/>
      <w:bookmarkStart w:id="10" w:name="_Toc15396476"/>
      <w:r>
        <w:rPr>
          <w:rFonts w:hint="eastAsia" w:ascii="方正小标宋简体" w:hAnsi="宋体" w:eastAsia="方正小标宋简体"/>
          <w:color w:val="000000"/>
          <w:sz w:val="72"/>
          <w:szCs w:val="72"/>
        </w:rPr>
        <w:t>四川省米易县</w:t>
      </w:r>
      <w:bookmarkEnd w:id="0"/>
      <w:bookmarkStart w:id="11" w:name="_Toc15306268"/>
      <w:r>
        <w:rPr>
          <w:rFonts w:hint="eastAsia" w:ascii="方正小标宋简体" w:hAnsi="宋体" w:eastAsia="方正小标宋简体"/>
          <w:color w:val="000000"/>
          <w:sz w:val="72"/>
          <w:szCs w:val="72"/>
        </w:rPr>
        <w:t>民族宗教事务局部门决算</w:t>
      </w:r>
      <w:bookmarkEnd w:id="6"/>
      <w:bookmarkEnd w:id="7"/>
      <w:bookmarkEnd w:id="8"/>
      <w:bookmarkEnd w:id="9"/>
      <w:bookmarkEnd w:id="10"/>
      <w:bookmarkEnd w:id="11"/>
    </w:p>
    <w:p w14:paraId="5011CE1F">
      <w:pPr>
        <w:widowControl/>
        <w:jc w:val="center"/>
        <w:rPr>
          <w:rFonts w:ascii="黑体" w:hAnsi="黑体" w:eastAsia="黑体"/>
          <w:color w:val="000000"/>
          <w:sz w:val="48"/>
          <w:szCs w:val="48"/>
        </w:rPr>
      </w:pPr>
      <w:r>
        <w:rPr>
          <w:rFonts w:ascii="方正小标宋简体" w:hAnsi="宋体" w:eastAsia="方正小标宋简体"/>
          <w:color w:val="000000"/>
          <w:sz w:val="72"/>
          <w:szCs w:val="72"/>
        </w:rPr>
        <w:br w:type="page"/>
      </w:r>
      <w:r>
        <w:rPr>
          <w:rFonts w:hint="eastAsia" w:ascii="黑体" w:hAnsi="黑体" w:eastAsia="黑体"/>
          <w:color w:val="000000"/>
          <w:sz w:val="48"/>
          <w:szCs w:val="48"/>
        </w:rPr>
        <w:t>目录</w:t>
      </w:r>
      <w:r>
        <w:rPr>
          <w:rFonts w:ascii="黑体" w:hAnsi="黑体" w:eastAsia="黑体"/>
          <w:color w:val="000000"/>
          <w:sz w:val="36"/>
          <w:szCs w:val="36"/>
        </w:rPr>
        <w:fldChar w:fldCharType="begin"/>
      </w:r>
      <w:r>
        <w:rPr>
          <w:rFonts w:ascii="黑体" w:hAnsi="黑体" w:eastAsia="黑体"/>
          <w:color w:val="000000"/>
          <w:sz w:val="36"/>
          <w:szCs w:val="36"/>
        </w:rPr>
        <w:instrText xml:space="preserve"> TOC \o "1-2" \h \z \u </w:instrText>
      </w:r>
      <w:r>
        <w:rPr>
          <w:rFonts w:ascii="黑体" w:hAnsi="黑体" w:eastAsia="黑体"/>
          <w:color w:val="000000"/>
          <w:sz w:val="36"/>
          <w:szCs w:val="36"/>
        </w:rPr>
        <w:fldChar w:fldCharType="separate"/>
      </w:r>
    </w:p>
    <w:p w14:paraId="407B052A">
      <w:pPr>
        <w:pStyle w:val="10"/>
        <w:rPr>
          <w:sz w:val="36"/>
          <w:szCs w:val="36"/>
        </w:rPr>
      </w:pPr>
      <w:r>
        <w:rPr>
          <w:rFonts w:hint="eastAsia"/>
          <w:sz w:val="36"/>
          <w:szCs w:val="36"/>
        </w:rPr>
        <w:t>公开时间：</w:t>
      </w:r>
      <w:r>
        <w:rPr>
          <w:sz w:val="36"/>
          <w:szCs w:val="36"/>
        </w:rPr>
        <w:t>2019</w:t>
      </w:r>
      <w:r>
        <w:rPr>
          <w:rFonts w:hint="eastAsia"/>
          <w:sz w:val="36"/>
          <w:szCs w:val="36"/>
        </w:rPr>
        <w:t>年</w:t>
      </w:r>
      <w:r>
        <w:rPr>
          <w:sz w:val="36"/>
          <w:szCs w:val="36"/>
        </w:rPr>
        <w:t>8</w:t>
      </w:r>
      <w:r>
        <w:rPr>
          <w:rFonts w:hint="eastAsia"/>
          <w:sz w:val="36"/>
          <w:szCs w:val="36"/>
        </w:rPr>
        <w:t>月29</w:t>
      </w:r>
      <w:r>
        <w:rPr>
          <w:sz w:val="36"/>
          <w:szCs w:val="36"/>
        </w:rPr>
        <w:t xml:space="preserve"> </w:t>
      </w:r>
      <w:r>
        <w:rPr>
          <w:rFonts w:hint="eastAsia"/>
          <w:sz w:val="36"/>
          <w:szCs w:val="36"/>
        </w:rPr>
        <w:t>日</w:t>
      </w:r>
    </w:p>
    <w:p w14:paraId="3D688961">
      <w:pPr>
        <w:pStyle w:val="10"/>
        <w:rPr>
          <w:sz w:val="36"/>
          <w:szCs w:val="36"/>
        </w:rPr>
      </w:pPr>
      <w:r>
        <w:fldChar w:fldCharType="begin"/>
      </w:r>
      <w:r>
        <w:instrText xml:space="preserve"> HYPERLINK \l "_Toc15396599" </w:instrText>
      </w:r>
      <w:r>
        <w:fldChar w:fldCharType="separate"/>
      </w:r>
      <w:r>
        <w:rPr>
          <w:rStyle w:val="15"/>
          <w:rFonts w:hint="eastAsia"/>
          <w:sz w:val="36"/>
          <w:szCs w:val="36"/>
        </w:rPr>
        <w:t>第一部分</w:t>
      </w:r>
      <w:r>
        <w:rPr>
          <w:rStyle w:val="15"/>
          <w:sz w:val="36"/>
          <w:szCs w:val="36"/>
        </w:rPr>
        <w:t xml:space="preserve"> </w:t>
      </w:r>
      <w:r>
        <w:rPr>
          <w:rStyle w:val="15"/>
          <w:rFonts w:hint="eastAsia"/>
          <w:sz w:val="36"/>
          <w:szCs w:val="36"/>
        </w:rPr>
        <w:t>部门概况</w:t>
      </w:r>
      <w:r>
        <w:rPr>
          <w:sz w:val="36"/>
          <w:szCs w:val="36"/>
        </w:rPr>
        <w:tab/>
      </w:r>
      <w:r>
        <w:rPr>
          <w:sz w:val="36"/>
          <w:szCs w:val="36"/>
        </w:rPr>
        <w:t>4</w:t>
      </w:r>
      <w:r>
        <w:rPr>
          <w:sz w:val="36"/>
          <w:szCs w:val="36"/>
        </w:rPr>
        <w:fldChar w:fldCharType="end"/>
      </w:r>
    </w:p>
    <w:p w14:paraId="246360F2">
      <w:pPr>
        <w:pStyle w:val="11"/>
      </w:pPr>
      <w:r>
        <w:fldChar w:fldCharType="begin"/>
      </w:r>
      <w:r>
        <w:instrText xml:space="preserve"> HYPERLINK \l "_Toc15396600" </w:instrText>
      </w:r>
      <w:r>
        <w:fldChar w:fldCharType="separate"/>
      </w:r>
      <w:r>
        <w:rPr>
          <w:rStyle w:val="15"/>
          <w:rFonts w:hint="eastAsia"/>
        </w:rPr>
        <w:t>一、基本职能及主要工作</w:t>
      </w:r>
      <w:r>
        <w:tab/>
      </w:r>
      <w:r>
        <w:t>4</w:t>
      </w:r>
      <w:r>
        <w:fldChar w:fldCharType="end"/>
      </w:r>
    </w:p>
    <w:p w14:paraId="7FB1BB4A">
      <w:pPr>
        <w:pStyle w:val="11"/>
      </w:pPr>
      <w:r>
        <w:fldChar w:fldCharType="begin"/>
      </w:r>
      <w:r>
        <w:instrText xml:space="preserve"> HYPERLINK \l "_Toc15396601" </w:instrText>
      </w:r>
      <w:r>
        <w:fldChar w:fldCharType="separate"/>
      </w:r>
      <w:r>
        <w:rPr>
          <w:rStyle w:val="15"/>
          <w:rFonts w:hint="eastAsia"/>
        </w:rPr>
        <w:t>二、机构设置</w:t>
      </w:r>
      <w:r>
        <w:tab/>
      </w:r>
      <w:r>
        <w:fldChar w:fldCharType="begin"/>
      </w:r>
      <w:r>
        <w:instrText xml:space="preserve"> PAGEREF _Toc15396601 \h </w:instrText>
      </w:r>
      <w:r>
        <w:fldChar w:fldCharType="separate"/>
      </w:r>
      <w:r>
        <w:t>4</w:t>
      </w:r>
      <w:r>
        <w:fldChar w:fldCharType="end"/>
      </w:r>
      <w:r>
        <w:fldChar w:fldCharType="end"/>
      </w:r>
    </w:p>
    <w:p w14:paraId="252F1C8B">
      <w:pPr>
        <w:pStyle w:val="10"/>
        <w:rPr>
          <w:sz w:val="36"/>
          <w:szCs w:val="36"/>
        </w:rPr>
      </w:pPr>
      <w:r>
        <w:fldChar w:fldCharType="begin"/>
      </w:r>
      <w:r>
        <w:instrText xml:space="preserve"> HYPERLINK \l "_Toc15396602" </w:instrText>
      </w:r>
      <w:r>
        <w:fldChar w:fldCharType="separate"/>
      </w:r>
      <w:r>
        <w:rPr>
          <w:rStyle w:val="15"/>
          <w:rFonts w:hint="eastAsia"/>
          <w:sz w:val="36"/>
          <w:szCs w:val="36"/>
        </w:rPr>
        <w:t>第二部分</w:t>
      </w:r>
      <w:r>
        <w:rPr>
          <w:rStyle w:val="15"/>
          <w:sz w:val="36"/>
          <w:szCs w:val="36"/>
        </w:rPr>
        <w:t xml:space="preserve"> 2018</w:t>
      </w:r>
      <w:r>
        <w:rPr>
          <w:rStyle w:val="15"/>
          <w:rFonts w:hint="eastAsia"/>
          <w:sz w:val="36"/>
          <w:szCs w:val="36"/>
        </w:rPr>
        <w:t>年度部门决算情况说明</w:t>
      </w:r>
      <w:r>
        <w:rPr>
          <w:sz w:val="36"/>
          <w:szCs w:val="36"/>
        </w:rPr>
        <w:tab/>
      </w:r>
      <w:r>
        <w:rPr>
          <w:rFonts w:hint="eastAsia"/>
          <w:sz w:val="36"/>
          <w:szCs w:val="36"/>
        </w:rPr>
        <w:t>7</w:t>
      </w:r>
      <w:r>
        <w:rPr>
          <w:rFonts w:hint="eastAsia"/>
          <w:sz w:val="36"/>
          <w:szCs w:val="36"/>
        </w:rPr>
        <w:fldChar w:fldCharType="end"/>
      </w:r>
    </w:p>
    <w:p w14:paraId="5CB11BBF">
      <w:pPr>
        <w:pStyle w:val="11"/>
      </w:pPr>
      <w:r>
        <w:fldChar w:fldCharType="begin"/>
      </w:r>
      <w:r>
        <w:instrText xml:space="preserve"> HYPERLINK \l "_Toc15396603" </w:instrText>
      </w:r>
      <w:r>
        <w:fldChar w:fldCharType="separate"/>
      </w:r>
      <w:r>
        <w:rPr>
          <w:rStyle w:val="15"/>
          <w:rFonts w:hint="eastAsia"/>
          <w:bCs/>
        </w:rPr>
        <w:t>一、</w:t>
      </w:r>
      <w:r>
        <w:rPr>
          <w:rStyle w:val="15"/>
          <w:rFonts w:hint="eastAsia"/>
        </w:rPr>
        <w:t>收</w:t>
      </w:r>
      <w:r>
        <w:rPr>
          <w:rStyle w:val="15"/>
          <w:rFonts w:hint="eastAsia"/>
          <w:bCs/>
        </w:rPr>
        <w:t>入支出决算总体情况说明</w:t>
      </w:r>
      <w:r>
        <w:tab/>
      </w:r>
      <w:r>
        <w:rPr>
          <w:rFonts w:hint="eastAsia"/>
        </w:rPr>
        <w:t>7</w:t>
      </w:r>
      <w:r>
        <w:rPr>
          <w:rFonts w:hint="eastAsia"/>
        </w:rPr>
        <w:fldChar w:fldCharType="end"/>
      </w:r>
    </w:p>
    <w:p w14:paraId="554917C0">
      <w:pPr>
        <w:pStyle w:val="11"/>
      </w:pPr>
      <w:r>
        <w:fldChar w:fldCharType="begin"/>
      </w:r>
      <w:r>
        <w:instrText xml:space="preserve"> HYPERLINK \l "_Toc15396604" </w:instrText>
      </w:r>
      <w:r>
        <w:fldChar w:fldCharType="separate"/>
      </w:r>
      <w:r>
        <w:rPr>
          <w:rStyle w:val="15"/>
          <w:rFonts w:hint="eastAsia"/>
          <w:bCs/>
        </w:rPr>
        <w:t>二、</w:t>
      </w:r>
      <w:r>
        <w:rPr>
          <w:rStyle w:val="15"/>
          <w:rFonts w:hint="eastAsia"/>
        </w:rPr>
        <w:t>收</w:t>
      </w:r>
      <w:r>
        <w:rPr>
          <w:rStyle w:val="15"/>
          <w:rFonts w:hint="eastAsia"/>
          <w:bCs/>
        </w:rPr>
        <w:t>入决算情况说明</w:t>
      </w:r>
      <w:r>
        <w:tab/>
      </w:r>
      <w:r>
        <w:rPr>
          <w:rFonts w:hint="eastAsia"/>
        </w:rPr>
        <w:t>7</w:t>
      </w:r>
      <w:r>
        <w:rPr>
          <w:rFonts w:hint="eastAsia"/>
        </w:rPr>
        <w:fldChar w:fldCharType="end"/>
      </w:r>
    </w:p>
    <w:p w14:paraId="2A273CC6">
      <w:pPr>
        <w:pStyle w:val="11"/>
      </w:pPr>
      <w:r>
        <w:fldChar w:fldCharType="begin"/>
      </w:r>
      <w:r>
        <w:instrText xml:space="preserve"> HYPERLINK \l "_Toc15396605" </w:instrText>
      </w:r>
      <w:r>
        <w:fldChar w:fldCharType="separate"/>
      </w:r>
      <w:r>
        <w:rPr>
          <w:rStyle w:val="15"/>
          <w:rFonts w:hint="eastAsia"/>
          <w:bCs/>
        </w:rPr>
        <w:t>三、</w:t>
      </w:r>
      <w:r>
        <w:rPr>
          <w:rStyle w:val="15"/>
          <w:rFonts w:hint="eastAsia"/>
        </w:rPr>
        <w:t>支</w:t>
      </w:r>
      <w:r>
        <w:rPr>
          <w:rStyle w:val="15"/>
          <w:rFonts w:hint="eastAsia"/>
          <w:bCs/>
        </w:rPr>
        <w:t>出决算情况说明</w:t>
      </w:r>
      <w:r>
        <w:tab/>
      </w:r>
      <w:r>
        <w:rPr>
          <w:rFonts w:hint="eastAsia"/>
        </w:rPr>
        <w:t>8</w:t>
      </w:r>
      <w:r>
        <w:rPr>
          <w:rFonts w:hint="eastAsia"/>
        </w:rPr>
        <w:fldChar w:fldCharType="end"/>
      </w:r>
    </w:p>
    <w:p w14:paraId="017C08D8">
      <w:pPr>
        <w:pStyle w:val="11"/>
      </w:pPr>
      <w:r>
        <w:fldChar w:fldCharType="begin"/>
      </w:r>
      <w:r>
        <w:instrText xml:space="preserve"> HYPERLINK \l "_Toc15396606" </w:instrText>
      </w:r>
      <w:r>
        <w:fldChar w:fldCharType="separate"/>
      </w:r>
      <w:r>
        <w:rPr>
          <w:rStyle w:val="15"/>
          <w:rFonts w:hint="eastAsia"/>
        </w:rPr>
        <w:t>四、财</w:t>
      </w:r>
      <w:r>
        <w:rPr>
          <w:rStyle w:val="15"/>
          <w:rFonts w:hint="eastAsia"/>
          <w:bCs/>
        </w:rPr>
        <w:t>政拨款收入支出决算总体情况说明</w:t>
      </w:r>
      <w:r>
        <w:tab/>
      </w:r>
      <w:r>
        <w:rPr>
          <w:rFonts w:hint="eastAsia"/>
        </w:rPr>
        <w:t>8</w:t>
      </w:r>
      <w:r>
        <w:rPr>
          <w:rFonts w:hint="eastAsia"/>
        </w:rPr>
        <w:fldChar w:fldCharType="end"/>
      </w:r>
    </w:p>
    <w:p w14:paraId="5058D4DE">
      <w:pPr>
        <w:pStyle w:val="11"/>
      </w:pPr>
      <w:r>
        <w:fldChar w:fldCharType="begin"/>
      </w:r>
      <w:r>
        <w:instrText xml:space="preserve"> HYPERLINK \l "_Toc15396607" </w:instrText>
      </w:r>
      <w:r>
        <w:fldChar w:fldCharType="separate"/>
      </w:r>
      <w:r>
        <w:rPr>
          <w:rStyle w:val="15"/>
          <w:rFonts w:hint="eastAsia"/>
        </w:rPr>
        <w:t>五、一</w:t>
      </w:r>
      <w:r>
        <w:rPr>
          <w:rStyle w:val="15"/>
          <w:rFonts w:hint="eastAsia"/>
          <w:bCs/>
        </w:rPr>
        <w:t>般公共预算财政拨款支出决算情况说明</w:t>
      </w:r>
      <w:r>
        <w:tab/>
      </w:r>
      <w:r>
        <w:rPr>
          <w:rFonts w:hint="eastAsia"/>
        </w:rPr>
        <w:t>9</w:t>
      </w:r>
      <w:r>
        <w:rPr>
          <w:rFonts w:hint="eastAsia"/>
        </w:rPr>
        <w:fldChar w:fldCharType="end"/>
      </w:r>
    </w:p>
    <w:p w14:paraId="5D702AC5">
      <w:pPr>
        <w:pStyle w:val="11"/>
      </w:pPr>
      <w:r>
        <w:fldChar w:fldCharType="begin"/>
      </w:r>
      <w:r>
        <w:instrText xml:space="preserve"> HYPERLINK \l "_Toc15396608" </w:instrText>
      </w:r>
      <w:r>
        <w:fldChar w:fldCharType="separate"/>
      </w:r>
      <w:r>
        <w:rPr>
          <w:rStyle w:val="15"/>
          <w:rFonts w:hint="eastAsia"/>
        </w:rPr>
        <w:t>六、一</w:t>
      </w:r>
      <w:r>
        <w:rPr>
          <w:rStyle w:val="15"/>
          <w:rFonts w:hint="eastAsia"/>
          <w:bCs/>
        </w:rPr>
        <w:t>般公共预算财政拨款基本支出决算情况说明</w:t>
      </w:r>
      <w:r>
        <w:tab/>
      </w:r>
      <w:r>
        <w:rPr>
          <w:rFonts w:hint="eastAsia"/>
        </w:rPr>
        <w:t>11</w:t>
      </w:r>
      <w:r>
        <w:rPr>
          <w:rFonts w:hint="eastAsia"/>
        </w:rPr>
        <w:fldChar w:fldCharType="end"/>
      </w:r>
    </w:p>
    <w:p w14:paraId="5BEABAE5">
      <w:pPr>
        <w:pStyle w:val="11"/>
      </w:pPr>
      <w:r>
        <w:fldChar w:fldCharType="begin"/>
      </w:r>
      <w:r>
        <w:instrText xml:space="preserve"> HYPERLINK \l "_Toc15396609" </w:instrText>
      </w:r>
      <w:r>
        <w:fldChar w:fldCharType="separate"/>
      </w:r>
      <w:r>
        <w:rPr>
          <w:rStyle w:val="15"/>
          <w:rFonts w:hint="eastAsia"/>
        </w:rPr>
        <w:t>七、“</w:t>
      </w:r>
      <w:r>
        <w:rPr>
          <w:rStyle w:val="15"/>
          <w:rFonts w:hint="eastAsia"/>
          <w:bCs/>
        </w:rPr>
        <w:t>三公”经费财政拨款支出决算情况说明</w:t>
      </w:r>
      <w:r>
        <w:tab/>
      </w:r>
      <w:r>
        <w:rPr>
          <w:rFonts w:hint="eastAsia"/>
        </w:rPr>
        <w:t>12</w:t>
      </w:r>
      <w:r>
        <w:rPr>
          <w:rFonts w:hint="eastAsia"/>
        </w:rPr>
        <w:fldChar w:fldCharType="end"/>
      </w:r>
    </w:p>
    <w:p w14:paraId="4F53FA78">
      <w:pPr>
        <w:pStyle w:val="11"/>
      </w:pPr>
      <w:r>
        <w:fldChar w:fldCharType="begin"/>
      </w:r>
      <w:r>
        <w:instrText xml:space="preserve"> HYPERLINK \l "_Toc15396610" </w:instrText>
      </w:r>
      <w:r>
        <w:fldChar w:fldCharType="separate"/>
      </w:r>
      <w:r>
        <w:rPr>
          <w:rStyle w:val="15"/>
          <w:rFonts w:hint="eastAsia"/>
        </w:rPr>
        <w:t>八、</w:t>
      </w:r>
      <w:r>
        <w:rPr>
          <w:rStyle w:val="15"/>
          <w:rFonts w:hint="eastAsia"/>
          <w:bCs/>
        </w:rPr>
        <w:t>政府性基金预算支出决算情况说明</w:t>
      </w:r>
      <w:r>
        <w:tab/>
      </w:r>
      <w:r>
        <w:rPr>
          <w:rFonts w:hint="eastAsia"/>
        </w:rPr>
        <w:t>14</w:t>
      </w:r>
      <w:r>
        <w:rPr>
          <w:rFonts w:hint="eastAsia"/>
        </w:rPr>
        <w:fldChar w:fldCharType="end"/>
      </w:r>
    </w:p>
    <w:p w14:paraId="298D52A1">
      <w:pPr>
        <w:pStyle w:val="11"/>
      </w:pPr>
      <w:r>
        <w:fldChar w:fldCharType="begin"/>
      </w:r>
      <w:r>
        <w:instrText xml:space="preserve"> HYPERLINK \l "_Toc15396611" </w:instrText>
      </w:r>
      <w:r>
        <w:fldChar w:fldCharType="separate"/>
      </w:r>
      <w:r>
        <w:rPr>
          <w:rStyle w:val="15"/>
          <w:rFonts w:hint="eastAsia"/>
          <w:bCs/>
        </w:rPr>
        <w:t>九、</w:t>
      </w:r>
      <w:r>
        <w:rPr>
          <w:rStyle w:val="15"/>
        </w:rPr>
        <w:t xml:space="preserve"> </w:t>
      </w:r>
      <w:r>
        <w:rPr>
          <w:rStyle w:val="15"/>
          <w:rFonts w:hint="eastAsia"/>
        </w:rPr>
        <w:t>国</w:t>
      </w:r>
      <w:r>
        <w:rPr>
          <w:rStyle w:val="15"/>
          <w:rFonts w:hint="eastAsia"/>
          <w:bCs/>
        </w:rPr>
        <w:t>有资本经营预算支出决算情况说明</w:t>
      </w:r>
      <w:r>
        <w:tab/>
      </w:r>
      <w:r>
        <w:rPr>
          <w:rFonts w:hint="eastAsia"/>
        </w:rPr>
        <w:t>14</w:t>
      </w:r>
      <w:r>
        <w:rPr>
          <w:rFonts w:hint="eastAsia"/>
        </w:rPr>
        <w:fldChar w:fldCharType="end"/>
      </w:r>
    </w:p>
    <w:p w14:paraId="6042A33E">
      <w:pPr>
        <w:pStyle w:val="11"/>
      </w:pPr>
      <w:r>
        <w:fldChar w:fldCharType="begin"/>
      </w:r>
      <w:r>
        <w:instrText xml:space="preserve"> HYPERLINK \l "_Toc15396611" </w:instrText>
      </w:r>
      <w:r>
        <w:fldChar w:fldCharType="separate"/>
      </w:r>
      <w:r>
        <w:rPr>
          <w:rStyle w:val="15"/>
          <w:rFonts w:hint="eastAsia"/>
          <w:bCs/>
        </w:rPr>
        <w:t>十、</w:t>
      </w:r>
      <w:r>
        <w:rPr>
          <w:rStyle w:val="15"/>
        </w:rPr>
        <w:t xml:space="preserve"> </w:t>
      </w:r>
      <w:r>
        <w:rPr>
          <w:rStyle w:val="15"/>
          <w:rFonts w:hint="eastAsia"/>
        </w:rPr>
        <w:t>预算绩效情况</w:t>
      </w:r>
      <w:r>
        <w:rPr>
          <w:rStyle w:val="15"/>
          <w:rFonts w:hint="eastAsia"/>
          <w:bCs/>
        </w:rPr>
        <w:t>说明</w:t>
      </w:r>
      <w:r>
        <w:tab/>
      </w:r>
      <w:r>
        <w:rPr>
          <w:rFonts w:hint="eastAsia"/>
        </w:rPr>
        <w:t>14</w:t>
      </w:r>
      <w:r>
        <w:rPr>
          <w:rFonts w:hint="eastAsia"/>
        </w:rPr>
        <w:fldChar w:fldCharType="end"/>
      </w:r>
    </w:p>
    <w:p w14:paraId="5FE2DA89">
      <w:pPr>
        <w:pStyle w:val="11"/>
      </w:pPr>
      <w:r>
        <w:fldChar w:fldCharType="begin"/>
      </w:r>
      <w:r>
        <w:instrText xml:space="preserve"> HYPERLINK \l "_Toc15396612" </w:instrText>
      </w:r>
      <w:r>
        <w:fldChar w:fldCharType="separate"/>
      </w:r>
      <w:r>
        <w:rPr>
          <w:rStyle w:val="15"/>
          <w:rFonts w:hint="eastAsia"/>
        </w:rPr>
        <w:t>十</w:t>
      </w:r>
      <w:r>
        <w:rPr>
          <w:rStyle w:val="15"/>
          <w:rFonts w:hint="eastAsia"/>
          <w:bCs/>
        </w:rPr>
        <w:t>一、其他重要事项的情况说明</w:t>
      </w:r>
      <w:r>
        <w:tab/>
      </w:r>
      <w:r>
        <w:fldChar w:fldCharType="begin"/>
      </w:r>
      <w:r>
        <w:instrText xml:space="preserve"> PAGEREF _Toc15396612 \h </w:instrText>
      </w:r>
      <w:r>
        <w:fldChar w:fldCharType="separate"/>
      </w:r>
      <w:r>
        <w:t>14</w:t>
      </w:r>
      <w:r>
        <w:fldChar w:fldCharType="end"/>
      </w:r>
      <w:r>
        <w:fldChar w:fldCharType="end"/>
      </w:r>
    </w:p>
    <w:p w14:paraId="41884E49">
      <w:pPr>
        <w:pStyle w:val="10"/>
        <w:rPr>
          <w:sz w:val="36"/>
          <w:szCs w:val="36"/>
        </w:rPr>
      </w:pPr>
      <w:r>
        <w:fldChar w:fldCharType="begin"/>
      </w:r>
      <w:r>
        <w:instrText xml:space="preserve"> HYPERLINK \l "_Toc15396613" </w:instrText>
      </w:r>
      <w:r>
        <w:fldChar w:fldCharType="separate"/>
      </w:r>
      <w:r>
        <w:rPr>
          <w:rStyle w:val="15"/>
          <w:rFonts w:hint="eastAsia"/>
          <w:bCs/>
          <w:kern w:val="44"/>
          <w:sz w:val="36"/>
          <w:szCs w:val="36"/>
        </w:rPr>
        <w:t>第三部分</w:t>
      </w:r>
      <w:r>
        <w:rPr>
          <w:rStyle w:val="15"/>
          <w:sz w:val="36"/>
          <w:szCs w:val="36"/>
        </w:rPr>
        <w:t xml:space="preserve"> </w:t>
      </w:r>
      <w:r>
        <w:rPr>
          <w:rStyle w:val="15"/>
          <w:rFonts w:hint="eastAsia"/>
          <w:sz w:val="36"/>
          <w:szCs w:val="36"/>
        </w:rPr>
        <w:t>名</w:t>
      </w:r>
      <w:r>
        <w:rPr>
          <w:rStyle w:val="15"/>
          <w:rFonts w:hint="eastAsia"/>
          <w:bCs/>
          <w:kern w:val="44"/>
          <w:sz w:val="36"/>
          <w:szCs w:val="36"/>
        </w:rPr>
        <w:t>词解释</w:t>
      </w:r>
      <w:r>
        <w:rPr>
          <w:sz w:val="36"/>
          <w:szCs w:val="36"/>
        </w:rPr>
        <w:tab/>
      </w:r>
      <w:r>
        <w:rPr>
          <w:sz w:val="36"/>
          <w:szCs w:val="36"/>
        </w:rPr>
        <w:fldChar w:fldCharType="begin"/>
      </w:r>
      <w:r>
        <w:rPr>
          <w:sz w:val="36"/>
          <w:szCs w:val="36"/>
        </w:rPr>
        <w:instrText xml:space="preserve"> PAGEREF _Toc15396613 \h </w:instrText>
      </w:r>
      <w:r>
        <w:rPr>
          <w:sz w:val="36"/>
          <w:szCs w:val="36"/>
        </w:rPr>
        <w:fldChar w:fldCharType="separate"/>
      </w:r>
      <w:r>
        <w:rPr>
          <w:sz w:val="36"/>
          <w:szCs w:val="36"/>
        </w:rPr>
        <w:t>16</w:t>
      </w:r>
      <w:r>
        <w:rPr>
          <w:sz w:val="36"/>
          <w:szCs w:val="36"/>
        </w:rPr>
        <w:fldChar w:fldCharType="end"/>
      </w:r>
      <w:r>
        <w:rPr>
          <w:sz w:val="36"/>
          <w:szCs w:val="36"/>
        </w:rPr>
        <w:fldChar w:fldCharType="end"/>
      </w:r>
    </w:p>
    <w:p w14:paraId="53550825">
      <w:pPr>
        <w:pStyle w:val="10"/>
        <w:rPr>
          <w:sz w:val="36"/>
          <w:szCs w:val="36"/>
        </w:rPr>
      </w:pPr>
      <w:r>
        <w:fldChar w:fldCharType="begin"/>
      </w:r>
      <w:r>
        <w:instrText xml:space="preserve"> HYPERLINK \l "_Toc15396614" </w:instrText>
      </w:r>
      <w:r>
        <w:fldChar w:fldCharType="separate"/>
      </w:r>
      <w:r>
        <w:rPr>
          <w:rStyle w:val="15"/>
          <w:rFonts w:hint="eastAsia"/>
          <w:sz w:val="36"/>
          <w:szCs w:val="36"/>
        </w:rPr>
        <w:t>第</w:t>
      </w:r>
      <w:r>
        <w:rPr>
          <w:rStyle w:val="15"/>
          <w:rFonts w:hint="eastAsia"/>
          <w:bCs/>
          <w:kern w:val="44"/>
          <w:sz w:val="36"/>
          <w:szCs w:val="36"/>
        </w:rPr>
        <w:t>四部分</w:t>
      </w:r>
      <w:r>
        <w:rPr>
          <w:rStyle w:val="15"/>
          <w:bCs/>
          <w:kern w:val="44"/>
          <w:sz w:val="36"/>
          <w:szCs w:val="36"/>
        </w:rPr>
        <w:t xml:space="preserve"> </w:t>
      </w:r>
      <w:r>
        <w:rPr>
          <w:rStyle w:val="15"/>
          <w:rFonts w:hint="eastAsia"/>
          <w:bCs/>
          <w:kern w:val="44"/>
          <w:sz w:val="36"/>
          <w:szCs w:val="36"/>
        </w:rPr>
        <w:t>附件</w:t>
      </w:r>
      <w:r>
        <w:rPr>
          <w:sz w:val="36"/>
          <w:szCs w:val="36"/>
        </w:rPr>
        <w:tab/>
      </w:r>
      <w:r>
        <w:rPr>
          <w:rFonts w:hint="eastAsia"/>
          <w:sz w:val="36"/>
          <w:szCs w:val="36"/>
        </w:rPr>
        <w:t>31</w:t>
      </w:r>
      <w:r>
        <w:rPr>
          <w:rFonts w:hint="eastAsia"/>
          <w:sz w:val="36"/>
          <w:szCs w:val="36"/>
        </w:rPr>
        <w:fldChar w:fldCharType="end"/>
      </w:r>
    </w:p>
    <w:p w14:paraId="49D5AA7D">
      <w:pPr>
        <w:pStyle w:val="11"/>
      </w:pPr>
      <w:r>
        <w:fldChar w:fldCharType="begin"/>
      </w:r>
      <w:r>
        <w:instrText xml:space="preserve"> HYPERLINK \l "_Toc15396615" </w:instrText>
      </w:r>
      <w:r>
        <w:fldChar w:fldCharType="separate"/>
      </w:r>
      <w:r>
        <w:rPr>
          <w:rStyle w:val="15"/>
          <w:rFonts w:hint="eastAsia"/>
          <w:kern w:val="44"/>
        </w:rPr>
        <w:t>附件</w:t>
      </w:r>
      <w:r>
        <w:rPr>
          <w:rStyle w:val="15"/>
          <w:kern w:val="44"/>
        </w:rPr>
        <w:t>1</w:t>
      </w:r>
      <w:r>
        <w:tab/>
      </w:r>
      <w:r>
        <w:rPr>
          <w:rFonts w:hint="eastAsia"/>
        </w:rPr>
        <w:t>31</w:t>
      </w:r>
      <w:r>
        <w:rPr>
          <w:rFonts w:hint="eastAsia"/>
        </w:rPr>
        <w:fldChar w:fldCharType="end"/>
      </w:r>
    </w:p>
    <w:p w14:paraId="63BABC4C">
      <w:pPr>
        <w:pStyle w:val="11"/>
      </w:pPr>
      <w:r>
        <w:fldChar w:fldCharType="begin"/>
      </w:r>
      <w:r>
        <w:instrText xml:space="preserve"> HYPERLINK \l "_Toc15396617" </w:instrText>
      </w:r>
      <w:r>
        <w:fldChar w:fldCharType="separate"/>
      </w:r>
      <w:r>
        <w:rPr>
          <w:rStyle w:val="15"/>
          <w:rFonts w:hint="eastAsia"/>
          <w:kern w:val="44"/>
        </w:rPr>
        <w:t>附件</w:t>
      </w:r>
      <w:r>
        <w:rPr>
          <w:rStyle w:val="15"/>
          <w:kern w:val="44"/>
        </w:rPr>
        <w:t>2</w:t>
      </w:r>
      <w:r>
        <w:tab/>
      </w:r>
      <w:r>
        <w:rPr>
          <w:rFonts w:hint="eastAsia"/>
        </w:rPr>
        <w:t>39</w:t>
      </w:r>
      <w:r>
        <w:rPr>
          <w:rFonts w:hint="eastAsia"/>
        </w:rPr>
        <w:fldChar w:fldCharType="end"/>
      </w:r>
    </w:p>
    <w:p w14:paraId="6A854D29">
      <w:pPr>
        <w:pStyle w:val="10"/>
        <w:rPr>
          <w:sz w:val="36"/>
          <w:szCs w:val="36"/>
        </w:rPr>
      </w:pPr>
      <w:r>
        <w:fldChar w:fldCharType="begin"/>
      </w:r>
      <w:r>
        <w:instrText xml:space="preserve"> HYPERLINK \l "_Toc15396618" </w:instrText>
      </w:r>
      <w:r>
        <w:fldChar w:fldCharType="separate"/>
      </w:r>
      <w:r>
        <w:rPr>
          <w:rStyle w:val="15"/>
          <w:rFonts w:hint="eastAsia"/>
          <w:sz w:val="36"/>
          <w:szCs w:val="36"/>
        </w:rPr>
        <w:t>第</w:t>
      </w:r>
      <w:r>
        <w:rPr>
          <w:rStyle w:val="15"/>
          <w:rFonts w:hint="eastAsia"/>
          <w:bCs/>
          <w:kern w:val="44"/>
          <w:sz w:val="36"/>
          <w:szCs w:val="36"/>
        </w:rPr>
        <w:t>五部分</w:t>
      </w:r>
      <w:r>
        <w:rPr>
          <w:rStyle w:val="15"/>
          <w:bCs/>
          <w:kern w:val="44"/>
          <w:sz w:val="36"/>
          <w:szCs w:val="36"/>
        </w:rPr>
        <w:t xml:space="preserve"> </w:t>
      </w:r>
      <w:r>
        <w:rPr>
          <w:rStyle w:val="15"/>
          <w:rFonts w:hint="eastAsia"/>
          <w:bCs/>
          <w:kern w:val="44"/>
          <w:sz w:val="36"/>
          <w:szCs w:val="36"/>
        </w:rPr>
        <w:t>附表</w:t>
      </w:r>
      <w:r>
        <w:rPr>
          <w:sz w:val="36"/>
          <w:szCs w:val="36"/>
        </w:rPr>
        <w:tab/>
      </w:r>
      <w:r>
        <w:rPr>
          <w:rFonts w:hint="eastAsia"/>
          <w:sz w:val="36"/>
          <w:szCs w:val="36"/>
        </w:rPr>
        <w:t>50</w:t>
      </w:r>
      <w:r>
        <w:rPr>
          <w:rFonts w:hint="eastAsia"/>
          <w:sz w:val="36"/>
          <w:szCs w:val="36"/>
        </w:rPr>
        <w:fldChar w:fldCharType="end"/>
      </w:r>
    </w:p>
    <w:p w14:paraId="61F92ABD">
      <w:pPr>
        <w:pStyle w:val="11"/>
      </w:pPr>
      <w:r>
        <w:rPr>
          <w:rFonts w:hint="eastAsia"/>
        </w:rPr>
        <w:t>一、</w:t>
      </w:r>
      <w:r>
        <w:fldChar w:fldCharType="begin"/>
      </w:r>
      <w:r>
        <w:instrText xml:space="preserve"> HYPERLINK \l "_Toc15396619" </w:instrText>
      </w:r>
      <w:r>
        <w:fldChar w:fldCharType="separate"/>
      </w:r>
      <w:r>
        <w:rPr>
          <w:rStyle w:val="15"/>
          <w:rFonts w:hint="eastAsia"/>
        </w:rPr>
        <w:t>收入支出决算总表</w:t>
      </w:r>
      <w:r>
        <w:tab/>
      </w:r>
      <w:r>
        <w:rPr>
          <w:rFonts w:hint="eastAsia"/>
        </w:rPr>
        <w:t>50</w:t>
      </w:r>
      <w:r>
        <w:rPr>
          <w:rFonts w:hint="eastAsia"/>
        </w:rPr>
        <w:fldChar w:fldCharType="end"/>
      </w:r>
    </w:p>
    <w:p w14:paraId="6349F8E4">
      <w:pPr>
        <w:pStyle w:val="11"/>
      </w:pPr>
      <w:r>
        <w:rPr>
          <w:rFonts w:hint="eastAsia"/>
        </w:rPr>
        <w:t>二、</w:t>
      </w:r>
      <w:r>
        <w:fldChar w:fldCharType="begin"/>
      </w:r>
      <w:r>
        <w:instrText xml:space="preserve"> HYPERLINK \l "_Toc15396620" </w:instrText>
      </w:r>
      <w:r>
        <w:fldChar w:fldCharType="separate"/>
      </w:r>
      <w:r>
        <w:rPr>
          <w:rStyle w:val="15"/>
          <w:rFonts w:hint="eastAsia"/>
        </w:rPr>
        <w:t>收入总表</w:t>
      </w:r>
      <w:r>
        <w:tab/>
      </w:r>
      <w:r>
        <w:rPr>
          <w:rFonts w:hint="eastAsia"/>
        </w:rPr>
        <w:t>50</w:t>
      </w:r>
      <w:r>
        <w:rPr>
          <w:rFonts w:hint="eastAsia"/>
        </w:rPr>
        <w:fldChar w:fldCharType="end"/>
      </w:r>
    </w:p>
    <w:p w14:paraId="51D272AF">
      <w:pPr>
        <w:pStyle w:val="11"/>
      </w:pPr>
      <w:r>
        <w:rPr>
          <w:rFonts w:hint="eastAsia"/>
        </w:rPr>
        <w:t>三、</w:t>
      </w:r>
      <w:r>
        <w:fldChar w:fldCharType="begin"/>
      </w:r>
      <w:r>
        <w:instrText xml:space="preserve"> HYPERLINK \l "_Toc15396621" </w:instrText>
      </w:r>
      <w:r>
        <w:fldChar w:fldCharType="separate"/>
      </w:r>
      <w:r>
        <w:rPr>
          <w:rStyle w:val="15"/>
          <w:rFonts w:hint="eastAsia"/>
        </w:rPr>
        <w:t>支出总表</w:t>
      </w:r>
      <w:r>
        <w:tab/>
      </w:r>
      <w:r>
        <w:rPr>
          <w:rFonts w:hint="eastAsia"/>
        </w:rPr>
        <w:t>50</w:t>
      </w:r>
      <w:r>
        <w:rPr>
          <w:rFonts w:hint="eastAsia"/>
        </w:rPr>
        <w:fldChar w:fldCharType="end"/>
      </w:r>
    </w:p>
    <w:p w14:paraId="02FDCB83">
      <w:pPr>
        <w:pStyle w:val="11"/>
      </w:pPr>
      <w:r>
        <w:rPr>
          <w:rFonts w:hint="eastAsia"/>
        </w:rPr>
        <w:t>四、</w:t>
      </w:r>
      <w:r>
        <w:fldChar w:fldCharType="begin"/>
      </w:r>
      <w:r>
        <w:instrText xml:space="preserve"> HYPERLINK \l "_Toc15396622" </w:instrText>
      </w:r>
      <w:r>
        <w:fldChar w:fldCharType="separate"/>
      </w:r>
      <w:r>
        <w:rPr>
          <w:rStyle w:val="15"/>
          <w:rFonts w:hint="eastAsia"/>
        </w:rPr>
        <w:t>财政拨款收入支出决算总表</w:t>
      </w:r>
      <w:r>
        <w:tab/>
      </w:r>
      <w:r>
        <w:rPr>
          <w:rFonts w:hint="eastAsia"/>
        </w:rPr>
        <w:t>50</w:t>
      </w:r>
      <w:r>
        <w:rPr>
          <w:rFonts w:hint="eastAsia"/>
        </w:rPr>
        <w:fldChar w:fldCharType="end"/>
      </w:r>
    </w:p>
    <w:p w14:paraId="7906D95B">
      <w:pPr>
        <w:pStyle w:val="11"/>
      </w:pPr>
      <w:r>
        <w:rPr>
          <w:rFonts w:hint="eastAsia"/>
        </w:rPr>
        <w:t>五、</w:t>
      </w:r>
      <w:r>
        <w:fldChar w:fldCharType="begin"/>
      </w:r>
      <w:r>
        <w:instrText xml:space="preserve"> HYPERLINK \l "_Toc15396623" </w:instrText>
      </w:r>
      <w:r>
        <w:fldChar w:fldCharType="separate"/>
      </w:r>
      <w:r>
        <w:rPr>
          <w:rFonts w:hint="eastAsia"/>
        </w:rPr>
        <w:t>财政拨款支出决算明细表（政府经济分类科目）</w:t>
      </w:r>
      <w:r>
        <w:tab/>
      </w:r>
      <w:r>
        <w:rPr>
          <w:rFonts w:hint="eastAsia"/>
        </w:rPr>
        <w:t>50</w:t>
      </w:r>
      <w:r>
        <w:rPr>
          <w:rFonts w:hint="eastAsia"/>
        </w:rPr>
        <w:fldChar w:fldCharType="end"/>
      </w:r>
    </w:p>
    <w:p w14:paraId="606694C7">
      <w:pPr>
        <w:pStyle w:val="11"/>
      </w:pPr>
      <w:r>
        <w:rPr>
          <w:rFonts w:hint="eastAsia"/>
        </w:rPr>
        <w:t>六、</w:t>
      </w:r>
      <w:r>
        <w:fldChar w:fldCharType="begin"/>
      </w:r>
      <w:r>
        <w:instrText xml:space="preserve"> HYPERLINK \l "_Toc15396624" </w:instrText>
      </w:r>
      <w:r>
        <w:fldChar w:fldCharType="separate"/>
      </w:r>
      <w:r>
        <w:rPr>
          <w:rStyle w:val="15"/>
          <w:rFonts w:hint="eastAsia"/>
        </w:rPr>
        <w:t>一般公共预算财政拨款支出决算表</w:t>
      </w:r>
      <w:r>
        <w:tab/>
      </w:r>
      <w:r>
        <w:rPr>
          <w:rFonts w:hint="eastAsia"/>
        </w:rPr>
        <w:t>50</w:t>
      </w:r>
      <w:r>
        <w:rPr>
          <w:rFonts w:hint="eastAsia"/>
        </w:rPr>
        <w:fldChar w:fldCharType="end"/>
      </w:r>
    </w:p>
    <w:p w14:paraId="01AAA476">
      <w:pPr>
        <w:pStyle w:val="11"/>
      </w:pPr>
      <w:r>
        <w:rPr>
          <w:rFonts w:hint="eastAsia"/>
        </w:rPr>
        <w:t>七、</w:t>
      </w:r>
      <w:r>
        <w:fldChar w:fldCharType="begin"/>
      </w:r>
      <w:r>
        <w:instrText xml:space="preserve"> HYPERLINK \l "_Toc15396625" </w:instrText>
      </w:r>
      <w:r>
        <w:fldChar w:fldCharType="separate"/>
      </w:r>
      <w:r>
        <w:rPr>
          <w:rStyle w:val="15"/>
          <w:rFonts w:hint="eastAsia"/>
        </w:rPr>
        <w:t>一般公共预算财政拨款支出决算明细表</w:t>
      </w:r>
      <w:r>
        <w:tab/>
      </w:r>
      <w:r>
        <w:rPr>
          <w:rFonts w:hint="eastAsia"/>
        </w:rPr>
        <w:t>50</w:t>
      </w:r>
      <w:r>
        <w:rPr>
          <w:rFonts w:hint="eastAsia"/>
        </w:rPr>
        <w:fldChar w:fldCharType="end"/>
      </w:r>
    </w:p>
    <w:p w14:paraId="6A9809CF">
      <w:pPr>
        <w:pStyle w:val="11"/>
      </w:pPr>
      <w:r>
        <w:rPr>
          <w:rFonts w:hint="eastAsia"/>
        </w:rPr>
        <w:t>八、</w:t>
      </w:r>
      <w:r>
        <w:fldChar w:fldCharType="begin"/>
      </w:r>
      <w:r>
        <w:instrText xml:space="preserve"> HYPERLINK \l "_Toc15396626" </w:instrText>
      </w:r>
      <w:r>
        <w:fldChar w:fldCharType="separate"/>
      </w:r>
      <w:r>
        <w:rPr>
          <w:rStyle w:val="15"/>
          <w:rFonts w:hint="eastAsia"/>
        </w:rPr>
        <w:t>一般公共预算财政拨款基本支出决算表</w:t>
      </w:r>
      <w:r>
        <w:tab/>
      </w:r>
      <w:r>
        <w:rPr>
          <w:rFonts w:hint="eastAsia"/>
        </w:rPr>
        <w:t>50</w:t>
      </w:r>
      <w:r>
        <w:rPr>
          <w:rFonts w:hint="eastAsia"/>
        </w:rPr>
        <w:fldChar w:fldCharType="end"/>
      </w:r>
    </w:p>
    <w:p w14:paraId="1B8292BC">
      <w:pPr>
        <w:pStyle w:val="11"/>
      </w:pPr>
      <w:r>
        <w:rPr>
          <w:rFonts w:hint="eastAsia"/>
        </w:rPr>
        <w:t>九、</w:t>
      </w:r>
      <w:r>
        <w:fldChar w:fldCharType="begin"/>
      </w:r>
      <w:r>
        <w:instrText xml:space="preserve"> HYPERLINK \l "_Toc15396627" </w:instrText>
      </w:r>
      <w:r>
        <w:fldChar w:fldCharType="separate"/>
      </w:r>
      <w:r>
        <w:rPr>
          <w:rStyle w:val="15"/>
          <w:rFonts w:hint="eastAsia"/>
        </w:rPr>
        <w:t>一般公共预算财政拨款项目支出决算表</w:t>
      </w:r>
      <w:r>
        <w:tab/>
      </w:r>
      <w:r>
        <w:rPr>
          <w:rFonts w:hint="eastAsia"/>
        </w:rPr>
        <w:t>50</w:t>
      </w:r>
      <w:r>
        <w:rPr>
          <w:rFonts w:hint="eastAsia"/>
        </w:rPr>
        <w:fldChar w:fldCharType="end"/>
      </w:r>
    </w:p>
    <w:p w14:paraId="3490E0EC">
      <w:pPr>
        <w:pStyle w:val="11"/>
      </w:pPr>
      <w:r>
        <w:rPr>
          <w:rFonts w:hint="eastAsia"/>
        </w:rPr>
        <w:t>十、</w:t>
      </w:r>
      <w:r>
        <w:fldChar w:fldCharType="begin"/>
      </w:r>
      <w:r>
        <w:instrText xml:space="preserve"> HYPERLINK \l "_Toc15396628" </w:instrText>
      </w:r>
      <w:r>
        <w:fldChar w:fldCharType="separate"/>
      </w:r>
      <w:r>
        <w:rPr>
          <w:rStyle w:val="15"/>
          <w:rFonts w:hint="eastAsia"/>
        </w:rPr>
        <w:t>一般公共预算财政拨款“三公”经费支出决算表</w:t>
      </w:r>
      <w:r>
        <w:tab/>
      </w:r>
      <w:r>
        <w:rPr>
          <w:rFonts w:hint="eastAsia"/>
        </w:rPr>
        <w:t>50</w:t>
      </w:r>
      <w:r>
        <w:rPr>
          <w:rFonts w:hint="eastAsia"/>
        </w:rPr>
        <w:fldChar w:fldCharType="end"/>
      </w:r>
    </w:p>
    <w:p w14:paraId="04536564">
      <w:pPr>
        <w:pStyle w:val="11"/>
      </w:pPr>
      <w:r>
        <w:rPr>
          <w:rFonts w:hint="eastAsia"/>
        </w:rPr>
        <w:t>十一、</w:t>
      </w:r>
      <w:r>
        <w:fldChar w:fldCharType="begin"/>
      </w:r>
      <w:r>
        <w:instrText xml:space="preserve"> HYPERLINK \l "_Toc15396629" </w:instrText>
      </w:r>
      <w:r>
        <w:fldChar w:fldCharType="separate"/>
      </w:r>
      <w:r>
        <w:rPr>
          <w:rStyle w:val="15"/>
          <w:rFonts w:hint="eastAsia"/>
        </w:rPr>
        <w:t>政府性基金预算财政拨款收入支出决算表</w:t>
      </w:r>
      <w:r>
        <w:tab/>
      </w:r>
      <w:r>
        <w:rPr>
          <w:rFonts w:hint="eastAsia"/>
        </w:rPr>
        <w:t>50</w:t>
      </w:r>
      <w:r>
        <w:rPr>
          <w:rFonts w:hint="eastAsia"/>
        </w:rPr>
        <w:fldChar w:fldCharType="end"/>
      </w:r>
    </w:p>
    <w:p w14:paraId="382883BB">
      <w:pPr>
        <w:pStyle w:val="11"/>
      </w:pPr>
      <w:r>
        <w:rPr>
          <w:rFonts w:hint="eastAsia"/>
        </w:rPr>
        <w:t>十二、</w:t>
      </w:r>
      <w:r>
        <w:fldChar w:fldCharType="begin"/>
      </w:r>
      <w:r>
        <w:instrText xml:space="preserve"> HYPERLINK \l "_Toc15396630" </w:instrText>
      </w:r>
      <w:r>
        <w:fldChar w:fldCharType="separate"/>
      </w:r>
      <w:r>
        <w:rPr>
          <w:rStyle w:val="15"/>
          <w:rFonts w:hint="eastAsia"/>
        </w:rPr>
        <w:t>政府性基金预算财政拨款“三公”经费支出决算表</w:t>
      </w:r>
      <w:r>
        <w:tab/>
      </w:r>
      <w:r>
        <w:rPr>
          <w:rFonts w:hint="eastAsia"/>
        </w:rPr>
        <w:t>50</w:t>
      </w:r>
      <w:r>
        <w:rPr>
          <w:rFonts w:hint="eastAsia"/>
        </w:rPr>
        <w:fldChar w:fldCharType="end"/>
      </w:r>
    </w:p>
    <w:p w14:paraId="2CE8C083">
      <w:pPr>
        <w:pStyle w:val="11"/>
      </w:pPr>
      <w:r>
        <w:rPr>
          <w:rFonts w:hint="eastAsia"/>
        </w:rPr>
        <w:t>十三、</w:t>
      </w:r>
      <w:r>
        <w:fldChar w:fldCharType="begin"/>
      </w:r>
      <w:r>
        <w:instrText xml:space="preserve"> HYPERLINK \l "_Toc15396631" </w:instrText>
      </w:r>
      <w:r>
        <w:fldChar w:fldCharType="separate"/>
      </w:r>
      <w:r>
        <w:rPr>
          <w:rStyle w:val="15"/>
          <w:rFonts w:hint="eastAsia"/>
        </w:rPr>
        <w:t>国有资本经营预算支出决算表</w:t>
      </w:r>
      <w:r>
        <w:tab/>
      </w:r>
      <w:r>
        <w:rPr>
          <w:rFonts w:hint="eastAsia"/>
        </w:rPr>
        <w:t>50</w:t>
      </w:r>
      <w:r>
        <w:rPr>
          <w:rFonts w:hint="eastAsia"/>
        </w:rPr>
        <w:fldChar w:fldCharType="end"/>
      </w:r>
    </w:p>
    <w:p w14:paraId="20FA1533">
      <w:pPr>
        <w:widowControl/>
        <w:jc w:val="left"/>
        <w:rPr>
          <w:rFonts w:ascii="仿宋_GB2312" w:hAnsi="黑体" w:eastAsia="仿宋_GB2312"/>
          <w:color w:val="000000"/>
          <w:sz w:val="36"/>
          <w:szCs w:val="36"/>
        </w:rPr>
      </w:pPr>
      <w:r>
        <w:rPr>
          <w:rFonts w:ascii="黑体" w:hAnsi="黑体" w:eastAsia="黑体"/>
          <w:color w:val="000000"/>
          <w:sz w:val="36"/>
          <w:szCs w:val="36"/>
        </w:rPr>
        <w:fldChar w:fldCharType="end"/>
      </w:r>
      <w:r>
        <w:rPr>
          <w:rFonts w:hint="eastAsia" w:ascii="黑体" w:hAnsi="黑体" w:eastAsia="黑体"/>
          <w:color w:val="000000"/>
          <w:sz w:val="36"/>
          <w:szCs w:val="36"/>
        </w:rPr>
        <w:t xml:space="preserve">  </w:t>
      </w:r>
      <w:r>
        <w:rPr>
          <w:rFonts w:hint="eastAsia" w:ascii="仿宋_GB2312" w:hAnsi="黑体" w:eastAsia="仿宋_GB2312"/>
          <w:color w:val="000000"/>
          <w:sz w:val="36"/>
          <w:szCs w:val="36"/>
        </w:rPr>
        <w:t>十四、2018年政府采购执行情况表</w:t>
      </w:r>
      <w:r>
        <w:rPr>
          <w:rFonts w:ascii="仿宋_GB2312" w:hAnsi="黑体" w:eastAsia="仿宋_GB2312"/>
          <w:color w:val="000000"/>
          <w:sz w:val="36"/>
          <w:szCs w:val="36"/>
        </w:rPr>
        <w:tab/>
      </w:r>
      <w:r>
        <w:rPr>
          <w:rFonts w:hint="eastAsia" w:ascii="仿宋_GB2312" w:hAnsi="黑体" w:eastAsia="仿宋_GB2312"/>
          <w:color w:val="000000"/>
          <w:sz w:val="36"/>
          <w:szCs w:val="36"/>
        </w:rPr>
        <w:t xml:space="preserve">           </w:t>
      </w:r>
    </w:p>
    <w:p w14:paraId="34988B4C">
      <w:pPr>
        <w:widowControl/>
        <w:ind w:firstLine="360" w:firstLineChars="100"/>
        <w:jc w:val="left"/>
        <w:rPr>
          <w:rFonts w:ascii="黑体" w:hAnsi="黑体" w:eastAsia="黑体"/>
          <w:bCs/>
          <w:kern w:val="44"/>
          <w:sz w:val="36"/>
          <w:szCs w:val="36"/>
        </w:rPr>
      </w:pPr>
      <w:bookmarkStart w:id="12" w:name="_Toc15377196"/>
      <w:bookmarkStart w:id="13" w:name="_Toc15396599"/>
      <w:r>
        <w:rPr>
          <w:rFonts w:hint="eastAsia" w:ascii="仿宋" w:hAnsi="仿宋" w:eastAsia="仿宋"/>
          <w:color w:val="000000"/>
          <w:sz w:val="36"/>
          <w:szCs w:val="36"/>
        </w:rPr>
        <w:t xml:space="preserve">十五、2018年度机关运行经费及国有资产占用情况表                                          </w:t>
      </w:r>
    </w:p>
    <w:p w14:paraId="7DED6D7B">
      <w:pPr>
        <w:pStyle w:val="2"/>
        <w:jc w:val="center"/>
        <w:rPr>
          <w:rStyle w:val="16"/>
          <w:rFonts w:ascii="黑体" w:hAnsi="黑体" w:eastAsia="黑体"/>
          <w:b/>
          <w:bCs w:val="0"/>
          <w:sz w:val="32"/>
          <w:szCs w:val="32"/>
        </w:rPr>
      </w:pPr>
      <w:r>
        <w:rPr>
          <w:rFonts w:hint="eastAsia" w:ascii="黑体" w:hAnsi="黑体" w:eastAsia="黑体"/>
          <w:b w:val="0"/>
          <w:sz w:val="32"/>
          <w:szCs w:val="32"/>
        </w:rPr>
        <w:t>第一部分</w:t>
      </w:r>
      <w:r>
        <w:rPr>
          <w:rFonts w:ascii="黑体" w:hAnsi="黑体" w:eastAsia="黑体"/>
          <w:b w:val="0"/>
          <w:sz w:val="32"/>
          <w:szCs w:val="32"/>
        </w:rPr>
        <w:t xml:space="preserve"> </w:t>
      </w:r>
      <w:r>
        <w:rPr>
          <w:rStyle w:val="16"/>
          <w:rFonts w:hint="eastAsia" w:ascii="黑体" w:hAnsi="黑体" w:eastAsia="黑体"/>
          <w:b w:val="0"/>
          <w:bCs w:val="0"/>
          <w:sz w:val="32"/>
          <w:szCs w:val="32"/>
        </w:rPr>
        <w:t>部门概况</w:t>
      </w:r>
      <w:bookmarkEnd w:id="12"/>
      <w:bookmarkEnd w:id="13"/>
    </w:p>
    <w:p w14:paraId="33FFCF0D">
      <w:pPr>
        <w:widowControl/>
        <w:jc w:val="left"/>
        <w:rPr>
          <w:rFonts w:ascii="黑体" w:eastAsia="黑体"/>
          <w:color w:val="000000"/>
          <w:sz w:val="32"/>
          <w:szCs w:val="32"/>
        </w:rPr>
      </w:pPr>
    </w:p>
    <w:p w14:paraId="09A0B35A">
      <w:pPr>
        <w:pStyle w:val="3"/>
        <w:rPr>
          <w:rStyle w:val="17"/>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7"/>
          <w:rFonts w:hint="eastAsia" w:ascii="黑体" w:hAnsi="黑体" w:eastAsia="黑体"/>
          <w:b w:val="0"/>
          <w:bCs w:val="0"/>
        </w:rPr>
        <w:t>本职能及主要工作</w:t>
      </w:r>
      <w:bookmarkEnd w:id="14"/>
      <w:bookmarkEnd w:id="15"/>
    </w:p>
    <w:p w14:paraId="70E4F387">
      <w:pPr>
        <w:snapToGrid w:val="0"/>
        <w:spacing w:line="560" w:lineRule="exact"/>
        <w:ind w:firstLine="640" w:firstLineChars="200"/>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14:paraId="52C14975">
      <w:pPr>
        <w:snapToGrid w:val="0"/>
        <w:spacing w:line="560" w:lineRule="exact"/>
        <w:ind w:firstLine="1120" w:firstLineChars="350"/>
        <w:rPr>
          <w:rFonts w:ascii="仿宋_GB2312" w:eastAsia="仿宋_GB2312"/>
          <w:sz w:val="32"/>
          <w:szCs w:val="32"/>
        </w:rPr>
      </w:pPr>
      <w:r>
        <w:rPr>
          <w:rFonts w:hint="eastAsia" w:ascii="仿宋_GB2312" w:eastAsia="仿宋_GB2312"/>
          <w:sz w:val="32"/>
          <w:szCs w:val="32"/>
        </w:rPr>
        <w:t>1.贯彻执行党和政府关于民族、宗教工作的法律法规和方针政策。</w:t>
      </w:r>
    </w:p>
    <w:p w14:paraId="1C2525AF">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2.组织开展民族宗教理论、民族宗教政策和民族宗教工作等重大课题的调查研究，提出有关民族宗教工作的政策建议。</w:t>
      </w:r>
    </w:p>
    <w:p w14:paraId="325A45AE">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3.推进宗教界开展爱国主义、社会主义、拥护祖国统一和民族团结的自我教育，会同协调处理民族关系中的重大事项，促进各民族间的平等团结、互助合作，维护祖国统一和社会稳定。</w:t>
      </w:r>
    </w:p>
    <w:p w14:paraId="0D63A498">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拟定民族地区经济社会发展规划，研究提出民族地区经济发展的有关问题并提出特殊政策建议；参与协调民族地区科技发展、对口支援、经济技术合作、民族贸易和移民、扶贫开发等相关工作；监督检查“三州”开发资金和支援不发达地区发展资金管理工作，研究提出少数民族和民族地区有关专项资金的分配与使用建议。</w:t>
      </w:r>
    </w:p>
    <w:p w14:paraId="3A5EF3E3">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5.负责民族宗教政策、法规的宣传教育工作并监督实施。</w:t>
      </w:r>
    </w:p>
    <w:p w14:paraId="55960591">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6.研究少数民族和民族地区教育、文化、科技、卫生、体育、计划生育、新闻出版等方面的特殊问题，提出相关建议，并承办相应事务。</w:t>
      </w:r>
    </w:p>
    <w:p w14:paraId="17F13EC1">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7.组织全县少数民族权益状况的调查研究，监督和办理少数民族权益保障事宜。</w:t>
      </w:r>
    </w:p>
    <w:p w14:paraId="651F9CAE">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8.参与拟定全县少数民族干部和人才队伍建设规划，联系少数民族干部，协助有关部门做好少数民族干部和人才的培养教育及推荐使用工作；组织和承办全县民族团结进步创建活动。</w:t>
      </w:r>
    </w:p>
    <w:p w14:paraId="6EEE1518">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9.负责民族工作领域的对外交流与合作，开展少数民族和民族地区的对外宣传；组织、接待少数民族学习、参观、考察等事宜。支持、帮助宗教界开展对外和对香港、澳门、台湾地区的友好交流活动。</w:t>
      </w:r>
    </w:p>
    <w:p w14:paraId="7C4A8224">
      <w:pPr>
        <w:snapToGrid w:val="0"/>
        <w:spacing w:line="560" w:lineRule="exact"/>
        <w:ind w:firstLine="640" w:firstLineChars="200"/>
        <w:rPr>
          <w:rFonts w:ascii="仿宋_GB2312" w:hAnsi="仿宋" w:eastAsia="仿宋_GB2312"/>
          <w:sz w:val="32"/>
          <w:szCs w:val="32"/>
        </w:rPr>
      </w:pPr>
      <w:r>
        <w:rPr>
          <w:rFonts w:hint="eastAsia" w:ascii="仿宋_GB2312" w:eastAsia="仿宋_GB2312"/>
          <w:sz w:val="32"/>
          <w:szCs w:val="32"/>
        </w:rPr>
        <w:t>10.承办县委、县政府交办的其他事项。</w:t>
      </w:r>
    </w:p>
    <w:p w14:paraId="7EE0AD3D">
      <w:pPr>
        <w:pStyle w:val="5"/>
        <w:adjustRightInd w:val="0"/>
        <w:snapToGrid w:val="0"/>
        <w:spacing w:before="93" w:line="600" w:lineRule="exact"/>
        <w:ind w:firstLine="672" w:firstLineChars="210"/>
        <w:outlineLvl w:val="2"/>
        <w:rPr>
          <w:rFonts w:ascii="仿宋" w:hAnsi="仿宋" w:eastAsia="仿宋"/>
          <w:bCs/>
          <w:color w:val="000000"/>
          <w:sz w:val="32"/>
          <w:szCs w:val="32"/>
        </w:rPr>
      </w:pPr>
    </w:p>
    <w:p w14:paraId="2C70FE2B">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2018</w:t>
      </w:r>
      <w:r>
        <w:rPr>
          <w:rFonts w:hint="eastAsia" w:ascii="仿宋" w:hAnsi="仿宋" w:eastAsia="仿宋"/>
          <w:bCs/>
          <w:color w:val="000000"/>
          <w:sz w:val="32"/>
          <w:szCs w:val="32"/>
        </w:rPr>
        <w:t>年重点工作完成情况。</w:t>
      </w:r>
      <w:bookmarkEnd w:id="18"/>
      <w:bookmarkEnd w:id="19"/>
    </w:p>
    <w:p w14:paraId="1F928B02">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因本局注重财政资金的使用，财政资金的效益得到有效的发挥我局的工作也取得了一定的成绩。</w:t>
      </w:r>
    </w:p>
    <w:p w14:paraId="29B71F31">
      <w:pPr>
        <w:snapToGrid w:val="0"/>
        <w:spacing w:line="520" w:lineRule="exact"/>
        <w:ind w:firstLine="640" w:firstLineChars="200"/>
        <w:rPr>
          <w:rFonts w:ascii="仿宋_GB2312" w:eastAsia="仿宋_GB2312"/>
          <w:kern w:val="0"/>
          <w:sz w:val="32"/>
          <w:szCs w:val="32"/>
        </w:rPr>
      </w:pPr>
      <w:r>
        <w:rPr>
          <w:rFonts w:hint="eastAsia" w:ascii="仿宋_GB2312" w:hAnsi="方正楷体_GBK" w:eastAsia="仿宋_GB2312" w:cs="方正楷体_GBK"/>
          <w:bCs/>
          <w:kern w:val="0"/>
          <w:sz w:val="32"/>
          <w:szCs w:val="32"/>
        </w:rPr>
        <w:t>打好一系列创建工作组合拳,</w:t>
      </w:r>
      <w:r>
        <w:rPr>
          <w:rFonts w:hint="eastAsia" w:ascii="仿宋_GB2312" w:eastAsia="仿宋_GB2312"/>
          <w:kern w:val="0"/>
          <w:sz w:val="32"/>
          <w:szCs w:val="32"/>
        </w:rPr>
        <w:t>开设全国民族团结进步示范创建宣传专栏，全县张贴宣传标语 3000 余条，悬挂横幅 1000 余条，发放学习资料 9800 余份；印制了《米易县全国民族团结进步示范县创建活动学习读本》作为全县创建活动基本教材，购买关于彝、傈僳、回族三大主体少数民族书籍500余册，向少数民族乡镇、学校和信教群众发放，为各创建单位配送《民族杂志》200余册，制作勺子、纸杯等宣传品6万份。</w:t>
      </w:r>
    </w:p>
    <w:p w14:paraId="36B2E8BC">
      <w:pPr>
        <w:snapToGrid w:val="0"/>
        <w:spacing w:line="520" w:lineRule="exact"/>
        <w:ind w:firstLine="640" w:firstLineChars="200"/>
        <w:rPr>
          <w:rFonts w:ascii="仿宋_GB2312" w:eastAsia="仿宋_GB2312"/>
          <w:kern w:val="0"/>
          <w:sz w:val="32"/>
          <w:szCs w:val="32"/>
        </w:rPr>
      </w:pPr>
      <w:r>
        <w:rPr>
          <w:rFonts w:hint="eastAsia" w:ascii="仿宋_GB2312" w:hAnsi="方正楷体_GBK" w:eastAsia="仿宋_GB2312" w:cs="方正楷体_GBK"/>
          <w:bCs/>
          <w:kern w:val="0"/>
          <w:sz w:val="32"/>
          <w:szCs w:val="32"/>
        </w:rPr>
        <w:t>举办一系列民族团结多彩米易综合宣传活动。</w:t>
      </w:r>
      <w:r>
        <w:rPr>
          <w:rFonts w:hint="eastAsia" w:ascii="仿宋_GB2312" w:eastAsia="仿宋_GB2312"/>
          <w:kern w:val="0"/>
          <w:sz w:val="32"/>
          <w:szCs w:val="32"/>
        </w:rPr>
        <w:t>一是举办主题为“火把照亮奔康路、篝火温暖感恩心”的2018年火把节活动。二是大力开展少数民族传统文化挖掘和传承工作。创作一批民族文化作品，制作《梦回马鹿寨》《迷彝酒歌》等2首原创民族歌曲的MV。三是抓好第十五届省民运会押加项目训练和比赛工作，精心为运动员做好食宿和其他后勤保障工作，圆满完成了各项赛程，取得了参赛项目均获第二名以上等次好成绩。</w:t>
      </w:r>
    </w:p>
    <w:p w14:paraId="3B5EA39C">
      <w:pPr>
        <w:snapToGrid w:val="0"/>
        <w:spacing w:line="520" w:lineRule="exact"/>
        <w:ind w:firstLine="640" w:firstLineChars="200"/>
        <w:rPr>
          <w:rFonts w:ascii="仿宋_GB2312" w:eastAsia="仿宋_GB2312"/>
          <w:kern w:val="0"/>
          <w:sz w:val="32"/>
          <w:szCs w:val="32"/>
        </w:rPr>
      </w:pPr>
      <w:r>
        <w:rPr>
          <w:rFonts w:hint="eastAsia" w:ascii="仿宋_GB2312" w:eastAsia="仿宋_GB2312"/>
          <w:kern w:val="0"/>
          <w:sz w:val="32"/>
          <w:szCs w:val="32"/>
        </w:rPr>
        <w:t>落实《米易县宗教教职人员考核办法》，对教职人员开展年度考核，兑现宗教教职人员基本生活和医疗困难补助20万元、县伊协工作经费3万元。</w:t>
      </w:r>
    </w:p>
    <w:p w14:paraId="02D00115">
      <w:pPr>
        <w:pStyle w:val="5"/>
        <w:adjustRightInd w:val="0"/>
        <w:snapToGrid w:val="0"/>
        <w:spacing w:before="93" w:line="600" w:lineRule="exact"/>
        <w:ind w:firstLine="672" w:firstLineChars="210"/>
        <w:outlineLvl w:val="2"/>
        <w:rPr>
          <w:rFonts w:ascii="仿宋" w:hAnsi="仿宋" w:eastAsia="仿宋"/>
          <w:bCs/>
          <w:color w:val="000000"/>
          <w:sz w:val="32"/>
          <w:szCs w:val="32"/>
        </w:rPr>
      </w:pPr>
    </w:p>
    <w:p w14:paraId="01419070">
      <w:pPr>
        <w:pStyle w:val="5"/>
        <w:adjustRightInd w:val="0"/>
        <w:snapToGrid w:val="0"/>
        <w:spacing w:before="93" w:line="600" w:lineRule="exact"/>
        <w:ind w:firstLine="672" w:firstLineChars="210"/>
        <w:outlineLvl w:val="2"/>
        <w:rPr>
          <w:rFonts w:ascii="仿宋" w:hAnsi="仿宋" w:eastAsia="仿宋"/>
          <w:bCs/>
          <w:color w:val="000000"/>
          <w:sz w:val="32"/>
          <w:szCs w:val="32"/>
        </w:rPr>
      </w:pPr>
    </w:p>
    <w:p w14:paraId="29282EA8">
      <w:pPr>
        <w:pStyle w:val="3"/>
        <w:rPr>
          <w:rStyle w:val="1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17"/>
          <w:rFonts w:hint="eastAsia" w:ascii="黑体" w:hAnsi="黑体" w:eastAsia="黑体"/>
          <w:b w:val="0"/>
          <w:bCs w:val="0"/>
        </w:rPr>
        <w:t>构设置</w:t>
      </w:r>
      <w:bookmarkEnd w:id="20"/>
      <w:bookmarkEnd w:id="21"/>
    </w:p>
    <w:p w14:paraId="5B127DB6">
      <w:pPr>
        <w:widowControl/>
        <w:ind w:firstLine="320" w:firstLineChars="100"/>
        <w:jc w:val="left"/>
        <w:rPr>
          <w:rFonts w:ascii="仿宋" w:hAnsi="仿宋" w:eastAsia="仿宋"/>
          <w:color w:val="000000"/>
          <w:kern w:val="0"/>
          <w:sz w:val="32"/>
          <w:szCs w:val="32"/>
        </w:rPr>
      </w:pPr>
      <w:r>
        <w:rPr>
          <w:rFonts w:hint="eastAsia" w:ascii="仿宋" w:hAnsi="仿宋" w:eastAsia="仿宋"/>
          <w:color w:val="000000"/>
          <w:sz w:val="32"/>
          <w:szCs w:val="32"/>
        </w:rPr>
        <w:t>本部门无下属单位，单位内部设置四个股室，分别为办公室、民族事务股、经济发展服、宗教股</w:t>
      </w:r>
      <w:r>
        <w:rPr>
          <w:rFonts w:ascii="仿宋" w:hAnsi="仿宋" w:eastAsia="仿宋"/>
          <w:color w:val="000000"/>
          <w:sz w:val="32"/>
          <w:szCs w:val="32"/>
        </w:rPr>
        <w:br w:type="page"/>
      </w:r>
    </w:p>
    <w:p w14:paraId="07DDB134">
      <w:pPr>
        <w:pStyle w:val="2"/>
        <w:ind w:right="440"/>
        <w:jc w:val="right"/>
        <w:rPr>
          <w:rStyle w:val="16"/>
          <w:rFonts w:ascii="黑体" w:hAnsi="黑体" w:eastAsia="黑体"/>
          <w:b w:val="0"/>
          <w:bCs w:val="0"/>
          <w:sz w:val="32"/>
          <w:szCs w:val="32"/>
        </w:rPr>
      </w:pPr>
      <w:bookmarkStart w:id="22" w:name="_Toc15377204"/>
      <w:bookmarkStart w:id="23" w:name="_Toc15396602"/>
      <w:r>
        <w:rPr>
          <w:rFonts w:hint="eastAsia" w:ascii="黑体" w:hAnsi="黑体" w:eastAsia="黑体"/>
          <w:b w:val="0"/>
          <w:color w:val="000000"/>
          <w:sz w:val="32"/>
          <w:szCs w:val="32"/>
        </w:rPr>
        <w:t>第二部分</w:t>
      </w:r>
      <w:r>
        <w:rPr>
          <w:rFonts w:ascii="黑体" w:hAnsi="黑体" w:eastAsia="黑体"/>
          <w:color w:val="000000"/>
          <w:sz w:val="32"/>
          <w:szCs w:val="32"/>
        </w:rPr>
        <w:t xml:space="preserve"> </w:t>
      </w:r>
      <w:r>
        <w:rPr>
          <w:rStyle w:val="16"/>
          <w:rFonts w:ascii="黑体" w:hAnsi="黑体" w:eastAsia="黑体"/>
          <w:b w:val="0"/>
          <w:bCs w:val="0"/>
          <w:sz w:val="32"/>
          <w:szCs w:val="32"/>
        </w:rPr>
        <w:t>2018</w:t>
      </w:r>
      <w:r>
        <w:rPr>
          <w:rStyle w:val="16"/>
          <w:rFonts w:hint="eastAsia" w:ascii="黑体" w:hAnsi="黑体" w:eastAsia="黑体"/>
          <w:b w:val="0"/>
          <w:bCs w:val="0"/>
          <w:sz w:val="32"/>
          <w:szCs w:val="32"/>
        </w:rPr>
        <w:t>年度部门决算情况说明</w:t>
      </w:r>
      <w:bookmarkEnd w:id="22"/>
      <w:bookmarkEnd w:id="23"/>
    </w:p>
    <w:p w14:paraId="3CD1682C">
      <w:pPr>
        <w:rPr>
          <w:sz w:val="32"/>
          <w:szCs w:val="32"/>
        </w:rPr>
      </w:pPr>
    </w:p>
    <w:p w14:paraId="3FE7C578">
      <w:pPr>
        <w:pStyle w:val="26"/>
        <w:numPr>
          <w:ilvl w:val="0"/>
          <w:numId w:val="1"/>
        </w:numPr>
        <w:spacing w:line="600" w:lineRule="exact"/>
        <w:ind w:firstLineChars="0"/>
        <w:outlineLvl w:val="1"/>
        <w:rPr>
          <w:rStyle w:val="1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24"/>
      <w:bookmarkEnd w:id="25"/>
    </w:p>
    <w:p w14:paraId="701B7A3B">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年度收入总计为</w:t>
      </w:r>
      <w:r>
        <w:rPr>
          <w:rFonts w:ascii="仿宋" w:hAnsi="仿宋" w:eastAsia="仿宋"/>
          <w:color w:val="000000"/>
          <w:sz w:val="32"/>
          <w:szCs w:val="32"/>
        </w:rPr>
        <w:t>1,269.45</w:t>
      </w:r>
      <w:r>
        <w:rPr>
          <w:rFonts w:hint="eastAsia" w:ascii="仿宋" w:hAnsi="仿宋" w:eastAsia="仿宋"/>
          <w:color w:val="000000"/>
          <w:sz w:val="32"/>
          <w:szCs w:val="32"/>
        </w:rPr>
        <w:t>万元，支出总计为</w:t>
      </w:r>
      <w:r>
        <w:rPr>
          <w:rFonts w:ascii="仿宋" w:hAnsi="仿宋" w:eastAsia="仿宋"/>
          <w:color w:val="000000"/>
          <w:sz w:val="32"/>
          <w:szCs w:val="32"/>
        </w:rPr>
        <w:t>1,168.95</w:t>
      </w:r>
      <w:r>
        <w:rPr>
          <w:rFonts w:hint="eastAsia" w:ascii="仿宋" w:hAnsi="仿宋" w:eastAsia="仿宋"/>
          <w:color w:val="000000"/>
          <w:sz w:val="32"/>
          <w:szCs w:val="32"/>
        </w:rPr>
        <w:t>万元，2017年收入总计为688.21万元，支出总计为556.21万元。与</w:t>
      </w:r>
      <w:r>
        <w:rPr>
          <w:rFonts w:ascii="仿宋" w:hAnsi="仿宋" w:eastAsia="仿宋"/>
          <w:color w:val="000000"/>
          <w:sz w:val="32"/>
          <w:szCs w:val="32"/>
        </w:rPr>
        <w:t>2017</w:t>
      </w:r>
      <w:r>
        <w:rPr>
          <w:rFonts w:hint="eastAsia" w:ascii="仿宋" w:hAnsi="仿宋" w:eastAsia="仿宋"/>
          <w:color w:val="000000"/>
          <w:sz w:val="32"/>
          <w:szCs w:val="32"/>
        </w:rPr>
        <w:t>年相比，收入增加581.24元，增长84.46%，支出增加了612.74万元，增长110.16</w:t>
      </w:r>
      <w:r>
        <w:rPr>
          <w:rFonts w:ascii="仿宋" w:hAnsi="仿宋" w:eastAsia="仿宋"/>
          <w:color w:val="000000"/>
          <w:sz w:val="32"/>
          <w:szCs w:val="32"/>
        </w:rPr>
        <w:t>%</w:t>
      </w:r>
      <w:r>
        <w:rPr>
          <w:rFonts w:hint="eastAsia" w:ascii="仿宋" w:hAnsi="仿宋" w:eastAsia="仿宋"/>
          <w:color w:val="000000"/>
          <w:sz w:val="32"/>
          <w:szCs w:val="32"/>
        </w:rPr>
        <w:t>。变动的主要原因是因机构改革，2017年7月我局新设立。收入、支出只为半年，2018年收入、支出为一年。</w:t>
      </w:r>
    </w:p>
    <w:p w14:paraId="082B5E80">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4B3706CB">
      <w:pPr>
        <w:spacing w:line="600" w:lineRule="exact"/>
        <w:ind w:firstLine="960" w:firstLineChars="200"/>
        <w:jc w:val="left"/>
        <w:rPr>
          <w:rFonts w:ascii="仿宋_GB2312" w:eastAsia="仿宋_GB2312"/>
          <w:color w:val="000000"/>
          <w:sz w:val="48"/>
          <w:szCs w:val="48"/>
        </w:rPr>
      </w:pPr>
    </w:p>
    <w:p w14:paraId="658A5610">
      <w:pPr>
        <w:spacing w:line="600" w:lineRule="exact"/>
        <w:ind w:firstLine="960" w:firstLineChars="200"/>
        <w:jc w:val="left"/>
        <w:rPr>
          <w:rFonts w:ascii="仿宋_GB2312" w:eastAsia="仿宋_GB2312"/>
          <w:color w:val="000000"/>
          <w:sz w:val="48"/>
          <w:szCs w:val="48"/>
        </w:rPr>
      </w:pPr>
    </w:p>
    <w:p w14:paraId="1E7EB045">
      <w:pPr>
        <w:spacing w:line="600" w:lineRule="exact"/>
        <w:ind w:firstLine="960" w:firstLineChars="200"/>
        <w:jc w:val="left"/>
        <w:rPr>
          <w:rFonts w:ascii="仿宋_GB2312" w:eastAsia="仿宋_GB2312"/>
          <w:color w:val="000000"/>
          <w:sz w:val="48"/>
          <w:szCs w:val="48"/>
        </w:rPr>
      </w:pPr>
    </w:p>
    <w:p w14:paraId="57726EC4">
      <w:pPr>
        <w:spacing w:line="600" w:lineRule="exact"/>
        <w:ind w:firstLine="960" w:firstLineChars="200"/>
        <w:jc w:val="left"/>
        <w:rPr>
          <w:rFonts w:ascii="仿宋_GB2312" w:eastAsia="仿宋_GB2312"/>
          <w:color w:val="000000"/>
          <w:sz w:val="48"/>
          <w:szCs w:val="48"/>
        </w:rPr>
      </w:pPr>
    </w:p>
    <w:p w14:paraId="2DE6CE5B">
      <w:pPr>
        <w:spacing w:line="600" w:lineRule="exact"/>
        <w:ind w:firstLine="960" w:firstLineChars="200"/>
        <w:jc w:val="left"/>
        <w:rPr>
          <w:rFonts w:ascii="仿宋_GB2312" w:eastAsia="仿宋_GB2312"/>
          <w:color w:val="000000"/>
          <w:sz w:val="48"/>
          <w:szCs w:val="48"/>
        </w:rPr>
      </w:pPr>
      <w:r>
        <w:rPr>
          <w:rFonts w:ascii="仿宋_GB2312" w:eastAsia="仿宋_GB2312"/>
          <w:color w:val="000000"/>
          <w:sz w:val="48"/>
          <w:szCs w:val="48"/>
        </w:rPr>
        <w:drawing>
          <wp:anchor distT="0" distB="0" distL="114300" distR="114300" simplePos="0" relativeHeight="251659264" behindDoc="0" locked="0" layoutInCell="1" allowOverlap="1">
            <wp:simplePos x="0" y="0"/>
            <wp:positionH relativeFrom="column">
              <wp:posOffset>608330</wp:posOffset>
            </wp:positionH>
            <wp:positionV relativeFrom="paragraph">
              <wp:posOffset>-1522730</wp:posOffset>
            </wp:positionV>
            <wp:extent cx="2733675" cy="1828800"/>
            <wp:effectExtent l="0" t="1270" r="1270" b="0"/>
            <wp:wrapNone/>
            <wp:docPr id="2"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2A2F8FF">
      <w:pPr>
        <w:pStyle w:val="26"/>
        <w:numPr>
          <w:ilvl w:val="0"/>
          <w:numId w:val="1"/>
        </w:numPr>
        <w:spacing w:line="600" w:lineRule="exact"/>
        <w:ind w:firstLineChars="0"/>
        <w:outlineLvl w:val="1"/>
        <w:rPr>
          <w:rStyle w:val="1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17"/>
          <w:rFonts w:hint="eastAsia" w:ascii="黑体" w:hAnsi="黑体" w:eastAsia="黑体"/>
          <w:b w:val="0"/>
        </w:rPr>
        <w:t>入决算情况说明</w:t>
      </w:r>
      <w:bookmarkEnd w:id="26"/>
      <w:bookmarkEnd w:id="27"/>
    </w:p>
    <w:p w14:paraId="1E725B00">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1,269.45</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806.88</w:t>
      </w:r>
      <w:r>
        <w:rPr>
          <w:rFonts w:hint="eastAsia" w:ascii="仿宋" w:hAnsi="仿宋" w:eastAsia="仿宋"/>
          <w:color w:val="000000"/>
          <w:sz w:val="32"/>
          <w:szCs w:val="32"/>
        </w:rPr>
        <w:t>万元，占63.56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ascii="仿宋" w:hAnsi="仿宋" w:eastAsia="仿宋"/>
          <w:color w:val="000000"/>
          <w:sz w:val="32"/>
          <w:szCs w:val="32"/>
        </w:rPr>
        <w:t>462.57</w:t>
      </w:r>
      <w:r>
        <w:rPr>
          <w:rFonts w:hint="eastAsia" w:ascii="仿宋" w:hAnsi="仿宋" w:eastAsia="仿宋"/>
          <w:color w:val="000000"/>
          <w:sz w:val="32"/>
          <w:szCs w:val="32"/>
        </w:rPr>
        <w:t>万元，占36.44</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48066BDE">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52B863E5">
      <w:pPr>
        <w:spacing w:line="600" w:lineRule="exact"/>
        <w:ind w:firstLine="960" w:firstLineChars="200"/>
        <w:rPr>
          <w:rFonts w:ascii="仿宋_GB2312" w:eastAsia="仿宋_GB2312"/>
          <w:color w:val="FF0000"/>
          <w:sz w:val="48"/>
          <w:szCs w:val="48"/>
        </w:rPr>
      </w:pPr>
    </w:p>
    <w:p w14:paraId="0EB93F22">
      <w:pPr>
        <w:spacing w:line="600" w:lineRule="exact"/>
        <w:ind w:firstLine="960" w:firstLineChars="200"/>
        <w:rPr>
          <w:rFonts w:ascii="仿宋_GB2312" w:eastAsia="仿宋_GB2312"/>
          <w:color w:val="FF0000"/>
          <w:sz w:val="48"/>
          <w:szCs w:val="48"/>
        </w:rPr>
      </w:pPr>
    </w:p>
    <w:p w14:paraId="627503E9">
      <w:pPr>
        <w:spacing w:line="600" w:lineRule="exact"/>
        <w:ind w:firstLine="960" w:firstLineChars="200"/>
        <w:rPr>
          <w:rFonts w:ascii="仿宋_GB2312" w:eastAsia="仿宋_GB2312"/>
          <w:color w:val="FF0000"/>
          <w:sz w:val="48"/>
          <w:szCs w:val="48"/>
        </w:rPr>
      </w:pPr>
    </w:p>
    <w:p w14:paraId="3402A8B8">
      <w:pPr>
        <w:spacing w:line="600" w:lineRule="exact"/>
        <w:ind w:firstLine="960" w:firstLineChars="200"/>
        <w:rPr>
          <w:rFonts w:ascii="仿宋_GB2312" w:eastAsia="仿宋_GB2312"/>
          <w:color w:val="FF0000"/>
          <w:sz w:val="48"/>
          <w:szCs w:val="48"/>
        </w:rPr>
      </w:pPr>
    </w:p>
    <w:p w14:paraId="327570BE">
      <w:pPr>
        <w:spacing w:line="600" w:lineRule="exact"/>
        <w:ind w:firstLine="960" w:firstLineChars="200"/>
        <w:rPr>
          <w:rFonts w:ascii="仿宋_GB2312" w:eastAsia="仿宋_GB2312"/>
          <w:color w:val="FF0000"/>
          <w:sz w:val="48"/>
          <w:szCs w:val="48"/>
        </w:rPr>
      </w:pPr>
      <w:r>
        <w:rPr>
          <w:rFonts w:ascii="仿宋_GB2312" w:eastAsia="仿宋_GB2312"/>
          <w:color w:val="FF0000"/>
          <w:sz w:val="48"/>
          <w:szCs w:val="48"/>
        </w:rPr>
        <w:drawing>
          <wp:anchor distT="0" distB="0" distL="114300" distR="114300" simplePos="0" relativeHeight="251660288" behindDoc="0" locked="0" layoutInCell="1" allowOverlap="1">
            <wp:simplePos x="0" y="0"/>
            <wp:positionH relativeFrom="column">
              <wp:posOffset>608330</wp:posOffset>
            </wp:positionH>
            <wp:positionV relativeFrom="paragraph">
              <wp:posOffset>-1522730</wp:posOffset>
            </wp:positionV>
            <wp:extent cx="2733675" cy="1828800"/>
            <wp:effectExtent l="0" t="1270" r="1270" b="0"/>
            <wp:wrapNone/>
            <wp:docPr id="3"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E51F665">
      <w:pPr>
        <w:pStyle w:val="26"/>
        <w:numPr>
          <w:ilvl w:val="0"/>
          <w:numId w:val="1"/>
        </w:numPr>
        <w:spacing w:line="600" w:lineRule="exact"/>
        <w:ind w:firstLineChars="0"/>
        <w:outlineLvl w:val="1"/>
        <w:rPr>
          <w:rStyle w:val="1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17"/>
          <w:rFonts w:hint="eastAsia" w:ascii="黑体" w:hAnsi="黑体" w:eastAsia="黑体"/>
          <w:b w:val="0"/>
        </w:rPr>
        <w:t>出决算情况说明</w:t>
      </w:r>
      <w:bookmarkEnd w:id="28"/>
      <w:bookmarkEnd w:id="29"/>
    </w:p>
    <w:p w14:paraId="405FE15E">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1,168.95</w:t>
      </w:r>
      <w:r>
        <w:rPr>
          <w:rFonts w:hint="eastAsia" w:ascii="仿宋" w:hAnsi="仿宋" w:eastAsia="仿宋"/>
          <w:color w:val="000000"/>
          <w:sz w:val="32"/>
          <w:szCs w:val="32"/>
        </w:rPr>
        <w:t>万元，其中：基本支出</w:t>
      </w:r>
      <w:r>
        <w:rPr>
          <w:rFonts w:ascii="仿宋" w:hAnsi="仿宋" w:eastAsia="仿宋"/>
          <w:color w:val="000000"/>
          <w:sz w:val="32"/>
          <w:szCs w:val="32"/>
        </w:rPr>
        <w:t>211.16</w:t>
      </w:r>
      <w:r>
        <w:rPr>
          <w:rFonts w:hint="eastAsia" w:ascii="仿宋" w:hAnsi="仿宋" w:eastAsia="仿宋"/>
          <w:color w:val="000000"/>
          <w:sz w:val="32"/>
          <w:szCs w:val="32"/>
        </w:rPr>
        <w:t>万元，占18.06</w:t>
      </w:r>
      <w:r>
        <w:rPr>
          <w:rFonts w:ascii="仿宋" w:hAnsi="仿宋" w:eastAsia="仿宋"/>
          <w:color w:val="000000"/>
          <w:sz w:val="32"/>
          <w:szCs w:val="32"/>
        </w:rPr>
        <w:t>%</w:t>
      </w:r>
      <w:r>
        <w:rPr>
          <w:rFonts w:hint="eastAsia" w:ascii="仿宋" w:hAnsi="仿宋" w:eastAsia="仿宋"/>
          <w:color w:val="000000"/>
          <w:sz w:val="32"/>
          <w:szCs w:val="32"/>
        </w:rPr>
        <w:t>；项目支出</w:t>
      </w:r>
      <w:r>
        <w:rPr>
          <w:rFonts w:ascii="仿宋" w:hAnsi="仿宋" w:eastAsia="仿宋"/>
          <w:color w:val="000000"/>
          <w:sz w:val="32"/>
          <w:szCs w:val="32"/>
        </w:rPr>
        <w:t>957.78</w:t>
      </w:r>
      <w:r>
        <w:rPr>
          <w:rFonts w:hint="eastAsia" w:ascii="仿宋" w:hAnsi="仿宋" w:eastAsia="仿宋"/>
          <w:color w:val="000000"/>
          <w:sz w:val="32"/>
          <w:szCs w:val="32"/>
        </w:rPr>
        <w:t>万元，占81.94</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0F88B8AB">
      <w:pPr>
        <w:spacing w:line="600" w:lineRule="exact"/>
        <w:ind w:firstLine="640"/>
        <w:rPr>
          <w:rFonts w:ascii="仿宋" w:hAnsi="仿宋" w:eastAsia="仿宋"/>
          <w:color w:val="000000"/>
          <w:sz w:val="32"/>
          <w:szCs w:val="32"/>
          <w:shd w:val="pct10" w:color="auto" w:fill="FFFFFF"/>
        </w:rPr>
      </w:pPr>
    </w:p>
    <w:p w14:paraId="2169F709">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5434DEE1">
      <w:pPr>
        <w:spacing w:line="600" w:lineRule="exact"/>
        <w:ind w:firstLine="960" w:firstLineChars="200"/>
        <w:rPr>
          <w:rFonts w:ascii="仿宋_GB2312" w:eastAsia="仿宋_GB2312"/>
          <w:color w:val="FF0000"/>
          <w:sz w:val="48"/>
          <w:szCs w:val="48"/>
        </w:rPr>
      </w:pPr>
    </w:p>
    <w:p w14:paraId="3CA93CF2">
      <w:pPr>
        <w:spacing w:line="600" w:lineRule="exact"/>
        <w:ind w:firstLine="960" w:firstLineChars="200"/>
        <w:rPr>
          <w:rFonts w:ascii="仿宋_GB2312" w:eastAsia="仿宋_GB2312"/>
          <w:color w:val="FF0000"/>
          <w:sz w:val="48"/>
          <w:szCs w:val="48"/>
        </w:rPr>
      </w:pPr>
    </w:p>
    <w:p w14:paraId="04B583EB">
      <w:pPr>
        <w:spacing w:line="600" w:lineRule="exact"/>
        <w:ind w:firstLine="960" w:firstLineChars="200"/>
        <w:rPr>
          <w:rFonts w:ascii="仿宋_GB2312" w:eastAsia="仿宋_GB2312"/>
          <w:color w:val="FF0000"/>
          <w:sz w:val="48"/>
          <w:szCs w:val="48"/>
        </w:rPr>
      </w:pPr>
    </w:p>
    <w:p w14:paraId="66E1FAD4">
      <w:pPr>
        <w:spacing w:line="600" w:lineRule="exact"/>
        <w:ind w:firstLine="960" w:firstLineChars="200"/>
        <w:rPr>
          <w:rFonts w:ascii="仿宋_GB2312" w:eastAsia="仿宋_GB2312"/>
          <w:color w:val="FF0000"/>
          <w:sz w:val="48"/>
          <w:szCs w:val="48"/>
        </w:rPr>
      </w:pPr>
    </w:p>
    <w:p w14:paraId="523DB058">
      <w:pPr>
        <w:spacing w:line="600" w:lineRule="exact"/>
        <w:ind w:firstLine="960" w:firstLineChars="200"/>
        <w:rPr>
          <w:rFonts w:ascii="仿宋_GB2312" w:eastAsia="仿宋_GB2312"/>
          <w:color w:val="FF0000"/>
          <w:sz w:val="48"/>
          <w:szCs w:val="48"/>
        </w:rPr>
      </w:pPr>
      <w:r>
        <w:rPr>
          <w:rFonts w:ascii="仿宋_GB2312" w:eastAsia="仿宋_GB2312"/>
          <w:color w:val="FF0000"/>
          <w:sz w:val="48"/>
          <w:szCs w:val="48"/>
        </w:rPr>
        <w:drawing>
          <wp:anchor distT="0" distB="0" distL="114300" distR="114300" simplePos="0" relativeHeight="251661312" behindDoc="0" locked="0" layoutInCell="1" allowOverlap="1">
            <wp:simplePos x="0" y="0"/>
            <wp:positionH relativeFrom="column">
              <wp:posOffset>608330</wp:posOffset>
            </wp:positionH>
            <wp:positionV relativeFrom="paragraph">
              <wp:posOffset>-1522730</wp:posOffset>
            </wp:positionV>
            <wp:extent cx="2733675" cy="1828800"/>
            <wp:effectExtent l="0" t="1270" r="1270" b="0"/>
            <wp:wrapNone/>
            <wp:docPr id="4"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8631F67">
      <w:pPr>
        <w:spacing w:line="600" w:lineRule="exact"/>
        <w:ind w:firstLine="640" w:firstLineChars="200"/>
        <w:outlineLvl w:val="1"/>
        <w:rPr>
          <w:rStyle w:val="17"/>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30"/>
      <w:bookmarkEnd w:id="31"/>
    </w:p>
    <w:p w14:paraId="25C7BFC2">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年度我局财政拨款收入总计为</w:t>
      </w:r>
      <w:r>
        <w:rPr>
          <w:rFonts w:ascii="仿宋" w:hAnsi="仿宋" w:eastAsia="仿宋"/>
          <w:color w:val="000000"/>
          <w:sz w:val="32"/>
          <w:szCs w:val="32"/>
        </w:rPr>
        <w:t>1,269.45</w:t>
      </w:r>
      <w:r>
        <w:rPr>
          <w:rFonts w:hint="eastAsia" w:ascii="仿宋" w:hAnsi="仿宋" w:eastAsia="仿宋"/>
          <w:color w:val="000000"/>
          <w:sz w:val="32"/>
          <w:szCs w:val="32"/>
        </w:rPr>
        <w:t>万元、支出总计为</w:t>
      </w:r>
      <w:r>
        <w:rPr>
          <w:rFonts w:ascii="仿宋" w:hAnsi="仿宋" w:eastAsia="仿宋"/>
          <w:color w:val="000000"/>
          <w:sz w:val="32"/>
          <w:szCs w:val="32"/>
        </w:rPr>
        <w:t>1,168.95</w:t>
      </w:r>
      <w:r>
        <w:rPr>
          <w:rFonts w:hint="eastAsia" w:ascii="仿宋" w:hAnsi="仿宋" w:eastAsia="仿宋"/>
          <w:color w:val="000000"/>
          <w:sz w:val="32"/>
          <w:szCs w:val="32"/>
        </w:rPr>
        <w:t>万元；2017年财政拨款收入总计为688.21万元、支出总计为556.21万元。与</w:t>
      </w:r>
      <w:r>
        <w:rPr>
          <w:rFonts w:ascii="仿宋" w:hAnsi="仿宋" w:eastAsia="仿宋"/>
          <w:color w:val="000000"/>
          <w:sz w:val="32"/>
          <w:szCs w:val="32"/>
        </w:rPr>
        <w:t>2017</w:t>
      </w:r>
      <w:r>
        <w:rPr>
          <w:rFonts w:hint="eastAsia" w:ascii="仿宋" w:hAnsi="仿宋" w:eastAsia="仿宋"/>
          <w:color w:val="000000"/>
          <w:sz w:val="32"/>
          <w:szCs w:val="32"/>
        </w:rPr>
        <w:t>年相比，财政拨款收入增加581.24</w:t>
      </w:r>
      <w:r>
        <w:rPr>
          <w:rFonts w:hint="eastAsia" w:ascii="仿宋" w:hAnsi="仿宋" w:eastAsia="仿宋"/>
          <w:color w:val="000000"/>
          <w:sz w:val="32"/>
          <w:szCs w:val="32"/>
          <w:lang w:eastAsia="zh-CN"/>
        </w:rPr>
        <w:t>万</w:t>
      </w:r>
      <w:r>
        <w:rPr>
          <w:rFonts w:hint="eastAsia" w:ascii="仿宋" w:hAnsi="仿宋" w:eastAsia="仿宋"/>
          <w:color w:val="000000"/>
          <w:sz w:val="32"/>
          <w:szCs w:val="32"/>
        </w:rPr>
        <w:t>元，增长84.46%，支出增加了612.74万元，增长110.16</w:t>
      </w:r>
      <w:r>
        <w:rPr>
          <w:rFonts w:ascii="仿宋" w:hAnsi="仿宋" w:eastAsia="仿宋"/>
          <w:color w:val="000000"/>
          <w:sz w:val="32"/>
          <w:szCs w:val="32"/>
        </w:rPr>
        <w:t>%</w:t>
      </w:r>
      <w:r>
        <w:rPr>
          <w:rFonts w:hint="eastAsia" w:ascii="仿宋" w:hAnsi="仿宋" w:eastAsia="仿宋"/>
          <w:color w:val="000000"/>
          <w:sz w:val="32"/>
          <w:szCs w:val="32"/>
        </w:rPr>
        <w:t>。变动的主要原因是因机构改革，2017年7月我局新设立。财政拨款收入、支出只为半年，2018年的财政拨款收入、支出为一年。</w:t>
      </w:r>
    </w:p>
    <w:p w14:paraId="5EE2FA61">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32B21C48">
      <w:pPr>
        <w:spacing w:line="600" w:lineRule="exact"/>
        <w:ind w:firstLine="960" w:firstLineChars="200"/>
        <w:rPr>
          <w:rFonts w:ascii="仿宋" w:hAnsi="仿宋" w:eastAsia="仿宋"/>
          <w:color w:val="000000"/>
          <w:sz w:val="48"/>
          <w:szCs w:val="48"/>
        </w:rPr>
      </w:pPr>
    </w:p>
    <w:p w14:paraId="5E64BA9E">
      <w:pPr>
        <w:spacing w:line="600" w:lineRule="exact"/>
        <w:ind w:firstLine="960" w:firstLineChars="200"/>
        <w:rPr>
          <w:rFonts w:ascii="仿宋" w:hAnsi="仿宋" w:eastAsia="仿宋"/>
          <w:color w:val="000000"/>
          <w:sz w:val="48"/>
          <w:szCs w:val="48"/>
        </w:rPr>
      </w:pPr>
    </w:p>
    <w:p w14:paraId="7A24A8A1">
      <w:pPr>
        <w:spacing w:line="600" w:lineRule="exact"/>
        <w:ind w:firstLine="960" w:firstLineChars="200"/>
        <w:rPr>
          <w:rFonts w:ascii="仿宋" w:hAnsi="仿宋" w:eastAsia="仿宋"/>
          <w:color w:val="000000"/>
          <w:sz w:val="48"/>
          <w:szCs w:val="48"/>
        </w:rPr>
      </w:pPr>
    </w:p>
    <w:p w14:paraId="49F6C743">
      <w:pPr>
        <w:spacing w:line="600" w:lineRule="exact"/>
        <w:ind w:firstLine="960" w:firstLineChars="200"/>
        <w:rPr>
          <w:rFonts w:ascii="仿宋" w:hAnsi="仿宋" w:eastAsia="仿宋"/>
          <w:color w:val="000000"/>
          <w:sz w:val="48"/>
          <w:szCs w:val="48"/>
        </w:rPr>
      </w:pPr>
    </w:p>
    <w:p w14:paraId="5B1D49A6">
      <w:pPr>
        <w:spacing w:line="600" w:lineRule="exact"/>
        <w:ind w:firstLine="960" w:firstLineChars="200"/>
        <w:rPr>
          <w:rFonts w:ascii="仿宋" w:hAnsi="仿宋" w:eastAsia="仿宋"/>
          <w:color w:val="000000"/>
          <w:sz w:val="48"/>
          <w:szCs w:val="48"/>
        </w:rPr>
      </w:pPr>
    </w:p>
    <w:p w14:paraId="17D9C93B">
      <w:pPr>
        <w:spacing w:line="600" w:lineRule="exact"/>
        <w:ind w:firstLine="960" w:firstLineChars="200"/>
        <w:rPr>
          <w:rFonts w:ascii="仿宋" w:hAnsi="仿宋" w:eastAsia="仿宋"/>
          <w:color w:val="000000"/>
          <w:sz w:val="48"/>
          <w:szCs w:val="48"/>
        </w:rPr>
      </w:pPr>
    </w:p>
    <w:p w14:paraId="77676CF3">
      <w:pPr>
        <w:spacing w:line="600" w:lineRule="exact"/>
        <w:ind w:firstLine="960" w:firstLineChars="200"/>
        <w:rPr>
          <w:rFonts w:ascii="仿宋" w:hAnsi="仿宋" w:eastAsia="仿宋"/>
          <w:color w:val="000000"/>
          <w:sz w:val="48"/>
          <w:szCs w:val="48"/>
        </w:rPr>
      </w:pPr>
    </w:p>
    <w:p w14:paraId="45CF588F">
      <w:pPr>
        <w:spacing w:line="600" w:lineRule="exact"/>
        <w:ind w:firstLine="960" w:firstLineChars="200"/>
        <w:rPr>
          <w:rFonts w:ascii="仿宋" w:hAnsi="仿宋" w:eastAsia="仿宋"/>
          <w:color w:val="000000"/>
          <w:sz w:val="48"/>
          <w:szCs w:val="48"/>
        </w:rPr>
      </w:pPr>
      <w:r>
        <w:rPr>
          <w:rFonts w:ascii="仿宋" w:hAnsi="仿宋" w:eastAsia="仿宋"/>
          <w:color w:val="000000"/>
          <w:sz w:val="48"/>
          <w:szCs w:val="48"/>
        </w:rPr>
        <w:drawing>
          <wp:anchor distT="0" distB="0" distL="114300" distR="114300" simplePos="0" relativeHeight="251664384" behindDoc="0" locked="0" layoutInCell="1" allowOverlap="1">
            <wp:simplePos x="0" y="0"/>
            <wp:positionH relativeFrom="column">
              <wp:posOffset>608330</wp:posOffset>
            </wp:positionH>
            <wp:positionV relativeFrom="paragraph">
              <wp:posOffset>-1522730</wp:posOffset>
            </wp:positionV>
            <wp:extent cx="2733675" cy="1828800"/>
            <wp:effectExtent l="0" t="1270" r="1270" b="0"/>
            <wp:wrapNone/>
            <wp:docPr id="8" name="对象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174B668">
      <w:pPr>
        <w:spacing w:line="600" w:lineRule="exact"/>
        <w:ind w:firstLine="640"/>
        <w:rPr>
          <w:rFonts w:ascii="仿宋" w:hAnsi="仿宋" w:eastAsia="仿宋"/>
          <w:b/>
          <w:color w:val="00B050"/>
          <w:sz w:val="48"/>
          <w:szCs w:val="48"/>
        </w:rPr>
      </w:pPr>
    </w:p>
    <w:p w14:paraId="21CDBDFA">
      <w:pPr>
        <w:spacing w:line="600" w:lineRule="exact"/>
        <w:ind w:firstLine="640" w:firstLineChars="200"/>
        <w:outlineLvl w:val="1"/>
        <w:rPr>
          <w:rStyle w:val="1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32"/>
      <w:bookmarkEnd w:id="33"/>
    </w:p>
    <w:p w14:paraId="3DDAED43">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4A3CBB51">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706.39</w:t>
      </w:r>
      <w:r>
        <w:rPr>
          <w:rFonts w:hint="eastAsia" w:ascii="仿宋" w:hAnsi="仿宋" w:eastAsia="仿宋"/>
          <w:color w:val="000000"/>
          <w:sz w:val="32"/>
          <w:szCs w:val="32"/>
        </w:rPr>
        <w:t>万元，占本年支出合计的60.43</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年相比，一般公共预算财政拨款支出增加150.18万元，增长27</w:t>
      </w:r>
      <w:r>
        <w:rPr>
          <w:rFonts w:ascii="仿宋" w:hAnsi="仿宋" w:eastAsia="仿宋"/>
          <w:color w:val="000000"/>
          <w:sz w:val="32"/>
          <w:szCs w:val="32"/>
        </w:rPr>
        <w:t>%</w:t>
      </w:r>
      <w:r>
        <w:rPr>
          <w:rFonts w:hint="eastAsia" w:ascii="仿宋" w:hAnsi="仿宋" w:eastAsia="仿宋"/>
          <w:color w:val="000000"/>
          <w:sz w:val="32"/>
          <w:szCs w:val="32"/>
        </w:rPr>
        <w:t>。要原因是因机构改革，2017年7月我局新设立。收入、支出只为半年，2018年收入、支出为一年。（图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353CECD3">
      <w:pPr>
        <w:spacing w:line="600" w:lineRule="exact"/>
        <w:ind w:firstLine="640" w:firstLineChars="200"/>
        <w:rPr>
          <w:rFonts w:ascii="仿宋" w:hAnsi="仿宋" w:eastAsia="仿宋"/>
          <w:color w:val="000000"/>
          <w:sz w:val="32"/>
          <w:szCs w:val="32"/>
        </w:rPr>
      </w:pPr>
    </w:p>
    <w:p w14:paraId="367DB860">
      <w:pPr>
        <w:spacing w:line="600" w:lineRule="exact"/>
        <w:ind w:firstLine="960" w:firstLineChars="200"/>
        <w:rPr>
          <w:rFonts w:ascii="仿宋" w:hAnsi="仿宋" w:eastAsia="仿宋"/>
          <w:color w:val="000000"/>
          <w:sz w:val="48"/>
          <w:szCs w:val="48"/>
        </w:rPr>
      </w:pPr>
    </w:p>
    <w:p w14:paraId="369F346C">
      <w:pPr>
        <w:spacing w:line="600" w:lineRule="exact"/>
        <w:ind w:firstLine="960" w:firstLineChars="200"/>
        <w:rPr>
          <w:rFonts w:ascii="仿宋" w:hAnsi="仿宋" w:eastAsia="仿宋"/>
          <w:color w:val="000000"/>
          <w:sz w:val="48"/>
          <w:szCs w:val="48"/>
        </w:rPr>
      </w:pPr>
    </w:p>
    <w:p w14:paraId="09F42AE4">
      <w:pPr>
        <w:spacing w:line="600" w:lineRule="exact"/>
        <w:ind w:firstLine="960" w:firstLineChars="200"/>
        <w:rPr>
          <w:rFonts w:ascii="仿宋" w:hAnsi="仿宋" w:eastAsia="仿宋"/>
          <w:color w:val="000000"/>
          <w:sz w:val="48"/>
          <w:szCs w:val="48"/>
        </w:rPr>
      </w:pPr>
    </w:p>
    <w:p w14:paraId="4AB2DA6E">
      <w:pPr>
        <w:spacing w:line="600" w:lineRule="exact"/>
        <w:ind w:firstLine="960" w:firstLineChars="200"/>
        <w:rPr>
          <w:rFonts w:ascii="仿宋" w:hAnsi="仿宋" w:eastAsia="仿宋"/>
          <w:color w:val="000000"/>
          <w:sz w:val="48"/>
          <w:szCs w:val="48"/>
        </w:rPr>
      </w:pPr>
      <w:r>
        <w:rPr>
          <w:rFonts w:ascii="仿宋" w:hAnsi="仿宋" w:eastAsia="仿宋"/>
          <w:color w:val="000000"/>
          <w:sz w:val="48"/>
          <w:szCs w:val="48"/>
        </w:rPr>
        <w:drawing>
          <wp:anchor distT="0" distB="0" distL="114300" distR="114300" simplePos="0" relativeHeight="251662336" behindDoc="0" locked="0" layoutInCell="1" allowOverlap="1">
            <wp:simplePos x="0" y="0"/>
            <wp:positionH relativeFrom="column">
              <wp:posOffset>608330</wp:posOffset>
            </wp:positionH>
            <wp:positionV relativeFrom="paragraph">
              <wp:posOffset>-1522730</wp:posOffset>
            </wp:positionV>
            <wp:extent cx="2733675" cy="1828800"/>
            <wp:effectExtent l="0" t="1270" r="1270" b="0"/>
            <wp:wrapNone/>
            <wp:docPr id="5" name="对象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FCE33E9">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56F39EB9">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706.39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ascii="仿宋" w:hAnsi="仿宋" w:eastAsia="仿宋"/>
          <w:color w:val="000000"/>
          <w:sz w:val="32"/>
          <w:szCs w:val="32"/>
        </w:rPr>
        <w:t>469.50</w:t>
      </w:r>
      <w:r>
        <w:rPr>
          <w:rFonts w:hint="eastAsia" w:ascii="仿宋" w:hAnsi="仿宋" w:eastAsia="仿宋"/>
          <w:color w:val="000000"/>
          <w:sz w:val="32"/>
          <w:szCs w:val="32"/>
        </w:rPr>
        <w:t>万元，占66.47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24.81</w:t>
      </w:r>
      <w:r>
        <w:rPr>
          <w:rFonts w:hint="eastAsia" w:ascii="仿宋" w:hAnsi="仿宋" w:eastAsia="仿宋"/>
          <w:color w:val="000000"/>
          <w:sz w:val="32"/>
          <w:szCs w:val="32"/>
        </w:rPr>
        <w:t>万元，占3.51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农林水支出（类）</w:t>
      </w:r>
      <w:r>
        <w:rPr>
          <w:rFonts w:hint="eastAsia" w:ascii="仿宋" w:hAnsi="仿宋" w:eastAsia="仿宋"/>
          <w:color w:val="000000"/>
          <w:sz w:val="32"/>
          <w:szCs w:val="32"/>
        </w:rPr>
        <w:t>支出</w:t>
      </w:r>
      <w:r>
        <w:rPr>
          <w:rFonts w:ascii="仿宋" w:hAnsi="仿宋" w:eastAsia="仿宋"/>
          <w:color w:val="000000"/>
          <w:sz w:val="32"/>
          <w:szCs w:val="32"/>
        </w:rPr>
        <w:t>192.50</w:t>
      </w:r>
      <w:r>
        <w:rPr>
          <w:rFonts w:hint="eastAsia" w:ascii="仿宋" w:hAnsi="仿宋" w:eastAsia="仿宋"/>
          <w:color w:val="000000"/>
          <w:sz w:val="32"/>
          <w:szCs w:val="32"/>
        </w:rPr>
        <w:t>万元，占27.25%，</w:t>
      </w:r>
      <w:r>
        <w:rPr>
          <w:rFonts w:hint="eastAsia" w:ascii="仿宋" w:hAnsi="仿宋" w:eastAsia="仿宋"/>
          <w:b/>
          <w:color w:val="000000"/>
          <w:sz w:val="32"/>
          <w:szCs w:val="32"/>
        </w:rPr>
        <w:t>住房保障支出（类）</w:t>
      </w:r>
      <w:r>
        <w:rPr>
          <w:rFonts w:ascii="仿宋" w:hAnsi="仿宋" w:eastAsia="仿宋"/>
          <w:color w:val="000000"/>
          <w:sz w:val="32"/>
          <w:szCs w:val="32"/>
        </w:rPr>
        <w:t>19.58</w:t>
      </w:r>
      <w:r>
        <w:rPr>
          <w:rFonts w:hint="eastAsia" w:ascii="仿宋" w:hAnsi="仿宋" w:eastAsia="仿宋"/>
          <w:color w:val="000000"/>
          <w:sz w:val="32"/>
          <w:szCs w:val="32"/>
        </w:rPr>
        <w:t>万元，占2.77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（罗列全部功能分类科目，至类级。）</w:t>
      </w:r>
    </w:p>
    <w:p w14:paraId="50442247">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6D68B7C5">
      <w:pPr>
        <w:spacing w:line="600" w:lineRule="exact"/>
        <w:ind w:firstLine="640" w:firstLineChars="200"/>
        <w:rPr>
          <w:rFonts w:ascii="仿宋" w:hAnsi="仿宋" w:eastAsia="仿宋"/>
          <w:color w:val="000000"/>
          <w:sz w:val="32"/>
          <w:szCs w:val="32"/>
        </w:rPr>
      </w:pPr>
    </w:p>
    <w:p w14:paraId="2273F3B2">
      <w:pPr>
        <w:spacing w:line="600" w:lineRule="exact"/>
        <w:ind w:firstLine="960" w:firstLineChars="200"/>
        <w:rPr>
          <w:rFonts w:ascii="仿宋" w:hAnsi="仿宋" w:eastAsia="仿宋"/>
          <w:color w:val="000000"/>
          <w:sz w:val="48"/>
          <w:szCs w:val="48"/>
        </w:rPr>
      </w:pPr>
    </w:p>
    <w:p w14:paraId="22628CE9">
      <w:pPr>
        <w:spacing w:line="600" w:lineRule="exact"/>
        <w:ind w:firstLine="960" w:firstLineChars="200"/>
        <w:rPr>
          <w:rFonts w:ascii="仿宋" w:hAnsi="仿宋" w:eastAsia="仿宋"/>
          <w:color w:val="000000"/>
          <w:sz w:val="48"/>
          <w:szCs w:val="48"/>
        </w:rPr>
      </w:pPr>
    </w:p>
    <w:p w14:paraId="767CFACB">
      <w:pPr>
        <w:spacing w:line="600" w:lineRule="exact"/>
        <w:ind w:firstLine="960" w:firstLineChars="200"/>
        <w:rPr>
          <w:rFonts w:ascii="仿宋" w:hAnsi="仿宋" w:eastAsia="仿宋"/>
          <w:color w:val="000000"/>
          <w:sz w:val="48"/>
          <w:szCs w:val="48"/>
        </w:rPr>
      </w:pPr>
    </w:p>
    <w:p w14:paraId="11A0B2DF">
      <w:pPr>
        <w:spacing w:line="600" w:lineRule="exact"/>
        <w:ind w:firstLine="960" w:firstLineChars="200"/>
        <w:rPr>
          <w:rFonts w:ascii="仿宋" w:hAnsi="仿宋" w:eastAsia="仿宋"/>
          <w:color w:val="000000"/>
          <w:sz w:val="48"/>
          <w:szCs w:val="48"/>
        </w:rPr>
      </w:pPr>
    </w:p>
    <w:p w14:paraId="281200FC">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608330</wp:posOffset>
            </wp:positionH>
            <wp:positionV relativeFrom="paragraph">
              <wp:posOffset>-1522730</wp:posOffset>
            </wp:positionV>
            <wp:extent cx="2733675" cy="1828800"/>
            <wp:effectExtent l="0" t="1270" r="1270" b="0"/>
            <wp:wrapNone/>
            <wp:docPr id="6" name="对象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E545DEF">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2175C922">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ascii="仿宋" w:hAnsi="仿宋" w:eastAsia="仿宋"/>
          <w:b/>
          <w:color w:val="000000"/>
          <w:sz w:val="32"/>
          <w:szCs w:val="32"/>
        </w:rPr>
        <w:t>2018</w:t>
      </w:r>
      <w:r>
        <w:rPr>
          <w:rFonts w:hint="eastAsia" w:ascii="仿宋" w:hAnsi="仿宋" w:eastAsia="仿宋"/>
          <w:b/>
          <w:color w:val="000000"/>
          <w:sz w:val="32"/>
          <w:szCs w:val="32"/>
        </w:rPr>
        <w:t>年一般公共预算支出决算数为</w:t>
      </w:r>
      <w:r>
        <w:rPr>
          <w:rFonts w:ascii="仿宋" w:hAnsi="仿宋" w:eastAsia="仿宋"/>
          <w:color w:val="000000"/>
          <w:sz w:val="32"/>
          <w:szCs w:val="32"/>
        </w:rPr>
        <w:t>706.39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完成预算(基本225.71</w:t>
      </w:r>
      <w:r>
        <w:rPr>
          <w:rStyle w:val="14"/>
          <w:rFonts w:hint="eastAsia" w:ascii="仿宋" w:hAnsi="仿宋" w:eastAsia="仿宋"/>
          <w:bCs/>
          <w:color w:val="000000"/>
          <w:sz w:val="32"/>
          <w:szCs w:val="32"/>
          <w:lang w:eastAsia="zh-CN"/>
        </w:rPr>
        <w:t>万</w:t>
      </w:r>
      <w:r>
        <w:rPr>
          <w:rStyle w:val="14"/>
          <w:rFonts w:hint="eastAsia" w:ascii="仿宋" w:hAnsi="仿宋" w:eastAsia="仿宋"/>
          <w:bCs/>
          <w:color w:val="000000"/>
          <w:sz w:val="32"/>
          <w:szCs w:val="32"/>
        </w:rPr>
        <w:t>元，项目595.71</w:t>
      </w:r>
      <w:r>
        <w:rPr>
          <w:rStyle w:val="14"/>
          <w:rFonts w:hint="eastAsia" w:ascii="仿宋" w:hAnsi="仿宋" w:eastAsia="仿宋"/>
          <w:bCs/>
          <w:color w:val="000000"/>
          <w:sz w:val="32"/>
          <w:szCs w:val="32"/>
          <w:lang w:eastAsia="zh-CN"/>
        </w:rPr>
        <w:t>万</w:t>
      </w:r>
      <w:r>
        <w:rPr>
          <w:rStyle w:val="14"/>
          <w:rFonts w:hint="eastAsia" w:ascii="仿宋" w:hAnsi="仿宋" w:eastAsia="仿宋"/>
          <w:bCs/>
          <w:color w:val="000000"/>
          <w:sz w:val="32"/>
          <w:szCs w:val="32"/>
        </w:rPr>
        <w:t>元，合计821.42</w:t>
      </w:r>
      <w:r>
        <w:rPr>
          <w:rStyle w:val="14"/>
          <w:rFonts w:hint="eastAsia" w:ascii="仿宋" w:hAnsi="仿宋" w:eastAsia="仿宋"/>
          <w:bCs/>
          <w:color w:val="000000"/>
          <w:sz w:val="32"/>
          <w:szCs w:val="32"/>
          <w:lang w:eastAsia="zh-CN"/>
        </w:rPr>
        <w:t>万</w:t>
      </w:r>
      <w:r>
        <w:rPr>
          <w:rStyle w:val="14"/>
          <w:rFonts w:hint="eastAsia" w:ascii="仿宋" w:hAnsi="仿宋" w:eastAsia="仿宋"/>
          <w:bCs/>
          <w:color w:val="000000"/>
          <w:sz w:val="32"/>
          <w:szCs w:val="32"/>
        </w:rPr>
        <w:t>元)8</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14:paraId="013C517C">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一般公共服务（类）民族事务（款）行政运行（项）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118.48</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民族工作专项（项）：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217.85</w:t>
      </w:r>
      <w:r>
        <w:rPr>
          <w:rStyle w:val="14"/>
          <w:rFonts w:hint="eastAsia" w:ascii="仿宋" w:hAnsi="仿宋" w:eastAsia="仿宋"/>
          <w:b w:val="0"/>
          <w:bCs/>
          <w:color w:val="000000"/>
          <w:sz w:val="32"/>
          <w:szCs w:val="32"/>
        </w:rPr>
        <w:t>万元，完成预算的78.41%，主要的原因是2018年三洲资金部分项目质保金及项目质保金还未支付；</w:t>
      </w:r>
      <w:r>
        <w:rPr>
          <w:rStyle w:val="14"/>
          <w:rFonts w:hint="eastAsia" w:ascii="仿宋" w:hAnsi="仿宋" w:eastAsia="仿宋"/>
          <w:bCs/>
          <w:color w:val="000000"/>
          <w:sz w:val="32"/>
          <w:szCs w:val="32"/>
        </w:rPr>
        <w:t>事业运行（项）：</w:t>
      </w:r>
      <w:r>
        <w:rPr>
          <w:rStyle w:val="14"/>
          <w:rFonts w:hint="eastAsia" w:ascii="仿宋" w:hAnsi="仿宋" w:eastAsia="仿宋"/>
          <w:b w:val="0"/>
          <w:bCs/>
          <w:color w:val="000000"/>
          <w:sz w:val="32"/>
          <w:szCs w:val="32"/>
        </w:rPr>
        <w:t>支出决算</w:t>
      </w:r>
      <w:r>
        <w:rPr>
          <w:rStyle w:val="14"/>
          <w:rFonts w:ascii="仿宋" w:hAnsi="仿宋" w:eastAsia="仿宋"/>
          <w:b w:val="0"/>
          <w:bCs/>
          <w:color w:val="000000"/>
          <w:sz w:val="32"/>
          <w:szCs w:val="32"/>
        </w:rPr>
        <w:t>48.30</w:t>
      </w:r>
      <w:r>
        <w:rPr>
          <w:rStyle w:val="14"/>
          <w:rFonts w:hint="eastAsia" w:ascii="仿宋" w:hAnsi="仿宋" w:eastAsia="仿宋"/>
          <w:b w:val="0"/>
          <w:bCs/>
          <w:color w:val="000000"/>
          <w:sz w:val="32"/>
          <w:szCs w:val="32"/>
        </w:rPr>
        <w:t>万元，完成预算的100%；</w:t>
      </w:r>
      <w:r>
        <w:rPr>
          <w:rStyle w:val="14"/>
          <w:rFonts w:hint="eastAsia" w:ascii="仿宋" w:hAnsi="仿宋" w:eastAsia="仿宋"/>
          <w:bCs/>
          <w:color w:val="000000"/>
          <w:sz w:val="32"/>
          <w:szCs w:val="32"/>
        </w:rPr>
        <w:t>其他民族事务（项）：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64.87</w:t>
      </w:r>
      <w:r>
        <w:rPr>
          <w:rStyle w:val="14"/>
          <w:rFonts w:hint="eastAsia" w:ascii="仿宋" w:hAnsi="仿宋" w:eastAsia="仿宋"/>
          <w:b w:val="0"/>
          <w:bCs/>
          <w:color w:val="000000"/>
          <w:sz w:val="32"/>
          <w:szCs w:val="32"/>
        </w:rPr>
        <w:t>万元，完成预算的68.38%，主要原因是川财行[2018]21号文下达省民族事业发展资金因项目的立项、申报、评审等原因未启支，所以还有30万元的资金未支付。</w:t>
      </w:r>
      <w:r>
        <w:rPr>
          <w:rStyle w:val="14"/>
          <w:rFonts w:hint="eastAsia" w:ascii="仿宋" w:hAnsi="仿宋" w:eastAsia="仿宋"/>
          <w:bCs/>
          <w:color w:val="000000"/>
          <w:sz w:val="32"/>
          <w:szCs w:val="32"/>
        </w:rPr>
        <w:t>宗教事务（款）其他宗教事务（项）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20.00</w:t>
      </w:r>
      <w:r>
        <w:rPr>
          <w:rStyle w:val="14"/>
          <w:rFonts w:hint="eastAsia" w:ascii="仿宋" w:hAnsi="仿宋" w:eastAsia="仿宋"/>
          <w:b w:val="0"/>
          <w:bCs/>
          <w:color w:val="000000"/>
          <w:sz w:val="32"/>
          <w:szCs w:val="32"/>
        </w:rPr>
        <w:t>万元，完成预算的100%</w:t>
      </w:r>
    </w:p>
    <w:p w14:paraId="5E4DA08D">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社会保障和就业（类）行政单位离退休（款）  未归口管理的行政单位离退休（项）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Fonts w:ascii="仿宋" w:hAnsi="仿宋" w:eastAsia="仿宋"/>
          <w:color w:val="000000"/>
          <w:sz w:val="32"/>
          <w:szCs w:val="32"/>
        </w:rPr>
        <w:t>6.57</w:t>
      </w:r>
      <w:r>
        <w:rPr>
          <w:rStyle w:val="14"/>
          <w:rFonts w:hint="eastAsia" w:ascii="仿宋" w:hAnsi="仿宋" w:eastAsia="仿宋"/>
          <w:b w:val="0"/>
          <w:bCs/>
          <w:color w:val="000000"/>
          <w:sz w:val="32"/>
          <w:szCs w:val="32"/>
        </w:rPr>
        <w:t xml:space="preserve">万元，完成预算的100%。  </w:t>
      </w:r>
      <w:r>
        <w:rPr>
          <w:rStyle w:val="14"/>
          <w:rFonts w:hint="eastAsia" w:ascii="仿宋" w:hAnsi="仿宋" w:eastAsia="仿宋"/>
          <w:bCs/>
          <w:color w:val="000000"/>
          <w:sz w:val="32"/>
          <w:szCs w:val="32"/>
        </w:rPr>
        <w:t>机关事业单位基本养老保险缴费（项）：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18.24</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ascii="仿宋" w:hAnsi="仿宋" w:eastAsia="仿宋"/>
          <w:b/>
          <w:color w:val="000000"/>
          <w:sz w:val="32"/>
          <w:szCs w:val="32"/>
        </w:rPr>
        <w:t xml:space="preserve"> </w:t>
      </w:r>
    </w:p>
    <w:p w14:paraId="3BA5ABBB">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3. 农林水支出（类）</w:t>
      </w:r>
      <w:r>
        <w:rPr>
          <w:rStyle w:val="14"/>
          <w:rFonts w:hint="eastAsia" w:ascii="仿宋" w:hAnsi="仿宋" w:eastAsia="仿宋"/>
          <w:bCs/>
          <w:color w:val="000000"/>
          <w:sz w:val="32"/>
          <w:szCs w:val="32"/>
        </w:rPr>
        <w:t>扶贫</w:t>
      </w:r>
      <w:r>
        <w:rPr>
          <w:rFonts w:hint="eastAsia" w:ascii="仿宋" w:hAnsi="仿宋" w:eastAsia="仿宋"/>
          <w:b/>
          <w:color w:val="000000"/>
          <w:sz w:val="32"/>
          <w:szCs w:val="32"/>
        </w:rPr>
        <w:t>（款）  农村基础设施建设（项）：支出决算为</w:t>
      </w:r>
      <w:r>
        <w:rPr>
          <w:rFonts w:ascii="仿宋" w:hAnsi="仿宋" w:eastAsia="仿宋"/>
          <w:color w:val="000000"/>
          <w:sz w:val="32"/>
          <w:szCs w:val="32"/>
        </w:rPr>
        <w:t>154.50</w:t>
      </w:r>
      <w:r>
        <w:rPr>
          <w:rFonts w:hint="eastAsia" w:ascii="仿宋" w:hAnsi="仿宋" w:eastAsia="仿宋"/>
          <w:color w:val="000000"/>
          <w:sz w:val="32"/>
          <w:szCs w:val="32"/>
        </w:rPr>
        <w:t xml:space="preserve">万元，完成预算的94.79%，主要原因是扣8.5万元的项目质保金，待2019年给予支付。  </w:t>
      </w:r>
      <w:r>
        <w:rPr>
          <w:rFonts w:hint="eastAsia" w:ascii="仿宋" w:hAnsi="仿宋" w:eastAsia="仿宋"/>
          <w:b/>
          <w:color w:val="000000"/>
          <w:sz w:val="32"/>
          <w:szCs w:val="32"/>
        </w:rPr>
        <w:t>生产发展（项）：</w:t>
      </w:r>
      <w:r>
        <w:rPr>
          <w:rFonts w:hint="eastAsia" w:ascii="仿宋" w:hAnsi="仿宋" w:eastAsia="仿宋"/>
          <w:color w:val="000000"/>
          <w:sz w:val="32"/>
          <w:szCs w:val="32"/>
        </w:rPr>
        <w:t>支出决算为</w:t>
      </w:r>
      <w:r>
        <w:rPr>
          <w:rFonts w:ascii="仿宋" w:hAnsi="仿宋" w:eastAsia="仿宋"/>
          <w:color w:val="000000"/>
          <w:sz w:val="32"/>
          <w:szCs w:val="32"/>
        </w:rPr>
        <w:t>38.00</w:t>
      </w:r>
      <w:r>
        <w:rPr>
          <w:rFonts w:hint="eastAsia" w:ascii="仿宋" w:hAnsi="仿宋" w:eastAsia="仿宋"/>
          <w:color w:val="000000"/>
          <w:sz w:val="32"/>
          <w:szCs w:val="32"/>
        </w:rPr>
        <w:t>万元。</w:t>
      </w:r>
      <w:r>
        <w:rPr>
          <w:rStyle w:val="14"/>
          <w:rFonts w:hint="eastAsia" w:ascii="仿宋" w:hAnsi="仿宋" w:eastAsia="仿宋"/>
          <w:b w:val="0"/>
          <w:bCs/>
          <w:color w:val="000000"/>
          <w:sz w:val="32"/>
          <w:szCs w:val="32"/>
        </w:rPr>
        <w:t>完成预算95</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，主要原因是扣工程质保金2万元，待2019年给予支付。</w:t>
      </w:r>
    </w:p>
    <w:p w14:paraId="1A0DD082">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4. 住房保障支出（类）</w:t>
      </w:r>
      <w:r>
        <w:rPr>
          <w:rStyle w:val="14"/>
          <w:rFonts w:hint="eastAsia" w:ascii="仿宋" w:hAnsi="仿宋" w:eastAsia="仿宋"/>
          <w:bCs/>
          <w:color w:val="000000"/>
          <w:sz w:val="32"/>
          <w:szCs w:val="32"/>
        </w:rPr>
        <w:t>住房改革支出（款）  住房公积金（项）：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19.58</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14:paraId="5E3FA1E7">
      <w:pPr>
        <w:spacing w:line="600" w:lineRule="exact"/>
        <w:rPr>
          <w:rFonts w:ascii="仿宋" w:hAnsi="仿宋" w:eastAsia="仿宋"/>
          <w:b/>
          <w:color w:val="000000"/>
          <w:sz w:val="32"/>
          <w:szCs w:val="32"/>
        </w:rPr>
      </w:pPr>
    </w:p>
    <w:p w14:paraId="34BEB201">
      <w:pPr>
        <w:tabs>
          <w:tab w:val="right" w:pos="8306"/>
        </w:tabs>
        <w:spacing w:line="600" w:lineRule="exact"/>
        <w:ind w:firstLine="640"/>
        <w:outlineLvl w:val="1"/>
        <w:rPr>
          <w:rStyle w:val="1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40"/>
      <w:bookmarkEnd w:id="41"/>
      <w:r>
        <w:rPr>
          <w:rStyle w:val="17"/>
          <w:rFonts w:ascii="黑体" w:hAnsi="黑体" w:eastAsia="黑体"/>
          <w:b w:val="0"/>
        </w:rPr>
        <w:tab/>
      </w:r>
    </w:p>
    <w:p w14:paraId="78966346">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年一般公共预算财政拨款基本支出211.17万元，其中：</w:t>
      </w:r>
    </w:p>
    <w:p w14:paraId="3A3ECFB2">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194.02</w:t>
      </w:r>
      <w:r>
        <w:rPr>
          <w:rFonts w:hint="eastAsia" w:ascii="仿宋" w:hAnsi="仿宋" w:eastAsia="仿宋"/>
          <w:color w:val="000000"/>
          <w:sz w:val="32"/>
          <w:szCs w:val="32"/>
        </w:rPr>
        <w:t>万元，主要包括：基本工资、津贴补贴、奖金、绩效工资、机关事业单位基本养老保险缴费、其他社会保障缴费、退休费、生活补助、奖励金、住房公积金、生产补贴、其他对个人和家庭的补助支出等。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17.1</w:t>
      </w:r>
      <w:r>
        <w:rPr>
          <w:rFonts w:hint="eastAsia" w:ascii="仿宋" w:hAnsi="仿宋" w:eastAsia="仿宋"/>
          <w:color w:val="000000"/>
          <w:sz w:val="32"/>
          <w:szCs w:val="32"/>
        </w:rPr>
        <w:t>4万元，主要包括：办公费、、咨询费、水费、电费、邮电费、物业管理费、差旅费、租赁费、会议费、培训费、公务接待费、劳务费、福利费、其他交通费、其他商品和服务支出。</w:t>
      </w:r>
    </w:p>
    <w:p w14:paraId="3E9161AD">
      <w:pPr>
        <w:spacing w:line="600" w:lineRule="exact"/>
        <w:ind w:firstLine="640"/>
        <w:rPr>
          <w:rFonts w:ascii="仿宋" w:hAnsi="仿宋" w:eastAsia="仿宋"/>
          <w:b/>
          <w:color w:val="FF0000"/>
          <w:sz w:val="32"/>
          <w:szCs w:val="32"/>
        </w:rPr>
      </w:pPr>
    </w:p>
    <w:p w14:paraId="044DB5A5">
      <w:pPr>
        <w:spacing w:line="600" w:lineRule="exact"/>
        <w:ind w:firstLine="640"/>
        <w:outlineLvl w:val="1"/>
        <w:rPr>
          <w:rStyle w:val="1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42"/>
      <w:bookmarkEnd w:id="43"/>
    </w:p>
    <w:p w14:paraId="4FFC8FE6">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5FFA4435">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年“三公”经费财政拨款支出决算为3.72万元，完成预算100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，决算数与预算数持平，主要是加强“三公”经费的管理，严格指标管控，从节约的角度出发，把好支出关。</w:t>
      </w:r>
    </w:p>
    <w:p w14:paraId="340B927E">
      <w:pPr>
        <w:spacing w:line="600" w:lineRule="exact"/>
        <w:ind w:firstLine="640"/>
        <w:outlineLvl w:val="2"/>
        <w:rPr>
          <w:rFonts w:hint="eastAsia" w:ascii="仿宋" w:hAnsi="仿宋" w:eastAsia="仿宋"/>
          <w:b/>
          <w:color w:val="000000"/>
          <w:sz w:val="32"/>
          <w:szCs w:val="32"/>
        </w:rPr>
      </w:pPr>
      <w:bookmarkStart w:id="45" w:name="_Toc15377217"/>
    </w:p>
    <w:p w14:paraId="2D27D805">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45"/>
    </w:p>
    <w:p w14:paraId="6C81D54E">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；公务接待费支出决算3.72万元，占100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26BA17A3">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8</w:t>
      </w:r>
      <w:r>
        <w:rPr>
          <w:rFonts w:hint="eastAsia" w:ascii="仿宋" w:hAnsi="仿宋" w:eastAsia="仿宋"/>
          <w:color w:val="000000"/>
          <w:sz w:val="32"/>
          <w:szCs w:val="32"/>
        </w:rPr>
        <w:t>：“三公”经费财政拨款支出结构）（饼状图）</w:t>
      </w:r>
    </w:p>
    <w:p w14:paraId="12B7EBFF">
      <w:pPr>
        <w:spacing w:line="600" w:lineRule="exact"/>
        <w:ind w:firstLine="640"/>
        <w:rPr>
          <w:rFonts w:ascii="仿宋" w:hAnsi="仿宋" w:eastAsia="仿宋"/>
          <w:color w:val="000000"/>
          <w:sz w:val="48"/>
          <w:szCs w:val="48"/>
        </w:rPr>
      </w:pPr>
    </w:p>
    <w:p w14:paraId="740A7297">
      <w:pPr>
        <w:spacing w:line="600" w:lineRule="exact"/>
        <w:ind w:firstLine="640"/>
        <w:rPr>
          <w:rFonts w:ascii="仿宋" w:hAnsi="仿宋" w:eastAsia="仿宋"/>
          <w:color w:val="000000"/>
          <w:sz w:val="48"/>
          <w:szCs w:val="48"/>
        </w:rPr>
      </w:pPr>
    </w:p>
    <w:p w14:paraId="2F65D0D2">
      <w:pPr>
        <w:spacing w:line="600" w:lineRule="exact"/>
        <w:ind w:firstLine="640"/>
        <w:rPr>
          <w:rFonts w:ascii="仿宋" w:hAnsi="仿宋" w:eastAsia="仿宋"/>
          <w:color w:val="000000"/>
          <w:sz w:val="48"/>
          <w:szCs w:val="48"/>
        </w:rPr>
      </w:pPr>
    </w:p>
    <w:p w14:paraId="609587DB">
      <w:pPr>
        <w:spacing w:line="600" w:lineRule="exact"/>
        <w:ind w:firstLine="640"/>
        <w:rPr>
          <w:rFonts w:ascii="仿宋" w:hAnsi="仿宋" w:eastAsia="仿宋"/>
          <w:color w:val="000000"/>
          <w:sz w:val="48"/>
          <w:szCs w:val="48"/>
        </w:rPr>
      </w:pPr>
    </w:p>
    <w:p w14:paraId="3307D111">
      <w:pPr>
        <w:spacing w:line="600" w:lineRule="exact"/>
        <w:ind w:firstLine="640"/>
        <w:rPr>
          <w:rFonts w:ascii="仿宋" w:hAnsi="仿宋" w:eastAsia="仿宋"/>
          <w:color w:val="000000"/>
          <w:sz w:val="48"/>
          <w:szCs w:val="48"/>
        </w:rPr>
      </w:pPr>
      <w:r>
        <w:rPr>
          <w:rFonts w:ascii="仿宋" w:hAnsi="仿宋" w:eastAsia="仿宋"/>
          <w:color w:val="000000"/>
          <w:sz w:val="48"/>
          <w:szCs w:val="48"/>
        </w:rPr>
        <w:drawing>
          <wp:anchor distT="0" distB="0" distL="114300" distR="114300" simplePos="0" relativeHeight="251663360" behindDoc="0" locked="0" layoutInCell="1" allowOverlap="1">
            <wp:simplePos x="0" y="0"/>
            <wp:positionH relativeFrom="column">
              <wp:posOffset>410210</wp:posOffset>
            </wp:positionH>
            <wp:positionV relativeFrom="paragraph">
              <wp:posOffset>-1522730</wp:posOffset>
            </wp:positionV>
            <wp:extent cx="2733675" cy="1828800"/>
            <wp:effectExtent l="635" t="1270" r="0" b="0"/>
            <wp:wrapNone/>
            <wp:docPr id="7"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3AF3604">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完成预算0%。</w:t>
      </w:r>
      <w:r>
        <w:rPr>
          <w:rFonts w:hint="eastAsia" w:ascii="仿宋_GB2312" w:eastAsia="仿宋_GB2312"/>
          <w:color w:val="000000"/>
          <w:sz w:val="32"/>
          <w:szCs w:val="32"/>
        </w:rPr>
        <w:t>全年安排因公出国（境）团组0次，出国（境）0人。因公出国（境）支出决算与2017年持平。</w:t>
      </w:r>
    </w:p>
    <w:p w14:paraId="27854990">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完成预算0%。</w:t>
      </w:r>
      <w:r>
        <w:rPr>
          <w:rFonts w:hint="eastAsia" w:ascii="仿宋_GB2312" w:eastAsia="仿宋_GB2312"/>
          <w:color w:val="000000"/>
          <w:sz w:val="32"/>
          <w:szCs w:val="32"/>
        </w:rPr>
        <w:t>公务用车购置及运行维护费支出决算与2017持平。</w:t>
      </w:r>
    </w:p>
    <w:p w14:paraId="342772B1">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0万元。全年按规定更新购置公务用车0辆，其中：轿车0辆、金额0万元，越野车0辆、金额0万元，载客汽车0辆、金额0万元。截至2018年12月底，单位共有公务用车0辆，其中：轿车0辆、越野车0辆、载客汽车0辆。</w:t>
      </w:r>
    </w:p>
    <w:p w14:paraId="4FD7C147">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14:paraId="4E912793">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3.72万元，</w:t>
      </w:r>
      <w:r>
        <w:rPr>
          <w:rStyle w:val="14"/>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公务接待费支出决算比2017年增加1.82万元，增长95.78%。主要原因是</w:t>
      </w:r>
      <w:r>
        <w:rPr>
          <w:rFonts w:hint="eastAsia" w:ascii="仿宋_GB2312" w:hAnsi="仿宋" w:eastAsia="仿宋_GB2312"/>
          <w:color w:val="000000"/>
          <w:sz w:val="32"/>
          <w:szCs w:val="32"/>
        </w:rPr>
        <w:t>因机构改革，2017年7月我局新设立。收入、支出只为半年，2018年收入、支出为一年。</w:t>
      </w:r>
    </w:p>
    <w:p w14:paraId="0E4CAEC8">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务接待费支出主要用于执行公务、开展业务活动开支的餐费。国内公务接待62批次，310人次（不包括陪同人员），共计支出3.72万元，公务接待主要用于：宗教工作的调研、宗教活动场的检查、宗教工作的督导、两资项目的调研、两资项目的检查验收、火把节、民族团结进步创建、少数民族文化发展及自迁工作的协调等方面的接待。其中：宗教工作调研、督导、检查支出接待费0.9万元，接待15批次，接待75人次；两资项目的检查、验收、调研支出接待费0.96万元，接待16批资，80人次；其他民族事务（火把节、民族团结进步创建、少数民族文化发展等）接待费支出1.2万元，接待20批次，100人次，自迁工作支出接待费0.66万元，接待11批次，等待55人次。</w:t>
      </w:r>
    </w:p>
    <w:p w14:paraId="006F123A">
      <w:pPr>
        <w:spacing w:line="600" w:lineRule="exact"/>
        <w:ind w:firstLine="643" w:firstLineChars="200"/>
        <w:rPr>
          <w:rFonts w:ascii="仿宋_GB2312" w:eastAsia="仿宋_GB2312"/>
          <w:color w:val="000000"/>
          <w:sz w:val="32"/>
          <w:szCs w:val="32"/>
        </w:rPr>
      </w:pPr>
      <w:r>
        <w:rPr>
          <w:rFonts w:hint="eastAsia" w:ascii="仿宋_GB2312" w:hAnsi="仿宋" w:eastAsia="仿宋_GB2312"/>
          <w:b/>
          <w:color w:val="000000"/>
          <w:sz w:val="32"/>
          <w:szCs w:val="32"/>
        </w:rPr>
        <w:t>外事接待支出</w:t>
      </w:r>
      <w:r>
        <w:rPr>
          <w:rFonts w:hint="eastAsia" w:ascii="仿宋_GB2312" w:hAnsi="仿宋" w:eastAsia="仿宋_GB2312"/>
          <w:color w:val="000000"/>
          <w:sz w:val="32"/>
          <w:szCs w:val="32"/>
        </w:rPr>
        <w:t>0</w:t>
      </w:r>
      <w:r>
        <w:rPr>
          <w:rFonts w:hint="eastAsia" w:ascii="仿宋_GB2312" w:eastAsia="仿宋_GB2312"/>
          <w:color w:val="000000"/>
          <w:sz w:val="32"/>
          <w:szCs w:val="32"/>
        </w:rPr>
        <w:t>万元，外事接待0批次，0人，共计支出0万元。</w:t>
      </w:r>
    </w:p>
    <w:p w14:paraId="4A18499C">
      <w:pPr>
        <w:spacing w:line="600" w:lineRule="exact"/>
        <w:ind w:firstLine="640"/>
        <w:rPr>
          <w:rFonts w:ascii="仿宋_GB2312" w:eastAsia="仿宋_GB2312"/>
          <w:color w:val="000000"/>
          <w:sz w:val="32"/>
          <w:szCs w:val="32"/>
        </w:rPr>
      </w:pPr>
      <w:r>
        <w:rPr>
          <w:rFonts w:hint="eastAsia" w:ascii="仿宋_GB2312" w:hAnsi="仿宋" w:eastAsia="仿宋_GB2312"/>
          <w:b/>
          <w:color w:val="000000"/>
          <w:sz w:val="32"/>
          <w:szCs w:val="32"/>
        </w:rPr>
        <w:t>其他国内公务接待支出</w:t>
      </w:r>
      <w:r>
        <w:rPr>
          <w:rFonts w:hint="eastAsia" w:ascii="仿宋_GB2312" w:hAnsi="仿宋" w:eastAsia="仿宋_GB2312"/>
          <w:color w:val="000000"/>
          <w:sz w:val="32"/>
          <w:szCs w:val="32"/>
        </w:rPr>
        <w:t>0</w:t>
      </w:r>
      <w:bookmarkStart w:id="46" w:name="_Toc15377218"/>
      <w:bookmarkStart w:id="47" w:name="_Toc15396610"/>
      <w:r>
        <w:rPr>
          <w:rFonts w:hint="eastAsia" w:ascii="仿宋_GB2312" w:eastAsia="仿宋_GB2312"/>
          <w:color w:val="000000"/>
          <w:sz w:val="32"/>
          <w:szCs w:val="32"/>
        </w:rPr>
        <w:t>万元。</w:t>
      </w:r>
    </w:p>
    <w:p w14:paraId="68CD60D8">
      <w:pPr>
        <w:spacing w:line="600" w:lineRule="exact"/>
        <w:ind w:firstLine="640"/>
        <w:outlineLvl w:val="1"/>
        <w:rPr>
          <w:rStyle w:val="17"/>
          <w:rFonts w:ascii="黑体" w:hAnsi="黑体" w:eastAsia="黑体"/>
        </w:rPr>
      </w:pPr>
      <w:r>
        <w:rPr>
          <w:rFonts w:hint="eastAsia" w:ascii="黑体" w:hAnsi="黑体" w:eastAsia="黑体"/>
          <w:color w:val="000000"/>
          <w:sz w:val="32"/>
          <w:szCs w:val="32"/>
        </w:rPr>
        <w:t>八、</w:t>
      </w:r>
      <w:r>
        <w:rPr>
          <w:rStyle w:val="17"/>
          <w:rFonts w:hint="eastAsia" w:ascii="黑体" w:hAnsi="黑体" w:eastAsia="黑体"/>
          <w:b w:val="0"/>
        </w:rPr>
        <w:t>政府性基金预算支出决算情况说明</w:t>
      </w:r>
      <w:bookmarkEnd w:id="46"/>
      <w:bookmarkEnd w:id="47"/>
    </w:p>
    <w:p w14:paraId="42307539">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2018年政府性基金预算拨款支出462.57万元。</w:t>
      </w:r>
    </w:p>
    <w:p w14:paraId="6AE4247C">
      <w:pPr>
        <w:spacing w:line="600" w:lineRule="exact"/>
        <w:ind w:firstLine="640"/>
        <w:rPr>
          <w:rFonts w:ascii="仿宋_GB2312" w:eastAsia="仿宋_GB2312"/>
          <w:color w:val="000000"/>
          <w:sz w:val="32"/>
          <w:szCs w:val="32"/>
        </w:rPr>
      </w:pPr>
    </w:p>
    <w:p w14:paraId="0E3D0E33">
      <w:pPr>
        <w:numPr>
          <w:ilvl w:val="0"/>
          <w:numId w:val="2"/>
        </w:numPr>
        <w:spacing w:line="600" w:lineRule="exact"/>
        <w:ind w:firstLine="640"/>
        <w:outlineLvl w:val="1"/>
        <w:rPr>
          <w:rStyle w:val="17"/>
          <w:rFonts w:ascii="黑体" w:hAnsi="黑体" w:eastAsia="黑体"/>
          <w:b w:val="0"/>
        </w:rPr>
      </w:pPr>
      <w:bookmarkStart w:id="48" w:name="_Toc15377219"/>
      <w:bookmarkStart w:id="49" w:name="_Toc15396611"/>
      <w:r>
        <w:rPr>
          <w:rStyle w:val="17"/>
          <w:rFonts w:hint="eastAsia" w:ascii="黑体" w:hAnsi="黑体" w:eastAsia="黑体"/>
          <w:b w:val="0"/>
        </w:rPr>
        <w:t>国有资本经营预算支出决算情况说明</w:t>
      </w:r>
      <w:bookmarkEnd w:id="48"/>
      <w:bookmarkEnd w:id="49"/>
    </w:p>
    <w:p w14:paraId="540C02AB">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2018年国有资本经营预算拨款支出0万元。</w:t>
      </w:r>
    </w:p>
    <w:p w14:paraId="43D4CC29">
      <w:pPr>
        <w:pStyle w:val="26"/>
        <w:numPr>
          <w:ilvl w:val="0"/>
          <w:numId w:val="3"/>
        </w:numPr>
        <w:spacing w:line="580" w:lineRule="exact"/>
        <w:ind w:firstLineChars="0"/>
        <w:rPr>
          <w:rStyle w:val="17"/>
          <w:rFonts w:ascii="黑体" w:hAnsi="黑体" w:eastAsia="黑体"/>
          <w:b w:val="0"/>
        </w:rPr>
      </w:pPr>
      <w:r>
        <w:rPr>
          <w:rStyle w:val="17"/>
          <w:rFonts w:hint="eastAsia" w:ascii="黑体" w:hAnsi="黑体" w:eastAsia="黑体"/>
          <w:b w:val="0"/>
        </w:rPr>
        <w:t>预算绩效情况说明</w:t>
      </w:r>
    </w:p>
    <w:p w14:paraId="771B4F3B">
      <w:pPr>
        <w:numPr>
          <w:ilvl w:val="0"/>
          <w:numId w:val="4"/>
        </w:numPr>
        <w:spacing w:line="580" w:lineRule="exact"/>
        <w:ind w:firstLine="643" w:firstLineChars="200"/>
        <w:rPr>
          <w:rFonts w:ascii="仿宋_GB2312" w:hAnsi="仿宋" w:eastAsia="仿宋_GB2312" w:cs="楷体_GB2312"/>
          <w:b/>
          <w:bCs/>
          <w:sz w:val="32"/>
          <w:szCs w:val="32"/>
        </w:rPr>
      </w:pPr>
      <w:r>
        <w:rPr>
          <w:rFonts w:hint="eastAsia" w:ascii="仿宋_GB2312" w:hAnsi="仿宋" w:eastAsia="仿宋_GB2312" w:cs="楷体_GB2312"/>
          <w:b/>
          <w:bCs/>
          <w:sz w:val="32"/>
          <w:szCs w:val="32"/>
        </w:rPr>
        <w:t>预算绩效管理工作开展情况。</w:t>
      </w:r>
    </w:p>
    <w:p w14:paraId="63F9C007">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根据预算绩效管理要求，根据预算绩效管理要求，本部门在年初预算编制阶段，组织对中央财政专项扶贫资金（少数民族发展资金）项目和省级财政专项扶贫资金（支援不发达地区发展资金）项目开展了预算事前绩效评估，对5个项目编制了绩效目标，预算执行过程中，选取5个项目开展绩效监控，年终执行完毕后，对5个项目开展了绩效目标完成情况梳理填报。</w:t>
      </w:r>
    </w:p>
    <w:p w14:paraId="71D26758">
      <w:pPr>
        <w:spacing w:line="580" w:lineRule="exact"/>
        <w:ind w:firstLine="645"/>
        <w:rPr>
          <w:rFonts w:ascii="仿宋_GB2312" w:eastAsia="仿宋_GB2312" w:hAnsiTheme="majorEastAsia"/>
          <w:sz w:val="32"/>
          <w:szCs w:val="32"/>
        </w:rPr>
      </w:pPr>
      <w:r>
        <w:rPr>
          <w:rFonts w:hint="eastAsia" w:ascii="仿宋_GB2312" w:hAnsi="仿宋_GB2312" w:eastAsia="仿宋_GB2312" w:cs="仿宋_GB2312"/>
          <w:color w:val="000000" w:themeColor="text1"/>
          <w:sz w:val="32"/>
          <w:szCs w:val="32"/>
        </w:rPr>
        <w:t>本部门按要求对2018年部门整体支出开展绩效自评，从评价情况来看</w:t>
      </w:r>
      <w:r>
        <w:rPr>
          <w:rFonts w:hint="eastAsia" w:ascii="仿宋_GB2312" w:eastAsia="仿宋_GB2312" w:hAnsiTheme="majorEastAsia"/>
          <w:color w:val="000000" w:themeColor="text1"/>
          <w:sz w:val="32"/>
          <w:szCs w:val="32"/>
        </w:rPr>
        <w:t>我</w:t>
      </w:r>
      <w:r>
        <w:rPr>
          <w:rFonts w:hint="eastAsia" w:ascii="仿宋_GB2312" w:eastAsia="仿宋_GB2312" w:hAnsiTheme="majorEastAsia"/>
          <w:sz w:val="32"/>
          <w:szCs w:val="32"/>
        </w:rPr>
        <w:t>局不管是在资金预算编制方面，还是预算执行、综合管理、整体绩效方面，都按相关规定严格执行，并合理安排项目，使财政资金发辉最大的效益。</w:t>
      </w:r>
    </w:p>
    <w:p w14:paraId="26EB6F13">
      <w:pPr>
        <w:spacing w:line="580" w:lineRule="exact"/>
        <w:ind w:firstLine="645"/>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还自行组织了2018年民族类资金11个项目绩效评价，从评价情况来看，我们高度重视省市民族资金，为配套上级民族资金的实施，我县设立了“两个百分之五”民族资金、少数民族机动金、民族地区产业发展引导资金、减免8个税种20%少数民族发展资金。在前期组织申报、研究确定工作中，积极整合农牧、交通、扶贫、发改、国土等资金拼盘使用，从严管理。凡是涉及民族资金项目，项目优先申报、优等实施，资金优先拨付，确保了省、市“两项资金”在助推我县民族地区发展中起到了“四两拨千斤”的作用，及时解决了民族地区发展中的道路交通、产业发展问题。</w:t>
      </w:r>
    </w:p>
    <w:p w14:paraId="1CEAE856">
      <w:pPr>
        <w:spacing w:line="580" w:lineRule="exact"/>
        <w:ind w:firstLine="643" w:firstLineChars="200"/>
        <w:rPr>
          <w:rFonts w:ascii="仿宋_GB2312" w:hAnsi="仿宋_GB2312" w:eastAsia="仿宋_GB2312" w:cs="仿宋_GB2312"/>
          <w:color w:val="000000" w:themeColor="text1"/>
          <w:sz w:val="32"/>
          <w:szCs w:val="32"/>
        </w:rPr>
      </w:pPr>
      <w:r>
        <w:rPr>
          <w:rFonts w:hint="eastAsia" w:ascii="仿宋_GB2312" w:hAnsi="仿宋" w:eastAsia="仿宋_GB2312" w:cs="楷体_GB2312"/>
          <w:b/>
          <w:bCs/>
          <w:color w:val="000000" w:themeColor="text1"/>
          <w:sz w:val="32"/>
          <w:szCs w:val="32"/>
        </w:rPr>
        <w:t>项目绩效目标完成情况。</w:t>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color w:val="000000" w:themeColor="text1"/>
          <w:sz w:val="32"/>
          <w:szCs w:val="32"/>
        </w:rPr>
        <w:t>本部门在2018年度部门决算中反映“米易县白坡乡核桃坪村三社道路硬化项目</w:t>
      </w:r>
      <w:r>
        <w:rPr>
          <w:rFonts w:hint="default" w:ascii="仿宋_GB2312" w:hAnsi="仿宋_GB2312" w:eastAsia="仿宋_GB2312" w:cs="仿宋_GB2312"/>
          <w:color w:val="000000" w:themeColor="text1"/>
          <w:sz w:val="32"/>
          <w:szCs w:val="32"/>
          <w:lang w:val="en-US"/>
        </w:rPr>
        <w:t>”</w:t>
      </w:r>
      <w:r>
        <w:rPr>
          <w:rFonts w:hint="eastAsia" w:ascii="仿宋_GB2312" w:hAnsi="仿宋_GB2312" w:eastAsia="仿宋_GB2312" w:cs="仿宋_GB2312"/>
          <w:color w:val="000000" w:themeColor="text1"/>
          <w:sz w:val="32"/>
          <w:szCs w:val="32"/>
        </w:rPr>
        <w:t xml:space="preserve"> 米易县麻陇彝族乡中心村团山堡堰整治”“米易县新山傈僳族乡中山村一、三、八社安全饮水”等5个项目绩效目标实际完成情况。一是米易县白坡乡核桃坪村三社道路硬化项目，硬化道路2.145公里，补助资金54万元，项目已完工，目已拨付资金54万元；二是米易县麻陇彝族乡中心村团山堡堰整治项目，防渗整治沟堰3.2公里，补助资金39万元，项目已完工，已拨付资金39万元；三是米易县新山傈僳族乡中山村一、三、八社安全饮水项目，架设饮水管道22.15公里，其中主管长9.8公里（其中镀锌钢管500米，PP-R管9300米），支管长12.35公里（其中PP-R管12300米，PE管50米），修建蓄水水池2口。补助资金40万元，项目已完工，已拨付资金40万元；四是米易县白坡彝族乡李明久村7社道路硬化项目，硬化社道路1.2公里，水泥路面宽3.5米，厚0.2米，补助资金30万元，项目已完工，已拨付资金30万元；五是米易县麻陇彝族乡照壁村五社早谷田板桥建设项目，新建小桥一座，小桥全长20米，桥梁单跨跨径12米，桥板高50厘米，宽5米。补助资金40万元，项目已完工，已拨付资金40万元。（本单位部门项目绩效目标个数在5个以上的，选取5个项目进行公开，目标个数在5个以下的，全部进行公开，公开内容包括完成情况综述和完成情况表）。</w:t>
      </w:r>
    </w:p>
    <w:p w14:paraId="129CDB41">
      <w:pPr>
        <w:numPr>
          <w:ilvl w:val="0"/>
          <w:numId w:val="5"/>
        </w:num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三州开发资金项目绩效目标完成情况综述。项目全年预算数196万元，执行数为150万元，完成预算的76.5%。通过项目实施，改善4个民族村9个村民小组596户2752余人，1500余亩枇杷、800余亩核桃、芒果和农副产品运输条件，促进产业发展，巩固2个民族村脱贫成果。</w:t>
      </w:r>
    </w:p>
    <w:p w14:paraId="22AF0613">
      <w:pPr>
        <w:numPr>
          <w:ilvl w:val="0"/>
          <w:numId w:val="5"/>
        </w:num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省级民族事业发展专项资金项目绩效目标完成情况综述。项目全年预算数50万元，执行数为45万元，完成预算的90%，余5万元质保金。通过项目实施，解决了1个村民小组20余户，150余人的交通运输困难问题，改善1个村211户2200亩枇杷交易软硬环境，，促进群众增收的同时推动旅游产业发展。</w:t>
      </w:r>
    </w:p>
    <w:p w14:paraId="06539A66">
      <w:pPr>
        <w:numPr>
          <w:ilvl w:val="0"/>
          <w:numId w:val="5"/>
        </w:num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市级少数民族发展资金项目绩效目标完成情况综述。项目全年预算数169万元，执行数为153.5万元，完成预算的90.8%。通过项目实施，改善380余户1430人及800亩农产品运输条件，改善了2所学校2790名学生学习、生活条件。</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149"/>
        <w:gridCol w:w="608"/>
        <w:gridCol w:w="1025"/>
        <w:gridCol w:w="3045"/>
        <w:gridCol w:w="1741"/>
        <w:gridCol w:w="2392"/>
      </w:tblGrid>
      <w:tr w14:paraId="479EA048">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EFCD033">
            <w:pPr>
              <w:pStyle w:val="26"/>
              <w:widowControl/>
              <w:ind w:left="4015" w:leftChars="1310" w:hanging="1264" w:hangingChars="395"/>
              <w:textAlignment w:val="center"/>
              <w:rPr>
                <w:rFonts w:ascii="宋体" w:cs="宋体"/>
                <w:color w:val="000000" w:themeColor="text1"/>
                <w:sz w:val="32"/>
                <w:szCs w:val="32"/>
              </w:rPr>
            </w:pPr>
            <w:r>
              <w:rPr>
                <w:rFonts w:hint="eastAsia" w:ascii="黑体" w:hAnsi="黑体" w:eastAsia="黑体" w:cs="宋体"/>
                <w:bCs/>
                <w:color w:val="000000" w:themeColor="text1"/>
                <w:kern w:val="0"/>
                <w:sz w:val="32"/>
                <w:szCs w:val="32"/>
              </w:rPr>
              <w:t>项目支出绩效目标完成情况表</w:t>
            </w:r>
            <w:r>
              <w:rPr>
                <w:rFonts w:ascii="宋体" w:cs="宋体"/>
                <w:b/>
                <w:bCs/>
                <w:color w:val="000000" w:themeColor="text1"/>
                <w:kern w:val="0"/>
                <w:sz w:val="32"/>
                <w:szCs w:val="32"/>
              </w:rPr>
              <w:br w:type="textWrapping"/>
            </w:r>
            <w:r>
              <w:rPr>
                <w:rFonts w:ascii="宋体" w:hAnsi="宋体" w:cs="宋体"/>
                <w:color w:val="000000" w:themeColor="text1"/>
                <w:kern w:val="0"/>
                <w:sz w:val="32"/>
                <w:szCs w:val="32"/>
              </w:rPr>
              <w:t xml:space="preserve">(2018 </w:t>
            </w:r>
            <w:r>
              <w:rPr>
                <w:rFonts w:hint="eastAsia" w:ascii="宋体" w:hAnsi="宋体" w:cs="宋体"/>
                <w:color w:val="000000" w:themeColor="text1"/>
                <w:kern w:val="0"/>
                <w:sz w:val="32"/>
                <w:szCs w:val="32"/>
              </w:rPr>
              <w:t>年度</w:t>
            </w:r>
            <w:r>
              <w:rPr>
                <w:rFonts w:ascii="宋体" w:hAnsi="宋体" w:cs="宋体"/>
                <w:color w:val="000000" w:themeColor="text1"/>
                <w:kern w:val="0"/>
                <w:sz w:val="32"/>
                <w:szCs w:val="32"/>
              </w:rPr>
              <w:t>)</w:t>
            </w:r>
          </w:p>
        </w:tc>
      </w:tr>
      <w:tr w14:paraId="133A1ED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67598E">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4897BD">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米易县白坡乡核桃坪村三社道路硬化项目</w:t>
            </w:r>
          </w:p>
        </w:tc>
      </w:tr>
      <w:tr w14:paraId="607DCBC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4873A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5BF8A7">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米易县民族宗教事务局</w:t>
            </w:r>
          </w:p>
        </w:tc>
      </w:tr>
      <w:tr w14:paraId="08A6B189">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A5FC5E">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预算执行情况</w:t>
            </w:r>
            <w:r>
              <w:rPr>
                <w:rFonts w:ascii="宋体" w:hAnsi="宋体" w:cs="宋体"/>
                <w:color w:val="000000" w:themeColor="text1"/>
                <w:kern w:val="0"/>
                <w:sz w:val="32"/>
                <w:szCs w:val="32"/>
              </w:rPr>
              <w:t>(</w:t>
            </w:r>
            <w:r>
              <w:rPr>
                <w:rFonts w:hint="eastAsia" w:ascii="宋体" w:hAnsi="宋体" w:cs="宋体"/>
                <w:color w:val="000000" w:themeColor="text1"/>
                <w:kern w:val="0"/>
                <w:sz w:val="32"/>
                <w:szCs w:val="32"/>
              </w:rPr>
              <w:t>万元</w:t>
            </w:r>
            <w:r>
              <w:rPr>
                <w:rFonts w:ascii="宋体" w:hAnsi="宋体" w:cs="宋体"/>
                <w:color w:val="000000" w:themeColor="text1"/>
                <w:kern w:val="0"/>
                <w:sz w:val="32"/>
                <w:szCs w:val="32"/>
              </w:rPr>
              <w:t>)</w:t>
            </w: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ADACE">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预算数</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9B22C">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54</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A6F0E5">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执行数</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19EDD1">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54</w:t>
            </w:r>
          </w:p>
        </w:tc>
      </w:tr>
      <w:tr w14:paraId="6321C2B5">
        <w:tblPrEx>
          <w:tblCellMar>
            <w:top w:w="0" w:type="dxa"/>
            <w:left w:w="0" w:type="dxa"/>
            <w:bottom w:w="0" w:type="dxa"/>
            <w:right w:w="0" w:type="dxa"/>
          </w:tblCellMar>
        </w:tblPrEx>
        <w:trPr>
          <w:trHeight w:val="276"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B8A44EF">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57D457">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B9653D">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54</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72A26">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7088EC">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54</w:t>
            </w:r>
          </w:p>
        </w:tc>
      </w:tr>
      <w:tr w14:paraId="6EDAE1E8">
        <w:tblPrEx>
          <w:tblCellMar>
            <w:top w:w="0" w:type="dxa"/>
            <w:left w:w="0" w:type="dxa"/>
            <w:bottom w:w="0" w:type="dxa"/>
            <w:right w:w="0" w:type="dxa"/>
          </w:tblCellMar>
        </w:tblPrEx>
        <w:trPr>
          <w:trHeight w:val="122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F1A7057">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1FF0B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12A27E">
            <w:pPr>
              <w:widowControl/>
              <w:jc w:val="center"/>
              <w:textAlignment w:val="center"/>
              <w:rPr>
                <w:rFonts w:ascii="宋体" w:cs="宋体"/>
                <w:color w:val="000000" w:themeColor="text1"/>
                <w:sz w:val="32"/>
                <w:szCs w:val="32"/>
              </w:rPr>
            </w:pPr>
            <w:r>
              <w:rPr>
                <w:rFonts w:ascii="宋体" w:cs="宋体"/>
                <w:color w:val="000000" w:themeColor="text1"/>
                <w:kern w:val="0"/>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4D3EB8">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FB81B">
            <w:pPr>
              <w:jc w:val="center"/>
              <w:rPr>
                <w:rFonts w:ascii="宋体" w:cs="宋体"/>
                <w:color w:val="000000" w:themeColor="text1"/>
                <w:sz w:val="32"/>
                <w:szCs w:val="32"/>
              </w:rPr>
            </w:pPr>
          </w:p>
        </w:tc>
      </w:tr>
      <w:tr w14:paraId="1FBC6DEA">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1A4C6">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年度目标完成情况</w:t>
            </w: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D8A902">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预期目标</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75A4B">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实际完成目标</w:t>
            </w:r>
          </w:p>
        </w:tc>
      </w:tr>
      <w:tr w14:paraId="1C86446B">
        <w:tblPrEx>
          <w:tblCellMar>
            <w:top w:w="0" w:type="dxa"/>
            <w:left w:w="0" w:type="dxa"/>
            <w:bottom w:w="0" w:type="dxa"/>
            <w:right w:w="0" w:type="dxa"/>
          </w:tblCellMar>
        </w:tblPrEx>
        <w:trPr>
          <w:trHeight w:val="1159"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4887AFA5">
            <w:pPr>
              <w:widowControl/>
              <w:jc w:val="left"/>
              <w:rPr>
                <w:rFonts w:ascii="宋体" w:cs="宋体"/>
                <w:color w:val="000000" w:themeColor="text1"/>
                <w:sz w:val="32"/>
                <w:szCs w:val="32"/>
              </w:rPr>
            </w:pP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09D8A3">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硬化道路2.145公里</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8E1F1D">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硬化道路2.145公里</w:t>
            </w:r>
          </w:p>
        </w:tc>
      </w:tr>
      <w:tr w14:paraId="532FDA97">
        <w:tblPrEx>
          <w:tblCellMar>
            <w:top w:w="0" w:type="dxa"/>
            <w:left w:w="0" w:type="dxa"/>
            <w:bottom w:w="0" w:type="dxa"/>
            <w:right w:w="0" w:type="dxa"/>
          </w:tblCellMar>
        </w:tblPrEx>
        <w:trPr>
          <w:trHeight w:val="1042"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062FF9">
            <w:pPr>
              <w:widowControl/>
              <w:jc w:val="center"/>
              <w:textAlignment w:val="center"/>
              <w:rPr>
                <w:rFonts w:ascii="宋体" w:cs="宋体"/>
                <w:color w:val="000000" w:themeColor="text1"/>
                <w:sz w:val="28"/>
                <w:szCs w:val="28"/>
              </w:rPr>
            </w:pPr>
            <w:r>
              <w:rPr>
                <w:rFonts w:hint="eastAsia" w:ascii="宋体" w:hAnsi="宋体" w:cs="宋体"/>
                <w:color w:val="000000" w:themeColor="text1"/>
                <w:sz w:val="28"/>
                <w:szCs w:val="28"/>
              </w:rPr>
              <w:t>绩效指标完成情况</w:t>
            </w: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C5BAAD">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11F165">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二级指标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9FA802">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三级指标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D78020">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预期指标值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46848F">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实际完成指标值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r>
      <w:tr w14:paraId="138264CE">
        <w:tblPrEx>
          <w:tblCellMar>
            <w:top w:w="0" w:type="dxa"/>
            <w:left w:w="0" w:type="dxa"/>
            <w:bottom w:w="0" w:type="dxa"/>
            <w:right w:w="0" w:type="dxa"/>
          </w:tblCellMar>
        </w:tblPrEx>
        <w:trPr>
          <w:trHeight w:val="953"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D932256">
            <w:pPr>
              <w:widowControl/>
              <w:jc w:val="left"/>
              <w:rPr>
                <w:rFonts w:ascii="宋体" w:cs="宋体"/>
                <w:color w:val="000000" w:themeColor="text1"/>
                <w:sz w:val="32"/>
                <w:szCs w:val="32"/>
              </w:rPr>
            </w:pPr>
          </w:p>
        </w:tc>
        <w:tc>
          <w:tcPr>
            <w:tcW w:w="608"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376B26F">
            <w:pPr>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CA4E02E">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数量指标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9B40B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CD81A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269E4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32</w:t>
            </w:r>
          </w:p>
        </w:tc>
      </w:tr>
      <w:tr w14:paraId="25CBE60E">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C60BE28">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2ACF91FC">
            <w:pPr>
              <w:jc w:val="center"/>
              <w:textAlignment w:val="center"/>
              <w:rPr>
                <w:rFonts w:ascii="宋体" w:cs="宋体"/>
                <w:color w:val="000000" w:themeColor="text1"/>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C72DC8E">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3A51F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贫困村退出数（个）</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7D365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400E1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w:t>
            </w:r>
          </w:p>
        </w:tc>
      </w:tr>
      <w:tr w14:paraId="2713BB10">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9C9319B">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6E9100C3">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2F00218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质量指标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46E79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C1FE8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B737F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56DE35F5">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06FC52EA">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56EB03A1">
            <w:pPr>
              <w:widowControl/>
              <w:jc w:val="center"/>
              <w:textAlignment w:val="center"/>
              <w:rPr>
                <w:rFonts w:asci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A444A16">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3D464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资金精准使用情况（≥%）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E2076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A1652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0B34DC9B">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FA6B48A">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56519983">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423A3D2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时效指标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A67DD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项目资金公告公示情况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E25E0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D9F80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362AE4E6">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5FAAB82">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3F221E87">
            <w:pPr>
              <w:widowControl/>
              <w:jc w:val="center"/>
              <w:textAlignment w:val="center"/>
              <w:rPr>
                <w:rFonts w:ascii="宋体" w:hAnsi="宋体" w:cs="宋体"/>
                <w:color w:val="000000" w:themeColor="text1"/>
                <w:kern w:val="0"/>
                <w:sz w:val="28"/>
                <w:szCs w:val="28"/>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14:paraId="7A702532">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7771C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年内财政专项扶贫资金支付进度（≥%）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77EAF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ADD2E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3FFB9639">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47F19E3">
            <w:pPr>
              <w:widowControl/>
              <w:jc w:val="left"/>
              <w:rPr>
                <w:rFonts w:ascii="宋体" w:cs="宋体"/>
                <w:color w:val="000000" w:themeColor="text1"/>
                <w:sz w:val="32"/>
                <w:szCs w:val="32"/>
              </w:rPr>
            </w:pPr>
          </w:p>
        </w:tc>
        <w:tc>
          <w:tcPr>
            <w:tcW w:w="608"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5E0DFE2">
            <w:pPr>
              <w:widowControl/>
              <w:jc w:val="center"/>
              <w:textAlignment w:val="center"/>
              <w:rPr>
                <w:rFonts w:ascii="宋体" w:hAnsi="宋体" w:cs="宋体"/>
                <w:color w:val="000000" w:themeColor="text1"/>
                <w:kern w:val="0"/>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B9D3D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成本指标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412DC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项目资金是否控制在批复实施范围内（%）</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258F9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AF08F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r>
      <w:tr w14:paraId="4F3A9CEC">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C288D85">
            <w:pPr>
              <w:widowControl/>
              <w:jc w:val="left"/>
              <w:rPr>
                <w:rFonts w:ascii="宋体" w:cs="宋体"/>
                <w:color w:val="000000" w:themeColor="text1"/>
                <w:sz w:val="32"/>
                <w:szCs w:val="32"/>
              </w:rPr>
            </w:pPr>
          </w:p>
        </w:tc>
        <w:tc>
          <w:tcPr>
            <w:tcW w:w="608"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BACD28D">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p w14:paraId="01DBE1F2">
            <w:pPr>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7EC3328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经济效益指标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E2D70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贫困人口家庭年人均纯收入（元）（≥%）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F0156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54CC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r>
      <w:tr w14:paraId="07600482">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0327478">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10E73DFA">
            <w:pPr>
              <w:jc w:val="center"/>
              <w:textAlignment w:val="center"/>
              <w:rPr>
                <w:rFonts w:ascii="宋体" w:cs="宋体"/>
                <w:color w:val="000000" w:themeColor="text1"/>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8E1C892">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65AEC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产业发展带动贫困户增收（元）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C53FC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500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B2FAF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600</w:t>
            </w:r>
          </w:p>
        </w:tc>
      </w:tr>
      <w:tr w14:paraId="4B5B5F80">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622B630">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2F133109">
            <w:pPr>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9D9F5C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社会效益指标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DA7E1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政策知晓率（≥%）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89BAD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1A39B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98</w:t>
            </w:r>
          </w:p>
        </w:tc>
      </w:tr>
      <w:tr w14:paraId="1C52A6F7">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805895F">
            <w:pPr>
              <w:widowControl/>
              <w:jc w:val="left"/>
              <w:rPr>
                <w:rFonts w:ascii="宋体" w:cs="宋体"/>
                <w:color w:val="000000" w:themeColor="text1"/>
                <w:sz w:val="32"/>
                <w:szCs w:val="32"/>
              </w:rPr>
            </w:pPr>
          </w:p>
        </w:tc>
        <w:tc>
          <w:tcPr>
            <w:tcW w:w="608"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1CA5457">
            <w:pPr>
              <w:widowControl/>
              <w:jc w:val="center"/>
              <w:textAlignment w:val="center"/>
              <w:rPr>
                <w:rFonts w:asci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6ECE07E">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2EA13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受益人口数（人）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B83D8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322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6D3BA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322</w:t>
            </w:r>
          </w:p>
        </w:tc>
      </w:tr>
      <w:tr w14:paraId="0E276330">
        <w:tblPrEx>
          <w:tblCellMar>
            <w:top w:w="0" w:type="dxa"/>
            <w:left w:w="0" w:type="dxa"/>
            <w:bottom w:w="0" w:type="dxa"/>
            <w:right w:w="0" w:type="dxa"/>
          </w:tblCellMar>
        </w:tblPrEx>
        <w:trPr>
          <w:trHeight w:val="105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1507100">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F2322B">
            <w:pPr>
              <w:widowControl/>
              <w:jc w:val="center"/>
              <w:textAlignment w:val="center"/>
              <w:rPr>
                <w:rFonts w:ascii="宋体" w:cs="宋体"/>
                <w:color w:val="000000" w:themeColor="text1"/>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43141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生态效益指标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5B5E7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贫困户生活环境是否明显改善</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DA883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ED97A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r>
      <w:tr w14:paraId="626E060D">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798E8B91">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44AC20">
            <w:pPr>
              <w:widowControl/>
              <w:jc w:val="center"/>
              <w:textAlignment w:val="center"/>
              <w:rPr>
                <w:rFonts w:ascii="宋体" w:hAnsi="宋体" w:cs="宋体"/>
                <w:color w:val="000000" w:themeColor="text1"/>
                <w:kern w:val="0"/>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6E3D4D8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可持续影响指标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01F4F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贫困户有稳定增收产业（个）</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CBA5A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F49BE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2</w:t>
            </w:r>
          </w:p>
        </w:tc>
      </w:tr>
      <w:tr w14:paraId="363D7DD7">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415650DC">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D46C2C">
            <w:pPr>
              <w:widowControl/>
              <w:jc w:val="center"/>
              <w:textAlignment w:val="center"/>
              <w:rPr>
                <w:rFonts w:ascii="宋体" w:hAns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C512615">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EC784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产业发展持续性</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A5B11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E5F64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好</w:t>
            </w:r>
          </w:p>
        </w:tc>
      </w:tr>
      <w:tr w14:paraId="627DEECD">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5F323AF0">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EBC75D">
            <w:pPr>
              <w:widowControl/>
              <w:jc w:val="center"/>
              <w:textAlignment w:val="center"/>
              <w:rPr>
                <w:rFonts w:ascii="宋体" w:hAnsi="宋体" w:cs="宋体"/>
                <w:color w:val="000000" w:themeColor="text1"/>
                <w:kern w:val="0"/>
                <w:sz w:val="28"/>
                <w:szCs w:val="28"/>
              </w:rPr>
            </w:pPr>
            <w:r>
              <w:rPr>
                <w:rFonts w:hint="eastAsia" w:ascii="宋体" w:hAnsi="宋体" w:cs="宋体"/>
                <w:color w:val="000000" w:themeColor="text1"/>
                <w:kern w:val="0"/>
                <w:sz w:val="28"/>
                <w:szCs w:val="2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EBB2F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服务对象满意度指标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547E4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受益群众满意度（≥%）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16624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41AD2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r>
      <w:tr w14:paraId="7A04392F">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6DCA0644">
            <w:pPr>
              <w:pStyle w:val="26"/>
              <w:widowControl/>
              <w:ind w:left="4015" w:leftChars="1310" w:hanging="1264" w:hangingChars="395"/>
              <w:textAlignment w:val="center"/>
              <w:rPr>
                <w:rFonts w:ascii="宋体" w:cs="宋体"/>
                <w:color w:val="000000" w:themeColor="text1"/>
                <w:sz w:val="32"/>
                <w:szCs w:val="32"/>
              </w:rPr>
            </w:pPr>
            <w:r>
              <w:rPr>
                <w:rFonts w:hint="eastAsia" w:ascii="黑体" w:hAnsi="黑体" w:eastAsia="黑体" w:cs="宋体"/>
                <w:bCs/>
                <w:color w:val="000000" w:themeColor="text1"/>
                <w:kern w:val="0"/>
                <w:sz w:val="32"/>
                <w:szCs w:val="32"/>
              </w:rPr>
              <w:t>项目支出绩效目标完成情况表</w:t>
            </w:r>
            <w:r>
              <w:rPr>
                <w:rFonts w:ascii="宋体" w:cs="宋体"/>
                <w:b/>
                <w:bCs/>
                <w:color w:val="000000" w:themeColor="text1"/>
                <w:kern w:val="0"/>
                <w:sz w:val="32"/>
                <w:szCs w:val="32"/>
              </w:rPr>
              <w:br w:type="textWrapping"/>
            </w:r>
            <w:r>
              <w:rPr>
                <w:rFonts w:ascii="宋体" w:hAnsi="宋体" w:cs="宋体"/>
                <w:color w:val="000000" w:themeColor="text1"/>
                <w:kern w:val="0"/>
                <w:sz w:val="32"/>
                <w:szCs w:val="32"/>
              </w:rPr>
              <w:t xml:space="preserve">(2018 </w:t>
            </w:r>
            <w:r>
              <w:rPr>
                <w:rFonts w:hint="eastAsia" w:ascii="宋体" w:hAnsi="宋体" w:cs="宋体"/>
                <w:color w:val="000000" w:themeColor="text1"/>
                <w:kern w:val="0"/>
                <w:sz w:val="32"/>
                <w:szCs w:val="32"/>
              </w:rPr>
              <w:t>年度</w:t>
            </w:r>
            <w:r>
              <w:rPr>
                <w:rFonts w:ascii="宋体" w:hAnsi="宋体" w:cs="宋体"/>
                <w:color w:val="000000" w:themeColor="text1"/>
                <w:kern w:val="0"/>
                <w:sz w:val="32"/>
                <w:szCs w:val="32"/>
              </w:rPr>
              <w:t>)</w:t>
            </w:r>
          </w:p>
        </w:tc>
      </w:tr>
      <w:tr w14:paraId="67D0ABD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DE7199">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6359B2">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麻陇彝族乡中心村团山堡堰整治项目</w:t>
            </w:r>
          </w:p>
        </w:tc>
      </w:tr>
      <w:tr w14:paraId="5D6F386C">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D34FC7">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24C62C">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米易县民族宗教事务局</w:t>
            </w:r>
          </w:p>
        </w:tc>
      </w:tr>
      <w:tr w14:paraId="3E45B423">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6BEA7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预算执行情况</w:t>
            </w:r>
            <w:r>
              <w:rPr>
                <w:rFonts w:ascii="宋体" w:hAnsi="宋体" w:cs="宋体"/>
                <w:color w:val="000000" w:themeColor="text1"/>
                <w:kern w:val="0"/>
                <w:sz w:val="32"/>
                <w:szCs w:val="32"/>
              </w:rPr>
              <w:t>(</w:t>
            </w:r>
            <w:r>
              <w:rPr>
                <w:rFonts w:hint="eastAsia" w:ascii="宋体" w:hAnsi="宋体" w:cs="宋体"/>
                <w:color w:val="000000" w:themeColor="text1"/>
                <w:kern w:val="0"/>
                <w:sz w:val="32"/>
                <w:szCs w:val="32"/>
              </w:rPr>
              <w:t>万元</w:t>
            </w:r>
            <w:r>
              <w:rPr>
                <w:rFonts w:ascii="宋体" w:hAnsi="宋体" w:cs="宋体"/>
                <w:color w:val="000000" w:themeColor="text1"/>
                <w:kern w:val="0"/>
                <w:sz w:val="32"/>
                <w:szCs w:val="32"/>
              </w:rPr>
              <w:t>)</w:t>
            </w: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CF12A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预算数</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AD2D24">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39</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21DBB6">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执行数</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B605C">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39</w:t>
            </w:r>
          </w:p>
        </w:tc>
      </w:tr>
      <w:tr w14:paraId="37FB69F6">
        <w:tblPrEx>
          <w:tblCellMar>
            <w:top w:w="0" w:type="dxa"/>
            <w:left w:w="0" w:type="dxa"/>
            <w:bottom w:w="0" w:type="dxa"/>
            <w:right w:w="0" w:type="dxa"/>
          </w:tblCellMar>
        </w:tblPrEx>
        <w:trPr>
          <w:trHeight w:val="276"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02D85EB4">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6A5A2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9DF8CA">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39</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EC3D2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6118CF">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39</w:t>
            </w:r>
          </w:p>
        </w:tc>
      </w:tr>
      <w:tr w14:paraId="7CACAF3D">
        <w:tblPrEx>
          <w:tblCellMar>
            <w:top w:w="0" w:type="dxa"/>
            <w:left w:w="0" w:type="dxa"/>
            <w:bottom w:w="0" w:type="dxa"/>
            <w:right w:w="0" w:type="dxa"/>
          </w:tblCellMar>
        </w:tblPrEx>
        <w:trPr>
          <w:trHeight w:val="122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5A65DFD">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A0E96B">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22DD0F">
            <w:pPr>
              <w:widowControl/>
              <w:jc w:val="center"/>
              <w:textAlignment w:val="center"/>
              <w:rPr>
                <w:rFonts w:ascii="宋体" w:cs="宋体"/>
                <w:color w:val="000000" w:themeColor="text1"/>
                <w:sz w:val="32"/>
                <w:szCs w:val="32"/>
              </w:rPr>
            </w:pPr>
            <w:r>
              <w:rPr>
                <w:rFonts w:ascii="宋体" w:cs="宋体"/>
                <w:color w:val="000000" w:themeColor="text1"/>
                <w:kern w:val="0"/>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C6E48F">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864157">
            <w:pPr>
              <w:jc w:val="center"/>
              <w:rPr>
                <w:rFonts w:ascii="宋体" w:cs="宋体"/>
                <w:color w:val="000000" w:themeColor="text1"/>
                <w:sz w:val="32"/>
                <w:szCs w:val="32"/>
              </w:rPr>
            </w:pPr>
          </w:p>
        </w:tc>
      </w:tr>
      <w:tr w14:paraId="21B9BED9">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2BA51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年度目标完成情况</w:t>
            </w: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AAAF1D">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预期目标</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8C7D0C">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实际完成目标</w:t>
            </w:r>
          </w:p>
        </w:tc>
      </w:tr>
      <w:tr w14:paraId="4BC08E46">
        <w:tblPrEx>
          <w:tblCellMar>
            <w:top w:w="0" w:type="dxa"/>
            <w:left w:w="0" w:type="dxa"/>
            <w:bottom w:w="0" w:type="dxa"/>
            <w:right w:w="0" w:type="dxa"/>
          </w:tblCellMar>
        </w:tblPrEx>
        <w:trPr>
          <w:trHeight w:val="1159"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634170A">
            <w:pPr>
              <w:widowControl/>
              <w:jc w:val="left"/>
              <w:rPr>
                <w:rFonts w:ascii="宋体" w:cs="宋体"/>
                <w:color w:val="000000" w:themeColor="text1"/>
                <w:sz w:val="32"/>
                <w:szCs w:val="32"/>
              </w:rPr>
            </w:pP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2B2781">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防渗整治团山堡堰3.2公里。其中主沟长1.69公里，建设标准为0.3×0.3米；支沟1.51公里，建设标准为宽0.2×0.3米。</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D24750">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防渗整治沟堰完成3.2公里。其中主沟1.69公里，支渠1.51公里。</w:t>
            </w:r>
          </w:p>
        </w:tc>
      </w:tr>
      <w:tr w14:paraId="5C0CE80E">
        <w:tblPrEx>
          <w:tblCellMar>
            <w:top w:w="0" w:type="dxa"/>
            <w:left w:w="0" w:type="dxa"/>
            <w:bottom w:w="0" w:type="dxa"/>
            <w:right w:w="0" w:type="dxa"/>
          </w:tblCellMar>
        </w:tblPrEx>
        <w:trPr>
          <w:trHeight w:val="1042"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5ECB5B">
            <w:pPr>
              <w:widowControl/>
              <w:jc w:val="center"/>
              <w:textAlignment w:val="center"/>
              <w:rPr>
                <w:rFonts w:ascii="宋体" w:cs="宋体"/>
                <w:color w:val="000000" w:themeColor="text1"/>
                <w:sz w:val="28"/>
                <w:szCs w:val="28"/>
              </w:rPr>
            </w:pPr>
            <w:r>
              <w:rPr>
                <w:rFonts w:hint="eastAsia" w:ascii="宋体" w:hAnsi="宋体" w:cs="宋体"/>
                <w:color w:val="000000" w:themeColor="text1"/>
                <w:sz w:val="28"/>
                <w:szCs w:val="28"/>
              </w:rPr>
              <w:t>绩效指标完成情况</w:t>
            </w: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1EDCDB">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935C95">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二级指标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11C29A">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三级指标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7CFB82">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预期指标值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112DB4">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实际完成指标值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r>
      <w:tr w14:paraId="3AE07478">
        <w:tblPrEx>
          <w:tblCellMar>
            <w:top w:w="0" w:type="dxa"/>
            <w:left w:w="0" w:type="dxa"/>
            <w:bottom w:w="0" w:type="dxa"/>
            <w:right w:w="0" w:type="dxa"/>
          </w:tblCellMar>
        </w:tblPrEx>
        <w:trPr>
          <w:trHeight w:val="953"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3DE2159">
            <w:pPr>
              <w:widowControl/>
              <w:jc w:val="left"/>
              <w:rPr>
                <w:rFonts w:ascii="宋体" w:cs="宋体"/>
                <w:color w:val="000000" w:themeColor="text1"/>
                <w:sz w:val="32"/>
                <w:szCs w:val="32"/>
              </w:rPr>
            </w:pPr>
          </w:p>
        </w:tc>
        <w:tc>
          <w:tcPr>
            <w:tcW w:w="608"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391E5586">
            <w:pPr>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24AEEC8A">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数量指标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15469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05321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07751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86</w:t>
            </w:r>
          </w:p>
        </w:tc>
      </w:tr>
      <w:tr w14:paraId="733C1D78">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B19C117">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50413004">
            <w:pPr>
              <w:jc w:val="center"/>
              <w:textAlignment w:val="center"/>
              <w:rPr>
                <w:rFonts w:ascii="宋体" w:cs="宋体"/>
                <w:color w:val="000000" w:themeColor="text1"/>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E43A814">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40B57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贫困村退出数（个）</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237AF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ADB59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w:t>
            </w:r>
          </w:p>
        </w:tc>
      </w:tr>
      <w:tr w14:paraId="055241E2">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5935E27">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12AF8CAF">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7248ED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质量指标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A0E1C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44B9C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90205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67D809AB">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349ACBE8">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3C364C30">
            <w:pPr>
              <w:widowControl/>
              <w:jc w:val="center"/>
              <w:textAlignment w:val="center"/>
              <w:rPr>
                <w:rFonts w:asci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304DF333">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5064B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资金精准使用情况（≥%）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1E146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8F1B4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585E21FF">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BF2F5B6">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3EC0C05B">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343672D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时效指标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29000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项目资金公告公示情况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EBDAD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D9F59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0538862E">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2FC14C9">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75B119B3">
            <w:pPr>
              <w:widowControl/>
              <w:jc w:val="center"/>
              <w:textAlignment w:val="center"/>
              <w:rPr>
                <w:rFonts w:ascii="宋体" w:hAnsi="宋体" w:cs="宋体"/>
                <w:color w:val="000000" w:themeColor="text1"/>
                <w:kern w:val="0"/>
                <w:sz w:val="28"/>
                <w:szCs w:val="28"/>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14:paraId="490461B5">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4F91A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年内财政专项扶贫资金支付进度（≥%）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E93A3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11817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2AF830F5">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E3555BD">
            <w:pPr>
              <w:widowControl/>
              <w:jc w:val="left"/>
              <w:rPr>
                <w:rFonts w:ascii="宋体" w:cs="宋体"/>
                <w:color w:val="000000" w:themeColor="text1"/>
                <w:sz w:val="32"/>
                <w:szCs w:val="32"/>
              </w:rPr>
            </w:pPr>
          </w:p>
        </w:tc>
        <w:tc>
          <w:tcPr>
            <w:tcW w:w="608"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C142514">
            <w:pPr>
              <w:widowControl/>
              <w:jc w:val="center"/>
              <w:textAlignment w:val="center"/>
              <w:rPr>
                <w:rFonts w:ascii="宋体" w:hAnsi="宋体" w:cs="宋体"/>
                <w:color w:val="000000" w:themeColor="text1"/>
                <w:kern w:val="0"/>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2ADBD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成本指标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D288C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项目资金是否控制在批复实施范围内（%）</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B4666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F42C7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r>
      <w:tr w14:paraId="580021D2">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97F8301">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B574A7">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0A91ADA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经济效益指标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78ACE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贫困人口家庭年人均纯收入（元）（≥%）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A6364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7BDF0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r>
      <w:tr w14:paraId="766B4937">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3C5AD8B">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29AB06">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D3EABAD">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AEEC6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产业发展带动贫困户增收（元）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B5994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FC512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1200</w:t>
            </w:r>
          </w:p>
        </w:tc>
      </w:tr>
      <w:tr w14:paraId="097CDE45">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9D8C114">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792D5E">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052BCA0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社会效益指标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8C138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政策知晓率（≥%）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9E207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D0604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r>
      <w:tr w14:paraId="4B36B5C6">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BAB78B1">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3E63B4">
            <w:pPr>
              <w:widowControl/>
              <w:jc w:val="center"/>
              <w:textAlignment w:val="center"/>
              <w:rPr>
                <w:rFonts w:ascii="宋体" w:cs="宋体"/>
                <w:color w:val="000000" w:themeColor="text1"/>
                <w:kern w:val="0"/>
                <w:sz w:val="28"/>
                <w:szCs w:val="28"/>
              </w:rPr>
            </w:pPr>
            <w:r>
              <w:rPr>
                <w:rFonts w:hint="eastAsia" w:ascii="宋体" w:hAnsi="宋体" w:cs="宋体"/>
                <w:color w:val="000000" w:themeColor="text1"/>
                <w:kern w:val="0"/>
                <w:sz w:val="28"/>
                <w:szCs w:val="28"/>
              </w:rPr>
              <w:t>……</w:t>
            </w: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3890A71">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17091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受益人口数（人）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B2BB4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504</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D17E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504</w:t>
            </w:r>
          </w:p>
        </w:tc>
      </w:tr>
      <w:tr w14:paraId="462F33AA">
        <w:tblPrEx>
          <w:tblCellMar>
            <w:top w:w="0" w:type="dxa"/>
            <w:left w:w="0" w:type="dxa"/>
            <w:bottom w:w="0" w:type="dxa"/>
            <w:right w:w="0" w:type="dxa"/>
          </w:tblCellMar>
        </w:tblPrEx>
        <w:trPr>
          <w:trHeight w:val="105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9C45B14">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15AB2D">
            <w:pPr>
              <w:widowControl/>
              <w:jc w:val="center"/>
              <w:textAlignment w:val="center"/>
              <w:rPr>
                <w:rFonts w:ascii="宋体" w:cs="宋体"/>
                <w:color w:val="000000" w:themeColor="text1"/>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39A52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生态效益指标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BC576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贫困户生活环境是否明显改善</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F8506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B782A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r>
      <w:tr w14:paraId="590E9E5A">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548BDBEE">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A17A1B">
            <w:pPr>
              <w:widowControl/>
              <w:jc w:val="center"/>
              <w:textAlignment w:val="center"/>
              <w:rPr>
                <w:rFonts w:ascii="宋体" w:hAnsi="宋体" w:cs="宋体"/>
                <w:color w:val="000000" w:themeColor="text1"/>
                <w:kern w:val="0"/>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AB182A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可持续影响指标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402B9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贫困户有稳定增收产业（个）</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015F5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F1E11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2</w:t>
            </w:r>
          </w:p>
        </w:tc>
      </w:tr>
      <w:tr w14:paraId="6CD66A76">
        <w:tblPrEx>
          <w:tblCellMar>
            <w:top w:w="0" w:type="dxa"/>
            <w:left w:w="0" w:type="dxa"/>
            <w:bottom w:w="0" w:type="dxa"/>
            <w:right w:w="0" w:type="dxa"/>
          </w:tblCellMar>
        </w:tblPrEx>
        <w:trPr>
          <w:trHeight w:val="733"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1E3C2A7B">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BD2728">
            <w:pPr>
              <w:widowControl/>
              <w:jc w:val="center"/>
              <w:textAlignment w:val="center"/>
              <w:rPr>
                <w:rFonts w:ascii="宋体" w:hAns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2A0C40E6">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5C735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产业发展持续性</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05D88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48F51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好</w:t>
            </w:r>
          </w:p>
        </w:tc>
      </w:tr>
      <w:tr w14:paraId="4581A624">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32F2BB40">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31BA23">
            <w:pPr>
              <w:widowControl/>
              <w:jc w:val="center"/>
              <w:textAlignment w:val="center"/>
              <w:rPr>
                <w:rFonts w:ascii="宋体" w:hAnsi="宋体" w:cs="宋体"/>
                <w:color w:val="000000" w:themeColor="text1"/>
                <w:kern w:val="0"/>
                <w:sz w:val="28"/>
                <w:szCs w:val="28"/>
              </w:rPr>
            </w:pPr>
            <w:r>
              <w:rPr>
                <w:rFonts w:hint="eastAsia" w:ascii="宋体" w:hAnsi="宋体" w:cs="宋体"/>
                <w:color w:val="000000" w:themeColor="text1"/>
                <w:kern w:val="0"/>
                <w:sz w:val="28"/>
                <w:szCs w:val="2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94D3A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服务对象满意度指标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94881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受益群众满意度（≥%）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F2189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20F3D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r>
    </w:tbl>
    <w:p w14:paraId="00588836">
      <w:pPr>
        <w:rPr>
          <w:rFonts w:ascii="Calibri" w:hAnsi="Calibri"/>
          <w:color w:val="000000" w:themeColor="text1"/>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149"/>
        <w:gridCol w:w="608"/>
        <w:gridCol w:w="1025"/>
        <w:gridCol w:w="3045"/>
        <w:gridCol w:w="1741"/>
        <w:gridCol w:w="2392"/>
      </w:tblGrid>
      <w:tr w14:paraId="2E18E75A">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65733751">
            <w:pPr>
              <w:pStyle w:val="26"/>
              <w:widowControl/>
              <w:ind w:left="4015" w:leftChars="1310" w:hanging="1264" w:hangingChars="395"/>
              <w:textAlignment w:val="center"/>
              <w:rPr>
                <w:rFonts w:ascii="宋体" w:cs="宋体"/>
                <w:color w:val="000000" w:themeColor="text1"/>
                <w:sz w:val="32"/>
                <w:szCs w:val="32"/>
              </w:rPr>
            </w:pPr>
            <w:r>
              <w:rPr>
                <w:rFonts w:hint="eastAsia" w:ascii="黑体" w:hAnsi="黑体" w:eastAsia="黑体" w:cs="宋体"/>
                <w:bCs/>
                <w:color w:val="000000" w:themeColor="text1"/>
                <w:kern w:val="0"/>
                <w:sz w:val="32"/>
                <w:szCs w:val="32"/>
              </w:rPr>
              <w:t>项目支出绩效目标完成情况表</w:t>
            </w:r>
            <w:r>
              <w:rPr>
                <w:rFonts w:ascii="宋体" w:cs="宋体"/>
                <w:b/>
                <w:bCs/>
                <w:color w:val="000000" w:themeColor="text1"/>
                <w:kern w:val="0"/>
                <w:sz w:val="32"/>
                <w:szCs w:val="32"/>
              </w:rPr>
              <w:br w:type="textWrapping"/>
            </w:r>
            <w:r>
              <w:rPr>
                <w:rFonts w:ascii="宋体" w:hAnsi="宋体" w:cs="宋体"/>
                <w:color w:val="000000" w:themeColor="text1"/>
                <w:kern w:val="0"/>
                <w:sz w:val="32"/>
                <w:szCs w:val="32"/>
              </w:rPr>
              <w:t xml:space="preserve">(2018 </w:t>
            </w:r>
            <w:r>
              <w:rPr>
                <w:rFonts w:hint="eastAsia" w:ascii="宋体" w:hAnsi="宋体" w:cs="宋体"/>
                <w:color w:val="000000" w:themeColor="text1"/>
                <w:kern w:val="0"/>
                <w:sz w:val="32"/>
                <w:szCs w:val="32"/>
              </w:rPr>
              <w:t>年度</w:t>
            </w:r>
            <w:r>
              <w:rPr>
                <w:rFonts w:ascii="宋体" w:hAnsi="宋体" w:cs="宋体"/>
                <w:color w:val="000000" w:themeColor="text1"/>
                <w:kern w:val="0"/>
                <w:sz w:val="32"/>
                <w:szCs w:val="32"/>
              </w:rPr>
              <w:t>)</w:t>
            </w:r>
          </w:p>
        </w:tc>
      </w:tr>
      <w:tr w14:paraId="7E3B886A">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9FAA1B">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AA516E">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白坡彝族乡李明久村7社道路硬化项目</w:t>
            </w:r>
          </w:p>
        </w:tc>
      </w:tr>
      <w:tr w14:paraId="6726F16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080A8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4208A">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米易县民族宗教事务局</w:t>
            </w:r>
          </w:p>
        </w:tc>
      </w:tr>
      <w:tr w14:paraId="6EB18F96">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1DDF35">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预算执行情况</w:t>
            </w:r>
            <w:r>
              <w:rPr>
                <w:rFonts w:ascii="宋体" w:hAnsi="宋体" w:cs="宋体"/>
                <w:color w:val="000000" w:themeColor="text1"/>
                <w:kern w:val="0"/>
                <w:sz w:val="32"/>
                <w:szCs w:val="32"/>
              </w:rPr>
              <w:t>(</w:t>
            </w:r>
            <w:r>
              <w:rPr>
                <w:rFonts w:hint="eastAsia" w:ascii="宋体" w:hAnsi="宋体" w:cs="宋体"/>
                <w:color w:val="000000" w:themeColor="text1"/>
                <w:kern w:val="0"/>
                <w:sz w:val="32"/>
                <w:szCs w:val="32"/>
              </w:rPr>
              <w:t>万元</w:t>
            </w:r>
            <w:r>
              <w:rPr>
                <w:rFonts w:ascii="宋体" w:hAnsi="宋体" w:cs="宋体"/>
                <w:color w:val="000000" w:themeColor="text1"/>
                <w:kern w:val="0"/>
                <w:sz w:val="32"/>
                <w:szCs w:val="32"/>
              </w:rPr>
              <w:t>)</w:t>
            </w: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EDBBC5">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预算数</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4F1C8D">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30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E08D2">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执行数</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0E859F">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30</w:t>
            </w:r>
          </w:p>
        </w:tc>
      </w:tr>
      <w:tr w14:paraId="2CF42C76">
        <w:tblPrEx>
          <w:tblCellMar>
            <w:top w:w="0" w:type="dxa"/>
            <w:left w:w="0" w:type="dxa"/>
            <w:bottom w:w="0" w:type="dxa"/>
            <w:right w:w="0" w:type="dxa"/>
          </w:tblCellMar>
        </w:tblPrEx>
        <w:trPr>
          <w:trHeight w:val="276"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C93A8FC">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C2167">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65C426">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30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326EB1">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D68C71">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30</w:t>
            </w:r>
          </w:p>
        </w:tc>
      </w:tr>
      <w:tr w14:paraId="1DA765AF">
        <w:tblPrEx>
          <w:tblCellMar>
            <w:top w:w="0" w:type="dxa"/>
            <w:left w:w="0" w:type="dxa"/>
            <w:bottom w:w="0" w:type="dxa"/>
            <w:right w:w="0" w:type="dxa"/>
          </w:tblCellMar>
        </w:tblPrEx>
        <w:trPr>
          <w:trHeight w:val="122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82805BD">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D549B5">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FA33DC">
            <w:pPr>
              <w:widowControl/>
              <w:jc w:val="center"/>
              <w:textAlignment w:val="center"/>
              <w:rPr>
                <w:rFonts w:ascii="宋体" w:cs="宋体"/>
                <w:color w:val="000000" w:themeColor="text1"/>
                <w:sz w:val="32"/>
                <w:szCs w:val="32"/>
              </w:rPr>
            </w:pPr>
            <w:r>
              <w:rPr>
                <w:rFonts w:ascii="宋体" w:cs="宋体"/>
                <w:color w:val="000000" w:themeColor="text1"/>
                <w:kern w:val="0"/>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8252BA">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78E8AA">
            <w:pPr>
              <w:jc w:val="center"/>
              <w:rPr>
                <w:rFonts w:ascii="宋体" w:cs="宋体"/>
                <w:color w:val="000000" w:themeColor="text1"/>
                <w:sz w:val="32"/>
                <w:szCs w:val="32"/>
              </w:rPr>
            </w:pPr>
          </w:p>
        </w:tc>
      </w:tr>
      <w:tr w14:paraId="3CACAB36">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FEA32F">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年度目标完成情况</w:t>
            </w: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FA64AF">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预期目标</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E5978F">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实际完成目标</w:t>
            </w:r>
          </w:p>
        </w:tc>
      </w:tr>
      <w:tr w14:paraId="77751086">
        <w:tblPrEx>
          <w:tblCellMar>
            <w:top w:w="0" w:type="dxa"/>
            <w:left w:w="0" w:type="dxa"/>
            <w:bottom w:w="0" w:type="dxa"/>
            <w:right w:w="0" w:type="dxa"/>
          </w:tblCellMar>
        </w:tblPrEx>
        <w:trPr>
          <w:trHeight w:val="1159"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B54C9A5">
            <w:pPr>
              <w:widowControl/>
              <w:jc w:val="left"/>
              <w:rPr>
                <w:rFonts w:ascii="宋体" w:cs="宋体"/>
                <w:color w:val="000000" w:themeColor="text1"/>
                <w:sz w:val="32"/>
                <w:szCs w:val="32"/>
              </w:rPr>
            </w:pP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BC0759">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硬化社道路1.2公里，水泥路面宽3.5米，厚0.2米，做三面光边沟。</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4B4C9A">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硬化社道路1.2公里，并完成公路边沟。</w:t>
            </w:r>
          </w:p>
        </w:tc>
      </w:tr>
      <w:tr w14:paraId="08A95E0B">
        <w:tblPrEx>
          <w:tblCellMar>
            <w:top w:w="0" w:type="dxa"/>
            <w:left w:w="0" w:type="dxa"/>
            <w:bottom w:w="0" w:type="dxa"/>
            <w:right w:w="0" w:type="dxa"/>
          </w:tblCellMar>
        </w:tblPrEx>
        <w:trPr>
          <w:trHeight w:val="1042"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E1E3C2">
            <w:pPr>
              <w:widowControl/>
              <w:jc w:val="center"/>
              <w:textAlignment w:val="center"/>
              <w:rPr>
                <w:rFonts w:ascii="宋体" w:cs="宋体"/>
                <w:color w:val="000000" w:themeColor="text1"/>
                <w:sz w:val="28"/>
                <w:szCs w:val="28"/>
              </w:rPr>
            </w:pPr>
            <w:r>
              <w:rPr>
                <w:rFonts w:hint="eastAsia" w:ascii="宋体" w:hAnsi="宋体" w:cs="宋体"/>
                <w:color w:val="000000" w:themeColor="text1"/>
                <w:sz w:val="28"/>
                <w:szCs w:val="28"/>
              </w:rPr>
              <w:t>绩效指标完成情况</w:t>
            </w: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24B082">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2FD743">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二级指标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FB4416">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三级指标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A63A9F">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预期指标值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36DEB6">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实际完成指标值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r>
      <w:tr w14:paraId="6E5059B4">
        <w:tblPrEx>
          <w:tblCellMar>
            <w:top w:w="0" w:type="dxa"/>
            <w:left w:w="0" w:type="dxa"/>
            <w:bottom w:w="0" w:type="dxa"/>
            <w:right w:w="0" w:type="dxa"/>
          </w:tblCellMar>
        </w:tblPrEx>
        <w:trPr>
          <w:trHeight w:val="953"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008D6DFC">
            <w:pPr>
              <w:widowControl/>
              <w:jc w:val="left"/>
              <w:rPr>
                <w:rFonts w:ascii="宋体" w:cs="宋体"/>
                <w:color w:val="000000" w:themeColor="text1"/>
                <w:sz w:val="32"/>
                <w:szCs w:val="32"/>
              </w:rPr>
            </w:pPr>
          </w:p>
        </w:tc>
        <w:tc>
          <w:tcPr>
            <w:tcW w:w="608"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7CD989B5">
            <w:pPr>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项目完成指标</w:t>
            </w:r>
          </w:p>
        </w:tc>
        <w:tc>
          <w:tcPr>
            <w:tcW w:w="1025"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8CAE31A">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数量指标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DD971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34C78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70AA8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35</w:t>
            </w:r>
          </w:p>
        </w:tc>
      </w:tr>
      <w:tr w14:paraId="6644D9F7">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463D50A">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68F46673">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24FB94C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质量指标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38B50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27D06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9C08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2C2331C9">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2A44124">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4FEF3186">
            <w:pPr>
              <w:widowControl/>
              <w:jc w:val="center"/>
              <w:textAlignment w:val="center"/>
              <w:rPr>
                <w:rFonts w:asci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91BB117">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A3D3E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资金精准使用情况（≥%）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8227D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B625D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73E0195F">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26A6562">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429F7D93">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6D58222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时效指标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F41EE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项目资金公告公示情况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64653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DC531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39836B32">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0CA8CA7">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5E8B8FEF">
            <w:pPr>
              <w:widowControl/>
              <w:jc w:val="center"/>
              <w:textAlignment w:val="center"/>
              <w:rPr>
                <w:rFonts w:ascii="宋体" w:hAnsi="宋体" w:cs="宋体"/>
                <w:color w:val="000000" w:themeColor="text1"/>
                <w:kern w:val="0"/>
                <w:sz w:val="28"/>
                <w:szCs w:val="28"/>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14:paraId="554603F0">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76BF7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年内财政专项扶贫资金支付进度（≥%）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9DF96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17A32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3201D0A0">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68F3B9C">
            <w:pPr>
              <w:widowControl/>
              <w:jc w:val="left"/>
              <w:rPr>
                <w:rFonts w:ascii="宋体" w:cs="宋体"/>
                <w:color w:val="000000" w:themeColor="text1"/>
                <w:sz w:val="32"/>
                <w:szCs w:val="32"/>
              </w:rPr>
            </w:pPr>
          </w:p>
        </w:tc>
        <w:tc>
          <w:tcPr>
            <w:tcW w:w="608"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3A0D24AD">
            <w:pPr>
              <w:widowControl/>
              <w:jc w:val="center"/>
              <w:textAlignment w:val="center"/>
              <w:rPr>
                <w:rFonts w:ascii="宋体" w:hAnsi="宋体" w:cs="宋体"/>
                <w:color w:val="000000" w:themeColor="text1"/>
                <w:kern w:val="0"/>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68026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成本指标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4CEEF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项目资金是否控制在批复实施范围内（%）</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E8EC3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5FECE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r>
      <w:tr w14:paraId="6700EF72">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0BEC26F">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3BCB52">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276CD25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经济效益指标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2E3A1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贫困人口家庭年人均纯收入（元）（≥%）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37CAC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DE25E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r>
      <w:tr w14:paraId="35D56BE0">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5CD996B">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0715EA">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895D418">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01124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产业发展带动贫困户增收（元）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5D72C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400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E2AEE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400</w:t>
            </w:r>
          </w:p>
        </w:tc>
      </w:tr>
      <w:tr w14:paraId="63349F5B">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FA19FEE">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22E3F6">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3A82216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社会效益指标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0A307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政策知晓率（≥%）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09B9C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81325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r>
      <w:tr w14:paraId="770F892D">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0F184AC">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D7C83E">
            <w:pPr>
              <w:widowControl/>
              <w:jc w:val="center"/>
              <w:textAlignment w:val="center"/>
              <w:rPr>
                <w:rFonts w:ascii="宋体" w:cs="宋体"/>
                <w:color w:val="000000" w:themeColor="text1"/>
                <w:kern w:val="0"/>
                <w:sz w:val="28"/>
                <w:szCs w:val="28"/>
              </w:rPr>
            </w:pPr>
            <w:r>
              <w:rPr>
                <w:rFonts w:hint="eastAsia" w:ascii="宋体" w:hAnsi="宋体" w:cs="宋体"/>
                <w:color w:val="000000" w:themeColor="text1"/>
                <w:kern w:val="0"/>
                <w:sz w:val="28"/>
                <w:szCs w:val="28"/>
              </w:rPr>
              <w:t>……</w:t>
            </w: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B93E75D">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A3160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受益人口数（人）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B2EBF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235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FA2FF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235</w:t>
            </w:r>
          </w:p>
        </w:tc>
      </w:tr>
      <w:tr w14:paraId="21BB3A9D">
        <w:tblPrEx>
          <w:tblCellMar>
            <w:top w:w="0" w:type="dxa"/>
            <w:left w:w="0" w:type="dxa"/>
            <w:bottom w:w="0" w:type="dxa"/>
            <w:right w:w="0" w:type="dxa"/>
          </w:tblCellMar>
        </w:tblPrEx>
        <w:trPr>
          <w:trHeight w:val="105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1C0FD0B">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806649">
            <w:pPr>
              <w:widowControl/>
              <w:jc w:val="center"/>
              <w:textAlignment w:val="center"/>
              <w:rPr>
                <w:rFonts w:ascii="宋体" w:cs="宋体"/>
                <w:color w:val="000000" w:themeColor="text1"/>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73FE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生态效益指标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A64BF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贫困户生活环境是否明显改善</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2500E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C9E12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r>
      <w:tr w14:paraId="04A49A36">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43BA6434">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9A7C59">
            <w:pPr>
              <w:widowControl/>
              <w:jc w:val="center"/>
              <w:textAlignment w:val="center"/>
              <w:rPr>
                <w:rFonts w:ascii="宋体" w:hAnsi="宋体" w:cs="宋体"/>
                <w:color w:val="000000" w:themeColor="text1"/>
                <w:kern w:val="0"/>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0426D0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可持续影响指标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BE3E8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贫困户有稳定增收产业（个）</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0F25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57E82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w:t>
            </w:r>
          </w:p>
        </w:tc>
      </w:tr>
      <w:tr w14:paraId="54BFA5E0">
        <w:tblPrEx>
          <w:tblCellMar>
            <w:top w:w="0" w:type="dxa"/>
            <w:left w:w="0" w:type="dxa"/>
            <w:bottom w:w="0" w:type="dxa"/>
            <w:right w:w="0" w:type="dxa"/>
          </w:tblCellMar>
        </w:tblPrEx>
        <w:trPr>
          <w:trHeight w:val="733"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109F429B">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089A66">
            <w:pPr>
              <w:widowControl/>
              <w:jc w:val="center"/>
              <w:textAlignment w:val="center"/>
              <w:rPr>
                <w:rFonts w:ascii="宋体" w:hAns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65818F9">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F7151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产业发展持续性</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7B743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E4C29F">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好</w:t>
            </w:r>
          </w:p>
        </w:tc>
      </w:tr>
      <w:tr w14:paraId="0434B0C1">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2BBDB7A4">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39A6C8">
            <w:pPr>
              <w:widowControl/>
              <w:jc w:val="center"/>
              <w:textAlignment w:val="center"/>
              <w:rPr>
                <w:rFonts w:ascii="宋体" w:hAnsi="宋体" w:cs="宋体"/>
                <w:color w:val="000000" w:themeColor="text1"/>
                <w:kern w:val="0"/>
                <w:sz w:val="28"/>
                <w:szCs w:val="28"/>
              </w:rPr>
            </w:pPr>
            <w:r>
              <w:rPr>
                <w:rFonts w:hint="eastAsia" w:ascii="宋体" w:hAnsi="宋体" w:cs="宋体"/>
                <w:color w:val="000000" w:themeColor="text1"/>
                <w:kern w:val="0"/>
                <w:sz w:val="28"/>
                <w:szCs w:val="2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4DDA2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服务对象满意度指标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C6E0D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受益群众满意度（≥%）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DE323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6333C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r>
    </w:tbl>
    <w:p w14:paraId="7563EB3E">
      <w:pPr>
        <w:rPr>
          <w:rFonts w:ascii="Calibri" w:hAnsi="Calibri"/>
          <w:color w:val="000000" w:themeColor="text1"/>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149"/>
        <w:gridCol w:w="608"/>
        <w:gridCol w:w="1025"/>
        <w:gridCol w:w="3045"/>
        <w:gridCol w:w="1741"/>
        <w:gridCol w:w="2392"/>
      </w:tblGrid>
      <w:tr w14:paraId="3F65D4CF">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C5DD300">
            <w:pPr>
              <w:pStyle w:val="26"/>
              <w:widowControl/>
              <w:ind w:left="4015" w:leftChars="1310" w:hanging="1264" w:hangingChars="395"/>
              <w:textAlignment w:val="center"/>
              <w:rPr>
                <w:rFonts w:ascii="宋体" w:cs="宋体"/>
                <w:color w:val="000000" w:themeColor="text1"/>
                <w:sz w:val="32"/>
                <w:szCs w:val="32"/>
              </w:rPr>
            </w:pPr>
            <w:r>
              <w:rPr>
                <w:rFonts w:hint="eastAsia" w:ascii="黑体" w:hAnsi="黑体" w:eastAsia="黑体" w:cs="宋体"/>
                <w:bCs/>
                <w:color w:val="000000" w:themeColor="text1"/>
                <w:kern w:val="0"/>
                <w:sz w:val="32"/>
                <w:szCs w:val="32"/>
              </w:rPr>
              <w:t>项目支出绩效目标完成情况表</w:t>
            </w:r>
            <w:r>
              <w:rPr>
                <w:rFonts w:ascii="宋体" w:cs="宋体"/>
                <w:b/>
                <w:bCs/>
                <w:color w:val="000000" w:themeColor="text1"/>
                <w:kern w:val="0"/>
                <w:sz w:val="32"/>
                <w:szCs w:val="32"/>
              </w:rPr>
              <w:br w:type="textWrapping"/>
            </w:r>
            <w:r>
              <w:rPr>
                <w:rFonts w:ascii="宋体" w:hAnsi="宋体" w:cs="宋体"/>
                <w:color w:val="000000" w:themeColor="text1"/>
                <w:kern w:val="0"/>
                <w:sz w:val="32"/>
                <w:szCs w:val="32"/>
              </w:rPr>
              <w:t xml:space="preserve">(2018 </w:t>
            </w:r>
            <w:r>
              <w:rPr>
                <w:rFonts w:hint="eastAsia" w:ascii="宋体" w:hAnsi="宋体" w:cs="宋体"/>
                <w:color w:val="000000" w:themeColor="text1"/>
                <w:kern w:val="0"/>
                <w:sz w:val="32"/>
                <w:szCs w:val="32"/>
              </w:rPr>
              <w:t>年度</w:t>
            </w:r>
            <w:r>
              <w:rPr>
                <w:rFonts w:ascii="宋体" w:hAnsi="宋体" w:cs="宋体"/>
                <w:color w:val="000000" w:themeColor="text1"/>
                <w:kern w:val="0"/>
                <w:sz w:val="32"/>
                <w:szCs w:val="32"/>
              </w:rPr>
              <w:t>)</w:t>
            </w:r>
          </w:p>
        </w:tc>
      </w:tr>
      <w:tr w14:paraId="605DAA7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8F1297">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771513">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麻陇彝族乡照壁村五社早谷田板桥建设项目</w:t>
            </w:r>
          </w:p>
        </w:tc>
      </w:tr>
      <w:tr w14:paraId="7DF043D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53C615">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BB2109">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米易县民族宗教事务局</w:t>
            </w:r>
          </w:p>
        </w:tc>
      </w:tr>
      <w:tr w14:paraId="70FF58D0">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342201">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预算执行情况</w:t>
            </w:r>
            <w:r>
              <w:rPr>
                <w:rFonts w:ascii="宋体" w:hAnsi="宋体" w:cs="宋体"/>
                <w:color w:val="000000" w:themeColor="text1"/>
                <w:kern w:val="0"/>
                <w:sz w:val="32"/>
                <w:szCs w:val="32"/>
              </w:rPr>
              <w:t>(</w:t>
            </w:r>
            <w:r>
              <w:rPr>
                <w:rFonts w:hint="eastAsia" w:ascii="宋体" w:hAnsi="宋体" w:cs="宋体"/>
                <w:color w:val="000000" w:themeColor="text1"/>
                <w:kern w:val="0"/>
                <w:sz w:val="32"/>
                <w:szCs w:val="32"/>
              </w:rPr>
              <w:t>万元</w:t>
            </w:r>
            <w:r>
              <w:rPr>
                <w:rFonts w:ascii="宋体" w:hAnsi="宋体" w:cs="宋体"/>
                <w:color w:val="000000" w:themeColor="text1"/>
                <w:kern w:val="0"/>
                <w:sz w:val="32"/>
                <w:szCs w:val="32"/>
              </w:rPr>
              <w:t>)</w:t>
            </w: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1DA4F">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预算数</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E46AB0">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40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2D973C">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执行数</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C2D20E">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40</w:t>
            </w:r>
          </w:p>
        </w:tc>
      </w:tr>
      <w:tr w14:paraId="2C42F2EA">
        <w:tblPrEx>
          <w:tblCellMar>
            <w:top w:w="0" w:type="dxa"/>
            <w:left w:w="0" w:type="dxa"/>
            <w:bottom w:w="0" w:type="dxa"/>
            <w:right w:w="0" w:type="dxa"/>
          </w:tblCellMar>
        </w:tblPrEx>
        <w:trPr>
          <w:trHeight w:val="276"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6882070">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240A37">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41E08B">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40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AAFE51">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E406B6">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40</w:t>
            </w:r>
          </w:p>
        </w:tc>
      </w:tr>
      <w:tr w14:paraId="16E18178">
        <w:tblPrEx>
          <w:tblCellMar>
            <w:top w:w="0" w:type="dxa"/>
            <w:left w:w="0" w:type="dxa"/>
            <w:bottom w:w="0" w:type="dxa"/>
            <w:right w:w="0" w:type="dxa"/>
          </w:tblCellMar>
        </w:tblPrEx>
        <w:trPr>
          <w:trHeight w:val="122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AE9A367">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A7415D">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A64C0F">
            <w:pPr>
              <w:widowControl/>
              <w:jc w:val="center"/>
              <w:textAlignment w:val="center"/>
              <w:rPr>
                <w:rFonts w:ascii="宋体" w:cs="宋体"/>
                <w:color w:val="000000" w:themeColor="text1"/>
                <w:sz w:val="32"/>
                <w:szCs w:val="32"/>
              </w:rPr>
            </w:pPr>
            <w:r>
              <w:rPr>
                <w:rFonts w:ascii="宋体" w:cs="宋体"/>
                <w:color w:val="000000" w:themeColor="text1"/>
                <w:kern w:val="0"/>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5D4790">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B0C1B8">
            <w:pPr>
              <w:jc w:val="center"/>
              <w:rPr>
                <w:rFonts w:ascii="宋体" w:cs="宋体"/>
                <w:color w:val="000000" w:themeColor="text1"/>
                <w:sz w:val="32"/>
                <w:szCs w:val="32"/>
              </w:rPr>
            </w:pPr>
          </w:p>
        </w:tc>
      </w:tr>
      <w:tr w14:paraId="6DAA7ED4">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0F474A">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年度目标完成情况</w:t>
            </w: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AC73AB">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预期目标</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3D9014">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实际完成目标</w:t>
            </w:r>
          </w:p>
        </w:tc>
      </w:tr>
      <w:tr w14:paraId="4950DF84">
        <w:tblPrEx>
          <w:tblCellMar>
            <w:top w:w="0" w:type="dxa"/>
            <w:left w:w="0" w:type="dxa"/>
            <w:bottom w:w="0" w:type="dxa"/>
            <w:right w:w="0" w:type="dxa"/>
          </w:tblCellMar>
        </w:tblPrEx>
        <w:trPr>
          <w:trHeight w:val="1159"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9869CCF">
            <w:pPr>
              <w:widowControl/>
              <w:jc w:val="left"/>
              <w:rPr>
                <w:rFonts w:ascii="宋体" w:cs="宋体"/>
                <w:color w:val="000000" w:themeColor="text1"/>
                <w:sz w:val="32"/>
                <w:szCs w:val="32"/>
              </w:rPr>
            </w:pP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3E6FD2">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新建小桥一座，小桥全长20米，桥梁单跨跨径12米，桥板高50厘米，宽5米。</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7E49C0">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新建小桥一座，小桥全长20米，桥板高50厘米，宽5米。</w:t>
            </w:r>
          </w:p>
        </w:tc>
      </w:tr>
      <w:tr w14:paraId="607D8A08">
        <w:tblPrEx>
          <w:tblCellMar>
            <w:top w:w="0" w:type="dxa"/>
            <w:left w:w="0" w:type="dxa"/>
            <w:bottom w:w="0" w:type="dxa"/>
            <w:right w:w="0" w:type="dxa"/>
          </w:tblCellMar>
        </w:tblPrEx>
        <w:trPr>
          <w:trHeight w:val="1042"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155670">
            <w:pPr>
              <w:widowControl/>
              <w:jc w:val="center"/>
              <w:textAlignment w:val="center"/>
              <w:rPr>
                <w:rFonts w:ascii="宋体" w:cs="宋体"/>
                <w:color w:val="000000" w:themeColor="text1"/>
                <w:sz w:val="28"/>
                <w:szCs w:val="28"/>
              </w:rPr>
            </w:pPr>
            <w:r>
              <w:rPr>
                <w:rFonts w:hint="eastAsia" w:ascii="宋体" w:hAnsi="宋体" w:cs="宋体"/>
                <w:color w:val="000000" w:themeColor="text1"/>
                <w:sz w:val="28"/>
                <w:szCs w:val="28"/>
              </w:rPr>
              <w:t>绩效指标完成情况</w:t>
            </w: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44B96C">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101325">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二级指标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FA0375">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三级指标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8DB507">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预期指标值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24E1A0">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实际完成指标值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r>
      <w:tr w14:paraId="7B256750">
        <w:tblPrEx>
          <w:tblCellMar>
            <w:top w:w="0" w:type="dxa"/>
            <w:left w:w="0" w:type="dxa"/>
            <w:bottom w:w="0" w:type="dxa"/>
            <w:right w:w="0" w:type="dxa"/>
          </w:tblCellMar>
        </w:tblPrEx>
        <w:trPr>
          <w:trHeight w:val="1071"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0BF8833">
            <w:pPr>
              <w:widowControl/>
              <w:jc w:val="left"/>
              <w:rPr>
                <w:rFonts w:ascii="宋体" w:cs="宋体"/>
                <w:color w:val="000000" w:themeColor="text1"/>
                <w:sz w:val="32"/>
                <w:szCs w:val="32"/>
              </w:rPr>
            </w:pPr>
          </w:p>
        </w:tc>
        <w:tc>
          <w:tcPr>
            <w:tcW w:w="608"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D291743">
            <w:pPr>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项目完成指标</w:t>
            </w:r>
          </w:p>
        </w:tc>
        <w:tc>
          <w:tcPr>
            <w:tcW w:w="1025"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5F3AB91">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数量指标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453A9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63D4A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57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FAC5D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57</w:t>
            </w:r>
          </w:p>
        </w:tc>
      </w:tr>
      <w:tr w14:paraId="7742B1D3">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42F4AD3">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69BBC075">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78EDC9E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质量指标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4F089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C5107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A88AD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0BC1D907">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08A1A00">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3B7F848F">
            <w:pPr>
              <w:widowControl/>
              <w:jc w:val="center"/>
              <w:textAlignment w:val="center"/>
              <w:rPr>
                <w:rFonts w:asci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C5131E9">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ED9BC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资金精准使用情况（≥%）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347EFD">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D16E1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7C399FB0">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3264440A">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1A1D7175">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6223FE7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时效指标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C05E4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项目资金公告公示情况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8E229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37686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2C436435">
        <w:tblPrEx>
          <w:tblCellMar>
            <w:top w:w="0" w:type="dxa"/>
            <w:left w:w="0" w:type="dxa"/>
            <w:bottom w:w="0" w:type="dxa"/>
            <w:right w:w="0" w:type="dxa"/>
          </w:tblCellMar>
        </w:tblPrEx>
        <w:trPr>
          <w:trHeight w:val="543"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4EA4F668">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7BA1FF8B">
            <w:pPr>
              <w:widowControl/>
              <w:jc w:val="center"/>
              <w:textAlignment w:val="center"/>
              <w:rPr>
                <w:rFonts w:ascii="宋体" w:hAnsi="宋体" w:cs="宋体"/>
                <w:color w:val="000000" w:themeColor="text1"/>
                <w:kern w:val="0"/>
                <w:sz w:val="28"/>
                <w:szCs w:val="28"/>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14:paraId="659040AC">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727EE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年内财政专项扶贫资金支付进度（≥%）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8679D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7A52D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39369CCF">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37B3E527">
            <w:pPr>
              <w:widowControl/>
              <w:jc w:val="left"/>
              <w:rPr>
                <w:rFonts w:ascii="宋体" w:cs="宋体"/>
                <w:color w:val="000000" w:themeColor="text1"/>
                <w:sz w:val="32"/>
                <w:szCs w:val="32"/>
              </w:rPr>
            </w:pPr>
          </w:p>
        </w:tc>
        <w:tc>
          <w:tcPr>
            <w:tcW w:w="608"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2E28391">
            <w:pPr>
              <w:widowControl/>
              <w:jc w:val="center"/>
              <w:textAlignment w:val="center"/>
              <w:rPr>
                <w:rFonts w:ascii="宋体" w:hAnsi="宋体" w:cs="宋体"/>
                <w:color w:val="000000" w:themeColor="text1"/>
                <w:kern w:val="0"/>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183D3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成本指标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D489A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项目资金是否控制在批复实施范围内（%）</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D58BC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3A0AC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r>
      <w:tr w14:paraId="42C43D98">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EF2CF52">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90A56E">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2941408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经济效益指标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44EA9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贫困人口家庭年人均纯收入（元）（≥%）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2C921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A5FAE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r>
      <w:tr w14:paraId="22367E50">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6A2C4C1">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9E6D92">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78CCF86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社会效益指标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5FFDF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政策知晓率（≥%）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2494E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118CA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r>
      <w:tr w14:paraId="20CFEE14">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B1428F6">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35D635">
            <w:pPr>
              <w:widowControl/>
              <w:jc w:val="center"/>
              <w:textAlignment w:val="center"/>
              <w:rPr>
                <w:rFonts w:ascii="宋体" w:cs="宋体"/>
                <w:color w:val="000000" w:themeColor="text1"/>
                <w:kern w:val="0"/>
                <w:sz w:val="28"/>
                <w:szCs w:val="28"/>
              </w:rPr>
            </w:pPr>
            <w:r>
              <w:rPr>
                <w:rFonts w:hint="eastAsia" w:ascii="宋体" w:hAnsi="宋体" w:cs="宋体"/>
                <w:color w:val="000000" w:themeColor="text1"/>
                <w:kern w:val="0"/>
                <w:sz w:val="28"/>
                <w:szCs w:val="28"/>
              </w:rPr>
              <w:t>……</w:t>
            </w: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B7E7CA3">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A5162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受益人口数（人）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566C5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217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97A68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217</w:t>
            </w:r>
          </w:p>
        </w:tc>
      </w:tr>
      <w:tr w14:paraId="6B70294E">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179D0CAD">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5FC30E">
            <w:pPr>
              <w:widowControl/>
              <w:jc w:val="center"/>
              <w:textAlignment w:val="center"/>
              <w:rPr>
                <w:rFonts w:ascii="宋体" w:hAnsi="宋体" w:cs="宋体"/>
                <w:color w:val="000000" w:themeColor="text1"/>
                <w:kern w:val="0"/>
                <w:sz w:val="28"/>
                <w:szCs w:val="28"/>
              </w:rPr>
            </w:pPr>
            <w:r>
              <w:rPr>
                <w:rFonts w:hint="eastAsia" w:ascii="宋体" w:hAnsi="宋体" w:cs="宋体"/>
                <w:color w:val="000000" w:themeColor="text1"/>
                <w:kern w:val="0"/>
                <w:sz w:val="28"/>
                <w:szCs w:val="2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78458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服务对象满意度指标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5375A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受益群众满意度（≥%）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058CD5">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6876A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r>
    </w:tbl>
    <w:p w14:paraId="187CB5BC">
      <w:pPr>
        <w:rPr>
          <w:rFonts w:ascii="Calibri" w:hAnsi="Calibri"/>
          <w:color w:val="000000" w:themeColor="text1"/>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149"/>
        <w:gridCol w:w="608"/>
        <w:gridCol w:w="1025"/>
        <w:gridCol w:w="3045"/>
        <w:gridCol w:w="1741"/>
        <w:gridCol w:w="2392"/>
      </w:tblGrid>
      <w:tr w14:paraId="48C5123A">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0D3D5CD">
            <w:pPr>
              <w:pStyle w:val="26"/>
              <w:widowControl/>
              <w:ind w:left="4015" w:leftChars="1310" w:hanging="1264" w:hangingChars="395"/>
              <w:textAlignment w:val="center"/>
              <w:rPr>
                <w:rFonts w:ascii="宋体" w:cs="宋体"/>
                <w:color w:val="000000" w:themeColor="text1"/>
                <w:sz w:val="32"/>
                <w:szCs w:val="32"/>
              </w:rPr>
            </w:pPr>
            <w:r>
              <w:rPr>
                <w:rFonts w:hint="eastAsia" w:ascii="黑体" w:hAnsi="黑体" w:eastAsia="黑体" w:cs="宋体"/>
                <w:bCs/>
                <w:color w:val="000000" w:themeColor="text1"/>
                <w:kern w:val="0"/>
                <w:sz w:val="32"/>
                <w:szCs w:val="32"/>
              </w:rPr>
              <w:t>项目支出绩效目标完成情况表</w:t>
            </w:r>
            <w:r>
              <w:rPr>
                <w:rFonts w:ascii="宋体" w:cs="宋体"/>
                <w:b/>
                <w:bCs/>
                <w:color w:val="000000" w:themeColor="text1"/>
                <w:kern w:val="0"/>
                <w:sz w:val="32"/>
                <w:szCs w:val="32"/>
              </w:rPr>
              <w:br w:type="textWrapping"/>
            </w:r>
            <w:r>
              <w:rPr>
                <w:rFonts w:ascii="宋体" w:hAnsi="宋体" w:cs="宋体"/>
                <w:color w:val="000000" w:themeColor="text1"/>
                <w:kern w:val="0"/>
                <w:sz w:val="32"/>
                <w:szCs w:val="32"/>
              </w:rPr>
              <w:t xml:space="preserve">(2018 </w:t>
            </w:r>
            <w:r>
              <w:rPr>
                <w:rFonts w:hint="eastAsia" w:ascii="宋体" w:hAnsi="宋体" w:cs="宋体"/>
                <w:color w:val="000000" w:themeColor="text1"/>
                <w:kern w:val="0"/>
                <w:sz w:val="32"/>
                <w:szCs w:val="32"/>
              </w:rPr>
              <w:t>年度</w:t>
            </w:r>
            <w:r>
              <w:rPr>
                <w:rFonts w:ascii="宋体" w:hAnsi="宋体" w:cs="宋体"/>
                <w:color w:val="000000" w:themeColor="text1"/>
                <w:kern w:val="0"/>
                <w:sz w:val="32"/>
                <w:szCs w:val="32"/>
              </w:rPr>
              <w:t>)</w:t>
            </w:r>
          </w:p>
        </w:tc>
      </w:tr>
      <w:tr w14:paraId="7C565B0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F61061">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D82973">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新山傈僳族乡中山村一、三、八社安全饮水项目</w:t>
            </w:r>
          </w:p>
        </w:tc>
      </w:tr>
      <w:tr w14:paraId="7A2AD69A">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FC537B">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9257E2">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米易县民族宗教事务局</w:t>
            </w:r>
          </w:p>
        </w:tc>
      </w:tr>
      <w:tr w14:paraId="45D4DA4A">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CF75B5">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预算执行情况</w:t>
            </w:r>
            <w:r>
              <w:rPr>
                <w:rFonts w:ascii="宋体" w:hAnsi="宋体" w:cs="宋体"/>
                <w:color w:val="000000" w:themeColor="text1"/>
                <w:kern w:val="0"/>
                <w:sz w:val="32"/>
                <w:szCs w:val="32"/>
              </w:rPr>
              <w:t>(</w:t>
            </w:r>
            <w:r>
              <w:rPr>
                <w:rFonts w:hint="eastAsia" w:ascii="宋体" w:hAnsi="宋体" w:cs="宋体"/>
                <w:color w:val="000000" w:themeColor="text1"/>
                <w:kern w:val="0"/>
                <w:sz w:val="32"/>
                <w:szCs w:val="32"/>
              </w:rPr>
              <w:t>万元</w:t>
            </w:r>
            <w:r>
              <w:rPr>
                <w:rFonts w:ascii="宋体" w:hAnsi="宋体" w:cs="宋体"/>
                <w:color w:val="000000" w:themeColor="text1"/>
                <w:kern w:val="0"/>
                <w:sz w:val="32"/>
                <w:szCs w:val="32"/>
              </w:rPr>
              <w:t>)</w:t>
            </w: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0CF742">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预算数</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0381B9">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40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21AD84">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执行数</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2D980">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40</w:t>
            </w:r>
          </w:p>
        </w:tc>
      </w:tr>
      <w:tr w14:paraId="4F044F7D">
        <w:tblPrEx>
          <w:tblCellMar>
            <w:top w:w="0" w:type="dxa"/>
            <w:left w:w="0" w:type="dxa"/>
            <w:bottom w:w="0" w:type="dxa"/>
            <w:right w:w="0" w:type="dxa"/>
          </w:tblCellMar>
        </w:tblPrEx>
        <w:trPr>
          <w:trHeight w:val="276"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31A66E1">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2C694D">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56BAB2">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40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8F7D5">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其中</w:t>
            </w:r>
            <w:r>
              <w:rPr>
                <w:rFonts w:ascii="宋体" w:cs="宋体"/>
                <w:color w:val="000000" w:themeColor="text1"/>
                <w:kern w:val="0"/>
                <w:sz w:val="32"/>
                <w:szCs w:val="32"/>
              </w:rPr>
              <w:t>-</w:t>
            </w:r>
            <w:r>
              <w:rPr>
                <w:rFonts w:hint="eastAsia" w:ascii="宋体" w:hAnsi="宋体" w:cs="宋体"/>
                <w:color w:val="000000" w:themeColor="text1"/>
                <w:kern w:val="0"/>
                <w:sz w:val="32"/>
                <w:szCs w:val="32"/>
              </w:rPr>
              <w:t>财政拨款</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B34110">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40</w:t>
            </w:r>
          </w:p>
        </w:tc>
      </w:tr>
      <w:tr w14:paraId="7DDE5A95">
        <w:tblPrEx>
          <w:tblCellMar>
            <w:top w:w="0" w:type="dxa"/>
            <w:left w:w="0" w:type="dxa"/>
            <w:bottom w:w="0" w:type="dxa"/>
            <w:right w:w="0" w:type="dxa"/>
          </w:tblCellMar>
        </w:tblPrEx>
        <w:trPr>
          <w:trHeight w:val="122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02C359C">
            <w:pPr>
              <w:widowControl/>
              <w:jc w:val="left"/>
              <w:rPr>
                <w:rFonts w:ascii="宋体" w:cs="宋体"/>
                <w:color w:val="000000" w:themeColor="text1"/>
                <w:sz w:val="32"/>
                <w:szCs w:val="32"/>
              </w:rPr>
            </w:pPr>
          </w:p>
        </w:tc>
        <w:tc>
          <w:tcPr>
            <w:tcW w:w="16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F82404">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76933">
            <w:pPr>
              <w:widowControl/>
              <w:jc w:val="center"/>
              <w:textAlignment w:val="center"/>
              <w:rPr>
                <w:rFonts w:ascii="宋体" w:cs="宋体"/>
                <w:color w:val="000000" w:themeColor="text1"/>
                <w:sz w:val="32"/>
                <w:szCs w:val="32"/>
              </w:rPr>
            </w:pPr>
            <w:r>
              <w:rPr>
                <w:rFonts w:ascii="宋体" w:cs="宋体"/>
                <w:color w:val="000000" w:themeColor="text1"/>
                <w:kern w:val="0"/>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480F1E">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其它资金</w:t>
            </w:r>
            <w:r>
              <w:rPr>
                <w:rFonts w:ascii="宋体" w:hAnsi="宋体" w:cs="宋体"/>
                <w:color w:val="000000" w:themeColor="text1"/>
                <w:kern w:val="0"/>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B8A73F">
            <w:pPr>
              <w:jc w:val="center"/>
              <w:rPr>
                <w:rFonts w:ascii="宋体" w:cs="宋体"/>
                <w:color w:val="000000" w:themeColor="text1"/>
                <w:sz w:val="32"/>
                <w:szCs w:val="32"/>
              </w:rPr>
            </w:pPr>
          </w:p>
        </w:tc>
      </w:tr>
      <w:tr w14:paraId="1980244A">
        <w:tblPrEx>
          <w:tblCellMar>
            <w:top w:w="0" w:type="dxa"/>
            <w:left w:w="0" w:type="dxa"/>
            <w:bottom w:w="0" w:type="dxa"/>
            <w:right w:w="0" w:type="dxa"/>
          </w:tblCellMar>
        </w:tblPrEx>
        <w:trPr>
          <w:trHeight w:val="276"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EF5876">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年度目标完成情况</w:t>
            </w: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4983C7">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预期目标</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BDFDA6">
            <w:pPr>
              <w:widowControl/>
              <w:jc w:val="center"/>
              <w:textAlignment w:val="center"/>
              <w:rPr>
                <w:rFonts w:ascii="宋体" w:cs="宋体"/>
                <w:color w:val="000000" w:themeColor="text1"/>
                <w:sz w:val="32"/>
                <w:szCs w:val="32"/>
              </w:rPr>
            </w:pPr>
            <w:r>
              <w:rPr>
                <w:rFonts w:hint="eastAsia" w:ascii="宋体" w:hAnsi="宋体" w:cs="宋体"/>
                <w:color w:val="000000" w:themeColor="text1"/>
                <w:kern w:val="0"/>
                <w:sz w:val="32"/>
                <w:szCs w:val="32"/>
              </w:rPr>
              <w:t>实际完成目标</w:t>
            </w:r>
          </w:p>
        </w:tc>
      </w:tr>
      <w:tr w14:paraId="2EBC1D14">
        <w:tblPrEx>
          <w:tblCellMar>
            <w:top w:w="0" w:type="dxa"/>
            <w:left w:w="0" w:type="dxa"/>
            <w:bottom w:w="0" w:type="dxa"/>
            <w:right w:w="0" w:type="dxa"/>
          </w:tblCellMar>
        </w:tblPrEx>
        <w:trPr>
          <w:trHeight w:val="1159"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6FC65E8">
            <w:pPr>
              <w:widowControl/>
              <w:jc w:val="left"/>
              <w:rPr>
                <w:rFonts w:ascii="宋体" w:cs="宋体"/>
                <w:color w:val="000000" w:themeColor="text1"/>
                <w:sz w:val="32"/>
                <w:szCs w:val="32"/>
              </w:rPr>
            </w:pP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4FF004">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架设饮水管道22.15公里，其中主管长9.8公里（其中镀锌钢管500米，PP-R管9300米），支管长12.35公里（其中PP-R管12300米，PE管50米），修建蓄水水池2口。</w:t>
            </w:r>
          </w:p>
        </w:tc>
        <w:tc>
          <w:tcPr>
            <w:tcW w:w="41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C51689">
            <w:pPr>
              <w:widowControl/>
              <w:jc w:val="center"/>
              <w:textAlignment w:val="center"/>
              <w:rPr>
                <w:rFonts w:ascii="宋体" w:cs="宋体"/>
                <w:color w:val="000000" w:themeColor="text1"/>
                <w:sz w:val="32"/>
                <w:szCs w:val="32"/>
              </w:rPr>
            </w:pPr>
            <w:r>
              <w:rPr>
                <w:rFonts w:hint="eastAsia" w:ascii="宋体" w:cs="宋体"/>
                <w:color w:val="000000" w:themeColor="text1"/>
                <w:sz w:val="32"/>
                <w:szCs w:val="32"/>
              </w:rPr>
              <w:t>架设饮水管道22.15公里，修建蓄水水池2口。</w:t>
            </w:r>
          </w:p>
        </w:tc>
      </w:tr>
      <w:tr w14:paraId="530B7BEC">
        <w:tblPrEx>
          <w:tblCellMar>
            <w:top w:w="0" w:type="dxa"/>
            <w:left w:w="0" w:type="dxa"/>
            <w:bottom w:w="0" w:type="dxa"/>
            <w:right w:w="0" w:type="dxa"/>
          </w:tblCellMar>
        </w:tblPrEx>
        <w:trPr>
          <w:trHeight w:val="1042"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16AD3F">
            <w:pPr>
              <w:widowControl/>
              <w:jc w:val="center"/>
              <w:textAlignment w:val="center"/>
              <w:rPr>
                <w:rFonts w:ascii="宋体" w:cs="宋体"/>
                <w:color w:val="000000" w:themeColor="text1"/>
                <w:sz w:val="28"/>
                <w:szCs w:val="28"/>
              </w:rPr>
            </w:pPr>
            <w:r>
              <w:rPr>
                <w:rFonts w:hint="eastAsia" w:ascii="宋体" w:hAnsi="宋体" w:cs="宋体"/>
                <w:color w:val="000000" w:themeColor="text1"/>
                <w:sz w:val="28"/>
                <w:szCs w:val="28"/>
              </w:rPr>
              <w:t>绩效指标完成情况</w:t>
            </w: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94945">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01FA9F">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二级指标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C69E30">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三级指标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3291F2">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预期指标值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00075E">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实际完成指标值</w:t>
            </w:r>
            <w:r>
              <w:rPr>
                <w:rFonts w:ascii="宋体" w:hAnsi="宋体" w:cs="宋体"/>
                <w:color w:val="000000" w:themeColor="text1"/>
                <w:kern w:val="0"/>
                <w:sz w:val="28"/>
                <w:szCs w:val="28"/>
              </w:rPr>
              <w:t>(</w:t>
            </w:r>
            <w:r>
              <w:rPr>
                <w:rFonts w:hint="eastAsia" w:ascii="宋体" w:hAnsi="宋体" w:cs="宋体"/>
                <w:color w:val="000000" w:themeColor="text1"/>
                <w:kern w:val="0"/>
                <w:sz w:val="28"/>
                <w:szCs w:val="28"/>
              </w:rPr>
              <w:t>包含数字及文字描述</w:t>
            </w:r>
            <w:r>
              <w:rPr>
                <w:rFonts w:ascii="宋体" w:hAnsi="宋体" w:cs="宋体"/>
                <w:color w:val="000000" w:themeColor="text1"/>
                <w:kern w:val="0"/>
                <w:sz w:val="28"/>
                <w:szCs w:val="28"/>
              </w:rPr>
              <w:t>)</w:t>
            </w:r>
          </w:p>
        </w:tc>
      </w:tr>
      <w:tr w14:paraId="7F551F14">
        <w:tblPrEx>
          <w:tblCellMar>
            <w:top w:w="0" w:type="dxa"/>
            <w:left w:w="0" w:type="dxa"/>
            <w:bottom w:w="0" w:type="dxa"/>
            <w:right w:w="0" w:type="dxa"/>
          </w:tblCellMar>
        </w:tblPrEx>
        <w:trPr>
          <w:trHeight w:val="1071"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00FF391F">
            <w:pPr>
              <w:widowControl/>
              <w:jc w:val="left"/>
              <w:rPr>
                <w:rFonts w:ascii="宋体" w:cs="宋体"/>
                <w:color w:val="000000" w:themeColor="text1"/>
                <w:sz w:val="32"/>
                <w:szCs w:val="32"/>
              </w:rPr>
            </w:pPr>
          </w:p>
        </w:tc>
        <w:tc>
          <w:tcPr>
            <w:tcW w:w="608"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4636EF57">
            <w:pPr>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项目完成指标</w:t>
            </w:r>
          </w:p>
        </w:tc>
        <w:tc>
          <w:tcPr>
            <w:tcW w:w="1025"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2080C14">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数量指标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202CA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164F5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E487A1">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16</w:t>
            </w:r>
          </w:p>
        </w:tc>
      </w:tr>
      <w:tr w14:paraId="654CAF3E">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576D76CA">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6F61AEE4">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680AA8C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质量指标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3EED9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贫困人口脱贫率（≥%）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3AF93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3B4F6B">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4F4D4C21">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702DDB8">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6AFB18BF">
            <w:pPr>
              <w:widowControl/>
              <w:jc w:val="center"/>
              <w:textAlignment w:val="center"/>
              <w:rPr>
                <w:rFonts w:ascii="宋体" w:cs="宋体"/>
                <w:color w:val="000000" w:themeColor="text1"/>
                <w:kern w:val="0"/>
                <w:sz w:val="28"/>
                <w:szCs w:val="28"/>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34B2292F">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A2E15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资金精准使用情况（≥%）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C4302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4AE62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22FFC017">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AA97ABA">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260EE1CF">
            <w:pPr>
              <w:widowControl/>
              <w:jc w:val="center"/>
              <w:textAlignment w:val="center"/>
              <w:rPr>
                <w:rFonts w:ascii="宋体" w:cs="宋体"/>
                <w:color w:val="000000" w:themeColor="text1"/>
                <w:sz w:val="28"/>
                <w:szCs w:val="28"/>
              </w:rPr>
            </w:pP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65F2AFF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时效指标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48278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项目资金公告公示情况</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793E4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2CB45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106A97FA">
        <w:tblPrEx>
          <w:tblCellMar>
            <w:top w:w="0" w:type="dxa"/>
            <w:left w:w="0" w:type="dxa"/>
            <w:bottom w:w="0" w:type="dxa"/>
            <w:right w:w="0" w:type="dxa"/>
          </w:tblCellMar>
        </w:tblPrEx>
        <w:trPr>
          <w:trHeight w:val="543"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7A5F81C8">
            <w:pPr>
              <w:widowControl/>
              <w:jc w:val="left"/>
              <w:rPr>
                <w:rFonts w:ascii="宋体" w:cs="宋体"/>
                <w:color w:val="000000" w:themeColor="text1"/>
                <w:sz w:val="32"/>
                <w:szCs w:val="32"/>
              </w:rPr>
            </w:pPr>
          </w:p>
        </w:tc>
        <w:tc>
          <w:tcPr>
            <w:tcW w:w="608" w:type="dxa"/>
            <w:vMerge w:val="continue"/>
            <w:tcBorders>
              <w:left w:val="single" w:color="000000" w:sz="4" w:space="0"/>
              <w:right w:val="single" w:color="000000" w:sz="4" w:space="0"/>
            </w:tcBorders>
            <w:tcMar>
              <w:top w:w="15" w:type="dxa"/>
              <w:left w:w="15" w:type="dxa"/>
              <w:bottom w:w="0" w:type="dxa"/>
              <w:right w:w="15" w:type="dxa"/>
            </w:tcMar>
            <w:vAlign w:val="center"/>
          </w:tcPr>
          <w:p w14:paraId="4D981D70">
            <w:pPr>
              <w:widowControl/>
              <w:jc w:val="center"/>
              <w:textAlignment w:val="center"/>
              <w:rPr>
                <w:rFonts w:ascii="宋体" w:hAnsi="宋体" w:cs="宋体"/>
                <w:color w:val="000000" w:themeColor="text1"/>
                <w:kern w:val="0"/>
                <w:sz w:val="28"/>
                <w:szCs w:val="28"/>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14:paraId="57C5E155">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28321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年内财政专项扶贫资金支付进度（≥%）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F67EA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86CCE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423E5181">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1911DABC">
            <w:pPr>
              <w:widowControl/>
              <w:jc w:val="left"/>
              <w:rPr>
                <w:rFonts w:ascii="宋体" w:cs="宋体"/>
                <w:color w:val="000000" w:themeColor="text1"/>
                <w:sz w:val="32"/>
                <w:szCs w:val="32"/>
              </w:rPr>
            </w:pPr>
          </w:p>
        </w:tc>
        <w:tc>
          <w:tcPr>
            <w:tcW w:w="608"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9C78508">
            <w:pPr>
              <w:widowControl/>
              <w:jc w:val="center"/>
              <w:textAlignment w:val="center"/>
              <w:rPr>
                <w:rFonts w:ascii="宋体" w:hAnsi="宋体" w:cs="宋体"/>
                <w:color w:val="000000" w:themeColor="text1"/>
                <w:kern w:val="0"/>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812BC4">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成本指标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9B78F3">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项目资金是否控制在批复实施范围内（%）</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50A24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2AB14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是</w:t>
            </w:r>
          </w:p>
        </w:tc>
      </w:tr>
      <w:tr w14:paraId="73E00796">
        <w:tblPrEx>
          <w:tblCellMar>
            <w:top w:w="0" w:type="dxa"/>
            <w:left w:w="0" w:type="dxa"/>
            <w:bottom w:w="0" w:type="dxa"/>
            <w:right w:w="0" w:type="dxa"/>
          </w:tblCellMar>
        </w:tblPrEx>
        <w:trPr>
          <w:trHeight w:val="1042"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E20C865">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3ACF1A">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22E51E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经济效益指标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BE3E62">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贫困人口家庭年人均纯收入（元）（≥%）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E73780">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3800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6609A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4000</w:t>
            </w:r>
          </w:p>
        </w:tc>
      </w:tr>
      <w:tr w14:paraId="6FC361A9">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6E53CB7F">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8C0870">
            <w:pPr>
              <w:widowControl/>
              <w:jc w:val="center"/>
              <w:textAlignment w:val="center"/>
              <w:rPr>
                <w:rFonts w:ascii="宋体" w:cs="宋体"/>
                <w:color w:val="000000" w:themeColor="text1"/>
                <w:sz w:val="28"/>
                <w:szCs w:val="28"/>
              </w:rPr>
            </w:pPr>
            <w:r>
              <w:rPr>
                <w:rFonts w:hint="eastAsia" w:ascii="宋体" w:hAnsi="宋体" w:cs="宋体"/>
                <w:color w:val="000000" w:themeColor="text1"/>
                <w:kern w:val="0"/>
                <w:sz w:val="28"/>
                <w:szCs w:val="28"/>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6846AD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社会效益指标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8A10E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政策知晓率（≥%）</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EE99B7">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AE8DD6">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100</w:t>
            </w:r>
          </w:p>
        </w:tc>
      </w:tr>
      <w:tr w14:paraId="7D5561E5">
        <w:tblPrEx>
          <w:tblCellMar>
            <w:top w:w="0" w:type="dxa"/>
            <w:left w:w="0" w:type="dxa"/>
            <w:bottom w:w="0" w:type="dxa"/>
            <w:right w:w="0" w:type="dxa"/>
          </w:tblCellMar>
        </w:tblPrEx>
        <w:trPr>
          <w:trHeight w:val="1297"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14:paraId="250FF5A1">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CB30C8">
            <w:pPr>
              <w:widowControl/>
              <w:jc w:val="center"/>
              <w:textAlignment w:val="center"/>
              <w:rPr>
                <w:rFonts w:ascii="宋体" w:cs="宋体"/>
                <w:color w:val="000000" w:themeColor="text1"/>
                <w:kern w:val="0"/>
                <w:sz w:val="28"/>
                <w:szCs w:val="28"/>
              </w:rPr>
            </w:pPr>
            <w:r>
              <w:rPr>
                <w:rFonts w:hint="eastAsia" w:ascii="宋体" w:hAnsi="宋体" w:cs="宋体"/>
                <w:color w:val="000000" w:themeColor="text1"/>
                <w:kern w:val="0"/>
                <w:sz w:val="28"/>
                <w:szCs w:val="28"/>
              </w:rPr>
              <w:t>……</w:t>
            </w: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D79998C">
            <w:pPr>
              <w:widowControl/>
              <w:jc w:val="center"/>
              <w:textAlignment w:val="center"/>
              <w:rPr>
                <w:rFonts w:ascii="宋体" w:cs="宋体"/>
                <w:color w:val="000000" w:themeColor="text1"/>
                <w:sz w:val="28"/>
                <w:szCs w:val="28"/>
              </w:rPr>
            </w:pP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518A3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受益人口数（人）</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803AE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452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A4CF78">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452</w:t>
            </w:r>
          </w:p>
        </w:tc>
      </w:tr>
      <w:tr w14:paraId="1012D6D8">
        <w:tblPrEx>
          <w:tblCellMar>
            <w:top w:w="0" w:type="dxa"/>
            <w:left w:w="0" w:type="dxa"/>
            <w:bottom w:w="0" w:type="dxa"/>
            <w:right w:w="0" w:type="dxa"/>
          </w:tblCellMar>
        </w:tblPrEx>
        <w:trPr>
          <w:trHeight w:val="1050" w:hRule="atLeast"/>
        </w:trPr>
        <w:tc>
          <w:tcPr>
            <w:tcW w:w="1149" w:type="dxa"/>
            <w:tcBorders>
              <w:top w:val="single" w:color="000000" w:sz="4" w:space="0"/>
              <w:left w:val="single" w:color="000000" w:sz="4" w:space="0"/>
              <w:bottom w:val="single" w:color="000000" w:sz="4" w:space="0"/>
              <w:right w:val="single" w:color="000000" w:sz="4" w:space="0"/>
            </w:tcBorders>
            <w:vAlign w:val="center"/>
          </w:tcPr>
          <w:p w14:paraId="5D09F224">
            <w:pPr>
              <w:widowControl/>
              <w:jc w:val="left"/>
              <w:rPr>
                <w:rFonts w:ascii="宋体" w:cs="宋体"/>
                <w:color w:val="000000" w:themeColor="text1"/>
                <w:sz w:val="32"/>
                <w:szCs w:val="32"/>
              </w:rPr>
            </w:pPr>
          </w:p>
        </w:tc>
        <w:tc>
          <w:tcPr>
            <w:tcW w:w="6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6AF853">
            <w:pPr>
              <w:widowControl/>
              <w:jc w:val="center"/>
              <w:textAlignment w:val="center"/>
              <w:rPr>
                <w:rFonts w:ascii="宋体" w:hAnsi="宋体" w:cs="宋体"/>
                <w:color w:val="000000" w:themeColor="text1"/>
                <w:kern w:val="0"/>
                <w:sz w:val="28"/>
                <w:szCs w:val="28"/>
              </w:rPr>
            </w:pPr>
            <w:r>
              <w:rPr>
                <w:rFonts w:hint="eastAsia" w:ascii="宋体" w:hAnsi="宋体" w:cs="宋体"/>
                <w:color w:val="000000" w:themeColor="text1"/>
                <w:kern w:val="0"/>
                <w:sz w:val="28"/>
                <w:szCs w:val="2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83093C">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服务对象满意度指标</w:t>
            </w:r>
          </w:p>
        </w:tc>
        <w:tc>
          <w:tcPr>
            <w:tcW w:w="30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899B1E">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受益群众满意度（≥%）</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8C4FC9">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099AEA">
            <w:pPr>
              <w:widowControl/>
              <w:jc w:val="center"/>
              <w:textAlignment w:val="center"/>
              <w:rPr>
                <w:rFonts w:ascii="宋体" w:cs="宋体"/>
                <w:color w:val="000000" w:themeColor="text1"/>
                <w:sz w:val="28"/>
                <w:szCs w:val="28"/>
              </w:rPr>
            </w:pPr>
            <w:r>
              <w:rPr>
                <w:rFonts w:hint="eastAsia" w:ascii="宋体" w:cs="宋体"/>
                <w:color w:val="000000" w:themeColor="text1"/>
                <w:sz w:val="28"/>
                <w:szCs w:val="28"/>
              </w:rPr>
              <w:t>95</w:t>
            </w:r>
          </w:p>
        </w:tc>
      </w:tr>
    </w:tbl>
    <w:p w14:paraId="1FE7D9C2">
      <w:pPr>
        <w:rPr>
          <w:rFonts w:ascii="Calibri" w:hAnsi="Calibri"/>
          <w:color w:val="000000" w:themeColor="text1"/>
          <w:sz w:val="32"/>
          <w:szCs w:val="32"/>
        </w:rPr>
      </w:pPr>
    </w:p>
    <w:p w14:paraId="7D7E414A">
      <w:pPr>
        <w:tabs>
          <w:tab w:val="left" w:pos="312"/>
        </w:tabs>
        <w:spacing w:line="580" w:lineRule="exact"/>
        <w:rPr>
          <w:rFonts w:ascii="仿宋_GB2312" w:hAnsi="仿宋_GB2312" w:eastAsia="仿宋_GB2312" w:cs="仿宋_GB2312"/>
          <w:color w:val="000000" w:themeColor="text1"/>
          <w:sz w:val="32"/>
          <w:szCs w:val="32"/>
        </w:rPr>
      </w:pPr>
    </w:p>
    <w:p w14:paraId="53674CFE">
      <w:pPr>
        <w:numPr>
          <w:ilvl w:val="0"/>
          <w:numId w:val="4"/>
        </w:numPr>
        <w:spacing w:line="580" w:lineRule="exact"/>
        <w:ind w:firstLine="643" w:firstLineChars="200"/>
        <w:rPr>
          <w:rFonts w:ascii="仿宋_GB2312" w:hAnsi="仿宋" w:eastAsia="仿宋_GB2312" w:cs="仿宋_GB2312"/>
          <w:color w:val="000000" w:themeColor="text1"/>
          <w:sz w:val="32"/>
          <w:szCs w:val="32"/>
        </w:rPr>
      </w:pPr>
      <w:r>
        <w:rPr>
          <w:rFonts w:hint="eastAsia" w:ascii="仿宋_GB2312" w:hAnsi="仿宋" w:eastAsia="仿宋_GB2312" w:cs="楷体_GB2312"/>
          <w:b/>
          <w:bCs/>
          <w:color w:val="000000" w:themeColor="text1"/>
          <w:sz w:val="32"/>
          <w:szCs w:val="32"/>
        </w:rPr>
        <w:t>部门开展绩效评价结果。</w:t>
      </w:r>
    </w:p>
    <w:p w14:paraId="2BAC3F84">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本部门按要求对2018年部门整体支出绩效评价情况开展自评，《米易县民族宗教事务局2018年部门整体支出绩效评价报告》见附件。</w:t>
      </w:r>
    </w:p>
    <w:p w14:paraId="4464D1D3">
      <w:pPr>
        <w:spacing w:line="58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本部门自行组织对</w:t>
      </w:r>
      <w:r>
        <w:rPr>
          <w:rFonts w:hint="eastAsia" w:ascii="仿宋_GB2312" w:eastAsia="仿宋_GB2312"/>
          <w:color w:val="000000" w:themeColor="text1"/>
          <w:sz w:val="32"/>
          <w:szCs w:val="32"/>
        </w:rPr>
        <w:t>麻陇乡黄草坪村芭蕉棚道路硬化</w:t>
      </w:r>
      <w:r>
        <w:rPr>
          <w:rFonts w:hint="eastAsia" w:ascii="仿宋_GB2312" w:hAnsi="仿宋_GB2312" w:eastAsia="仿宋_GB2312" w:cs="仿宋_GB2312"/>
          <w:color w:val="000000" w:themeColor="text1"/>
          <w:sz w:val="32"/>
          <w:szCs w:val="32"/>
        </w:rPr>
        <w:t>、</w:t>
      </w:r>
      <w:r>
        <w:rPr>
          <w:rFonts w:hint="eastAsia" w:ascii="仿宋_GB2312" w:eastAsia="仿宋_GB2312"/>
          <w:color w:val="000000" w:themeColor="text1"/>
          <w:sz w:val="32"/>
          <w:szCs w:val="32"/>
        </w:rPr>
        <w:t>普威镇新龙村八社道路边沟建设</w:t>
      </w:r>
      <w:r>
        <w:rPr>
          <w:rFonts w:hint="eastAsia" w:ascii="仿宋_GB2312" w:hAnsi="仿宋_GB2312" w:eastAsia="仿宋_GB2312" w:cs="仿宋_GB2312"/>
          <w:color w:val="000000" w:themeColor="text1"/>
          <w:sz w:val="32"/>
          <w:szCs w:val="32"/>
        </w:rPr>
        <w:t>等11个项目开展了绩效评价，《</w:t>
      </w:r>
      <w:r>
        <w:rPr>
          <w:rFonts w:hint="eastAsia" w:ascii="仿宋_GB2312" w:eastAsia="仿宋_GB2312"/>
          <w:color w:val="000000" w:themeColor="text1"/>
          <w:sz w:val="32"/>
          <w:szCs w:val="32"/>
        </w:rPr>
        <w:t>米易县2016年至2018年省级民族类专项资金绩效自评报告</w:t>
      </w:r>
      <w:r>
        <w:rPr>
          <w:rFonts w:hint="eastAsia" w:ascii="仿宋_GB2312" w:hAnsi="仿宋_GB2312" w:eastAsia="仿宋_GB2312" w:cs="仿宋_GB2312"/>
          <w:color w:val="000000" w:themeColor="text1"/>
          <w:sz w:val="32"/>
          <w:szCs w:val="32"/>
        </w:rPr>
        <w:t>》见附件。</w:t>
      </w:r>
    </w:p>
    <w:p w14:paraId="1D291DEE">
      <w:pPr>
        <w:spacing w:line="580" w:lineRule="exact"/>
        <w:ind w:firstLine="640" w:firstLineChars="200"/>
        <w:rPr>
          <w:rFonts w:hint="eastAsia" w:ascii="仿宋_GB2312" w:hAnsi="仿宋_GB2312" w:eastAsia="仿宋_GB2312" w:cs="仿宋_GB2312"/>
          <w:color w:val="000000" w:themeColor="text1"/>
          <w:sz w:val="32"/>
          <w:szCs w:val="32"/>
        </w:rPr>
      </w:pPr>
    </w:p>
    <w:p w14:paraId="6C72CD5B">
      <w:pPr>
        <w:spacing w:line="580" w:lineRule="exact"/>
        <w:jc w:val="center"/>
        <w:rPr>
          <w:rFonts w:ascii="仿宋_GB2312" w:hAnsi="方正小标宋简体" w:eastAsia="仿宋_GB2312" w:cs="方正小标宋简体"/>
          <w:color w:val="FF0000"/>
          <w:sz w:val="32"/>
          <w:szCs w:val="32"/>
        </w:rPr>
      </w:pPr>
    </w:p>
    <w:p w14:paraId="71530042">
      <w:pPr>
        <w:spacing w:line="600" w:lineRule="exact"/>
        <w:ind w:firstLine="800" w:firstLineChars="250"/>
        <w:outlineLvl w:val="1"/>
        <w:rPr>
          <w:rStyle w:val="17"/>
          <w:rFonts w:ascii="黑体" w:hAnsi="黑体" w:eastAsia="黑体"/>
          <w:b w:val="0"/>
          <w:color w:val="000000" w:themeColor="text1"/>
        </w:rPr>
      </w:pPr>
      <w:bookmarkStart w:id="50" w:name="_Toc15396612"/>
      <w:bookmarkStart w:id="51" w:name="_Toc15377221"/>
      <w:r>
        <w:rPr>
          <w:rFonts w:hint="eastAsia" w:ascii="黑体" w:hAnsi="黑体" w:eastAsia="黑体"/>
          <w:color w:val="000000" w:themeColor="text1"/>
          <w:sz w:val="32"/>
          <w:szCs w:val="32"/>
        </w:rPr>
        <w:t>十</w:t>
      </w:r>
      <w:r>
        <w:rPr>
          <w:rStyle w:val="17"/>
          <w:rFonts w:hint="eastAsia" w:ascii="黑体" w:hAnsi="黑体" w:eastAsia="黑体"/>
          <w:color w:val="000000" w:themeColor="text1"/>
        </w:rPr>
        <w:t>一、</w:t>
      </w:r>
      <w:r>
        <w:rPr>
          <w:rStyle w:val="17"/>
          <w:rFonts w:hint="eastAsia" w:ascii="黑体" w:hAnsi="黑体" w:eastAsia="黑体"/>
          <w:b w:val="0"/>
          <w:color w:val="000000" w:themeColor="text1"/>
        </w:rPr>
        <w:t>其他重要事项的情况说明</w:t>
      </w:r>
      <w:bookmarkEnd w:id="50"/>
      <w:bookmarkEnd w:id="51"/>
    </w:p>
    <w:p w14:paraId="1BED6CA2">
      <w:pPr>
        <w:spacing w:line="600" w:lineRule="exact"/>
        <w:ind w:firstLine="2400" w:firstLineChars="750"/>
        <w:outlineLvl w:val="1"/>
        <w:rPr>
          <w:rStyle w:val="17"/>
          <w:rFonts w:ascii="仿宋_GB2312" w:hAnsi="黑体" w:eastAsia="仿宋_GB2312"/>
          <w:color w:val="000000" w:themeColor="text1"/>
        </w:rPr>
      </w:pPr>
      <w:r>
        <w:rPr>
          <w:rStyle w:val="17"/>
          <w:rFonts w:hint="eastAsia" w:ascii="仿宋_GB2312" w:hAnsi="黑体" w:eastAsia="仿宋_GB2312"/>
          <w:b w:val="0"/>
          <w:color w:val="000000" w:themeColor="text1"/>
        </w:rPr>
        <w:t>无</w:t>
      </w:r>
    </w:p>
    <w:p w14:paraId="501DFE39">
      <w:pPr>
        <w:spacing w:line="600" w:lineRule="exact"/>
        <w:ind w:firstLine="643" w:firstLineChars="200"/>
        <w:outlineLvl w:val="2"/>
        <w:rPr>
          <w:rFonts w:ascii="仿宋_GB2312" w:hAnsi="仿宋" w:eastAsia="仿宋_GB2312"/>
          <w:color w:val="000000"/>
          <w:sz w:val="32"/>
          <w:szCs w:val="32"/>
        </w:rPr>
      </w:pPr>
      <w:bookmarkStart w:id="52" w:name="_Toc15377222"/>
      <w:r>
        <w:rPr>
          <w:rFonts w:hint="eastAsia" w:ascii="仿宋_GB2312" w:hAnsi="仿宋" w:eastAsia="仿宋_GB2312"/>
          <w:b/>
          <w:color w:val="000000"/>
          <w:sz w:val="32"/>
          <w:szCs w:val="32"/>
        </w:rPr>
        <w:t>（一）机关运行经费支出情况</w:t>
      </w:r>
      <w:bookmarkEnd w:id="52"/>
    </w:p>
    <w:p w14:paraId="0E4EF808">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2018年，民宗局机关运行经费支出17.14万元，比2017年3.2增加13.94万元，增长435.62%。</w:t>
      </w:r>
      <w:r>
        <w:rPr>
          <w:rFonts w:hint="eastAsia" w:ascii="仿宋_GB2312" w:eastAsia="仿宋_GB2312"/>
          <w:color w:val="000000"/>
          <w:sz w:val="32"/>
          <w:szCs w:val="32"/>
          <w:lang w:eastAsia="zh-CN"/>
        </w:rPr>
        <w:t>主</w:t>
      </w:r>
      <w:r>
        <w:rPr>
          <w:rFonts w:hint="eastAsia" w:ascii="仿宋_GB2312" w:hAnsi="仿宋" w:eastAsia="仿宋_GB2312"/>
          <w:color w:val="000000"/>
          <w:sz w:val="32"/>
          <w:szCs w:val="32"/>
        </w:rPr>
        <w:t>要原因是因机构改革，2017年7月我局新设立。收入、支出只为半年，2018年收入、支出为一年。</w:t>
      </w:r>
    </w:p>
    <w:p w14:paraId="0AB8C4FE">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bookmarkStart w:id="53" w:name="_Toc15377223"/>
      <w:r>
        <w:rPr>
          <w:rFonts w:hint="eastAsia" w:ascii="仿宋_GB2312" w:hAnsi="仿宋" w:eastAsia="仿宋_GB2312"/>
          <w:b/>
          <w:color w:val="000000"/>
          <w:sz w:val="32"/>
          <w:szCs w:val="32"/>
        </w:rPr>
        <w:t>（二）政府采购支出情况</w:t>
      </w:r>
      <w:bookmarkEnd w:id="53"/>
    </w:p>
    <w:p w14:paraId="064D0D46">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民宗局政府采购支出总额5.4万元，其中：政府采购货物支出5.4万元、政府采购工程支出0万元、政府采购服务支出0万元。授予中小企业合同金额0万元，占政府采购支出总额的0%，其中：授予小微企业合同金额0万元，占政府采购支出总额的0%。</w:t>
      </w:r>
    </w:p>
    <w:p w14:paraId="3326914E">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p>
    <w:p w14:paraId="586E5B0D">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bookmarkStart w:id="54" w:name="_Toc15377224"/>
      <w:r>
        <w:rPr>
          <w:rFonts w:hint="eastAsia" w:ascii="仿宋_GB2312" w:hAnsi="仿宋" w:eastAsia="仿宋_GB2312"/>
          <w:b/>
          <w:color w:val="000000"/>
          <w:sz w:val="32"/>
          <w:szCs w:val="32"/>
        </w:rPr>
        <w:t>（三）国有资产占有使用情况</w:t>
      </w:r>
      <w:bookmarkEnd w:id="54"/>
    </w:p>
    <w:p w14:paraId="531C837E">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2018年12月31日，民宗局共有车辆0辆，其中：部级领导干部用车0辆、一般公务用车0辆、一般执法执勤用车0辆、特种专业技术用车0辆、其他用车0辆，单价50万元以上通用设备0台（套），单价100万元以上专用设备0台（套）。</w:t>
      </w:r>
    </w:p>
    <w:p w14:paraId="1F8CC1D4">
      <w:pPr>
        <w:widowControl/>
        <w:jc w:val="left"/>
        <w:rPr>
          <w:rFonts w:ascii="仿宋_GB2312" w:eastAsia="仿宋_GB2312"/>
          <w:b/>
          <w:color w:val="000000"/>
          <w:sz w:val="32"/>
          <w:szCs w:val="32"/>
        </w:rPr>
      </w:pPr>
      <w:r>
        <w:rPr>
          <w:rFonts w:hint="eastAsia" w:ascii="仿宋_GB2312" w:eastAsia="仿宋_GB2312"/>
          <w:b/>
          <w:color w:val="000000"/>
          <w:sz w:val="32"/>
          <w:szCs w:val="32"/>
        </w:rPr>
        <w:br w:type="page"/>
      </w:r>
    </w:p>
    <w:p w14:paraId="41271B90">
      <w:pPr>
        <w:numPr>
          <w:ilvl w:val="0"/>
          <w:numId w:val="6"/>
        </w:numPr>
        <w:spacing w:line="600" w:lineRule="exact"/>
        <w:ind w:firstLine="482" w:firstLineChars="150"/>
        <w:jc w:val="center"/>
        <w:outlineLvl w:val="0"/>
        <w:rPr>
          <w:rStyle w:val="16"/>
          <w:rFonts w:ascii="黑体" w:hAnsi="黑体" w:eastAsia="黑体"/>
          <w:b w:val="0"/>
          <w:sz w:val="32"/>
          <w:szCs w:val="32"/>
        </w:rPr>
      </w:pPr>
      <w:bookmarkStart w:id="55" w:name="_Toc15396613"/>
      <w:bookmarkStart w:id="56" w:name="_Toc15377225"/>
      <w:r>
        <w:rPr>
          <w:rFonts w:hint="eastAsia" w:ascii="黑体" w:hAnsi="黑体" w:eastAsia="黑体"/>
          <w:b/>
          <w:color w:val="000000"/>
          <w:sz w:val="32"/>
          <w:szCs w:val="32"/>
        </w:rPr>
        <w:t>名</w:t>
      </w:r>
      <w:r>
        <w:rPr>
          <w:rStyle w:val="16"/>
          <w:rFonts w:hint="eastAsia" w:ascii="黑体" w:hAnsi="黑体" w:eastAsia="黑体"/>
          <w:b w:val="0"/>
          <w:sz w:val="32"/>
          <w:szCs w:val="32"/>
        </w:rPr>
        <w:t>词解释</w:t>
      </w:r>
      <w:bookmarkEnd w:id="55"/>
      <w:bookmarkEnd w:id="56"/>
    </w:p>
    <w:p w14:paraId="45716C3D">
      <w:pPr>
        <w:spacing w:line="600" w:lineRule="exact"/>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14:paraId="4B32FB54">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14:paraId="105A2D92">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2.事业收入：指事业单位开展专业业务活动及辅助活动取得的收入。本单位无事业收。</w:t>
      </w:r>
    </w:p>
    <w:p w14:paraId="0F476033">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3.经营收入：指事业单位在专业业务活动及其辅助活动之外开展非独立核算经营活动取得的收入。本单位无经营收入。</w:t>
      </w:r>
    </w:p>
    <w:p w14:paraId="5F538CA7">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4.其他收入：指单位取得的除上述收入以外的各项收入。本单位无其他收入。</w:t>
      </w:r>
    </w:p>
    <w:p w14:paraId="41DC3C62">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429D449E">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74A561FC">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14:paraId="047FC791">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0ECFBC66">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9.一般公共服务（类）民族事务（款）行政运行（项）：指用于民族事务管理方面的支出，反映行政单位（包括实行公务员管理的事业单位）的基本支出。</w:t>
      </w:r>
    </w:p>
    <w:p w14:paraId="5BEAB8F7">
      <w:pPr>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10.社会保障和就业（类）行政单位离退休（款）未归口管理的行政单位离退休（项）：指未实行归口的行政单位（包括实行公务员管理的事业单位）开支的离退休费。</w:t>
      </w:r>
    </w:p>
    <w:p w14:paraId="14F6B98A">
      <w:pPr>
        <w:ind w:firstLine="640" w:firstLineChars="200"/>
        <w:rPr>
          <w:rFonts w:ascii="仿宋_GB2312" w:eastAsia="仿宋_GB2312"/>
          <w:color w:val="000000"/>
          <w:sz w:val="32"/>
          <w:szCs w:val="32"/>
        </w:rPr>
      </w:pPr>
      <w:r>
        <w:rPr>
          <w:rFonts w:hint="eastAsia" w:ascii="仿宋_GB2312" w:eastAsia="仿宋_GB2312"/>
          <w:color w:val="000000"/>
          <w:sz w:val="32"/>
          <w:szCs w:val="32"/>
        </w:rPr>
        <w:t>11.农林水支出（类）扶贫（款）农林基础设施建设（项）：指反映农村（包括国有农场、国有林场）扶贫开发等方面的支出，用于农村贫困地区乡村道路、住房、基本农田、水利设施、人畜饮水、生态环境保护等生产生活条件改善。。</w:t>
      </w:r>
    </w:p>
    <w:p w14:paraId="48DC6B24">
      <w:pPr>
        <w:ind w:firstLine="640" w:firstLineChars="200"/>
        <w:rPr>
          <w:rFonts w:ascii="仿宋_GB2312" w:eastAsia="仿宋_GB2312"/>
          <w:color w:val="000000"/>
          <w:sz w:val="32"/>
          <w:szCs w:val="32"/>
        </w:rPr>
      </w:pPr>
      <w:r>
        <w:rPr>
          <w:rFonts w:hint="eastAsia" w:ascii="仿宋_GB2312" w:eastAsia="仿宋_GB2312"/>
          <w:color w:val="000000"/>
          <w:sz w:val="32"/>
          <w:szCs w:val="32"/>
        </w:rPr>
        <w:t>12.住房保障支出（类）住房改革支出（款）住房公积金（项）：指反映行政事业单位用财政拨款资金和其他资金安排的住房改革支出，用于行政事业单位按人力资源和社会保障部、财政部规定的基本工资和津贴补贴及规定比例为职工缴纳的住房公积金。</w:t>
      </w:r>
    </w:p>
    <w:p w14:paraId="7EFD697D">
      <w:pPr>
        <w:ind w:firstLine="640" w:firstLineChars="200"/>
        <w:rPr>
          <w:rFonts w:ascii="仿宋_GB2312" w:eastAsia="仿宋_GB2312"/>
          <w:color w:val="000000"/>
          <w:sz w:val="32"/>
          <w:szCs w:val="32"/>
        </w:rPr>
      </w:pPr>
      <w:r>
        <w:rPr>
          <w:rFonts w:hint="eastAsia" w:ascii="仿宋_GB2312" w:eastAsia="仿宋_GB2312"/>
          <w:color w:val="000000"/>
          <w:sz w:val="32"/>
          <w:szCs w:val="32"/>
        </w:rPr>
        <w:t>13.基本支出：指为保障机构正常运转、完成日常工作任务而发生的人员支出和公用支出。</w:t>
      </w:r>
    </w:p>
    <w:p w14:paraId="2436E13E">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14.项目支出：指在基本支出之外为完成特定行政任务和事业发展目标所发生的支出。 </w:t>
      </w:r>
    </w:p>
    <w:p w14:paraId="701A9EA7">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00651DE">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6C1247">
      <w:pPr>
        <w:spacing w:line="600" w:lineRule="exact"/>
        <w:jc w:val="center"/>
        <w:outlineLvl w:val="0"/>
        <w:rPr>
          <w:rStyle w:val="16"/>
          <w:rFonts w:ascii="仿宋_GB2312" w:hAnsi="黑体" w:eastAsia="仿宋_GB2312"/>
          <w:b w:val="0"/>
          <w:sz w:val="32"/>
          <w:szCs w:val="32"/>
        </w:rPr>
      </w:pPr>
      <w:bookmarkStart w:id="57" w:name="_Toc15396614"/>
      <w:bookmarkStart w:id="58" w:name="_Toc15377226"/>
      <w:r>
        <w:rPr>
          <w:rFonts w:hint="eastAsia" w:ascii="仿宋_GB2312" w:hAnsi="黑体" w:eastAsia="仿宋_GB2312"/>
          <w:color w:val="000000"/>
          <w:sz w:val="32"/>
          <w:szCs w:val="32"/>
        </w:rPr>
        <w:t>第</w:t>
      </w:r>
      <w:r>
        <w:rPr>
          <w:rStyle w:val="16"/>
          <w:rFonts w:hint="eastAsia" w:ascii="仿宋_GB2312" w:hAnsi="黑体" w:eastAsia="仿宋_GB2312"/>
          <w:b w:val="0"/>
          <w:sz w:val="32"/>
          <w:szCs w:val="32"/>
        </w:rPr>
        <w:t>四部分 附件</w:t>
      </w:r>
      <w:bookmarkEnd w:id="57"/>
    </w:p>
    <w:p w14:paraId="6534FF7D">
      <w:pPr>
        <w:spacing w:line="600" w:lineRule="exact"/>
        <w:jc w:val="center"/>
        <w:outlineLvl w:val="0"/>
        <w:rPr>
          <w:rStyle w:val="16"/>
          <w:rFonts w:ascii="仿宋_GB2312" w:eastAsia="仿宋_GB2312"/>
          <w:sz w:val="32"/>
          <w:szCs w:val="32"/>
        </w:rPr>
      </w:pPr>
    </w:p>
    <w:p w14:paraId="75E70214">
      <w:pPr>
        <w:pStyle w:val="3"/>
        <w:rPr>
          <w:rStyle w:val="16"/>
          <w:rFonts w:ascii="仿宋_GB2312" w:hAnsi="仿宋" w:eastAsia="仿宋_GB2312"/>
          <w:b w:val="0"/>
          <w:bCs w:val="0"/>
          <w:sz w:val="32"/>
          <w:szCs w:val="32"/>
        </w:rPr>
      </w:pPr>
      <w:bookmarkStart w:id="59" w:name="_Toc15396615"/>
      <w:r>
        <w:rPr>
          <w:rStyle w:val="16"/>
          <w:rFonts w:hint="eastAsia" w:ascii="仿宋_GB2312" w:hAnsi="仿宋" w:eastAsia="仿宋_GB2312"/>
          <w:b w:val="0"/>
          <w:bCs w:val="0"/>
          <w:sz w:val="32"/>
          <w:szCs w:val="32"/>
        </w:rPr>
        <w:t>附件1</w:t>
      </w:r>
      <w:bookmarkEnd w:id="59"/>
    </w:p>
    <w:p w14:paraId="510FC529">
      <w:pPr>
        <w:spacing w:line="600" w:lineRule="exact"/>
        <w:jc w:val="center"/>
        <w:outlineLvl w:val="0"/>
        <w:rPr>
          <w:rFonts w:ascii="仿宋_GB2312" w:hAnsi="黑体" w:eastAsia="仿宋_GB2312" w:cs="方正小标宋简体"/>
          <w:sz w:val="32"/>
          <w:szCs w:val="32"/>
        </w:rPr>
      </w:pPr>
      <w:bookmarkStart w:id="60" w:name="_Toc15396616"/>
      <w:r>
        <w:rPr>
          <w:rFonts w:hint="eastAsia" w:ascii="仿宋_GB2312" w:hAnsi="黑体" w:eastAsia="仿宋_GB2312" w:cs="方正小标宋简体"/>
          <w:sz w:val="32"/>
          <w:szCs w:val="32"/>
        </w:rPr>
        <w:t>米易县民族宗教事务局2018年部门整体支出绩效自评报告</w:t>
      </w:r>
      <w:bookmarkEnd w:id="60"/>
    </w:p>
    <w:p w14:paraId="661DEC72">
      <w:pPr>
        <w:spacing w:line="580" w:lineRule="exact"/>
        <w:ind w:firstLine="640" w:firstLineChars="200"/>
        <w:rPr>
          <w:rFonts w:ascii="仿宋_GB2312" w:hAnsi="黑体" w:eastAsia="仿宋_GB2312" w:cs="黑体"/>
          <w:sz w:val="32"/>
          <w:szCs w:val="32"/>
        </w:rPr>
      </w:pPr>
    </w:p>
    <w:p w14:paraId="01B8F4BE">
      <w:pPr>
        <w:spacing w:line="58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一、部门（单位）概况</w:t>
      </w:r>
    </w:p>
    <w:p w14:paraId="0F49F178">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（一）机构组成。</w:t>
      </w:r>
    </w:p>
    <w:p w14:paraId="1155EAC4">
      <w:pPr>
        <w:widowControl/>
        <w:adjustRightInd w:val="0"/>
        <w:snapToGrid w:val="0"/>
        <w:spacing w:line="540" w:lineRule="exact"/>
        <w:ind w:firstLine="720"/>
        <w:jc w:val="left"/>
        <w:rPr>
          <w:rFonts w:ascii="仿宋_GB2312" w:eastAsia="仿宋_GB2312" w:cs="宋体" w:hAnsiTheme="majorEastAsia"/>
          <w:b/>
          <w:color w:val="000000"/>
          <w:kern w:val="0"/>
          <w:sz w:val="32"/>
          <w:szCs w:val="32"/>
          <w:shd w:val="clear" w:color="auto" w:fill="FFFFFF"/>
          <w:lang w:val="zh-CN"/>
        </w:rPr>
      </w:pPr>
      <w:r>
        <w:rPr>
          <w:rFonts w:hint="eastAsia" w:ascii="仿宋_GB2312" w:eastAsia="仿宋_GB2312" w:hAnsiTheme="majorEastAsia"/>
          <w:sz w:val="32"/>
          <w:szCs w:val="32"/>
        </w:rPr>
        <w:t>米易县民族宗教事务局内设机构四个，分别为：办公室、民族事务股、经济发展股、宗教股。</w:t>
      </w:r>
    </w:p>
    <w:p w14:paraId="64A444C2">
      <w:pPr>
        <w:spacing w:line="580" w:lineRule="exact"/>
        <w:ind w:firstLine="640" w:firstLineChars="200"/>
        <w:rPr>
          <w:rFonts w:ascii="仿宋_GB2312" w:hAnsi="仿宋" w:eastAsia="仿宋_GB2312" w:cs="仿宋_GB2312"/>
          <w:sz w:val="32"/>
          <w:szCs w:val="32"/>
        </w:rPr>
      </w:pPr>
    </w:p>
    <w:p w14:paraId="44422C91">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（二）机构职能。</w:t>
      </w:r>
    </w:p>
    <w:p w14:paraId="2565CF7E">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1、贯彻执行党和政府关于民族、宗教工作的法律法规和方针政策。</w:t>
      </w:r>
    </w:p>
    <w:p w14:paraId="41636A08">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2、组织开展民族宗教理论、民族宗教政策和民族宗教工作等重大课题的调查研究，提出有关民族宗教工作的政策建议。</w:t>
      </w:r>
    </w:p>
    <w:p w14:paraId="6D645AD2">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3、推进宗教界开展爱国主义、社会主义、拥护祖国统一和民族团结的自我教育，会同协调处理民族关系中的重大事项，促进各民族间的平等团结、互助合作，维护祖国统一和社会稳定。</w:t>
      </w:r>
    </w:p>
    <w:p w14:paraId="4C446AD7">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拟定民族地区经济社会发展规划，研究提出民族地区经济发展的有关问题并提出特殊政策建议；参与协调民族地区科技发展、对口支援、经济技术合作、民族贸易和移民、扶贫开发等相关工作；监督检查“三州”开发资金和支援不发达地区发展资金管理工作，研究提出少数民族和民族地区有关专项资金的分配与使用建议。</w:t>
      </w:r>
    </w:p>
    <w:p w14:paraId="59FF4774">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5、负责民族宗教政策、法规的宣传教育工作并监督实施。</w:t>
      </w:r>
    </w:p>
    <w:p w14:paraId="1DFFAC65">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6、研究少数民族和民族地区教育、文化、科技、卫生、体育、计划生育、新闻出版等方面的特殊问题，提出相关建议，并承办相应事务。</w:t>
      </w:r>
    </w:p>
    <w:p w14:paraId="3087322B">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7、组织全县少数民族权益状况的调查研究，监督和办理少数民族权益保障事宜。</w:t>
      </w:r>
    </w:p>
    <w:p w14:paraId="34B9F577">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8、参与拟定全县少数民族干部和人才队伍建设规划，联系少数民族干部，协助有关部门做好少数民族干部和人才的培养教育及推荐使用工作；组织和承办全县民族团结进步创建活动。</w:t>
      </w:r>
    </w:p>
    <w:p w14:paraId="715A70C7">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9、负责民族工作领域的对外交流与合作，开展少数民族和民族地区的对外宣传；组织、接待少数民族学习、参观、考察等事宜。支持、帮助宗教界开展对外和对香港、澳门、台湾地区的友好交流活动。</w:t>
      </w:r>
    </w:p>
    <w:p w14:paraId="4D44EB1E">
      <w:pPr>
        <w:snapToGrid w:val="0"/>
        <w:spacing w:line="560" w:lineRule="exact"/>
        <w:ind w:firstLine="640" w:firstLineChars="200"/>
        <w:rPr>
          <w:rFonts w:ascii="仿宋_GB2312" w:hAnsi="仿宋" w:eastAsia="仿宋_GB2312"/>
          <w:sz w:val="32"/>
          <w:szCs w:val="32"/>
        </w:rPr>
      </w:pPr>
      <w:r>
        <w:rPr>
          <w:rFonts w:hint="eastAsia" w:ascii="仿宋_GB2312" w:eastAsia="仿宋_GB2312"/>
          <w:sz w:val="32"/>
          <w:szCs w:val="32"/>
        </w:rPr>
        <w:t>10、承办县委、县政府交办的其他事项。</w:t>
      </w:r>
    </w:p>
    <w:p w14:paraId="19A80001">
      <w:pPr>
        <w:spacing w:line="580" w:lineRule="exact"/>
        <w:ind w:firstLine="640" w:firstLineChars="200"/>
        <w:rPr>
          <w:rFonts w:ascii="仿宋_GB2312" w:hAnsi="仿宋" w:eastAsia="仿宋_GB2312" w:cs="仿宋_GB2312"/>
          <w:sz w:val="32"/>
          <w:szCs w:val="32"/>
        </w:rPr>
      </w:pPr>
    </w:p>
    <w:p w14:paraId="38086BD3">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（三）人员概况。</w:t>
      </w:r>
    </w:p>
    <w:p w14:paraId="4BB6A551">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1、机构人员编制情况</w:t>
      </w:r>
    </w:p>
    <w:p w14:paraId="29CDD3CB">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我局行政编制人员8名，事业编制3人，机关工勤人员编制1名。</w:t>
      </w:r>
    </w:p>
    <w:p w14:paraId="0E2983D2">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2、实有人员情况</w:t>
      </w:r>
    </w:p>
    <w:p w14:paraId="7DF51C29">
      <w:pPr>
        <w:widowControl/>
        <w:adjustRightInd w:val="0"/>
        <w:snapToGrid w:val="0"/>
        <w:spacing w:line="540" w:lineRule="exact"/>
        <w:ind w:firstLine="720"/>
        <w:jc w:val="left"/>
        <w:rPr>
          <w:rFonts w:ascii="仿宋_GB2312" w:hAnsi="宋体" w:eastAsia="仿宋_GB2312" w:cs="宋体"/>
          <w:b/>
          <w:color w:val="000000"/>
          <w:kern w:val="0"/>
          <w:sz w:val="32"/>
          <w:szCs w:val="32"/>
          <w:shd w:val="clear" w:color="auto" w:fill="FFFFFF"/>
          <w:lang w:val="zh-CN"/>
        </w:rPr>
      </w:pPr>
      <w:r>
        <w:rPr>
          <w:rFonts w:hint="eastAsia" w:ascii="仿宋_GB2312" w:hAnsi="仿宋" w:eastAsia="仿宋_GB2312"/>
          <w:sz w:val="32"/>
          <w:szCs w:val="32"/>
        </w:rPr>
        <w:t>2018年我局实有人员20人，行政在职人员8人，事业在职人员4人，临聘人员1人，退休人员7人。</w:t>
      </w:r>
    </w:p>
    <w:p w14:paraId="67BE1E81">
      <w:pPr>
        <w:spacing w:line="580" w:lineRule="exact"/>
        <w:ind w:firstLine="640" w:firstLineChars="200"/>
        <w:rPr>
          <w:rFonts w:ascii="仿宋_GB2312" w:hAnsi="仿宋" w:eastAsia="仿宋_GB2312" w:cs="仿宋_GB2312"/>
          <w:sz w:val="32"/>
          <w:szCs w:val="32"/>
        </w:rPr>
      </w:pPr>
    </w:p>
    <w:p w14:paraId="6E1B3ABB">
      <w:pPr>
        <w:spacing w:line="58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二、部门财政资金收支情况</w:t>
      </w:r>
    </w:p>
    <w:p w14:paraId="4A647BF8">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（一）部门财政资金收入情况。</w:t>
      </w:r>
    </w:p>
    <w:p w14:paraId="1525FFB1">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2017年财政拨款收入为12,694,483.13元。其中项目收入为10,582,849.23元，基本收入为2,111,633.90元。项目收入为民族工作专项2,778,459.23元，其他民族事务支出为948,657.45元，其他宗教事务支出为200,000.00元。城乡社区支出4,625,732.55元，农林水支出2,030,000.00元。</w:t>
      </w:r>
    </w:p>
    <w:p w14:paraId="3470091D">
      <w:pPr>
        <w:spacing w:line="580" w:lineRule="exact"/>
        <w:ind w:firstLine="640" w:firstLineChars="200"/>
        <w:rPr>
          <w:rFonts w:ascii="仿宋_GB2312" w:hAnsi="仿宋" w:eastAsia="仿宋_GB2312" w:cs="仿宋_GB2312"/>
          <w:sz w:val="32"/>
          <w:szCs w:val="32"/>
        </w:rPr>
      </w:pPr>
    </w:p>
    <w:p w14:paraId="49F7A5AB">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（二）部门财政资金支出情况。</w:t>
      </w:r>
    </w:p>
    <w:p w14:paraId="5936776A">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我单位2018年财政资金支出为11,689,483.13元。</w:t>
      </w:r>
    </w:p>
    <w:p w14:paraId="7699D0BC">
      <w:pPr>
        <w:widowControl/>
        <w:adjustRightInd w:val="0"/>
        <w:snapToGrid w:val="0"/>
        <w:spacing w:line="540" w:lineRule="exact"/>
        <w:ind w:firstLine="1200" w:firstLineChars="375"/>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1、基本支出为2,111,633.90元。其中行政运行支出1,184,754.04元，事业运行支出482,953.00元，  机关事业单位基本养老保险缴费支出182,422.86元，未归口管理的行政单位离退休65,700.00元，住房公积金支195,804.00元 。 </w:t>
      </w:r>
    </w:p>
    <w:p w14:paraId="4D6557A9">
      <w:pPr>
        <w:widowControl/>
        <w:adjustRightInd w:val="0"/>
        <w:snapToGrid w:val="0"/>
        <w:spacing w:line="540" w:lineRule="exact"/>
        <w:ind w:firstLine="1200" w:firstLineChars="375"/>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2、项目支出为9,577,849.23元。其中民族工作专项支出2,178,459.23元，其他民族事务支出648,657.45元，其他宗教事务支出200,000.00元，城乡社区支出4,625,732.55元，农林水支出1,925,000.00元。</w:t>
      </w:r>
    </w:p>
    <w:p w14:paraId="575A1333">
      <w:pPr>
        <w:widowControl/>
        <w:adjustRightInd w:val="0"/>
        <w:snapToGrid w:val="0"/>
        <w:spacing w:line="540" w:lineRule="exact"/>
        <w:ind w:firstLine="1200" w:firstLineChars="375"/>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3、结转结余资金为2,325,000.00元。其中民族工作专项结转结余1,720,000.00元，其他民族事务支出结转结余500,000.00元，农林水支出105,000.00元。</w:t>
      </w:r>
    </w:p>
    <w:p w14:paraId="377C6F67">
      <w:pPr>
        <w:spacing w:line="580" w:lineRule="exact"/>
        <w:ind w:firstLine="640" w:firstLineChars="200"/>
        <w:rPr>
          <w:rFonts w:ascii="仿宋_GB2312" w:hAnsi="仿宋" w:eastAsia="仿宋_GB2312" w:cs="仿宋_GB2312"/>
          <w:sz w:val="32"/>
          <w:szCs w:val="32"/>
        </w:rPr>
      </w:pPr>
    </w:p>
    <w:p w14:paraId="06BFC6CD">
      <w:pPr>
        <w:spacing w:line="58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三、部门整体预算绩效管理情况（根据适用指标体系进行调整）</w:t>
      </w:r>
    </w:p>
    <w:p w14:paraId="4BF2CC67">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（一）部门预算管理。</w:t>
      </w:r>
    </w:p>
    <w:p w14:paraId="16D1D064">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2018年我单位严格按照财政部门的要求编制本部门预算，依据人社局的工资审核表和财政部门的预算口径编制基本支出。</w:t>
      </w:r>
    </w:p>
    <w:p w14:paraId="61884A0E">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基本支出方面逐月发放职工工资，按时缴纳职工机关事业单位基本养老保险、其他社会保障性缴费、住房公积金等各项人员经费，严格分解使用本单位的公用经费，把好审核关，把本单位的公用经费支出按制在规定的范围内。</w:t>
      </w:r>
    </w:p>
    <w:p w14:paraId="13B098F5">
      <w:pPr>
        <w:ind w:firstLine="640" w:firstLineChars="200"/>
        <w:jc w:val="left"/>
        <w:rPr>
          <w:rFonts w:ascii="仿宋_GB2312" w:eastAsia="仿宋_GB2312" w:hAnsiTheme="majorEastAsia"/>
          <w:sz w:val="32"/>
          <w:szCs w:val="32"/>
        </w:rPr>
      </w:pPr>
      <w:r>
        <w:rPr>
          <w:rFonts w:hint="eastAsia" w:ascii="仿宋_GB2312" w:eastAsia="仿宋_GB2312" w:hAnsiTheme="majorEastAsia"/>
          <w:sz w:val="32"/>
          <w:szCs w:val="32"/>
        </w:rPr>
        <w:t>2018年县财政下达给我局基本支出预算指标为2261551.52元，其中行政运行为：年初下达1168961.52元，因增资等原因追加28632元，全年共下达</w:t>
      </w:r>
      <w:r>
        <w:rPr>
          <w:rFonts w:hint="eastAsia" w:ascii="仿宋_GB2312" w:eastAsia="仿宋_GB2312" w:hAnsiTheme="majorEastAsia"/>
          <w:b/>
          <w:sz w:val="32"/>
          <w:szCs w:val="32"/>
        </w:rPr>
        <w:t>1140329.52</w:t>
      </w:r>
      <w:r>
        <w:rPr>
          <w:rFonts w:hint="eastAsia" w:ascii="仿宋_GB2312" w:eastAsia="仿宋_GB2312" w:hAnsiTheme="majorEastAsia"/>
          <w:sz w:val="32"/>
          <w:szCs w:val="32"/>
        </w:rPr>
        <w:t>元事业运行为：年初预算下达475095元，因增资等原因追加7858元，全年共计下达</w:t>
      </w:r>
      <w:r>
        <w:rPr>
          <w:rFonts w:hint="eastAsia" w:ascii="仿宋_GB2312" w:eastAsia="仿宋_GB2312" w:hAnsiTheme="majorEastAsia"/>
          <w:b/>
          <w:sz w:val="32"/>
          <w:szCs w:val="32"/>
        </w:rPr>
        <w:t>482953</w:t>
      </w:r>
      <w:r>
        <w:rPr>
          <w:rFonts w:hint="eastAsia" w:ascii="仿宋_GB2312" w:eastAsia="仿宋_GB2312" w:hAnsiTheme="majorEastAsia"/>
          <w:sz w:val="32"/>
          <w:szCs w:val="32"/>
        </w:rPr>
        <w:t>元，行政单位离退休人员支出为：73744元，因成果共享奖增加追加指标7000元，全年共下达</w:t>
      </w:r>
      <w:r>
        <w:rPr>
          <w:rFonts w:hint="eastAsia" w:ascii="仿宋_GB2312" w:eastAsia="仿宋_GB2312" w:hAnsiTheme="majorEastAsia"/>
          <w:b/>
          <w:sz w:val="32"/>
          <w:szCs w:val="32"/>
        </w:rPr>
        <w:t>80744</w:t>
      </w:r>
      <w:r>
        <w:rPr>
          <w:rFonts w:hint="eastAsia" w:ascii="仿宋_GB2312" w:eastAsia="仿宋_GB2312" w:hAnsiTheme="majorEastAsia"/>
          <w:sz w:val="32"/>
          <w:szCs w:val="32"/>
        </w:rPr>
        <w:t>元，机关事业单位基本养老保险缴费为：183213元，因人员增资追加1260元，全年共下达指标</w:t>
      </w:r>
      <w:r>
        <w:rPr>
          <w:rFonts w:hint="eastAsia" w:ascii="仿宋_GB2312" w:eastAsia="仿宋_GB2312" w:hAnsiTheme="majorEastAsia"/>
          <w:b/>
          <w:sz w:val="32"/>
          <w:szCs w:val="32"/>
        </w:rPr>
        <w:t>184473</w:t>
      </w:r>
      <w:r>
        <w:rPr>
          <w:rFonts w:hint="eastAsia" w:ascii="仿宋_GB2312" w:eastAsia="仿宋_GB2312" w:hAnsiTheme="majorEastAsia"/>
          <w:sz w:val="32"/>
          <w:szCs w:val="32"/>
        </w:rPr>
        <w:t>元，住房公积金支出为：</w:t>
      </w:r>
      <w:r>
        <w:rPr>
          <w:rFonts w:hint="eastAsia" w:ascii="仿宋_GB2312" w:eastAsia="仿宋_GB2312" w:hAnsiTheme="majorEastAsia"/>
          <w:b/>
          <w:sz w:val="32"/>
          <w:szCs w:val="32"/>
        </w:rPr>
        <w:t>195804</w:t>
      </w:r>
      <w:r>
        <w:rPr>
          <w:rFonts w:hint="eastAsia" w:ascii="仿宋_GB2312" w:eastAsia="仿宋_GB2312" w:hAnsiTheme="majorEastAsia"/>
          <w:sz w:val="32"/>
          <w:szCs w:val="32"/>
        </w:rPr>
        <w:t>元。日常公用支出为：</w:t>
      </w:r>
      <w:r>
        <w:rPr>
          <w:rFonts w:hint="eastAsia" w:ascii="仿宋_GB2312" w:eastAsia="仿宋_GB2312" w:hAnsiTheme="majorEastAsia"/>
          <w:b/>
          <w:sz w:val="32"/>
          <w:szCs w:val="32"/>
        </w:rPr>
        <w:t>177248</w:t>
      </w:r>
      <w:r>
        <w:rPr>
          <w:rFonts w:hint="eastAsia" w:ascii="仿宋_GB2312" w:eastAsia="仿宋_GB2312" w:hAnsiTheme="majorEastAsia"/>
          <w:sz w:val="32"/>
          <w:szCs w:val="32"/>
        </w:rPr>
        <w:t>元。年底所有指标均按规定全部分解使用。</w:t>
      </w:r>
    </w:p>
    <w:p w14:paraId="3C24C4D7">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rPr>
      </w:pPr>
    </w:p>
    <w:p w14:paraId="15935D25">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因本局注重财政资金的使用，财政资金的效益得到有效的发挥我局的工作也取得了一定的成绩。</w:t>
      </w:r>
    </w:p>
    <w:p w14:paraId="28EE37F1">
      <w:pPr>
        <w:snapToGrid w:val="0"/>
        <w:spacing w:line="520" w:lineRule="exact"/>
        <w:ind w:firstLine="640" w:firstLineChars="200"/>
        <w:rPr>
          <w:rFonts w:ascii="仿宋_GB2312" w:eastAsia="仿宋_GB2312"/>
          <w:kern w:val="0"/>
          <w:sz w:val="32"/>
          <w:szCs w:val="32"/>
        </w:rPr>
      </w:pPr>
      <w:r>
        <w:rPr>
          <w:rFonts w:hint="eastAsia" w:ascii="仿宋_GB2312" w:hAnsi="方正楷体_GBK" w:eastAsia="仿宋_GB2312" w:cs="方正楷体_GBK"/>
          <w:bCs/>
          <w:kern w:val="0"/>
          <w:sz w:val="32"/>
          <w:szCs w:val="32"/>
        </w:rPr>
        <w:t>打好一系列创建工作组合拳,</w:t>
      </w:r>
      <w:r>
        <w:rPr>
          <w:rFonts w:hint="eastAsia" w:ascii="仿宋_GB2312" w:eastAsia="仿宋_GB2312"/>
          <w:kern w:val="0"/>
          <w:sz w:val="32"/>
          <w:szCs w:val="32"/>
        </w:rPr>
        <w:t>开设全国民族团结进步示范创建宣传专栏，全县张贴宣传标语 3000 余条，悬挂横幅 1000 余条，发放学习资料 9800 余份；印制了《米易县全国民族团结进步示范县创建活动学习读本》作为全县创建活动基本教材，购买关于彝、傈僳、回族三大主体少数民族书籍500余册，向少数民族乡镇、学校和信教群众发放，为各创建单位配送《民族杂志》200余册，制作勺子、纸杯等宣传品6万份。</w:t>
      </w:r>
    </w:p>
    <w:p w14:paraId="55DF89D3">
      <w:pPr>
        <w:snapToGrid w:val="0"/>
        <w:spacing w:line="520" w:lineRule="exact"/>
        <w:ind w:firstLine="640" w:firstLineChars="200"/>
        <w:rPr>
          <w:rFonts w:ascii="仿宋_GB2312" w:eastAsia="仿宋_GB2312"/>
          <w:kern w:val="0"/>
          <w:sz w:val="32"/>
          <w:szCs w:val="32"/>
        </w:rPr>
      </w:pPr>
      <w:r>
        <w:rPr>
          <w:rFonts w:hint="eastAsia" w:ascii="仿宋_GB2312" w:hAnsi="方正楷体_GBK" w:eastAsia="仿宋_GB2312" w:cs="方正楷体_GBK"/>
          <w:bCs/>
          <w:kern w:val="0"/>
          <w:sz w:val="32"/>
          <w:szCs w:val="32"/>
        </w:rPr>
        <w:t>举办一系列民族团结多彩米易综合宣传活动。</w:t>
      </w:r>
      <w:r>
        <w:rPr>
          <w:rFonts w:hint="eastAsia" w:ascii="仿宋_GB2312" w:eastAsia="仿宋_GB2312"/>
          <w:kern w:val="0"/>
          <w:sz w:val="32"/>
          <w:szCs w:val="32"/>
        </w:rPr>
        <w:t>一是举办主题为“火把照亮奔康路、篝火温暖感恩心”的2018年火把节活动。二是大力开展少数民族传统文化挖掘和传承工作。创作一批民族文化作品，制作《梦回马鹿寨》《迷彝酒歌》等2首原创民族歌曲的MV。三是抓好第十五届省民运会押加项目训练和比赛工作，精心为运动员做好食宿和其他后勤保障工作，圆满完成了各项赛程，取得了参赛项目均获第二名以上等次好成绩。</w:t>
      </w:r>
    </w:p>
    <w:p w14:paraId="5C40C682">
      <w:pPr>
        <w:snapToGrid w:val="0"/>
        <w:spacing w:line="520" w:lineRule="exact"/>
        <w:ind w:firstLine="640" w:firstLineChars="200"/>
        <w:rPr>
          <w:rFonts w:ascii="仿宋_GB2312" w:eastAsia="仿宋_GB2312"/>
          <w:kern w:val="0"/>
          <w:sz w:val="32"/>
          <w:szCs w:val="32"/>
        </w:rPr>
      </w:pPr>
      <w:r>
        <w:rPr>
          <w:rFonts w:hint="eastAsia" w:ascii="仿宋_GB2312" w:eastAsia="仿宋_GB2312"/>
          <w:kern w:val="0"/>
          <w:sz w:val="32"/>
          <w:szCs w:val="32"/>
        </w:rPr>
        <w:t>落实《米易县宗教教职人员考核办法》，对教职人员开展年度考核，兑现宗教教职人员基本生活和医疗困难补助20万元、县伊协工作经费3万元。</w:t>
      </w:r>
    </w:p>
    <w:p w14:paraId="70C1AC56">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（二）专项预算管理。</w:t>
      </w:r>
    </w:p>
    <w:p w14:paraId="116151AF">
      <w:pPr>
        <w:widowControl/>
        <w:adjustRightInd w:val="0"/>
        <w:snapToGrid w:val="0"/>
        <w:spacing w:line="540" w:lineRule="exact"/>
        <w:ind w:firstLine="720"/>
        <w:jc w:val="left"/>
        <w:rPr>
          <w:rFonts w:ascii="仿宋_GB2312" w:hAnsi="仿宋" w:eastAsia="仿宋_GB2312"/>
          <w:sz w:val="32"/>
          <w:szCs w:val="32"/>
        </w:rPr>
      </w:pPr>
      <w:r>
        <w:rPr>
          <w:rFonts w:hint="eastAsia" w:ascii="仿宋_GB2312" w:hAnsi="仿宋" w:eastAsia="仿宋_GB2312"/>
          <w:sz w:val="32"/>
          <w:szCs w:val="32"/>
        </w:rPr>
        <w:t>项目资金的预算，</w:t>
      </w:r>
      <w:r>
        <w:rPr>
          <w:rFonts w:hint="eastAsia" w:ascii="仿宋_GB2312" w:hAnsi="仿宋" w:eastAsia="仿宋_GB2312" w:cs="宋体"/>
          <w:kern w:val="0"/>
          <w:sz w:val="32"/>
          <w:szCs w:val="32"/>
        </w:rPr>
        <w:t>提出具体的项目、目标和实施计划，并对申报的项目进行严格的可行性研究和评审，</w:t>
      </w:r>
      <w:r>
        <w:rPr>
          <w:rFonts w:hint="eastAsia" w:ascii="仿宋_GB2312" w:hAnsi="仿宋" w:eastAsia="仿宋_GB2312"/>
          <w:sz w:val="32"/>
          <w:szCs w:val="32"/>
        </w:rPr>
        <w:t>细化项目支出内容，提供准确的项目支撑依据，确保我局预算数据的完整和准确无误</w:t>
      </w:r>
    </w:p>
    <w:p w14:paraId="75D365D8">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项目支出方面严格按照四川省三洲开发资、四川省少数民族发展资金、财政扶贫资金、攀枝花市市级少数民族发展资金等管理办法的规定拨付项目资金，督促项目的实施，做好项目的检查验收工作。</w:t>
      </w:r>
    </w:p>
    <w:p w14:paraId="10F074AC">
      <w:pPr>
        <w:ind w:firstLine="640" w:firstLineChars="200"/>
        <w:jc w:val="left"/>
        <w:rPr>
          <w:rFonts w:ascii="仿宋_GB2312" w:hAnsi="Arial" w:eastAsia="仿宋_GB2312" w:cs="Arial"/>
          <w:color w:val="000000"/>
          <w:kern w:val="0"/>
          <w:sz w:val="32"/>
          <w:szCs w:val="32"/>
        </w:rPr>
      </w:pPr>
      <w:r>
        <w:rPr>
          <w:rFonts w:hint="eastAsia" w:ascii="仿宋_GB2312" w:eastAsia="仿宋_GB2312" w:hAnsiTheme="majorEastAsia"/>
          <w:sz w:val="32"/>
          <w:szCs w:val="32"/>
        </w:rPr>
        <w:t>2018年项目支出县财政下达指标15，034，016.74元，其中民族专项为4，020，000元，其他民族事务支出为</w:t>
      </w:r>
      <w:r>
        <w:rPr>
          <w:rFonts w:hint="eastAsia" w:ascii="仿宋_GB2312" w:hAnsi="Arial" w:eastAsia="仿宋_GB2312" w:cs="Arial"/>
          <w:color w:val="000000"/>
          <w:kern w:val="0"/>
          <w:sz w:val="32"/>
          <w:szCs w:val="32"/>
        </w:rPr>
        <w:t>8,784,016.74元，其他宗教事务200，000元，农林水支出为2，030，000元。年底财政科目调整，把其他民族事务支出中的7，335，359.29元调整为城乡社区支出，年底其他民族事务支出预算数调整为1，448，657.45元。所有的项目资金均按工程的进度要求给予支付。</w:t>
      </w:r>
    </w:p>
    <w:p w14:paraId="71154ECA">
      <w:pPr>
        <w:snapToGrid w:val="0"/>
        <w:spacing w:line="520" w:lineRule="exact"/>
        <w:ind w:firstLine="640" w:firstLineChars="200"/>
        <w:rPr>
          <w:rFonts w:ascii="仿宋_GB2312" w:eastAsia="仿宋_GB2312"/>
          <w:kern w:val="0"/>
          <w:sz w:val="32"/>
          <w:szCs w:val="32"/>
        </w:rPr>
      </w:pPr>
      <w:r>
        <w:rPr>
          <w:rFonts w:hint="eastAsia" w:ascii="仿宋_GB2312" w:hAnsi="宋体" w:eastAsia="仿宋_GB2312" w:cs="宋体"/>
          <w:color w:val="000000"/>
          <w:kern w:val="0"/>
          <w:sz w:val="32"/>
          <w:szCs w:val="32"/>
          <w:shd w:val="clear" w:color="auto" w:fill="FFFFFF"/>
        </w:rPr>
        <w:t xml:space="preserve">  由于注重项目资金管理使用，2018年我局的专项管理工作取得了较好的成绩，</w:t>
      </w:r>
      <w:r>
        <w:rPr>
          <w:rFonts w:hint="eastAsia" w:ascii="仿宋_GB2312" w:hAnsi="方正楷体_GBK" w:eastAsia="仿宋_GB2312" w:cs="方正楷体_GBK"/>
          <w:bCs/>
          <w:kern w:val="0"/>
          <w:sz w:val="32"/>
          <w:szCs w:val="32"/>
        </w:rPr>
        <w:t>充实一个两资项目动态管理库，</w:t>
      </w:r>
      <w:r>
        <w:rPr>
          <w:rFonts w:hint="eastAsia" w:ascii="仿宋_GB2312" w:eastAsia="仿宋_GB2312"/>
          <w:kern w:val="0"/>
          <w:sz w:val="32"/>
          <w:szCs w:val="32"/>
        </w:rPr>
        <w:t>保证数据库库存项目达 100 个以上，开展2018年项目库收集整理完善工作，入库的涉及产业发展、基础设施、社会事业等项目80个，项目总投资金达12988万元，申请补助民族资金7751万元，</w:t>
      </w:r>
      <w:r>
        <w:rPr>
          <w:rFonts w:hint="eastAsia" w:ascii="仿宋_GB2312" w:hAnsi="方正楷体_GBK" w:eastAsia="仿宋_GB2312" w:cs="方正楷体_GBK"/>
          <w:bCs/>
          <w:kern w:val="0"/>
          <w:sz w:val="32"/>
          <w:szCs w:val="32"/>
        </w:rPr>
        <w:t>开展两资项目巡察。</w:t>
      </w:r>
      <w:r>
        <w:rPr>
          <w:rFonts w:hint="eastAsia" w:ascii="仿宋_GB2312" w:eastAsia="仿宋_GB2312"/>
          <w:kern w:val="0"/>
          <w:sz w:val="32"/>
          <w:szCs w:val="32"/>
        </w:rPr>
        <w:t>2018年，省市支持米易的省市民族资金项目16个、622万元。其中工程建设类项目14个，已完工12个，拨付资金344.85万元，剩余2</w:t>
      </w:r>
      <w:r>
        <w:rPr>
          <w:rFonts w:hint="eastAsia" w:ascii="仿宋_GB2312" w:eastAsia="仿宋_GB2312"/>
          <w:color w:val="000000"/>
          <w:kern w:val="0"/>
          <w:sz w:val="32"/>
          <w:szCs w:val="32"/>
        </w:rPr>
        <w:t>个</w:t>
      </w:r>
      <w:r>
        <w:rPr>
          <w:rFonts w:hint="eastAsia" w:ascii="仿宋_GB2312" w:eastAsia="仿宋_GB2312"/>
          <w:kern w:val="0"/>
          <w:sz w:val="32"/>
          <w:szCs w:val="32"/>
        </w:rPr>
        <w:t>项目正按进度有序推进，预计2019年2月底完工。</w:t>
      </w:r>
    </w:p>
    <w:p w14:paraId="7233E5EE">
      <w:pPr>
        <w:spacing w:line="580" w:lineRule="exact"/>
        <w:ind w:firstLine="640" w:firstLineChars="200"/>
        <w:rPr>
          <w:rFonts w:ascii="仿宋_GB2312" w:hAnsi="仿宋" w:eastAsia="仿宋_GB2312"/>
          <w:sz w:val="32"/>
          <w:szCs w:val="32"/>
        </w:rPr>
      </w:pPr>
    </w:p>
    <w:p w14:paraId="7A1C31B6">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（三）结果应用情况。</w:t>
      </w:r>
    </w:p>
    <w:p w14:paraId="6B57BA10">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我局对本部门的项目绩效目标和部门整体绩效目标自评工作高度重视，本着真实、全面的原则，认真开展本部门的自评工作并将自评结果在相关的网站进行了公示公开。此项工作的开展，使干部职工的管理意识得到了进一步提升，自评的质量也进一步提高。</w:t>
      </w:r>
    </w:p>
    <w:p w14:paraId="03B7D8FA">
      <w:pPr>
        <w:spacing w:line="58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四、评价结论及建议</w:t>
      </w:r>
    </w:p>
    <w:p w14:paraId="72FCB9A4">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（一）评价结论。</w:t>
      </w:r>
    </w:p>
    <w:p w14:paraId="610E5A47">
      <w:pPr>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综上所述我局不管是在资金预算编制方面，还是预算执行、综合管理、整体绩效方面，都按相关规定严格执行，并合理安排项目，使财政资金发辉最大的效益。所以我局总体评价为优。其中在预算编制方面得分24分，预算执行方面得分34分，支出绩效方面自评得分37分，合计总得分95分。</w:t>
      </w:r>
    </w:p>
    <w:p w14:paraId="6296C1CC">
      <w:pPr>
        <w:spacing w:line="580" w:lineRule="exact"/>
        <w:ind w:firstLine="640" w:firstLineChars="200"/>
        <w:rPr>
          <w:rFonts w:ascii="仿宋_GB2312" w:hAnsi="仿宋" w:eastAsia="仿宋_GB2312" w:cs="仿宋_GB2312"/>
          <w:sz w:val="32"/>
          <w:szCs w:val="32"/>
        </w:rPr>
      </w:pPr>
    </w:p>
    <w:p w14:paraId="14FED39C">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（二）存在问题。</w:t>
      </w:r>
    </w:p>
    <w:p w14:paraId="5670ED22">
      <w:pPr>
        <w:spacing w:line="580" w:lineRule="exact"/>
        <w:ind w:firstLine="640" w:firstLineChars="200"/>
        <w:rPr>
          <w:rFonts w:ascii="仿宋_GB2312" w:hAnsi="仿宋" w:eastAsia="仿宋_GB2312" w:cs="仿宋_GB2312"/>
          <w:sz w:val="32"/>
          <w:szCs w:val="32"/>
        </w:rPr>
      </w:pPr>
      <w:r>
        <w:rPr>
          <w:rFonts w:hint="eastAsia" w:ascii="仿宋_GB2312" w:hAnsi="楷体" w:eastAsia="仿宋_GB2312" w:cs="宋体"/>
          <w:color w:val="000000"/>
          <w:kern w:val="0"/>
          <w:sz w:val="32"/>
          <w:szCs w:val="32"/>
          <w:shd w:val="clear" w:color="auto" w:fill="FFFFFF"/>
          <w:lang w:val="zh-CN"/>
        </w:rPr>
        <w:t>一是在绩效目标编制上还不够完整；二是在资金的执行管理上还存在滞后的情况；三是部门预算绩效评价自评工作不够积极，四是项目效果不是很明显</w:t>
      </w:r>
    </w:p>
    <w:p w14:paraId="790AAF2D">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（三）改进建议。</w:t>
      </w:r>
    </w:p>
    <w:p w14:paraId="161E06D3">
      <w:pPr>
        <w:widowControl/>
        <w:adjustRightInd w:val="0"/>
        <w:snapToGrid w:val="0"/>
        <w:spacing w:line="540" w:lineRule="exact"/>
        <w:ind w:firstLine="720"/>
        <w:jc w:val="left"/>
        <w:rPr>
          <w:rFonts w:ascii="仿宋_GB2312" w:hAnsi="楷体" w:eastAsia="仿宋_GB2312" w:cs="宋体"/>
          <w:color w:val="000000"/>
          <w:kern w:val="0"/>
          <w:sz w:val="32"/>
          <w:szCs w:val="32"/>
          <w:shd w:val="clear" w:color="auto" w:fill="FFFFFF"/>
          <w:lang w:val="zh-CN"/>
        </w:rPr>
      </w:pPr>
      <w:r>
        <w:rPr>
          <w:rFonts w:hint="eastAsia" w:ascii="仿宋_GB2312" w:hAnsi="楷体" w:eastAsia="仿宋_GB2312" w:cs="宋体"/>
          <w:color w:val="000000"/>
          <w:kern w:val="0"/>
          <w:sz w:val="32"/>
          <w:szCs w:val="32"/>
          <w:shd w:val="clear" w:color="auto" w:fill="FFFFFF"/>
          <w:lang w:val="zh-CN"/>
        </w:rPr>
        <w:t>今后我局将在绩效目标的编制上下功夫，借鉴其他单位的好经验、好方法，结合本单位实际科学编制绩效目标。加强勾通和协调，督促项目的实施，按资金的使用进度及时分解使用本部门的各项财政预算指标。转变观念，从思想上重视预算绩效评价自评工作，注重平时资料的收集准备。努力争取上级资金，改变民族资金量少，工程小，效果不明显，成果被整合的情况。</w:t>
      </w:r>
    </w:p>
    <w:p w14:paraId="0246B816">
      <w:pPr>
        <w:spacing w:line="580" w:lineRule="exact"/>
        <w:ind w:firstLine="640" w:firstLineChars="200"/>
        <w:rPr>
          <w:rFonts w:ascii="仿宋_GB2312" w:hAnsi="仿宋" w:eastAsia="仿宋_GB2312" w:cs="仿宋_GB2312"/>
          <w:sz w:val="32"/>
          <w:szCs w:val="32"/>
        </w:rPr>
      </w:pPr>
    </w:p>
    <w:p w14:paraId="00B1B131">
      <w:pPr>
        <w:spacing w:line="580" w:lineRule="exact"/>
        <w:ind w:firstLine="640" w:firstLineChars="200"/>
        <w:rPr>
          <w:rFonts w:ascii="仿宋_GB2312" w:hAnsi="仿宋_GB2312" w:eastAsia="仿宋_GB2312" w:cs="仿宋_GB2312"/>
          <w:sz w:val="32"/>
          <w:szCs w:val="32"/>
        </w:rPr>
      </w:pPr>
    </w:p>
    <w:p w14:paraId="354C431D">
      <w:pPr>
        <w:widowControl/>
        <w:jc w:val="left"/>
        <w:rPr>
          <w:rStyle w:val="16"/>
          <w:rFonts w:ascii="仿宋_GB2312" w:hAnsi="仿宋" w:eastAsia="仿宋_GB2312"/>
          <w:color w:val="000000" w:themeColor="text1"/>
          <w:sz w:val="32"/>
          <w:szCs w:val="32"/>
        </w:rPr>
      </w:pPr>
      <w:r>
        <w:rPr>
          <w:rFonts w:hint="eastAsia" w:ascii="仿宋_GB2312" w:hAnsi="仿宋_GB2312" w:eastAsia="仿宋_GB2312" w:cs="仿宋_GB2312"/>
          <w:sz w:val="32"/>
          <w:szCs w:val="32"/>
        </w:rPr>
        <w:br w:type="page"/>
      </w:r>
      <w:bookmarkStart w:id="61" w:name="_Toc15396617"/>
      <w:r>
        <w:rPr>
          <w:rStyle w:val="16"/>
          <w:rFonts w:hint="eastAsia" w:ascii="仿宋_GB2312" w:hAnsi="仿宋" w:eastAsia="仿宋_GB2312"/>
          <w:color w:val="000000" w:themeColor="text1"/>
          <w:sz w:val="32"/>
          <w:szCs w:val="32"/>
        </w:rPr>
        <w:t>附件2</w:t>
      </w:r>
      <w:bookmarkEnd w:id="61"/>
    </w:p>
    <w:p w14:paraId="73F20CF6">
      <w:pPr>
        <w:spacing w:line="560" w:lineRule="exact"/>
        <w:ind w:left="420"/>
        <w:jc w:val="center"/>
        <w:rPr>
          <w:rFonts w:ascii="仿宋_GB2312" w:eastAsia="仿宋_GB2312"/>
          <w:color w:val="000000" w:themeColor="text1"/>
          <w:sz w:val="32"/>
          <w:szCs w:val="32"/>
        </w:rPr>
      </w:pPr>
      <w:r>
        <w:rPr>
          <w:rFonts w:hint="eastAsia" w:ascii="仿宋_GB2312" w:eastAsia="仿宋_GB2312"/>
          <w:color w:val="000000" w:themeColor="text1"/>
          <w:sz w:val="32"/>
          <w:szCs w:val="32"/>
        </w:rPr>
        <w:t>米易县2016年至2018年</w:t>
      </w:r>
    </w:p>
    <w:p w14:paraId="2908D609">
      <w:pPr>
        <w:spacing w:line="560" w:lineRule="exact"/>
        <w:ind w:left="420"/>
        <w:jc w:val="center"/>
        <w:rPr>
          <w:rFonts w:ascii="仿宋_GB2312" w:eastAsia="仿宋_GB2312"/>
          <w:color w:val="000000" w:themeColor="text1"/>
          <w:sz w:val="32"/>
          <w:szCs w:val="32"/>
        </w:rPr>
      </w:pPr>
      <w:r>
        <w:rPr>
          <w:rFonts w:hint="eastAsia" w:ascii="仿宋_GB2312" w:eastAsia="仿宋_GB2312"/>
          <w:color w:val="000000" w:themeColor="text1"/>
          <w:sz w:val="32"/>
          <w:szCs w:val="32"/>
        </w:rPr>
        <w:t>省级民族类专项资金绩效自评报告</w:t>
      </w:r>
    </w:p>
    <w:p w14:paraId="01D9B52E">
      <w:pPr>
        <w:spacing w:line="560" w:lineRule="exact"/>
        <w:ind w:left="420"/>
        <w:rPr>
          <w:rFonts w:ascii="仿宋_GB2312" w:eastAsia="仿宋_GB2312"/>
          <w:color w:val="000000" w:themeColor="text1"/>
          <w:sz w:val="32"/>
          <w:szCs w:val="32"/>
        </w:rPr>
      </w:pPr>
    </w:p>
    <w:p w14:paraId="122022F7">
      <w:pPr>
        <w:spacing w:line="560" w:lineRule="exact"/>
        <w:ind w:left="420"/>
        <w:rPr>
          <w:rFonts w:ascii="仿宋_GB2312" w:eastAsia="仿宋_GB2312"/>
          <w:color w:val="000000" w:themeColor="text1"/>
          <w:sz w:val="32"/>
          <w:szCs w:val="32"/>
        </w:rPr>
      </w:pPr>
      <w:r>
        <w:rPr>
          <w:rFonts w:hint="eastAsia" w:ascii="仿宋_GB2312" w:eastAsia="仿宋_GB2312"/>
          <w:color w:val="000000" w:themeColor="text1"/>
          <w:sz w:val="32"/>
          <w:szCs w:val="32"/>
        </w:rPr>
        <w:t>市两资办：</w:t>
      </w:r>
    </w:p>
    <w:p w14:paraId="71CA6C51">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按照省、市民族宗教委的安排部署，我局对2016年至2018年的省级民族类专项资金绩效情况进行评价。现将评价情况报告如下：</w:t>
      </w:r>
    </w:p>
    <w:p w14:paraId="5C83CA43">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一、2016年—2018年省级民族类专项资金项目总体情况</w:t>
      </w:r>
    </w:p>
    <w:p w14:paraId="73A2BCC7">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（一）2016年—2018年省级民族资金项目实施情况</w:t>
      </w:r>
    </w:p>
    <w:p w14:paraId="07EB5476">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2016年—2018年，米易县共接收省级民族资金1231万元，下达项目30个。</w:t>
      </w:r>
    </w:p>
    <w:p w14:paraId="7E141273">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1.2016年省级民族资金项目</w:t>
      </w:r>
    </w:p>
    <w:p w14:paraId="7FA76E62">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1.2016年，省、市共计安排米易县民族资金380万元，下达项目10个。</w:t>
      </w:r>
    </w:p>
    <w:p w14:paraId="19C1F021">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下达支援不发达地区发展资金项目1个，安排资金60万元，实施米易县麻陇乡黄草坪村芭蕉棚道路硬化项目，硬化道路2.1公里。项目实施完毕并县级验收合格，拨付资金60万元。解决了当地56户250余人出行难问题，改善了交通条件。</w:t>
      </w:r>
    </w:p>
    <w:p w14:paraId="299E5155">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下达三州开发资金项目5个，安排资金200万元（其中项目管理费6万元）。一是麻陇乡麻楠路沿线核桃产业后期扶持项目，补助资金100万元，扶持改善核桃7000亩。项目已实施完毕，巩固了群众发展基础；二是得石镇黑谷田村道路建设项目，硬化道路1.2公里，项目已完工并县级验收合格，补助资金30万元已全部拨付，改善3个村民小组1000余人出行条件；三是白坡乡李明久村六社道路建设项目，硬化道路1.3公里，项目已完工并县级验收合格，补助资金34万元已全部拨付，改善1个村民小组200余人出行条件；四是垭口镇马坪村道路建设项目，硬化道路1.2公里，项目已完工并县级验收合格，补助资金30万元已全部拨付，解决了马坪彝族村356户1000余人的出行及农产品运输困难；五是扎实开展了两项资金项目管理培训和开展项目设计等工作，按照规定支出了项目管理培训费。</w:t>
      </w:r>
    </w:p>
    <w:p w14:paraId="1FDF788D">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下达省级少数民族发展金项目2个，补助资金60万元。一是普威镇新龙村八社道路边沟建设，实施公路边沟2.2公里，项目已实施完毕并县级验收合格，补助资金20万元已全部拨付，解决了82户303人及800余亩农产品运输问题；二是麻陇彝族乡马井村标准化养殖项目，扶持22户贫困户修建标准化羊圈22个，购置种羊22只发给贫困户（1只/户），在技术人员的指导下实行标准化养殖，增加了群众收入，巩固了脱贫成果。</w:t>
      </w:r>
    </w:p>
    <w:p w14:paraId="2921A2B6">
      <w:pPr>
        <w:spacing w:line="560" w:lineRule="exact"/>
        <w:ind w:left="420"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下达省级民族事业发展金项目2个，补助资金60万元。一是白坡乡水路村三社南北大堰改建项目，整治大堰3公里，项目已实施完毕并县级验收合格，补助资金30万元已全部拨付，解决了2个村民小组100余户500余人1000余亩土地灌溉问题；二是麻陇乡庄房村三社桥梁建设项目，修建长13米、宽4.5米的便民桥1座，项目已实施完毕并县级验收合格，补助资金30万元已全部拨付，解决了1个村民小组40余户230余人出行难问题。</w:t>
      </w:r>
    </w:p>
    <w:p w14:paraId="41546060">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2.2017年省级民族资金项目</w:t>
      </w:r>
    </w:p>
    <w:p w14:paraId="597657DA">
      <w:pPr>
        <w:spacing w:line="56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2017年，省、市共计安排米易县民族资金398万元，下达项目9个。</w:t>
      </w:r>
    </w:p>
    <w:p w14:paraId="51D7B3E8">
      <w:pPr>
        <w:spacing w:line="56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1）下达三州开发资金200万元，项目4个。一是湾丘彝族乡黄龙村芒果基地配套建设项目，实际安装引水管道19940米，修建机耕道6.14公里，修建200立方米的蓄水池4口。项目已实施完毕并县级验收合格，补助资金100万元已拨付90万元（余10万质保金），可使项目区芒果亩均增产100公斤以上，受益区群众人均可增收2000元以上；二是白坡彝族乡水路村2社道路硬化项目，硬化道路2公里，项目已实施完毕并县级验收合格，补助资金60万元已拨付54万元（余6万质保金），改善了50余户200余人出行及1000余亩核桃、700余亩青椒、300余亩烤烟运输条件；三是麻陇彝族乡新田村三社道路硬化项目，硬化道路1公里，项目已实施完毕并县级验收合格，补助资金34万元已拨付30万元（余4万质保金），改善了40余户140余人出行及800余亩核桃、青椒、烤烟运输条件；四是安排项目管理及培训费6万元，已按照规定开展了培训，项目管理支出。</w:t>
      </w:r>
    </w:p>
    <w:p w14:paraId="4C38068A">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下达省级支援不发达地区发展资金60万元，安排项目1个。普威镇独树村4、5、6社至板棚1社道路硬化项目，硬化道路2公里，项目已实施完毕并县级验收合格，补助资金60万元已全部拨付，改善了板棚村、独树村500余亩土地农产品运输及183户634人出行条件。</w:t>
      </w:r>
    </w:p>
    <w:p w14:paraId="7AA1FFBC">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3）下达中央财政扶贫资金（少数民族发展金）93万元，安排项目2个。一是麻陇彝族乡照壁村6社至小新田道路硬化项目，硬化道路2公里，项目已实施完毕并县级验收合格，补助资金60万元已全部拨付，改善了20余户100余人出行及农产品运输条件；二是白坡彝族乡南坝村一社核桃和青花椒产业道路维修项目，对南坝村一社6公里的便道小路进行维修加宽至2—3米，其中浆砌排水沟2公里，安10道涵管，项目已实施完毕并县级验收合格，补助资金60万元已全部拨付，改善了60余户村民出行和农产品运输条件。 </w:t>
      </w:r>
    </w:p>
    <w:p w14:paraId="347469A2">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下达省级民族事业发展专项资金45万元，安排项目2个。一是攀莲镇青皮村七组社道建设项目，修建5公里泥结石公路，路宽3.5米。项目已实施完毕并县级验收合格，补助资金25万元已拨付22.5万元（余2.5万元质保金），解决了青皮村七组40余户170人出行困难；二是普威镇板棚村老衙门堰整治项目，三面光防渗整治沟渠3公里，项目已实施完毕并县级验收合格，补助资金20万元已拨付18万元（余2万元质保金），解决了板棚村八社300烤烟及500亩核桃灌溉困难问题。</w:t>
      </w:r>
    </w:p>
    <w:p w14:paraId="05BFD1A6">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3.2018年省级民族资金项目</w:t>
      </w:r>
    </w:p>
    <w:p w14:paraId="25DF2E63">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2018年，省级安排米易县民族资金453万元，下达项目11个。</w:t>
      </w:r>
    </w:p>
    <w:p w14:paraId="1C200E2C">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下达三州开发资金200万元，实施项目4个。一是草场乡横山片区枇杷基地配套设施建设项目，硬化枇杷基地配套道路3.14公里，路面宽3.5米，厚0.2米。项目已实施完毕，补助资金100万元已拨付70万元，改善碗厂、晃桥2个民族村7个村民小组489户1900余人1500余亩枇杷产业发展条件，巩固2个民族村脱贫成果，加快2个村的经济发展步伐；二是草场乡龙华村十社道路硬化项目，硬化道路2公里，项目已实施完毕，补助资金54万元已拨付44万元，解决了龙华村十社74户352人（其中彝族47户236人）及800余亩核桃、芒果和枇杷交通运输难问题；三是丙谷镇雷窝村五社大坟山道路硬化项目，硬化道路1.2公里，项目已实施完毕，补助资金40万元已拨付36万元，解决了500余人（其中回族群众33户138人）300亩耕地的农用物资和农产品运输问题。四是项目管理培训费6万元，用于2019年开展项目管理及培训支出。</w:t>
      </w:r>
    </w:p>
    <w:p w14:paraId="21E39658">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sz w:val="32"/>
          <w:szCs w:val="32"/>
        </w:rPr>
        <w:t>（2）下达省级民族事业发展专项资金50万元，项目2个。一是麻陇彝族乡照壁村六社小新田板桥建设项目，修建长16米，宽5米的板桥1座。项目已实施完毕并县级验收合格，补助资金30万元已拨付27万元（余3万元质保金），改善了20余户100余人出行及农产品运输条件；二是草场乡碗厂彝族村枇杷营销体系建设项目，修建枇杷交易中心600平方米，物资配送中心60平方米，农产品质量安全检测中心20平方米，电子商务平台20平方米。项目已实施完毕并县级验收合格，补助资金20万元已拨付18万元（余2万元质保金），</w:t>
      </w:r>
      <w:r>
        <w:rPr>
          <w:rFonts w:hint="eastAsia" w:ascii="仿宋_GB2312" w:eastAsia="仿宋_GB2312"/>
          <w:color w:val="000000" w:themeColor="text1"/>
          <w:kern w:val="0"/>
          <w:sz w:val="32"/>
          <w:szCs w:val="32"/>
        </w:rPr>
        <w:t>改善了211户2200亩枇杷交易软硬环境，促进群众增收的同时推动旅游产业发展。</w:t>
      </w:r>
    </w:p>
    <w:p w14:paraId="1A392E5C">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3）下达中央财政扶贫资金（少数民族发展金）133万元，项目3个。一是白坡乡核桃坪村三社道路硬化项目，硬化道路2.145公里，项目已实施完毕，补助资金54万元已全部拨付，解决了核桃坪村三社53户322人(其中贫困户6户31人），及3000亩核桃、280亩烤烟和1200亩青花椒交通运输难问题；二是麻陇彝族乡中心村团山堡堰整治项目，防渗整治团山堡堰3.2公里，项目已实施完毕，补助资金39万元已全部拨付，改善中心村5、6、12社共3个村民小组112户农户（其中贫困户20户86人），680亩油桃、1200余亩核桃灌溉条件，提高种养殖收入；三是新山傈僳族乡中山村安全饮水项目，架设饮水管道22.15公里，其中主管长9.8公里（其中镀锌钢管500米，PP-R管9300米），支管长12.35公里（其中PP-R管12300米，PE管50米），修建蓄水水池2口，项目已实施完毕，补助资金40万元已全部拨付，改善中山村129户452人（其中贫困户5户16人）的生活用水环境和生产生活环境，减少村民饮用水成本，增加养殖业收入。</w:t>
      </w:r>
    </w:p>
    <w:p w14:paraId="40784B33">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4）下达省级财政专项扶贫资金（支援不发达地区发展资金）70万元，项目2个。一是白坡彝族乡李明久村7社道路硬化项目，硬化道路1.2公里，项目已实施完毕并县级验收合格，补助资金30万元已全部拨付，解决李明久村54户235人（其中建档立卡贫困户8户35人）的出行及870亩核桃、1000余亩青花椒物资运输问题；二是麻陇彝族乡照壁村五社早谷田板桥建设项目，在照壁村五社早谷田处新建小桥一座，小桥全长20米，桥梁单跨跨径12米，桥板高50厘米，宽5米。项目已实施完毕并县级验收合格，补助资金40万元已全部拨付，改善照壁村五社50户200余人（其中建档立卡贫困户13户57人）的交通运输条件和生产生活条件。</w:t>
      </w:r>
    </w:p>
    <w:p w14:paraId="30836D13">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（二）2016年—2018年项目资金配套情况</w:t>
      </w:r>
    </w:p>
    <w:p w14:paraId="0950922A">
      <w:pPr>
        <w:spacing w:line="580" w:lineRule="exact"/>
        <w:ind w:firstLine="645"/>
        <w:rPr>
          <w:rFonts w:ascii="仿宋_GB2312" w:eastAsia="仿宋_GB2312"/>
          <w:color w:val="000000" w:themeColor="text1"/>
          <w:sz w:val="32"/>
          <w:szCs w:val="32"/>
        </w:rPr>
      </w:pPr>
      <w:r>
        <w:rPr>
          <w:rFonts w:hint="eastAsia" w:ascii="仿宋_GB2312" w:eastAsia="仿宋_GB2312"/>
          <w:color w:val="000000" w:themeColor="text1"/>
          <w:sz w:val="32"/>
          <w:szCs w:val="32"/>
        </w:rPr>
        <w:t>我们高度重视省市民族资金，为配套上级民族资金的实施，我县设立了“两个百分之五”民族资金、少数民族机动金、民族地区产业发展引导资金、减免8个税种20%少数民族发展资金，金额共3000余万元。在前期组织申报、研究确定工作中，积极整合农牧、交通、扶贫、发改、国土等资金拼盘使用，从严管理。凡是涉及民族资金项目，项目优先申报、优等实施，资金优先拨付，确保了省、市“两项资金”在助推我县民族地区发展中起到了“四两拨千斤”的作用。</w:t>
      </w:r>
    </w:p>
    <w:p w14:paraId="535358BA">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二、资金需求建议</w:t>
      </w:r>
    </w:p>
    <w:p w14:paraId="55ADB206">
      <w:pPr>
        <w:spacing w:line="580" w:lineRule="exact"/>
        <w:ind w:firstLine="643" w:firstLineChars="200"/>
        <w:rPr>
          <w:rFonts w:ascii="仿宋_GB2312" w:eastAsia="仿宋_GB2312"/>
          <w:color w:val="000000" w:themeColor="text1"/>
          <w:sz w:val="32"/>
          <w:szCs w:val="32"/>
        </w:rPr>
      </w:pPr>
      <w:r>
        <w:rPr>
          <w:rFonts w:hint="eastAsia" w:ascii="仿宋_GB2312" w:eastAsia="仿宋_GB2312"/>
          <w:b/>
          <w:bCs/>
          <w:color w:val="000000" w:themeColor="text1"/>
          <w:sz w:val="32"/>
          <w:szCs w:val="32"/>
        </w:rPr>
        <w:t>一是急需民族地区“断头路”联通联网工程资金。</w:t>
      </w:r>
      <w:r>
        <w:rPr>
          <w:rFonts w:hint="eastAsia" w:ascii="仿宋_GB2312" w:eastAsia="仿宋_GB2312"/>
          <w:color w:val="000000" w:themeColor="text1"/>
          <w:sz w:val="32"/>
          <w:szCs w:val="32"/>
        </w:rPr>
        <w:t>我县民族地区居住分散，山高坡陡，乡与乡之间、村与村之间、组与组与之间没有形成公路网络，绝大部分是“断头路”，交通效益没有得到充分发挥。为实现民族地区外通内联目标，需要实施“断头路”联通联网工程。</w:t>
      </w:r>
    </w:p>
    <w:p w14:paraId="06084F8B">
      <w:pPr>
        <w:spacing w:line="580" w:lineRule="exact"/>
        <w:ind w:firstLine="643" w:firstLineChars="200"/>
        <w:rPr>
          <w:rFonts w:ascii="仿宋_GB2312" w:eastAsia="仿宋_GB2312"/>
          <w:color w:val="000000" w:themeColor="text1"/>
          <w:sz w:val="32"/>
          <w:szCs w:val="32"/>
        </w:rPr>
      </w:pPr>
      <w:r>
        <w:rPr>
          <w:rFonts w:hint="eastAsia" w:ascii="仿宋_GB2312" w:eastAsia="仿宋_GB2312"/>
          <w:b/>
          <w:bCs/>
          <w:color w:val="000000" w:themeColor="text1"/>
          <w:sz w:val="32"/>
          <w:szCs w:val="32"/>
        </w:rPr>
        <w:t>二是急需农业产业基地交通、水利配套建设资金。</w:t>
      </w:r>
      <w:r>
        <w:rPr>
          <w:rFonts w:hint="eastAsia" w:ascii="仿宋_GB2312" w:eastAsia="仿宋_GB2312"/>
          <w:color w:val="000000" w:themeColor="text1"/>
          <w:sz w:val="32"/>
          <w:szCs w:val="32"/>
        </w:rPr>
        <w:t>我县民族地区形成了一定规模的烤烟基地、核桃基地、青椒基地、芒果基地、雪梨基地、油桃基地等，且发展效益越来越好。但这些地区的交通、水利配套设施还十分落后，农业生产交通运输、生产用水还十分困难，需要实施交通、水系配套设施建设。</w:t>
      </w:r>
    </w:p>
    <w:p w14:paraId="64E43ACD">
      <w:pPr>
        <w:spacing w:line="580" w:lineRule="exact"/>
        <w:ind w:firstLine="643" w:firstLineChars="200"/>
        <w:rPr>
          <w:rFonts w:ascii="仿宋_GB2312" w:eastAsia="仿宋_GB2312"/>
          <w:color w:val="000000" w:themeColor="text1"/>
          <w:sz w:val="32"/>
          <w:szCs w:val="32"/>
        </w:rPr>
      </w:pPr>
      <w:r>
        <w:rPr>
          <w:rFonts w:hint="eastAsia" w:ascii="仿宋_GB2312" w:eastAsia="仿宋_GB2312"/>
          <w:b/>
          <w:bCs/>
          <w:color w:val="000000" w:themeColor="text1"/>
          <w:sz w:val="32"/>
          <w:szCs w:val="32"/>
        </w:rPr>
        <w:t>三是急需民族地区“改厕工程”建设资金。</w:t>
      </w:r>
      <w:r>
        <w:rPr>
          <w:rFonts w:hint="eastAsia" w:ascii="仿宋_GB2312" w:eastAsia="仿宋_GB2312"/>
          <w:color w:val="000000" w:themeColor="text1"/>
          <w:sz w:val="32"/>
          <w:szCs w:val="32"/>
        </w:rPr>
        <w:t>据统计，我县大部分民族地区旱厕多、水厕少，在9个乡镇35个村有无厕户1758户，占民族地区人口的10.2%；建有旱厕的8885户、占51.3%；建有水冲厕的6655户、占38.5%。从总体看，群众生活习惯十分落后，很多厕所较为简陋，需要实施“改厕工程”，推进民族地区“厕所革命”。</w:t>
      </w:r>
    </w:p>
    <w:p w14:paraId="7586F0E1">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三、资金绩效问题</w:t>
      </w:r>
    </w:p>
    <w:p w14:paraId="79DBAD83">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（一）提高民族类专项资金使用绩效的有效做法</w:t>
      </w:r>
    </w:p>
    <w:p w14:paraId="16974E66">
      <w:pPr>
        <w:spacing w:line="580" w:lineRule="exact"/>
        <w:ind w:firstLine="645"/>
        <w:rPr>
          <w:rFonts w:ascii="仿宋_GB2312" w:eastAsia="仿宋_GB2312"/>
          <w:color w:val="000000" w:themeColor="text1"/>
          <w:sz w:val="32"/>
          <w:szCs w:val="32"/>
        </w:rPr>
      </w:pPr>
      <w:r>
        <w:rPr>
          <w:rFonts w:hint="eastAsia" w:ascii="仿宋_GB2312" w:eastAsia="仿宋_GB2312"/>
          <w:color w:val="000000" w:themeColor="text1"/>
          <w:sz w:val="32"/>
          <w:szCs w:val="32"/>
        </w:rPr>
        <w:t>强化民族资金项目监督管理和内业资料管理，对项目责任单位实行绩效考核。推行项目全程记实制，台账式管理民族资金项目，把每个项目从申报、入库、审核、下达、公示、实施、验收和移交管护等8个程序和照片对比详细记入“米易县民族资金项目全程记实簿”，全程式、记账式、图文式管理省市级民族资金项目。</w:t>
      </w:r>
    </w:p>
    <w:p w14:paraId="349403D6">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（二）在资金和项目管理上有建议</w:t>
      </w:r>
    </w:p>
    <w:p w14:paraId="771DAF62">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在确定两资项目时，可以考虑一些促进民族地区群众强化文化自信和精神自信的项目。也就是在民族地区群众在收入增加的同时，用一些项目和载体来引领民族地区群众如何现代化生活需求、现代理财方面的思想认识和行为，不断提高民族地区广大群众的各方面素质，盘活和壮大民族同胞自身的财产收益，强化现代理财思维，把经济发展的眼界不仅限于产业、务工等领域，学会运用资本来增加收益，以逐步减少有了钱就只会喝酒、抽烟、办酒席搞招待和大操大办等情况。</w:t>
      </w:r>
    </w:p>
    <w:p w14:paraId="2C689723">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加大交流学习力度和广度。在本市各县区之间相互交流学习活动，帮助县区找准工作不足，实现相互学习，相互促进；同时也要走出去，到其他市州考察学习。他山之石，可以攻玉，其他市州在民族团结进步创建、民族事务管理、民族资金项目管理和宗教事务管理等方面都各有经验，建议我们走出去开拓视野，博采众长，丰富自己的理论知识和实践经验，增强工作能力，提升工作效率。</w:t>
      </w:r>
    </w:p>
    <w:p w14:paraId="2DAD2684">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加强组织培训，提升项目管理能力。培训是提升项目管理人员综合能力最直接、最有效的方法，每年组织乡镇分管领导、财务人员和具体项目管理人员开展1至2期业务知识培训。并积极邀请省市民宗委、两资办、财政局领导，深入讲解项目和资金管理经验及方法技巧，进一步增强乡镇民族资金项目管理人员综合能力，提高项目建设和管理质量水平。</w:t>
      </w:r>
    </w:p>
    <w:p w14:paraId="57F5511F">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加强督促检查，推动项目高效完成。严格按照“资金安全、质量为先、强化监管”原则，把省市级抽查、县级检查与乡镇自查充分结合起来，积极构建全方位、全覆盖的监督检查网络，确保项目建设进度快、质量好、资金安全、效益明显。</w:t>
      </w:r>
    </w:p>
    <w:p w14:paraId="70FAC43D">
      <w:pPr>
        <w:spacing w:line="560" w:lineRule="exact"/>
        <w:ind w:firstLine="645"/>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（三）需要从省级层面需要解决或考虑的事项</w:t>
      </w:r>
    </w:p>
    <w:p w14:paraId="3A942BB4">
      <w:pPr>
        <w:spacing w:line="580" w:lineRule="exact"/>
        <w:ind w:firstLine="640" w:firstLineChars="200"/>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1.建议增加自主移民安置扶助资金。从1999年以来，我县共安置凉山州自主移民1136户5768人。目前，我县还有自主移民2204户10508人，其中识别的凉山籍贫困户1036户5164人。前期已安置和现识别的凉山自主移民安置地区，群众生活生产条件恶劣，需要建设的项目多，建设成本高，资金投入远远不足，希望增大扶助力度。</w:t>
      </w:r>
    </w:p>
    <w:p w14:paraId="4EE80C26">
      <w:pPr>
        <w:spacing w:line="580" w:lineRule="exact"/>
        <w:ind w:firstLine="640" w:firstLineChars="200"/>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2.建议增大两项资金预算。从全省、全市来看，经济发展总体持续加快，各级财政收入逐年增长，同时项目实施过程中的人力、物力成本及工程造价等不断上升，需要实施项目的资金投入增大，建议增加两项资金的预算。</w:t>
      </w:r>
    </w:p>
    <w:p w14:paraId="431674B9">
      <w:pPr>
        <w:spacing w:line="580" w:lineRule="exact"/>
        <w:ind w:firstLine="640" w:firstLineChars="200"/>
        <w:rPr>
          <w:rFonts w:ascii="仿宋_GB2312" w:eastAsia="仿宋_GB2312"/>
          <w:color w:val="000000" w:themeColor="text1"/>
          <w:kern w:val="0"/>
          <w:sz w:val="32"/>
          <w:szCs w:val="32"/>
        </w:rPr>
      </w:pPr>
      <w:r>
        <w:rPr>
          <w:rFonts w:hint="eastAsia" w:ascii="仿宋_GB2312" w:eastAsia="仿宋_GB2312"/>
          <w:color w:val="000000" w:themeColor="text1"/>
          <w:kern w:val="0"/>
          <w:sz w:val="32"/>
          <w:szCs w:val="32"/>
        </w:rPr>
        <w:t>3.建议调整两项资金项目的报账方式。按照新的扶贫资金管理规定，扶贫资金项目实行县级报账制，可不再执行县级财政报账制。从实际情况看，从2017年起，米易县扶贫资金项目已由各主管部门报账。建议三州开发资金和支援不发达地区发展资金调整由民宗部门报账。</w:t>
      </w:r>
    </w:p>
    <w:p w14:paraId="086CEDC5">
      <w:pPr>
        <w:spacing w:line="58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kern w:val="0"/>
          <w:sz w:val="32"/>
          <w:szCs w:val="32"/>
        </w:rPr>
        <w:t>4.</w:t>
      </w:r>
      <w:r>
        <w:rPr>
          <w:rFonts w:hint="eastAsia" w:ascii="仿宋_GB2312" w:eastAsia="仿宋_GB2312"/>
          <w:color w:val="000000" w:themeColor="text1"/>
          <w:sz w:val="32"/>
          <w:szCs w:val="32"/>
        </w:rPr>
        <w:t>建议上级在下达项目申报指南时，补助标准更加灵活。因各地受材料运输条件、原材料成本、人工工资不同的影响，工程单位造价不一。建议在下达项目指南时，放宽项目补助标准，在保证资金不“跑、冒、滴、漏”，安全运行的前提下，由地方自行安排补助资金数额。</w:t>
      </w:r>
    </w:p>
    <w:p w14:paraId="6096D347">
      <w:pPr>
        <w:spacing w:line="580" w:lineRule="exact"/>
        <w:ind w:firstLine="640" w:firstLineChars="200"/>
        <w:rPr>
          <w:rFonts w:ascii="仿宋_GB2312" w:hAnsi="仿宋_GB2312" w:eastAsia="仿宋_GB2312" w:cs="仿宋_GB2312"/>
          <w:color w:val="000000" w:themeColor="text1"/>
          <w:sz w:val="32"/>
          <w:szCs w:val="32"/>
        </w:rPr>
      </w:pPr>
    </w:p>
    <w:p w14:paraId="3CEAD6B9">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一、评价工作开展及项目情况</w:t>
      </w:r>
    </w:p>
    <w:p w14:paraId="50DA02BB">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项目评价实施方案情况（包括选点、评价指标、评价方法、基础数据表等情况）</w:t>
      </w:r>
    </w:p>
    <w:p w14:paraId="77CF034D">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二、评价结论及绩效分析</w:t>
      </w:r>
    </w:p>
    <w:p w14:paraId="2BDF7AC0">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（一）评价结论</w:t>
      </w:r>
    </w:p>
    <w:p w14:paraId="2113CCE0">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项目绩效评价总体结论（包括项目评价得分表）</w:t>
      </w:r>
    </w:p>
    <w:p w14:paraId="3BFE7B4B">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（二）绩效分析</w:t>
      </w:r>
    </w:p>
    <w:p w14:paraId="53ECBF0D">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1、项目决策</w:t>
      </w:r>
    </w:p>
    <w:p w14:paraId="270EB77C">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必要性和可行性分析（包括政策依据和政策完善，政策和需求的吻合程度分析），绩效目标设置情况（包括绩效目标设置的明确性和合理性）</w:t>
      </w:r>
    </w:p>
    <w:p w14:paraId="6B248A22">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2、项目管理</w:t>
      </w:r>
    </w:p>
    <w:p w14:paraId="45E36E7B">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资金分配情况（资金分配管理的科学合理性）资，金使用情况（项目、资金管理的科学规范性）</w:t>
      </w:r>
    </w:p>
    <w:p w14:paraId="2740A95C">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3、项目绩效</w:t>
      </w:r>
    </w:p>
    <w:p w14:paraId="3B7C9497">
      <w:pPr>
        <w:spacing w:line="58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项目目标完成情况（数量、质量、时效、成本），项目效益情况（经济效益、项目社会效益、生态效益、可持续效益、公平性、资金使用效率、受益群体满意度等）。</w:t>
      </w:r>
    </w:p>
    <w:p w14:paraId="717152CC">
      <w:pPr>
        <w:spacing w:line="580" w:lineRule="exact"/>
        <w:ind w:firstLine="640" w:firstLineChars="200"/>
        <w:rPr>
          <w:rFonts w:ascii="仿宋_GB2312" w:hAnsi="仿宋" w:eastAsia="仿宋_GB2312" w:cs="仿宋_GB2312"/>
          <w:color w:val="000000" w:themeColor="text1"/>
          <w:sz w:val="32"/>
          <w:szCs w:val="32"/>
        </w:rPr>
      </w:pPr>
    </w:p>
    <w:p w14:paraId="562D8BE7">
      <w:pPr>
        <w:spacing w:line="580" w:lineRule="exact"/>
        <w:ind w:firstLine="640" w:firstLineChars="200"/>
        <w:rPr>
          <w:rFonts w:ascii="仿宋_GB2312" w:hAnsi="仿宋" w:eastAsia="仿宋_GB2312" w:cs="仿宋_GB2312"/>
          <w:color w:val="000000" w:themeColor="text1"/>
          <w:sz w:val="32"/>
          <w:szCs w:val="32"/>
        </w:rPr>
      </w:pPr>
    </w:p>
    <w:p w14:paraId="241D211C">
      <w:pPr>
        <w:spacing w:line="600" w:lineRule="exact"/>
        <w:jc w:val="center"/>
        <w:outlineLvl w:val="0"/>
        <w:rPr>
          <w:rFonts w:ascii="黑体" w:hAnsi="黑体" w:eastAsia="黑体"/>
          <w:color w:val="000000" w:themeColor="text1"/>
          <w:sz w:val="32"/>
          <w:szCs w:val="32"/>
        </w:rPr>
      </w:pPr>
      <w:bookmarkStart w:id="62" w:name="_Toc15396618"/>
    </w:p>
    <w:p w14:paraId="1566166F">
      <w:pPr>
        <w:spacing w:line="600" w:lineRule="exact"/>
        <w:jc w:val="center"/>
        <w:outlineLvl w:val="0"/>
        <w:rPr>
          <w:rFonts w:ascii="黑体" w:hAnsi="黑体" w:eastAsia="黑体"/>
          <w:color w:val="000000" w:themeColor="text1"/>
          <w:sz w:val="32"/>
          <w:szCs w:val="32"/>
        </w:rPr>
      </w:pPr>
    </w:p>
    <w:p w14:paraId="08B6E34C">
      <w:pPr>
        <w:spacing w:line="600" w:lineRule="exact"/>
        <w:jc w:val="center"/>
        <w:outlineLvl w:val="0"/>
        <w:rPr>
          <w:rStyle w:val="16"/>
          <w:rFonts w:ascii="黑体" w:hAnsi="黑体" w:eastAsia="黑体"/>
          <w:b w:val="0"/>
          <w:color w:val="000000" w:themeColor="text1"/>
          <w:sz w:val="32"/>
          <w:szCs w:val="32"/>
        </w:rPr>
      </w:pPr>
      <w:r>
        <w:rPr>
          <w:rFonts w:hint="eastAsia" w:ascii="黑体" w:hAnsi="黑体" w:eastAsia="黑体"/>
          <w:color w:val="000000" w:themeColor="text1"/>
          <w:sz w:val="32"/>
          <w:szCs w:val="32"/>
        </w:rPr>
        <w:t>第</w:t>
      </w:r>
      <w:r>
        <w:rPr>
          <w:rStyle w:val="16"/>
          <w:rFonts w:hint="eastAsia" w:ascii="黑体" w:hAnsi="黑体" w:eastAsia="黑体"/>
          <w:b w:val="0"/>
          <w:color w:val="000000" w:themeColor="text1"/>
          <w:sz w:val="32"/>
          <w:szCs w:val="32"/>
        </w:rPr>
        <w:t>五部分</w:t>
      </w:r>
      <w:r>
        <w:rPr>
          <w:rStyle w:val="16"/>
          <w:rFonts w:ascii="黑体" w:hAnsi="黑体" w:eastAsia="黑体"/>
          <w:b w:val="0"/>
          <w:color w:val="000000" w:themeColor="text1"/>
          <w:sz w:val="32"/>
          <w:szCs w:val="32"/>
        </w:rPr>
        <w:t xml:space="preserve"> </w:t>
      </w:r>
      <w:r>
        <w:rPr>
          <w:rStyle w:val="16"/>
          <w:rFonts w:hint="eastAsia" w:ascii="黑体" w:hAnsi="黑体" w:eastAsia="黑体"/>
          <w:b w:val="0"/>
          <w:color w:val="000000" w:themeColor="text1"/>
          <w:sz w:val="32"/>
          <w:szCs w:val="32"/>
        </w:rPr>
        <w:t>附表</w:t>
      </w:r>
      <w:bookmarkEnd w:id="58"/>
      <w:bookmarkEnd w:id="62"/>
    </w:p>
    <w:p w14:paraId="687D1DD0">
      <w:pPr>
        <w:spacing w:line="600" w:lineRule="exact"/>
        <w:jc w:val="center"/>
        <w:outlineLvl w:val="0"/>
        <w:rPr>
          <w:rFonts w:ascii="仿宋" w:hAnsi="仿宋" w:eastAsia="仿宋"/>
          <w:b/>
          <w:color w:val="000000" w:themeColor="text1"/>
          <w:sz w:val="32"/>
          <w:szCs w:val="32"/>
        </w:rPr>
      </w:pPr>
    </w:p>
    <w:p w14:paraId="52B02EEA">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17"/>
          <w:rFonts w:hint="eastAsia" w:ascii="仿宋" w:hAnsi="仿宋" w:eastAsia="仿宋"/>
          <w:b w:val="0"/>
          <w:bCs w:val="0"/>
        </w:rPr>
        <w:t>入支出决算总表</w:t>
      </w:r>
      <w:bookmarkEnd w:id="63"/>
    </w:p>
    <w:p w14:paraId="79D8BCBA">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17"/>
          <w:rFonts w:hint="eastAsia" w:ascii="仿宋" w:hAnsi="仿宋" w:eastAsia="仿宋"/>
          <w:b w:val="0"/>
          <w:bCs w:val="0"/>
        </w:rPr>
        <w:t>入总表</w:t>
      </w:r>
      <w:bookmarkEnd w:id="64"/>
    </w:p>
    <w:p w14:paraId="6A6ECCA9">
      <w:pPr>
        <w:pStyle w:val="3"/>
        <w:rPr>
          <w:rFonts w:ascii="仿宋" w:hAnsi="仿宋" w:eastAsia="仿宋"/>
          <w:color w:val="000000"/>
        </w:rPr>
      </w:pPr>
      <w:bookmarkStart w:id="65" w:name="_Toc15396621"/>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出总表</w:t>
      </w:r>
      <w:bookmarkEnd w:id="65"/>
    </w:p>
    <w:p w14:paraId="4480D488">
      <w:pPr>
        <w:pStyle w:val="3"/>
        <w:rPr>
          <w:rFonts w:ascii="仿宋" w:hAnsi="仿宋" w:eastAsia="仿宋"/>
          <w:b w:val="0"/>
          <w:color w:val="000000"/>
        </w:rPr>
      </w:pPr>
      <w:bookmarkStart w:id="66" w:name="_Toc15396622"/>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66"/>
    </w:p>
    <w:p w14:paraId="3C8E2544">
      <w:pPr>
        <w:pStyle w:val="3"/>
        <w:rPr>
          <w:rFonts w:ascii="仿宋" w:hAnsi="仿宋" w:eastAsia="仿宋"/>
          <w:color w:val="000000"/>
        </w:rPr>
      </w:pPr>
      <w:bookmarkStart w:id="67" w:name="_Toc15396623"/>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政拨款支出决算明细表（政府经济分类科目）</w:t>
      </w:r>
      <w:bookmarkEnd w:id="67"/>
    </w:p>
    <w:p w14:paraId="6CDA9385">
      <w:pPr>
        <w:pStyle w:val="3"/>
        <w:rPr>
          <w:rFonts w:ascii="仿宋" w:hAnsi="仿宋" w:eastAsia="仿宋"/>
          <w:color w:val="000000"/>
        </w:rPr>
      </w:pPr>
      <w:bookmarkStart w:id="68" w:name="_Toc15396624"/>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68"/>
    </w:p>
    <w:p w14:paraId="157D85C0">
      <w:pPr>
        <w:pStyle w:val="3"/>
        <w:rPr>
          <w:rFonts w:ascii="仿宋" w:hAnsi="仿宋" w:eastAsia="仿宋"/>
          <w:color w:val="000000"/>
        </w:rPr>
      </w:pPr>
      <w:bookmarkStart w:id="69" w:name="_Toc1539662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69"/>
    </w:p>
    <w:p w14:paraId="00C546EF">
      <w:pPr>
        <w:pStyle w:val="3"/>
        <w:rPr>
          <w:rFonts w:ascii="仿宋" w:hAnsi="仿宋" w:eastAsia="仿宋"/>
          <w:color w:val="000000"/>
        </w:rPr>
      </w:pPr>
      <w:bookmarkStart w:id="70" w:name="_Toc15396626"/>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70"/>
    </w:p>
    <w:p w14:paraId="69E14D90">
      <w:pPr>
        <w:pStyle w:val="3"/>
        <w:rPr>
          <w:rFonts w:ascii="仿宋" w:hAnsi="仿宋" w:eastAsia="仿宋"/>
          <w:color w:val="000000"/>
        </w:rPr>
      </w:pPr>
      <w:bookmarkStart w:id="71" w:name="_Toc15396627"/>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71"/>
    </w:p>
    <w:p w14:paraId="2CF4D420">
      <w:pPr>
        <w:pStyle w:val="3"/>
        <w:rPr>
          <w:rFonts w:ascii="仿宋" w:hAnsi="仿宋" w:eastAsia="仿宋"/>
          <w:color w:val="000000"/>
        </w:rPr>
      </w:pPr>
      <w:bookmarkStart w:id="72" w:name="_Toc15396628"/>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72"/>
    </w:p>
    <w:p w14:paraId="12C932AA">
      <w:pPr>
        <w:pStyle w:val="3"/>
        <w:rPr>
          <w:rFonts w:ascii="仿宋" w:hAnsi="仿宋" w:eastAsia="仿宋"/>
          <w:color w:val="000000"/>
        </w:rPr>
      </w:pPr>
      <w:bookmarkStart w:id="73"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73"/>
    </w:p>
    <w:p w14:paraId="416A58B0">
      <w:pPr>
        <w:pStyle w:val="3"/>
        <w:rPr>
          <w:rFonts w:ascii="仿宋" w:hAnsi="仿宋" w:eastAsia="仿宋"/>
          <w:color w:val="000000"/>
        </w:rPr>
      </w:pPr>
      <w:bookmarkStart w:id="74" w:name="_Toc15396630"/>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74"/>
    </w:p>
    <w:p w14:paraId="439F6C62">
      <w:pPr>
        <w:pStyle w:val="3"/>
        <w:rPr>
          <w:rFonts w:ascii="仿宋" w:hAnsi="仿宋" w:eastAsia="仿宋"/>
          <w:color w:val="000000"/>
        </w:rPr>
      </w:pPr>
      <w:bookmarkStart w:id="75" w:name="_Toc15396631"/>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99E1">
    <w:pPr>
      <w:pStyle w:val="8"/>
      <w:jc w:val="center"/>
    </w:pPr>
    <w:r>
      <w:fldChar w:fldCharType="begin"/>
    </w:r>
    <w:r>
      <w:instrText xml:space="preserve">PAGE   \* MERGEFORMAT</w:instrText>
    </w:r>
    <w:r>
      <w:fldChar w:fldCharType="separate"/>
    </w:r>
    <w:r>
      <w:rPr>
        <w:lang w:val="zh-CN"/>
      </w:rPr>
      <w:t>38</w:t>
    </w:r>
    <w:r>
      <w:rPr>
        <w:lang w:val="zh-CN"/>
      </w:rPr>
      <w:fldChar w:fldCharType="end"/>
    </w:r>
  </w:p>
  <w:p w14:paraId="55FDFD3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4D625">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2BE8"/>
    <w:rsid w:val="000222C6"/>
    <w:rsid w:val="0002549F"/>
    <w:rsid w:val="00057643"/>
    <w:rsid w:val="0006487A"/>
    <w:rsid w:val="00065F8F"/>
    <w:rsid w:val="000768F2"/>
    <w:rsid w:val="00076CCB"/>
    <w:rsid w:val="000810D5"/>
    <w:rsid w:val="00084EB4"/>
    <w:rsid w:val="0009184B"/>
    <w:rsid w:val="0009593C"/>
    <w:rsid w:val="000B047F"/>
    <w:rsid w:val="000B5923"/>
    <w:rsid w:val="000B5A48"/>
    <w:rsid w:val="000B6FF3"/>
    <w:rsid w:val="000C026F"/>
    <w:rsid w:val="000C3467"/>
    <w:rsid w:val="000C3CA6"/>
    <w:rsid w:val="000D1267"/>
    <w:rsid w:val="000D1D50"/>
    <w:rsid w:val="000D5782"/>
    <w:rsid w:val="000D6072"/>
    <w:rsid w:val="000E6613"/>
    <w:rsid w:val="000E7119"/>
    <w:rsid w:val="000F0269"/>
    <w:rsid w:val="0010199F"/>
    <w:rsid w:val="00114E9B"/>
    <w:rsid w:val="001406EC"/>
    <w:rsid w:val="00145741"/>
    <w:rsid w:val="0014729F"/>
    <w:rsid w:val="00157BAB"/>
    <w:rsid w:val="001654D1"/>
    <w:rsid w:val="0018106D"/>
    <w:rsid w:val="00186242"/>
    <w:rsid w:val="001877A7"/>
    <w:rsid w:val="00191536"/>
    <w:rsid w:val="00191CA2"/>
    <w:rsid w:val="00196687"/>
    <w:rsid w:val="001A571D"/>
    <w:rsid w:val="001A76D0"/>
    <w:rsid w:val="001B218A"/>
    <w:rsid w:val="001B33C4"/>
    <w:rsid w:val="001B3927"/>
    <w:rsid w:val="001C0962"/>
    <w:rsid w:val="001D7531"/>
    <w:rsid w:val="001E737D"/>
    <w:rsid w:val="001F0592"/>
    <w:rsid w:val="001F2300"/>
    <w:rsid w:val="001F50A3"/>
    <w:rsid w:val="001F7506"/>
    <w:rsid w:val="002006CD"/>
    <w:rsid w:val="00202B36"/>
    <w:rsid w:val="00204B7A"/>
    <w:rsid w:val="0021101A"/>
    <w:rsid w:val="00220536"/>
    <w:rsid w:val="00225E59"/>
    <w:rsid w:val="00235629"/>
    <w:rsid w:val="002431A7"/>
    <w:rsid w:val="00244CD3"/>
    <w:rsid w:val="0025537F"/>
    <w:rsid w:val="00260C38"/>
    <w:rsid w:val="002616C0"/>
    <w:rsid w:val="00264D9E"/>
    <w:rsid w:val="002662AA"/>
    <w:rsid w:val="00280496"/>
    <w:rsid w:val="00283CB6"/>
    <w:rsid w:val="00286230"/>
    <w:rsid w:val="00295075"/>
    <w:rsid w:val="002950C2"/>
    <w:rsid w:val="00295495"/>
    <w:rsid w:val="002A04C7"/>
    <w:rsid w:val="002A1A49"/>
    <w:rsid w:val="002A5F66"/>
    <w:rsid w:val="002B2613"/>
    <w:rsid w:val="002F1818"/>
    <w:rsid w:val="002F2952"/>
    <w:rsid w:val="002F4138"/>
    <w:rsid w:val="002F567B"/>
    <w:rsid w:val="00307CB3"/>
    <w:rsid w:val="003216A9"/>
    <w:rsid w:val="003557A5"/>
    <w:rsid w:val="0037013F"/>
    <w:rsid w:val="00380C92"/>
    <w:rsid w:val="00396538"/>
    <w:rsid w:val="0039735D"/>
    <w:rsid w:val="003A484F"/>
    <w:rsid w:val="003B0BE0"/>
    <w:rsid w:val="003B0C1B"/>
    <w:rsid w:val="003B506D"/>
    <w:rsid w:val="003B688C"/>
    <w:rsid w:val="003C0291"/>
    <w:rsid w:val="003C39AE"/>
    <w:rsid w:val="003C44DE"/>
    <w:rsid w:val="003C7B60"/>
    <w:rsid w:val="003D1FB2"/>
    <w:rsid w:val="003D39D1"/>
    <w:rsid w:val="003D66DA"/>
    <w:rsid w:val="003E1310"/>
    <w:rsid w:val="003E6F55"/>
    <w:rsid w:val="003F142D"/>
    <w:rsid w:val="003F1A19"/>
    <w:rsid w:val="00406254"/>
    <w:rsid w:val="004109FF"/>
    <w:rsid w:val="004223DE"/>
    <w:rsid w:val="00434489"/>
    <w:rsid w:val="00437085"/>
    <w:rsid w:val="00443880"/>
    <w:rsid w:val="00444D2D"/>
    <w:rsid w:val="004464F4"/>
    <w:rsid w:val="00460495"/>
    <w:rsid w:val="00467B64"/>
    <w:rsid w:val="00471401"/>
    <w:rsid w:val="00473F31"/>
    <w:rsid w:val="004759BF"/>
    <w:rsid w:val="0048263A"/>
    <w:rsid w:val="00487E5D"/>
    <w:rsid w:val="004A711F"/>
    <w:rsid w:val="004B199D"/>
    <w:rsid w:val="004B4690"/>
    <w:rsid w:val="004C77D7"/>
    <w:rsid w:val="004D1206"/>
    <w:rsid w:val="004E0A2D"/>
    <w:rsid w:val="004E206B"/>
    <w:rsid w:val="004E5B72"/>
    <w:rsid w:val="004E5F14"/>
    <w:rsid w:val="004E6DF7"/>
    <w:rsid w:val="004F0FBD"/>
    <w:rsid w:val="00505A47"/>
    <w:rsid w:val="00510901"/>
    <w:rsid w:val="00512FDA"/>
    <w:rsid w:val="00520DA0"/>
    <w:rsid w:val="00522F2F"/>
    <w:rsid w:val="00532F54"/>
    <w:rsid w:val="00553C47"/>
    <w:rsid w:val="005664BB"/>
    <w:rsid w:val="00572543"/>
    <w:rsid w:val="0057481D"/>
    <w:rsid w:val="0058486E"/>
    <w:rsid w:val="005D1C8B"/>
    <w:rsid w:val="005D2559"/>
    <w:rsid w:val="005D5CED"/>
    <w:rsid w:val="005F1A4C"/>
    <w:rsid w:val="005F74F9"/>
    <w:rsid w:val="00605688"/>
    <w:rsid w:val="006070AF"/>
    <w:rsid w:val="00607E6C"/>
    <w:rsid w:val="006101B1"/>
    <w:rsid w:val="00614E44"/>
    <w:rsid w:val="00622830"/>
    <w:rsid w:val="006235CA"/>
    <w:rsid w:val="00624891"/>
    <w:rsid w:val="00630AEF"/>
    <w:rsid w:val="006325F8"/>
    <w:rsid w:val="00634C9A"/>
    <w:rsid w:val="006440E4"/>
    <w:rsid w:val="00657398"/>
    <w:rsid w:val="00657412"/>
    <w:rsid w:val="0066343B"/>
    <w:rsid w:val="00664777"/>
    <w:rsid w:val="006748A4"/>
    <w:rsid w:val="00683E73"/>
    <w:rsid w:val="00690FC3"/>
    <w:rsid w:val="006A04B6"/>
    <w:rsid w:val="006A3141"/>
    <w:rsid w:val="006A5E34"/>
    <w:rsid w:val="006B2422"/>
    <w:rsid w:val="006B2B9A"/>
    <w:rsid w:val="006B5B47"/>
    <w:rsid w:val="006C1937"/>
    <w:rsid w:val="006F020C"/>
    <w:rsid w:val="007024F9"/>
    <w:rsid w:val="007127B7"/>
    <w:rsid w:val="0071573E"/>
    <w:rsid w:val="007162CD"/>
    <w:rsid w:val="00717A56"/>
    <w:rsid w:val="007211F5"/>
    <w:rsid w:val="0073686D"/>
    <w:rsid w:val="007416B6"/>
    <w:rsid w:val="00741EDC"/>
    <w:rsid w:val="00746398"/>
    <w:rsid w:val="00746F48"/>
    <w:rsid w:val="0075404D"/>
    <w:rsid w:val="007542A2"/>
    <w:rsid w:val="0076182A"/>
    <w:rsid w:val="00765A1C"/>
    <w:rsid w:val="00765C9C"/>
    <w:rsid w:val="00767B7E"/>
    <w:rsid w:val="007770C3"/>
    <w:rsid w:val="00784D24"/>
    <w:rsid w:val="00785FBA"/>
    <w:rsid w:val="007869F7"/>
    <w:rsid w:val="00786E4A"/>
    <w:rsid w:val="007871C7"/>
    <w:rsid w:val="007875EB"/>
    <w:rsid w:val="0079426B"/>
    <w:rsid w:val="007B251C"/>
    <w:rsid w:val="007B2997"/>
    <w:rsid w:val="007B2A8E"/>
    <w:rsid w:val="007B69AD"/>
    <w:rsid w:val="007C7849"/>
    <w:rsid w:val="007D312A"/>
    <w:rsid w:val="007D3F19"/>
    <w:rsid w:val="007D68AA"/>
    <w:rsid w:val="007E23B0"/>
    <w:rsid w:val="007E3116"/>
    <w:rsid w:val="007E5D0D"/>
    <w:rsid w:val="007F1991"/>
    <w:rsid w:val="007F2C2F"/>
    <w:rsid w:val="007F55FC"/>
    <w:rsid w:val="007F5665"/>
    <w:rsid w:val="00800112"/>
    <w:rsid w:val="0082332B"/>
    <w:rsid w:val="008253BB"/>
    <w:rsid w:val="0083706E"/>
    <w:rsid w:val="008423A5"/>
    <w:rsid w:val="00850625"/>
    <w:rsid w:val="0085190B"/>
    <w:rsid w:val="00853718"/>
    <w:rsid w:val="00855221"/>
    <w:rsid w:val="0086063F"/>
    <w:rsid w:val="00860645"/>
    <w:rsid w:val="00870930"/>
    <w:rsid w:val="00871F71"/>
    <w:rsid w:val="00885AF4"/>
    <w:rsid w:val="0089099B"/>
    <w:rsid w:val="008939CD"/>
    <w:rsid w:val="008A1AC1"/>
    <w:rsid w:val="008B06FB"/>
    <w:rsid w:val="008B768C"/>
    <w:rsid w:val="008C4DB1"/>
    <w:rsid w:val="008C4EAF"/>
    <w:rsid w:val="008C5176"/>
    <w:rsid w:val="008C7FD0"/>
    <w:rsid w:val="008D36EE"/>
    <w:rsid w:val="008D5C6D"/>
    <w:rsid w:val="008E1DE7"/>
    <w:rsid w:val="008E707C"/>
    <w:rsid w:val="008F4244"/>
    <w:rsid w:val="00900B08"/>
    <w:rsid w:val="00902155"/>
    <w:rsid w:val="00902FA3"/>
    <w:rsid w:val="009134F1"/>
    <w:rsid w:val="00914A8A"/>
    <w:rsid w:val="00914E95"/>
    <w:rsid w:val="00923564"/>
    <w:rsid w:val="0092392E"/>
    <w:rsid w:val="00925D38"/>
    <w:rsid w:val="009315F9"/>
    <w:rsid w:val="00946945"/>
    <w:rsid w:val="00951248"/>
    <w:rsid w:val="0095152F"/>
    <w:rsid w:val="00954C49"/>
    <w:rsid w:val="0097099F"/>
    <w:rsid w:val="00971997"/>
    <w:rsid w:val="00971FFC"/>
    <w:rsid w:val="00976A7B"/>
    <w:rsid w:val="0098660A"/>
    <w:rsid w:val="00992857"/>
    <w:rsid w:val="009931C3"/>
    <w:rsid w:val="0099698B"/>
    <w:rsid w:val="009B2C43"/>
    <w:rsid w:val="009B4EAE"/>
    <w:rsid w:val="009B7573"/>
    <w:rsid w:val="009C22F4"/>
    <w:rsid w:val="009C2E98"/>
    <w:rsid w:val="009D3447"/>
    <w:rsid w:val="009D4711"/>
    <w:rsid w:val="009F1185"/>
    <w:rsid w:val="009F18CD"/>
    <w:rsid w:val="009F2A13"/>
    <w:rsid w:val="00A04EB0"/>
    <w:rsid w:val="00A10486"/>
    <w:rsid w:val="00A13CC1"/>
    <w:rsid w:val="00A16847"/>
    <w:rsid w:val="00A237D8"/>
    <w:rsid w:val="00A268C4"/>
    <w:rsid w:val="00A307CD"/>
    <w:rsid w:val="00A40A00"/>
    <w:rsid w:val="00A4142F"/>
    <w:rsid w:val="00A502AB"/>
    <w:rsid w:val="00A56DF2"/>
    <w:rsid w:val="00A67550"/>
    <w:rsid w:val="00A67777"/>
    <w:rsid w:val="00A67AB5"/>
    <w:rsid w:val="00A815B9"/>
    <w:rsid w:val="00A91760"/>
    <w:rsid w:val="00A93B00"/>
    <w:rsid w:val="00A93C21"/>
    <w:rsid w:val="00AC3C6A"/>
    <w:rsid w:val="00AD5620"/>
    <w:rsid w:val="00AD7C1B"/>
    <w:rsid w:val="00AE16BA"/>
    <w:rsid w:val="00AE1EBE"/>
    <w:rsid w:val="00AF0525"/>
    <w:rsid w:val="00AF234A"/>
    <w:rsid w:val="00AF4C64"/>
    <w:rsid w:val="00B03C9D"/>
    <w:rsid w:val="00B060AE"/>
    <w:rsid w:val="00B10517"/>
    <w:rsid w:val="00B12665"/>
    <w:rsid w:val="00B14E76"/>
    <w:rsid w:val="00B161B8"/>
    <w:rsid w:val="00B2048C"/>
    <w:rsid w:val="00B24CB4"/>
    <w:rsid w:val="00B310B9"/>
    <w:rsid w:val="00B35F3F"/>
    <w:rsid w:val="00B36AC8"/>
    <w:rsid w:val="00B36CBB"/>
    <w:rsid w:val="00B425E0"/>
    <w:rsid w:val="00B440AA"/>
    <w:rsid w:val="00B44438"/>
    <w:rsid w:val="00B44B70"/>
    <w:rsid w:val="00B46500"/>
    <w:rsid w:val="00B53C56"/>
    <w:rsid w:val="00B7727C"/>
    <w:rsid w:val="00B77EA6"/>
    <w:rsid w:val="00B81598"/>
    <w:rsid w:val="00B841F1"/>
    <w:rsid w:val="00B87BCB"/>
    <w:rsid w:val="00B944D6"/>
    <w:rsid w:val="00BB2540"/>
    <w:rsid w:val="00BB4DF0"/>
    <w:rsid w:val="00BC289F"/>
    <w:rsid w:val="00BC5361"/>
    <w:rsid w:val="00BC5460"/>
    <w:rsid w:val="00BC6B50"/>
    <w:rsid w:val="00BD0E25"/>
    <w:rsid w:val="00BF27F4"/>
    <w:rsid w:val="00BF5BD6"/>
    <w:rsid w:val="00C03E31"/>
    <w:rsid w:val="00C06811"/>
    <w:rsid w:val="00C33E72"/>
    <w:rsid w:val="00C354B2"/>
    <w:rsid w:val="00C35554"/>
    <w:rsid w:val="00C42709"/>
    <w:rsid w:val="00C52E5D"/>
    <w:rsid w:val="00C533CC"/>
    <w:rsid w:val="00C5751C"/>
    <w:rsid w:val="00C619F5"/>
    <w:rsid w:val="00C61BFC"/>
    <w:rsid w:val="00C62B85"/>
    <w:rsid w:val="00C65438"/>
    <w:rsid w:val="00C867F6"/>
    <w:rsid w:val="00C91CBB"/>
    <w:rsid w:val="00CC09B6"/>
    <w:rsid w:val="00CC4AE2"/>
    <w:rsid w:val="00CC666F"/>
    <w:rsid w:val="00CD1E3F"/>
    <w:rsid w:val="00CD2ADE"/>
    <w:rsid w:val="00CE44F6"/>
    <w:rsid w:val="00CE49DA"/>
    <w:rsid w:val="00CE7B61"/>
    <w:rsid w:val="00D00095"/>
    <w:rsid w:val="00D20620"/>
    <w:rsid w:val="00D26091"/>
    <w:rsid w:val="00D34E7C"/>
    <w:rsid w:val="00D35489"/>
    <w:rsid w:val="00D51276"/>
    <w:rsid w:val="00D63091"/>
    <w:rsid w:val="00D7035F"/>
    <w:rsid w:val="00D70E20"/>
    <w:rsid w:val="00D97BEA"/>
    <w:rsid w:val="00D97CB9"/>
    <w:rsid w:val="00DA65AC"/>
    <w:rsid w:val="00DB0F51"/>
    <w:rsid w:val="00DB1913"/>
    <w:rsid w:val="00DB6638"/>
    <w:rsid w:val="00DC410D"/>
    <w:rsid w:val="00DC68CA"/>
    <w:rsid w:val="00DC7CBA"/>
    <w:rsid w:val="00DD10BA"/>
    <w:rsid w:val="00DD73B7"/>
    <w:rsid w:val="00DD7DD7"/>
    <w:rsid w:val="00DF28BC"/>
    <w:rsid w:val="00DF34B9"/>
    <w:rsid w:val="00DF78BF"/>
    <w:rsid w:val="00E01053"/>
    <w:rsid w:val="00E07ACF"/>
    <w:rsid w:val="00E212F6"/>
    <w:rsid w:val="00E2366A"/>
    <w:rsid w:val="00E331A1"/>
    <w:rsid w:val="00E33202"/>
    <w:rsid w:val="00E336A9"/>
    <w:rsid w:val="00E35701"/>
    <w:rsid w:val="00E35B3F"/>
    <w:rsid w:val="00E41103"/>
    <w:rsid w:val="00E41E72"/>
    <w:rsid w:val="00E5022E"/>
    <w:rsid w:val="00E50624"/>
    <w:rsid w:val="00E568DF"/>
    <w:rsid w:val="00E64269"/>
    <w:rsid w:val="00E65CA1"/>
    <w:rsid w:val="00E81D3C"/>
    <w:rsid w:val="00E82267"/>
    <w:rsid w:val="00E9319A"/>
    <w:rsid w:val="00EA010F"/>
    <w:rsid w:val="00ED1B63"/>
    <w:rsid w:val="00ED33ED"/>
    <w:rsid w:val="00ED3C1F"/>
    <w:rsid w:val="00ED4085"/>
    <w:rsid w:val="00ED420E"/>
    <w:rsid w:val="00EE2F57"/>
    <w:rsid w:val="00EF0394"/>
    <w:rsid w:val="00EF1125"/>
    <w:rsid w:val="00EF4C34"/>
    <w:rsid w:val="00EF77C6"/>
    <w:rsid w:val="00F05438"/>
    <w:rsid w:val="00F12C74"/>
    <w:rsid w:val="00F1361C"/>
    <w:rsid w:val="00F160C7"/>
    <w:rsid w:val="00F22C82"/>
    <w:rsid w:val="00F34AF5"/>
    <w:rsid w:val="00F36D8F"/>
    <w:rsid w:val="00F417B1"/>
    <w:rsid w:val="00F51004"/>
    <w:rsid w:val="00F602DF"/>
    <w:rsid w:val="00F607FE"/>
    <w:rsid w:val="00F81FD9"/>
    <w:rsid w:val="00F841AA"/>
    <w:rsid w:val="00FA23E8"/>
    <w:rsid w:val="00FD3CC1"/>
    <w:rsid w:val="00FF1E02"/>
    <w:rsid w:val="00FF30B4"/>
    <w:rsid w:val="10C055FF"/>
    <w:rsid w:val="16BB723D"/>
    <w:rsid w:val="240371BF"/>
    <w:rsid w:val="29FD04D3"/>
    <w:rsid w:val="319F7F4E"/>
    <w:rsid w:val="57467F4A"/>
    <w:rsid w:val="5F7F1F76"/>
    <w:rsid w:val="6FFEF730"/>
    <w:rsid w:val="77EF6C6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8"/>
    <w:semiHidden/>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rPr>
      <w:rFonts w:ascii="仿宋" w:hAnsi="仿宋" w:eastAsia="仿宋"/>
      <w:sz w:val="36"/>
      <w:szCs w:val="36"/>
    </w:r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6">
    <w:name w:val="标题 1 Char"/>
    <w:basedOn w:val="13"/>
    <w:link w:val="2"/>
    <w:locked/>
    <w:uiPriority w:val="99"/>
    <w:rPr>
      <w:rFonts w:ascii="Times New Roman" w:hAnsi="Times New Roman" w:cs="Times New Roman"/>
      <w:b/>
      <w:bCs/>
      <w:kern w:val="44"/>
      <w:sz w:val="44"/>
      <w:szCs w:val="44"/>
    </w:rPr>
  </w:style>
  <w:style w:type="character" w:customStyle="1" w:styleId="17">
    <w:name w:val="标题 2 Char"/>
    <w:basedOn w:val="13"/>
    <w:link w:val="3"/>
    <w:qFormat/>
    <w:locked/>
    <w:uiPriority w:val="99"/>
    <w:rPr>
      <w:rFonts w:ascii="Cambria" w:hAnsi="Cambria" w:eastAsia="宋体" w:cs="Times New Roman"/>
      <w:b/>
      <w:bCs/>
      <w:kern w:val="2"/>
      <w:sz w:val="32"/>
      <w:szCs w:val="32"/>
    </w:rPr>
  </w:style>
  <w:style w:type="character" w:customStyle="1" w:styleId="18">
    <w:name w:val="标题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locked/>
    <w:uiPriority w:val="99"/>
    <w:rPr>
      <w:rFonts w:ascii="Times New Roman" w:hAnsi="Times New Roman" w:cs="Times New Roman"/>
      <w:sz w:val="24"/>
      <w:szCs w:val="24"/>
    </w:rPr>
  </w:style>
  <w:style w:type="character" w:customStyle="1" w:styleId="20">
    <w:name w:val="Footer Char"/>
    <w:basedOn w:val="13"/>
    <w:link w:val="8"/>
    <w:semiHidden/>
    <w:qFormat/>
    <w:locked/>
    <w:uiPriority w:val="99"/>
    <w:rPr>
      <w:rFonts w:ascii="Times New Roman" w:hAnsi="Times New Roman" w:cs="Times New Roman"/>
      <w:sz w:val="18"/>
      <w:szCs w:val="18"/>
    </w:rPr>
  </w:style>
  <w:style w:type="character" w:customStyle="1" w:styleId="21">
    <w:name w:val="Header Char"/>
    <w:basedOn w:val="13"/>
    <w:link w:val="9"/>
    <w:semiHidden/>
    <w:qFormat/>
    <w:locked/>
    <w:uiPriority w:val="99"/>
    <w:rPr>
      <w:rFonts w:ascii="Times New Roman" w:hAnsi="Times New Roman" w:cs="Times New Roman"/>
      <w:sz w:val="18"/>
      <w:szCs w:val="18"/>
    </w:rPr>
  </w:style>
  <w:style w:type="character" w:customStyle="1" w:styleId="22">
    <w:name w:val="页眉 Char"/>
    <w:link w:val="9"/>
    <w:semiHidden/>
    <w:qFormat/>
    <w:locked/>
    <w:uiPriority w:val="99"/>
    <w:rPr>
      <w:sz w:val="18"/>
    </w:rPr>
  </w:style>
  <w:style w:type="character" w:customStyle="1" w:styleId="23">
    <w:name w:val="页脚 Char"/>
    <w:link w:val="8"/>
    <w:qFormat/>
    <w:locked/>
    <w:uiPriority w:val="99"/>
    <w:rPr>
      <w:sz w:val="18"/>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99"/>
    <w:pPr>
      <w:ind w:firstLine="420" w:firstLineChars="200"/>
    </w:pPr>
  </w:style>
  <w:style w:type="paragraph" w:customStyle="1" w:styleId="27">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8">
    <w:name w:val="批注框文本 Char"/>
    <w:basedOn w:val="13"/>
    <w:link w:val="7"/>
    <w:semiHidden/>
    <w:qFormat/>
    <w:locked/>
    <w:uiPriority w:val="99"/>
    <w:rPr>
      <w:rFonts w:ascii="Times New Roman" w:hAnsi="Times New Roman"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064748201439"/>
          <c:y val="0.10989010989011"/>
          <c:w val="0.579136690647482"/>
          <c:h val="0.692307692307693"/>
        </c:manualLayout>
      </c:layout>
      <c:barChart>
        <c:barDir val="col"/>
        <c:grouping val="clustered"/>
        <c:varyColors val="0"/>
        <c:ser>
          <c:idx val="0"/>
          <c:order val="0"/>
          <c:tx>
            <c:strRef>
              <c:f>Sheet1!$A$2</c:f>
              <c:strCache>
                <c:ptCount val="1"/>
                <c:pt idx="0">
                  <c:v>2018年</c:v>
                </c:pt>
              </c:strCache>
            </c:strRef>
          </c:tx>
          <c:spPr>
            <a:solidFill>
              <a:srgbClr val="9999FF"/>
            </a:solidFill>
            <a:ln w="9497">
              <a:solidFill>
                <a:srgbClr val="000000"/>
              </a:solidFill>
              <a:prstDash val="solid"/>
            </a:ln>
          </c:spPr>
          <c:invertIfNegative val="0"/>
          <c:dLbls>
            <c:delete val="1"/>
          </c:dLbls>
          <c:cat>
            <c:strRef>
              <c:f>Sheet1!$B$1:$C$1</c:f>
              <c:strCache>
                <c:ptCount val="2"/>
                <c:pt idx="0">
                  <c:v>收入</c:v>
                </c:pt>
                <c:pt idx="1">
                  <c:v>支出</c:v>
                </c:pt>
              </c:strCache>
            </c:strRef>
          </c:cat>
          <c:val>
            <c:numRef>
              <c:f>Sheet1!$B$2:$C$2</c:f>
              <c:numCache>
                <c:formatCode>General</c:formatCode>
                <c:ptCount val="2"/>
                <c:pt idx="0">
                  <c:v>1269.45</c:v>
                </c:pt>
                <c:pt idx="1">
                  <c:v>1168.95</c:v>
                </c:pt>
              </c:numCache>
            </c:numRef>
          </c:val>
        </c:ser>
        <c:ser>
          <c:idx val="1"/>
          <c:order val="1"/>
          <c:tx>
            <c:strRef>
              <c:f>Sheet1!$A$3</c:f>
              <c:strCache>
                <c:ptCount val="1"/>
                <c:pt idx="0">
                  <c:v>2017年</c:v>
                </c:pt>
              </c:strCache>
            </c:strRef>
          </c:tx>
          <c:spPr>
            <a:solidFill>
              <a:srgbClr val="993366"/>
            </a:solidFill>
            <a:ln w="9497">
              <a:solidFill>
                <a:srgbClr val="000000"/>
              </a:solidFill>
              <a:prstDash val="solid"/>
            </a:ln>
          </c:spPr>
          <c:invertIfNegative val="0"/>
          <c:dLbls>
            <c:delete val="1"/>
          </c:dLbls>
          <c:cat>
            <c:strRef>
              <c:f>Sheet1!$B$1:$C$1</c:f>
              <c:strCache>
                <c:ptCount val="2"/>
                <c:pt idx="0">
                  <c:v>收入</c:v>
                </c:pt>
                <c:pt idx="1">
                  <c:v>支出</c:v>
                </c:pt>
              </c:strCache>
            </c:strRef>
          </c:cat>
          <c:val>
            <c:numRef>
              <c:f>Sheet1!$B$3:$C$3</c:f>
              <c:numCache>
                <c:formatCode>General</c:formatCode>
                <c:ptCount val="2"/>
                <c:pt idx="0">
                  <c:v>688.21</c:v>
                </c:pt>
                <c:pt idx="1">
                  <c:v>556.21</c:v>
                </c:pt>
              </c:numCache>
            </c:numRef>
          </c:val>
        </c:ser>
        <c:dLbls>
          <c:showLegendKey val="0"/>
          <c:showVal val="0"/>
          <c:showCatName val="0"/>
          <c:showSerName val="0"/>
          <c:showPercent val="0"/>
          <c:showBubbleSize val="0"/>
        </c:dLbls>
        <c:gapWidth val="100"/>
        <c:axId val="258398848"/>
        <c:axId val="266797440"/>
      </c:barChart>
      <c:catAx>
        <c:axId val="258398848"/>
        <c:scaling>
          <c:orientation val="minMax"/>
        </c:scaling>
        <c:delete val="0"/>
        <c:axPos val="b"/>
        <c:numFmt formatCode="General" sourceLinked="1"/>
        <c:majorTickMark val="in"/>
        <c:minorTickMark val="none"/>
        <c:tickLblPos val="nextTo"/>
        <c:spPr>
          <a:ln w="2374" cap="flat" cmpd="sng" algn="ctr">
            <a:solidFill>
              <a:srgbClr val="000000"/>
            </a:solidFill>
            <a:prstDash val="solid"/>
            <a:round/>
          </a:ln>
        </c:spPr>
        <c:txPr>
          <a:bodyPr rot="0" spcFirstLastPara="0" vertOverflow="ellipsis" vert="horz" wrap="square" anchor="ctr" anchorCtr="1"/>
          <a:lstStyle/>
          <a:p>
            <a:pPr>
              <a:defRPr lang="zh-CN" sz="675" b="0" i="0" u="none" strike="noStrike" kern="1200" baseline="0">
                <a:solidFill>
                  <a:srgbClr val="000000"/>
                </a:solidFill>
                <a:latin typeface="宋体" charset="-122"/>
                <a:ea typeface="宋体" charset="-122"/>
                <a:cs typeface="宋体" charset="-122"/>
              </a:defRPr>
            </a:pPr>
          </a:p>
        </c:txPr>
        <c:crossAx val="266797440"/>
        <c:crosses val="autoZero"/>
        <c:auto val="1"/>
        <c:lblAlgn val="ctr"/>
        <c:lblOffset val="100"/>
        <c:tickLblSkip val="1"/>
        <c:noMultiLvlLbl val="0"/>
      </c:catAx>
      <c:valAx>
        <c:axId val="266797440"/>
        <c:scaling>
          <c:orientation val="minMax"/>
        </c:scaling>
        <c:delete val="0"/>
        <c:axPos val="l"/>
        <c:majorGridlines>
          <c:spPr>
            <a:ln w="2374" cap="flat" cmpd="sng" algn="ctr">
              <a:solidFill>
                <a:srgbClr val="000000"/>
              </a:solidFill>
              <a:prstDash val="solid"/>
              <a:round/>
            </a:ln>
          </c:spPr>
        </c:majorGridlines>
        <c:numFmt formatCode="General" sourceLinked="1"/>
        <c:majorTickMark val="in"/>
        <c:minorTickMark val="none"/>
        <c:tickLblPos val="nextTo"/>
        <c:spPr>
          <a:ln w="2374" cap="flat" cmpd="sng" algn="ctr">
            <a:solidFill>
              <a:srgbClr val="000000"/>
            </a:solidFill>
            <a:prstDash val="solid"/>
            <a:round/>
          </a:ln>
        </c:spPr>
        <c:txPr>
          <a:bodyPr rot="0" spcFirstLastPara="0" vertOverflow="ellipsis" vert="horz" wrap="square" anchor="ctr" anchorCtr="1"/>
          <a:lstStyle/>
          <a:p>
            <a:pPr>
              <a:defRPr lang="zh-CN" sz="675" b="0" i="0" u="none" strike="noStrike" kern="1200" baseline="0">
                <a:solidFill>
                  <a:srgbClr val="000000"/>
                </a:solidFill>
                <a:latin typeface="宋体" charset="-122"/>
                <a:ea typeface="宋体" charset="-122"/>
                <a:cs typeface="宋体" charset="-122"/>
              </a:defRPr>
            </a:pPr>
          </a:p>
        </c:txPr>
        <c:crossAx val="258398848"/>
        <c:crosses val="autoZero"/>
        <c:crossBetween val="between"/>
      </c:valAx>
      <c:spPr>
        <a:noFill/>
        <a:ln w="18993">
          <a:noFill/>
        </a:ln>
      </c:spPr>
    </c:plotArea>
    <c:legend>
      <c:legendPos val="r"/>
      <c:layout>
        <c:manualLayout>
          <c:xMode val="edge"/>
          <c:yMode val="edge"/>
          <c:x val="0.784172661870503"/>
          <c:y val="0.357142857142857"/>
          <c:w val="0.201438848920863"/>
          <c:h val="0.192307692307692"/>
        </c:manualLayout>
      </c:layout>
      <c:overlay val="0"/>
      <c:spPr>
        <a:noFill/>
        <a:ln w="2374">
          <a:solidFill>
            <a:srgbClr val="000000"/>
          </a:solidFill>
          <a:prstDash val="solid"/>
        </a:ln>
      </c:spPr>
      <c:txPr>
        <a:bodyPr rot="0" spcFirstLastPara="0" vertOverflow="ellipsis" vert="horz" wrap="square" anchor="ctr" anchorCtr="1"/>
        <a:lstStyle/>
        <a:p>
          <a:pPr>
            <a:defRPr lang="zh-CN" sz="615" b="0" i="0" u="none" strike="noStrike" kern="1200" baseline="0">
              <a:solidFill>
                <a:srgbClr val="000000"/>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c69acd9b-7b3e-4ea0-8f58-30ec815638f1}"/>
      </c:ext>
    </c:extLst>
  </c:chart>
  <c:spPr>
    <a:noFill/>
    <a:ln w="9525" cap="flat" cmpd="sng" algn="ctr">
      <a:noFill/>
      <a:prstDash val="solid"/>
      <a:round/>
    </a:ln>
  </c:spPr>
  <c:txPr>
    <a:bodyPr/>
    <a:lstStyle/>
    <a:p>
      <a:pPr>
        <a:defRPr lang="zh-CN" sz="67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8"/>
          <c:y val="0.115384615384615"/>
          <c:w val="0.507194244604317"/>
          <c:h val="0.774725274725275"/>
        </c:manualLayout>
      </c:layout>
      <c:pieChart>
        <c:varyColors val="1"/>
        <c:ser>
          <c:idx val="0"/>
          <c:order val="0"/>
          <c:tx>
            <c:strRef>
              <c:f>Sheet1!$A$2</c:f>
              <c:strCache>
                <c:ptCount val="1"/>
                <c:pt idx="0">
                  <c:v>2018年</c:v>
                </c:pt>
              </c:strCache>
            </c:strRef>
          </c:tx>
          <c:spPr>
            <a:solidFill>
              <a:srgbClr val="9999FF"/>
            </a:solidFill>
            <a:ln w="9497">
              <a:solidFill>
                <a:srgbClr val="000000"/>
              </a:solidFill>
              <a:prstDash val="solid"/>
            </a:ln>
          </c:spPr>
          <c:explosion val="0"/>
          <c:dPt>
            <c:idx val="0"/>
            <c:bubble3D val="0"/>
            <c:spPr>
              <a:solidFill>
                <a:srgbClr val="9999FF"/>
              </a:solidFill>
              <a:ln w="9497">
                <a:solidFill>
                  <a:srgbClr val="000000"/>
                </a:solidFill>
                <a:prstDash val="solid"/>
              </a:ln>
            </c:spPr>
          </c:dPt>
          <c:dPt>
            <c:idx val="1"/>
            <c:bubble3D val="0"/>
            <c:spPr>
              <a:solidFill>
                <a:srgbClr val="993366"/>
              </a:solidFill>
              <a:ln w="9497">
                <a:solidFill>
                  <a:srgbClr val="000000"/>
                </a:solidFill>
                <a:prstDash val="solid"/>
              </a:ln>
            </c:spPr>
          </c:dPt>
          <c:dLbls>
            <c:delete val="1"/>
          </c:dLbls>
          <c:cat>
            <c:strRef>
              <c:f>Sheet1!$B$1:$C$1</c:f>
              <c:strCache>
                <c:ptCount val="2"/>
                <c:pt idx="0">
                  <c:v>一般公共预算财政拨款收入</c:v>
                </c:pt>
                <c:pt idx="1">
                  <c:v>政府性基金预算财政拨款收入</c:v>
                </c:pt>
              </c:strCache>
            </c:strRef>
          </c:cat>
          <c:val>
            <c:numRef>
              <c:f>Sheet1!$B$2:$C$2</c:f>
              <c:numCache>
                <c:formatCode>General</c:formatCode>
                <c:ptCount val="2"/>
                <c:pt idx="0">
                  <c:v>806.88</c:v>
                </c:pt>
                <c:pt idx="1">
                  <c:v>462.57</c:v>
                </c:pt>
              </c:numCache>
            </c:numRef>
          </c:val>
        </c:ser>
        <c:dLbls>
          <c:showLegendKey val="0"/>
          <c:showVal val="0"/>
          <c:showCatName val="0"/>
          <c:showSerName val="0"/>
          <c:showPercent val="0"/>
          <c:showBubbleSize val="0"/>
          <c:showLeaderLines val="1"/>
        </c:dLbls>
        <c:firstSliceAng val="0"/>
      </c:pieChart>
      <c:spPr>
        <a:noFill/>
        <a:ln w="18993">
          <a:noFill/>
        </a:ln>
      </c:spPr>
    </c:plotArea>
    <c:legend>
      <c:legendPos val="r"/>
      <c:layout>
        <c:manualLayout>
          <c:xMode val="edge"/>
          <c:yMode val="edge"/>
          <c:x val="0.654676258992806"/>
          <c:y val="0.247252747252747"/>
          <c:w val="0.330935251798561"/>
          <c:h val="0.5"/>
        </c:manualLayout>
      </c:layout>
      <c:overlay val="0"/>
      <c:spPr>
        <a:noFill/>
        <a:ln w="2374">
          <a:solidFill>
            <a:srgbClr val="000000"/>
          </a:solidFill>
          <a:prstDash val="solid"/>
        </a:ln>
      </c:spPr>
      <c:txPr>
        <a:bodyPr rot="0" spcFirstLastPara="0" vertOverflow="ellipsis" vert="horz" wrap="square" anchor="ctr" anchorCtr="1"/>
        <a:lstStyle/>
        <a:p>
          <a:pPr>
            <a:defRPr lang="zh-CN" sz="615" b="0" i="0" u="none" strike="noStrike" kern="1200" baseline="0">
              <a:solidFill>
                <a:srgbClr val="000000"/>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69ef7dd1-ec60-48ec-9a66-856dfeba0af6}"/>
      </c:ext>
    </c:extLst>
  </c:chart>
  <c:spPr>
    <a:noFill/>
    <a:ln w="9525" cap="flat" cmpd="sng" algn="ctr">
      <a:noFill/>
      <a:prstDash val="solid"/>
      <a:round/>
    </a:ln>
  </c:spPr>
  <c:txPr>
    <a:bodyPr/>
    <a:lstStyle/>
    <a:p>
      <a:pPr>
        <a:defRPr lang="zh-CN" sz="67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107913669065"/>
          <c:y val="0.115384615384615"/>
          <c:w val="0.510791366906475"/>
          <c:h val="0.78021978021978"/>
        </c:manualLayout>
      </c:layout>
      <c:pieChart>
        <c:varyColors val="1"/>
        <c:ser>
          <c:idx val="0"/>
          <c:order val="0"/>
          <c:tx>
            <c:strRef>
              <c:f>Sheet1!$A$2</c:f>
              <c:strCache>
                <c:ptCount val="1"/>
                <c:pt idx="0">
                  <c:v>2018年</c:v>
                </c:pt>
              </c:strCache>
            </c:strRef>
          </c:tx>
          <c:spPr>
            <a:solidFill>
              <a:srgbClr val="9999FF"/>
            </a:solidFill>
            <a:ln w="9497">
              <a:solidFill>
                <a:srgbClr val="000000"/>
              </a:solidFill>
              <a:prstDash val="solid"/>
            </a:ln>
          </c:spPr>
          <c:explosion val="0"/>
          <c:dPt>
            <c:idx val="0"/>
            <c:bubble3D val="0"/>
            <c:spPr>
              <a:solidFill>
                <a:srgbClr val="9999FF"/>
              </a:solidFill>
              <a:ln w="9497">
                <a:solidFill>
                  <a:srgbClr val="000000"/>
                </a:solidFill>
                <a:prstDash val="solid"/>
              </a:ln>
            </c:spPr>
          </c:dPt>
          <c:dPt>
            <c:idx val="1"/>
            <c:bubble3D val="0"/>
            <c:spPr>
              <a:solidFill>
                <a:srgbClr val="993366"/>
              </a:solidFill>
              <a:ln w="9497">
                <a:solidFill>
                  <a:srgbClr val="000000"/>
                </a:solidFill>
                <a:prstDash val="solid"/>
              </a:ln>
            </c:spPr>
          </c:dPt>
          <c:dLbls>
            <c:delete val="1"/>
          </c:dLbls>
          <c:cat>
            <c:strRef>
              <c:f>Sheet1!$B$1:$C$1</c:f>
              <c:strCache>
                <c:ptCount val="2"/>
                <c:pt idx="0">
                  <c:v>基本支出</c:v>
                </c:pt>
                <c:pt idx="1">
                  <c:v>项目支出</c:v>
                </c:pt>
              </c:strCache>
            </c:strRef>
          </c:cat>
          <c:val>
            <c:numRef>
              <c:f>Sheet1!$B$2:$C$2</c:f>
              <c:numCache>
                <c:formatCode>General</c:formatCode>
                <c:ptCount val="2"/>
                <c:pt idx="0">
                  <c:v>20.4</c:v>
                </c:pt>
                <c:pt idx="1">
                  <c:v>27.4</c:v>
                </c:pt>
              </c:numCache>
            </c:numRef>
          </c:val>
        </c:ser>
        <c:dLbls>
          <c:showLegendKey val="0"/>
          <c:showVal val="0"/>
          <c:showCatName val="0"/>
          <c:showSerName val="0"/>
          <c:showPercent val="0"/>
          <c:showBubbleSize val="0"/>
          <c:showLeaderLines val="1"/>
        </c:dLbls>
        <c:firstSliceAng val="0"/>
      </c:pieChart>
      <c:spPr>
        <a:noFill/>
        <a:ln w="18993">
          <a:noFill/>
        </a:ln>
      </c:spPr>
    </c:plotArea>
    <c:legend>
      <c:legendPos val="r"/>
      <c:layout>
        <c:manualLayout>
          <c:xMode val="edge"/>
          <c:yMode val="edge"/>
          <c:x val="0.741007194244604"/>
          <c:y val="0.406593406593407"/>
          <c:w val="0.244604316546763"/>
          <c:h val="0.192307692307692"/>
        </c:manualLayout>
      </c:layout>
      <c:overlay val="0"/>
      <c:spPr>
        <a:noFill/>
        <a:ln w="2374">
          <a:solidFill>
            <a:srgbClr val="000000"/>
          </a:solidFill>
          <a:prstDash val="solid"/>
        </a:ln>
      </c:spPr>
      <c:txPr>
        <a:bodyPr rot="0" spcFirstLastPara="0" vertOverflow="ellipsis" vert="horz" wrap="square" anchor="ctr" anchorCtr="1"/>
        <a:lstStyle/>
        <a:p>
          <a:pPr>
            <a:defRPr lang="zh-CN" sz="615" b="0" i="0" u="none" strike="noStrike" kern="1200" baseline="0">
              <a:solidFill>
                <a:srgbClr val="000000"/>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4aac7125-af41-4177-9381-422b69aeb23a}"/>
      </c:ext>
    </c:extLst>
  </c:chart>
  <c:spPr>
    <a:noFill/>
    <a:ln w="9525" cap="flat" cmpd="sng" algn="ctr">
      <a:noFill/>
      <a:prstDash val="solid"/>
      <a:round/>
    </a:ln>
  </c:spPr>
  <c:txPr>
    <a:bodyPr/>
    <a:lstStyle/>
    <a:p>
      <a:pPr>
        <a:defRPr lang="zh-CN" sz="67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064748201439"/>
          <c:y val="0.10989010989011"/>
          <c:w val="0.579136690647482"/>
          <c:h val="0.692307692307693"/>
        </c:manualLayout>
      </c:layout>
      <c:barChart>
        <c:barDir val="col"/>
        <c:grouping val="clustered"/>
        <c:varyColors val="0"/>
        <c:ser>
          <c:idx val="0"/>
          <c:order val="0"/>
          <c:tx>
            <c:strRef>
              <c:f>Sheet1!$A$2</c:f>
              <c:strCache>
                <c:ptCount val="1"/>
                <c:pt idx="0">
                  <c:v>2018年</c:v>
                </c:pt>
              </c:strCache>
            </c:strRef>
          </c:tx>
          <c:spPr>
            <a:solidFill>
              <a:srgbClr val="9999FF"/>
            </a:solidFill>
            <a:ln w="9497">
              <a:solidFill>
                <a:srgbClr val="000000"/>
              </a:solidFill>
              <a:prstDash val="solid"/>
            </a:ln>
          </c:spPr>
          <c:invertIfNegative val="0"/>
          <c:dLbls>
            <c:delete val="1"/>
          </c:dLbls>
          <c:cat>
            <c:strRef>
              <c:f>Sheet1!$B$1:$C$1</c:f>
              <c:strCache>
                <c:ptCount val="2"/>
                <c:pt idx="0">
                  <c:v>财政拨款收入</c:v>
                </c:pt>
                <c:pt idx="1">
                  <c:v>财政拨款支出</c:v>
                </c:pt>
              </c:strCache>
            </c:strRef>
          </c:cat>
          <c:val>
            <c:numRef>
              <c:f>Sheet1!$B$2:$C$2</c:f>
              <c:numCache>
                <c:formatCode>General</c:formatCode>
                <c:ptCount val="2"/>
                <c:pt idx="0">
                  <c:v>1269.45</c:v>
                </c:pt>
                <c:pt idx="1">
                  <c:v>1168.95</c:v>
                </c:pt>
              </c:numCache>
            </c:numRef>
          </c:val>
        </c:ser>
        <c:ser>
          <c:idx val="1"/>
          <c:order val="1"/>
          <c:tx>
            <c:strRef>
              <c:f>Sheet1!$A$3</c:f>
              <c:strCache>
                <c:ptCount val="1"/>
                <c:pt idx="0">
                  <c:v>2017年</c:v>
                </c:pt>
              </c:strCache>
            </c:strRef>
          </c:tx>
          <c:spPr>
            <a:solidFill>
              <a:srgbClr val="993366"/>
            </a:solidFill>
            <a:ln w="9497">
              <a:solidFill>
                <a:srgbClr val="000000"/>
              </a:solidFill>
              <a:prstDash val="solid"/>
            </a:ln>
          </c:spPr>
          <c:invertIfNegative val="0"/>
          <c:dLbls>
            <c:delete val="1"/>
          </c:dLbls>
          <c:cat>
            <c:strRef>
              <c:f>Sheet1!$B$1:$C$1</c:f>
              <c:strCache>
                <c:ptCount val="2"/>
                <c:pt idx="0">
                  <c:v>财政拨款收入</c:v>
                </c:pt>
                <c:pt idx="1">
                  <c:v>财政拨款支出</c:v>
                </c:pt>
              </c:strCache>
            </c:strRef>
          </c:cat>
          <c:val>
            <c:numRef>
              <c:f>Sheet1!$B$3:$C$3</c:f>
              <c:numCache>
                <c:formatCode>General</c:formatCode>
                <c:ptCount val="2"/>
                <c:pt idx="0">
                  <c:v>688.21</c:v>
                </c:pt>
                <c:pt idx="1">
                  <c:v>556.21</c:v>
                </c:pt>
              </c:numCache>
            </c:numRef>
          </c:val>
        </c:ser>
        <c:dLbls>
          <c:showLegendKey val="0"/>
          <c:showVal val="0"/>
          <c:showCatName val="0"/>
          <c:showSerName val="0"/>
          <c:showPercent val="0"/>
          <c:showBubbleSize val="0"/>
        </c:dLbls>
        <c:gapWidth val="100"/>
        <c:axId val="267444224"/>
        <c:axId val="267445760"/>
      </c:barChart>
      <c:catAx>
        <c:axId val="267444224"/>
        <c:scaling>
          <c:orientation val="minMax"/>
        </c:scaling>
        <c:delete val="0"/>
        <c:axPos val="b"/>
        <c:numFmt formatCode="General" sourceLinked="1"/>
        <c:majorTickMark val="in"/>
        <c:minorTickMark val="none"/>
        <c:tickLblPos val="nextTo"/>
        <c:spPr>
          <a:ln w="2374" cap="flat" cmpd="sng" algn="ctr">
            <a:solidFill>
              <a:srgbClr val="000000"/>
            </a:solidFill>
            <a:prstDash val="solid"/>
            <a:round/>
          </a:ln>
        </c:spPr>
        <c:txPr>
          <a:bodyPr rot="0" spcFirstLastPara="0" vertOverflow="ellipsis" vert="horz" wrap="square" anchor="ctr" anchorCtr="1"/>
          <a:lstStyle/>
          <a:p>
            <a:pPr>
              <a:defRPr lang="zh-CN" sz="675" b="0" i="0" u="none" strike="noStrike" kern="1200" baseline="0">
                <a:solidFill>
                  <a:srgbClr val="000000"/>
                </a:solidFill>
                <a:latin typeface="宋体" charset="-122"/>
                <a:ea typeface="宋体" charset="-122"/>
                <a:cs typeface="宋体" charset="-122"/>
              </a:defRPr>
            </a:pPr>
          </a:p>
        </c:txPr>
        <c:crossAx val="267445760"/>
        <c:crosses val="autoZero"/>
        <c:auto val="1"/>
        <c:lblAlgn val="ctr"/>
        <c:lblOffset val="100"/>
        <c:tickLblSkip val="1"/>
        <c:noMultiLvlLbl val="0"/>
      </c:catAx>
      <c:valAx>
        <c:axId val="267445760"/>
        <c:scaling>
          <c:orientation val="minMax"/>
        </c:scaling>
        <c:delete val="0"/>
        <c:axPos val="l"/>
        <c:majorGridlines>
          <c:spPr>
            <a:ln w="2374" cap="flat" cmpd="sng" algn="ctr">
              <a:solidFill>
                <a:srgbClr val="000000"/>
              </a:solidFill>
              <a:prstDash val="solid"/>
              <a:round/>
            </a:ln>
          </c:spPr>
        </c:majorGridlines>
        <c:numFmt formatCode="General" sourceLinked="1"/>
        <c:majorTickMark val="in"/>
        <c:minorTickMark val="none"/>
        <c:tickLblPos val="nextTo"/>
        <c:spPr>
          <a:ln w="2374" cap="flat" cmpd="sng" algn="ctr">
            <a:solidFill>
              <a:srgbClr val="000000"/>
            </a:solidFill>
            <a:prstDash val="solid"/>
            <a:round/>
          </a:ln>
        </c:spPr>
        <c:txPr>
          <a:bodyPr rot="0" spcFirstLastPara="0" vertOverflow="ellipsis" vert="horz" wrap="square" anchor="ctr" anchorCtr="1"/>
          <a:lstStyle/>
          <a:p>
            <a:pPr>
              <a:defRPr lang="zh-CN" sz="675" b="0" i="0" u="none" strike="noStrike" kern="1200" baseline="0">
                <a:solidFill>
                  <a:srgbClr val="000000"/>
                </a:solidFill>
                <a:latin typeface="宋体" charset="-122"/>
                <a:ea typeface="宋体" charset="-122"/>
                <a:cs typeface="宋体" charset="-122"/>
              </a:defRPr>
            </a:pPr>
          </a:p>
        </c:txPr>
        <c:crossAx val="267444224"/>
        <c:crosses val="autoZero"/>
        <c:crossBetween val="between"/>
      </c:valAx>
      <c:spPr>
        <a:noFill/>
        <a:ln w="18993">
          <a:noFill/>
        </a:ln>
      </c:spPr>
    </c:plotArea>
    <c:legend>
      <c:legendPos val="r"/>
      <c:layout>
        <c:manualLayout>
          <c:xMode val="edge"/>
          <c:yMode val="edge"/>
          <c:x val="0.784172661870503"/>
          <c:y val="0.357142857142857"/>
          <c:w val="0.201438848920863"/>
          <c:h val="0.192307692307692"/>
        </c:manualLayout>
      </c:layout>
      <c:overlay val="0"/>
      <c:spPr>
        <a:noFill/>
        <a:ln w="2374">
          <a:solidFill>
            <a:srgbClr val="000000"/>
          </a:solidFill>
          <a:prstDash val="solid"/>
        </a:ln>
      </c:spPr>
      <c:txPr>
        <a:bodyPr rot="0" spcFirstLastPara="0" vertOverflow="ellipsis" vert="horz" wrap="square" anchor="ctr" anchorCtr="1"/>
        <a:lstStyle/>
        <a:p>
          <a:pPr>
            <a:defRPr lang="zh-CN" sz="615" b="0" i="0" u="none" strike="noStrike" kern="1200" baseline="0">
              <a:solidFill>
                <a:srgbClr val="000000"/>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53d1a1b3-1364-4a96-853f-0d00b301d24c}"/>
      </c:ext>
    </c:extLst>
  </c:chart>
  <c:spPr>
    <a:noFill/>
    <a:ln w="9525" cap="flat" cmpd="sng" algn="ctr">
      <a:noFill/>
      <a:prstDash val="solid"/>
      <a:round/>
    </a:ln>
  </c:spPr>
  <c:txPr>
    <a:bodyPr/>
    <a:lstStyle/>
    <a:p>
      <a:pPr>
        <a:defRPr lang="zh-CN" sz="67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82014388489"/>
          <c:y val="0.10989010989011"/>
          <c:w val="0.600719424460432"/>
          <c:h val="0.692307692307693"/>
        </c:manualLayout>
      </c:layout>
      <c:barChart>
        <c:barDir val="col"/>
        <c:grouping val="clustered"/>
        <c:varyColors val="0"/>
        <c:ser>
          <c:idx val="0"/>
          <c:order val="0"/>
          <c:tx>
            <c:strRef>
              <c:f>Sheet1!$A$2</c:f>
              <c:strCache>
                <c:ptCount val="1"/>
                <c:pt idx="0">
                  <c:v>2018年</c:v>
                </c:pt>
              </c:strCache>
            </c:strRef>
          </c:tx>
          <c:spPr>
            <a:solidFill>
              <a:srgbClr val="9999FF"/>
            </a:solidFill>
            <a:ln w="9497">
              <a:solidFill>
                <a:srgbClr val="000000"/>
              </a:solidFill>
              <a:prstDash val="solid"/>
            </a:ln>
          </c:spPr>
          <c:invertIfNegative val="0"/>
          <c:dLbls>
            <c:delete val="1"/>
          </c:dLbls>
          <c:cat>
            <c:strRef>
              <c:f>Sheet1!$B$1:$B$1</c:f>
              <c:strCache>
                <c:ptCount val="1"/>
                <c:pt idx="0">
                  <c:v>一般公共预算财政拨款支出</c:v>
                </c:pt>
              </c:strCache>
            </c:strRef>
          </c:cat>
          <c:val>
            <c:numRef>
              <c:f>Sheet1!$B$2:$B$2</c:f>
              <c:numCache>
                <c:formatCode>General</c:formatCode>
                <c:ptCount val="1"/>
                <c:pt idx="0">
                  <c:v>706.39</c:v>
                </c:pt>
              </c:numCache>
            </c:numRef>
          </c:val>
        </c:ser>
        <c:ser>
          <c:idx val="1"/>
          <c:order val="1"/>
          <c:tx>
            <c:strRef>
              <c:f>Sheet1!$A$3</c:f>
              <c:strCache>
                <c:ptCount val="1"/>
                <c:pt idx="0">
                  <c:v>2017年</c:v>
                </c:pt>
              </c:strCache>
            </c:strRef>
          </c:tx>
          <c:spPr>
            <a:solidFill>
              <a:srgbClr val="993366"/>
            </a:solidFill>
            <a:ln w="9497">
              <a:solidFill>
                <a:srgbClr val="000000"/>
              </a:solidFill>
              <a:prstDash val="solid"/>
            </a:ln>
          </c:spPr>
          <c:invertIfNegative val="0"/>
          <c:dLbls>
            <c:delete val="1"/>
          </c:dLbls>
          <c:cat>
            <c:strRef>
              <c:f>Sheet1!$B$1:$B$1</c:f>
              <c:strCache>
                <c:ptCount val="1"/>
                <c:pt idx="0">
                  <c:v>一般公共预算财政拨款支出</c:v>
                </c:pt>
              </c:strCache>
            </c:strRef>
          </c:cat>
          <c:val>
            <c:numRef>
              <c:f>Sheet1!$B$3:$B$3</c:f>
              <c:numCache>
                <c:formatCode>General</c:formatCode>
                <c:ptCount val="1"/>
                <c:pt idx="0">
                  <c:v>556.21</c:v>
                </c:pt>
              </c:numCache>
            </c:numRef>
          </c:val>
        </c:ser>
        <c:dLbls>
          <c:showLegendKey val="0"/>
          <c:showVal val="0"/>
          <c:showCatName val="0"/>
          <c:showSerName val="0"/>
          <c:showPercent val="0"/>
          <c:showBubbleSize val="0"/>
        </c:dLbls>
        <c:gapWidth val="100"/>
        <c:axId val="256407040"/>
        <c:axId val="256408576"/>
      </c:barChart>
      <c:catAx>
        <c:axId val="256407040"/>
        <c:scaling>
          <c:orientation val="minMax"/>
        </c:scaling>
        <c:delete val="0"/>
        <c:axPos val="b"/>
        <c:numFmt formatCode="General" sourceLinked="1"/>
        <c:majorTickMark val="in"/>
        <c:minorTickMark val="none"/>
        <c:tickLblPos val="nextTo"/>
        <c:spPr>
          <a:ln w="2374" cap="flat" cmpd="sng" algn="ctr">
            <a:solidFill>
              <a:srgbClr val="000000"/>
            </a:solidFill>
            <a:prstDash val="solid"/>
            <a:round/>
          </a:ln>
        </c:spPr>
        <c:txPr>
          <a:bodyPr rot="0" spcFirstLastPara="0" vertOverflow="ellipsis" vert="horz" wrap="square" anchor="ctr" anchorCtr="1"/>
          <a:lstStyle/>
          <a:p>
            <a:pPr>
              <a:defRPr lang="zh-CN" sz="675" b="0" i="0" u="none" strike="noStrike" kern="1200" baseline="0">
                <a:solidFill>
                  <a:srgbClr val="000000"/>
                </a:solidFill>
                <a:latin typeface="宋体" charset="-122"/>
                <a:ea typeface="宋体" charset="-122"/>
                <a:cs typeface="宋体" charset="-122"/>
              </a:defRPr>
            </a:pPr>
          </a:p>
        </c:txPr>
        <c:crossAx val="256408576"/>
        <c:crosses val="autoZero"/>
        <c:auto val="1"/>
        <c:lblAlgn val="ctr"/>
        <c:lblOffset val="100"/>
        <c:tickLblSkip val="1"/>
        <c:noMultiLvlLbl val="0"/>
      </c:catAx>
      <c:valAx>
        <c:axId val="256408576"/>
        <c:scaling>
          <c:orientation val="minMax"/>
        </c:scaling>
        <c:delete val="0"/>
        <c:axPos val="l"/>
        <c:majorGridlines>
          <c:spPr>
            <a:ln w="2374" cap="flat" cmpd="sng" algn="ctr">
              <a:solidFill>
                <a:srgbClr val="000000"/>
              </a:solidFill>
              <a:prstDash val="solid"/>
              <a:round/>
            </a:ln>
          </c:spPr>
        </c:majorGridlines>
        <c:numFmt formatCode="General" sourceLinked="1"/>
        <c:majorTickMark val="in"/>
        <c:minorTickMark val="none"/>
        <c:tickLblPos val="nextTo"/>
        <c:spPr>
          <a:ln w="2374" cap="flat" cmpd="sng" algn="ctr">
            <a:solidFill>
              <a:srgbClr val="000000"/>
            </a:solidFill>
            <a:prstDash val="solid"/>
            <a:round/>
          </a:ln>
        </c:spPr>
        <c:txPr>
          <a:bodyPr rot="0" spcFirstLastPara="0" vertOverflow="ellipsis" vert="horz" wrap="square" anchor="ctr" anchorCtr="1"/>
          <a:lstStyle/>
          <a:p>
            <a:pPr>
              <a:defRPr lang="zh-CN" sz="675" b="0" i="0" u="none" strike="noStrike" kern="1200" baseline="0">
                <a:solidFill>
                  <a:srgbClr val="000000"/>
                </a:solidFill>
                <a:latin typeface="宋体" charset="-122"/>
                <a:ea typeface="宋体" charset="-122"/>
                <a:cs typeface="宋体" charset="-122"/>
              </a:defRPr>
            </a:pPr>
          </a:p>
        </c:txPr>
        <c:crossAx val="256407040"/>
        <c:crosses val="autoZero"/>
        <c:crossBetween val="between"/>
      </c:valAx>
      <c:spPr>
        <a:noFill/>
        <a:ln w="18993">
          <a:noFill/>
        </a:ln>
      </c:spPr>
    </c:plotArea>
    <c:legend>
      <c:legendPos val="r"/>
      <c:layout>
        <c:manualLayout>
          <c:xMode val="edge"/>
          <c:yMode val="edge"/>
          <c:x val="0.784172661870503"/>
          <c:y val="0.357142857142857"/>
          <c:w val="0.201438848920863"/>
          <c:h val="0.192307692307692"/>
        </c:manualLayout>
      </c:layout>
      <c:overlay val="0"/>
      <c:spPr>
        <a:noFill/>
        <a:ln w="2374">
          <a:solidFill>
            <a:srgbClr val="000000"/>
          </a:solidFill>
          <a:prstDash val="solid"/>
        </a:ln>
      </c:spPr>
      <c:txPr>
        <a:bodyPr rot="0" spcFirstLastPara="0" vertOverflow="ellipsis" vert="horz" wrap="square" anchor="ctr" anchorCtr="1"/>
        <a:lstStyle/>
        <a:p>
          <a:pPr>
            <a:defRPr lang="zh-CN" sz="615" b="0" i="0" u="none" strike="noStrike" kern="1200" baseline="0">
              <a:solidFill>
                <a:srgbClr val="000000"/>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514c2e4e-f302-4408-adb8-2cf988e947ba}"/>
      </c:ext>
    </c:extLst>
  </c:chart>
  <c:spPr>
    <a:noFill/>
    <a:ln w="9525" cap="flat" cmpd="sng" algn="ctr">
      <a:noFill/>
      <a:prstDash val="solid"/>
      <a:round/>
    </a:ln>
  </c:spPr>
  <c:txPr>
    <a:bodyPr/>
    <a:lstStyle/>
    <a:p>
      <a:pPr>
        <a:defRPr lang="zh-CN" sz="67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8"/>
          <c:y val="0.115384615384615"/>
          <c:w val="0.507194244604317"/>
          <c:h val="0.774725274725275"/>
        </c:manualLayout>
      </c:layout>
      <c:pieChart>
        <c:varyColors val="1"/>
        <c:ser>
          <c:idx val="0"/>
          <c:order val="0"/>
          <c:tx>
            <c:strRef>
              <c:f>Sheet1!$A$2</c:f>
              <c:strCache>
                <c:ptCount val="1"/>
                <c:pt idx="0">
                  <c:v>2018年</c:v>
                </c:pt>
              </c:strCache>
            </c:strRef>
          </c:tx>
          <c:spPr>
            <a:solidFill>
              <a:srgbClr val="9999FF"/>
            </a:solidFill>
            <a:ln w="9497">
              <a:solidFill>
                <a:srgbClr val="000000"/>
              </a:solidFill>
              <a:prstDash val="solid"/>
            </a:ln>
          </c:spPr>
          <c:explosion val="0"/>
          <c:dPt>
            <c:idx val="0"/>
            <c:bubble3D val="0"/>
            <c:spPr>
              <a:solidFill>
                <a:srgbClr val="9999FF"/>
              </a:solidFill>
              <a:ln w="9497">
                <a:solidFill>
                  <a:srgbClr val="000000"/>
                </a:solidFill>
                <a:prstDash val="solid"/>
              </a:ln>
            </c:spPr>
          </c:dPt>
          <c:dPt>
            <c:idx val="1"/>
            <c:bubble3D val="0"/>
            <c:spPr>
              <a:solidFill>
                <a:srgbClr val="993366"/>
              </a:solidFill>
              <a:ln w="9497">
                <a:solidFill>
                  <a:srgbClr val="000000"/>
                </a:solidFill>
                <a:prstDash val="solid"/>
              </a:ln>
            </c:spPr>
          </c:dPt>
          <c:dPt>
            <c:idx val="2"/>
            <c:bubble3D val="0"/>
            <c:spPr>
              <a:solidFill>
                <a:srgbClr val="FFFFCC"/>
              </a:solidFill>
              <a:ln w="9497">
                <a:solidFill>
                  <a:srgbClr val="000000"/>
                </a:solidFill>
                <a:prstDash val="solid"/>
              </a:ln>
            </c:spPr>
          </c:dPt>
          <c:dPt>
            <c:idx val="3"/>
            <c:bubble3D val="0"/>
            <c:spPr>
              <a:solidFill>
                <a:srgbClr val="CCFFFF"/>
              </a:solidFill>
              <a:ln w="9497">
                <a:solidFill>
                  <a:srgbClr val="000000"/>
                </a:solidFill>
                <a:prstDash val="solid"/>
              </a:ln>
            </c:spPr>
          </c:dPt>
          <c:dLbls>
            <c:delete val="1"/>
          </c:dLbls>
          <c:cat>
            <c:strRef>
              <c:f>Sheet1!$B$1:$E$1</c:f>
              <c:strCache>
                <c:ptCount val="4"/>
                <c:pt idx="0">
                  <c:v>一般公共服务支出</c:v>
                </c:pt>
                <c:pt idx="1">
                  <c:v>社会保障和就业支出</c:v>
                </c:pt>
                <c:pt idx="2">
                  <c:v>农林水支出</c:v>
                </c:pt>
                <c:pt idx="3">
                  <c:v>住房保障支出</c:v>
                </c:pt>
              </c:strCache>
            </c:strRef>
          </c:cat>
          <c:val>
            <c:numRef>
              <c:f>Sheet1!$B$2:$E$2</c:f>
              <c:numCache>
                <c:formatCode>General</c:formatCode>
                <c:ptCount val="4"/>
                <c:pt idx="0">
                  <c:v>469.5</c:v>
                </c:pt>
                <c:pt idx="1">
                  <c:v>24.81</c:v>
                </c:pt>
                <c:pt idx="2">
                  <c:v>192.5</c:v>
                </c:pt>
                <c:pt idx="3">
                  <c:v>19.58</c:v>
                </c:pt>
              </c:numCache>
            </c:numRef>
          </c:val>
        </c:ser>
        <c:dLbls>
          <c:showLegendKey val="0"/>
          <c:showVal val="0"/>
          <c:showCatName val="0"/>
          <c:showSerName val="0"/>
          <c:showPercent val="0"/>
          <c:showBubbleSize val="0"/>
          <c:showLeaderLines val="1"/>
        </c:dLbls>
        <c:firstSliceAng val="0"/>
      </c:pieChart>
      <c:spPr>
        <a:noFill/>
        <a:ln w="18993">
          <a:noFill/>
        </a:ln>
      </c:spPr>
    </c:plotArea>
    <c:legend>
      <c:legendPos val="r"/>
      <c:layout>
        <c:manualLayout>
          <c:xMode val="edge"/>
          <c:yMode val="edge"/>
          <c:x val="0.654676258992806"/>
          <c:y val="0.153846153846154"/>
          <c:w val="0.330935251798561"/>
          <c:h val="0.686813186813187"/>
        </c:manualLayout>
      </c:layout>
      <c:overlay val="0"/>
      <c:spPr>
        <a:noFill/>
        <a:ln w="2374">
          <a:solidFill>
            <a:srgbClr val="000000"/>
          </a:solidFill>
          <a:prstDash val="solid"/>
        </a:ln>
      </c:spPr>
      <c:txPr>
        <a:bodyPr rot="0" spcFirstLastPara="0" vertOverflow="ellipsis" vert="horz" wrap="square" anchor="ctr" anchorCtr="1"/>
        <a:lstStyle/>
        <a:p>
          <a:pPr>
            <a:defRPr lang="zh-CN" sz="615" b="0" i="0" u="none" strike="noStrike" kern="1200" baseline="0">
              <a:solidFill>
                <a:srgbClr val="000000"/>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4f45d086-f760-4253-8739-09e6a84c4962}"/>
      </c:ext>
    </c:extLst>
  </c:chart>
  <c:spPr>
    <a:noFill/>
    <a:ln w="9525" cap="flat" cmpd="sng" algn="ctr">
      <a:noFill/>
      <a:prstDash val="solid"/>
      <a:round/>
    </a:ln>
  </c:spPr>
  <c:txPr>
    <a:bodyPr/>
    <a:lstStyle/>
    <a:p>
      <a:pPr>
        <a:defRPr lang="zh-CN" sz="67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8"/>
          <c:y val="0.115384615384615"/>
          <c:w val="0.507194244604317"/>
          <c:h val="0.774725274725275"/>
        </c:manualLayout>
      </c:layout>
      <c:pieChart>
        <c:varyColors val="1"/>
        <c:ser>
          <c:idx val="0"/>
          <c:order val="0"/>
          <c:tx>
            <c:strRef>
              <c:f>Sheet1!$A$2</c:f>
              <c:strCache>
                <c:ptCount val="1"/>
                <c:pt idx="0">
                  <c:v>2018年</c:v>
                </c:pt>
              </c:strCache>
            </c:strRef>
          </c:tx>
          <c:spPr>
            <a:solidFill>
              <a:srgbClr val="9999FF"/>
            </a:solidFill>
            <a:ln w="9497">
              <a:solidFill>
                <a:srgbClr val="000000"/>
              </a:solidFill>
              <a:prstDash val="solid"/>
            </a:ln>
          </c:spPr>
          <c:explosion val="0"/>
          <c:dPt>
            <c:idx val="0"/>
            <c:bubble3D val="0"/>
            <c:spPr>
              <a:solidFill>
                <a:srgbClr val="9999FF"/>
              </a:solidFill>
              <a:ln w="9497">
                <a:solidFill>
                  <a:srgbClr val="000000"/>
                </a:solidFill>
                <a:prstDash val="solid"/>
              </a:ln>
            </c:spPr>
          </c:dPt>
          <c:dPt>
            <c:idx val="1"/>
            <c:bubble3D val="0"/>
            <c:spPr>
              <a:solidFill>
                <a:srgbClr val="993366"/>
              </a:solidFill>
              <a:ln w="9497">
                <a:solidFill>
                  <a:srgbClr val="000000"/>
                </a:solidFill>
                <a:prstDash val="solid"/>
              </a:ln>
            </c:spPr>
          </c:dPt>
          <c:dPt>
            <c:idx val="2"/>
            <c:bubble3D val="0"/>
            <c:spPr>
              <a:solidFill>
                <a:srgbClr val="FFFFCC"/>
              </a:solidFill>
              <a:ln w="9497">
                <a:solidFill>
                  <a:srgbClr val="000000"/>
                </a:solidFill>
                <a:prstDash val="solid"/>
              </a:ln>
            </c:spPr>
          </c:dPt>
          <c:dLbls>
            <c:delete val="1"/>
          </c:dLbls>
          <c:cat>
            <c:strRef>
              <c:f>Sheet1!$B$1:$D$1</c:f>
              <c:strCache>
                <c:ptCount val="3"/>
                <c:pt idx="0">
                  <c:v>因公出国（境）费支出</c:v>
                </c:pt>
                <c:pt idx="1">
                  <c:v>公务用车购置及运行维护费支出</c:v>
                </c:pt>
                <c:pt idx="2">
                  <c:v>公务接待费支出</c:v>
                </c:pt>
              </c:strCache>
            </c:strRef>
          </c:cat>
          <c:val>
            <c:numRef>
              <c:f>Sheet1!$B$2:$D$2</c:f>
              <c:numCache>
                <c:formatCode>General</c:formatCode>
                <c:ptCount val="3"/>
                <c:pt idx="0">
                  <c:v>0</c:v>
                </c:pt>
                <c:pt idx="1">
                  <c:v>0</c:v>
                </c:pt>
                <c:pt idx="2">
                  <c:v>3.72</c:v>
                </c:pt>
              </c:numCache>
            </c:numRef>
          </c:val>
        </c:ser>
        <c:dLbls>
          <c:showLegendKey val="0"/>
          <c:showVal val="0"/>
          <c:showCatName val="0"/>
          <c:showSerName val="0"/>
          <c:showPercent val="0"/>
          <c:showBubbleSize val="0"/>
          <c:showLeaderLines val="1"/>
        </c:dLbls>
        <c:firstSliceAng val="0"/>
      </c:pieChart>
      <c:spPr>
        <a:noFill/>
        <a:ln w="18993">
          <a:noFill/>
        </a:ln>
      </c:spPr>
    </c:plotArea>
    <c:legend>
      <c:legendPos val="r"/>
      <c:layout>
        <c:manualLayout>
          <c:xMode val="edge"/>
          <c:yMode val="edge"/>
          <c:x val="0.654676258992806"/>
          <c:y val="0.126373626373626"/>
          <c:w val="0.330935251798561"/>
          <c:h val="0.747252747252747"/>
        </c:manualLayout>
      </c:layout>
      <c:overlay val="0"/>
      <c:spPr>
        <a:noFill/>
        <a:ln w="2374">
          <a:solidFill>
            <a:srgbClr val="000000"/>
          </a:solidFill>
          <a:prstDash val="solid"/>
        </a:ln>
      </c:spPr>
      <c:txPr>
        <a:bodyPr rot="0" spcFirstLastPara="0" vertOverflow="ellipsis" vert="horz" wrap="square" anchor="ctr" anchorCtr="1"/>
        <a:lstStyle/>
        <a:p>
          <a:pPr>
            <a:defRPr lang="zh-CN" sz="615" b="0" i="0" u="none" strike="noStrike" kern="1200" baseline="0">
              <a:solidFill>
                <a:srgbClr val="000000"/>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37de2ccb-365b-49cc-af6e-35f4583bf12b}"/>
      </c:ext>
    </c:extLst>
  </c:chart>
  <c:spPr>
    <a:noFill/>
    <a:ln w="9525" cap="flat" cmpd="sng" algn="ctr">
      <a:noFill/>
      <a:prstDash val="solid"/>
      <a:round/>
    </a:ln>
  </c:spPr>
  <c:txPr>
    <a:bodyPr/>
    <a:lstStyle/>
    <a:p>
      <a:pPr>
        <a:defRPr lang="zh-CN" sz="675" b="0" i="0" u="none" strike="noStrike" baseline="0">
          <a:solidFill>
            <a:srgbClr val="000000"/>
          </a:solidFill>
          <a:latin typeface="宋体" charset="-122"/>
          <a:ea typeface="宋体" charset="-122"/>
          <a:cs typeface="宋体"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50</Pages>
  <Words>3427</Words>
  <Characters>19535</Characters>
  <Lines>162</Lines>
  <Paragraphs>45</Paragraphs>
  <TotalTime>16</TotalTime>
  <ScaleCrop>false</ScaleCrop>
  <LinksUpToDate>false</LinksUpToDate>
  <CharactersWithSpaces>22917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2021-04-17T11:14:00Z</dcterms:created>
  <dc:creator>张彬茜</dc:creator>
  <cp:lastModifiedBy> 回甘</cp:lastModifiedBy>
  <cp:lastPrinted>2019-08-01T08:48:00Z</cp:lastPrinted>
  <dcterms:modified xsi:type="dcterms:W3CDTF">2026-08-20T10:08:41Z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009BF17AC95B490C9706EDF497794DAF</vt:lpwstr>
  </property>
</Properties>
</file>