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E2E4">
      <w:pPr>
        <w:spacing w:line="600" w:lineRule="exact"/>
        <w:jc w:val="center"/>
        <w:outlineLvl w:val="0"/>
        <w:rPr>
          <w:rFonts w:hint="default" w:ascii="Times New Roman" w:hAnsi="Times New Roman" w:eastAsia="方正小标宋简体" w:cs="Times New Roman"/>
          <w:color w:val="000000"/>
          <w:sz w:val="72"/>
          <w:szCs w:val="72"/>
        </w:rPr>
      </w:pPr>
      <w:bookmarkStart w:id="113" w:name="_GoBack"/>
      <w:bookmarkEnd w:id="113"/>
      <w:bookmarkStart w:id="0" w:name="_Toc15306267"/>
    </w:p>
    <w:p w14:paraId="14AD8D29">
      <w:pPr>
        <w:spacing w:line="600" w:lineRule="exact"/>
        <w:jc w:val="center"/>
        <w:outlineLvl w:val="0"/>
        <w:rPr>
          <w:rFonts w:hint="default" w:ascii="Times New Roman" w:hAnsi="Times New Roman" w:eastAsia="方正小标宋简体" w:cs="Times New Roman"/>
          <w:color w:val="000000"/>
          <w:sz w:val="72"/>
          <w:szCs w:val="72"/>
        </w:rPr>
      </w:pPr>
    </w:p>
    <w:p w14:paraId="7BF7B04A">
      <w:pPr>
        <w:spacing w:line="600" w:lineRule="exact"/>
        <w:jc w:val="center"/>
        <w:outlineLvl w:val="0"/>
        <w:rPr>
          <w:rFonts w:hint="default" w:ascii="Times New Roman" w:hAnsi="Times New Roman" w:eastAsia="方正小标宋简体" w:cs="Times New Roman"/>
          <w:color w:val="000000"/>
          <w:sz w:val="72"/>
          <w:szCs w:val="72"/>
        </w:rPr>
      </w:pPr>
    </w:p>
    <w:p w14:paraId="528063FC">
      <w:pPr>
        <w:spacing w:line="600" w:lineRule="exact"/>
        <w:jc w:val="center"/>
        <w:outlineLvl w:val="0"/>
        <w:rPr>
          <w:rFonts w:hint="default" w:ascii="Times New Roman" w:hAnsi="Times New Roman" w:eastAsia="方正小标宋简体" w:cs="Times New Roman"/>
          <w:color w:val="000000"/>
          <w:sz w:val="72"/>
          <w:szCs w:val="72"/>
        </w:rPr>
      </w:pPr>
    </w:p>
    <w:p w14:paraId="68CCEBF4">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bookmarkStart w:id="1" w:name="_Toc15377193"/>
      <w:bookmarkStart w:id="2" w:name="_Toc15396475"/>
      <w:bookmarkStart w:id="3" w:name="_Toc15377425"/>
      <w:bookmarkStart w:id="4" w:name="_Toc15396597"/>
      <w:bookmarkStart w:id="5" w:name="_Toc15378441"/>
      <w:r>
        <w:rPr>
          <w:rFonts w:hint="default" w:ascii="Times New Roman" w:hAnsi="Times New Roman" w:eastAsia="黑体" w:cs="Times New Roman"/>
          <w:color w:val="000000"/>
          <w:sz w:val="52"/>
          <w:szCs w:val="52"/>
        </w:rPr>
        <w:t>2019</w:t>
      </w:r>
      <w:r>
        <w:rPr>
          <w:rFonts w:hint="default" w:ascii="Times New Roman" w:hAnsi="Times New Roman" w:eastAsia="方正小标宋简体" w:cs="Times New Roman"/>
          <w:color w:val="000000"/>
          <w:sz w:val="52"/>
          <w:szCs w:val="52"/>
        </w:rPr>
        <w:t>年度</w:t>
      </w:r>
      <w:bookmarkEnd w:id="1"/>
      <w:bookmarkEnd w:id="2"/>
      <w:bookmarkEnd w:id="3"/>
      <w:bookmarkEnd w:id="4"/>
      <w:bookmarkEnd w:id="5"/>
    </w:p>
    <w:p w14:paraId="06A8623D">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bookmarkStart w:id="6" w:name="_Toc15396598"/>
      <w:bookmarkStart w:id="7" w:name="_Toc15377194"/>
      <w:bookmarkStart w:id="8" w:name="_Toc15396476"/>
      <w:bookmarkStart w:id="9" w:name="_Toc15378442"/>
      <w:bookmarkStart w:id="10" w:name="_Toc15377426"/>
      <w:r>
        <w:rPr>
          <w:rFonts w:hint="default" w:ascii="Times New Roman" w:hAnsi="Times New Roman" w:eastAsia="方正小标宋简体" w:cs="Times New Roman"/>
          <w:color w:val="000000"/>
          <w:sz w:val="52"/>
          <w:szCs w:val="52"/>
        </w:rPr>
        <w:t>四川省</w:t>
      </w:r>
      <w:bookmarkEnd w:id="0"/>
      <w:bookmarkStart w:id="11" w:name="_Toc15306268"/>
      <w:r>
        <w:rPr>
          <w:rFonts w:hint="default" w:ascii="Times New Roman" w:hAnsi="Times New Roman" w:eastAsia="方正小标宋简体" w:cs="Times New Roman"/>
          <w:color w:val="000000"/>
          <w:sz w:val="52"/>
          <w:szCs w:val="52"/>
          <w:lang w:eastAsia="zh-CN"/>
        </w:rPr>
        <w:t>米易县住房和城乡建设局</w:t>
      </w:r>
      <w:r>
        <w:rPr>
          <w:rFonts w:hint="default" w:ascii="Times New Roman" w:hAnsi="Times New Roman" w:eastAsia="方正小标宋简体" w:cs="Times New Roman"/>
          <w:color w:val="000000"/>
          <w:sz w:val="52"/>
          <w:szCs w:val="52"/>
          <w:lang w:val="en-US" w:eastAsia="zh-CN"/>
        </w:rPr>
        <w:t xml:space="preserve">  </w:t>
      </w:r>
      <w:r>
        <w:rPr>
          <w:rFonts w:hint="default" w:ascii="Times New Roman" w:hAnsi="Times New Roman" w:eastAsia="方正小标宋简体" w:cs="Times New Roman"/>
          <w:color w:val="000000"/>
          <w:sz w:val="52"/>
          <w:szCs w:val="52"/>
        </w:rPr>
        <w:t>部门决算</w:t>
      </w:r>
      <w:bookmarkEnd w:id="6"/>
      <w:bookmarkEnd w:id="7"/>
      <w:bookmarkEnd w:id="8"/>
      <w:bookmarkEnd w:id="9"/>
      <w:bookmarkEnd w:id="10"/>
      <w:bookmarkEnd w:id="11"/>
    </w:p>
    <w:p w14:paraId="14B6B31E">
      <w:pPr>
        <w:widowControl/>
        <w:jc w:val="center"/>
        <w:rPr>
          <w:rFonts w:hint="default" w:ascii="Times New Roman" w:hAnsi="Times New Roman" w:eastAsia="黑体" w:cs="Times New Roman"/>
          <w:color w:val="000000"/>
          <w:sz w:val="48"/>
          <w:szCs w:val="48"/>
        </w:rPr>
      </w:pPr>
      <w:r>
        <w:rPr>
          <w:rFonts w:hint="default" w:ascii="Times New Roman" w:hAnsi="Times New Roman" w:eastAsia="方正小标宋简体" w:cs="Times New Roman"/>
          <w:color w:val="000000"/>
          <w:sz w:val="36"/>
          <w:szCs w:val="36"/>
        </w:rPr>
        <w:br w:type="page"/>
      </w:r>
      <w:r>
        <w:rPr>
          <w:rFonts w:hint="default" w:ascii="Times New Roman" w:hAnsi="Times New Roman" w:eastAsia="黑体" w:cs="Times New Roman"/>
          <w:color w:val="000000"/>
          <w:sz w:val="48"/>
          <w:szCs w:val="48"/>
        </w:rPr>
        <w:t>目录</w:t>
      </w:r>
    </w:p>
    <w:p w14:paraId="1343F948">
      <w:pPr>
        <w:widowControl/>
        <w:jc w:val="center"/>
        <w:rPr>
          <w:rFonts w:hint="default" w:ascii="Times New Roman" w:hAnsi="Times New Roman" w:eastAsia="黑体" w:cs="Times New Roman"/>
          <w:sz w:val="28"/>
          <w:szCs w:val="28"/>
        </w:rPr>
      </w:pPr>
    </w:p>
    <w:p w14:paraId="47D9E85B">
      <w:pPr>
        <w:pStyle w:val="12"/>
        <w:rPr>
          <w:rFonts w:hint="default" w:ascii="Times New Roman" w:hAnsi="Times New Roman" w:cs="Times New Roman"/>
        </w:rPr>
      </w:pPr>
      <w:r>
        <w:rPr>
          <w:rFonts w:hint="default" w:ascii="Times New Roman" w:hAnsi="Times New Roman" w:cs="Times New Roman"/>
        </w:rPr>
        <w:t>公开时间：2020年9月3日</w:t>
      </w:r>
    </w:p>
    <w:p w14:paraId="595B7698">
      <w:pPr>
        <w:rPr>
          <w:rFonts w:hint="default" w:ascii="Times New Roman" w:hAnsi="Times New Roman" w:cs="Times New Roman"/>
        </w:rPr>
      </w:pPr>
    </w:p>
    <w:p w14:paraId="64DB0598">
      <w:pPr>
        <w:pStyle w:val="12"/>
        <w:adjustRightInd w:val="0"/>
        <w:snapToGrid w:val="0"/>
        <w:spacing w:before="0" w:line="440" w:lineRule="exact"/>
        <w:jc w:val="left"/>
        <w:rPr>
          <w:rFonts w:hint="eastAsia" w:ascii="Times New Roman" w:hAnsi="Times New Roman" w:eastAsia="仿宋"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"_第一部分 部门概况"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第一部分 部门概况</w:t>
      </w:r>
      <w:r>
        <w:rPr>
          <w:rStyle w:val="19"/>
          <w:color w:val="auto"/>
          <w:sz w:val="24"/>
          <w:szCs w:val="24"/>
          <w:u w:val="none"/>
        </w:rPr>
        <w:tab/>
      </w:r>
      <w:r>
        <w:rPr>
          <w:rStyle w:val="19"/>
          <w:rFonts w:hint="eastAsia"/>
          <w:color w:val="auto"/>
          <w:sz w:val="24"/>
          <w:szCs w:val="24"/>
          <w:u w:val="none"/>
          <w:lang w:val="en-US" w:eastAsia="zh-CN"/>
        </w:rPr>
        <w:t>04</w:t>
      </w:r>
      <w:r>
        <w:rPr>
          <w:rFonts w:hint="default" w:ascii="Times New Roman" w:hAnsi="Times New Roman" w:cs="Times New Roman"/>
          <w:color w:val="auto"/>
          <w:sz w:val="24"/>
          <w:szCs w:val="24"/>
          <w:u w:val="none"/>
        </w:rPr>
        <w:fldChar w:fldCharType="end"/>
      </w:r>
    </w:p>
    <w:p w14:paraId="4972F67F">
      <w:pPr>
        <w:pStyle w:val="13"/>
        <w:adjustRightInd w:val="0"/>
        <w:snapToGrid w:val="0"/>
        <w:spacing w:line="440" w:lineRule="exact"/>
        <w:jc w:val="left"/>
        <w:rPr>
          <w:rStyle w:val="19"/>
          <w:rFonts w:hint="eastAsia" w:ascii="Times New Roman" w:hAnsi="Times New Roman" w:eastAsia="仿宋" w:cs="Times New Roman"/>
          <w:color w:val="auto"/>
          <w:kern w:val="2"/>
          <w:sz w:val="24"/>
          <w:szCs w:val="24"/>
          <w:u w:val="none"/>
          <w:lang w:val="en-US" w:eastAsia="zh-CN" w:bidi="ar-SA"/>
        </w:rPr>
      </w:pPr>
      <w:r>
        <w:rPr>
          <w:rStyle w:val="19"/>
          <w:rFonts w:hint="default" w:ascii="Times New Roman" w:hAnsi="Times New Roman" w:eastAsia="仿宋" w:cs="Times New Roman"/>
          <w:color w:val="auto"/>
          <w:kern w:val="2"/>
          <w:sz w:val="24"/>
          <w:szCs w:val="24"/>
          <w:u w:val="none"/>
          <w:lang w:val="en-US" w:eastAsia="zh-CN" w:bidi="ar-SA"/>
        </w:rPr>
        <w:fldChar w:fldCharType="begin"/>
      </w:r>
      <w:r>
        <w:rPr>
          <w:rStyle w:val="19"/>
          <w:rFonts w:hint="default" w:ascii="Times New Roman" w:hAnsi="Times New Roman" w:eastAsia="仿宋" w:cs="Times New Roman"/>
          <w:color w:val="auto"/>
          <w:kern w:val="2"/>
          <w:sz w:val="24"/>
          <w:szCs w:val="24"/>
          <w:u w:val="none"/>
          <w:lang w:val="en-US" w:eastAsia="zh-CN" w:bidi="ar-SA"/>
        </w:rPr>
        <w:instrText xml:space="preserve"> HYPERLINK \l "_一、基本职能及主要工作" </w:instrText>
      </w:r>
      <w:r>
        <w:rPr>
          <w:rStyle w:val="19"/>
          <w:rFonts w:hint="default" w:ascii="Times New Roman" w:hAnsi="Times New Roman" w:eastAsia="仿宋" w:cs="Times New Roman"/>
          <w:color w:val="auto"/>
          <w:kern w:val="2"/>
          <w:sz w:val="24"/>
          <w:szCs w:val="24"/>
          <w:u w:val="none"/>
          <w:lang w:val="en-US" w:eastAsia="zh-CN" w:bidi="ar-SA"/>
        </w:rPr>
        <w:fldChar w:fldCharType="separate"/>
      </w:r>
      <w:r>
        <w:rPr>
          <w:rStyle w:val="19"/>
          <w:rFonts w:hint="eastAsia" w:asciiTheme="majorEastAsia" w:hAnsiTheme="majorEastAsia" w:eastAsiaTheme="majorEastAsia" w:cstheme="majorEastAsia"/>
          <w:color w:val="auto"/>
          <w:kern w:val="2"/>
          <w:sz w:val="24"/>
          <w:szCs w:val="24"/>
          <w:u w:val="none"/>
          <w:lang w:val="en-US" w:eastAsia="zh-CN" w:bidi="ar-SA"/>
        </w:rPr>
        <w:t>一、基本职能及主要工作</w:t>
      </w:r>
      <w:r>
        <w:rPr>
          <w:rStyle w:val="19"/>
          <w:rFonts w:hint="default" w:ascii="Times New Roman" w:hAnsi="Times New Roman" w:eastAsia="仿宋" w:cs="Times New Roman"/>
          <w:color w:val="auto"/>
          <w:kern w:val="2"/>
          <w:sz w:val="24"/>
          <w:szCs w:val="24"/>
          <w:u w:val="none"/>
          <w:lang w:val="en-US" w:eastAsia="zh-CN" w:bidi="ar-SA"/>
        </w:rPr>
        <w:tab/>
      </w:r>
      <w:r>
        <w:rPr>
          <w:rStyle w:val="19"/>
          <w:rFonts w:hint="eastAsia" w:ascii="Times New Roman" w:hAnsi="Times New Roman" w:eastAsia="仿宋" w:cs="Times New Roman"/>
          <w:color w:val="auto"/>
          <w:kern w:val="2"/>
          <w:sz w:val="24"/>
          <w:szCs w:val="24"/>
          <w:u w:val="none"/>
          <w:lang w:val="en-US" w:eastAsia="zh-CN" w:bidi="ar-SA"/>
        </w:rPr>
        <w:t>04</w:t>
      </w:r>
      <w:r>
        <w:rPr>
          <w:rStyle w:val="19"/>
          <w:rFonts w:hint="default" w:ascii="Times New Roman" w:hAnsi="Times New Roman" w:eastAsia="仿宋" w:cs="Times New Roman"/>
          <w:color w:val="auto"/>
          <w:kern w:val="2"/>
          <w:sz w:val="24"/>
          <w:szCs w:val="24"/>
          <w:u w:val="none"/>
          <w:lang w:val="en-US" w:eastAsia="zh-CN" w:bidi="ar-SA"/>
        </w:rPr>
        <w:fldChar w:fldCharType="end"/>
      </w:r>
    </w:p>
    <w:p w14:paraId="2C2683C4">
      <w:pPr>
        <w:pStyle w:val="13"/>
        <w:adjustRightInd w:val="0"/>
        <w:snapToGrid w:val="0"/>
        <w:spacing w:line="440" w:lineRule="exact"/>
        <w:jc w:val="left"/>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"_二、机构设置"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二、机构设置</w:t>
      </w:r>
      <w:r>
        <w:rPr>
          <w:rStyle w:val="20"/>
          <w:color w:val="auto"/>
          <w:sz w:val="24"/>
          <w:szCs w:val="24"/>
          <w:u w:val="none"/>
        </w:rPr>
        <w:tab/>
      </w:r>
      <w:r>
        <w:rPr>
          <w:rStyle w:val="20"/>
          <w:rFonts w:hint="eastAsia"/>
          <w:color w:val="auto"/>
          <w:sz w:val="24"/>
          <w:szCs w:val="24"/>
          <w:u w:val="none"/>
          <w:lang w:val="en-US" w:eastAsia="zh-CN"/>
        </w:rPr>
        <w:t>09</w:t>
      </w:r>
      <w:r>
        <w:rPr>
          <w:rFonts w:hint="default" w:ascii="Times New Roman" w:hAnsi="Times New Roman" w:cs="Times New Roman"/>
          <w:color w:val="auto"/>
          <w:sz w:val="24"/>
          <w:szCs w:val="24"/>
          <w:u w:val="none"/>
        </w:rPr>
        <w:fldChar w:fldCharType="end"/>
      </w:r>
    </w:p>
    <w:p w14:paraId="0656C07C">
      <w:pPr>
        <w:pStyle w:val="12"/>
        <w:adjustRightInd w:val="0"/>
        <w:snapToGrid w:val="0"/>
        <w:spacing w:before="0" w:line="440" w:lineRule="exact"/>
        <w:jc w:val="left"/>
        <w:rPr>
          <w:rFonts w:hint="default" w:ascii="Times New Roman" w:hAnsi="Times New Roman" w:eastAsia="仿宋"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"_第二部分 2019年度部门决算情况说明"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第二部分度部门决算情况说明</w:t>
      </w:r>
      <w:r>
        <w:rPr>
          <w:rStyle w:val="19"/>
          <w:color w:val="auto"/>
          <w:sz w:val="24"/>
          <w:szCs w:val="24"/>
          <w:u w:val="none"/>
        </w:rPr>
        <w:tab/>
      </w:r>
      <w:r>
        <w:rPr>
          <w:rStyle w:val="19"/>
          <w:rFonts w:hint="eastAsia"/>
          <w:color w:val="auto"/>
          <w:sz w:val="24"/>
          <w:szCs w:val="24"/>
          <w:u w:val="none"/>
          <w:lang w:val="en-US" w:eastAsia="zh-CN"/>
        </w:rPr>
        <w:t>10</w:t>
      </w:r>
      <w:r>
        <w:rPr>
          <w:rFonts w:hint="default" w:ascii="Times New Roman" w:hAnsi="Times New Roman" w:cs="Times New Roman"/>
          <w:color w:val="auto"/>
          <w:sz w:val="24"/>
          <w:szCs w:val="24"/>
          <w:u w:val="none"/>
        </w:rPr>
        <w:fldChar w:fldCharType="end"/>
      </w:r>
    </w:p>
    <w:p w14:paraId="37ECE976">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"_一、收入支出决算总体情况说明"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一、收入支出决算总体情况说明</w:t>
      </w:r>
      <w:r>
        <w:rPr>
          <w:rStyle w:val="19"/>
          <w:color w:val="auto"/>
          <w:sz w:val="24"/>
          <w:szCs w:val="24"/>
          <w:u w:val="none"/>
        </w:rPr>
        <w:tab/>
      </w:r>
      <w:r>
        <w:rPr>
          <w:rStyle w:val="19"/>
          <w:rFonts w:hint="eastAsia"/>
          <w:color w:val="auto"/>
          <w:sz w:val="24"/>
          <w:szCs w:val="24"/>
          <w:u w:val="none"/>
          <w:lang w:val="en-US" w:eastAsia="zh-CN"/>
        </w:rPr>
        <w:t>10</w:t>
      </w:r>
      <w:r>
        <w:rPr>
          <w:rFonts w:hint="default" w:ascii="Times New Roman" w:hAnsi="Times New Roman" w:cs="Times New Roman"/>
          <w:color w:val="auto"/>
          <w:sz w:val="24"/>
          <w:szCs w:val="24"/>
          <w:u w:val="none"/>
        </w:rPr>
        <w:fldChar w:fldCharType="end"/>
      </w:r>
    </w:p>
    <w:p w14:paraId="31297360">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"_二、收入决算情况说明"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二、收入决算情况说明</w:t>
      </w:r>
      <w:r>
        <w:rPr>
          <w:rStyle w:val="20"/>
          <w:color w:val="auto"/>
          <w:sz w:val="24"/>
          <w:szCs w:val="24"/>
          <w:u w:val="none"/>
        </w:rPr>
        <w:tab/>
      </w:r>
      <w:r>
        <w:rPr>
          <w:rStyle w:val="20"/>
          <w:rFonts w:hint="eastAsia"/>
          <w:color w:val="auto"/>
          <w:sz w:val="24"/>
          <w:szCs w:val="24"/>
          <w:u w:val="none"/>
          <w:lang w:val="en-US" w:eastAsia="zh-CN"/>
        </w:rPr>
        <w:t>10</w:t>
      </w:r>
      <w:r>
        <w:rPr>
          <w:rFonts w:hint="default" w:ascii="Times New Roman" w:hAnsi="Times New Roman" w:cs="Times New Roman"/>
          <w:color w:val="auto"/>
          <w:sz w:val="24"/>
          <w:szCs w:val="24"/>
          <w:u w:val="none"/>
        </w:rPr>
        <w:fldChar w:fldCharType="end"/>
      </w:r>
    </w:p>
    <w:p w14:paraId="55F8E922">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"_三、支出决算情况说明"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三、支出决算情况说明</w:t>
      </w:r>
      <w:r>
        <w:rPr>
          <w:rStyle w:val="20"/>
          <w:color w:val="auto"/>
          <w:sz w:val="24"/>
          <w:szCs w:val="24"/>
          <w:u w:val="none"/>
        </w:rPr>
        <w:tab/>
      </w:r>
      <w:r>
        <w:rPr>
          <w:rStyle w:val="20"/>
          <w:rFonts w:hint="eastAsia"/>
          <w:color w:val="auto"/>
          <w:sz w:val="24"/>
          <w:szCs w:val="24"/>
          <w:u w:val="none"/>
          <w:lang w:val="en-US" w:eastAsia="zh-CN"/>
        </w:rPr>
        <w:t>11</w:t>
      </w:r>
      <w:r>
        <w:rPr>
          <w:rFonts w:hint="default" w:ascii="Times New Roman" w:hAnsi="Times New Roman" w:cs="Times New Roman"/>
          <w:color w:val="auto"/>
          <w:sz w:val="24"/>
          <w:szCs w:val="24"/>
          <w:u w:val="none"/>
        </w:rPr>
        <w:fldChar w:fldCharType="end"/>
      </w:r>
    </w:p>
    <w:p w14:paraId="3DA5A20B">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"_四、财政拨款收入支出决算总体情况说明"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四、财政拨款收入支出决算总体情况说明</w:t>
      </w:r>
      <w:r>
        <w:rPr>
          <w:rStyle w:val="20"/>
          <w:color w:val="auto"/>
          <w:sz w:val="24"/>
          <w:szCs w:val="24"/>
          <w:u w:val="none"/>
        </w:rPr>
        <w:tab/>
      </w:r>
      <w:r>
        <w:rPr>
          <w:rStyle w:val="20"/>
          <w:rFonts w:hint="eastAsia"/>
          <w:color w:val="auto"/>
          <w:sz w:val="24"/>
          <w:szCs w:val="24"/>
          <w:u w:val="none"/>
          <w:lang w:val="en-US" w:eastAsia="zh-CN"/>
        </w:rPr>
        <w:t>11</w:t>
      </w:r>
      <w:r>
        <w:rPr>
          <w:rFonts w:hint="default" w:ascii="Times New Roman" w:hAnsi="Times New Roman" w:cs="Times New Roman"/>
          <w:color w:val="auto"/>
          <w:sz w:val="24"/>
          <w:szCs w:val="24"/>
          <w:u w:val="none"/>
        </w:rPr>
        <w:fldChar w:fldCharType="end"/>
      </w:r>
    </w:p>
    <w:p w14:paraId="24F2C8A8">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"_五、一般公共预算财政拨款支出决算情况说明"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五、一般公共预算财政拨款支出决算情况说明</w:t>
      </w:r>
      <w:r>
        <w:rPr>
          <w:rStyle w:val="19"/>
          <w:color w:val="auto"/>
          <w:sz w:val="24"/>
          <w:szCs w:val="24"/>
          <w:u w:val="none"/>
        </w:rPr>
        <w:tab/>
      </w:r>
      <w:r>
        <w:rPr>
          <w:rStyle w:val="19"/>
          <w:rFonts w:hint="eastAsia"/>
          <w:color w:val="auto"/>
          <w:sz w:val="24"/>
          <w:szCs w:val="24"/>
          <w:u w:val="none"/>
          <w:lang w:val="en-US" w:eastAsia="zh-CN"/>
        </w:rPr>
        <w:t>12</w:t>
      </w:r>
      <w:r>
        <w:rPr>
          <w:rFonts w:hint="default" w:ascii="Times New Roman" w:hAnsi="Times New Roman" w:cs="Times New Roman"/>
          <w:color w:val="auto"/>
          <w:sz w:val="24"/>
          <w:szCs w:val="24"/>
          <w:u w:val="none"/>
        </w:rPr>
        <w:fldChar w:fldCharType="end"/>
      </w:r>
    </w:p>
    <w:p w14:paraId="3961EF48">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"_六、一般公共预算财政拨款基本支出决算情况说明"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六、一般公共预算财政拨款基本支出决算情况说明</w:t>
      </w:r>
      <w:r>
        <w:rPr>
          <w:rStyle w:val="19"/>
          <w:color w:val="auto"/>
          <w:sz w:val="24"/>
          <w:szCs w:val="24"/>
          <w:u w:val="none"/>
        </w:rPr>
        <w:tab/>
      </w:r>
      <w:r>
        <w:rPr>
          <w:rStyle w:val="19"/>
          <w:rFonts w:hint="eastAsia"/>
          <w:color w:val="auto"/>
          <w:sz w:val="24"/>
          <w:szCs w:val="24"/>
          <w:u w:val="none"/>
          <w:lang w:val="en-US" w:eastAsia="zh-CN"/>
        </w:rPr>
        <w:t>14</w:t>
      </w:r>
      <w:r>
        <w:rPr>
          <w:rFonts w:hint="default" w:ascii="Times New Roman" w:hAnsi="Times New Roman" w:cs="Times New Roman"/>
          <w:color w:val="auto"/>
          <w:sz w:val="24"/>
          <w:szCs w:val="24"/>
          <w:u w:val="none"/>
        </w:rPr>
        <w:fldChar w:fldCharType="end"/>
      </w:r>
    </w:p>
    <w:p w14:paraId="1BA16FA1">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"_七、\“三公\”经费财政拨款支出决算情况说明"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七、“三公”经费财政拨款支出决算情况说明</w:t>
      </w:r>
      <w:r>
        <w:rPr>
          <w:rStyle w:val="19"/>
          <w:color w:val="auto"/>
          <w:sz w:val="24"/>
          <w:szCs w:val="24"/>
          <w:u w:val="none"/>
        </w:rPr>
        <w:tab/>
      </w:r>
      <w:r>
        <w:rPr>
          <w:rStyle w:val="19"/>
          <w:rFonts w:hint="eastAsia"/>
          <w:color w:val="auto"/>
          <w:sz w:val="24"/>
          <w:szCs w:val="24"/>
          <w:u w:val="none"/>
          <w:lang w:val="en-US" w:eastAsia="zh-CN"/>
        </w:rPr>
        <w:t>15</w:t>
      </w:r>
      <w:r>
        <w:rPr>
          <w:rFonts w:hint="default" w:ascii="Times New Roman" w:hAnsi="Times New Roman" w:cs="Times New Roman"/>
          <w:color w:val="auto"/>
          <w:sz w:val="24"/>
          <w:szCs w:val="24"/>
          <w:u w:val="none"/>
        </w:rPr>
        <w:fldChar w:fldCharType="end"/>
      </w:r>
    </w:p>
    <w:p w14:paraId="0F1F662E">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"_八、政府性基金预算支出决算情况说明"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八、政府性基金预算支出决算情况说明</w:t>
      </w:r>
      <w:r>
        <w:rPr>
          <w:rStyle w:val="20"/>
          <w:color w:val="auto"/>
          <w:sz w:val="24"/>
          <w:szCs w:val="24"/>
          <w:u w:val="none"/>
        </w:rPr>
        <w:tab/>
      </w:r>
      <w:r>
        <w:rPr>
          <w:rStyle w:val="20"/>
          <w:rFonts w:hint="eastAsia"/>
          <w:color w:val="auto"/>
          <w:sz w:val="24"/>
          <w:szCs w:val="24"/>
          <w:u w:val="none"/>
          <w:lang w:val="en-US" w:eastAsia="zh-CN"/>
        </w:rPr>
        <w:t>17</w:t>
      </w:r>
      <w:r>
        <w:rPr>
          <w:rFonts w:hint="default" w:ascii="Times New Roman" w:hAnsi="Times New Roman" w:cs="Times New Roman"/>
          <w:color w:val="auto"/>
          <w:sz w:val="24"/>
          <w:szCs w:val="24"/>
          <w:u w:val="none"/>
        </w:rPr>
        <w:fldChar w:fldCharType="end"/>
      </w:r>
    </w:p>
    <w:p w14:paraId="20E53AF1">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"_九、国有资本经营预算支出决算情况说明"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九、 国有资本经营预算支出决算情况说明</w:t>
      </w:r>
      <w:r>
        <w:rPr>
          <w:rStyle w:val="20"/>
          <w:color w:val="auto"/>
          <w:sz w:val="24"/>
          <w:szCs w:val="24"/>
          <w:u w:val="none"/>
        </w:rPr>
        <w:tab/>
      </w:r>
      <w:r>
        <w:rPr>
          <w:rStyle w:val="20"/>
          <w:rFonts w:hint="eastAsia"/>
          <w:color w:val="auto"/>
          <w:sz w:val="24"/>
          <w:szCs w:val="24"/>
          <w:u w:val="none"/>
          <w:lang w:val="en-US" w:eastAsia="zh-CN"/>
        </w:rPr>
        <w:t>17</w:t>
      </w:r>
      <w:r>
        <w:rPr>
          <w:rFonts w:hint="default" w:ascii="Times New Roman" w:hAnsi="Times New Roman" w:cs="Times New Roman"/>
          <w:color w:val="auto"/>
          <w:sz w:val="24"/>
          <w:szCs w:val="24"/>
          <w:u w:val="none"/>
        </w:rPr>
        <w:fldChar w:fldCharType="end"/>
      </w:r>
    </w:p>
    <w:p w14:paraId="65087F6B">
      <w:pPr>
        <w:pStyle w:val="13"/>
        <w:adjustRightInd w:val="0"/>
        <w:snapToGrid w:val="0"/>
        <w:spacing w:line="440" w:lineRule="exact"/>
        <w:jc w:val="left"/>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"_十、其他重要事项的情况说明"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十、其他重要事项的情况说明</w:t>
      </w:r>
      <w:r>
        <w:rPr>
          <w:rStyle w:val="19"/>
          <w:rFonts w:hint="default" w:ascii="Times New Roman" w:hAnsi="Times New Roman" w:cs="Times New Roman"/>
          <w:color w:val="auto"/>
          <w:sz w:val="24"/>
          <w:szCs w:val="24"/>
          <w:u w:val="none"/>
        </w:rPr>
        <w:tab/>
      </w:r>
      <w:r>
        <w:rPr>
          <w:rStyle w:val="19"/>
          <w:rFonts w:hint="eastAsia" w:cs="Times New Roman"/>
          <w:color w:val="auto"/>
          <w:sz w:val="24"/>
          <w:szCs w:val="24"/>
          <w:u w:val="none"/>
          <w:lang w:val="en-US" w:eastAsia="zh-CN"/>
        </w:rPr>
        <w:t>17</w:t>
      </w:r>
      <w:r>
        <w:rPr>
          <w:rFonts w:hint="default" w:ascii="Times New Roman" w:hAnsi="Times New Roman" w:cs="Times New Roman"/>
          <w:color w:val="auto"/>
          <w:sz w:val="24"/>
          <w:szCs w:val="24"/>
          <w:u w:val="none"/>
        </w:rPr>
        <w:fldChar w:fldCharType="end"/>
      </w:r>
    </w:p>
    <w:p w14:paraId="72EC262C">
      <w:pPr>
        <w:pStyle w:val="12"/>
        <w:adjustRightInd w:val="0"/>
        <w:snapToGrid w:val="0"/>
        <w:spacing w:before="0" w:line="440" w:lineRule="exact"/>
        <w:jc w:val="left"/>
        <w:rPr>
          <w:rFonts w:hint="default" w:ascii="Times New Roman" w:hAnsi="Times New Roman" w:eastAsia="仿宋"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"_第三部分 名词解释"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第三部分 名词解释</w:t>
      </w:r>
      <w:r>
        <w:rPr>
          <w:rStyle w:val="19"/>
          <w:color w:val="auto"/>
          <w:sz w:val="24"/>
          <w:szCs w:val="24"/>
          <w:u w:val="none"/>
        </w:rPr>
        <w:tab/>
      </w:r>
      <w:r>
        <w:rPr>
          <w:rStyle w:val="19"/>
          <w:rFonts w:hint="eastAsia"/>
          <w:color w:val="auto"/>
          <w:sz w:val="24"/>
          <w:szCs w:val="24"/>
          <w:u w:val="none"/>
          <w:lang w:val="en-US" w:eastAsia="zh-CN"/>
        </w:rPr>
        <w:t>27</w:t>
      </w:r>
      <w:r>
        <w:rPr>
          <w:rFonts w:hint="default" w:ascii="Times New Roman" w:hAnsi="Times New Roman" w:cs="Times New Roman"/>
          <w:color w:val="auto"/>
          <w:sz w:val="24"/>
          <w:szCs w:val="24"/>
          <w:u w:val="none"/>
        </w:rPr>
        <w:fldChar w:fldCharType="end"/>
      </w:r>
    </w:p>
    <w:p w14:paraId="0B111791">
      <w:pPr>
        <w:pStyle w:val="12"/>
        <w:adjustRightInd w:val="0"/>
        <w:snapToGrid w:val="0"/>
        <w:spacing w:before="0" w:line="440" w:lineRule="exact"/>
        <w:jc w:val="left"/>
        <w:rPr>
          <w:rStyle w:val="19"/>
          <w:rFonts w:hint="default" w:ascii="Times New Roman" w:hAnsi="Times New Roman" w:eastAsia="仿宋"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"_第四部分 附件"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第四部分 附件</w:t>
      </w:r>
      <w:r>
        <w:rPr>
          <w:rStyle w:val="19"/>
          <w:color w:val="auto"/>
          <w:sz w:val="24"/>
          <w:szCs w:val="24"/>
          <w:u w:val="none"/>
        </w:rPr>
        <w:tab/>
      </w:r>
      <w:r>
        <w:rPr>
          <w:rStyle w:val="19"/>
          <w:rFonts w:hint="eastAsia"/>
          <w:color w:val="auto"/>
          <w:sz w:val="24"/>
          <w:szCs w:val="24"/>
          <w:u w:val="none"/>
          <w:lang w:val="en-US" w:eastAsia="zh-CN"/>
        </w:rPr>
        <w:t>29</w:t>
      </w:r>
    </w:p>
    <w:p w14:paraId="5DCB671B">
      <w:pPr>
        <w:pStyle w:val="13"/>
        <w:adjustRightInd w:val="0"/>
        <w:snapToGrid w:val="0"/>
        <w:spacing w:line="440" w:lineRule="exact"/>
        <w:jc w:val="left"/>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"_附件1"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附件1</w:t>
      </w:r>
      <w:r>
        <w:rPr>
          <w:rStyle w:val="19"/>
          <w:color w:val="auto"/>
          <w:sz w:val="24"/>
          <w:szCs w:val="24"/>
          <w:u w:val="none"/>
        </w:rPr>
        <w:tab/>
      </w:r>
      <w:r>
        <w:rPr>
          <w:rStyle w:val="19"/>
          <w:rFonts w:hint="eastAsia"/>
          <w:color w:val="auto"/>
          <w:sz w:val="24"/>
          <w:szCs w:val="24"/>
          <w:u w:val="none"/>
          <w:lang w:val="en-US" w:eastAsia="zh-CN"/>
        </w:rPr>
        <w:t>29</w:t>
      </w:r>
      <w:r>
        <w:rPr>
          <w:rFonts w:hint="default" w:ascii="Times New Roman" w:hAnsi="Times New Roman" w:cs="Times New Roman"/>
          <w:color w:val="auto"/>
          <w:sz w:val="24"/>
          <w:szCs w:val="24"/>
          <w:u w:val="none"/>
        </w:rPr>
        <w:fldChar w:fldCharType="end"/>
      </w:r>
    </w:p>
    <w:p w14:paraId="47938D43">
      <w:pPr>
        <w:pStyle w:val="13"/>
        <w:adjustRightInd w:val="0"/>
        <w:snapToGrid w:val="0"/>
        <w:spacing w:line="440" w:lineRule="exact"/>
        <w:jc w:val="left"/>
        <w:rPr>
          <w:rStyle w:val="19"/>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"_附件2"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附件</w:t>
      </w:r>
      <w:r>
        <w:rPr>
          <w:rStyle w:val="19"/>
          <w:rFonts w:hint="eastAsia" w:cs="Times New Roman"/>
          <w:color w:val="auto"/>
          <w:sz w:val="24"/>
          <w:szCs w:val="24"/>
          <w:u w:val="none"/>
          <w:lang w:val="en-US" w:eastAsia="zh-CN"/>
        </w:rPr>
        <w:t>2</w:t>
      </w:r>
      <w:r>
        <w:rPr>
          <w:rStyle w:val="19"/>
          <w:color w:val="auto"/>
          <w:sz w:val="24"/>
          <w:szCs w:val="24"/>
          <w:u w:val="none"/>
        </w:rPr>
        <w:tab/>
      </w:r>
      <w:r>
        <w:rPr>
          <w:rStyle w:val="19"/>
          <w:rFonts w:hint="eastAsia"/>
          <w:color w:val="auto"/>
          <w:sz w:val="24"/>
          <w:szCs w:val="24"/>
          <w:u w:val="none"/>
          <w:lang w:val="en-US" w:eastAsia="zh-CN"/>
        </w:rPr>
        <w:t>36</w:t>
      </w:r>
    </w:p>
    <w:p w14:paraId="654AD9AF">
      <w:pPr>
        <w:pStyle w:val="12"/>
        <w:adjustRightInd w:val="0"/>
        <w:snapToGrid w:val="0"/>
        <w:spacing w:before="0" w:line="440" w:lineRule="exact"/>
        <w:jc w:val="left"/>
        <w:rPr>
          <w:rFonts w:hint="default" w:ascii="Times New Roman" w:hAnsi="Times New Roman" w:eastAsia="仿宋"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"_第五部分 附表"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第五部分 附表</w:t>
      </w:r>
      <w:r>
        <w:rPr>
          <w:rStyle w:val="19"/>
          <w:color w:val="auto"/>
          <w:sz w:val="24"/>
          <w:szCs w:val="24"/>
          <w:u w:val="none"/>
        </w:rPr>
        <w:tab/>
      </w:r>
      <w:r>
        <w:rPr>
          <w:rFonts w:hint="default" w:ascii="Times New Roman" w:hAnsi="Times New Roman" w:cs="Times New Roman"/>
          <w:color w:val="auto"/>
          <w:sz w:val="24"/>
          <w:szCs w:val="24"/>
          <w:u w:val="none"/>
        </w:rPr>
        <w:fldChar w:fldCharType="end"/>
      </w:r>
      <w:r>
        <w:rPr>
          <w:rFonts w:hint="eastAsia" w:ascii="Times New Roman" w:hAnsi="Times New Roman" w:cs="Times New Roman"/>
          <w:color w:val="auto"/>
          <w:sz w:val="24"/>
          <w:szCs w:val="24"/>
          <w:u w:val="none"/>
          <w:lang w:val="en-US" w:eastAsia="zh-CN"/>
        </w:rPr>
        <w:t>41</w:t>
      </w:r>
    </w:p>
    <w:p w14:paraId="229CE686">
      <w:pPr>
        <w:pStyle w:val="13"/>
        <w:adjustRightInd w:val="0"/>
        <w:snapToGrid w:val="0"/>
        <w:spacing w:line="440" w:lineRule="exact"/>
        <w:jc w:val="left"/>
        <w:rPr>
          <w:rFonts w:hint="default" w:ascii="Times New Roman" w:hAnsi="Times New Roman" w:eastAsia="仿宋" w:cs="Times New Roman"/>
          <w:color w:val="auto"/>
          <w:sz w:val="24"/>
          <w:szCs w:val="24"/>
          <w:u w:val="none"/>
          <w:lang w:val="en-US" w:eastAsia="zh-CN"/>
        </w:rPr>
      </w:pPr>
      <w:r>
        <w:rPr>
          <w:rFonts w:hint="default" w:ascii="Times New Roman" w:hAnsi="Times New Roman" w:eastAsia="仿宋" w:cs="Times New Roman"/>
          <w:color w:val="auto"/>
          <w:sz w:val="24"/>
          <w:szCs w:val="24"/>
          <w:u w:val="none"/>
          <w:lang w:val="en-US" w:eastAsia="zh-CN"/>
        </w:rPr>
        <w:fldChar w:fldCharType="begin"/>
      </w:r>
      <w:r>
        <w:rPr>
          <w:rFonts w:hint="default" w:ascii="Times New Roman" w:hAnsi="Times New Roman" w:eastAsia="仿宋" w:cs="Times New Roman"/>
          <w:color w:val="auto"/>
          <w:sz w:val="24"/>
          <w:szCs w:val="24"/>
          <w:u w:val="none"/>
          <w:lang w:val="en-US" w:eastAsia="zh-CN"/>
        </w:rPr>
        <w:instrText xml:space="preserve"> HYPERLINK \l "_一、收入支出决算总表" </w:instrText>
      </w:r>
      <w:r>
        <w:rPr>
          <w:rFonts w:hint="default" w:ascii="Times New Roman" w:hAnsi="Times New Roman" w:eastAsia="仿宋" w:cs="Times New Roman"/>
          <w:color w:val="auto"/>
          <w:sz w:val="24"/>
          <w:szCs w:val="24"/>
          <w:u w:val="none"/>
          <w:lang w:val="en-US" w:eastAsia="zh-CN"/>
        </w:rPr>
        <w:fldChar w:fldCharType="separate"/>
      </w:r>
      <w:r>
        <w:rPr>
          <w:rStyle w:val="19"/>
          <w:rFonts w:hint="default" w:ascii="Times New Roman" w:hAnsi="Times New Roman" w:cs="Times New Roman"/>
          <w:color w:val="auto"/>
          <w:sz w:val="24"/>
          <w:szCs w:val="24"/>
          <w:u w:val="none"/>
          <w:lang w:val="en-US" w:eastAsia="zh-CN"/>
        </w:rPr>
        <w:t>一、收入支出决算总表</w:t>
      </w:r>
      <w:r>
        <w:rPr>
          <w:rStyle w:val="19"/>
          <w:rFonts w:hint="default" w:ascii="Times New Roman" w:hAnsi="Times New Roman" w:eastAsia="仿宋" w:cs="Times New Roman"/>
          <w:color w:val="auto"/>
          <w:sz w:val="24"/>
          <w:szCs w:val="24"/>
          <w:u w:val="none"/>
          <w:lang w:val="en-US" w:eastAsia="zh-CN"/>
        </w:rPr>
        <w:tab/>
      </w:r>
      <w:r>
        <w:rPr>
          <w:rStyle w:val="19"/>
          <w:rFonts w:hint="eastAsia" w:eastAsia="仿宋" w:cs="Times New Roman"/>
          <w:color w:val="auto"/>
          <w:sz w:val="24"/>
          <w:szCs w:val="24"/>
          <w:u w:val="none"/>
          <w:lang w:val="en-US" w:eastAsia="zh-CN"/>
        </w:rPr>
        <w:t>4</w:t>
      </w:r>
      <w:r>
        <w:rPr>
          <w:rFonts w:hint="default" w:ascii="Times New Roman" w:hAnsi="Times New Roman" w:eastAsia="仿宋" w:cs="Times New Roman"/>
          <w:color w:val="auto"/>
          <w:sz w:val="24"/>
          <w:szCs w:val="24"/>
          <w:u w:val="none"/>
          <w:lang w:val="en-US" w:eastAsia="zh-CN"/>
        </w:rPr>
        <w:fldChar w:fldCharType="end"/>
      </w:r>
      <w:r>
        <w:rPr>
          <w:rFonts w:hint="eastAsia" w:eastAsia="仿宋" w:cs="Times New Roman"/>
          <w:color w:val="auto"/>
          <w:sz w:val="24"/>
          <w:szCs w:val="24"/>
          <w:u w:val="none"/>
          <w:lang w:val="en-US" w:eastAsia="zh-CN"/>
        </w:rPr>
        <w:t>1</w:t>
      </w:r>
    </w:p>
    <w:p w14:paraId="27297000">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"_二、收入决算表"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二、收入决算表</w:t>
      </w:r>
      <w:r>
        <w:rPr>
          <w:rStyle w:val="20"/>
          <w:color w:val="auto"/>
          <w:sz w:val="24"/>
          <w:szCs w:val="24"/>
          <w:u w:val="none"/>
        </w:rPr>
        <w:tab/>
      </w:r>
      <w:r>
        <w:rPr>
          <w:rStyle w:val="20"/>
          <w:rFonts w:hint="eastAsia" w:cs="Times New Roman"/>
          <w:color w:val="auto"/>
          <w:sz w:val="24"/>
          <w:szCs w:val="24"/>
          <w:u w:val="none"/>
          <w:lang w:val="en-US" w:eastAsia="zh-CN"/>
        </w:rPr>
        <w:t>41</w:t>
      </w:r>
    </w:p>
    <w:p w14:paraId="629AF287">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"_三、支出决算表"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三、支出决算表</w:t>
      </w:r>
      <w:r>
        <w:rPr>
          <w:rStyle w:val="20"/>
          <w:color w:val="auto"/>
          <w:sz w:val="24"/>
          <w:szCs w:val="24"/>
          <w:u w:val="none"/>
        </w:rPr>
        <w:tab/>
      </w:r>
      <w:r>
        <w:rPr>
          <w:rStyle w:val="20"/>
          <w:rFonts w:hint="eastAsia"/>
          <w:color w:val="auto"/>
          <w:sz w:val="24"/>
          <w:szCs w:val="24"/>
          <w:u w:val="none"/>
          <w:lang w:val="en-US" w:eastAsia="zh-CN"/>
        </w:rPr>
        <w:t>41</w:t>
      </w:r>
    </w:p>
    <w:p w14:paraId="2D008A43">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"_四、财政拨款收入支出决算总表"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四、财政拨款收入支出决算总表</w:t>
      </w:r>
      <w:r>
        <w:rPr>
          <w:rStyle w:val="20"/>
          <w:color w:val="auto"/>
          <w:sz w:val="24"/>
          <w:szCs w:val="24"/>
          <w:u w:val="none"/>
        </w:rPr>
        <w:tab/>
      </w:r>
      <w:r>
        <w:rPr>
          <w:rStyle w:val="20"/>
          <w:rFonts w:hint="eastAsia" w:cs="Times New Roman"/>
          <w:color w:val="auto"/>
          <w:sz w:val="24"/>
          <w:szCs w:val="24"/>
          <w:u w:val="none"/>
          <w:lang w:val="en-US" w:eastAsia="zh-CN"/>
        </w:rPr>
        <w:t>41</w:t>
      </w:r>
    </w:p>
    <w:p w14:paraId="77CB26D1">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"_五、财政拨款支出决算明细表"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五、财政拨款支出决算明细表</w:t>
      </w:r>
      <w:r>
        <w:rPr>
          <w:rStyle w:val="20"/>
          <w:color w:val="auto"/>
          <w:sz w:val="24"/>
          <w:szCs w:val="24"/>
          <w:u w:val="none"/>
        </w:rPr>
        <w:tab/>
      </w:r>
      <w:r>
        <w:rPr>
          <w:rStyle w:val="20"/>
          <w:rFonts w:hint="eastAsia" w:cs="Times New Roman"/>
          <w:color w:val="auto"/>
          <w:sz w:val="24"/>
          <w:szCs w:val="24"/>
          <w:u w:val="none"/>
          <w:lang w:val="en-US" w:eastAsia="zh-CN"/>
        </w:rPr>
        <w:t>41</w:t>
      </w:r>
    </w:p>
    <w:p w14:paraId="7BBA1E4A">
      <w:pPr>
        <w:pStyle w:val="13"/>
        <w:adjustRightInd w:val="0"/>
        <w:snapToGrid w:val="0"/>
        <w:spacing w:line="440" w:lineRule="exact"/>
        <w:jc w:val="left"/>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"_六、一般公共预算财政拨款支出决算表"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六、一般公共预算财政拨款支出决算表</w:t>
      </w:r>
      <w:r>
        <w:rPr>
          <w:rStyle w:val="20"/>
          <w:rFonts w:hint="default" w:ascii="Times New Roman" w:hAnsi="Times New Roman" w:cs="Times New Roman"/>
          <w:color w:val="auto"/>
          <w:sz w:val="24"/>
          <w:szCs w:val="24"/>
          <w:u w:val="none"/>
        </w:rPr>
        <w:tab/>
      </w:r>
      <w:r>
        <w:rPr>
          <w:rStyle w:val="20"/>
          <w:rFonts w:hint="eastAsia" w:cs="Times New Roman"/>
          <w:color w:val="auto"/>
          <w:sz w:val="24"/>
          <w:szCs w:val="24"/>
          <w:u w:val="none"/>
          <w:lang w:val="en-US" w:eastAsia="zh-CN"/>
        </w:rPr>
        <w:t>4</w:t>
      </w:r>
      <w:r>
        <w:rPr>
          <w:rFonts w:hint="default" w:ascii="Times New Roman" w:hAnsi="Times New Roman" w:cs="Times New Roman"/>
          <w:color w:val="auto"/>
          <w:sz w:val="24"/>
          <w:szCs w:val="24"/>
          <w:u w:val="none"/>
        </w:rPr>
        <w:fldChar w:fldCharType="end"/>
      </w:r>
      <w:r>
        <w:rPr>
          <w:rFonts w:hint="eastAsia" w:cs="Times New Roman"/>
          <w:color w:val="auto"/>
          <w:sz w:val="24"/>
          <w:szCs w:val="24"/>
          <w:u w:val="none"/>
          <w:lang w:val="en-US" w:eastAsia="zh-CN"/>
        </w:rPr>
        <w:t>1</w:t>
      </w:r>
    </w:p>
    <w:p w14:paraId="2902784F">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"_七、一般公共预算财政拨款支出决算明细表"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七、一般公共预算财政拨款支出决算明细表</w:t>
      </w:r>
      <w:r>
        <w:rPr>
          <w:rStyle w:val="20"/>
          <w:color w:val="auto"/>
          <w:sz w:val="24"/>
          <w:szCs w:val="24"/>
          <w:u w:val="none"/>
        </w:rPr>
        <w:tab/>
      </w:r>
      <w:r>
        <w:rPr>
          <w:rStyle w:val="20"/>
          <w:rFonts w:hint="eastAsia"/>
          <w:color w:val="auto"/>
          <w:sz w:val="24"/>
          <w:szCs w:val="24"/>
          <w:u w:val="none"/>
          <w:lang w:val="en-US" w:eastAsia="zh-CN"/>
        </w:rPr>
        <w:t>4</w:t>
      </w:r>
      <w:r>
        <w:rPr>
          <w:rStyle w:val="20"/>
          <w:rFonts w:hint="eastAsia" w:cs="Times New Roman"/>
          <w:color w:val="auto"/>
          <w:sz w:val="24"/>
          <w:szCs w:val="24"/>
          <w:u w:val="none"/>
          <w:lang w:val="en-US" w:eastAsia="zh-CN"/>
        </w:rPr>
        <w:t>1</w:t>
      </w:r>
    </w:p>
    <w:p w14:paraId="2AB64B73">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"_八、一般公共预算财政拨款基本支出决算表"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八、一般公共预算财政拨款基本支出决算表</w:t>
      </w:r>
      <w:r>
        <w:rPr>
          <w:rStyle w:val="20"/>
          <w:color w:val="auto"/>
          <w:sz w:val="24"/>
          <w:szCs w:val="24"/>
          <w:u w:val="none"/>
        </w:rPr>
        <w:tab/>
      </w:r>
      <w:r>
        <w:rPr>
          <w:rStyle w:val="20"/>
          <w:rFonts w:hint="eastAsia" w:cs="Times New Roman"/>
          <w:color w:val="auto"/>
          <w:sz w:val="24"/>
          <w:szCs w:val="24"/>
          <w:u w:val="none"/>
          <w:lang w:val="en-US" w:eastAsia="zh-CN"/>
        </w:rPr>
        <w:t>41</w:t>
      </w:r>
    </w:p>
    <w:p w14:paraId="02CD236F">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"_九、一般公共预算财政拨款项目支出决算表"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九、一般公共预算财政拨款项目支出决算表</w:t>
      </w:r>
      <w:r>
        <w:rPr>
          <w:rStyle w:val="20"/>
          <w:color w:val="auto"/>
          <w:sz w:val="24"/>
          <w:szCs w:val="24"/>
          <w:u w:val="none"/>
        </w:rPr>
        <w:tab/>
      </w:r>
      <w:r>
        <w:rPr>
          <w:rStyle w:val="20"/>
          <w:rFonts w:hint="eastAsia"/>
          <w:color w:val="auto"/>
          <w:sz w:val="24"/>
          <w:szCs w:val="24"/>
          <w:u w:val="none"/>
          <w:lang w:val="en-US" w:eastAsia="zh-CN"/>
        </w:rPr>
        <w:t>41</w:t>
      </w:r>
    </w:p>
    <w:p w14:paraId="24BFD4D3">
      <w:pPr>
        <w:pStyle w:val="13"/>
        <w:adjustRightInd w:val="0"/>
        <w:snapToGrid w:val="0"/>
        <w:spacing w:line="440" w:lineRule="exact"/>
        <w:jc w:val="left"/>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"_十、一般公共预算财政拨款\“三公\”经费支出决算表"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十、一般公共预算财政拨款“三公”经费支出决算表</w:t>
      </w:r>
      <w:r>
        <w:rPr>
          <w:rStyle w:val="19"/>
          <w:rFonts w:hint="default" w:ascii="Times New Roman" w:hAnsi="Times New Roman" w:cs="Times New Roman"/>
          <w:color w:val="auto"/>
          <w:sz w:val="24"/>
          <w:szCs w:val="24"/>
          <w:u w:val="none"/>
        </w:rPr>
        <w:tab/>
      </w:r>
      <w:r>
        <w:rPr>
          <w:rStyle w:val="19"/>
          <w:rFonts w:hint="eastAsia" w:cs="Times New Roman"/>
          <w:color w:val="auto"/>
          <w:sz w:val="24"/>
          <w:szCs w:val="24"/>
          <w:u w:val="none"/>
          <w:lang w:val="en-US" w:eastAsia="zh-CN"/>
        </w:rPr>
        <w:t>4</w:t>
      </w:r>
      <w:r>
        <w:rPr>
          <w:rFonts w:hint="default" w:ascii="Times New Roman" w:hAnsi="Times New Roman" w:cs="Times New Roman"/>
          <w:color w:val="auto"/>
          <w:sz w:val="24"/>
          <w:szCs w:val="24"/>
          <w:u w:val="none"/>
        </w:rPr>
        <w:fldChar w:fldCharType="end"/>
      </w:r>
      <w:r>
        <w:rPr>
          <w:rFonts w:hint="eastAsia" w:cs="Times New Roman"/>
          <w:color w:val="auto"/>
          <w:sz w:val="24"/>
          <w:szCs w:val="24"/>
          <w:u w:val="none"/>
          <w:lang w:val="en-US" w:eastAsia="zh-CN"/>
        </w:rPr>
        <w:t>1</w:t>
      </w:r>
    </w:p>
    <w:p w14:paraId="3D7A32AD">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"_十一、政府性基金预算财政拨款收入支出决算表"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十一、政府性基金预算财政拨款收入支出决算表</w:t>
      </w:r>
      <w:r>
        <w:rPr>
          <w:rStyle w:val="20"/>
          <w:color w:val="auto"/>
          <w:sz w:val="24"/>
          <w:szCs w:val="24"/>
          <w:u w:val="none"/>
        </w:rPr>
        <w:tab/>
      </w:r>
      <w:r>
        <w:rPr>
          <w:rStyle w:val="20"/>
          <w:rFonts w:hint="eastAsia"/>
          <w:color w:val="auto"/>
          <w:sz w:val="24"/>
          <w:szCs w:val="24"/>
          <w:u w:val="none"/>
          <w:lang w:val="en-US" w:eastAsia="zh-CN"/>
        </w:rPr>
        <w:t>41</w:t>
      </w:r>
    </w:p>
    <w:p w14:paraId="0652BD74">
      <w:pPr>
        <w:pStyle w:val="13"/>
        <w:adjustRightInd w:val="0"/>
        <w:snapToGrid w:val="0"/>
        <w:spacing w:line="440" w:lineRule="exact"/>
        <w:jc w:val="left"/>
        <w:rPr>
          <w:rStyle w:val="20"/>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"_十二、政府性基金预算财政拨款\“三公\”经费支出决算表" </w:instrText>
      </w:r>
      <w:r>
        <w:rPr>
          <w:rFonts w:hint="default" w:ascii="Times New Roman" w:hAnsi="Times New Roman" w:cs="Times New Roman"/>
          <w:color w:val="auto"/>
          <w:sz w:val="24"/>
          <w:szCs w:val="24"/>
          <w:u w:val="none"/>
        </w:rPr>
        <w:fldChar w:fldCharType="separate"/>
      </w:r>
      <w:r>
        <w:rPr>
          <w:rStyle w:val="20"/>
          <w:rFonts w:hint="default" w:ascii="Times New Roman" w:hAnsi="Times New Roman" w:cs="Times New Roman"/>
          <w:color w:val="auto"/>
          <w:sz w:val="24"/>
          <w:szCs w:val="24"/>
          <w:u w:val="none"/>
        </w:rPr>
        <w:t>十二、政府性基金预算财政拨款“三公”经费支出决算表</w:t>
      </w:r>
      <w:r>
        <w:rPr>
          <w:rStyle w:val="20"/>
          <w:color w:val="auto"/>
          <w:sz w:val="24"/>
          <w:szCs w:val="24"/>
          <w:u w:val="none"/>
        </w:rPr>
        <w:tab/>
      </w:r>
      <w:r>
        <w:rPr>
          <w:rStyle w:val="20"/>
          <w:rFonts w:hint="eastAsia" w:cs="Times New Roman"/>
          <w:color w:val="auto"/>
          <w:sz w:val="24"/>
          <w:szCs w:val="24"/>
          <w:u w:val="none"/>
          <w:lang w:val="en-US" w:eastAsia="zh-CN"/>
        </w:rPr>
        <w:t>41</w:t>
      </w:r>
    </w:p>
    <w:p w14:paraId="5BC58174">
      <w:pPr>
        <w:pStyle w:val="13"/>
        <w:adjustRightInd w:val="0"/>
        <w:snapToGrid w:val="0"/>
        <w:spacing w:line="440" w:lineRule="exact"/>
        <w:jc w:val="left"/>
        <w:rPr>
          <w:rStyle w:val="19"/>
          <w:rFonts w:hint="default"/>
          <w:color w:val="auto"/>
          <w:u w:val="none"/>
          <w:lang w:val="en-US" w:eastAsia="zh-CN"/>
        </w:rPr>
      </w:pPr>
      <w:r>
        <w:rPr>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\l "_十三、国有资本经营预算支出决算表" </w:instrText>
      </w:r>
      <w:r>
        <w:rPr>
          <w:rFonts w:hint="default" w:ascii="Times New Roman" w:hAnsi="Times New Roman" w:cs="Times New Roman"/>
          <w:color w:val="auto"/>
          <w:sz w:val="24"/>
          <w:szCs w:val="24"/>
          <w:u w:val="none"/>
        </w:rPr>
        <w:fldChar w:fldCharType="separate"/>
      </w:r>
      <w:r>
        <w:rPr>
          <w:rStyle w:val="19"/>
          <w:rFonts w:hint="default" w:ascii="Times New Roman" w:hAnsi="Times New Roman" w:cs="Times New Roman"/>
          <w:color w:val="auto"/>
          <w:sz w:val="24"/>
          <w:szCs w:val="24"/>
          <w:u w:val="none"/>
        </w:rPr>
        <w:t>十三、国有资本经营预算支出决算表</w:t>
      </w:r>
      <w:r>
        <w:rPr>
          <w:rStyle w:val="19"/>
          <w:color w:val="auto"/>
          <w:sz w:val="24"/>
          <w:szCs w:val="24"/>
          <w:u w:val="none"/>
        </w:rPr>
        <w:tab/>
      </w:r>
      <w:r>
        <w:rPr>
          <w:rStyle w:val="19"/>
          <w:rFonts w:hint="eastAsia" w:cs="Times New Roman"/>
          <w:color w:val="auto"/>
          <w:sz w:val="24"/>
          <w:szCs w:val="24"/>
          <w:u w:val="none"/>
          <w:lang w:val="en-US" w:eastAsia="zh-CN"/>
        </w:rPr>
        <w:t>41</w:t>
      </w:r>
    </w:p>
    <w:p w14:paraId="4B2DA128">
      <w:pPr>
        <w:pStyle w:val="13"/>
        <w:adjustRightInd w:val="0"/>
        <w:snapToGrid w:val="0"/>
        <w:spacing w:line="440" w:lineRule="exact"/>
        <w:jc w:val="left"/>
        <w:rPr>
          <w:rStyle w:val="19"/>
          <w:rFonts w:hint="default" w:cs="Times New Roman"/>
          <w:color w:val="auto"/>
          <w:sz w:val="24"/>
          <w:szCs w:val="24"/>
          <w:u w:val="none"/>
          <w:lang w:val="en-US" w:eastAsia="zh-CN"/>
        </w:rPr>
      </w:pPr>
      <w:r>
        <w:rPr>
          <w:rStyle w:val="19"/>
          <w:rFonts w:hint="eastAsia" w:ascii="Times New Roman" w:hAnsi="Times New Roman" w:eastAsia="宋体" w:cs="Times New Roman"/>
          <w:color w:val="auto"/>
          <w:kern w:val="2"/>
          <w:sz w:val="24"/>
          <w:szCs w:val="24"/>
          <w:u w:val="none"/>
          <w:lang w:val="en-US" w:eastAsia="zh-CN" w:bidi="ar-SA"/>
        </w:rPr>
        <w:t>十四、</w:t>
      </w:r>
      <w:r>
        <w:rPr>
          <w:rStyle w:val="19"/>
          <w:rFonts w:hint="default" w:ascii="Times New Roman" w:hAnsi="Times New Roman" w:eastAsia="宋体" w:cs="Times New Roman"/>
          <w:color w:val="auto"/>
          <w:kern w:val="2"/>
          <w:sz w:val="24"/>
          <w:szCs w:val="24"/>
          <w:u w:val="none"/>
          <w:lang w:val="en-US" w:eastAsia="zh-CN" w:bidi="ar-SA"/>
        </w:rPr>
        <w:t>机关运行经费、资产占用情况及政府采购支出信息表</w:t>
      </w:r>
      <w:r>
        <w:rPr>
          <w:rStyle w:val="19"/>
          <w:color w:val="auto"/>
          <w:sz w:val="24"/>
          <w:szCs w:val="24"/>
          <w:u w:val="none"/>
        </w:rPr>
        <w:tab/>
      </w:r>
      <w:r>
        <w:rPr>
          <w:rStyle w:val="19"/>
          <w:rFonts w:hint="eastAsia" w:cs="Times New Roman"/>
          <w:color w:val="auto"/>
          <w:sz w:val="24"/>
          <w:szCs w:val="24"/>
          <w:u w:val="none"/>
          <w:lang w:val="en-US" w:eastAsia="zh-CN"/>
        </w:rPr>
        <w:t>41</w:t>
      </w:r>
    </w:p>
    <w:p w14:paraId="2E16E36E">
      <w:pPr>
        <w:pStyle w:val="13"/>
        <w:adjustRightInd w:val="0"/>
        <w:snapToGrid w:val="0"/>
        <w:spacing w:line="440" w:lineRule="exact"/>
        <w:jc w:val="left"/>
        <w:rPr>
          <w:rStyle w:val="19"/>
          <w:rFonts w:hint="default" w:ascii="Times New Roman" w:hAnsi="Times New Roman" w:eastAsia="宋体" w:cs="Times New Roman"/>
          <w:color w:val="auto"/>
          <w:kern w:val="2"/>
          <w:sz w:val="24"/>
          <w:szCs w:val="24"/>
          <w:u w:val="none"/>
          <w:lang w:val="en-US" w:eastAsia="zh-CN" w:bidi="ar-SA"/>
        </w:rPr>
      </w:pPr>
    </w:p>
    <w:p w14:paraId="7AD726EB">
      <w:pPr>
        <w:widowControl/>
        <w:spacing w:line="440" w:lineRule="exact"/>
        <w:jc w:val="left"/>
        <w:rPr>
          <w:rFonts w:hint="default" w:ascii="Times New Roman" w:hAnsi="Times New Roman" w:eastAsia="仿宋" w:cs="Times New Roman"/>
          <w:bCs/>
          <w:kern w:val="44"/>
          <w:sz w:val="24"/>
          <w:szCs w:val="24"/>
        </w:rPr>
      </w:pPr>
      <w:bookmarkStart w:id="12" w:name="_Toc15396599"/>
      <w:bookmarkStart w:id="13" w:name="_Toc15377196"/>
      <w:r>
        <w:rPr>
          <w:rFonts w:hint="default" w:ascii="Times New Roman" w:hAnsi="Times New Roman" w:cs="Times New Roman"/>
          <w:color w:val="auto"/>
          <w:sz w:val="24"/>
          <w:szCs w:val="24"/>
          <w:u w:val="none"/>
        </w:rPr>
        <w:fldChar w:fldCharType="end"/>
      </w:r>
      <w:r>
        <w:rPr>
          <w:rFonts w:hint="default" w:ascii="Times New Roman" w:hAnsi="Times New Roman" w:eastAsia="仿宋" w:cs="Times New Roman"/>
          <w:b/>
          <w:sz w:val="24"/>
          <w:szCs w:val="24"/>
        </w:rPr>
        <w:br w:type="page"/>
      </w:r>
    </w:p>
    <w:p w14:paraId="7F44FE66">
      <w:pPr>
        <w:pStyle w:val="3"/>
        <w:jc w:val="center"/>
        <w:rPr>
          <w:rStyle w:val="29"/>
          <w:rFonts w:hint="default" w:ascii="Times New Roman" w:hAnsi="Times New Roman" w:eastAsia="黑体" w:cs="Times New Roman"/>
          <w:b/>
          <w:bCs w:val="0"/>
        </w:rPr>
      </w:pPr>
      <w:bookmarkStart w:id="14" w:name="_第一部分 部门概况"/>
      <w:r>
        <w:rPr>
          <w:rFonts w:hint="default" w:ascii="Times New Roman" w:hAnsi="Times New Roman" w:eastAsia="黑体" w:cs="Times New Roman"/>
          <w:b w:val="0"/>
        </w:rPr>
        <w:t xml:space="preserve">第一部分 </w:t>
      </w:r>
      <w:r>
        <w:rPr>
          <w:rStyle w:val="29"/>
          <w:rFonts w:hint="default" w:ascii="Times New Roman" w:hAnsi="Times New Roman" w:eastAsia="黑体" w:cs="Times New Roman"/>
          <w:b w:val="0"/>
          <w:bCs w:val="0"/>
        </w:rPr>
        <w:t>部门概况</w:t>
      </w:r>
      <w:bookmarkEnd w:id="12"/>
      <w:bookmarkEnd w:id="13"/>
    </w:p>
    <w:bookmarkEnd w:id="14"/>
    <w:p w14:paraId="20A7F5F3">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rPr>
      </w:pPr>
      <w:bookmarkStart w:id="15" w:name="_Toc15377197"/>
      <w:bookmarkStart w:id="16" w:name="_Toc15396600"/>
      <w:bookmarkStart w:id="17" w:name="_一、基本职能及主要工作"/>
      <w:r>
        <w:rPr>
          <w:rFonts w:hint="default" w:ascii="Times New Roman" w:hAnsi="Times New Roman" w:eastAsia="黑体" w:cs="Times New Roman"/>
          <w:b w:val="0"/>
          <w:color w:val="000000"/>
        </w:rPr>
        <w:t>一、基本职能及主要工作</w:t>
      </w:r>
      <w:bookmarkEnd w:id="15"/>
      <w:bookmarkEnd w:id="16"/>
    </w:p>
    <w:bookmarkEnd w:id="17"/>
    <w:p w14:paraId="2852D07B">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en-US" w:eastAsia="zh-CN" w:bidi="ar-SA"/>
        </w:rPr>
      </w:pPr>
      <w:bookmarkStart w:id="18" w:name="_Toc15378445"/>
      <w:bookmarkStart w:id="19" w:name="_Toc15377198"/>
      <w:bookmarkStart w:id="20" w:name="_Toc15378446"/>
      <w:bookmarkStart w:id="21" w:name="_Toc15377199"/>
      <w:r>
        <w:rPr>
          <w:rFonts w:hint="default" w:ascii="Times New Roman" w:hAnsi="Times New Roman" w:eastAsia="方正楷体简体" w:cs="Times New Roman"/>
          <w:b/>
          <w:bCs w:val="0"/>
          <w:color w:val="auto"/>
          <w:kern w:val="0"/>
          <w:sz w:val="32"/>
          <w:szCs w:val="32"/>
          <w:lang w:val="en-US" w:eastAsia="zh-CN" w:bidi="ar-SA"/>
        </w:rPr>
        <w:t>（一）主要职能。</w:t>
      </w:r>
      <w:bookmarkEnd w:id="18"/>
      <w:bookmarkEnd w:id="19"/>
    </w:p>
    <w:p w14:paraId="33C1C5B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城市市政设施年度建设计划编制。指导城市市政设施建设和城市地铁、轨道交通等城市公共交通设施的建设。参与城市总体规划和专项规划编制和审核。参与城市市政基础设施建设项目竣工验收、移交工作。拟订全县村镇建设的发展规划并监督实施。指导全县乡镇和村庄建设工作。指导全县农村住房建设、危房改造、公用设施建设、小城镇建设、建筑工匠培训和管理。组织开展全县“特色小城镇”培育创建、村镇建设试点工作。参与我县新农村建设、改善农村人居环境工作。负责历史文化名城（镇、村）保护审核报批、保护和监督管理职责。</w:t>
      </w:r>
    </w:p>
    <w:p w14:paraId="332954A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 xml:space="preserve">拟订建筑业中长期规划、行业政策。承担建筑市场及本地建筑施工企业资质、注册建造师的监督管理。参与房建和市政设施项目施工招投标活动监督。协助处理建设工程农民工拖欠工资。负责城市建设档案管理、散装水泥发展和应用的监督检查、材料价格信息、工程造价管理和施工合同备案管理。贯彻执行工程质量监督政策、管理规章、安全生产劳动保护的法律、法规和标准。研究拟订建筑行业安全保护措施。负责房屋建筑和市政基础设施工程的施工质量、安全生产和文明施工管理工作。负责工程质量竣工验收备案管理。负责行业安全生产综合监督管理和考核。负责组织建设工程质量安全生产大检查。指挥、处理房屋建筑和市政基础设施建设工程质量和安全突发应急事件。组织或参与重大工程质量问题、安全事故调查处理。指导起重机械设备备案管理、建筑施工企业编制保证安全施工的措施和专项施工方案的备案工作。负责全县建筑施工企业《安全生产许可证》的监督管理。负责对房屋建筑和市政工程施工扬尘、房屋建筑工程抗震设防实施情况、工程监理质量检测机构、专职安全管理人员、工程建设施工过程中质量安全强制性标准进行监督检查。负责全县建筑工程质量安全监督机构、监督人员考核工作。负责全县建设企业专业管理人员、特种作业人员、三类人员岗位培训和证书复检、备案及建筑劳务输出人员技能培训鉴定工作。指导农村住房建设质量安全监管。承担全县勘察设计行业综合管理的具体工作。参与建设工程勘察设计招标管理和勘察设计违法违规行为的查处。负责施工图审查备案工作和局系统信息化建设工作。负责行业新技术、新工艺、新材料、新设备的推广和应用工作。负责建设工程消防安全性施工图审查、备案、消防竣工验收和抽查职责。负责城市基础设施配套费的征收。 </w:t>
      </w:r>
    </w:p>
    <w:p w14:paraId="3816986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研究拟订全县房地产业的发展规划、产业政策和规章制度。负责全县房地产业监督管理工作。负责房地产开发经营管理、物业管理、房屋产权交易和权属管理、房地产中介机构管理工作。组织拟定物业管理、房屋安全鉴定、白蚁防治等工作的规章制度并监督实施职责。参与全县城镇土地开发项目土地拍卖条件意见及规划编制方案审核工作。负责行业体制改革的政策研究及规范性文件合法性审查。负责行业的法制建设、法制宣传、培训工作。负责行业行政复议、行政诉讼等法律服务工作。负责本系统执法人员管理工作。协助做好立法调研和草案起草工作。负责本系统行政审批事项、行政许可事项和政务服务事项工作。宣传、贯彻和执行国家、省、市政府关于城镇保障性安居工程方面和住房改革方面的方针、政策。组织编制全县城镇保障性安居工程发展规划和年度计划并监督实施。会同县级相关部门筹集、管理、监督使用保障性住房资金。建设完善住房保障体系，健全准入、退出等管理机制。负责全县城镇保障性安居工程建设的计划、组织、指导、协调、监督实施工作。负责全县公共租赁住房补贴的审批、监督发放 工作。负责公共租赁住房共有产权的实施。负责全县住房保障相关数据的收集、整理、统计、上报工作。负责全县城市低收入家庭住房档案的建设和完善工作。负责全县住房制度改革配套政策的拟订、报批工作。完善住房补贴制度。负责房改房、 已购经济适用房和企业集资建房的上市审批。负责县国有土地 房屋征收管理工作。贯彻执行国家省市人民防空工作的方针政 策和法律法规，拟订全县人民防空发展规划和有关政策。负责 防空地下室的管理。负责组织发放防空警报和灾情警报，指导 人民防空专业队伍建设，组织防空防灾演练。负责人民防空工 程避难场所的建设与管理。制定人民防空宣传教育计划，开展避难知识宣传教育，普及公民防护基本知识和技能。负责人民防空工程使用费和人防易地建设费的征收和管理。</w:t>
      </w:r>
    </w:p>
    <w:bookmarkEnd w:id="20"/>
    <w:bookmarkEnd w:id="21"/>
    <w:p w14:paraId="592B769E">
      <w:pPr>
        <w:pStyle w:val="7"/>
        <w:keepNext w:val="0"/>
        <w:keepLines w:val="0"/>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default" w:ascii="Times New Roman" w:hAnsi="Times New Roman" w:eastAsia="楷体_GB2312" w:cs="Times New Roman"/>
          <w:b/>
          <w:bCs w:val="0"/>
          <w:color w:val="auto"/>
          <w:sz w:val="32"/>
          <w:szCs w:val="32"/>
        </w:rPr>
      </w:pPr>
      <w:bookmarkStart w:id="22" w:name="_Toc15396601"/>
      <w:bookmarkStart w:id="23" w:name="_Toc15377200"/>
      <w:r>
        <w:rPr>
          <w:rFonts w:hint="default" w:ascii="Times New Roman" w:hAnsi="Times New Roman" w:eastAsia="方正楷体简体" w:cs="Times New Roman"/>
          <w:b/>
          <w:bCs w:val="0"/>
          <w:color w:val="auto"/>
          <w:sz w:val="32"/>
          <w:szCs w:val="32"/>
        </w:rPr>
        <w:t>（二）2019年重点工作完成情况。</w:t>
      </w:r>
    </w:p>
    <w:p w14:paraId="4A02226D">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一是国有土地上房屋征收与补偿工作</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2019年我县实施棚户区改造1032套，总投资56000万元，申请到棚改专项债券资金20000万元;完成</w:t>
      </w:r>
      <w:r>
        <w:rPr>
          <w:rFonts w:hint="default" w:ascii="Times New Roman" w:hAnsi="Times New Roman" w:eastAsia="仿宋_GB2312" w:cs="Times New Roman"/>
          <w:sz w:val="32"/>
          <w:szCs w:val="32"/>
        </w:rPr>
        <w:t>国有土地上</w:t>
      </w:r>
      <w:r>
        <w:rPr>
          <w:rFonts w:hint="default" w:ascii="Times New Roman" w:hAnsi="Times New Roman" w:eastAsia="仿宋_GB2312" w:cs="Times New Roman"/>
          <w:sz w:val="32"/>
          <w:szCs w:val="32"/>
          <w:lang w:eastAsia="zh-CN"/>
        </w:rPr>
        <w:t>房屋拆除，</w:t>
      </w:r>
      <w:r>
        <w:rPr>
          <w:rFonts w:hint="default" w:ascii="Times New Roman" w:hAnsi="Times New Roman" w:eastAsia="仿宋_GB2312" w:cs="Times New Roman"/>
          <w:sz w:val="32"/>
          <w:szCs w:val="32"/>
        </w:rPr>
        <w:t>拆除房屋面积约</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900m²，</w:t>
      </w:r>
      <w:r>
        <w:rPr>
          <w:rFonts w:hint="default" w:ascii="Times New Roman" w:hAnsi="Times New Roman" w:eastAsia="仿宋_GB2312" w:cs="Times New Roman"/>
          <w:sz w:val="32"/>
          <w:szCs w:val="32"/>
          <w:lang w:eastAsia="zh-CN"/>
        </w:rPr>
        <w:t>腾空</w:t>
      </w:r>
      <w:r>
        <w:rPr>
          <w:rFonts w:hint="default" w:ascii="Times New Roman" w:hAnsi="Times New Roman" w:eastAsia="仿宋_GB2312" w:cs="Times New Roman"/>
          <w:sz w:val="32"/>
          <w:szCs w:val="32"/>
        </w:rPr>
        <w:t>国有土地面积约</w:t>
      </w:r>
      <w:r>
        <w:rPr>
          <w:rFonts w:hint="default"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lang w:val="en-US" w:eastAsia="zh-CN"/>
        </w:rPr>
        <w:t>371户安置</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rPr>
        <w:t>264亩国有土地上房屋征收补偿</w:t>
      </w:r>
      <w:r>
        <w:rPr>
          <w:rFonts w:hint="default" w:ascii="Times New Roman" w:hAnsi="Times New Roman" w:eastAsia="仿宋_GB2312" w:cs="Times New Roman"/>
          <w:sz w:val="32"/>
          <w:szCs w:val="32"/>
          <w:lang w:eastAsia="zh-CN"/>
        </w:rPr>
        <w:t>；完成</w:t>
      </w:r>
      <w:r>
        <w:rPr>
          <w:rFonts w:hint="default" w:ascii="Times New Roman" w:hAnsi="Times New Roman" w:eastAsia="仿宋_GB2312" w:cs="Times New Roman"/>
          <w:sz w:val="32"/>
          <w:szCs w:val="32"/>
          <w:lang w:val="en-US" w:eastAsia="zh-CN"/>
        </w:rPr>
        <w:t>269户</w:t>
      </w:r>
      <w:r>
        <w:rPr>
          <w:rFonts w:hint="default" w:ascii="Times New Roman" w:hAnsi="Times New Roman" w:eastAsia="仿宋_GB2312" w:cs="Times New Roman"/>
          <w:sz w:val="32"/>
          <w:szCs w:val="32"/>
          <w:lang w:eastAsia="zh-CN"/>
        </w:rPr>
        <w:t>房产证、土地使用权证注销；启动北街片区国有土地上房屋征收补偿和居安花园安置住房房屋产权证办理；开展已购经济适用房上市交易</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lang w:eastAsia="zh-CN"/>
        </w:rPr>
        <w:t>户，缴纳土地增值收益</w:t>
      </w:r>
      <w:r>
        <w:rPr>
          <w:rFonts w:hint="default" w:ascii="Times New Roman" w:hAnsi="Times New Roman" w:eastAsia="仿宋_GB2312" w:cs="Times New Roman"/>
          <w:sz w:val="32"/>
          <w:szCs w:val="32"/>
          <w:lang w:val="en-US" w:eastAsia="zh-CN"/>
        </w:rPr>
        <w:t>2790870.88</w:t>
      </w:r>
      <w:r>
        <w:rPr>
          <w:rFonts w:hint="default" w:ascii="Times New Roman" w:hAnsi="Times New Roman" w:eastAsia="仿宋_GB2312" w:cs="Times New Roman"/>
          <w:sz w:val="32"/>
          <w:szCs w:val="32"/>
          <w:lang w:eastAsia="zh-CN"/>
        </w:rPr>
        <w:t>元；1-10月发放公共租赁补贴305户548人41100元；拟定米易县刚需住房保障政策，待县委、县政府审核通过后实施。</w:t>
      </w:r>
    </w:p>
    <w:p w14:paraId="0C83C5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二是在建工程监督管理工作。</w:t>
      </w:r>
      <w:r>
        <w:rPr>
          <w:rFonts w:hint="default" w:ascii="Times New Roman" w:hAnsi="Times New Roman" w:eastAsia="仿宋_GB2312" w:cs="Times New Roman"/>
          <w:sz w:val="32"/>
          <w:szCs w:val="32"/>
          <w:lang w:eastAsia="zh-CN"/>
        </w:rPr>
        <w:t>2019年全县在建工程</w:t>
      </w:r>
      <w:r>
        <w:rPr>
          <w:rFonts w:hint="default"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lang w:eastAsia="zh-CN"/>
        </w:rPr>
        <w:t>个，建筑面积约</w:t>
      </w:r>
      <w:r>
        <w:rPr>
          <w:rFonts w:hint="default"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lang w:eastAsia="zh-CN"/>
        </w:rPr>
        <w:t>万㎡；办理质量安全监督备案证</w:t>
      </w:r>
      <w:r>
        <w:rPr>
          <w:rFonts w:hint="default"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lang w:eastAsia="zh-CN"/>
        </w:rPr>
        <w:t>个，建筑面积</w:t>
      </w:r>
      <w:r>
        <w:rPr>
          <w:rFonts w:hint="default"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lang w:eastAsia="zh-CN"/>
        </w:rPr>
        <w:t>万㎡，竣工验收了20个项目，办理工程竣工验收备案登记15个项目（含往年度结转），</w:t>
      </w:r>
      <w:r>
        <w:rPr>
          <w:rFonts w:hint="default" w:ascii="Times New Roman" w:hAnsi="Times New Roman" w:eastAsia="仿宋_GB2312" w:cs="Times New Roman"/>
          <w:sz w:val="32"/>
          <w:szCs w:val="32"/>
          <w:lang w:val="en-US" w:eastAsia="zh-CN"/>
        </w:rPr>
        <w:t>备案招标比选文件26件；开展安全生产大检查和在建工程扬尘治理600</w:t>
      </w:r>
      <w:r>
        <w:rPr>
          <w:rFonts w:hint="default" w:ascii="Times New Roman" w:hAnsi="Times New Roman" w:eastAsia="仿宋_GB2312" w:cs="Times New Roman"/>
          <w:sz w:val="32"/>
          <w:szCs w:val="32"/>
          <w:lang w:eastAsia="zh-CN"/>
        </w:rPr>
        <w:t>余人次</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查出安全隐患</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lang w:eastAsia="zh-CN"/>
        </w:rPr>
        <w:t>个，整改落实</w:t>
      </w:r>
      <w:r>
        <w:rPr>
          <w:rFonts w:hint="default" w:ascii="Times New Roman" w:hAnsi="Times New Roman" w:eastAsia="仿宋_GB2312" w:cs="Times New Roman"/>
          <w:sz w:val="32"/>
          <w:szCs w:val="32"/>
          <w:lang w:val="en-US" w:eastAsia="zh-CN"/>
        </w:rPr>
        <w:t>300</w:t>
      </w:r>
      <w:r>
        <w:rPr>
          <w:rFonts w:hint="default" w:ascii="Times New Roman" w:hAnsi="Times New Roman" w:eastAsia="仿宋_GB2312" w:cs="Times New Roman"/>
          <w:sz w:val="32"/>
          <w:szCs w:val="32"/>
          <w:lang w:eastAsia="zh-CN"/>
        </w:rPr>
        <w:t>个，发出责令限期整改决定书</w:t>
      </w:r>
      <w:r>
        <w:rPr>
          <w:rFonts w:hint="default"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lang w:eastAsia="zh-CN"/>
        </w:rPr>
        <w:t>份，发放暂停工通知书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份，告诫约谈</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个项目</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lang w:eastAsia="zh-CN"/>
        </w:rPr>
        <w:t>个单位，进行不良行为记录</w:t>
      </w:r>
      <w:r>
        <w:rPr>
          <w:rFonts w:hint="default" w:ascii="Times New Roman" w:hAnsi="Times New Roman" w:eastAsia="仿宋_GB2312" w:cs="Times New Roman"/>
          <w:sz w:val="32"/>
          <w:szCs w:val="32"/>
          <w:lang w:val="en-US" w:eastAsia="zh-CN"/>
        </w:rPr>
        <w:t>6次</w:t>
      </w:r>
      <w:r>
        <w:rPr>
          <w:rFonts w:hint="default" w:ascii="Times New Roman" w:hAnsi="Times New Roman" w:eastAsia="仿宋_GB2312" w:cs="Times New Roman"/>
          <w:sz w:val="32"/>
          <w:szCs w:val="32"/>
          <w:lang w:eastAsia="zh-CN"/>
        </w:rPr>
        <w:t>。</w:t>
      </w:r>
    </w:p>
    <w:p w14:paraId="711710BC">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三是房地产市场监管和物业监管。</w:t>
      </w:r>
      <w:r>
        <w:rPr>
          <w:rFonts w:hint="default" w:ascii="Times New Roman" w:hAnsi="Times New Roman" w:eastAsia="仿宋_GB2312" w:cs="Times New Roman"/>
          <w:sz w:val="32"/>
          <w:szCs w:val="32"/>
        </w:rPr>
        <w:t>完成预售合同备案</w:t>
      </w:r>
      <w:r>
        <w:rPr>
          <w:rFonts w:hint="default" w:ascii="Times New Roman" w:hAnsi="Times New Roman" w:eastAsia="仿宋_GB2312" w:cs="Times New Roman"/>
          <w:sz w:val="32"/>
          <w:szCs w:val="32"/>
          <w:lang w:val="en-US" w:eastAsia="zh-CN"/>
        </w:rPr>
        <w:t>1604</w:t>
      </w:r>
      <w:r>
        <w:rPr>
          <w:rFonts w:hint="default" w:ascii="Times New Roman" w:hAnsi="Times New Roman" w:eastAsia="仿宋_GB2312" w:cs="Times New Roman"/>
          <w:sz w:val="32"/>
          <w:szCs w:val="32"/>
        </w:rPr>
        <w:t>套</w:t>
      </w:r>
      <w:r>
        <w:rPr>
          <w:rFonts w:hint="default" w:ascii="Times New Roman" w:hAnsi="Times New Roman" w:eastAsia="仿宋_GB2312" w:cs="Times New Roman"/>
          <w:sz w:val="32"/>
          <w:szCs w:val="32"/>
          <w:lang w:val="en-US" w:eastAsia="zh-CN"/>
        </w:rPr>
        <w:t>10.01</w:t>
      </w:r>
      <w:r>
        <w:rPr>
          <w:rFonts w:hint="default" w:ascii="Times New Roman" w:hAnsi="Times New Roman" w:eastAsia="仿宋_GB2312" w:cs="Times New Roman"/>
          <w:sz w:val="32"/>
          <w:szCs w:val="32"/>
        </w:rPr>
        <w:t>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预售合同备案注销2</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套1.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二手房交易备案</w:t>
      </w:r>
      <w:r>
        <w:rPr>
          <w:rFonts w:hint="default" w:ascii="Times New Roman" w:hAnsi="Times New Roman" w:eastAsia="仿宋_GB2312" w:cs="Times New Roman"/>
          <w:sz w:val="32"/>
          <w:szCs w:val="32"/>
          <w:lang w:val="en-US" w:eastAsia="zh-CN"/>
        </w:rPr>
        <w:t>588</w:t>
      </w:r>
      <w:r>
        <w:rPr>
          <w:rFonts w:hint="default" w:ascii="Times New Roman" w:hAnsi="Times New Roman" w:eastAsia="仿宋_GB2312" w:cs="Times New Roman"/>
          <w:sz w:val="32"/>
          <w:szCs w:val="32"/>
        </w:rPr>
        <w:t>套</w:t>
      </w:r>
      <w:r>
        <w:rPr>
          <w:rFonts w:hint="default" w:ascii="Times New Roman" w:hAnsi="Times New Roman" w:eastAsia="仿宋_GB2312" w:cs="Times New Roman"/>
          <w:sz w:val="32"/>
          <w:szCs w:val="32"/>
          <w:lang w:val="en-US" w:eastAsia="zh-CN"/>
        </w:rPr>
        <w:t>5.83</w:t>
      </w:r>
      <w:r>
        <w:rPr>
          <w:rFonts w:hint="default" w:ascii="Times New Roman" w:hAnsi="Times New Roman" w:eastAsia="仿宋_GB2312" w:cs="Times New Roman"/>
          <w:sz w:val="32"/>
          <w:szCs w:val="32"/>
        </w:rPr>
        <w:t>万㎡；房屋抵押备案13</w:t>
      </w:r>
      <w:r>
        <w:rPr>
          <w:rFonts w:hint="default" w:ascii="Times New Roman" w:hAnsi="Times New Roman" w:eastAsia="仿宋_GB2312" w:cs="Times New Roman"/>
          <w:sz w:val="32"/>
          <w:szCs w:val="32"/>
          <w:lang w:val="en-US" w:eastAsia="zh-CN"/>
        </w:rPr>
        <w:t>67</w:t>
      </w:r>
      <w:r>
        <w:rPr>
          <w:rFonts w:hint="default" w:ascii="Times New Roman" w:hAnsi="Times New Roman" w:eastAsia="仿宋_GB2312" w:cs="Times New Roman"/>
          <w:sz w:val="32"/>
          <w:szCs w:val="32"/>
        </w:rPr>
        <w:t>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拨付预售资金2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5笔</w:t>
      </w:r>
      <w:r>
        <w:rPr>
          <w:rFonts w:hint="default" w:ascii="Times New Roman" w:hAnsi="Times New Roman" w:eastAsia="仿宋_GB2312" w:cs="Times New Roman"/>
          <w:sz w:val="32"/>
          <w:szCs w:val="32"/>
          <w:lang w:val="en-US" w:eastAsia="zh-CN"/>
        </w:rPr>
        <w:t>4.1</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，提取住宅专项维修资金121笔164万元；商品房预售许可25件，准许推向市场约23.07万㎡</w:t>
      </w:r>
      <w:r>
        <w:rPr>
          <w:rFonts w:hint="default" w:ascii="Times New Roman" w:hAnsi="Times New Roman" w:eastAsia="仿宋_GB2312" w:cs="Times New Roman"/>
          <w:sz w:val="32"/>
          <w:szCs w:val="32"/>
        </w:rPr>
        <w:t>。</w:t>
      </w:r>
    </w:p>
    <w:p w14:paraId="38E3C07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四是全力推进项目建设。</w:t>
      </w:r>
      <w:r>
        <w:rPr>
          <w:rFonts w:hint="default" w:ascii="Times New Roman" w:hAnsi="Times New Roman" w:eastAsia="仿宋_GB2312" w:cs="Times New Roman"/>
          <w:sz w:val="32"/>
          <w:szCs w:val="32"/>
          <w:lang w:val="en-US" w:eastAsia="zh-CN"/>
        </w:rPr>
        <w:t>2019年米易县重点项目52个，我局牵头21个，协作31个。完成贤家新区柳溪河道路改造工程（米中段），推进南部新城市政道路及生态湿地公园PPP项目、南部新城水电路（青皮安置房至S214段）建设工程、草场河克朗段湿地生态净水区项目等。同时，完成了老烧烤城场地平整项目、新隆巷片区市政基础设施改造工程、府城路改造工程和酿造厂片区棚户区改造供水供电工程。</w:t>
      </w:r>
    </w:p>
    <w:p w14:paraId="0F089F8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五是顺利推进其他各项工作任务</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lang w:eastAsia="zh-CN"/>
        </w:rPr>
        <w:t>农村危房改造</w:t>
      </w:r>
      <w:r>
        <w:rPr>
          <w:rFonts w:hint="default" w:ascii="Times New Roman" w:hAnsi="Times New Roman" w:eastAsia="仿宋_GB2312" w:cs="Times New Roman"/>
          <w:sz w:val="32"/>
          <w:szCs w:val="32"/>
          <w:lang w:val="en-US" w:eastAsia="zh-CN"/>
        </w:rPr>
        <w:t>1438户，已开工1302户，已完工638户；</w:t>
      </w:r>
      <w:r>
        <w:rPr>
          <w:rFonts w:hint="default" w:ascii="Times New Roman" w:hAnsi="Times New Roman" w:eastAsia="仿宋_GB2312" w:cs="Times New Roman"/>
          <w:sz w:val="32"/>
          <w:szCs w:val="32"/>
        </w:rPr>
        <w:t>2019年米易县公厕完成</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完成机关机构改革工作，建设工程消防设计审查验收相关职责和人民防空职责已划入我局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积极化解迷昜森林、南城一号等矛盾纠纷，维护社会安定和谐</w:t>
      </w:r>
      <w:r>
        <w:rPr>
          <w:rFonts w:hint="default" w:ascii="Times New Roman" w:hAnsi="Times New Roman" w:eastAsia="仿宋_GB2312" w:cs="Times New Roman"/>
          <w:sz w:val="32"/>
          <w:szCs w:val="32"/>
          <w:lang w:eastAsia="zh-CN"/>
        </w:rPr>
        <w:t>；棚户区改造尝试采用先修</w:t>
      </w:r>
      <w:r>
        <w:rPr>
          <w:rFonts w:hint="eastAsia" w:eastAsia="仿宋_GB2312" w:cs="Times New Roman"/>
          <w:sz w:val="32"/>
          <w:szCs w:val="32"/>
          <w:lang w:eastAsia="zh-CN"/>
        </w:rPr>
        <w:t>建</w:t>
      </w:r>
      <w:r>
        <w:rPr>
          <w:rFonts w:hint="default" w:ascii="Times New Roman" w:hAnsi="Times New Roman" w:eastAsia="仿宋_GB2312" w:cs="Times New Roman"/>
          <w:sz w:val="32"/>
          <w:szCs w:val="32"/>
          <w:lang w:eastAsia="zh-CN"/>
        </w:rPr>
        <w:t>安置房后征地拆迁新模式加快推进工作；农村危房改造采用督查通报方式提高任务完成率；通过对我县房地产市场发展等4个课题的深入调研，解决了群众关心的热点难点问题。</w:t>
      </w:r>
    </w:p>
    <w:p w14:paraId="77BDA1D5">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Style w:val="30"/>
          <w:rFonts w:hint="default" w:ascii="Times New Roman" w:hAnsi="Times New Roman" w:cs="Times New Roman"/>
          <w:b w:val="0"/>
          <w:bCs w:val="0"/>
        </w:rPr>
      </w:pPr>
      <w:bookmarkStart w:id="24" w:name="_二、机构设置"/>
      <w:r>
        <w:rPr>
          <w:rFonts w:hint="default" w:ascii="Times New Roman" w:hAnsi="Times New Roman" w:eastAsia="黑体" w:cs="Times New Roman"/>
          <w:b w:val="0"/>
          <w:color w:val="000000"/>
        </w:rPr>
        <w:t>二、机</w:t>
      </w:r>
      <w:r>
        <w:rPr>
          <w:rStyle w:val="30"/>
          <w:rFonts w:hint="default" w:ascii="Times New Roman" w:hAnsi="Times New Roman" w:eastAsia="黑体" w:cs="Times New Roman"/>
          <w:b w:val="0"/>
          <w:bCs w:val="0"/>
        </w:rPr>
        <w:t>构设置</w:t>
      </w:r>
      <w:bookmarkEnd w:id="22"/>
      <w:bookmarkEnd w:id="23"/>
    </w:p>
    <w:bookmarkEnd w:id="24"/>
    <w:p w14:paraId="772F8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bookmarkStart w:id="25" w:name="_Toc15306275"/>
      <w:bookmarkStart w:id="26" w:name="_Toc15377432"/>
      <w:bookmarkStart w:id="27" w:name="_Toc15378448"/>
      <w:bookmarkStart w:id="28" w:name="_Toc15377201"/>
      <w:r>
        <w:rPr>
          <w:rFonts w:hint="default" w:ascii="Times New Roman" w:hAnsi="Times New Roman" w:eastAsia="仿宋_GB2312" w:cs="Times New Roman"/>
          <w:sz w:val="32"/>
          <w:szCs w:val="32"/>
          <w:lang w:val="en-US" w:eastAsia="zh-CN"/>
        </w:rPr>
        <w:t>县住房和城乡建设局内设行政股室4个，下设事业单位6个。</w:t>
      </w:r>
    </w:p>
    <w:p w14:paraId="0F865EF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2019年度无纳入部门决算编制范围的二级预算单位。</w:t>
      </w:r>
    </w:p>
    <w:bookmarkEnd w:id="25"/>
    <w:bookmarkEnd w:id="26"/>
    <w:bookmarkEnd w:id="27"/>
    <w:bookmarkEnd w:id="28"/>
    <w:p w14:paraId="3DDA9642">
      <w:pPr>
        <w:widowControl/>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sz w:val="32"/>
          <w:szCs w:val="32"/>
        </w:rPr>
        <w:br w:type="page"/>
      </w:r>
    </w:p>
    <w:p w14:paraId="5E9C6957">
      <w:pPr>
        <w:pStyle w:val="3"/>
        <w:ind w:right="440"/>
        <w:jc w:val="right"/>
        <w:rPr>
          <w:rStyle w:val="29"/>
          <w:rFonts w:hint="default" w:ascii="Times New Roman" w:hAnsi="Times New Roman" w:eastAsia="黑体" w:cs="Times New Roman"/>
          <w:b w:val="0"/>
          <w:bCs w:val="0"/>
        </w:rPr>
      </w:pPr>
      <w:bookmarkStart w:id="29" w:name="_Toc15396602"/>
      <w:bookmarkStart w:id="30" w:name="_Toc15377204"/>
      <w:bookmarkStart w:id="31" w:name="_第二部分 2019年度部门决算情况说明"/>
      <w:r>
        <w:rPr>
          <w:rFonts w:hint="default" w:ascii="Times New Roman" w:hAnsi="Times New Roman" w:eastAsia="黑体" w:cs="Times New Roman"/>
          <w:b w:val="0"/>
          <w:color w:val="000000"/>
        </w:rPr>
        <w:t>第二部分</w:t>
      </w:r>
      <w:r>
        <w:rPr>
          <w:rFonts w:hint="default" w:ascii="Times New Roman" w:hAnsi="Times New Roman" w:eastAsia="黑体" w:cs="Times New Roman"/>
          <w:color w:val="000000"/>
        </w:rPr>
        <w:t xml:space="preserve"> </w:t>
      </w:r>
      <w:r>
        <w:rPr>
          <w:rStyle w:val="29"/>
          <w:rFonts w:hint="default" w:ascii="Times New Roman" w:hAnsi="Times New Roman" w:eastAsia="黑体" w:cs="Times New Roman"/>
          <w:b w:val="0"/>
          <w:bCs w:val="0"/>
        </w:rPr>
        <w:t>2019年度部门决算情况说明</w:t>
      </w:r>
      <w:bookmarkEnd w:id="29"/>
      <w:bookmarkEnd w:id="30"/>
    </w:p>
    <w:bookmarkEnd w:id="31"/>
    <w:p w14:paraId="55B11C8A">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rPr>
      </w:pPr>
      <w:bookmarkStart w:id="32" w:name="_Toc15377205"/>
      <w:bookmarkStart w:id="33" w:name="_Toc15396603"/>
      <w:bookmarkStart w:id="34" w:name="_一、收入支出决算总体情况说明"/>
      <w:r>
        <w:rPr>
          <w:rFonts w:hint="eastAsia" w:ascii="Times New Roman" w:hAnsi="Times New Roman" w:eastAsia="黑体" w:cs="Times New Roman"/>
          <w:b w:val="0"/>
          <w:color w:val="000000"/>
          <w:lang w:eastAsia="zh-CN"/>
        </w:rPr>
        <w:t>一、</w:t>
      </w:r>
      <w:r>
        <w:rPr>
          <w:rFonts w:hint="default" w:ascii="Times New Roman" w:hAnsi="Times New Roman" w:eastAsia="黑体" w:cs="Times New Roman"/>
          <w:b w:val="0"/>
          <w:color w:val="000000"/>
        </w:rPr>
        <w:t>收入支出决算总体情况说明</w:t>
      </w:r>
      <w:bookmarkEnd w:id="32"/>
      <w:bookmarkEnd w:id="33"/>
    </w:p>
    <w:bookmarkEnd w:id="34"/>
    <w:p w14:paraId="1992D070">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2019年度收入总计37,719.83万元，与2018年度12,686.83万元相比，收入总计增加25,033万元，增长197.3%。主要变动原因是城市基础建设任务加重，2019年</w:t>
      </w:r>
      <w:r>
        <w:rPr>
          <w:rFonts w:hint="eastAsia" w:eastAsia="仿宋_GB2312" w:cs="Times New Roman"/>
          <w:kern w:val="2"/>
          <w:sz w:val="32"/>
          <w:szCs w:val="32"/>
          <w:lang w:val="en-US" w:eastAsia="zh-CN" w:bidi="ar-SA"/>
        </w:rPr>
        <w:t>度比2018年度</w:t>
      </w:r>
      <w:r>
        <w:rPr>
          <w:rFonts w:hint="default" w:ascii="Times New Roman" w:hAnsi="Times New Roman" w:eastAsia="仿宋_GB2312" w:cs="Times New Roman"/>
          <w:kern w:val="2"/>
          <w:sz w:val="32"/>
          <w:szCs w:val="32"/>
          <w:lang w:val="en-US" w:eastAsia="zh-CN" w:bidi="ar-SA"/>
        </w:rPr>
        <w:t>建设项目增加。</w:t>
      </w:r>
    </w:p>
    <w:p w14:paraId="0220CC6B">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2019年度支出总计17,785.08万元，与2018年度11,065.39万元相比，支出总计增加6,719.69万元，增长60.7%。主要变动原因是城市基础建设任务加重，2019年</w:t>
      </w:r>
      <w:r>
        <w:rPr>
          <w:rFonts w:hint="eastAsia" w:eastAsia="仿宋_GB2312" w:cs="Times New Roman"/>
          <w:kern w:val="2"/>
          <w:sz w:val="32"/>
          <w:szCs w:val="32"/>
          <w:lang w:val="en-US" w:eastAsia="zh-CN" w:bidi="ar-SA"/>
        </w:rPr>
        <w:t>度比2018年度</w:t>
      </w:r>
      <w:r>
        <w:rPr>
          <w:rFonts w:hint="default" w:ascii="Times New Roman" w:hAnsi="Times New Roman" w:eastAsia="仿宋_GB2312" w:cs="Times New Roman"/>
          <w:kern w:val="2"/>
          <w:sz w:val="32"/>
          <w:szCs w:val="32"/>
          <w:lang w:val="en-US" w:eastAsia="zh-CN" w:bidi="ar-SA"/>
        </w:rPr>
        <w:t>建设项目增加。</w:t>
      </w:r>
    </w:p>
    <w:p w14:paraId="3EACF55C">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（图1：收、支决算总计变动情况图）（柱状图）</w:t>
      </w:r>
    </w:p>
    <w:p w14:paraId="2F77C796">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pict>
          <v:shape id="_x0000_s1026" o:spid="_x0000_s1026" o:spt="75" type="#_x0000_t75" style="position:absolute;left:0pt;margin-left:60.55pt;margin-top:21.5pt;height:212.55pt;width:266.5pt;z-index:-251657216;mso-width-relative:page;mso-height-relative:page;" o:ole="t" filled="f" o:preferrelative="t" stroked="t" coordsize="21600,21600">
            <v:path/>
            <v:fill on="f" focussize="0,0"/>
            <v:stroke weight="0.5pt" joinstyle="miter"/>
            <v:imagedata r:id="rId7" o:title=""/>
            <o:lock v:ext="edit" aspectratio="t"/>
          </v:shape>
          <o:OLEObject Type="Embed" ProgID="MSGraph.Chart.8" ShapeID="_x0000_s1026" DrawAspect="Content" ObjectID="_1468075725" r:id="rId6">
            <o:LockedField>false</o:LockedField>
          </o:OLEObject>
        </w:pict>
      </w:r>
    </w:p>
    <w:p w14:paraId="0EDB85C4">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04098B10">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65FD2BDC">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3A8A5899">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278AD6D7">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78E69134">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7C21B29C">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2112EECF">
      <w:pPr>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color w:val="000000"/>
          <w:sz w:val="32"/>
          <w:szCs w:val="32"/>
        </w:rPr>
      </w:pPr>
    </w:p>
    <w:p w14:paraId="754FCC7B">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eastAsia="zh-CN"/>
        </w:rPr>
      </w:pPr>
      <w:bookmarkStart w:id="35" w:name="_Toc15377206"/>
      <w:bookmarkStart w:id="36" w:name="_Toc15396604"/>
      <w:bookmarkStart w:id="37" w:name="_二、收入决算情况说明"/>
      <w:r>
        <w:rPr>
          <w:rFonts w:hint="eastAsia" w:ascii="Times New Roman" w:hAnsi="Times New Roman" w:eastAsia="黑体" w:cs="Times New Roman"/>
          <w:b w:val="0"/>
          <w:color w:val="000000"/>
          <w:lang w:eastAsia="zh-CN"/>
        </w:rPr>
        <w:t>二、</w:t>
      </w:r>
      <w:r>
        <w:rPr>
          <w:rFonts w:hint="default" w:ascii="Times New Roman" w:hAnsi="Times New Roman" w:eastAsia="黑体" w:cs="Times New Roman"/>
          <w:b w:val="0"/>
          <w:color w:val="000000"/>
          <w:lang w:eastAsia="zh-CN"/>
        </w:rPr>
        <w:t>收入决算情况说明</w:t>
      </w:r>
      <w:bookmarkEnd w:id="35"/>
      <w:bookmarkEnd w:id="36"/>
    </w:p>
    <w:bookmarkEnd w:id="37"/>
    <w:p w14:paraId="076F696E">
      <w:pPr>
        <w:pageBreakBefore w:val="0"/>
        <w:widowControl w:val="0"/>
        <w:kinsoku/>
        <w:wordWrap/>
        <w:overflowPunct/>
        <w:topLinePunct w:val="0"/>
        <w:autoSpaceDE/>
        <w:autoSpaceDN/>
        <w:bidi w:val="0"/>
        <w:spacing w:line="560" w:lineRule="exact"/>
        <w:ind w:firstLine="640" w:firstLineChars="200"/>
        <w:textAlignment w:val="auto"/>
        <w:outlineLvl w:val="1"/>
        <w:rPr>
          <w:rFonts w:hint="default" w:ascii="Times New Roman" w:hAnsi="Times New Roman" w:eastAsia="仿宋_GB2312" w:cs="Times New Roman"/>
          <w:color w:val="FF0000"/>
          <w:sz w:val="32"/>
          <w:szCs w:val="32"/>
        </w:rPr>
      </w:pPr>
      <w:bookmarkStart w:id="38" w:name="_Toc47519996"/>
      <w:r>
        <w:rPr>
          <w:rFonts w:hint="default" w:ascii="Times New Roman" w:hAnsi="Times New Roman" w:eastAsia="仿宋_GB2312" w:cs="Times New Roman"/>
          <w:kern w:val="2"/>
          <w:sz w:val="32"/>
          <w:szCs w:val="32"/>
          <w:lang w:val="en-US" w:eastAsia="zh-CN" w:bidi="ar-SA"/>
        </w:rPr>
        <w:t>2019年</w:t>
      </w:r>
      <w:r>
        <w:rPr>
          <w:rFonts w:hint="eastAsia" w:eastAsia="仿宋_GB2312" w:cs="Times New Roman"/>
          <w:kern w:val="2"/>
          <w:sz w:val="32"/>
          <w:szCs w:val="32"/>
          <w:lang w:val="en-US" w:eastAsia="zh-CN" w:bidi="ar-SA"/>
        </w:rPr>
        <w:t>本年</w:t>
      </w:r>
      <w:r>
        <w:rPr>
          <w:rFonts w:hint="default" w:ascii="Times New Roman" w:hAnsi="Times New Roman" w:eastAsia="仿宋_GB2312" w:cs="Times New Roman"/>
          <w:kern w:val="2"/>
          <w:sz w:val="32"/>
          <w:szCs w:val="32"/>
          <w:lang w:val="en-US" w:eastAsia="zh-CN" w:bidi="ar-SA"/>
        </w:rPr>
        <w:t>收入合计37</w:t>
      </w:r>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719.83万元，其中：一般公共预算财政拨款收入13,108.43万元，占34.</w:t>
      </w:r>
      <w:r>
        <w:rPr>
          <w:rFonts w:hint="eastAsia"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%；政府性基金预算财政拨款收入24,611.40万元，占65.2%；无国有资本经营预算财政拨款收入；无事业收入；无经营收入；无附属单位上缴收入；无其他收入。</w:t>
      </w:r>
      <w:bookmarkEnd w:id="38"/>
    </w:p>
    <w:p w14:paraId="11A266D3">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（图2：收入决算结构图）（饼状图）</w:t>
      </w:r>
    </w:p>
    <w:p w14:paraId="5EEE0F6E">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pict>
          <v:shape id="_x0000_s1027" o:spid="_x0000_s1027" o:spt="75" type="#_x0000_t75" style="position:absolute;left:0pt;margin-left:83.9pt;margin-top:9.6pt;height:174.95pt;width:242.3pt;z-index:-251656192;mso-width-relative:page;mso-height-relative:page;" o:ole="t" filled="f" o:preferrelative="t" stroked="t" coordsize="21600,21600">
            <v:path/>
            <v:fill on="f" focussize="0,0"/>
            <v:stroke weight="0.5pt" joinstyle="miter"/>
            <v:imagedata r:id="rId9" o:title=""/>
            <o:lock v:ext="edit" aspectratio="t"/>
          </v:shape>
          <o:OLEObject Type="Embed" ProgID="MSGraph.Chart.8" ShapeID="_x0000_s1027" DrawAspect="Content" ObjectID="_1468075726" r:id="rId8">
            <o:LockedField>false</o:LockedField>
          </o:OLEObject>
        </w:pict>
      </w:r>
    </w:p>
    <w:p w14:paraId="1DB1E438">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6D56754F">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77B1E246">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26A2658C">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2DD503A5">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FF0000"/>
          <w:sz w:val="32"/>
          <w:szCs w:val="32"/>
        </w:rPr>
      </w:pPr>
    </w:p>
    <w:p w14:paraId="5F53868D">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color w:val="FF0000"/>
          <w:sz w:val="32"/>
          <w:szCs w:val="32"/>
        </w:rPr>
      </w:pPr>
    </w:p>
    <w:p w14:paraId="69F9C540">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eastAsia="zh-CN"/>
        </w:rPr>
      </w:pPr>
      <w:bookmarkStart w:id="39" w:name="_Toc15396605"/>
      <w:bookmarkStart w:id="40" w:name="_Toc15377207"/>
      <w:bookmarkStart w:id="41" w:name="_三、支出决算情况说明"/>
      <w:r>
        <w:rPr>
          <w:rFonts w:hint="eastAsia" w:ascii="Times New Roman" w:hAnsi="Times New Roman" w:eastAsia="黑体" w:cs="Times New Roman"/>
          <w:b w:val="0"/>
          <w:color w:val="000000"/>
          <w:lang w:eastAsia="zh-CN"/>
        </w:rPr>
        <w:t>三、</w:t>
      </w:r>
      <w:r>
        <w:rPr>
          <w:rFonts w:hint="default" w:ascii="Times New Roman" w:hAnsi="Times New Roman" w:eastAsia="黑体" w:cs="Times New Roman"/>
          <w:b w:val="0"/>
          <w:color w:val="000000"/>
          <w:lang w:eastAsia="zh-CN"/>
        </w:rPr>
        <w:t>支出决算情况说明</w:t>
      </w:r>
      <w:bookmarkEnd w:id="39"/>
      <w:bookmarkEnd w:id="40"/>
    </w:p>
    <w:bookmarkEnd w:id="41"/>
    <w:p w14:paraId="7F08EFC5">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kern w:val="2"/>
          <w:sz w:val="32"/>
          <w:szCs w:val="32"/>
          <w:lang w:val="en-US" w:eastAsia="zh-CN" w:bidi="ar-SA"/>
        </w:rPr>
        <w:t>2019年本年支出合计17,785.08万元，其中：基本支出805.72万元，占4.5%；项目支出16,979.36万元，占95.</w:t>
      </w:r>
      <w:r>
        <w:rPr>
          <w:rFonts w:hint="eastAsia"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%；无上缴上级支出；无经营支出；无对附属单位补助支出。</w:t>
      </w:r>
    </w:p>
    <w:p w14:paraId="6FE8A682">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（图3：支出决算结构图）（饼状图）</w:t>
      </w:r>
    </w:p>
    <w:p w14:paraId="259F20E6">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pict>
          <v:shape id="_x0000_s1028" o:spid="_x0000_s1028" o:spt="75" type="#_x0000_t75" style="position:absolute;left:0pt;margin-left:83.6pt;margin-top:10.8pt;height:159.1pt;width:236.6pt;z-index:-251655168;mso-width-relative:page;mso-height-relative:page;" o:ole="t" filled="f" o:preferrelative="t" stroked="t" coordsize="21600,21600">
            <v:path/>
            <v:fill on="f" focussize="0,0"/>
            <v:stroke weight="0.5pt" joinstyle="miter"/>
            <v:imagedata r:id="rId11" o:title=""/>
            <o:lock v:ext="edit" aspectratio="t"/>
          </v:shape>
          <o:OLEObject Type="Embed" ProgID="MSGraph.Chart.8" ShapeID="_x0000_s1028" DrawAspect="Content" ObjectID="_1468075727" r:id="rId10">
            <o:LockedField>false</o:LockedField>
          </o:OLEObject>
        </w:pict>
      </w:r>
    </w:p>
    <w:p w14:paraId="36A95510">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72AD4F83">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 w:cs="Times New Roman"/>
          <w:color w:val="000000"/>
          <w:sz w:val="32"/>
          <w:szCs w:val="32"/>
          <w:lang w:val="en-US" w:eastAsia="zh-CN"/>
        </w:rPr>
      </w:pPr>
    </w:p>
    <w:p w14:paraId="4536C085">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3746D47E">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3A12B22B">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05D1D648">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eastAsia="zh-CN"/>
        </w:rPr>
      </w:pPr>
      <w:bookmarkStart w:id="42" w:name="_Toc15396606"/>
      <w:bookmarkStart w:id="43" w:name="_Toc15377208"/>
      <w:bookmarkStart w:id="44" w:name="_四、财政拨款收入支出决算总体情况说明"/>
      <w:r>
        <w:rPr>
          <w:rFonts w:hint="default" w:ascii="Times New Roman" w:hAnsi="Times New Roman" w:eastAsia="黑体" w:cs="Times New Roman"/>
          <w:b w:val="0"/>
          <w:color w:val="000000"/>
          <w:lang w:eastAsia="zh-CN"/>
        </w:rPr>
        <w:t>四、财政拨款收入支出决算总体情况说明</w:t>
      </w:r>
      <w:bookmarkEnd w:id="42"/>
      <w:bookmarkEnd w:id="43"/>
    </w:p>
    <w:bookmarkEnd w:id="44"/>
    <w:p w14:paraId="4C087421">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w:t>
      </w:r>
      <w:r>
        <w:rPr>
          <w:rFonts w:hint="eastAsia" w:eastAsia="仿宋_GB2312" w:cs="Times New Roman"/>
          <w:kern w:val="2"/>
          <w:sz w:val="32"/>
          <w:szCs w:val="32"/>
          <w:lang w:val="en-US" w:eastAsia="zh-CN" w:bidi="ar-SA"/>
        </w:rPr>
        <w:t>度</w:t>
      </w:r>
      <w:r>
        <w:rPr>
          <w:rFonts w:hint="default" w:ascii="Times New Roman" w:hAnsi="Times New Roman" w:eastAsia="仿宋_GB2312" w:cs="Times New Roman"/>
          <w:kern w:val="2"/>
          <w:sz w:val="32"/>
          <w:szCs w:val="32"/>
          <w:lang w:val="en-US" w:eastAsia="zh-CN" w:bidi="ar-SA"/>
        </w:rPr>
        <w:t>财政拨款收入总计37,719.83万元。与2018年</w:t>
      </w:r>
      <w:r>
        <w:rPr>
          <w:rFonts w:hint="eastAsia" w:eastAsia="仿宋_GB2312" w:cs="Times New Roman"/>
          <w:kern w:val="2"/>
          <w:sz w:val="32"/>
          <w:szCs w:val="32"/>
          <w:lang w:val="en-US" w:eastAsia="zh-CN" w:bidi="ar-SA"/>
        </w:rPr>
        <w:t>度</w:t>
      </w:r>
      <w:r>
        <w:rPr>
          <w:rFonts w:hint="default" w:ascii="Times New Roman" w:hAnsi="Times New Roman" w:eastAsia="仿宋_GB2312" w:cs="Times New Roman"/>
          <w:kern w:val="2"/>
          <w:sz w:val="32"/>
          <w:szCs w:val="32"/>
          <w:lang w:val="en-US" w:eastAsia="zh-CN" w:bidi="ar-SA"/>
        </w:rPr>
        <w:t>12,686.83万元相比，财政拨款收入总计增加25,033万元，增长197.3%。主要变动原因是城市基础建设任务加重，2019年</w:t>
      </w:r>
      <w:r>
        <w:rPr>
          <w:rFonts w:hint="eastAsia" w:eastAsia="仿宋_GB2312" w:cs="Times New Roman"/>
          <w:kern w:val="2"/>
          <w:sz w:val="32"/>
          <w:szCs w:val="32"/>
          <w:lang w:val="en-US" w:eastAsia="zh-CN" w:bidi="ar-SA"/>
        </w:rPr>
        <w:t>度比2018年度</w:t>
      </w:r>
      <w:r>
        <w:rPr>
          <w:rFonts w:hint="default" w:ascii="Times New Roman" w:hAnsi="Times New Roman" w:eastAsia="仿宋_GB2312" w:cs="Times New Roman"/>
          <w:kern w:val="2"/>
          <w:sz w:val="32"/>
          <w:szCs w:val="32"/>
          <w:lang w:val="en-US" w:eastAsia="zh-CN" w:bidi="ar-SA"/>
        </w:rPr>
        <w:t>建设项目增加。</w:t>
      </w:r>
    </w:p>
    <w:p w14:paraId="46C9DF0F">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2019年</w:t>
      </w:r>
      <w:r>
        <w:rPr>
          <w:rFonts w:hint="eastAsia" w:eastAsia="仿宋_GB2312" w:cs="Times New Roman"/>
          <w:kern w:val="2"/>
          <w:sz w:val="32"/>
          <w:szCs w:val="32"/>
          <w:lang w:val="en-US" w:eastAsia="zh-CN" w:bidi="ar-SA"/>
        </w:rPr>
        <w:t>度</w:t>
      </w:r>
      <w:r>
        <w:rPr>
          <w:rFonts w:hint="default" w:ascii="Times New Roman" w:hAnsi="Times New Roman" w:eastAsia="仿宋_GB2312" w:cs="Times New Roman"/>
          <w:kern w:val="2"/>
          <w:sz w:val="32"/>
          <w:szCs w:val="32"/>
          <w:lang w:val="en-US" w:eastAsia="zh-CN" w:bidi="ar-SA"/>
        </w:rPr>
        <w:t>财政拨款支出总计17,785.08万元。与2018年</w:t>
      </w:r>
      <w:r>
        <w:rPr>
          <w:rFonts w:hint="eastAsia" w:eastAsia="仿宋_GB2312" w:cs="Times New Roman"/>
          <w:kern w:val="2"/>
          <w:sz w:val="32"/>
          <w:szCs w:val="32"/>
          <w:lang w:val="en-US" w:eastAsia="zh-CN" w:bidi="ar-SA"/>
        </w:rPr>
        <w:t>度</w:t>
      </w:r>
      <w:r>
        <w:rPr>
          <w:rFonts w:hint="default" w:ascii="Times New Roman" w:hAnsi="Times New Roman" w:eastAsia="仿宋_GB2312" w:cs="Times New Roman"/>
          <w:kern w:val="2"/>
          <w:sz w:val="32"/>
          <w:szCs w:val="32"/>
          <w:lang w:val="en-US" w:eastAsia="zh-CN" w:bidi="ar-SA"/>
        </w:rPr>
        <w:t>11,065.39万元相比，财政拨款支出总计增加6,719.69万元，增加60.7%。主要变动原因是城市基础建设任务加重，2019年</w:t>
      </w:r>
      <w:r>
        <w:rPr>
          <w:rFonts w:hint="eastAsia" w:eastAsia="仿宋_GB2312" w:cs="Times New Roman"/>
          <w:kern w:val="2"/>
          <w:sz w:val="32"/>
          <w:szCs w:val="32"/>
          <w:lang w:val="en-US" w:eastAsia="zh-CN" w:bidi="ar-SA"/>
        </w:rPr>
        <w:t>度比2018年度</w:t>
      </w:r>
      <w:r>
        <w:rPr>
          <w:rFonts w:hint="default" w:ascii="Times New Roman" w:hAnsi="Times New Roman" w:eastAsia="仿宋_GB2312" w:cs="Times New Roman"/>
          <w:kern w:val="2"/>
          <w:sz w:val="32"/>
          <w:szCs w:val="32"/>
          <w:lang w:val="en-US" w:eastAsia="zh-CN" w:bidi="ar-SA"/>
        </w:rPr>
        <w:t>建设项目增加。</w:t>
      </w:r>
    </w:p>
    <w:p w14:paraId="71A8B4B4">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（图4：财政拨款收、支决算总计变动情况）（柱状图）</w:t>
      </w:r>
    </w:p>
    <w:p w14:paraId="7A60472C">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pict>
          <v:shape id="_x0000_s1029" o:spid="_x0000_s1029" o:spt="75" type="#_x0000_t75" style="position:absolute;left:0pt;margin-left:51.95pt;margin-top:24.95pt;height:209.9pt;width:290.8pt;z-index:-251654144;mso-width-relative:page;mso-height-relative:page;" o:ole="t" filled="f" o:preferrelative="t" stroked="t" coordsize="21600,21600">
            <v:path/>
            <v:fill on="f" focussize="0,0"/>
            <v:stroke weight="0.5pt" joinstyle="miter"/>
            <v:imagedata r:id="rId13" o:title=""/>
            <o:lock v:ext="edit" aspectratio="t"/>
          </v:shape>
          <o:OLEObject Type="Embed" ProgID="MSGraph.Chart.8" ShapeID="_x0000_s1029" DrawAspect="Content" ObjectID="_1468075728" r:id="rId12">
            <o:LockedField>false</o:LockedField>
          </o:OLEObject>
        </w:pict>
      </w:r>
    </w:p>
    <w:p w14:paraId="222451DA">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1752E929">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sz w:val="32"/>
          <w:szCs w:val="32"/>
        </w:rPr>
      </w:pPr>
    </w:p>
    <w:p w14:paraId="614AF83B">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FF0000"/>
          <w:sz w:val="32"/>
          <w:szCs w:val="32"/>
        </w:rPr>
      </w:pPr>
    </w:p>
    <w:p w14:paraId="60215EDF">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FF0000"/>
          <w:sz w:val="32"/>
          <w:szCs w:val="32"/>
        </w:rPr>
      </w:pPr>
    </w:p>
    <w:p w14:paraId="7EE5DFEC">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FF0000"/>
          <w:sz w:val="32"/>
          <w:szCs w:val="32"/>
        </w:rPr>
      </w:pPr>
    </w:p>
    <w:p w14:paraId="38BCC7EC">
      <w:pPr>
        <w:spacing w:line="600" w:lineRule="exact"/>
        <w:ind w:firstLine="640"/>
        <w:rPr>
          <w:rFonts w:hint="default" w:ascii="Times New Roman" w:hAnsi="Times New Roman" w:eastAsia="仿宋" w:cs="Times New Roman"/>
          <w:b/>
          <w:color w:val="00B050"/>
          <w:sz w:val="32"/>
          <w:szCs w:val="32"/>
        </w:rPr>
      </w:pPr>
    </w:p>
    <w:p w14:paraId="31BF7513">
      <w:pPr>
        <w:spacing w:line="600" w:lineRule="exact"/>
        <w:ind w:firstLine="640"/>
        <w:rPr>
          <w:rFonts w:hint="default" w:ascii="Times New Roman" w:hAnsi="Times New Roman" w:eastAsia="仿宋" w:cs="Times New Roman"/>
          <w:b/>
          <w:color w:val="00B050"/>
          <w:sz w:val="32"/>
          <w:szCs w:val="32"/>
        </w:rPr>
      </w:pPr>
    </w:p>
    <w:p w14:paraId="276B67ED">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eastAsia="zh-CN"/>
        </w:rPr>
      </w:pPr>
      <w:bookmarkStart w:id="45" w:name="_Toc15377209"/>
      <w:bookmarkStart w:id="46" w:name="_Toc15396607"/>
      <w:bookmarkStart w:id="47" w:name="_五、一般公共预算财政拨款支出决算情况说明"/>
      <w:r>
        <w:rPr>
          <w:rFonts w:hint="default" w:ascii="Times New Roman" w:hAnsi="Times New Roman" w:eastAsia="黑体" w:cs="Times New Roman"/>
          <w:b w:val="0"/>
          <w:color w:val="000000"/>
          <w:lang w:eastAsia="zh-CN"/>
        </w:rPr>
        <w:t>五、一般公共预算财政拨款支出决算情况说明</w:t>
      </w:r>
      <w:bookmarkEnd w:id="45"/>
      <w:bookmarkEnd w:id="46"/>
    </w:p>
    <w:bookmarkEnd w:id="47"/>
    <w:p w14:paraId="48C239B7">
      <w:pPr>
        <w:spacing w:line="600" w:lineRule="exact"/>
        <w:ind w:firstLine="643" w:firstLineChars="200"/>
        <w:outlineLvl w:val="2"/>
        <w:rPr>
          <w:rFonts w:hint="default" w:ascii="Times New Roman" w:hAnsi="Times New Roman" w:eastAsia="仿宋" w:cs="Times New Roman"/>
          <w:b/>
          <w:color w:val="000000"/>
          <w:sz w:val="32"/>
          <w:szCs w:val="32"/>
        </w:rPr>
      </w:pPr>
      <w:bookmarkStart w:id="48" w:name="_Toc15377210"/>
      <w:r>
        <w:rPr>
          <w:rFonts w:hint="eastAsia" w:eastAsia="仿宋" w:cs="Times New Roman"/>
          <w:b/>
          <w:color w:val="000000"/>
          <w:sz w:val="32"/>
          <w:szCs w:val="32"/>
          <w:lang w:eastAsia="zh-CN"/>
        </w:rPr>
        <w:t>（一）</w:t>
      </w:r>
      <w:r>
        <w:rPr>
          <w:rFonts w:hint="default" w:ascii="Times New Roman" w:hAnsi="Times New Roman" w:eastAsia="仿宋" w:cs="Times New Roman"/>
          <w:b/>
          <w:color w:val="000000"/>
          <w:sz w:val="32"/>
          <w:szCs w:val="32"/>
        </w:rPr>
        <w:t>一般公共预算财政拨款支出决算总体情况</w:t>
      </w:r>
      <w:bookmarkEnd w:id="48"/>
    </w:p>
    <w:p w14:paraId="11DE057A">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一般公共预算财政拨款支出</w:t>
      </w:r>
      <w:r>
        <w:rPr>
          <w:rFonts w:hint="default" w:ascii="Times New Roman" w:hAnsi="Times New Roman" w:eastAsia="仿宋_GB2312" w:cs="Times New Roman"/>
          <w:color w:val="auto"/>
          <w:sz w:val="32"/>
          <w:szCs w:val="32"/>
          <w:lang w:val="en-US" w:eastAsia="zh-CN"/>
        </w:rPr>
        <w:t>5,329.53</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，占本年支出合计的</w:t>
      </w:r>
      <w:r>
        <w:rPr>
          <w:rFonts w:hint="eastAsia" w:eastAsia="仿宋_GB2312" w:cs="Times New Roman"/>
          <w:color w:val="000000" w:themeColor="text1"/>
          <w:sz w:val="32"/>
          <w:szCs w:val="32"/>
          <w:highlight w:val="none"/>
          <w:lang w:val="en-US" w:eastAsia="zh-CN"/>
          <w14:textFill>
            <w14:solidFill>
              <w14:schemeClr w14:val="tx1"/>
            </w14:solidFill>
          </w14:textFill>
        </w:rPr>
        <w:t>30.0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auto"/>
          <w:sz w:val="32"/>
          <w:szCs w:val="32"/>
        </w:rPr>
        <w:t>与2018年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3,210.20</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auto"/>
          <w:sz w:val="32"/>
          <w:szCs w:val="32"/>
        </w:rPr>
        <w:t>相比，一般公共预算财政拨款增加</w:t>
      </w:r>
      <w:r>
        <w:rPr>
          <w:rFonts w:hint="default" w:ascii="Times New Roman" w:hAnsi="Times New Roman" w:eastAsia="仿宋_GB2312" w:cs="Times New Roman"/>
          <w:color w:val="auto"/>
          <w:sz w:val="32"/>
          <w:szCs w:val="32"/>
          <w:lang w:val="en-US" w:eastAsia="zh-CN"/>
        </w:rPr>
        <w:t>2,119.33</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66.0</w:t>
      </w:r>
      <w:r>
        <w:rPr>
          <w:rFonts w:hint="default" w:ascii="Times New Roman" w:hAnsi="Times New Roman" w:eastAsia="仿宋_GB2312" w:cs="Times New Roman"/>
          <w:color w:val="auto"/>
          <w:sz w:val="32"/>
          <w:szCs w:val="32"/>
        </w:rPr>
        <w:t>%。主要变动原因是</w:t>
      </w:r>
      <w:r>
        <w:rPr>
          <w:rFonts w:hint="default" w:ascii="Times New Roman" w:hAnsi="Times New Roman" w:eastAsia="仿宋_GB2312" w:cs="Times New Roman"/>
          <w:color w:val="auto"/>
          <w:sz w:val="32"/>
          <w:szCs w:val="32"/>
          <w:lang w:eastAsia="zh-CN"/>
        </w:rPr>
        <w:t>人员经费增加，工作力度增强</w:t>
      </w:r>
      <w:r>
        <w:rPr>
          <w:rFonts w:hint="default" w:ascii="Times New Roman" w:hAnsi="Times New Roman" w:eastAsia="仿宋_GB2312" w:cs="Times New Roman"/>
          <w:color w:val="auto"/>
          <w:sz w:val="32"/>
          <w:szCs w:val="32"/>
        </w:rPr>
        <w:t>。</w:t>
      </w:r>
    </w:p>
    <w:p w14:paraId="0A30130A">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 w:cs="Times New Roman"/>
          <w:color w:val="000000"/>
          <w:spacing w:val="-20"/>
          <w:sz w:val="32"/>
          <w:szCs w:val="32"/>
        </w:rPr>
      </w:pPr>
      <w:r>
        <w:rPr>
          <w:rFonts w:hint="default" w:ascii="Times New Roman" w:hAnsi="Times New Roman" w:eastAsia="仿宋" w:cs="Times New Roman"/>
          <w:color w:val="000000"/>
          <w:spacing w:val="-20"/>
          <w:sz w:val="32"/>
          <w:szCs w:val="32"/>
        </w:rPr>
        <w:t>（图5：一般公共预算财政拨款支出决算变动情况）（柱状图）</w:t>
      </w:r>
    </w:p>
    <w:p w14:paraId="5CA1DDF9">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pict>
          <v:shape id="_x0000_s1030" o:spid="_x0000_s1030" o:spt="75" type="#_x0000_t75" style="position:absolute;left:0pt;margin-left:79.45pt;margin-top:10.6pt;height:161.7pt;width:235.35pt;z-index:-251653120;mso-width-relative:page;mso-height-relative:page;" o:ole="t" filled="f" o:preferrelative="t" stroked="t" coordsize="21600,21600">
            <v:path/>
            <v:fill on="f" focussize="0,0"/>
            <v:stroke weight="0.5pt" color="#000000" joinstyle="miter"/>
            <v:imagedata r:id="rId15" o:title=""/>
            <o:lock v:ext="edit" aspectratio="t"/>
          </v:shape>
          <o:OLEObject Type="Embed" ProgID="MSGraph.Chart.8" ShapeID="_x0000_s1030" DrawAspect="Content" ObjectID="_1468075729" r:id="rId14">
            <o:LockedField>false</o:LockedField>
          </o:OLEObject>
        </w:pict>
      </w:r>
    </w:p>
    <w:p w14:paraId="2C1B5938">
      <w:pPr>
        <w:pageBreakBefore w:val="0"/>
        <w:widowControl w:val="0"/>
        <w:kinsoku/>
        <w:wordWrap/>
        <w:overflowPunct/>
        <w:topLinePunct w:val="0"/>
        <w:autoSpaceDE/>
        <w:autoSpaceDN/>
        <w:bidi w:val="0"/>
        <w:spacing w:line="560" w:lineRule="exact"/>
        <w:textAlignment w:val="auto"/>
        <w:rPr>
          <w:rFonts w:hint="default" w:ascii="Times New Roman" w:hAnsi="Times New Roman" w:eastAsia="仿宋" w:cs="Times New Roman"/>
          <w:color w:val="000000"/>
          <w:sz w:val="32"/>
          <w:szCs w:val="32"/>
        </w:rPr>
      </w:pPr>
    </w:p>
    <w:p w14:paraId="786C91A1">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p>
    <w:p w14:paraId="60C49865">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p>
    <w:p w14:paraId="4AD05E7F">
      <w:pPr>
        <w:spacing w:line="600" w:lineRule="exact"/>
        <w:outlineLvl w:val="2"/>
        <w:rPr>
          <w:rFonts w:hint="default" w:ascii="Times New Roman" w:hAnsi="Times New Roman" w:eastAsia="仿宋" w:cs="Times New Roman"/>
          <w:b/>
          <w:color w:val="000000"/>
          <w:sz w:val="32"/>
          <w:szCs w:val="32"/>
        </w:rPr>
      </w:pPr>
      <w:bookmarkStart w:id="49" w:name="_Toc15377211"/>
    </w:p>
    <w:p w14:paraId="1C747D62">
      <w:pPr>
        <w:spacing w:line="600" w:lineRule="exact"/>
        <w:outlineLvl w:val="2"/>
        <w:rPr>
          <w:rFonts w:hint="default" w:ascii="Times New Roman" w:hAnsi="Times New Roman" w:eastAsia="仿宋" w:cs="Times New Roman"/>
          <w:b/>
          <w:color w:val="000000"/>
          <w:sz w:val="32"/>
          <w:szCs w:val="32"/>
        </w:rPr>
      </w:pPr>
    </w:p>
    <w:p w14:paraId="52A0C0CE">
      <w:pPr>
        <w:spacing w:line="600" w:lineRule="exact"/>
        <w:ind w:firstLine="643" w:firstLineChars="200"/>
        <w:outlineLvl w:val="2"/>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rPr>
        <w:t>（二）一般公共预算财政拨款支出决算结构情况</w:t>
      </w:r>
      <w:bookmarkEnd w:id="49"/>
    </w:p>
    <w:p w14:paraId="4D7520C0">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一般公共预算财政拨款支出</w:t>
      </w:r>
      <w:r>
        <w:rPr>
          <w:rFonts w:hint="default" w:ascii="Times New Roman" w:hAnsi="Times New Roman" w:eastAsia="仿宋_GB2312" w:cs="Times New Roman"/>
          <w:color w:val="auto"/>
          <w:sz w:val="32"/>
          <w:szCs w:val="32"/>
          <w:lang w:val="en-US" w:eastAsia="zh-CN"/>
        </w:rPr>
        <w:t>5,329.53</w:t>
      </w:r>
      <w:r>
        <w:rPr>
          <w:rFonts w:hint="default" w:ascii="Times New Roman" w:hAnsi="Times New Roman" w:eastAsia="仿宋_GB2312" w:cs="Times New Roman"/>
          <w:color w:val="auto"/>
          <w:sz w:val="32"/>
          <w:szCs w:val="32"/>
        </w:rPr>
        <w:t>万元，主要用于以下方面:一般公共服务（类）支出</w:t>
      </w:r>
      <w:r>
        <w:rPr>
          <w:rFonts w:hint="default" w:ascii="Times New Roman" w:hAnsi="Times New Roman" w:eastAsia="仿宋_GB2312" w:cs="Times New Roman"/>
          <w:color w:val="auto"/>
          <w:sz w:val="32"/>
          <w:szCs w:val="32"/>
          <w:lang w:val="en-US" w:eastAsia="zh-CN"/>
        </w:rPr>
        <w:t>1.85</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社会保障和就业支出</w:t>
      </w:r>
      <w:r>
        <w:rPr>
          <w:rFonts w:hint="default" w:ascii="Times New Roman" w:hAnsi="Times New Roman" w:eastAsia="仿宋_GB2312" w:cs="Times New Roman"/>
          <w:color w:val="auto"/>
          <w:sz w:val="32"/>
          <w:szCs w:val="32"/>
          <w:lang w:val="en-US" w:eastAsia="zh-CN"/>
        </w:rPr>
        <w:t>72.8</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卫生健康（类）</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41.29</w:t>
      </w:r>
      <w:r>
        <w:rPr>
          <w:rFonts w:hint="default"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0.8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节能环保（类）</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1,429.18</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26.8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城乡社区（类）支出</w:t>
      </w:r>
      <w:r>
        <w:rPr>
          <w:rFonts w:hint="default" w:ascii="Times New Roman" w:hAnsi="Times New Roman" w:eastAsia="仿宋_GB2312" w:cs="Times New Roman"/>
          <w:color w:val="auto"/>
          <w:sz w:val="32"/>
          <w:szCs w:val="32"/>
          <w:lang w:val="en-US" w:eastAsia="zh-CN"/>
        </w:rPr>
        <w:t>1,250.93万元，占23.</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住房保障</w:t>
      </w:r>
      <w:r>
        <w:rPr>
          <w:rFonts w:hint="default" w:ascii="Times New Roman" w:hAnsi="Times New Roman" w:eastAsia="仿宋_GB2312" w:cs="Times New Roman"/>
          <w:color w:val="auto"/>
          <w:sz w:val="32"/>
          <w:szCs w:val="32"/>
          <w:lang w:eastAsia="zh-CN"/>
        </w:rPr>
        <w:t>（类）</w:t>
      </w:r>
      <w:r>
        <w:rPr>
          <w:rFonts w:hint="default" w:ascii="Times New Roman" w:hAnsi="Times New Roman" w:eastAsia="仿宋_GB2312" w:cs="Times New Roman"/>
          <w:color w:val="auto"/>
          <w:sz w:val="32"/>
          <w:szCs w:val="32"/>
        </w:rPr>
        <w:t>支出</w:t>
      </w:r>
      <w:r>
        <w:rPr>
          <w:rFonts w:hint="default" w:ascii="Times New Roman" w:hAnsi="Times New Roman" w:eastAsia="仿宋_GB2312" w:cs="Times New Roman"/>
          <w:color w:val="auto"/>
          <w:sz w:val="32"/>
          <w:szCs w:val="32"/>
          <w:lang w:val="en-US" w:eastAsia="zh-CN"/>
        </w:rPr>
        <w:t>2,342.56</w:t>
      </w:r>
      <w:r>
        <w:rPr>
          <w:rFonts w:hint="default" w:ascii="Times New Roman" w:hAnsi="Times New Roman" w:eastAsia="仿宋_GB2312" w:cs="Times New Roman"/>
          <w:color w:val="auto"/>
          <w:sz w:val="32"/>
          <w:szCs w:val="32"/>
        </w:rPr>
        <w:t>万元，占</w:t>
      </w:r>
      <w:r>
        <w:rPr>
          <w:rFonts w:hint="eastAsia" w:eastAsia="仿宋_GB2312" w:cs="Times New Roman"/>
          <w:color w:val="auto"/>
          <w:sz w:val="32"/>
          <w:szCs w:val="32"/>
          <w:lang w:val="en-US" w:eastAsia="zh-CN"/>
        </w:rPr>
        <w:t>43.9</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；债务付息（类）支出</w:t>
      </w:r>
      <w:r>
        <w:rPr>
          <w:rFonts w:hint="default" w:ascii="Times New Roman" w:hAnsi="Times New Roman" w:eastAsia="仿宋_GB2312" w:cs="Times New Roman"/>
          <w:color w:val="auto"/>
          <w:sz w:val="32"/>
          <w:szCs w:val="32"/>
          <w:lang w:val="en-US" w:eastAsia="zh-CN"/>
        </w:rPr>
        <w:t>190.92万元</w:t>
      </w:r>
      <w:r>
        <w:rPr>
          <w:rFonts w:hint="default" w:ascii="Times New Roman" w:hAnsi="Times New Roman" w:eastAsia="仿宋_GB2312" w:cs="Times New Roman"/>
          <w:color w:val="auto"/>
          <w:sz w:val="32"/>
          <w:szCs w:val="32"/>
          <w:lang w:eastAsia="zh-CN"/>
        </w:rPr>
        <w:t>，占</w:t>
      </w:r>
      <w:r>
        <w:rPr>
          <w:rFonts w:hint="default" w:ascii="Times New Roman" w:hAnsi="Times New Roman" w:eastAsia="仿宋_GB2312" w:cs="Times New Roman"/>
          <w:color w:val="auto"/>
          <w:sz w:val="32"/>
          <w:szCs w:val="32"/>
          <w:lang w:val="en-US" w:eastAsia="zh-CN"/>
        </w:rPr>
        <w:t>3.</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w:t>
      </w:r>
    </w:p>
    <w:p w14:paraId="6681F359">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（图6：一般公共预算财政拨款支出决算结构）（饼状图）</w:t>
      </w:r>
    </w:p>
    <w:p w14:paraId="13F899F0">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color w:val="000000"/>
          <w:sz w:val="32"/>
          <w:szCs w:val="32"/>
        </w:rPr>
        <w:pict>
          <v:shape id="_x0000_s1031" o:spid="_x0000_s1031" o:spt="75" type="#_x0000_t75" style="position:absolute;left:0pt;margin-left:57.65pt;margin-top:12.05pt;height:189.4pt;width:302.6pt;z-index:-251652096;mso-width-relative:page;mso-height-relative:page;" o:ole="t" filled="f" o:preferrelative="t" stroked="t" coordsize="21600,21600">
            <v:path/>
            <v:fill on="f" focussize="0,0"/>
            <v:stroke weight="0.5pt" joinstyle="miter"/>
            <v:imagedata r:id="rId17" o:title=""/>
            <o:lock v:ext="edit" aspectratio="t"/>
          </v:shape>
          <o:OLEObject Type="Embed" ProgID="MSGraph.Chart.8" ShapeID="_x0000_s1031" DrawAspect="Content" ObjectID="_1468075730" r:id="rId16">
            <o:LockedField>false</o:LockedField>
          </o:OLEObject>
        </w:pict>
      </w:r>
    </w:p>
    <w:p w14:paraId="18E68E27">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54A16023">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2FAAA957">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0CF63239">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6EC9195C">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73168131">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lang w:val="en-US" w:eastAsia="zh-CN"/>
        </w:rPr>
      </w:pPr>
    </w:p>
    <w:p w14:paraId="35E5570F">
      <w:pPr>
        <w:spacing w:line="600" w:lineRule="exact"/>
        <w:ind w:firstLine="643" w:firstLineChars="200"/>
        <w:outlineLvl w:val="2"/>
        <w:rPr>
          <w:rFonts w:hint="default" w:ascii="Times New Roman" w:hAnsi="Times New Roman" w:eastAsia="仿宋" w:cs="Times New Roman"/>
          <w:b/>
          <w:color w:val="000000"/>
          <w:sz w:val="32"/>
          <w:szCs w:val="32"/>
        </w:rPr>
      </w:pPr>
      <w:bookmarkStart w:id="50" w:name="_Toc15377212"/>
      <w:r>
        <w:rPr>
          <w:rFonts w:hint="default" w:ascii="Times New Roman" w:hAnsi="Times New Roman" w:eastAsia="仿宋" w:cs="Times New Roman"/>
          <w:b/>
          <w:color w:val="000000"/>
          <w:sz w:val="32"/>
          <w:szCs w:val="32"/>
        </w:rPr>
        <w:t>（三）一般公共预算财政拨款支出决算具体情况</w:t>
      </w:r>
      <w:bookmarkEnd w:id="50"/>
    </w:p>
    <w:p w14:paraId="5C5F6CE8">
      <w:pPr>
        <w:spacing w:line="600" w:lineRule="exact"/>
        <w:ind w:firstLine="643" w:firstLineChars="200"/>
        <w:outlineLvl w:val="2"/>
        <w:rPr>
          <w:rFonts w:hint="default" w:ascii="Times New Roman" w:hAnsi="Times New Roman" w:eastAsia="仿宋" w:cs="Times New Roman"/>
          <w:b/>
          <w:color w:val="000000" w:themeColor="text1"/>
          <w:sz w:val="32"/>
          <w:szCs w:val="32"/>
          <w14:textFill>
            <w14:solidFill>
              <w14:schemeClr w14:val="tx1"/>
            </w14:solidFill>
          </w14:textFill>
        </w:rPr>
      </w:pPr>
      <w:bookmarkStart w:id="51" w:name="_Toc15377213"/>
      <w:bookmarkStart w:id="52" w:name="_Toc15378460"/>
      <w:bookmarkStart w:id="53" w:name="_Toc15377444"/>
      <w:r>
        <w:rPr>
          <w:rFonts w:hint="default" w:ascii="Times New Roman" w:hAnsi="Times New Roman" w:eastAsia="仿宋" w:cs="Times New Roman"/>
          <w:b/>
          <w:color w:val="000000" w:themeColor="text1"/>
          <w:sz w:val="32"/>
          <w:szCs w:val="32"/>
          <w14:textFill>
            <w14:solidFill>
              <w14:schemeClr w14:val="tx1"/>
            </w14:solidFill>
          </w14:textFill>
        </w:rPr>
        <w:t>2019年</w:t>
      </w:r>
      <w:r>
        <w:rPr>
          <w:rFonts w:hint="eastAsia" w:eastAsia="仿宋" w:cs="Times New Roman"/>
          <w:b/>
          <w:color w:val="000000" w:themeColor="text1"/>
          <w:sz w:val="32"/>
          <w:szCs w:val="32"/>
          <w:lang w:eastAsia="zh-CN"/>
          <w14:textFill>
            <w14:solidFill>
              <w14:schemeClr w14:val="tx1"/>
            </w14:solidFill>
          </w14:textFill>
        </w:rPr>
        <w:t>度</w:t>
      </w:r>
      <w:r>
        <w:rPr>
          <w:rFonts w:hint="default" w:ascii="Times New Roman" w:hAnsi="Times New Roman" w:eastAsia="仿宋" w:cs="Times New Roman"/>
          <w:b/>
          <w:color w:val="000000" w:themeColor="text1"/>
          <w:sz w:val="32"/>
          <w:szCs w:val="32"/>
          <w:lang w:eastAsia="zh-CN"/>
          <w14:textFill>
            <w14:solidFill>
              <w14:schemeClr w14:val="tx1"/>
            </w14:solidFill>
          </w14:textFill>
        </w:rPr>
        <w:t>一</w:t>
      </w:r>
      <w:r>
        <w:rPr>
          <w:rFonts w:hint="default" w:ascii="Times New Roman" w:hAnsi="Times New Roman" w:eastAsia="仿宋" w:cs="Times New Roman"/>
          <w:b/>
          <w:color w:val="000000" w:themeColor="text1"/>
          <w:sz w:val="32"/>
          <w:szCs w:val="32"/>
          <w14:textFill>
            <w14:solidFill>
              <w14:schemeClr w14:val="tx1"/>
            </w14:solidFill>
          </w14:textFill>
        </w:rPr>
        <w:t>般公共预算支出决算数为</w:t>
      </w:r>
      <w:bookmarkEnd w:id="51"/>
      <w:bookmarkEnd w:id="52"/>
      <w:bookmarkEnd w:id="53"/>
      <w:r>
        <w:rPr>
          <w:rFonts w:hint="default" w:ascii="Times New Roman" w:hAnsi="Times New Roman" w:eastAsia="仿宋" w:cs="Times New Roman"/>
          <w:b/>
          <w:color w:val="000000" w:themeColor="text1"/>
          <w:sz w:val="32"/>
          <w:szCs w:val="32"/>
          <w:lang w:val="en-US" w:eastAsia="zh-CN"/>
          <w14:textFill>
            <w14:solidFill>
              <w14:schemeClr w14:val="tx1"/>
            </w14:solidFill>
          </w14:textFill>
        </w:rPr>
        <w:t>5,329.53</w:t>
      </w:r>
      <w:r>
        <w:rPr>
          <w:rFonts w:hint="default" w:ascii="Times New Roman" w:hAnsi="Times New Roman" w:eastAsia="仿宋" w:cs="Times New Roman"/>
          <w:b/>
          <w:color w:val="000000" w:themeColor="text1"/>
          <w:sz w:val="32"/>
          <w:szCs w:val="32"/>
          <w14:textFill>
            <w14:solidFill>
              <w14:schemeClr w14:val="tx1"/>
            </w14:solidFill>
          </w14:textFill>
        </w:rPr>
        <w:t>，完成预算</w:t>
      </w:r>
      <w:r>
        <w:rPr>
          <w:rFonts w:hint="eastAsia" w:eastAsia="仿宋" w:cs="Times New Roman"/>
          <w:b/>
          <w:color w:val="000000" w:themeColor="text1"/>
          <w:sz w:val="32"/>
          <w:szCs w:val="32"/>
          <w:lang w:val="en-US" w:eastAsia="zh-CN"/>
          <w14:textFill>
            <w14:solidFill>
              <w14:schemeClr w14:val="tx1"/>
            </w14:solidFill>
          </w14:textFill>
        </w:rPr>
        <w:t>40.7</w:t>
      </w:r>
      <w:r>
        <w:rPr>
          <w:rFonts w:hint="default" w:ascii="Times New Roman" w:hAnsi="Times New Roman" w:eastAsia="仿宋" w:cs="Times New Roman"/>
          <w:b/>
          <w:color w:val="000000" w:themeColor="text1"/>
          <w:sz w:val="32"/>
          <w:szCs w:val="32"/>
          <w14:textFill>
            <w14:solidFill>
              <w14:schemeClr w14:val="tx1"/>
            </w14:solidFill>
          </w14:textFill>
        </w:rPr>
        <w:t>%。其中：</w:t>
      </w:r>
    </w:p>
    <w:p w14:paraId="18047873">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Style w:val="17"/>
          <w:rFonts w:hint="default" w:ascii="Times New Roman" w:hAnsi="Times New Roman" w:eastAsia="仿宋_GB2312" w:cs="Times New Roman"/>
          <w:b w:val="0"/>
          <w:bCs/>
          <w:color w:val="auto"/>
          <w:sz w:val="32"/>
          <w:szCs w:val="32"/>
          <w:highlight w:val="none"/>
        </w:rPr>
        <w:t>1.一般公共服务（类）</w:t>
      </w:r>
      <w:r>
        <w:rPr>
          <w:rStyle w:val="17"/>
          <w:rFonts w:hint="eastAsia" w:eastAsia="仿宋_GB2312" w:cs="Times New Roman"/>
          <w:b w:val="0"/>
          <w:bCs/>
          <w:color w:val="auto"/>
          <w:sz w:val="32"/>
          <w:szCs w:val="32"/>
          <w:highlight w:val="none"/>
          <w:lang w:eastAsia="zh-CN"/>
        </w:rPr>
        <w:t>组织事务（款）一般行政管理事务（项）</w:t>
      </w:r>
      <w:r>
        <w:rPr>
          <w:rStyle w:val="17"/>
          <w:rFonts w:hint="default" w:ascii="Times New Roman" w:hAnsi="Times New Roman" w:eastAsia="仿宋_GB2312" w:cs="Times New Roman"/>
          <w:b w:val="0"/>
          <w:bCs/>
          <w:color w:val="auto"/>
          <w:sz w:val="32"/>
          <w:szCs w:val="32"/>
          <w:highlight w:val="none"/>
        </w:rPr>
        <w:t>: 支出决算为</w:t>
      </w:r>
      <w:r>
        <w:rPr>
          <w:rStyle w:val="17"/>
          <w:rFonts w:hint="default" w:ascii="Times New Roman" w:hAnsi="Times New Roman" w:eastAsia="仿宋_GB2312" w:cs="Times New Roman"/>
          <w:b w:val="0"/>
          <w:bCs/>
          <w:color w:val="auto"/>
          <w:sz w:val="32"/>
          <w:szCs w:val="32"/>
          <w:highlight w:val="none"/>
          <w:lang w:val="en-US" w:eastAsia="zh-CN"/>
        </w:rPr>
        <w:t>1.85</w:t>
      </w:r>
      <w:r>
        <w:rPr>
          <w:rStyle w:val="17"/>
          <w:rFonts w:hint="default" w:ascii="Times New Roman" w:hAnsi="Times New Roman" w:eastAsia="仿宋_GB2312" w:cs="Times New Roman"/>
          <w:b w:val="0"/>
          <w:bCs/>
          <w:color w:val="auto"/>
          <w:sz w:val="32"/>
          <w:szCs w:val="32"/>
          <w:highlight w:val="none"/>
        </w:rPr>
        <w:t>万元，与预算数持平</w:t>
      </w:r>
      <w:r>
        <w:rPr>
          <w:rFonts w:hint="default" w:ascii="Times New Roman" w:hAnsi="Times New Roman" w:eastAsia="仿宋_GB2312" w:cs="Times New Roman"/>
          <w:color w:val="auto"/>
          <w:sz w:val="32"/>
          <w:szCs w:val="32"/>
          <w:highlight w:val="none"/>
        </w:rPr>
        <w:t>。</w:t>
      </w:r>
    </w:p>
    <w:p w14:paraId="5BDE7806">
      <w:pPr>
        <w:pageBreakBefore w:val="0"/>
        <w:widowControl w:val="0"/>
        <w:kinsoku/>
        <w:wordWrap/>
        <w:overflowPunct/>
        <w:topLinePunct w:val="0"/>
        <w:autoSpaceDE/>
        <w:autoSpaceDN/>
        <w:bidi w:val="0"/>
        <w:spacing w:line="560" w:lineRule="exact"/>
        <w:ind w:firstLine="640" w:firstLineChars="200"/>
        <w:textAlignment w:val="auto"/>
        <w:rPr>
          <w:rStyle w:val="17"/>
          <w:rFonts w:hint="default" w:eastAsia="仿宋_GB2312" w:cs="Times New Roman"/>
          <w:b w:val="0"/>
          <w:bCs/>
          <w:color w:val="auto"/>
          <w:sz w:val="32"/>
          <w:szCs w:val="32"/>
          <w:highlight w:val="none"/>
          <w:lang w:eastAsia="zh-CN"/>
        </w:rPr>
      </w:pPr>
      <w:r>
        <w:rPr>
          <w:rStyle w:val="17"/>
          <w:rFonts w:hint="default" w:ascii="Times New Roman" w:hAnsi="Times New Roman" w:eastAsia="仿宋_GB2312" w:cs="Times New Roman"/>
          <w:b w:val="0"/>
          <w:bCs/>
          <w:color w:val="000000"/>
          <w:sz w:val="32"/>
          <w:szCs w:val="32"/>
        </w:rPr>
        <w:t>2.社会保障和就业（类）</w:t>
      </w:r>
      <w:r>
        <w:rPr>
          <w:rStyle w:val="17"/>
          <w:rFonts w:hint="eastAsia" w:eastAsia="仿宋_GB2312" w:cs="Times New Roman"/>
          <w:b w:val="0"/>
          <w:bCs/>
          <w:color w:val="000000"/>
          <w:sz w:val="32"/>
          <w:szCs w:val="32"/>
          <w:lang w:eastAsia="zh-CN"/>
        </w:rPr>
        <w:t>行政事业单位离退休</w:t>
      </w:r>
      <w:r>
        <w:rPr>
          <w:rStyle w:val="17"/>
          <w:rFonts w:hint="eastAsia" w:eastAsia="仿宋_GB2312" w:cs="Times New Roman"/>
          <w:b w:val="0"/>
          <w:bCs/>
          <w:color w:val="auto"/>
          <w:sz w:val="32"/>
          <w:szCs w:val="32"/>
          <w:highlight w:val="none"/>
          <w:lang w:eastAsia="zh-CN"/>
        </w:rPr>
        <w:t>（款）未归口管理的行政单位离退休（项）</w:t>
      </w:r>
      <w:r>
        <w:rPr>
          <w:rStyle w:val="17"/>
          <w:rFonts w:hint="default" w:ascii="Times New Roman" w:hAnsi="Times New Roman" w:eastAsia="仿宋_GB2312" w:cs="Times New Roman"/>
          <w:b w:val="0"/>
          <w:bCs/>
          <w:color w:val="auto"/>
          <w:sz w:val="32"/>
          <w:szCs w:val="32"/>
        </w:rPr>
        <w:t xml:space="preserve">: </w:t>
      </w:r>
      <w:r>
        <w:rPr>
          <w:rStyle w:val="17"/>
          <w:rFonts w:hint="default" w:eastAsia="仿宋_GB2312" w:cs="Times New Roman"/>
          <w:b w:val="0"/>
          <w:bCs/>
          <w:color w:val="auto"/>
          <w:sz w:val="32"/>
          <w:szCs w:val="32"/>
          <w:highlight w:val="none"/>
          <w:lang w:eastAsia="zh-CN"/>
        </w:rPr>
        <w:t>支出决算为</w:t>
      </w:r>
      <w:r>
        <w:rPr>
          <w:rStyle w:val="17"/>
          <w:rFonts w:hint="eastAsia" w:eastAsia="仿宋_GB2312" w:cs="Times New Roman"/>
          <w:b w:val="0"/>
          <w:bCs/>
          <w:color w:val="auto"/>
          <w:sz w:val="32"/>
          <w:szCs w:val="32"/>
          <w:highlight w:val="none"/>
          <w:lang w:val="en-US" w:eastAsia="zh-CN"/>
        </w:rPr>
        <w:t>14.58</w:t>
      </w:r>
      <w:r>
        <w:rPr>
          <w:rStyle w:val="17"/>
          <w:rFonts w:hint="default" w:eastAsia="仿宋_GB2312" w:cs="Times New Roman"/>
          <w:b w:val="0"/>
          <w:bCs/>
          <w:color w:val="auto"/>
          <w:sz w:val="32"/>
          <w:szCs w:val="32"/>
          <w:highlight w:val="none"/>
          <w:lang w:eastAsia="zh-CN"/>
        </w:rPr>
        <w:t>万元，与预算数持平。</w:t>
      </w:r>
    </w:p>
    <w:p w14:paraId="32FE2558">
      <w:pPr>
        <w:pageBreakBefore w:val="0"/>
        <w:widowControl w:val="0"/>
        <w:kinsoku/>
        <w:wordWrap/>
        <w:overflowPunct/>
        <w:topLinePunct w:val="0"/>
        <w:autoSpaceDE/>
        <w:autoSpaceDN/>
        <w:bidi w:val="0"/>
        <w:spacing w:line="560" w:lineRule="exact"/>
        <w:ind w:firstLine="640" w:firstLineChars="200"/>
        <w:textAlignment w:val="auto"/>
        <w:rPr>
          <w:rStyle w:val="17"/>
          <w:rFonts w:hint="default" w:eastAsia="仿宋_GB2312" w:cs="Times New Roman"/>
          <w:b w:val="0"/>
          <w:bCs/>
          <w:color w:val="auto"/>
          <w:sz w:val="32"/>
          <w:szCs w:val="32"/>
          <w:highlight w:val="none"/>
          <w:lang w:val="en-US" w:eastAsia="zh-CN"/>
        </w:rPr>
      </w:pPr>
      <w:r>
        <w:rPr>
          <w:rStyle w:val="17"/>
          <w:rFonts w:hint="eastAsia" w:eastAsia="仿宋_GB2312" w:cs="Times New Roman"/>
          <w:b w:val="0"/>
          <w:bCs/>
          <w:color w:val="auto"/>
          <w:sz w:val="32"/>
          <w:szCs w:val="32"/>
          <w:lang w:val="en-US" w:eastAsia="zh-CN"/>
        </w:rPr>
        <w:t>3.</w:t>
      </w:r>
      <w:r>
        <w:rPr>
          <w:rStyle w:val="17"/>
          <w:rFonts w:hint="default" w:ascii="Times New Roman" w:hAnsi="Times New Roman" w:eastAsia="仿宋_GB2312" w:cs="Times New Roman"/>
          <w:b w:val="0"/>
          <w:bCs/>
          <w:color w:val="auto"/>
          <w:sz w:val="32"/>
          <w:szCs w:val="32"/>
        </w:rPr>
        <w:t>社会保障和就业（类）</w:t>
      </w:r>
      <w:r>
        <w:rPr>
          <w:rStyle w:val="17"/>
          <w:rFonts w:hint="eastAsia" w:eastAsia="仿宋_GB2312" w:cs="Times New Roman"/>
          <w:b w:val="0"/>
          <w:bCs/>
          <w:color w:val="auto"/>
          <w:sz w:val="32"/>
          <w:szCs w:val="32"/>
          <w:lang w:eastAsia="zh-CN"/>
        </w:rPr>
        <w:t>行政事业单位离退休</w:t>
      </w:r>
      <w:r>
        <w:rPr>
          <w:rStyle w:val="17"/>
          <w:rFonts w:hint="eastAsia" w:eastAsia="仿宋_GB2312" w:cs="Times New Roman"/>
          <w:b w:val="0"/>
          <w:bCs/>
          <w:color w:val="auto"/>
          <w:sz w:val="32"/>
          <w:szCs w:val="32"/>
          <w:highlight w:val="none"/>
          <w:lang w:eastAsia="zh-CN"/>
        </w:rPr>
        <w:t>（款）机关事业单位基本养老保险缴费支出（项）：支出决算为</w:t>
      </w:r>
      <w:r>
        <w:rPr>
          <w:rStyle w:val="17"/>
          <w:rFonts w:hint="eastAsia" w:eastAsia="仿宋_GB2312" w:cs="Times New Roman"/>
          <w:b w:val="0"/>
          <w:bCs/>
          <w:color w:val="auto"/>
          <w:sz w:val="32"/>
          <w:szCs w:val="32"/>
          <w:highlight w:val="none"/>
          <w:lang w:val="en-US" w:eastAsia="zh-CN"/>
        </w:rPr>
        <w:t>58.22万元，与预算数持平。</w:t>
      </w:r>
    </w:p>
    <w:p w14:paraId="37FAAFF2">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Style w:val="17"/>
          <w:rFonts w:hint="eastAsia" w:eastAsia="仿宋_GB2312" w:cs="Times New Roman"/>
          <w:b w:val="0"/>
          <w:bCs/>
          <w:color w:val="auto"/>
          <w:sz w:val="32"/>
          <w:szCs w:val="32"/>
          <w:highlight w:val="none"/>
          <w:lang w:val="en-US" w:eastAsia="zh-CN"/>
        </w:rPr>
        <w:t>4.</w:t>
      </w:r>
      <w:r>
        <w:rPr>
          <w:rStyle w:val="17"/>
          <w:rFonts w:hint="default" w:ascii="Times New Roman" w:hAnsi="Times New Roman" w:eastAsia="仿宋_GB2312" w:cs="Times New Roman"/>
          <w:b w:val="0"/>
          <w:bCs/>
          <w:color w:val="auto"/>
          <w:sz w:val="32"/>
          <w:szCs w:val="32"/>
          <w:lang w:val="en-US" w:eastAsia="zh-CN"/>
        </w:rPr>
        <w:t>卫生健康</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行政事业单位医疗（款）行政单位医疗（项）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7.41</w:t>
      </w:r>
      <w:r>
        <w:rPr>
          <w:rStyle w:val="17"/>
          <w:rFonts w:hint="default" w:ascii="Times New Roman" w:hAnsi="Times New Roman" w:eastAsia="仿宋_GB2312" w:cs="Times New Roman"/>
          <w:b w:val="0"/>
          <w:bCs/>
          <w:color w:val="auto"/>
          <w:sz w:val="32"/>
          <w:szCs w:val="32"/>
        </w:rPr>
        <w:t>万元，与预算数持平</w:t>
      </w:r>
      <w:r>
        <w:rPr>
          <w:rFonts w:hint="default" w:ascii="Times New Roman" w:hAnsi="Times New Roman" w:eastAsia="仿宋_GB2312" w:cs="Times New Roman"/>
          <w:color w:val="auto"/>
          <w:sz w:val="32"/>
          <w:szCs w:val="32"/>
        </w:rPr>
        <w:t>。</w:t>
      </w:r>
    </w:p>
    <w:p w14:paraId="177C886E">
      <w:pPr>
        <w:pageBreakBefore w:val="0"/>
        <w:widowControl w:val="0"/>
        <w:kinsoku/>
        <w:wordWrap/>
        <w:overflowPunct/>
        <w:topLinePunct w:val="0"/>
        <w:autoSpaceDE/>
        <w:autoSpaceDN/>
        <w:bidi w:val="0"/>
        <w:spacing w:line="560" w:lineRule="exact"/>
        <w:ind w:firstLine="640" w:firstLineChars="200"/>
        <w:textAlignment w:val="auto"/>
        <w:rPr>
          <w:rStyle w:val="17"/>
          <w:rFonts w:hint="default" w:ascii="Times New Roman" w:hAnsi="Times New Roman" w:eastAsia="仿宋_GB2312" w:cs="Times New Roman"/>
          <w:b w:val="0"/>
          <w:bCs/>
          <w:color w:val="auto"/>
          <w:sz w:val="32"/>
          <w:szCs w:val="32"/>
        </w:rPr>
      </w:pPr>
      <w:r>
        <w:rPr>
          <w:rStyle w:val="17"/>
          <w:rFonts w:hint="eastAsia" w:eastAsia="仿宋_GB2312" w:cs="Times New Roman"/>
          <w:b w:val="0"/>
          <w:bCs/>
          <w:color w:val="auto"/>
          <w:sz w:val="32"/>
          <w:szCs w:val="32"/>
          <w:highlight w:val="none"/>
          <w:lang w:val="en-US" w:eastAsia="zh-CN"/>
        </w:rPr>
        <w:t>5.</w:t>
      </w:r>
      <w:r>
        <w:rPr>
          <w:rStyle w:val="17"/>
          <w:rFonts w:hint="default" w:ascii="Times New Roman" w:hAnsi="Times New Roman" w:eastAsia="仿宋_GB2312" w:cs="Times New Roman"/>
          <w:b w:val="0"/>
          <w:bCs/>
          <w:color w:val="auto"/>
          <w:sz w:val="32"/>
          <w:szCs w:val="32"/>
          <w:lang w:val="en-US" w:eastAsia="zh-CN"/>
        </w:rPr>
        <w:t>卫生健康</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行政事业单位医疗（款）事业单位医疗（项）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30.16</w:t>
      </w:r>
      <w:r>
        <w:rPr>
          <w:rStyle w:val="17"/>
          <w:rFonts w:hint="default" w:ascii="Times New Roman" w:hAnsi="Times New Roman" w:eastAsia="仿宋_GB2312" w:cs="Times New Roman"/>
          <w:b w:val="0"/>
          <w:bCs/>
          <w:color w:val="auto"/>
          <w:sz w:val="32"/>
          <w:szCs w:val="32"/>
        </w:rPr>
        <w:t>万元，与预算数持平。</w:t>
      </w:r>
    </w:p>
    <w:p w14:paraId="43D81922">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Style w:val="17"/>
          <w:rFonts w:hint="eastAsia" w:eastAsia="仿宋_GB2312" w:cs="Times New Roman"/>
          <w:b w:val="0"/>
          <w:bCs/>
          <w:color w:val="auto"/>
          <w:sz w:val="32"/>
          <w:szCs w:val="32"/>
          <w:highlight w:val="none"/>
          <w:lang w:val="en-US" w:eastAsia="zh-CN"/>
        </w:rPr>
        <w:t>6.</w:t>
      </w:r>
      <w:r>
        <w:rPr>
          <w:rStyle w:val="17"/>
          <w:rFonts w:hint="default" w:ascii="Times New Roman" w:hAnsi="Times New Roman" w:eastAsia="仿宋_GB2312" w:cs="Times New Roman"/>
          <w:b w:val="0"/>
          <w:bCs/>
          <w:color w:val="auto"/>
          <w:sz w:val="32"/>
          <w:szCs w:val="32"/>
          <w:lang w:val="en-US" w:eastAsia="zh-CN"/>
        </w:rPr>
        <w:t>卫生健康</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行政事业单位医疗（款）公务员医疗补助（项）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3.72</w:t>
      </w:r>
      <w:r>
        <w:rPr>
          <w:rStyle w:val="17"/>
          <w:rFonts w:hint="default" w:ascii="Times New Roman" w:hAnsi="Times New Roman" w:eastAsia="仿宋_GB2312" w:cs="Times New Roman"/>
          <w:b w:val="0"/>
          <w:bCs/>
          <w:color w:val="auto"/>
          <w:sz w:val="32"/>
          <w:szCs w:val="32"/>
        </w:rPr>
        <w:t>万元，与预算数持平。</w:t>
      </w:r>
    </w:p>
    <w:p w14:paraId="15B342E7">
      <w:pPr>
        <w:pageBreakBefore w:val="0"/>
        <w:widowControl w:val="0"/>
        <w:kinsoku/>
        <w:wordWrap/>
        <w:overflowPunct/>
        <w:topLinePunct w:val="0"/>
        <w:autoSpaceDE/>
        <w:autoSpaceDN/>
        <w:bidi w:val="0"/>
        <w:spacing w:line="560" w:lineRule="exact"/>
        <w:ind w:firstLine="640" w:firstLineChars="200"/>
        <w:textAlignment w:val="auto"/>
        <w:rPr>
          <w:rStyle w:val="17"/>
          <w:rFonts w:hint="default" w:ascii="Times New Roman" w:hAnsi="Times New Roman" w:eastAsia="仿宋_GB2312" w:cs="Times New Roman"/>
          <w:b w:val="0"/>
          <w:bCs/>
          <w:color w:val="auto"/>
          <w:sz w:val="32"/>
          <w:szCs w:val="32"/>
          <w:highlight w:val="none"/>
          <w:lang w:val="en-US" w:eastAsia="zh-CN"/>
        </w:rPr>
      </w:pPr>
      <w:r>
        <w:rPr>
          <w:rStyle w:val="17"/>
          <w:rFonts w:hint="eastAsia" w:eastAsia="仿宋_GB2312" w:cs="Times New Roman"/>
          <w:b w:val="0"/>
          <w:bCs/>
          <w:color w:val="auto"/>
          <w:sz w:val="32"/>
          <w:szCs w:val="32"/>
          <w:highlight w:val="none"/>
          <w:lang w:val="en-US" w:eastAsia="zh-CN"/>
        </w:rPr>
        <w:t>7</w:t>
      </w:r>
      <w:r>
        <w:rPr>
          <w:rStyle w:val="17"/>
          <w:rFonts w:hint="default" w:ascii="Times New Roman" w:hAnsi="Times New Roman" w:eastAsia="仿宋_GB2312" w:cs="Times New Roman"/>
          <w:b w:val="0"/>
          <w:bCs/>
          <w:color w:val="auto"/>
          <w:sz w:val="32"/>
          <w:szCs w:val="32"/>
          <w:highlight w:val="none"/>
          <w:lang w:val="en-US" w:eastAsia="zh-CN"/>
        </w:rPr>
        <w:t>节能环保（类）</w:t>
      </w:r>
      <w:r>
        <w:rPr>
          <w:rStyle w:val="17"/>
          <w:rFonts w:hint="eastAsia" w:eastAsia="仿宋_GB2312" w:cs="Times New Roman"/>
          <w:b w:val="0"/>
          <w:bCs/>
          <w:color w:val="auto"/>
          <w:sz w:val="32"/>
          <w:szCs w:val="32"/>
          <w:highlight w:val="none"/>
          <w:lang w:val="en-US" w:eastAsia="zh-CN"/>
        </w:rPr>
        <w:t>自然生态保护（</w:t>
      </w:r>
      <w:r>
        <w:rPr>
          <w:rStyle w:val="17"/>
          <w:rFonts w:hint="default" w:ascii="Times New Roman" w:hAnsi="Times New Roman" w:eastAsia="仿宋_GB2312" w:cs="Times New Roman"/>
          <w:b w:val="0"/>
          <w:bCs/>
          <w:color w:val="auto"/>
          <w:sz w:val="32"/>
          <w:szCs w:val="32"/>
          <w:highlight w:val="none"/>
          <w:lang w:val="en-US" w:eastAsia="zh-CN"/>
        </w:rPr>
        <w:t>款</w:t>
      </w:r>
      <w:r>
        <w:rPr>
          <w:rStyle w:val="17"/>
          <w:rFonts w:hint="eastAsia" w:eastAsia="仿宋_GB2312" w:cs="Times New Roman"/>
          <w:b w:val="0"/>
          <w:bCs/>
          <w:color w:val="auto"/>
          <w:sz w:val="32"/>
          <w:szCs w:val="32"/>
          <w:highlight w:val="none"/>
          <w:lang w:val="en-US" w:eastAsia="zh-CN"/>
        </w:rPr>
        <w:t>）生态保护（项）</w:t>
      </w:r>
      <w:r>
        <w:rPr>
          <w:rStyle w:val="17"/>
          <w:rFonts w:hint="default" w:ascii="Times New Roman" w:hAnsi="Times New Roman" w:eastAsia="仿宋_GB2312" w:cs="Times New Roman"/>
          <w:b w:val="0"/>
          <w:bCs/>
          <w:color w:val="auto"/>
          <w:sz w:val="32"/>
          <w:szCs w:val="32"/>
          <w:highlight w:val="none"/>
          <w:lang w:val="en-US" w:eastAsia="zh-CN"/>
        </w:rPr>
        <w:t>：支出决算为1429.18万元，</w:t>
      </w:r>
      <w:r>
        <w:rPr>
          <w:rStyle w:val="17"/>
          <w:rFonts w:hint="default" w:ascii="Times New Roman" w:hAnsi="Times New Roman" w:eastAsia="仿宋_GB2312" w:cs="Times New Roman"/>
          <w:b w:val="0"/>
          <w:bCs/>
          <w:color w:val="auto"/>
          <w:sz w:val="32"/>
          <w:szCs w:val="32"/>
          <w:highlight w:val="none"/>
        </w:rPr>
        <w:t>完成预算</w:t>
      </w:r>
      <w:r>
        <w:rPr>
          <w:rStyle w:val="17"/>
          <w:rFonts w:hint="eastAsia" w:eastAsia="仿宋_GB2312" w:cs="Times New Roman"/>
          <w:b w:val="0"/>
          <w:bCs/>
          <w:color w:val="auto"/>
          <w:sz w:val="32"/>
          <w:szCs w:val="32"/>
          <w:highlight w:val="none"/>
          <w:lang w:val="en-US" w:eastAsia="zh-CN"/>
        </w:rPr>
        <w:t>62.7</w:t>
      </w:r>
      <w:r>
        <w:rPr>
          <w:rStyle w:val="17"/>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决算数与预算数不一致的主要原因是实行源头控制，按照能压就压，能减就减的原则控制一般性支出。</w:t>
      </w:r>
    </w:p>
    <w:p w14:paraId="03913E87">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Style w:val="17"/>
          <w:rFonts w:hint="eastAsia" w:eastAsia="仿宋_GB2312" w:cs="Times New Roman"/>
          <w:b w:val="0"/>
          <w:bCs/>
          <w:color w:val="auto"/>
          <w:sz w:val="32"/>
          <w:szCs w:val="32"/>
          <w:highlight w:val="none"/>
          <w:lang w:val="en-US" w:eastAsia="zh-CN"/>
        </w:rPr>
        <w:t>8</w:t>
      </w:r>
      <w:r>
        <w:rPr>
          <w:rStyle w:val="17"/>
          <w:rFonts w:hint="default" w:ascii="Times New Roman" w:hAnsi="Times New Roman" w:eastAsia="仿宋_GB2312" w:cs="Times New Roman"/>
          <w:b w:val="0"/>
          <w:bCs/>
          <w:color w:val="auto"/>
          <w:sz w:val="32"/>
          <w:szCs w:val="32"/>
          <w:highlight w:val="none"/>
        </w:rPr>
        <w:t>.</w:t>
      </w:r>
      <w:r>
        <w:rPr>
          <w:rStyle w:val="17"/>
          <w:rFonts w:hint="default" w:ascii="Times New Roman" w:hAnsi="Times New Roman" w:eastAsia="仿宋_GB2312" w:cs="Times New Roman"/>
          <w:b w:val="0"/>
          <w:bCs/>
          <w:color w:val="auto"/>
          <w:sz w:val="32"/>
          <w:szCs w:val="32"/>
          <w:highlight w:val="none"/>
          <w:lang w:eastAsia="zh-CN"/>
        </w:rPr>
        <w:t>城乡社区</w:t>
      </w:r>
      <w:r>
        <w:rPr>
          <w:rStyle w:val="17"/>
          <w:rFonts w:hint="default" w:ascii="Times New Roman" w:hAnsi="Times New Roman" w:eastAsia="仿宋_GB2312" w:cs="Times New Roman"/>
          <w:b w:val="0"/>
          <w:bCs/>
          <w:color w:val="auto"/>
          <w:sz w:val="32"/>
          <w:szCs w:val="32"/>
          <w:highlight w:val="none"/>
        </w:rPr>
        <w:t>（类）</w:t>
      </w:r>
      <w:r>
        <w:rPr>
          <w:rStyle w:val="17"/>
          <w:rFonts w:hint="eastAsia" w:eastAsia="仿宋_GB2312" w:cs="Times New Roman"/>
          <w:b w:val="0"/>
          <w:bCs/>
          <w:color w:val="auto"/>
          <w:sz w:val="32"/>
          <w:szCs w:val="32"/>
          <w:highlight w:val="none"/>
          <w:lang w:eastAsia="zh-CN"/>
        </w:rPr>
        <w:t>城乡社区管理事务（款）行政运行（项）</w:t>
      </w:r>
      <w:r>
        <w:rPr>
          <w:rStyle w:val="17"/>
          <w:rFonts w:hint="default" w:ascii="Times New Roman" w:hAnsi="Times New Roman" w:eastAsia="仿宋_GB2312" w:cs="Times New Roman"/>
          <w:b w:val="0"/>
          <w:bCs/>
          <w:color w:val="auto"/>
          <w:sz w:val="32"/>
          <w:szCs w:val="32"/>
          <w:highlight w:val="none"/>
        </w:rPr>
        <w:t>: 支出决算为</w:t>
      </w:r>
      <w:r>
        <w:rPr>
          <w:rStyle w:val="17"/>
          <w:rFonts w:hint="eastAsia" w:eastAsia="仿宋_GB2312" w:cs="Times New Roman"/>
          <w:b w:val="0"/>
          <w:bCs/>
          <w:color w:val="auto"/>
          <w:sz w:val="32"/>
          <w:szCs w:val="32"/>
          <w:highlight w:val="none"/>
          <w:lang w:val="en-US" w:eastAsia="zh-CN"/>
        </w:rPr>
        <w:t>106.76</w:t>
      </w:r>
      <w:r>
        <w:rPr>
          <w:rStyle w:val="17"/>
          <w:rFonts w:hint="default" w:ascii="Times New Roman" w:hAnsi="Times New Roman" w:eastAsia="仿宋_GB2312" w:cs="Times New Roman"/>
          <w:b w:val="0"/>
          <w:bCs/>
          <w:color w:val="auto"/>
          <w:sz w:val="32"/>
          <w:szCs w:val="32"/>
          <w:highlight w:val="none"/>
        </w:rPr>
        <w:t>万元，</w:t>
      </w:r>
      <w:r>
        <w:rPr>
          <w:rStyle w:val="17"/>
          <w:rFonts w:hint="default" w:eastAsia="仿宋_GB2312" w:cs="Times New Roman"/>
          <w:b w:val="0"/>
          <w:bCs/>
          <w:color w:val="auto"/>
          <w:sz w:val="32"/>
          <w:szCs w:val="32"/>
          <w:highlight w:val="none"/>
          <w:lang w:eastAsia="zh-CN"/>
        </w:rPr>
        <w:t>与预算数持平。</w:t>
      </w:r>
    </w:p>
    <w:p w14:paraId="249FC786">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Style w:val="17"/>
          <w:rFonts w:hint="eastAsia" w:eastAsia="仿宋_GB2312" w:cs="Times New Roman"/>
          <w:b w:val="0"/>
          <w:bCs/>
          <w:color w:val="auto"/>
          <w:sz w:val="32"/>
          <w:szCs w:val="32"/>
          <w:highlight w:val="none"/>
          <w:lang w:val="en-US" w:eastAsia="zh-CN"/>
        </w:rPr>
        <w:t>9.</w:t>
      </w:r>
      <w:r>
        <w:rPr>
          <w:rStyle w:val="17"/>
          <w:rFonts w:hint="default" w:ascii="Times New Roman" w:hAnsi="Times New Roman" w:eastAsia="仿宋_GB2312" w:cs="Times New Roman"/>
          <w:b w:val="0"/>
          <w:bCs/>
          <w:color w:val="auto"/>
          <w:sz w:val="32"/>
          <w:szCs w:val="32"/>
          <w:highlight w:val="none"/>
          <w:lang w:eastAsia="zh-CN"/>
        </w:rPr>
        <w:t>城乡社区</w:t>
      </w:r>
      <w:r>
        <w:rPr>
          <w:rStyle w:val="17"/>
          <w:rFonts w:hint="default" w:ascii="Times New Roman" w:hAnsi="Times New Roman" w:eastAsia="仿宋_GB2312" w:cs="Times New Roman"/>
          <w:b w:val="0"/>
          <w:bCs/>
          <w:color w:val="auto"/>
          <w:sz w:val="32"/>
          <w:szCs w:val="32"/>
          <w:highlight w:val="none"/>
        </w:rPr>
        <w:t>（类）</w:t>
      </w:r>
      <w:r>
        <w:rPr>
          <w:rStyle w:val="17"/>
          <w:rFonts w:hint="eastAsia" w:eastAsia="仿宋_GB2312" w:cs="Times New Roman"/>
          <w:b w:val="0"/>
          <w:bCs/>
          <w:color w:val="auto"/>
          <w:sz w:val="32"/>
          <w:szCs w:val="32"/>
          <w:highlight w:val="none"/>
          <w:lang w:eastAsia="zh-CN"/>
        </w:rPr>
        <w:t>城乡社区管理事务（款）一般行政管理事务（项）</w:t>
      </w:r>
      <w:r>
        <w:rPr>
          <w:rStyle w:val="17"/>
          <w:rFonts w:hint="default" w:ascii="Times New Roman" w:hAnsi="Times New Roman" w:eastAsia="仿宋_GB2312" w:cs="Times New Roman"/>
          <w:b w:val="0"/>
          <w:bCs/>
          <w:color w:val="auto"/>
          <w:sz w:val="32"/>
          <w:szCs w:val="32"/>
          <w:highlight w:val="none"/>
        </w:rPr>
        <w:t>: 支出决算为</w:t>
      </w:r>
      <w:r>
        <w:rPr>
          <w:rStyle w:val="17"/>
          <w:rFonts w:hint="eastAsia" w:eastAsia="仿宋_GB2312" w:cs="Times New Roman"/>
          <w:b w:val="0"/>
          <w:bCs/>
          <w:color w:val="auto"/>
          <w:sz w:val="32"/>
          <w:szCs w:val="32"/>
          <w:highlight w:val="none"/>
          <w:lang w:val="en-US" w:eastAsia="zh-CN"/>
        </w:rPr>
        <w:t>302.77</w:t>
      </w:r>
      <w:r>
        <w:rPr>
          <w:rStyle w:val="17"/>
          <w:rFonts w:hint="default" w:ascii="Times New Roman" w:hAnsi="Times New Roman" w:eastAsia="仿宋_GB2312" w:cs="Times New Roman"/>
          <w:b w:val="0"/>
          <w:bCs/>
          <w:color w:val="auto"/>
          <w:sz w:val="32"/>
          <w:szCs w:val="32"/>
          <w:highlight w:val="none"/>
        </w:rPr>
        <w:t>万元，完成预算</w:t>
      </w:r>
      <w:r>
        <w:rPr>
          <w:rStyle w:val="17"/>
          <w:rFonts w:hint="eastAsia" w:eastAsia="仿宋_GB2312" w:cs="Times New Roman"/>
          <w:b w:val="0"/>
          <w:bCs/>
          <w:color w:val="auto"/>
          <w:sz w:val="32"/>
          <w:szCs w:val="32"/>
          <w:highlight w:val="none"/>
          <w:lang w:val="en-US" w:eastAsia="zh-CN"/>
        </w:rPr>
        <w:t xml:space="preserve">98.9% </w:t>
      </w:r>
      <w:r>
        <w:rPr>
          <w:rStyle w:val="17"/>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决算数与预算数不一致的主要原因是实行源头控制，严格执行中央八项规定，按照能压就压，能减就减的原则控制一般性支出。</w:t>
      </w:r>
    </w:p>
    <w:p w14:paraId="664C1ACC">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Style w:val="17"/>
          <w:rFonts w:hint="eastAsia" w:eastAsia="仿宋_GB2312" w:cs="Times New Roman"/>
          <w:b w:val="0"/>
          <w:bCs/>
          <w:color w:val="auto"/>
          <w:sz w:val="32"/>
          <w:szCs w:val="32"/>
          <w:highlight w:val="none"/>
          <w:lang w:val="en-US" w:eastAsia="zh-CN"/>
        </w:rPr>
        <w:t>10.</w:t>
      </w:r>
      <w:r>
        <w:rPr>
          <w:rStyle w:val="17"/>
          <w:rFonts w:hint="default" w:ascii="Times New Roman" w:hAnsi="Times New Roman" w:eastAsia="仿宋_GB2312" w:cs="Times New Roman"/>
          <w:b w:val="0"/>
          <w:bCs/>
          <w:color w:val="auto"/>
          <w:sz w:val="32"/>
          <w:szCs w:val="32"/>
          <w:highlight w:val="none"/>
          <w:lang w:eastAsia="zh-CN"/>
        </w:rPr>
        <w:t>城乡社区</w:t>
      </w:r>
      <w:r>
        <w:rPr>
          <w:rStyle w:val="17"/>
          <w:rFonts w:hint="default" w:ascii="Times New Roman" w:hAnsi="Times New Roman" w:eastAsia="仿宋_GB2312" w:cs="Times New Roman"/>
          <w:b w:val="0"/>
          <w:bCs/>
          <w:color w:val="auto"/>
          <w:sz w:val="32"/>
          <w:szCs w:val="32"/>
          <w:highlight w:val="none"/>
        </w:rPr>
        <w:t>（类）</w:t>
      </w:r>
      <w:r>
        <w:rPr>
          <w:rStyle w:val="17"/>
          <w:rFonts w:hint="eastAsia" w:eastAsia="仿宋_GB2312" w:cs="Times New Roman"/>
          <w:b w:val="0"/>
          <w:bCs/>
          <w:color w:val="auto"/>
          <w:sz w:val="32"/>
          <w:szCs w:val="32"/>
          <w:highlight w:val="none"/>
          <w:lang w:eastAsia="zh-CN"/>
        </w:rPr>
        <w:t>城乡社区管理事务（款）机关服务（项）</w:t>
      </w:r>
      <w:r>
        <w:rPr>
          <w:rStyle w:val="17"/>
          <w:rFonts w:hint="default" w:ascii="Times New Roman" w:hAnsi="Times New Roman" w:eastAsia="仿宋_GB2312" w:cs="Times New Roman"/>
          <w:b w:val="0"/>
          <w:bCs/>
          <w:color w:val="auto"/>
          <w:sz w:val="32"/>
          <w:szCs w:val="32"/>
          <w:highlight w:val="none"/>
        </w:rPr>
        <w:t>: 支出决算为</w:t>
      </w:r>
      <w:r>
        <w:rPr>
          <w:rStyle w:val="17"/>
          <w:rFonts w:hint="eastAsia" w:eastAsia="仿宋_GB2312" w:cs="Times New Roman"/>
          <w:b w:val="0"/>
          <w:bCs/>
          <w:color w:val="auto"/>
          <w:sz w:val="32"/>
          <w:szCs w:val="32"/>
          <w:highlight w:val="none"/>
          <w:lang w:val="en-US" w:eastAsia="zh-CN"/>
        </w:rPr>
        <w:t>518.06</w:t>
      </w:r>
      <w:r>
        <w:rPr>
          <w:rStyle w:val="17"/>
          <w:rFonts w:hint="default" w:ascii="Times New Roman" w:hAnsi="Times New Roman" w:eastAsia="仿宋_GB2312" w:cs="Times New Roman"/>
          <w:b w:val="0"/>
          <w:bCs/>
          <w:color w:val="auto"/>
          <w:sz w:val="32"/>
          <w:szCs w:val="32"/>
          <w:highlight w:val="none"/>
        </w:rPr>
        <w:t>万元，</w:t>
      </w:r>
      <w:r>
        <w:rPr>
          <w:rStyle w:val="17"/>
          <w:rFonts w:hint="default" w:eastAsia="仿宋_GB2312" w:cs="Times New Roman"/>
          <w:b w:val="0"/>
          <w:bCs/>
          <w:color w:val="auto"/>
          <w:sz w:val="32"/>
          <w:szCs w:val="32"/>
          <w:highlight w:val="none"/>
          <w:lang w:eastAsia="zh-CN"/>
        </w:rPr>
        <w:t>与预算数持平。</w:t>
      </w:r>
    </w:p>
    <w:p w14:paraId="14593DA1">
      <w:pPr>
        <w:pageBreakBefore w:val="0"/>
        <w:widowControl w:val="0"/>
        <w:kinsoku/>
        <w:wordWrap/>
        <w:overflowPunct/>
        <w:topLinePunct w:val="0"/>
        <w:autoSpaceDE/>
        <w:autoSpaceDN/>
        <w:bidi w:val="0"/>
        <w:spacing w:line="560" w:lineRule="exact"/>
        <w:ind w:firstLine="640" w:firstLineChars="200"/>
        <w:textAlignment w:val="auto"/>
        <w:rPr>
          <w:rStyle w:val="17"/>
          <w:rFonts w:hint="eastAsia" w:eastAsia="仿宋_GB2312" w:cs="Times New Roman"/>
          <w:b w:val="0"/>
          <w:bCs/>
          <w:color w:val="auto"/>
          <w:sz w:val="32"/>
          <w:szCs w:val="32"/>
          <w:highlight w:val="none"/>
          <w:lang w:val="en-US" w:eastAsia="zh-CN"/>
        </w:rPr>
      </w:pPr>
      <w:r>
        <w:rPr>
          <w:rStyle w:val="17"/>
          <w:rFonts w:hint="eastAsia" w:eastAsia="仿宋_GB2312" w:cs="Times New Roman"/>
          <w:b w:val="0"/>
          <w:bCs/>
          <w:color w:val="auto"/>
          <w:sz w:val="32"/>
          <w:szCs w:val="32"/>
          <w:highlight w:val="none"/>
          <w:lang w:val="en-US" w:eastAsia="zh-CN"/>
        </w:rPr>
        <w:t>11.</w:t>
      </w:r>
      <w:r>
        <w:rPr>
          <w:rStyle w:val="17"/>
          <w:rFonts w:hint="default" w:ascii="Times New Roman" w:hAnsi="Times New Roman" w:eastAsia="仿宋_GB2312" w:cs="Times New Roman"/>
          <w:b w:val="0"/>
          <w:bCs/>
          <w:color w:val="auto"/>
          <w:sz w:val="32"/>
          <w:szCs w:val="32"/>
          <w:highlight w:val="none"/>
          <w:lang w:eastAsia="zh-CN"/>
        </w:rPr>
        <w:t>城乡社区</w:t>
      </w:r>
      <w:r>
        <w:rPr>
          <w:rStyle w:val="17"/>
          <w:rFonts w:hint="default" w:ascii="Times New Roman" w:hAnsi="Times New Roman" w:eastAsia="仿宋_GB2312" w:cs="Times New Roman"/>
          <w:b w:val="0"/>
          <w:bCs/>
          <w:color w:val="auto"/>
          <w:sz w:val="32"/>
          <w:szCs w:val="32"/>
          <w:highlight w:val="none"/>
        </w:rPr>
        <w:t>（类）</w:t>
      </w:r>
      <w:r>
        <w:rPr>
          <w:rStyle w:val="17"/>
          <w:rFonts w:hint="eastAsia" w:eastAsia="仿宋_GB2312" w:cs="Times New Roman"/>
          <w:b w:val="0"/>
          <w:bCs/>
          <w:color w:val="auto"/>
          <w:sz w:val="32"/>
          <w:szCs w:val="32"/>
          <w:highlight w:val="none"/>
          <w:lang w:eastAsia="zh-CN"/>
        </w:rPr>
        <w:t>城乡社区规划与管理（款）城乡社区规划与管理（项）</w:t>
      </w:r>
      <w:r>
        <w:rPr>
          <w:rStyle w:val="17"/>
          <w:rFonts w:hint="default" w:ascii="Times New Roman" w:hAnsi="Times New Roman" w:eastAsia="仿宋_GB2312" w:cs="Times New Roman"/>
          <w:b w:val="0"/>
          <w:bCs/>
          <w:color w:val="auto"/>
          <w:sz w:val="32"/>
          <w:szCs w:val="32"/>
          <w:highlight w:val="none"/>
        </w:rPr>
        <w:t>: 支出决算为</w:t>
      </w:r>
      <w:r>
        <w:rPr>
          <w:rStyle w:val="17"/>
          <w:rFonts w:hint="eastAsia" w:eastAsia="仿宋_GB2312" w:cs="Times New Roman"/>
          <w:b w:val="0"/>
          <w:bCs/>
          <w:color w:val="auto"/>
          <w:sz w:val="32"/>
          <w:szCs w:val="32"/>
          <w:highlight w:val="none"/>
          <w:lang w:val="en-US" w:eastAsia="zh-CN"/>
        </w:rPr>
        <w:t>11.27</w:t>
      </w:r>
      <w:r>
        <w:rPr>
          <w:rStyle w:val="17"/>
          <w:rFonts w:hint="default" w:ascii="Times New Roman" w:hAnsi="Times New Roman" w:eastAsia="仿宋_GB2312" w:cs="Times New Roman"/>
          <w:b w:val="0"/>
          <w:bCs/>
          <w:color w:val="auto"/>
          <w:sz w:val="32"/>
          <w:szCs w:val="32"/>
          <w:highlight w:val="none"/>
        </w:rPr>
        <w:t>万元，</w:t>
      </w:r>
      <w:r>
        <w:rPr>
          <w:rStyle w:val="17"/>
          <w:rFonts w:hint="default" w:eastAsia="仿宋_GB2312" w:cs="Times New Roman"/>
          <w:b w:val="0"/>
          <w:bCs/>
          <w:color w:val="auto"/>
          <w:sz w:val="32"/>
          <w:szCs w:val="32"/>
          <w:highlight w:val="none"/>
          <w:lang w:eastAsia="zh-CN"/>
        </w:rPr>
        <w:t>与预算数持平。</w:t>
      </w:r>
      <w:r>
        <w:rPr>
          <w:rStyle w:val="17"/>
          <w:rFonts w:hint="eastAsia" w:eastAsia="仿宋_GB2312" w:cs="Times New Roman"/>
          <w:b w:val="0"/>
          <w:bCs/>
          <w:color w:val="auto"/>
          <w:sz w:val="32"/>
          <w:szCs w:val="32"/>
          <w:highlight w:val="none"/>
          <w:lang w:val="en-US" w:eastAsia="zh-CN"/>
        </w:rPr>
        <w:t xml:space="preserve">  </w:t>
      </w:r>
    </w:p>
    <w:p w14:paraId="432CF1C5">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Style w:val="17"/>
          <w:rFonts w:hint="eastAsia" w:eastAsia="仿宋_GB2312" w:cs="Times New Roman"/>
          <w:b w:val="0"/>
          <w:bCs/>
          <w:color w:val="auto"/>
          <w:sz w:val="32"/>
          <w:szCs w:val="32"/>
          <w:highlight w:val="none"/>
          <w:lang w:val="en-US" w:eastAsia="zh-CN"/>
        </w:rPr>
        <w:t>12.</w:t>
      </w:r>
      <w:r>
        <w:rPr>
          <w:rStyle w:val="17"/>
          <w:rFonts w:hint="default" w:ascii="Times New Roman" w:hAnsi="Times New Roman" w:eastAsia="仿宋_GB2312" w:cs="Times New Roman"/>
          <w:b w:val="0"/>
          <w:bCs/>
          <w:color w:val="auto"/>
          <w:sz w:val="32"/>
          <w:szCs w:val="32"/>
          <w:highlight w:val="none"/>
          <w:lang w:eastAsia="zh-CN"/>
        </w:rPr>
        <w:t>城乡社区</w:t>
      </w:r>
      <w:r>
        <w:rPr>
          <w:rStyle w:val="17"/>
          <w:rFonts w:hint="default" w:ascii="Times New Roman" w:hAnsi="Times New Roman" w:eastAsia="仿宋_GB2312" w:cs="Times New Roman"/>
          <w:b w:val="0"/>
          <w:bCs/>
          <w:color w:val="auto"/>
          <w:sz w:val="32"/>
          <w:szCs w:val="32"/>
          <w:highlight w:val="none"/>
        </w:rPr>
        <w:t>（类）</w:t>
      </w:r>
      <w:r>
        <w:rPr>
          <w:rStyle w:val="17"/>
          <w:rFonts w:hint="eastAsia" w:eastAsia="仿宋_GB2312" w:cs="Times New Roman"/>
          <w:b w:val="0"/>
          <w:bCs/>
          <w:color w:val="auto"/>
          <w:sz w:val="32"/>
          <w:szCs w:val="32"/>
          <w:highlight w:val="none"/>
          <w:lang w:eastAsia="zh-CN"/>
        </w:rPr>
        <w:t>城乡社区公共设施（款）其他城乡社区公共设施（项）</w:t>
      </w:r>
      <w:r>
        <w:rPr>
          <w:rStyle w:val="17"/>
          <w:rFonts w:hint="default" w:ascii="Times New Roman" w:hAnsi="Times New Roman" w:eastAsia="仿宋_GB2312" w:cs="Times New Roman"/>
          <w:b w:val="0"/>
          <w:bCs/>
          <w:color w:val="auto"/>
          <w:sz w:val="32"/>
          <w:szCs w:val="32"/>
          <w:highlight w:val="none"/>
        </w:rPr>
        <w:t>: 支出决算为</w:t>
      </w:r>
      <w:r>
        <w:rPr>
          <w:rStyle w:val="17"/>
          <w:rFonts w:hint="eastAsia" w:eastAsia="仿宋_GB2312" w:cs="Times New Roman"/>
          <w:b w:val="0"/>
          <w:bCs/>
          <w:color w:val="auto"/>
          <w:sz w:val="32"/>
          <w:szCs w:val="32"/>
          <w:highlight w:val="none"/>
          <w:lang w:val="en-US" w:eastAsia="zh-CN"/>
        </w:rPr>
        <w:t>312.07</w:t>
      </w:r>
      <w:r>
        <w:rPr>
          <w:rStyle w:val="17"/>
          <w:rFonts w:hint="default" w:ascii="Times New Roman" w:hAnsi="Times New Roman" w:eastAsia="仿宋_GB2312" w:cs="Times New Roman"/>
          <w:b w:val="0"/>
          <w:bCs/>
          <w:color w:val="auto"/>
          <w:sz w:val="32"/>
          <w:szCs w:val="32"/>
          <w:highlight w:val="none"/>
        </w:rPr>
        <w:t>万元，完成预算</w:t>
      </w:r>
      <w:r>
        <w:rPr>
          <w:rStyle w:val="17"/>
          <w:rFonts w:hint="eastAsia" w:eastAsia="仿宋_GB2312" w:cs="Times New Roman"/>
          <w:b w:val="0"/>
          <w:bCs/>
          <w:color w:val="auto"/>
          <w:sz w:val="32"/>
          <w:szCs w:val="32"/>
          <w:highlight w:val="none"/>
          <w:lang w:val="en-US" w:eastAsia="zh-CN"/>
        </w:rPr>
        <w:t>32.9%</w:t>
      </w:r>
      <w:r>
        <w:rPr>
          <w:rStyle w:val="17"/>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color w:val="auto"/>
          <w:sz w:val="32"/>
          <w:szCs w:val="32"/>
          <w:highlight w:val="none"/>
        </w:rPr>
        <w:t>决算数与预算数不一致的主要原因是实行源头控制，严格执行中央八项规定，按照能压就压，能减就减的原则控制一般性支出。</w:t>
      </w:r>
    </w:p>
    <w:p w14:paraId="33F65F85">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Style w:val="17"/>
          <w:rFonts w:hint="eastAsia" w:eastAsia="仿宋_GB2312" w:cs="Times New Roman"/>
          <w:b w:val="0"/>
          <w:bCs/>
          <w:color w:val="auto"/>
          <w:sz w:val="32"/>
          <w:szCs w:val="32"/>
          <w:lang w:val="en-US" w:eastAsia="zh-CN"/>
        </w:rPr>
        <w:t>13</w:t>
      </w:r>
      <w:r>
        <w:rPr>
          <w:rStyle w:val="17"/>
          <w:rFonts w:hint="default" w:ascii="Times New Roman" w:hAnsi="Times New Roman" w:eastAsia="仿宋_GB2312" w:cs="Times New Roman"/>
          <w:b w:val="0"/>
          <w:bCs/>
          <w:color w:val="auto"/>
          <w:sz w:val="32"/>
          <w:szCs w:val="32"/>
        </w:rPr>
        <w:t>.</w:t>
      </w:r>
      <w:r>
        <w:rPr>
          <w:rStyle w:val="17"/>
          <w:rFonts w:hint="default" w:ascii="Times New Roman" w:hAnsi="Times New Roman" w:eastAsia="仿宋_GB2312" w:cs="Times New Roman"/>
          <w:b w:val="0"/>
          <w:bCs/>
          <w:color w:val="auto"/>
          <w:sz w:val="32"/>
          <w:szCs w:val="32"/>
          <w:lang w:eastAsia="zh-CN"/>
        </w:rPr>
        <w:t>住房保障</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保障性安居工程（款）棚户区改造（项）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1823.76</w:t>
      </w:r>
      <w:r>
        <w:rPr>
          <w:rStyle w:val="17"/>
          <w:rFonts w:hint="default" w:ascii="Times New Roman" w:hAnsi="Times New Roman" w:eastAsia="仿宋_GB2312" w:cs="Times New Roman"/>
          <w:b w:val="0"/>
          <w:bCs/>
          <w:color w:val="auto"/>
          <w:sz w:val="32"/>
          <w:szCs w:val="32"/>
        </w:rPr>
        <w:t>万元，与预算数持平</w:t>
      </w:r>
      <w:r>
        <w:rPr>
          <w:rFonts w:hint="default" w:ascii="Times New Roman" w:hAnsi="Times New Roman" w:eastAsia="仿宋_GB2312" w:cs="Times New Roman"/>
          <w:color w:val="auto"/>
          <w:sz w:val="32"/>
          <w:szCs w:val="32"/>
        </w:rPr>
        <w:t>。</w:t>
      </w:r>
    </w:p>
    <w:p w14:paraId="5870A728">
      <w:pPr>
        <w:pageBreakBefore w:val="0"/>
        <w:widowControl w:val="0"/>
        <w:kinsoku/>
        <w:wordWrap/>
        <w:overflowPunct/>
        <w:topLinePunct w:val="0"/>
        <w:autoSpaceDE/>
        <w:autoSpaceDN/>
        <w:bidi w:val="0"/>
        <w:spacing w:line="560" w:lineRule="exact"/>
        <w:ind w:firstLine="640" w:firstLineChars="200"/>
        <w:textAlignment w:val="auto"/>
        <w:rPr>
          <w:rStyle w:val="17"/>
          <w:rFonts w:hint="eastAsia" w:eastAsia="仿宋_GB2312" w:cs="Times New Roman"/>
          <w:b w:val="0"/>
          <w:bCs/>
          <w:color w:val="auto"/>
          <w:sz w:val="32"/>
          <w:szCs w:val="32"/>
          <w:lang w:eastAsia="zh-CN"/>
        </w:rPr>
      </w:pPr>
      <w:r>
        <w:rPr>
          <w:rStyle w:val="17"/>
          <w:rFonts w:hint="eastAsia" w:eastAsia="仿宋_GB2312" w:cs="Times New Roman"/>
          <w:b w:val="0"/>
          <w:bCs/>
          <w:color w:val="auto"/>
          <w:sz w:val="32"/>
          <w:szCs w:val="32"/>
          <w:lang w:val="en-US" w:eastAsia="zh-CN"/>
        </w:rPr>
        <w:t>14</w:t>
      </w:r>
      <w:r>
        <w:rPr>
          <w:rStyle w:val="17"/>
          <w:rFonts w:hint="default" w:ascii="Times New Roman" w:hAnsi="Times New Roman" w:eastAsia="仿宋_GB2312" w:cs="Times New Roman"/>
          <w:b w:val="0"/>
          <w:bCs/>
          <w:color w:val="auto"/>
          <w:sz w:val="32"/>
          <w:szCs w:val="32"/>
        </w:rPr>
        <w:t>.</w:t>
      </w:r>
      <w:r>
        <w:rPr>
          <w:rStyle w:val="17"/>
          <w:rFonts w:hint="default" w:ascii="Times New Roman" w:hAnsi="Times New Roman" w:eastAsia="仿宋_GB2312" w:cs="Times New Roman"/>
          <w:b w:val="0"/>
          <w:bCs/>
          <w:color w:val="auto"/>
          <w:sz w:val="32"/>
          <w:szCs w:val="32"/>
          <w:lang w:eastAsia="zh-CN"/>
        </w:rPr>
        <w:t>住房保障</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保障性安居工程（款）农村危房改造（项）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452</w:t>
      </w:r>
      <w:r>
        <w:rPr>
          <w:rStyle w:val="17"/>
          <w:rFonts w:hint="default" w:ascii="Times New Roman" w:hAnsi="Times New Roman" w:eastAsia="仿宋_GB2312" w:cs="Times New Roman"/>
          <w:b w:val="0"/>
          <w:bCs/>
          <w:color w:val="auto"/>
          <w:sz w:val="32"/>
          <w:szCs w:val="32"/>
        </w:rPr>
        <w:t>万元，与预算数持平</w:t>
      </w:r>
      <w:r>
        <w:rPr>
          <w:rStyle w:val="17"/>
          <w:rFonts w:hint="eastAsia" w:eastAsia="仿宋_GB2312" w:cs="Times New Roman"/>
          <w:b w:val="0"/>
          <w:bCs/>
          <w:color w:val="auto"/>
          <w:sz w:val="32"/>
          <w:szCs w:val="32"/>
          <w:lang w:eastAsia="zh-CN"/>
        </w:rPr>
        <w:t>。</w:t>
      </w:r>
    </w:p>
    <w:p w14:paraId="32931855">
      <w:pPr>
        <w:pageBreakBefore w:val="0"/>
        <w:widowControl w:val="0"/>
        <w:kinsoku/>
        <w:wordWrap/>
        <w:overflowPunct/>
        <w:topLinePunct w:val="0"/>
        <w:autoSpaceDE/>
        <w:autoSpaceDN/>
        <w:bidi w:val="0"/>
        <w:spacing w:line="560" w:lineRule="exact"/>
        <w:ind w:firstLine="640" w:firstLineChars="200"/>
        <w:textAlignment w:val="auto"/>
        <w:rPr>
          <w:rStyle w:val="17"/>
          <w:rFonts w:hint="eastAsia" w:eastAsia="仿宋_GB2312" w:cs="Times New Roman"/>
          <w:b w:val="0"/>
          <w:bCs/>
          <w:color w:val="auto"/>
          <w:sz w:val="32"/>
          <w:szCs w:val="32"/>
          <w:lang w:eastAsia="zh-CN"/>
        </w:rPr>
      </w:pPr>
      <w:r>
        <w:rPr>
          <w:rStyle w:val="17"/>
          <w:rFonts w:hint="eastAsia" w:eastAsia="仿宋_GB2312" w:cs="Times New Roman"/>
          <w:b w:val="0"/>
          <w:bCs/>
          <w:color w:val="auto"/>
          <w:sz w:val="32"/>
          <w:szCs w:val="32"/>
          <w:lang w:val="en-US" w:eastAsia="zh-CN"/>
        </w:rPr>
        <w:t>15</w:t>
      </w:r>
      <w:r>
        <w:rPr>
          <w:rStyle w:val="17"/>
          <w:rFonts w:hint="default" w:ascii="Times New Roman" w:hAnsi="Times New Roman" w:eastAsia="仿宋_GB2312" w:cs="Times New Roman"/>
          <w:b w:val="0"/>
          <w:bCs/>
          <w:color w:val="auto"/>
          <w:sz w:val="32"/>
          <w:szCs w:val="32"/>
        </w:rPr>
        <w:t>.</w:t>
      </w:r>
      <w:r>
        <w:rPr>
          <w:rStyle w:val="17"/>
          <w:rFonts w:hint="default" w:ascii="Times New Roman" w:hAnsi="Times New Roman" w:eastAsia="仿宋_GB2312" w:cs="Times New Roman"/>
          <w:b w:val="0"/>
          <w:bCs/>
          <w:color w:val="auto"/>
          <w:sz w:val="32"/>
          <w:szCs w:val="32"/>
          <w:lang w:eastAsia="zh-CN"/>
        </w:rPr>
        <w:t>住房保障</w:t>
      </w:r>
      <w:r>
        <w:rPr>
          <w:rStyle w:val="17"/>
          <w:rFonts w:hint="default" w:ascii="Times New Roman" w:hAnsi="Times New Roman" w:eastAsia="仿宋_GB2312" w:cs="Times New Roman"/>
          <w:b w:val="0"/>
          <w:bCs/>
          <w:color w:val="auto"/>
          <w:sz w:val="32"/>
          <w:szCs w:val="32"/>
        </w:rPr>
        <w:t>（类）</w:t>
      </w:r>
      <w:r>
        <w:rPr>
          <w:rStyle w:val="17"/>
          <w:rFonts w:hint="eastAsia" w:eastAsia="仿宋_GB2312" w:cs="Times New Roman"/>
          <w:b w:val="0"/>
          <w:bCs/>
          <w:color w:val="auto"/>
          <w:sz w:val="32"/>
          <w:szCs w:val="32"/>
          <w:lang w:eastAsia="zh-CN"/>
        </w:rPr>
        <w:t>住房改革支出（款）住房公积金（项）</w:t>
      </w:r>
      <w:r>
        <w:rPr>
          <w:rStyle w:val="17"/>
          <w:rFonts w:hint="default" w:ascii="Times New Roman" w:hAnsi="Times New Roman" w:eastAsia="仿宋_GB2312" w:cs="Times New Roman"/>
          <w:b w:val="0"/>
          <w:bCs/>
          <w:color w:val="auto"/>
          <w:sz w:val="32"/>
          <w:szCs w:val="32"/>
        </w:rPr>
        <w:t>: 支出决算为</w:t>
      </w:r>
      <w:r>
        <w:rPr>
          <w:rStyle w:val="17"/>
          <w:rFonts w:hint="eastAsia" w:eastAsia="仿宋_GB2312" w:cs="Times New Roman"/>
          <w:b w:val="0"/>
          <w:bCs/>
          <w:color w:val="auto"/>
          <w:sz w:val="32"/>
          <w:szCs w:val="32"/>
          <w:lang w:val="en-US" w:eastAsia="zh-CN"/>
        </w:rPr>
        <w:t>66.81</w:t>
      </w:r>
      <w:r>
        <w:rPr>
          <w:rStyle w:val="17"/>
          <w:rFonts w:hint="default" w:ascii="Times New Roman" w:hAnsi="Times New Roman" w:eastAsia="仿宋_GB2312" w:cs="Times New Roman"/>
          <w:b w:val="0"/>
          <w:bCs/>
          <w:color w:val="auto"/>
          <w:sz w:val="32"/>
          <w:szCs w:val="32"/>
        </w:rPr>
        <w:t>万元，与预算数持平</w:t>
      </w:r>
      <w:r>
        <w:rPr>
          <w:rStyle w:val="17"/>
          <w:rFonts w:hint="eastAsia" w:eastAsia="仿宋_GB2312" w:cs="Times New Roman"/>
          <w:b w:val="0"/>
          <w:bCs/>
          <w:color w:val="auto"/>
          <w:sz w:val="32"/>
          <w:szCs w:val="32"/>
          <w:lang w:eastAsia="zh-CN"/>
        </w:rPr>
        <w:t>。</w:t>
      </w:r>
    </w:p>
    <w:p w14:paraId="45ED97B8">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sz w:val="32"/>
          <w:szCs w:val="32"/>
        </w:rPr>
      </w:pPr>
      <w:r>
        <w:rPr>
          <w:rStyle w:val="17"/>
          <w:rFonts w:hint="eastAsia" w:eastAsia="仿宋_GB2312" w:cs="Times New Roman"/>
          <w:b w:val="0"/>
          <w:bCs/>
          <w:color w:val="000000"/>
          <w:sz w:val="32"/>
          <w:szCs w:val="32"/>
          <w:lang w:val="en-US" w:eastAsia="zh-CN"/>
        </w:rPr>
        <w:t>15</w:t>
      </w:r>
      <w:r>
        <w:rPr>
          <w:rStyle w:val="17"/>
          <w:rFonts w:hint="default" w:ascii="Times New Roman" w:hAnsi="Times New Roman" w:eastAsia="仿宋_GB2312" w:cs="Times New Roman"/>
          <w:b w:val="0"/>
          <w:bCs/>
          <w:color w:val="000000"/>
          <w:sz w:val="32"/>
          <w:szCs w:val="32"/>
        </w:rPr>
        <w:t>.</w:t>
      </w:r>
      <w:r>
        <w:rPr>
          <w:rStyle w:val="17"/>
          <w:rFonts w:hint="default" w:ascii="Times New Roman" w:hAnsi="Times New Roman" w:eastAsia="仿宋_GB2312" w:cs="Times New Roman"/>
          <w:b w:val="0"/>
          <w:bCs/>
          <w:color w:val="000000"/>
          <w:sz w:val="32"/>
          <w:szCs w:val="32"/>
          <w:lang w:eastAsia="zh-CN"/>
        </w:rPr>
        <w:t>债务付息</w:t>
      </w:r>
      <w:r>
        <w:rPr>
          <w:rStyle w:val="17"/>
          <w:rFonts w:hint="default" w:ascii="Times New Roman" w:hAnsi="Times New Roman" w:eastAsia="仿宋_GB2312" w:cs="Times New Roman"/>
          <w:b w:val="0"/>
          <w:bCs/>
          <w:color w:val="000000"/>
          <w:sz w:val="32"/>
          <w:szCs w:val="32"/>
        </w:rPr>
        <w:t>（类）</w:t>
      </w:r>
      <w:r>
        <w:rPr>
          <w:rStyle w:val="17"/>
          <w:rFonts w:hint="eastAsia" w:eastAsia="仿宋_GB2312" w:cs="Times New Roman"/>
          <w:b w:val="0"/>
          <w:bCs/>
          <w:color w:val="000000"/>
          <w:sz w:val="32"/>
          <w:szCs w:val="32"/>
          <w:lang w:eastAsia="zh-CN"/>
        </w:rPr>
        <w:t>地方政府一般债务付息（款）地方政府向国际组织借款付息（项）</w:t>
      </w:r>
      <w:r>
        <w:rPr>
          <w:rStyle w:val="17"/>
          <w:rFonts w:hint="default" w:ascii="Times New Roman" w:hAnsi="Times New Roman" w:eastAsia="仿宋_GB2312" w:cs="Times New Roman"/>
          <w:b w:val="0"/>
          <w:bCs/>
          <w:color w:val="000000"/>
          <w:sz w:val="32"/>
          <w:szCs w:val="32"/>
        </w:rPr>
        <w:t>:支出决算为</w:t>
      </w:r>
      <w:r>
        <w:rPr>
          <w:rStyle w:val="17"/>
          <w:rFonts w:hint="default" w:ascii="Times New Roman" w:hAnsi="Times New Roman" w:eastAsia="仿宋_GB2312" w:cs="Times New Roman"/>
          <w:b w:val="0"/>
          <w:bCs/>
          <w:color w:val="000000"/>
          <w:sz w:val="32"/>
          <w:szCs w:val="32"/>
          <w:lang w:val="en-US" w:eastAsia="zh-CN"/>
        </w:rPr>
        <w:t>190.92</w:t>
      </w:r>
      <w:r>
        <w:rPr>
          <w:rStyle w:val="17"/>
          <w:rFonts w:hint="default" w:ascii="Times New Roman" w:hAnsi="Times New Roman" w:eastAsia="仿宋_GB2312" w:cs="Times New Roman"/>
          <w:b w:val="0"/>
          <w:bCs/>
          <w:color w:val="000000"/>
          <w:sz w:val="32"/>
          <w:szCs w:val="32"/>
        </w:rPr>
        <w:t>万元，与预算数持平</w:t>
      </w:r>
      <w:r>
        <w:rPr>
          <w:rFonts w:hint="default" w:ascii="Times New Roman" w:hAnsi="Times New Roman" w:eastAsia="仿宋_GB2312" w:cs="Times New Roman"/>
          <w:color w:val="000000"/>
          <w:sz w:val="32"/>
          <w:szCs w:val="32"/>
        </w:rPr>
        <w:t>。</w:t>
      </w:r>
      <w:bookmarkStart w:id="54" w:name="_Toc15377214"/>
      <w:bookmarkStart w:id="55" w:name="_Toc15396608"/>
      <w:bookmarkStart w:id="56" w:name="_六、一般公共预算财政拨款基本支出决算情况说明"/>
    </w:p>
    <w:p w14:paraId="46BFDF64">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val="en-US" w:eastAsia="zh-CN"/>
        </w:rPr>
      </w:pPr>
      <w:r>
        <w:rPr>
          <w:rFonts w:hint="default" w:ascii="Times New Roman" w:hAnsi="Times New Roman" w:eastAsia="黑体" w:cs="Times New Roman"/>
          <w:b w:val="0"/>
          <w:color w:val="000000"/>
          <w:lang w:val="en-US" w:eastAsia="zh-CN"/>
        </w:rPr>
        <w:t>六、一般公共预算财政拨款基本支出决算情况说明</w:t>
      </w:r>
      <w:bookmarkEnd w:id="54"/>
      <w:bookmarkEnd w:id="55"/>
      <w:r>
        <w:rPr>
          <w:rFonts w:hint="default" w:ascii="Times New Roman" w:hAnsi="Times New Roman" w:eastAsia="黑体" w:cs="Times New Roman"/>
          <w:b w:val="0"/>
          <w:color w:val="000000"/>
          <w:lang w:val="en-US" w:eastAsia="zh-CN"/>
        </w:rPr>
        <w:tab/>
      </w:r>
    </w:p>
    <w:bookmarkEnd w:id="56"/>
    <w:p w14:paraId="35CD91BD">
      <w:pPr>
        <w:pStyle w:val="4"/>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bCs/>
          <w:color w:val="000000"/>
          <w:kern w:val="2"/>
          <w:sz w:val="32"/>
          <w:szCs w:val="32"/>
          <w:lang w:val="en-US" w:eastAsia="zh-CN" w:bidi="ar-SA"/>
        </w:rPr>
      </w:pPr>
      <w:r>
        <w:rPr>
          <w:rFonts w:hint="default" w:ascii="Times New Roman" w:hAnsi="Times New Roman" w:eastAsia="仿宋" w:cs="Times New Roman"/>
          <w:b/>
          <w:bCs/>
          <w:color w:val="000000"/>
          <w:kern w:val="2"/>
          <w:sz w:val="32"/>
          <w:szCs w:val="32"/>
          <w:lang w:val="en-US" w:eastAsia="zh-CN" w:bidi="ar-SA"/>
        </w:rPr>
        <w:t>2019年</w:t>
      </w:r>
      <w:r>
        <w:rPr>
          <w:rFonts w:hint="eastAsia" w:ascii="Times New Roman" w:hAnsi="Times New Roman" w:eastAsia="仿宋" w:cs="Times New Roman"/>
          <w:b/>
          <w:bCs/>
          <w:color w:val="000000"/>
          <w:kern w:val="2"/>
          <w:sz w:val="32"/>
          <w:szCs w:val="32"/>
          <w:lang w:val="en-US" w:eastAsia="zh-CN" w:bidi="ar-SA"/>
        </w:rPr>
        <w:t>度</w:t>
      </w:r>
      <w:r>
        <w:rPr>
          <w:rFonts w:hint="default" w:ascii="Times New Roman" w:hAnsi="Times New Roman" w:eastAsia="仿宋" w:cs="Times New Roman"/>
          <w:b/>
          <w:bCs/>
          <w:color w:val="000000"/>
          <w:kern w:val="2"/>
          <w:sz w:val="32"/>
          <w:szCs w:val="32"/>
          <w:lang w:val="en-US" w:eastAsia="zh-CN" w:bidi="ar-SA"/>
        </w:rPr>
        <w:t>一般公共预算财政拨款基本支出805.72万元，其中：</w:t>
      </w:r>
    </w:p>
    <w:p w14:paraId="6215A1BA">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人员经费717.08万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r>
        <w:rPr>
          <w:rFonts w:hint="default" w:ascii="Times New Roman" w:hAnsi="Times New Roman" w:eastAsia="仿宋_GB2312" w:cs="Times New Roman"/>
          <w:b w:val="0"/>
          <w:bCs w:val="0"/>
          <w:color w:val="auto"/>
          <w:kern w:val="2"/>
          <w:sz w:val="32"/>
          <w:szCs w:val="32"/>
          <w:lang w:val="en-US" w:eastAsia="zh-CN" w:bidi="ar-SA"/>
        </w:rPr>
        <w:br w:type="textWrapping"/>
      </w:r>
      <w:r>
        <w:rPr>
          <w:rFonts w:hint="default" w:ascii="Times New Roman" w:hAnsi="Times New Roman" w:eastAsia="仿宋_GB2312" w:cs="Times New Roman"/>
          <w:b w:val="0"/>
          <w:bCs w:val="0"/>
          <w:color w:val="auto"/>
          <w:kern w:val="2"/>
          <w:sz w:val="32"/>
          <w:szCs w:val="32"/>
          <w:lang w:val="en-US" w:eastAsia="zh-CN" w:bidi="ar-SA"/>
        </w:rPr>
        <w:t>　　日常公用经费88.64万元，主要包括：办公费、印刷费、咨询费、手续费、水费、电费、邮电费、差旅费、维修（护）费、租赁费、会议费、培训费、公务接待费、劳务费、委托业务费、工会经费、福利费、公务用车运行维护费、其他交通费、其他商品和服务支出、办公设备购置、专用设备购置、信息网络及软件购置更新、其他资本性支出等。</w:t>
      </w:r>
    </w:p>
    <w:p w14:paraId="1F6FD9B6">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val="en-US" w:eastAsia="zh-CN"/>
        </w:rPr>
      </w:pPr>
      <w:bookmarkStart w:id="57" w:name="_Toc15377215"/>
      <w:bookmarkStart w:id="58" w:name="_Toc15396609"/>
      <w:bookmarkStart w:id="59" w:name="_七、“三公”经费财政拨款支出决算情况说明"/>
      <w:r>
        <w:rPr>
          <w:rFonts w:hint="default" w:ascii="Times New Roman" w:hAnsi="Times New Roman" w:eastAsia="黑体" w:cs="Times New Roman"/>
          <w:b w:val="0"/>
          <w:color w:val="000000"/>
          <w:lang w:val="en-US" w:eastAsia="zh-CN"/>
        </w:rPr>
        <w:t>七、“三公”经费财政拨款支出决算情况说明</w:t>
      </w:r>
      <w:bookmarkEnd w:id="57"/>
      <w:bookmarkEnd w:id="58"/>
    </w:p>
    <w:bookmarkEnd w:id="59"/>
    <w:p w14:paraId="1C4771BE">
      <w:pPr>
        <w:spacing w:line="600" w:lineRule="exact"/>
        <w:ind w:firstLine="640"/>
        <w:outlineLvl w:val="2"/>
        <w:rPr>
          <w:rFonts w:hint="default" w:ascii="Times New Roman" w:hAnsi="Times New Roman" w:eastAsia="仿宋" w:cs="Times New Roman"/>
          <w:b/>
          <w:color w:val="000000"/>
          <w:sz w:val="32"/>
          <w:szCs w:val="32"/>
        </w:rPr>
      </w:pPr>
      <w:bookmarkStart w:id="60" w:name="_Toc15377216"/>
      <w:r>
        <w:rPr>
          <w:rFonts w:hint="default" w:ascii="Times New Roman" w:hAnsi="Times New Roman" w:eastAsia="仿宋" w:cs="Times New Roman"/>
          <w:b/>
          <w:color w:val="000000"/>
          <w:sz w:val="32"/>
          <w:szCs w:val="32"/>
          <w:lang w:val="en-US" w:eastAsia="zh-CN"/>
        </w:rPr>
        <w:t>（一）“</w:t>
      </w:r>
      <w:r>
        <w:rPr>
          <w:rFonts w:hint="default" w:ascii="Times New Roman" w:hAnsi="Times New Roman" w:eastAsia="仿宋" w:cs="Times New Roman"/>
          <w:b/>
          <w:color w:val="000000"/>
          <w:sz w:val="32"/>
          <w:szCs w:val="32"/>
        </w:rPr>
        <w:t>三公”经费财政拨款支出决算总体情况说明</w:t>
      </w:r>
      <w:bookmarkEnd w:id="60"/>
    </w:p>
    <w:p w14:paraId="4E7AB734">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三公</w:t>
      </w:r>
      <w:r>
        <w:rPr>
          <w:rFonts w:hint="default" w:ascii="Times New Roman" w:hAnsi="Times New Roman" w:eastAsia="仿宋_GB2312" w:cs="Times New Roman"/>
          <w:color w:val="auto"/>
          <w:sz w:val="32"/>
          <w:szCs w:val="32"/>
        </w:rPr>
        <w:t>”经费财政拨款支出决算为</w:t>
      </w:r>
      <w:r>
        <w:rPr>
          <w:rFonts w:hint="default" w:ascii="Times New Roman" w:hAnsi="Times New Roman" w:eastAsia="仿宋_GB2312" w:cs="Times New Roman"/>
          <w:color w:val="auto"/>
          <w:sz w:val="32"/>
          <w:szCs w:val="32"/>
          <w:lang w:val="en-US" w:eastAsia="zh-CN"/>
        </w:rPr>
        <w:t>14.35万</w:t>
      </w:r>
      <w:r>
        <w:rPr>
          <w:rFonts w:hint="default" w:ascii="Times New Roman" w:hAnsi="Times New Roman" w:eastAsia="仿宋_GB2312" w:cs="Times New Roman"/>
          <w:color w:val="auto"/>
          <w:sz w:val="32"/>
          <w:szCs w:val="32"/>
        </w:rPr>
        <w:t>元，完成预算</w:t>
      </w:r>
      <w:r>
        <w:rPr>
          <w:rFonts w:hint="default" w:ascii="Times New Roman" w:hAnsi="Times New Roman" w:eastAsia="仿宋_GB2312" w:cs="Times New Roman"/>
          <w:color w:val="auto"/>
          <w:sz w:val="32"/>
          <w:szCs w:val="32"/>
          <w:lang w:val="en-US" w:eastAsia="zh-CN"/>
        </w:rPr>
        <w:t>50.</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%，实行源头控制，严格执行中央八项规定，按照能压就压，能减就减的原则控制一般性支出。</w:t>
      </w:r>
    </w:p>
    <w:p w14:paraId="0AD21D4A">
      <w:pPr>
        <w:spacing w:line="600" w:lineRule="exact"/>
        <w:ind w:firstLine="640"/>
        <w:outlineLvl w:val="2"/>
        <w:rPr>
          <w:rFonts w:hint="default" w:ascii="Times New Roman" w:hAnsi="Times New Roman" w:eastAsia="仿宋" w:cs="Times New Roman"/>
          <w:b/>
          <w:color w:val="000000"/>
          <w:sz w:val="32"/>
          <w:szCs w:val="32"/>
        </w:rPr>
      </w:pPr>
      <w:bookmarkStart w:id="61" w:name="_Toc15377217"/>
      <w:r>
        <w:rPr>
          <w:rFonts w:hint="default" w:ascii="Times New Roman" w:hAnsi="Times New Roman" w:eastAsia="仿宋" w:cs="Times New Roman"/>
          <w:b/>
          <w:color w:val="000000"/>
          <w:sz w:val="32"/>
          <w:szCs w:val="32"/>
        </w:rPr>
        <w:t>（二）“三公”经费财政拨款支出决算具体情况说明</w:t>
      </w:r>
      <w:bookmarkEnd w:id="61"/>
    </w:p>
    <w:p w14:paraId="497A1617">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“三公”经费财政拨款支出决算中，</w:t>
      </w:r>
      <w:r>
        <w:rPr>
          <w:rFonts w:hint="default" w:ascii="Times New Roman" w:hAnsi="Times New Roman" w:eastAsia="仿宋" w:cs="Times New Roman"/>
          <w:color w:val="auto"/>
          <w:sz w:val="32"/>
          <w:szCs w:val="32"/>
        </w:rPr>
        <w:t>无因公出国（境）费；</w:t>
      </w:r>
      <w:r>
        <w:rPr>
          <w:rFonts w:hint="default" w:ascii="Times New Roman" w:hAnsi="Times New Roman" w:eastAsia="仿宋_GB2312" w:cs="Times New Roman"/>
          <w:color w:val="auto"/>
          <w:sz w:val="32"/>
          <w:szCs w:val="32"/>
        </w:rPr>
        <w:t>公务用车购置及运行维护费支出决算</w:t>
      </w:r>
      <w:r>
        <w:rPr>
          <w:rFonts w:hint="default" w:ascii="Times New Roman" w:hAnsi="Times New Roman" w:eastAsia="仿宋_GB2312" w:cs="Times New Roman"/>
          <w:color w:val="auto"/>
          <w:sz w:val="32"/>
          <w:szCs w:val="32"/>
          <w:lang w:val="en-US" w:eastAsia="zh-CN"/>
        </w:rPr>
        <w:t>11.34万</w:t>
      </w:r>
      <w:r>
        <w:rPr>
          <w:rFonts w:hint="default" w:ascii="Times New Roman" w:hAnsi="Times New Roman" w:eastAsia="仿宋_GB2312" w:cs="Times New Roman"/>
          <w:color w:val="auto"/>
          <w:sz w:val="32"/>
          <w:szCs w:val="32"/>
        </w:rPr>
        <w:t>元，占</w:t>
      </w:r>
      <w:r>
        <w:rPr>
          <w:rFonts w:hint="default" w:ascii="Times New Roman" w:hAnsi="Times New Roman" w:eastAsia="仿宋_GB2312" w:cs="Times New Roman"/>
          <w:color w:val="auto"/>
          <w:sz w:val="32"/>
          <w:szCs w:val="32"/>
          <w:lang w:val="en-US" w:eastAsia="zh-CN"/>
        </w:rPr>
        <w:t>79</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%；公务接待费支出决算</w:t>
      </w:r>
      <w:r>
        <w:rPr>
          <w:rFonts w:hint="default" w:ascii="Times New Roman" w:hAnsi="Times New Roman" w:eastAsia="仿宋_GB2312" w:cs="Times New Roman"/>
          <w:color w:val="auto"/>
          <w:sz w:val="32"/>
          <w:szCs w:val="32"/>
          <w:lang w:val="en-US" w:eastAsia="zh-CN"/>
        </w:rPr>
        <w:t>3.01万</w:t>
      </w:r>
      <w:r>
        <w:rPr>
          <w:rFonts w:hint="default" w:ascii="Times New Roman" w:hAnsi="Times New Roman" w:eastAsia="仿宋_GB2312" w:cs="Times New Roman"/>
          <w:color w:val="auto"/>
          <w:sz w:val="32"/>
          <w:szCs w:val="32"/>
        </w:rPr>
        <w:t>元，占</w:t>
      </w:r>
      <w:r>
        <w:rPr>
          <w:rFonts w:hint="default" w:ascii="Times New Roman" w:hAnsi="Times New Roman" w:eastAsia="仿宋_GB2312" w:cs="Times New Roman"/>
          <w:color w:val="auto"/>
          <w:sz w:val="32"/>
          <w:szCs w:val="32"/>
          <w:lang w:val="en-US" w:eastAsia="zh-CN"/>
        </w:rPr>
        <w:t>21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%。具体情况如下：</w:t>
      </w:r>
    </w:p>
    <w:p w14:paraId="6CA970DF">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w:t>
      </w:r>
      <w:r>
        <w:rPr>
          <w:rFonts w:hint="default" w:ascii="Times New Roman" w:hAnsi="Times New Roman" w:eastAsia="仿宋" w:cs="Times New Roman"/>
          <w:color w:val="000000"/>
          <w:sz w:val="32"/>
          <w:szCs w:val="32"/>
          <w:lang w:val="en-US" w:eastAsia="zh-CN"/>
        </w:rPr>
        <w:t>7</w:t>
      </w:r>
      <w:r>
        <w:rPr>
          <w:rFonts w:hint="default" w:ascii="Times New Roman" w:hAnsi="Times New Roman" w:eastAsia="仿宋" w:cs="Times New Roman"/>
          <w:color w:val="000000"/>
          <w:sz w:val="32"/>
          <w:szCs w:val="32"/>
        </w:rPr>
        <w:t>：“三公”经费财政拨款支出结构）（饼状图）</w:t>
      </w:r>
    </w:p>
    <w:p w14:paraId="1BE7E0AE">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p>
    <w:p w14:paraId="3F0A1230">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000000"/>
          <w:sz w:val="32"/>
          <w:szCs w:val="32"/>
        </w:rPr>
        <w:pict>
          <v:shape id="_x0000_s1032" o:spid="_x0000_s1032" o:spt="75" type="#_x0000_t75" style="position:absolute;left:0pt;margin-left:72.4pt;margin-top:0.05pt;height:178.25pt;width:270.15pt;mso-wrap-distance-bottom:0pt;mso-wrap-distance-left:9pt;mso-wrap-distance-right:9pt;mso-wrap-distance-top:0pt;z-index:251665408;mso-width-relative:page;mso-height-relative:page;" o:ole="t" filled="f" o:preferrelative="t" stroked="t" coordsize="21600,21600">
            <v:path/>
            <v:fill on="f" focussize="0,0"/>
            <v:stroke weight="0.5pt" joinstyle="miter"/>
            <v:imagedata r:id="rId19" o:title=""/>
            <o:lock v:ext="edit" aspectratio="t"/>
            <w10:wrap type="square"/>
          </v:shape>
          <o:OLEObject Type="Embed" ProgID="MSGraph.Chart.8" ShapeID="_x0000_s1032" DrawAspect="Content" ObjectID="_1468075731" r:id="rId18">
            <o:LockedField>false</o:LockedField>
          </o:OLEObject>
        </w:pict>
      </w:r>
    </w:p>
    <w:p w14:paraId="55E0F449">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p>
    <w:p w14:paraId="73D4691F">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p>
    <w:p w14:paraId="1D208F9B">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p>
    <w:p w14:paraId="19AE8444">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auto"/>
          <w:sz w:val="32"/>
          <w:szCs w:val="32"/>
        </w:rPr>
      </w:pPr>
    </w:p>
    <w:p w14:paraId="297602FB">
      <w:pPr>
        <w:spacing w:line="600" w:lineRule="exact"/>
        <w:ind w:firstLine="640"/>
        <w:rPr>
          <w:rFonts w:hint="default" w:ascii="Times New Roman" w:hAnsi="Times New Roman" w:eastAsia="仿宋" w:cs="Times New Roman"/>
          <w:color w:val="000000"/>
          <w:sz w:val="32"/>
          <w:szCs w:val="32"/>
        </w:rPr>
      </w:pPr>
    </w:p>
    <w:p w14:paraId="798466C2">
      <w:pPr>
        <w:spacing w:line="600" w:lineRule="exact"/>
        <w:ind w:firstLine="640"/>
        <w:rPr>
          <w:rFonts w:hint="default" w:ascii="Times New Roman" w:hAnsi="Times New Roman" w:eastAsia="仿宋" w:cs="Times New Roman"/>
          <w:color w:val="000000"/>
          <w:sz w:val="32"/>
          <w:szCs w:val="32"/>
        </w:rPr>
      </w:pPr>
    </w:p>
    <w:p w14:paraId="62C228B5">
      <w:pPr>
        <w:spacing w:line="600" w:lineRule="exact"/>
        <w:ind w:firstLine="640"/>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b/>
          <w:color w:val="000000"/>
          <w:sz w:val="32"/>
          <w:szCs w:val="32"/>
          <w:lang w:val="en-US" w:eastAsia="zh-CN"/>
        </w:rPr>
        <w:t>1</w:t>
      </w:r>
      <w:r>
        <w:rPr>
          <w:rFonts w:hint="default" w:ascii="Times New Roman" w:hAnsi="Times New Roman" w:eastAsia="仿宋_GB2312" w:cs="Times New Roman"/>
          <w:b/>
          <w:color w:val="000000"/>
          <w:sz w:val="32"/>
          <w:szCs w:val="32"/>
        </w:rPr>
        <w:t>.公务用车购置及运行维护费支出</w:t>
      </w:r>
      <w:r>
        <w:rPr>
          <w:rFonts w:hint="default" w:ascii="Times New Roman" w:hAnsi="Times New Roman" w:eastAsia="仿宋_GB2312" w:cs="Times New Roman"/>
          <w:color w:val="auto"/>
          <w:sz w:val="32"/>
          <w:szCs w:val="32"/>
          <w:lang w:val="en-US" w:eastAsia="zh-CN"/>
        </w:rPr>
        <w:t>11.34万</w:t>
      </w:r>
      <w:r>
        <w:rPr>
          <w:rFonts w:hint="default" w:ascii="Times New Roman" w:hAnsi="Times New Roman" w:eastAsia="仿宋_GB2312" w:cs="Times New Roman"/>
          <w:color w:val="auto"/>
          <w:sz w:val="32"/>
          <w:szCs w:val="32"/>
        </w:rPr>
        <w:t>元,</w:t>
      </w:r>
      <w:r>
        <w:rPr>
          <w:rStyle w:val="17"/>
          <w:rFonts w:hint="default" w:ascii="Times New Roman" w:hAnsi="Times New Roman" w:eastAsia="仿宋_GB2312" w:cs="Times New Roman"/>
          <w:b w:val="0"/>
          <w:bCs/>
          <w:color w:val="auto"/>
          <w:sz w:val="32"/>
          <w:szCs w:val="32"/>
        </w:rPr>
        <w:t>完成预算</w:t>
      </w:r>
      <w:r>
        <w:rPr>
          <w:rStyle w:val="17"/>
          <w:rFonts w:hint="default" w:ascii="Times New Roman" w:hAnsi="Times New Roman" w:eastAsia="仿宋_GB2312" w:cs="Times New Roman"/>
          <w:b w:val="0"/>
          <w:bCs/>
          <w:color w:val="auto"/>
          <w:sz w:val="32"/>
          <w:szCs w:val="32"/>
          <w:lang w:val="en-US" w:eastAsia="zh-CN"/>
        </w:rPr>
        <w:t>44.</w:t>
      </w:r>
      <w:r>
        <w:rPr>
          <w:rStyle w:val="17"/>
          <w:rFonts w:hint="eastAsia" w:eastAsia="仿宋_GB2312" w:cs="Times New Roman"/>
          <w:b w:val="0"/>
          <w:bCs/>
          <w:color w:val="auto"/>
          <w:sz w:val="32"/>
          <w:szCs w:val="32"/>
          <w:lang w:val="en-US" w:eastAsia="zh-CN"/>
        </w:rPr>
        <w:t>4</w:t>
      </w:r>
      <w:r>
        <w:rPr>
          <w:rStyle w:val="17"/>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color w:val="auto"/>
          <w:sz w:val="32"/>
          <w:szCs w:val="32"/>
        </w:rPr>
        <w:t>公务用车购置及运行维护费支出决算比2018年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减少</w:t>
      </w:r>
      <w:r>
        <w:rPr>
          <w:rFonts w:hint="default" w:ascii="Times New Roman" w:hAnsi="Times New Roman" w:eastAsia="仿宋_GB2312" w:cs="Times New Roman"/>
          <w:color w:val="auto"/>
          <w:sz w:val="32"/>
          <w:szCs w:val="32"/>
          <w:lang w:val="en-US" w:eastAsia="zh-CN"/>
        </w:rPr>
        <w:t>2.18</w:t>
      </w:r>
      <w:r>
        <w:rPr>
          <w:rFonts w:hint="default" w:ascii="Times New Roman" w:hAnsi="Times New Roman" w:eastAsia="仿宋_GB2312" w:cs="Times New Roman"/>
          <w:color w:val="auto"/>
          <w:sz w:val="32"/>
          <w:szCs w:val="32"/>
        </w:rPr>
        <w:t>万元，下降</w:t>
      </w:r>
      <w:r>
        <w:rPr>
          <w:rFonts w:hint="default" w:ascii="Times New Roman" w:hAnsi="Times New Roman" w:eastAsia="仿宋_GB2312" w:cs="Times New Roman"/>
          <w:color w:val="auto"/>
          <w:sz w:val="32"/>
          <w:szCs w:val="32"/>
          <w:lang w:val="en-US" w:eastAsia="zh-CN"/>
        </w:rPr>
        <w:t>16.1</w:t>
      </w:r>
      <w:r>
        <w:rPr>
          <w:rFonts w:hint="default" w:ascii="Times New Roman" w:hAnsi="Times New Roman" w:eastAsia="仿宋_GB2312" w:cs="Times New Roman"/>
          <w:color w:val="auto"/>
          <w:sz w:val="32"/>
          <w:szCs w:val="32"/>
        </w:rPr>
        <w:t>%。主要原因是实行源头控制，严格执行中央八项规定，按照能压就压，能减就减的原则控制</w:t>
      </w:r>
      <w:r>
        <w:rPr>
          <w:rFonts w:hint="default" w:ascii="Times New Roman" w:hAnsi="Times New Roman" w:eastAsia="仿宋" w:cs="Times New Roman"/>
          <w:color w:val="000000"/>
          <w:sz w:val="32"/>
          <w:szCs w:val="32"/>
        </w:rPr>
        <w:t>“三公”</w:t>
      </w:r>
      <w:r>
        <w:rPr>
          <w:rFonts w:hint="default" w:ascii="Times New Roman" w:hAnsi="Times New Roman" w:eastAsia="仿宋" w:cs="Times New Roman"/>
          <w:color w:val="000000"/>
          <w:sz w:val="32"/>
          <w:szCs w:val="32"/>
          <w:lang w:eastAsia="zh-CN"/>
        </w:rPr>
        <w:t>经费</w:t>
      </w:r>
      <w:r>
        <w:rPr>
          <w:rFonts w:hint="default" w:ascii="Times New Roman" w:hAnsi="Times New Roman" w:eastAsia="仿宋_GB2312" w:cs="Times New Roman"/>
          <w:color w:val="auto"/>
          <w:sz w:val="32"/>
          <w:szCs w:val="32"/>
        </w:rPr>
        <w:t>支出。</w:t>
      </w:r>
    </w:p>
    <w:p w14:paraId="2F5D59D5">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其中：</w:t>
      </w:r>
      <w:r>
        <w:rPr>
          <w:rFonts w:hint="default" w:ascii="Times New Roman" w:hAnsi="Times New Roman" w:eastAsia="仿宋_GB2312" w:cs="Times New Roman"/>
          <w:b/>
          <w:color w:val="auto"/>
          <w:sz w:val="32"/>
          <w:szCs w:val="32"/>
        </w:rPr>
        <w:t>无公务用车购置支出</w:t>
      </w:r>
      <w:r>
        <w:rPr>
          <w:rFonts w:hint="default" w:ascii="Times New Roman" w:hAnsi="Times New Roman" w:eastAsia="仿宋_GB2312" w:cs="Times New Roman"/>
          <w:color w:val="auto"/>
          <w:sz w:val="32"/>
          <w:szCs w:val="32"/>
        </w:rPr>
        <w:t>。截至2019年12月底，单位共有公务用车</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辆，其中，特种专业技术用车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 xml:space="preserve"> 辆</w:t>
      </w:r>
      <w:r>
        <w:rPr>
          <w:rFonts w:hint="default" w:ascii="Times New Roman" w:hAnsi="Times New Roman" w:eastAsia="仿宋_GB2312" w:cs="Times New Roman"/>
          <w:color w:val="auto"/>
          <w:sz w:val="32"/>
          <w:szCs w:val="32"/>
          <w:lang w:eastAsia="zh-CN"/>
        </w:rPr>
        <w:t>。</w:t>
      </w:r>
    </w:p>
    <w:p w14:paraId="3A0AE8D7">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auto"/>
          <w:sz w:val="32"/>
          <w:szCs w:val="32"/>
        </w:rPr>
        <w:t>公务用车运行维护费支出</w:t>
      </w: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rPr>
        <w:t>万元。主要用于检查工地施工安全、下乡、出差等所需的公务用车燃料费、维修费、过路过桥费、保险费等支出。</w:t>
      </w:r>
    </w:p>
    <w:p w14:paraId="6FAB81AE">
      <w:pPr>
        <w:pageBreakBefore w:val="0"/>
        <w:widowControl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.公务接待费支出</w:t>
      </w:r>
      <w:r>
        <w:rPr>
          <w:rFonts w:hint="default" w:ascii="Times New Roman" w:hAnsi="Times New Roman" w:eastAsia="仿宋_GB2312" w:cs="Times New Roman"/>
          <w:color w:val="auto"/>
          <w:sz w:val="32"/>
          <w:szCs w:val="32"/>
          <w:lang w:val="en-US" w:eastAsia="zh-CN"/>
        </w:rPr>
        <w:t>3.01</w:t>
      </w:r>
      <w:r>
        <w:rPr>
          <w:rFonts w:hint="default" w:ascii="Times New Roman" w:hAnsi="Times New Roman" w:eastAsia="仿宋_GB2312" w:cs="Times New Roman"/>
          <w:color w:val="auto"/>
          <w:sz w:val="32"/>
          <w:szCs w:val="32"/>
        </w:rPr>
        <w:t>万元，</w:t>
      </w:r>
      <w:r>
        <w:rPr>
          <w:rStyle w:val="17"/>
          <w:rFonts w:hint="default" w:ascii="Times New Roman" w:hAnsi="Times New Roman" w:eastAsia="仿宋_GB2312" w:cs="Times New Roman"/>
          <w:b w:val="0"/>
          <w:bCs/>
          <w:color w:val="auto"/>
          <w:sz w:val="32"/>
          <w:szCs w:val="32"/>
        </w:rPr>
        <w:t>完成预算</w:t>
      </w:r>
      <w:r>
        <w:rPr>
          <w:rStyle w:val="17"/>
          <w:rFonts w:hint="default" w:ascii="Times New Roman" w:hAnsi="Times New Roman" w:eastAsia="仿宋_GB2312" w:cs="Times New Roman"/>
          <w:b w:val="0"/>
          <w:bCs/>
          <w:color w:val="auto"/>
          <w:sz w:val="32"/>
          <w:szCs w:val="32"/>
          <w:lang w:val="en-US" w:eastAsia="zh-CN"/>
        </w:rPr>
        <w:t>97.</w:t>
      </w:r>
      <w:r>
        <w:rPr>
          <w:rStyle w:val="17"/>
          <w:rFonts w:hint="eastAsia" w:eastAsia="仿宋_GB2312" w:cs="Times New Roman"/>
          <w:b w:val="0"/>
          <w:bCs/>
          <w:color w:val="auto"/>
          <w:sz w:val="32"/>
          <w:szCs w:val="32"/>
          <w:lang w:val="en-US" w:eastAsia="zh-CN"/>
        </w:rPr>
        <w:t>2</w:t>
      </w:r>
      <w:r>
        <w:rPr>
          <w:rStyle w:val="17"/>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color w:val="auto"/>
          <w:sz w:val="32"/>
          <w:szCs w:val="32"/>
        </w:rPr>
        <w:t>公务接待费支出决算比2018年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增加</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198.0</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eastAsia="zh-CN"/>
        </w:rPr>
        <w:t>公务接待批次和人数较上年增加</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000000"/>
          <w:sz w:val="32"/>
          <w:szCs w:val="32"/>
        </w:rPr>
        <w:t>其中：</w:t>
      </w:r>
    </w:p>
    <w:p w14:paraId="5C4D3B09">
      <w:pPr>
        <w:pageBreakBefore w:val="0"/>
        <w:widowControl w:val="0"/>
        <w:kinsoku/>
        <w:wordWrap/>
        <w:overflowPunct/>
        <w:topLinePunct w:val="0"/>
        <w:autoSpaceDE/>
        <w:autoSpaceDN/>
        <w:bidi w:val="0"/>
        <w:spacing w:line="560" w:lineRule="exact"/>
        <w:ind w:firstLine="643" w:firstLineChars="200"/>
        <w:textAlignment w:val="auto"/>
        <w:rPr>
          <w:rFonts w:hint="eastAsia" w:eastAsia="仿宋_GB2312" w:cs="Times New Roman"/>
          <w:color w:val="000000"/>
          <w:sz w:val="32"/>
          <w:szCs w:val="32"/>
          <w:lang w:val="en-US" w:eastAsia="zh-CN"/>
        </w:rPr>
      </w:pPr>
      <w:r>
        <w:rPr>
          <w:rFonts w:hint="default" w:ascii="Times New Roman" w:hAnsi="Times New Roman" w:eastAsia="仿宋" w:cs="Times New Roman"/>
          <w:b/>
          <w:color w:val="000000"/>
          <w:sz w:val="32"/>
          <w:szCs w:val="32"/>
        </w:rPr>
        <w:t>国内公务接待支出</w:t>
      </w:r>
      <w:r>
        <w:rPr>
          <w:rFonts w:hint="default" w:ascii="Times New Roman" w:hAnsi="Times New Roman" w:eastAsia="仿宋" w:cs="Times New Roman"/>
          <w:color w:val="000000"/>
          <w:sz w:val="32"/>
          <w:szCs w:val="32"/>
          <w:lang w:val="en-US" w:eastAsia="zh-CN"/>
        </w:rPr>
        <w:t>3.01</w:t>
      </w:r>
      <w:r>
        <w:rPr>
          <w:rFonts w:hint="default" w:ascii="Times New Roman" w:hAnsi="Times New Roman" w:eastAsia="仿宋_GB2312" w:cs="Times New Roman"/>
          <w:color w:val="000000"/>
          <w:sz w:val="32"/>
          <w:szCs w:val="32"/>
        </w:rPr>
        <w:t>万元，主要用于执行公务、开展业务活动开支的交通费、住宿费、用餐费等。国内公务接待</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171</w:t>
      </w:r>
      <w:r>
        <w:rPr>
          <w:rFonts w:hint="default" w:ascii="Times New Roman" w:hAnsi="Times New Roman" w:eastAsia="仿宋_GB2312" w:cs="Times New Roman"/>
          <w:color w:val="000000"/>
          <w:sz w:val="32"/>
          <w:szCs w:val="32"/>
        </w:rPr>
        <w:t>人次（不包括陪同人员），共计支出</w:t>
      </w:r>
      <w:r>
        <w:rPr>
          <w:rFonts w:hint="default" w:ascii="Times New Roman" w:hAnsi="Times New Roman" w:eastAsia="仿宋_GB2312" w:cs="Times New Roman"/>
          <w:color w:val="000000"/>
          <w:sz w:val="32"/>
          <w:szCs w:val="32"/>
          <w:lang w:val="en-US" w:eastAsia="zh-CN"/>
        </w:rPr>
        <w:t>3.01</w:t>
      </w:r>
      <w:r>
        <w:rPr>
          <w:rFonts w:hint="default" w:ascii="Times New Roman" w:hAnsi="Times New Roman" w:eastAsia="仿宋_GB2312" w:cs="Times New Roman"/>
          <w:color w:val="000000"/>
          <w:sz w:val="32"/>
          <w:szCs w:val="32"/>
        </w:rPr>
        <w:t>万元</w:t>
      </w:r>
      <w:bookmarkStart w:id="62" w:name="_Toc15377218"/>
      <w:bookmarkStart w:id="63" w:name="_Toc15396610"/>
      <w:r>
        <w:rPr>
          <w:rFonts w:hint="eastAsia" w:eastAsia="仿宋_GB2312" w:cs="Times New Roman"/>
          <w:color w:val="000000"/>
          <w:sz w:val="32"/>
          <w:szCs w:val="32"/>
          <w:lang w:eastAsia="zh-CN"/>
        </w:rPr>
        <w:t>。</w:t>
      </w:r>
      <w:r>
        <w:rPr>
          <w:rFonts w:hint="eastAsia" w:eastAsia="仿宋_GB2312" w:cs="Times New Roman"/>
          <w:color w:val="000000"/>
          <w:sz w:val="32"/>
          <w:szCs w:val="32"/>
          <w:lang w:val="en-US" w:eastAsia="zh-CN"/>
        </w:rPr>
        <w:t xml:space="preserve">  </w:t>
      </w:r>
    </w:p>
    <w:p w14:paraId="5D5D47AC">
      <w:pPr>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b/>
          <w:color w:val="000000"/>
          <w:sz w:val="32"/>
          <w:szCs w:val="32"/>
        </w:rPr>
      </w:pPr>
      <w:r>
        <w:rPr>
          <w:rFonts w:hint="eastAsia" w:ascii="Times New Roman" w:hAnsi="Times New Roman" w:eastAsia="仿宋" w:cs="Times New Roman"/>
          <w:b/>
          <w:color w:val="000000"/>
          <w:sz w:val="32"/>
          <w:szCs w:val="32"/>
        </w:rPr>
        <w:t>无外事接待支出。</w:t>
      </w:r>
    </w:p>
    <w:p w14:paraId="1EB413BC">
      <w:pPr>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 w:cs="Times New Roman"/>
          <w:b/>
          <w:color w:val="000000"/>
          <w:sz w:val="32"/>
          <w:szCs w:val="32"/>
        </w:rPr>
      </w:pPr>
      <w:r>
        <w:rPr>
          <w:rFonts w:hint="eastAsia" w:ascii="Times New Roman" w:hAnsi="Times New Roman" w:eastAsia="仿宋" w:cs="Times New Roman"/>
          <w:b/>
          <w:color w:val="000000"/>
          <w:sz w:val="32"/>
          <w:szCs w:val="32"/>
        </w:rPr>
        <w:t>无其他国内公务接待支出。</w:t>
      </w:r>
    </w:p>
    <w:p w14:paraId="68C317C5">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val="en-US" w:eastAsia="zh-CN"/>
        </w:rPr>
      </w:pPr>
      <w:bookmarkStart w:id="64" w:name="_八、政府性基金预算支出决算情况说明"/>
      <w:r>
        <w:rPr>
          <w:rFonts w:hint="default" w:ascii="Times New Roman" w:hAnsi="Times New Roman" w:eastAsia="黑体" w:cs="Times New Roman"/>
          <w:b w:val="0"/>
          <w:color w:val="000000"/>
          <w:lang w:val="en-US" w:eastAsia="zh-CN"/>
        </w:rPr>
        <w:t>八、政府性基金预算支出决算情况说明</w:t>
      </w:r>
      <w:bookmarkEnd w:id="62"/>
      <w:bookmarkEnd w:id="63"/>
    </w:p>
    <w:bookmarkEnd w:id="64"/>
    <w:p w14:paraId="279BB113">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2019年</w:t>
      </w:r>
      <w:r>
        <w:rPr>
          <w:rFonts w:hint="eastAsia" w:ascii="Times New Roman" w:hAnsi="Times New Roman" w:eastAsia="仿宋_GB2312" w:cs="Times New Roman"/>
          <w:b w:val="0"/>
          <w:bCs w:val="0"/>
          <w:color w:val="000000"/>
          <w:kern w:val="2"/>
          <w:sz w:val="32"/>
          <w:szCs w:val="32"/>
          <w:lang w:val="en-US" w:eastAsia="zh-CN" w:bidi="ar-SA"/>
        </w:rPr>
        <w:t>度</w:t>
      </w:r>
      <w:r>
        <w:rPr>
          <w:rFonts w:hint="default" w:ascii="Times New Roman" w:hAnsi="Times New Roman" w:eastAsia="仿宋_GB2312" w:cs="Times New Roman"/>
          <w:b w:val="0"/>
          <w:bCs w:val="0"/>
          <w:color w:val="000000"/>
          <w:kern w:val="2"/>
          <w:sz w:val="32"/>
          <w:szCs w:val="32"/>
          <w:lang w:val="en-US" w:eastAsia="zh-CN" w:bidi="ar-SA"/>
        </w:rPr>
        <w:t>政府性基金预算拨款支出12,455.55万元。</w:t>
      </w:r>
    </w:p>
    <w:p w14:paraId="0632B31B">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val="en-US" w:eastAsia="zh-CN"/>
        </w:rPr>
      </w:pPr>
      <w:bookmarkStart w:id="65" w:name="_Toc15396611"/>
      <w:bookmarkStart w:id="66" w:name="_Toc15377219"/>
      <w:bookmarkStart w:id="67" w:name="_九、国有资本经营预算支出决算情况说明"/>
      <w:r>
        <w:rPr>
          <w:rFonts w:hint="eastAsia" w:ascii="Times New Roman" w:hAnsi="Times New Roman" w:eastAsia="黑体" w:cs="Times New Roman"/>
          <w:b w:val="0"/>
          <w:color w:val="000000"/>
          <w:lang w:val="en-US" w:eastAsia="zh-CN"/>
        </w:rPr>
        <w:t>九、</w:t>
      </w:r>
      <w:r>
        <w:rPr>
          <w:rFonts w:hint="default" w:ascii="Times New Roman" w:hAnsi="Times New Roman" w:eastAsia="黑体" w:cs="Times New Roman"/>
          <w:b w:val="0"/>
          <w:color w:val="000000"/>
          <w:lang w:val="en-US" w:eastAsia="zh-CN"/>
        </w:rPr>
        <w:t>国有资本经营预算支出决算情况说明</w:t>
      </w:r>
      <w:bookmarkEnd w:id="65"/>
      <w:bookmarkEnd w:id="66"/>
    </w:p>
    <w:bookmarkEnd w:id="67"/>
    <w:p w14:paraId="0053B752">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2019年</w:t>
      </w:r>
      <w:r>
        <w:rPr>
          <w:rFonts w:hint="eastAsia" w:ascii="Times New Roman" w:hAnsi="Times New Roman" w:eastAsia="仿宋_GB2312" w:cs="Times New Roman"/>
          <w:b w:val="0"/>
          <w:bCs w:val="0"/>
          <w:color w:val="000000"/>
          <w:kern w:val="2"/>
          <w:sz w:val="32"/>
          <w:szCs w:val="32"/>
          <w:lang w:val="en-US" w:eastAsia="zh-CN" w:bidi="ar-SA"/>
        </w:rPr>
        <w:t>度</w:t>
      </w:r>
      <w:r>
        <w:rPr>
          <w:rFonts w:hint="default" w:ascii="Times New Roman" w:hAnsi="Times New Roman" w:eastAsia="仿宋_GB2312" w:cs="Times New Roman"/>
          <w:b w:val="0"/>
          <w:bCs w:val="0"/>
          <w:color w:val="000000"/>
          <w:kern w:val="2"/>
          <w:sz w:val="32"/>
          <w:szCs w:val="32"/>
          <w:lang w:val="en-US" w:eastAsia="zh-CN" w:bidi="ar-SA"/>
        </w:rPr>
        <w:t>国有资本经营预算拨款支出0万元。</w:t>
      </w:r>
    </w:p>
    <w:p w14:paraId="0C742422">
      <w:pPr>
        <w:pStyle w:val="4"/>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color w:val="000000"/>
          <w:lang w:val="en-US" w:eastAsia="zh-CN"/>
        </w:rPr>
      </w:pPr>
      <w:bookmarkStart w:id="68" w:name="_Toc15377221"/>
      <w:bookmarkStart w:id="69" w:name="_Toc15396612"/>
      <w:bookmarkStart w:id="70" w:name="_十、其他重要事项的情况说明"/>
      <w:r>
        <w:rPr>
          <w:rFonts w:hint="default" w:ascii="Times New Roman" w:hAnsi="Times New Roman" w:eastAsia="黑体" w:cs="Times New Roman"/>
          <w:b w:val="0"/>
          <w:color w:val="000000"/>
          <w:lang w:val="en-US" w:eastAsia="zh-CN"/>
        </w:rPr>
        <w:t>十、其他重要事项的情况说明</w:t>
      </w:r>
      <w:bookmarkEnd w:id="68"/>
      <w:bookmarkEnd w:id="69"/>
    </w:p>
    <w:bookmarkEnd w:id="70"/>
    <w:p w14:paraId="077EFBBF">
      <w:pPr>
        <w:ind w:firstLine="643" w:firstLineChars="200"/>
        <w:rPr>
          <w:rFonts w:hint="default" w:ascii="Times New Roman" w:hAnsi="Times New Roman" w:eastAsia="仿宋_GB2312" w:cs="Times New Roman"/>
          <w:b/>
          <w:bCs/>
          <w:color w:val="000000"/>
          <w:sz w:val="32"/>
          <w:szCs w:val="32"/>
        </w:rPr>
      </w:pPr>
      <w:bookmarkStart w:id="71" w:name="_Toc15377222"/>
      <w:r>
        <w:rPr>
          <w:rFonts w:hint="default" w:ascii="Times New Roman" w:hAnsi="Times New Roman" w:eastAsia="仿宋_GB2312" w:cs="Times New Roman"/>
          <w:b/>
          <w:bCs/>
          <w:color w:val="000000"/>
          <w:kern w:val="2"/>
          <w:sz w:val="32"/>
          <w:szCs w:val="32"/>
          <w:lang w:val="en-US" w:eastAsia="zh-CN" w:bidi="ar-SA"/>
        </w:rPr>
        <w:t>（一）机关运</w:t>
      </w:r>
      <w:r>
        <w:rPr>
          <w:rFonts w:hint="default" w:ascii="Times New Roman" w:hAnsi="Times New Roman" w:eastAsia="仿宋" w:cs="Times New Roman"/>
          <w:b/>
          <w:bCs/>
          <w:color w:val="000000"/>
          <w:sz w:val="32"/>
          <w:szCs w:val="32"/>
        </w:rPr>
        <w:t>行经费</w:t>
      </w:r>
      <w:r>
        <w:rPr>
          <w:rFonts w:hint="default" w:ascii="Times New Roman" w:hAnsi="Times New Roman" w:eastAsia="仿宋_GB2312" w:cs="Times New Roman"/>
          <w:b/>
          <w:bCs/>
          <w:color w:val="000000"/>
          <w:sz w:val="32"/>
          <w:szCs w:val="32"/>
        </w:rPr>
        <w:t>支出情况</w:t>
      </w:r>
      <w:bookmarkEnd w:id="71"/>
    </w:p>
    <w:p w14:paraId="7D8C6D0F">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sz w:val="32"/>
          <w:szCs w:val="32"/>
          <w:highlight w:val="none"/>
        </w:rPr>
        <w:t>2019年</w:t>
      </w:r>
      <w:r>
        <w:rPr>
          <w:rFonts w:hint="eastAsia" w:eastAsia="仿宋_GB2312" w:cs="Times New Roman"/>
          <w:color w:val="000000"/>
          <w:sz w:val="32"/>
          <w:szCs w:val="32"/>
          <w:highlight w:val="none"/>
          <w:lang w:eastAsia="zh-CN"/>
        </w:rPr>
        <w:t>度</w:t>
      </w:r>
      <w:r>
        <w:rPr>
          <w:rFonts w:hint="default" w:ascii="Times New Roman" w:hAnsi="Times New Roman" w:eastAsia="仿宋_GB2312" w:cs="Times New Roman"/>
          <w:color w:val="000000"/>
          <w:sz w:val="32"/>
          <w:szCs w:val="32"/>
          <w:highlight w:val="none"/>
          <w:lang w:eastAsia="zh-CN"/>
        </w:rPr>
        <w:t>县住房城乡建设局</w:t>
      </w:r>
      <w:r>
        <w:rPr>
          <w:rFonts w:hint="default" w:ascii="Times New Roman" w:hAnsi="Times New Roman" w:eastAsia="仿宋_GB2312" w:cs="Times New Roman"/>
          <w:color w:val="000000"/>
          <w:sz w:val="32"/>
          <w:szCs w:val="32"/>
          <w:highlight w:val="none"/>
        </w:rPr>
        <w:t>机关运行经费支出</w:t>
      </w:r>
      <w:r>
        <w:rPr>
          <w:rFonts w:hint="default" w:ascii="Times New Roman" w:hAnsi="Times New Roman" w:eastAsia="仿宋_GB2312" w:cs="Times New Roman"/>
          <w:color w:val="000000"/>
          <w:sz w:val="32"/>
          <w:szCs w:val="32"/>
          <w:highlight w:val="none"/>
          <w:lang w:val="en-US" w:eastAsia="zh-CN"/>
        </w:rPr>
        <w:t>88.64</w:t>
      </w:r>
      <w:r>
        <w:rPr>
          <w:rFonts w:hint="default" w:ascii="Times New Roman" w:hAnsi="Times New Roman" w:eastAsia="仿宋_GB2312" w:cs="Times New Roman"/>
          <w:color w:val="000000"/>
          <w:sz w:val="32"/>
          <w:szCs w:val="32"/>
          <w:highlight w:val="none"/>
        </w:rPr>
        <w:t>万元，比2018年</w:t>
      </w:r>
      <w:r>
        <w:rPr>
          <w:rFonts w:hint="eastAsia" w:eastAsia="仿宋_GB2312" w:cs="Times New Roman"/>
          <w:color w:val="000000"/>
          <w:sz w:val="32"/>
          <w:szCs w:val="32"/>
          <w:highlight w:val="none"/>
          <w:lang w:eastAsia="zh-CN"/>
        </w:rPr>
        <w:t>度</w:t>
      </w:r>
      <w:r>
        <w:rPr>
          <w:rFonts w:hint="default" w:ascii="Times New Roman" w:hAnsi="Times New Roman" w:eastAsia="仿宋_GB2312" w:cs="Times New Roman"/>
          <w:color w:val="000000"/>
          <w:sz w:val="32"/>
          <w:szCs w:val="32"/>
          <w:highlight w:val="none"/>
          <w:lang w:val="en-US" w:eastAsia="zh-CN"/>
        </w:rPr>
        <w:t>69</w:t>
      </w:r>
      <w:r>
        <w:rPr>
          <w:rFonts w:hint="eastAsia"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28万元相比</w:t>
      </w:r>
      <w:r>
        <w:rPr>
          <w:rFonts w:hint="default" w:ascii="Times New Roman" w:hAnsi="Times New Roman" w:eastAsia="仿宋_GB2312" w:cs="Times New Roman"/>
          <w:color w:val="000000"/>
          <w:sz w:val="32"/>
          <w:szCs w:val="32"/>
          <w:highlight w:val="none"/>
        </w:rPr>
        <w:t>增加</w:t>
      </w:r>
      <w:r>
        <w:rPr>
          <w:rFonts w:hint="default" w:ascii="Times New Roman" w:hAnsi="Times New Roman" w:eastAsia="仿宋_GB2312" w:cs="Times New Roman"/>
          <w:color w:val="000000"/>
          <w:sz w:val="32"/>
          <w:szCs w:val="32"/>
          <w:highlight w:val="none"/>
          <w:lang w:val="en-US" w:eastAsia="zh-CN"/>
        </w:rPr>
        <w:t>19.36</w:t>
      </w:r>
      <w:r>
        <w:rPr>
          <w:rFonts w:hint="default" w:ascii="Times New Roman" w:hAnsi="Times New Roman" w:eastAsia="仿宋_GB2312" w:cs="Times New Roman"/>
          <w:color w:val="000000"/>
          <w:sz w:val="32"/>
          <w:szCs w:val="32"/>
          <w:highlight w:val="none"/>
        </w:rPr>
        <w:t>万元，增长</w:t>
      </w:r>
      <w:r>
        <w:rPr>
          <w:rFonts w:hint="default" w:ascii="Times New Roman" w:hAnsi="Times New Roman" w:eastAsia="仿宋_GB2312" w:cs="Times New Roman"/>
          <w:color w:val="000000"/>
          <w:sz w:val="32"/>
          <w:szCs w:val="32"/>
          <w:highlight w:val="none"/>
          <w:lang w:val="en-US" w:eastAsia="zh-CN"/>
        </w:rPr>
        <w:t>27.94</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主要原因是</w:t>
      </w:r>
      <w:r>
        <w:rPr>
          <w:rFonts w:hint="default" w:ascii="Times New Roman" w:hAnsi="Times New Roman" w:eastAsia="仿宋_GB2312" w:cs="Times New Roman"/>
          <w:color w:val="auto"/>
          <w:sz w:val="32"/>
          <w:szCs w:val="32"/>
          <w:highlight w:val="none"/>
        </w:rPr>
        <w:t>人员</w:t>
      </w:r>
      <w:r>
        <w:rPr>
          <w:rFonts w:hint="default" w:ascii="Times New Roman" w:hAnsi="Times New Roman" w:eastAsia="仿宋_GB2312" w:cs="Times New Roman"/>
          <w:color w:val="auto"/>
          <w:sz w:val="32"/>
          <w:szCs w:val="32"/>
          <w:highlight w:val="none"/>
          <w:lang w:eastAsia="zh-CN"/>
        </w:rPr>
        <w:t>经费增加。</w:t>
      </w:r>
    </w:p>
    <w:p w14:paraId="172722F5">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000000"/>
          <w:sz w:val="32"/>
          <w:szCs w:val="32"/>
        </w:rPr>
      </w:pPr>
      <w:bookmarkStart w:id="72" w:name="_Toc15377223"/>
      <w:r>
        <w:rPr>
          <w:rFonts w:hint="default" w:ascii="Times New Roman" w:hAnsi="Times New Roman" w:eastAsia="仿宋" w:cs="Times New Roman"/>
          <w:b/>
          <w:color w:val="000000"/>
          <w:sz w:val="32"/>
          <w:szCs w:val="32"/>
        </w:rPr>
        <w:t>（二）政府采购支出情况</w:t>
      </w:r>
      <w:bookmarkEnd w:id="72"/>
    </w:p>
    <w:p w14:paraId="6ADB412E">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w:t>
      </w:r>
      <w:r>
        <w:rPr>
          <w:rFonts w:hint="eastAsia" w:eastAsia="仿宋_GB2312" w:cs="Times New Roman"/>
          <w:color w:val="000000"/>
          <w:sz w:val="32"/>
          <w:szCs w:val="32"/>
          <w:lang w:eastAsia="zh-CN"/>
        </w:rPr>
        <w:t>度</w:t>
      </w:r>
      <w:r>
        <w:rPr>
          <w:rFonts w:hint="default" w:ascii="Times New Roman" w:hAnsi="Times New Roman" w:eastAsia="仿宋_GB2312" w:cs="Times New Roman"/>
          <w:color w:val="000000"/>
          <w:sz w:val="32"/>
          <w:szCs w:val="32"/>
          <w:lang w:eastAsia="zh-CN"/>
        </w:rPr>
        <w:t>县住房城乡建设局</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14:paraId="0DB4A25B">
      <w:pPr>
        <w:autoSpaceDE w:val="0"/>
        <w:autoSpaceDN w:val="0"/>
        <w:adjustRightInd w:val="0"/>
        <w:spacing w:line="600" w:lineRule="exact"/>
        <w:ind w:firstLine="643" w:firstLineChars="200"/>
        <w:jc w:val="left"/>
        <w:outlineLvl w:val="2"/>
        <w:rPr>
          <w:rFonts w:hint="default" w:ascii="Times New Roman" w:hAnsi="Times New Roman" w:eastAsia="仿宋" w:cs="Times New Roman"/>
          <w:b/>
          <w:color w:val="000000"/>
          <w:sz w:val="32"/>
          <w:szCs w:val="32"/>
        </w:rPr>
      </w:pPr>
      <w:bookmarkStart w:id="73" w:name="_Toc15377224"/>
      <w:r>
        <w:rPr>
          <w:rFonts w:hint="default" w:ascii="Times New Roman" w:hAnsi="Times New Roman" w:eastAsia="仿宋" w:cs="Times New Roman"/>
          <w:b/>
          <w:color w:val="000000"/>
          <w:sz w:val="32"/>
          <w:szCs w:val="32"/>
        </w:rPr>
        <w:t>（三）国有资产占有使用情况</w:t>
      </w:r>
      <w:bookmarkEnd w:id="73"/>
    </w:p>
    <w:p w14:paraId="3F2138E4">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B0F0"/>
          <w:sz w:val="32"/>
          <w:szCs w:val="32"/>
        </w:rPr>
      </w:pPr>
      <w:r>
        <w:rPr>
          <w:rFonts w:hint="default" w:ascii="Times New Roman" w:hAnsi="Times New Roman" w:eastAsia="仿宋_GB2312" w:cs="Times New Roman"/>
          <w:color w:val="auto"/>
          <w:sz w:val="32"/>
          <w:szCs w:val="32"/>
        </w:rPr>
        <w:t xml:space="preserve">截至2019年12月31日， </w:t>
      </w:r>
      <w:r>
        <w:rPr>
          <w:rFonts w:hint="default" w:ascii="Times New Roman" w:hAnsi="Times New Roman" w:eastAsia="仿宋_GB2312" w:cs="Times New Roman"/>
          <w:color w:val="auto"/>
          <w:sz w:val="32"/>
          <w:szCs w:val="32"/>
          <w:lang w:eastAsia="zh-CN"/>
        </w:rPr>
        <w:t>县住房城乡建设局</w:t>
      </w:r>
      <w:r>
        <w:rPr>
          <w:rFonts w:hint="default" w:ascii="Times New Roman" w:hAnsi="Times New Roman" w:eastAsia="仿宋_GB2312" w:cs="Times New Roman"/>
          <w:color w:val="auto"/>
          <w:sz w:val="32"/>
          <w:szCs w:val="32"/>
        </w:rPr>
        <w:t>共有车辆</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辆，其中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特种专业技术用车</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 xml:space="preserve"> 辆，其他用车主要是检查工地施工安全、下乡、出差等所需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单位价值50万元以上通用设备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台（套）；单位价值100万元以上专用设备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14:paraId="47A6D494">
      <w:pPr>
        <w:autoSpaceDE w:val="0"/>
        <w:autoSpaceDN w:val="0"/>
        <w:adjustRightInd w:val="0"/>
        <w:spacing w:line="600" w:lineRule="exact"/>
        <w:ind w:firstLine="643" w:firstLineChars="200"/>
        <w:jc w:val="left"/>
        <w:outlineLvl w:val="2"/>
        <w:rPr>
          <w:rFonts w:eastAsia="仿宋"/>
          <w:b/>
          <w:color w:val="000000"/>
          <w:sz w:val="32"/>
          <w:szCs w:val="32"/>
        </w:rPr>
      </w:pPr>
      <w:r>
        <w:rPr>
          <w:rFonts w:eastAsia="仿宋"/>
          <w:b/>
          <w:color w:val="000000"/>
          <w:sz w:val="32"/>
          <w:szCs w:val="32"/>
        </w:rPr>
        <w:t>（四）预算绩效管理情况。</w:t>
      </w:r>
    </w:p>
    <w:p w14:paraId="001B4CEB">
      <w:pPr>
        <w:spacing w:line="580" w:lineRule="exact"/>
        <w:ind w:firstLine="640" w:firstLineChars="200"/>
        <w:rPr>
          <w:rFonts w:eastAsia="仿宋_GB2312"/>
          <w:sz w:val="32"/>
          <w:szCs w:val="32"/>
        </w:rPr>
      </w:pPr>
      <w:r>
        <w:rPr>
          <w:rFonts w:eastAsia="仿宋_GB2312"/>
          <w:sz w:val="32"/>
          <w:szCs w:val="32"/>
        </w:rPr>
        <w:t>根据预算绩效管理要求，本部门（单位）在年初预算编制阶段，组织对</w:t>
      </w:r>
      <w:r>
        <w:rPr>
          <w:rFonts w:hint="eastAsia" w:eastAsia="仿宋_GB2312"/>
          <w:sz w:val="32"/>
          <w:szCs w:val="32"/>
        </w:rPr>
        <w:t>米易县住房和城乡建设局“重点项目编外用工专项费用”“在编临时人员经费”“住建专项工作经费”3个</w:t>
      </w:r>
      <w:r>
        <w:rPr>
          <w:rFonts w:eastAsia="仿宋_GB2312"/>
          <w:sz w:val="32"/>
          <w:szCs w:val="32"/>
        </w:rPr>
        <w:t>项目开展了预算事前</w:t>
      </w:r>
      <w:r>
        <w:rPr>
          <w:rFonts w:eastAsia="仿宋_GB2312"/>
          <w:color w:val="auto"/>
          <w:sz w:val="32"/>
          <w:szCs w:val="32"/>
        </w:rPr>
        <w:t>绩效评估，对</w:t>
      </w:r>
      <w:r>
        <w:rPr>
          <w:rFonts w:hint="eastAsia" w:eastAsia="仿宋_GB2312"/>
          <w:color w:val="auto"/>
          <w:sz w:val="32"/>
          <w:szCs w:val="32"/>
          <w:lang w:val="en-US" w:eastAsia="zh-CN"/>
        </w:rPr>
        <w:t>5</w:t>
      </w:r>
      <w:r>
        <w:rPr>
          <w:rFonts w:eastAsia="仿宋_GB2312"/>
          <w:color w:val="auto"/>
          <w:sz w:val="32"/>
          <w:szCs w:val="32"/>
        </w:rPr>
        <w:t>个项目编制了绩效目标，预算执行过程中，选取</w:t>
      </w:r>
      <w:r>
        <w:rPr>
          <w:rFonts w:hint="eastAsia" w:eastAsia="仿宋_GB2312"/>
          <w:color w:val="auto"/>
          <w:sz w:val="32"/>
          <w:szCs w:val="32"/>
          <w:lang w:val="en-US" w:eastAsia="zh-CN"/>
        </w:rPr>
        <w:t>5</w:t>
      </w:r>
      <w:r>
        <w:rPr>
          <w:rFonts w:eastAsia="仿宋_GB2312"/>
          <w:color w:val="auto"/>
          <w:sz w:val="32"/>
          <w:szCs w:val="32"/>
        </w:rPr>
        <w:t>个项目开展绩效监控，年终执行完毕后，对</w:t>
      </w:r>
      <w:r>
        <w:rPr>
          <w:rFonts w:hint="eastAsia" w:eastAsia="仿宋_GB2312"/>
          <w:color w:val="auto"/>
          <w:sz w:val="32"/>
          <w:szCs w:val="32"/>
          <w:lang w:val="en-US" w:eastAsia="zh-CN"/>
        </w:rPr>
        <w:t>5</w:t>
      </w:r>
      <w:r>
        <w:rPr>
          <w:rFonts w:eastAsia="仿宋_GB2312"/>
          <w:color w:val="auto"/>
          <w:sz w:val="32"/>
          <w:szCs w:val="32"/>
        </w:rPr>
        <w:t>个项目开展了绩效目标完成情况自评。</w:t>
      </w:r>
    </w:p>
    <w:p w14:paraId="15402312">
      <w:pPr>
        <w:spacing w:line="560" w:lineRule="exact"/>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米易县住房和城乡建设局按要求</w:t>
      </w:r>
      <w:r>
        <w:rPr>
          <w:rFonts w:hint="default" w:ascii="Times New Roman" w:hAnsi="Times New Roman" w:eastAsia="仿宋_GB2312" w:cs="Times New Roman"/>
          <w:sz w:val="32"/>
          <w:szCs w:val="32"/>
        </w:rPr>
        <w:t>对2019年部</w:t>
      </w:r>
      <w:r>
        <w:rPr>
          <w:rFonts w:hint="eastAsia" w:ascii="仿宋_GB2312" w:hAnsi="仿宋_GB2312" w:eastAsia="仿宋_GB2312" w:cs="仿宋_GB2312"/>
          <w:sz w:val="32"/>
          <w:szCs w:val="32"/>
        </w:rPr>
        <w:t>门整体支出开展绩效自评，从评价情况来看我单位将整体支出绩效评价作为了财政预算资金使用管理的一项重要工作，切实加强预算收入管理，全面梳理内部管理流程，建立健全了内部管理制度，有效提升了部门整体支出的管理水平，根据部门整体支出绩效评价指标体系，自评综合得分为95分，评价等级为“优”。整体上完成了年初设定的绩效目标，保障了部门各单位的正常运转，促进了城市建设的发展，充分发挥了财政资金的经济效益和社会效益。</w:t>
      </w:r>
    </w:p>
    <w:p w14:paraId="303B4DAD">
      <w:pPr>
        <w:spacing w:line="560" w:lineRule="exact"/>
        <w:ind w:left="1"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val="0"/>
          <w:bCs w:val="0"/>
          <w:color w:val="000000"/>
          <w:kern w:val="0"/>
          <w:sz w:val="32"/>
          <w:szCs w:val="32"/>
          <w:shd w:val="clear" w:color="auto" w:fill="FFFFFF"/>
          <w:lang w:val="en-US" w:eastAsia="zh-CN" w:bidi="ar-SA"/>
        </w:rPr>
        <w:t>本部门还自行组织对2019年度米易县草场河克朗段生态湿地净水区工程开展了绩效评价</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zh-CN"/>
        </w:rPr>
        <w:t>资金的使用符合资金管理办法等相关规定。</w:t>
      </w:r>
    </w:p>
    <w:p w14:paraId="5E808A86">
      <w:pPr>
        <w:spacing w:line="580" w:lineRule="exact"/>
        <w:ind w:firstLine="643" w:firstLineChars="200"/>
        <w:rPr>
          <w:rFonts w:ascii="仿宋_GB2312" w:hAnsi="仿宋_GB2312" w:eastAsia="仿宋_GB2312" w:cs="仿宋_GB2312"/>
          <w:sz w:val="32"/>
          <w:szCs w:val="32"/>
          <w:lang w:val="zh-CN"/>
        </w:rPr>
      </w:pPr>
      <w:r>
        <w:rPr>
          <w:rFonts w:eastAsia="楷体_GB2312"/>
          <w:b/>
          <w:bCs/>
          <w:sz w:val="32"/>
          <w:szCs w:val="32"/>
        </w:rPr>
        <w:t>1.项目绩效目标完成情况。</w:t>
      </w:r>
      <w:r>
        <w:rPr>
          <w:rFonts w:eastAsia="楷体_GB2312"/>
          <w:color w:val="FF0000"/>
          <w:sz w:val="32"/>
          <w:szCs w:val="32"/>
        </w:rPr>
        <w:br w:type="textWrapping"/>
      </w:r>
      <w:r>
        <w:rPr>
          <w:rFonts w:hint="eastAsia" w:ascii="仿宋_GB2312" w:hAnsi="仿宋_GB2312" w:eastAsia="仿宋_GB2312" w:cs="仿宋_GB2312"/>
          <w:sz w:val="32"/>
          <w:szCs w:val="32"/>
          <w:lang w:val="zh-CN"/>
        </w:rPr>
        <w:t>本部门在201</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zh-CN"/>
        </w:rPr>
        <w:t>年度部门决算中反映“重点项目编外用工专项费用”“米易县城南电站风貌改造工程”“草场河健身步道维护工程”等</w:t>
      </w:r>
      <w:r>
        <w:rPr>
          <w:rFonts w:hint="eastAsia" w:ascii="仿宋_GB2312" w:hAnsi="仿宋_GB2312" w:eastAsia="仿宋_GB2312" w:cs="仿宋_GB2312"/>
          <w:sz w:val="32"/>
          <w:szCs w:val="32"/>
        </w:rPr>
        <w:t>90</w:t>
      </w:r>
      <w:r>
        <w:rPr>
          <w:rFonts w:hint="eastAsia" w:ascii="仿宋_GB2312" w:hAnsi="仿宋_GB2312" w:eastAsia="仿宋_GB2312" w:cs="仿宋_GB2312"/>
          <w:sz w:val="32"/>
          <w:szCs w:val="32"/>
          <w:lang w:val="zh-CN"/>
        </w:rPr>
        <w:t>个项目绩效目标实际完成情况。现对其中5个项目进行公开如下：</w:t>
      </w:r>
    </w:p>
    <w:p w14:paraId="219A611A">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）重点项目编外用工专项费用项目绩效目标完成情况综述。项目全年预算数</w:t>
      </w:r>
      <w:r>
        <w:rPr>
          <w:rFonts w:hint="eastAsia" w:ascii="仿宋_GB2312" w:hAnsi="仿宋_GB2312" w:eastAsia="仿宋_GB2312" w:cs="仿宋_GB2312"/>
          <w:sz w:val="32"/>
          <w:szCs w:val="32"/>
        </w:rPr>
        <w:t>32.4</w:t>
      </w:r>
      <w:r>
        <w:rPr>
          <w:rFonts w:hint="eastAsia" w:ascii="仿宋_GB2312" w:hAnsi="仿宋_GB2312" w:eastAsia="仿宋_GB2312" w:cs="仿宋_GB2312"/>
          <w:sz w:val="32"/>
          <w:szCs w:val="32"/>
          <w:lang w:val="zh-CN"/>
        </w:rPr>
        <w:t>万元，执行数为</w:t>
      </w:r>
      <w:r>
        <w:rPr>
          <w:rFonts w:hint="eastAsia" w:ascii="仿宋_GB2312" w:hAnsi="仿宋_GB2312" w:eastAsia="仿宋_GB2312" w:cs="仿宋_GB2312"/>
          <w:sz w:val="32"/>
          <w:szCs w:val="32"/>
        </w:rPr>
        <w:t>32.4</w:t>
      </w:r>
      <w:r>
        <w:rPr>
          <w:rFonts w:hint="eastAsia" w:ascii="仿宋_GB2312" w:hAnsi="仿宋_GB2312" w:eastAsia="仿宋_GB2312" w:cs="仿宋_GB2312"/>
          <w:sz w:val="32"/>
          <w:szCs w:val="32"/>
          <w:lang w:val="zh-CN"/>
        </w:rPr>
        <w:t>万元，完成预算的100%。通过项目实施，保障了米易县住房和城乡建设局人员充足，从而能及时完成县委、县政府交办的各项任务，从而</w:t>
      </w:r>
      <w:r>
        <w:rPr>
          <w:rFonts w:hint="default" w:ascii="仿宋_GB2312" w:hAnsi="仿宋_GB2312" w:eastAsia="仿宋_GB2312" w:cs="仿宋_GB2312"/>
          <w:sz w:val="32"/>
          <w:szCs w:val="32"/>
          <w:lang w:val="en-US"/>
        </w:rPr>
        <w:t>更好地为</w:t>
      </w:r>
      <w:r>
        <w:rPr>
          <w:rFonts w:hint="eastAsia" w:ascii="仿宋_GB2312" w:hAnsi="仿宋_GB2312" w:eastAsia="仿宋_GB2312" w:cs="仿宋_GB2312"/>
          <w:sz w:val="32"/>
          <w:szCs w:val="32"/>
          <w:lang w:val="zh-CN"/>
        </w:rPr>
        <w:t>城市建设做出贡献。</w:t>
      </w:r>
    </w:p>
    <w:p w14:paraId="16509E2A">
      <w:pPr>
        <w:spacing w:line="580" w:lineRule="exact"/>
        <w:ind w:firstLine="640" w:firstLineChars="200"/>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米易县城南电站风貌改造工程</w:t>
      </w:r>
      <w:r>
        <w:rPr>
          <w:rFonts w:ascii="仿宋_GB2312" w:hAnsi="仿宋_GB2312" w:eastAsia="仿宋_GB2312" w:cs="仿宋_GB2312"/>
          <w:sz w:val="32"/>
          <w:szCs w:val="32"/>
          <w:lang w:val="zh-CN"/>
        </w:rPr>
        <w:t>项目绩效目标完成情况综述。项目全年预算数</w:t>
      </w:r>
      <w:r>
        <w:rPr>
          <w:rFonts w:hint="eastAsia" w:ascii="仿宋_GB2312" w:hAnsi="仿宋_GB2312" w:eastAsia="仿宋_GB2312" w:cs="仿宋_GB2312"/>
          <w:sz w:val="32"/>
          <w:szCs w:val="32"/>
        </w:rPr>
        <w:t>100</w:t>
      </w:r>
      <w:r>
        <w:rPr>
          <w:rFonts w:ascii="仿宋_GB2312" w:hAnsi="仿宋_GB2312" w:eastAsia="仿宋_GB2312" w:cs="仿宋_GB2312"/>
          <w:sz w:val="32"/>
          <w:szCs w:val="32"/>
          <w:lang w:val="zh-CN"/>
        </w:rPr>
        <w:t>万元，执行数为</w:t>
      </w:r>
      <w:r>
        <w:rPr>
          <w:rFonts w:hint="eastAsia" w:ascii="仿宋_GB2312" w:hAnsi="仿宋_GB2312" w:eastAsia="仿宋_GB2312" w:cs="仿宋_GB2312"/>
          <w:sz w:val="32"/>
          <w:szCs w:val="32"/>
        </w:rPr>
        <w:t>100</w:t>
      </w:r>
      <w:r>
        <w:rPr>
          <w:rFonts w:ascii="仿宋_GB2312" w:hAnsi="仿宋_GB2312" w:eastAsia="仿宋_GB2312" w:cs="仿宋_GB2312"/>
          <w:sz w:val="32"/>
          <w:szCs w:val="32"/>
          <w:lang w:val="zh-CN"/>
        </w:rPr>
        <w:t>万元，完成预算的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lang w:val="zh-CN"/>
        </w:rPr>
        <w:t>%。通过项目实施，</w:t>
      </w:r>
      <w:r>
        <w:rPr>
          <w:rFonts w:ascii="仿宋_GB2312" w:hAnsi="仿宋_GB2312" w:eastAsia="仿宋_GB2312" w:cs="仿宋_GB2312"/>
          <w:sz w:val="32"/>
          <w:szCs w:val="32"/>
        </w:rPr>
        <w:t>完成项目建设,</w:t>
      </w:r>
      <w:r>
        <w:rPr>
          <w:rFonts w:hint="eastAsia" w:ascii="仿宋_GB2312" w:hAnsi="仿宋_GB2312" w:eastAsia="仿宋_GB2312" w:cs="仿宋_GB2312"/>
          <w:sz w:val="32"/>
          <w:szCs w:val="32"/>
        </w:rPr>
        <w:t>优化城市生态环境</w:t>
      </w:r>
      <w:r>
        <w:rPr>
          <w:rFonts w:ascii="仿宋_GB2312" w:hAnsi="仿宋_GB2312" w:eastAsia="仿宋_GB2312" w:cs="仿宋_GB2312"/>
          <w:sz w:val="32"/>
          <w:szCs w:val="32"/>
        </w:rPr>
        <w:t>，加强城市基础设施建设水平，提</w:t>
      </w:r>
      <w:r>
        <w:rPr>
          <w:rFonts w:hint="eastAsia" w:ascii="仿宋_GB2312" w:hAnsi="仿宋_GB2312" w:eastAsia="仿宋_GB2312" w:cs="仿宋_GB2312"/>
          <w:sz w:val="32"/>
          <w:szCs w:val="32"/>
        </w:rPr>
        <w:t>升</w:t>
      </w:r>
      <w:r>
        <w:rPr>
          <w:rFonts w:ascii="仿宋_GB2312" w:hAnsi="仿宋_GB2312" w:eastAsia="仿宋_GB2312" w:cs="仿宋_GB2312"/>
          <w:sz w:val="32"/>
          <w:szCs w:val="32"/>
        </w:rPr>
        <w:t>城市品位。</w:t>
      </w:r>
    </w:p>
    <w:p w14:paraId="748DF3BB">
      <w:pPr>
        <w:spacing w:line="580" w:lineRule="exact"/>
        <w:ind w:firstLine="640" w:firstLineChars="200"/>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（3）</w:t>
      </w:r>
      <w:r>
        <w:rPr>
          <w:rFonts w:hint="eastAsia" w:ascii="仿宋_GB2312" w:hAnsi="仿宋_GB2312" w:eastAsia="仿宋_GB2312" w:cs="仿宋_GB2312"/>
          <w:sz w:val="32"/>
          <w:szCs w:val="32"/>
          <w:lang w:val="zh-CN"/>
        </w:rPr>
        <w:t>草场河健身步道维护工程</w:t>
      </w:r>
      <w:r>
        <w:rPr>
          <w:rFonts w:ascii="仿宋_GB2312" w:hAnsi="仿宋_GB2312" w:eastAsia="仿宋_GB2312" w:cs="仿宋_GB2312"/>
          <w:sz w:val="32"/>
          <w:szCs w:val="32"/>
          <w:lang w:val="zh-CN"/>
        </w:rPr>
        <w:t>项目绩效目标完成情况综述。项目全年预算数</w:t>
      </w:r>
      <w:r>
        <w:rPr>
          <w:rFonts w:hint="eastAsia" w:ascii="仿宋_GB2312" w:hAnsi="仿宋_GB2312" w:eastAsia="仿宋_GB2312" w:cs="仿宋_GB2312"/>
          <w:sz w:val="32"/>
          <w:szCs w:val="32"/>
        </w:rPr>
        <w:t>15.2</w:t>
      </w:r>
      <w:r>
        <w:rPr>
          <w:rFonts w:ascii="仿宋_GB2312" w:hAnsi="仿宋_GB2312" w:eastAsia="仿宋_GB2312" w:cs="仿宋_GB2312"/>
          <w:sz w:val="32"/>
          <w:szCs w:val="32"/>
          <w:lang w:val="zh-CN"/>
        </w:rPr>
        <w:t>万元，执行数为</w:t>
      </w:r>
      <w:r>
        <w:rPr>
          <w:rFonts w:hint="eastAsia" w:ascii="仿宋_GB2312" w:hAnsi="仿宋_GB2312" w:eastAsia="仿宋_GB2312" w:cs="仿宋_GB2312"/>
          <w:sz w:val="32"/>
          <w:szCs w:val="32"/>
        </w:rPr>
        <w:t>15.2</w:t>
      </w:r>
      <w:r>
        <w:rPr>
          <w:rFonts w:ascii="仿宋_GB2312" w:hAnsi="仿宋_GB2312" w:eastAsia="仿宋_GB2312" w:cs="仿宋_GB2312"/>
          <w:sz w:val="32"/>
          <w:szCs w:val="32"/>
          <w:lang w:val="zh-CN"/>
        </w:rPr>
        <w:t>万元，完成预算的</w:t>
      </w:r>
      <w:r>
        <w:rPr>
          <w:rFonts w:hint="eastAsia" w:ascii="仿宋_GB2312" w:hAnsi="仿宋_GB2312" w:eastAsia="仿宋_GB2312" w:cs="仿宋_GB2312"/>
          <w:sz w:val="32"/>
          <w:szCs w:val="32"/>
        </w:rPr>
        <w:t>100</w:t>
      </w:r>
      <w:r>
        <w:rPr>
          <w:rFonts w:ascii="仿宋_GB2312" w:hAnsi="仿宋_GB2312" w:eastAsia="仿宋_GB2312" w:cs="仿宋_GB2312"/>
          <w:sz w:val="32"/>
          <w:szCs w:val="32"/>
          <w:lang w:val="zh-CN"/>
        </w:rPr>
        <w:t>%。通过项目实施，保障改善克朗新区区域生态环境，提升城市整体形象，为市民提供开敞便捷的休闲空间</w:t>
      </w:r>
      <w:r>
        <w:rPr>
          <w:rFonts w:hint="eastAsia" w:ascii="仿宋_GB2312" w:hAnsi="仿宋_GB2312" w:eastAsia="仿宋_GB2312" w:cs="仿宋_GB2312"/>
          <w:sz w:val="32"/>
          <w:szCs w:val="32"/>
          <w:lang w:val="zh-CN"/>
        </w:rPr>
        <w:t>。</w:t>
      </w:r>
    </w:p>
    <w:p w14:paraId="4147CD58">
      <w:pPr>
        <w:spacing w:line="580" w:lineRule="exact"/>
        <w:ind w:firstLine="640" w:firstLineChars="200"/>
        <w:rPr>
          <w:rFonts w:hint="eastAsia" w:eastAsia="仿宋_GB2312"/>
          <w:sz w:val="32"/>
          <w:szCs w:val="32"/>
        </w:rPr>
      </w:pPr>
      <w:r>
        <w:rPr>
          <w:rFonts w:eastAsia="仿宋_GB2312"/>
          <w:sz w:val="32"/>
          <w:szCs w:val="32"/>
        </w:rPr>
        <w:t>（</w:t>
      </w:r>
      <w:r>
        <w:rPr>
          <w:rFonts w:hint="eastAsia" w:eastAsia="仿宋_GB2312"/>
          <w:sz w:val="32"/>
          <w:szCs w:val="32"/>
        </w:rPr>
        <w:t>4</w:t>
      </w:r>
      <w:r>
        <w:rPr>
          <w:rFonts w:eastAsia="仿宋_GB2312"/>
          <w:sz w:val="32"/>
          <w:szCs w:val="32"/>
        </w:rPr>
        <w:t>）</w:t>
      </w:r>
      <w:r>
        <w:rPr>
          <w:rFonts w:hint="eastAsia" w:eastAsia="仿宋_GB2312"/>
          <w:sz w:val="32"/>
          <w:szCs w:val="32"/>
        </w:rPr>
        <w:t>米易县党建主题公园建设项目</w:t>
      </w:r>
      <w:r>
        <w:rPr>
          <w:rFonts w:eastAsia="仿宋_GB2312"/>
          <w:sz w:val="32"/>
          <w:szCs w:val="32"/>
        </w:rPr>
        <w:t>绩效目标完成情况综述。项目全年预算数</w:t>
      </w:r>
      <w:r>
        <w:rPr>
          <w:rFonts w:hint="eastAsia" w:eastAsia="仿宋_GB2312"/>
          <w:sz w:val="32"/>
          <w:szCs w:val="32"/>
        </w:rPr>
        <w:t>50</w:t>
      </w:r>
      <w:r>
        <w:rPr>
          <w:rFonts w:eastAsia="仿宋_GB2312"/>
          <w:sz w:val="32"/>
          <w:szCs w:val="32"/>
        </w:rPr>
        <w:t>万元，执行数为</w:t>
      </w:r>
      <w:r>
        <w:rPr>
          <w:rFonts w:hint="eastAsia" w:eastAsia="仿宋_GB2312"/>
          <w:sz w:val="32"/>
          <w:szCs w:val="32"/>
        </w:rPr>
        <w:t>50</w:t>
      </w:r>
      <w:r>
        <w:rPr>
          <w:rFonts w:eastAsia="仿宋_GB2312"/>
          <w:sz w:val="32"/>
          <w:szCs w:val="32"/>
        </w:rPr>
        <w:t>万元，完成预算的</w:t>
      </w:r>
      <w:r>
        <w:rPr>
          <w:rFonts w:hint="eastAsia" w:eastAsia="仿宋_GB2312"/>
          <w:sz w:val="32"/>
          <w:szCs w:val="32"/>
        </w:rPr>
        <w:t>100</w:t>
      </w:r>
      <w:r>
        <w:rPr>
          <w:rFonts w:eastAsia="仿宋_GB2312"/>
          <w:sz w:val="32"/>
          <w:szCs w:val="32"/>
        </w:rPr>
        <w:t>%。通过项目实施，</w:t>
      </w:r>
      <w:r>
        <w:rPr>
          <w:rFonts w:hint="eastAsia" w:eastAsia="仿宋_GB2312"/>
          <w:sz w:val="32"/>
          <w:szCs w:val="32"/>
        </w:rPr>
        <w:t>优化城市人文景观</w:t>
      </w:r>
      <w:r>
        <w:rPr>
          <w:rFonts w:eastAsia="仿宋_GB2312"/>
          <w:sz w:val="32"/>
          <w:szCs w:val="32"/>
        </w:rPr>
        <w:t>，</w:t>
      </w:r>
      <w:r>
        <w:rPr>
          <w:rFonts w:hint="eastAsia" w:eastAsia="仿宋_GB2312"/>
          <w:sz w:val="32"/>
          <w:szCs w:val="32"/>
        </w:rPr>
        <w:t>提升城市文化底蕴，丰富群众文化生活</w:t>
      </w:r>
      <w:r>
        <w:rPr>
          <w:rFonts w:eastAsia="仿宋_GB2312"/>
          <w:sz w:val="32"/>
          <w:szCs w:val="32"/>
        </w:rPr>
        <w:t>，提高城市品位</w:t>
      </w:r>
      <w:r>
        <w:rPr>
          <w:rFonts w:hint="eastAsia" w:eastAsia="仿宋_GB2312"/>
          <w:sz w:val="32"/>
          <w:szCs w:val="32"/>
        </w:rPr>
        <w:t>。</w:t>
      </w:r>
    </w:p>
    <w:p w14:paraId="2D3C8A5D">
      <w:pPr>
        <w:spacing w:line="580" w:lineRule="exact"/>
        <w:ind w:firstLine="640" w:firstLineChars="200"/>
        <w:rPr>
          <w:rFonts w:hint="default" w:eastAsia="仿宋_GB2312"/>
          <w:sz w:val="32"/>
          <w:szCs w:val="32"/>
        </w:rPr>
      </w:pPr>
      <w:r>
        <w:rPr>
          <w:rFonts w:eastAsia="仿宋_GB2312"/>
          <w:sz w:val="32"/>
          <w:szCs w:val="32"/>
        </w:rPr>
        <w:t>（</w:t>
      </w:r>
      <w:r>
        <w:rPr>
          <w:rFonts w:hint="eastAsia" w:eastAsia="仿宋_GB2312"/>
          <w:sz w:val="32"/>
          <w:szCs w:val="32"/>
        </w:rPr>
        <w:t>5</w:t>
      </w:r>
      <w:r>
        <w:rPr>
          <w:rFonts w:eastAsia="仿宋_GB2312"/>
          <w:sz w:val="32"/>
          <w:szCs w:val="32"/>
        </w:rPr>
        <w:t>）</w:t>
      </w:r>
      <w:r>
        <w:rPr>
          <w:rFonts w:hint="eastAsia" w:eastAsia="仿宋_GB2312"/>
          <w:sz w:val="32"/>
          <w:szCs w:val="32"/>
        </w:rPr>
        <w:t>米易县府城路改造工程</w:t>
      </w:r>
      <w:r>
        <w:rPr>
          <w:rFonts w:eastAsia="仿宋_GB2312"/>
          <w:sz w:val="32"/>
          <w:szCs w:val="32"/>
        </w:rPr>
        <w:t>项目绩效目标完成情况综述。项目全年预算数</w:t>
      </w:r>
      <w:r>
        <w:rPr>
          <w:rFonts w:hint="eastAsia" w:eastAsia="仿宋_GB2312"/>
          <w:sz w:val="32"/>
          <w:szCs w:val="32"/>
        </w:rPr>
        <w:t>360</w:t>
      </w:r>
      <w:r>
        <w:rPr>
          <w:rFonts w:eastAsia="仿宋_GB2312"/>
          <w:sz w:val="32"/>
          <w:szCs w:val="32"/>
        </w:rPr>
        <w:t>万元，执行数为</w:t>
      </w:r>
      <w:r>
        <w:rPr>
          <w:rFonts w:hint="eastAsia" w:eastAsia="仿宋_GB2312"/>
          <w:sz w:val="32"/>
          <w:szCs w:val="32"/>
        </w:rPr>
        <w:t>360</w:t>
      </w:r>
      <w:r>
        <w:rPr>
          <w:rFonts w:eastAsia="仿宋_GB2312"/>
          <w:sz w:val="32"/>
          <w:szCs w:val="32"/>
        </w:rPr>
        <w:t>万元，完成预算的</w:t>
      </w:r>
      <w:r>
        <w:rPr>
          <w:rFonts w:hint="eastAsia" w:eastAsia="仿宋_GB2312"/>
          <w:sz w:val="32"/>
          <w:szCs w:val="32"/>
        </w:rPr>
        <w:t>100</w:t>
      </w:r>
      <w:r>
        <w:rPr>
          <w:rFonts w:eastAsia="仿宋_GB2312"/>
          <w:sz w:val="32"/>
          <w:szCs w:val="32"/>
        </w:rPr>
        <w:t>%。</w:t>
      </w:r>
      <w:r>
        <w:rPr>
          <w:rFonts w:hint="default" w:eastAsia="仿宋_GB2312"/>
          <w:sz w:val="32"/>
          <w:szCs w:val="32"/>
        </w:rPr>
        <w:t>完成项目建设</w:t>
      </w:r>
      <w:r>
        <w:rPr>
          <w:rFonts w:hint="eastAsia" w:eastAsia="仿宋_GB2312"/>
          <w:sz w:val="32"/>
          <w:szCs w:val="32"/>
          <w:lang w:eastAsia="zh-CN"/>
        </w:rPr>
        <w:t>，</w:t>
      </w:r>
      <w:r>
        <w:rPr>
          <w:rFonts w:hint="default" w:eastAsia="仿宋_GB2312"/>
          <w:sz w:val="32"/>
          <w:szCs w:val="32"/>
        </w:rPr>
        <w:t>道路投入使用，建立便捷交通枢纽，加强城市基础设施建设水平，提高城市品位。</w:t>
      </w:r>
    </w:p>
    <w:p w14:paraId="64946CCD">
      <w:pPr>
        <w:spacing w:line="580" w:lineRule="exact"/>
        <w:ind w:firstLine="640" w:firstLineChars="200"/>
        <w:rPr>
          <w:rFonts w:hint="default"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C7FB229">
        <w:tblPrEx>
          <w:tblCellMar>
            <w:top w:w="0" w:type="dxa"/>
            <w:left w:w="0" w:type="dxa"/>
            <w:bottom w:w="0" w:type="dxa"/>
            <w:right w:w="0" w:type="dxa"/>
          </w:tblCellMar>
        </w:tblPrEx>
        <w:trPr>
          <w:trHeight w:val="1113" w:hRule="atLeast"/>
          <w:jc w:val="center"/>
        </w:trPr>
        <w:tc>
          <w:tcPr>
            <w:tcW w:w="9960" w:type="dxa"/>
            <w:gridSpan w:val="6"/>
            <w:tcBorders>
              <w:top w:val="nil"/>
              <w:left w:val="nil"/>
              <w:bottom w:val="nil"/>
              <w:right w:val="nil"/>
            </w:tcBorders>
            <w:tcMar>
              <w:top w:w="15" w:type="dxa"/>
              <w:left w:w="15" w:type="dxa"/>
              <w:right w:w="15" w:type="dxa"/>
            </w:tcMar>
            <w:vAlign w:val="center"/>
          </w:tcPr>
          <w:p w14:paraId="1E40A385">
            <w:pPr>
              <w:widowControl/>
              <w:jc w:val="center"/>
              <w:textAlignment w:val="center"/>
              <w:rPr>
                <w:sz w:val="36"/>
                <w:szCs w:val="36"/>
              </w:rPr>
            </w:pPr>
            <w:r>
              <w:rPr>
                <w:b/>
                <w:bCs/>
                <w:kern w:val="0"/>
                <w:sz w:val="36"/>
                <w:szCs w:val="36"/>
              </w:rPr>
              <w:t>项目绩效目标完成情况表</w:t>
            </w:r>
            <w:r>
              <w:rPr>
                <w:b/>
                <w:bCs/>
                <w:kern w:val="0"/>
                <w:sz w:val="36"/>
                <w:szCs w:val="36"/>
              </w:rPr>
              <w:br w:type="textWrapping"/>
            </w:r>
            <w:r>
              <w:rPr>
                <w:kern w:val="0"/>
                <w:sz w:val="36"/>
                <w:szCs w:val="36"/>
              </w:rPr>
              <w:t>(2019 年度)</w:t>
            </w:r>
          </w:p>
        </w:tc>
      </w:tr>
      <w:tr w14:paraId="7B3C0D4D">
        <w:tblPrEx>
          <w:tblCellMar>
            <w:top w:w="0" w:type="dxa"/>
            <w:left w:w="0" w:type="dxa"/>
            <w:bottom w:w="0" w:type="dxa"/>
            <w:right w:w="0" w:type="dxa"/>
          </w:tblCellMar>
        </w:tblPrEx>
        <w:trPr>
          <w:trHeight w:val="479"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85EDF2">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C0F8D">
            <w:pPr>
              <w:widowControl/>
              <w:jc w:val="center"/>
              <w:textAlignment w:val="center"/>
              <w:rPr>
                <w:sz w:val="24"/>
              </w:rPr>
            </w:pPr>
            <w:r>
              <w:rPr>
                <w:rFonts w:hint="eastAsia"/>
                <w:sz w:val="24"/>
                <w:lang w:val="zh-CN"/>
              </w:rPr>
              <w:t>重点项目编外用工专项费用</w:t>
            </w:r>
          </w:p>
        </w:tc>
      </w:tr>
      <w:tr w14:paraId="1E1F762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83647">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3D9A2">
            <w:pPr>
              <w:widowControl/>
              <w:jc w:val="center"/>
              <w:textAlignment w:val="center"/>
              <w:rPr>
                <w:sz w:val="24"/>
              </w:rPr>
            </w:pPr>
            <w:r>
              <w:rPr>
                <w:rFonts w:ascii="宋体" w:cs="宋体"/>
                <w:sz w:val="24"/>
              </w:rPr>
              <w:t>米易县住房和城乡建设局</w:t>
            </w:r>
          </w:p>
        </w:tc>
      </w:tr>
      <w:tr w14:paraId="2CDCAFA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A54AB">
            <w:pPr>
              <w:widowControl/>
              <w:jc w:val="center"/>
              <w:textAlignment w:val="center"/>
              <w:rPr>
                <w:sz w:val="24"/>
              </w:rPr>
            </w:pPr>
            <w:r>
              <w:rPr>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EAC1E8">
            <w:pPr>
              <w:widowControl/>
              <w:jc w:val="center"/>
              <w:textAlignment w:val="center"/>
              <w:rPr>
                <w:sz w:val="24"/>
              </w:rPr>
            </w:pPr>
            <w:r>
              <w:rPr>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5B457">
            <w:pPr>
              <w:widowControl/>
              <w:jc w:val="center"/>
              <w:textAlignment w:val="center"/>
              <w:rPr>
                <w:sz w:val="24"/>
              </w:rPr>
            </w:pPr>
            <w:r>
              <w:rPr>
                <w:rFonts w:hint="eastAsia"/>
                <w:sz w:val="24"/>
              </w:rPr>
              <w:t>32.4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F1A52">
            <w:pPr>
              <w:widowControl/>
              <w:jc w:val="center"/>
              <w:textAlignment w:val="center"/>
              <w:rPr>
                <w:sz w:val="24"/>
              </w:rPr>
            </w:pPr>
            <w:r>
              <w:rPr>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16561">
            <w:pPr>
              <w:widowControl/>
              <w:jc w:val="center"/>
              <w:textAlignment w:val="center"/>
              <w:rPr>
                <w:sz w:val="24"/>
              </w:rPr>
            </w:pPr>
            <w:r>
              <w:rPr>
                <w:rFonts w:hint="eastAsia"/>
                <w:sz w:val="24"/>
              </w:rPr>
              <w:t>32.4</w:t>
            </w:r>
          </w:p>
        </w:tc>
      </w:tr>
      <w:tr w14:paraId="3F50695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3B548">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CDE96">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E33B8">
            <w:pPr>
              <w:widowControl/>
              <w:jc w:val="center"/>
              <w:textAlignment w:val="center"/>
              <w:rPr>
                <w:sz w:val="24"/>
              </w:rPr>
            </w:pPr>
            <w:r>
              <w:rPr>
                <w:rFonts w:hint="eastAsia"/>
                <w:sz w:val="24"/>
              </w:rPr>
              <w:t>32.4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F38F3B">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31654">
            <w:pPr>
              <w:widowControl/>
              <w:jc w:val="center"/>
              <w:textAlignment w:val="center"/>
              <w:rPr>
                <w:sz w:val="24"/>
              </w:rPr>
            </w:pPr>
            <w:r>
              <w:rPr>
                <w:rFonts w:hint="eastAsia"/>
                <w:sz w:val="24"/>
              </w:rPr>
              <w:t>32.4</w:t>
            </w:r>
          </w:p>
        </w:tc>
      </w:tr>
      <w:tr w14:paraId="04861E39">
        <w:tblPrEx>
          <w:tblCellMar>
            <w:top w:w="0" w:type="dxa"/>
            <w:left w:w="0" w:type="dxa"/>
            <w:bottom w:w="0" w:type="dxa"/>
            <w:right w:w="0" w:type="dxa"/>
          </w:tblCellMar>
        </w:tblPrEx>
        <w:trPr>
          <w:trHeight w:val="13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FDAEFD">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112B9">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EB84DB">
            <w:pPr>
              <w:widowControl/>
              <w:jc w:val="center"/>
              <w:textAlignment w:val="center"/>
              <w:rPr>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61940">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4D2E5">
            <w:pPr>
              <w:jc w:val="center"/>
              <w:rPr>
                <w:sz w:val="24"/>
              </w:rPr>
            </w:pPr>
          </w:p>
        </w:tc>
      </w:tr>
      <w:tr w14:paraId="3A4C3E4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C9C9AD">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C4B63">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96763">
            <w:pPr>
              <w:widowControl/>
              <w:jc w:val="center"/>
              <w:textAlignment w:val="center"/>
              <w:rPr>
                <w:sz w:val="24"/>
              </w:rPr>
            </w:pPr>
            <w:r>
              <w:rPr>
                <w:kern w:val="0"/>
                <w:sz w:val="24"/>
              </w:rPr>
              <w:t>实际完成目标</w:t>
            </w:r>
          </w:p>
        </w:tc>
      </w:tr>
      <w:tr w14:paraId="56AEBFB9">
        <w:tblPrEx>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7480D">
            <w:pPr>
              <w:jc w:val="center"/>
              <w:rPr>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5F1B4">
            <w:pPr>
              <w:widowControl/>
              <w:ind w:firstLine="480" w:firstLineChars="200"/>
              <w:jc w:val="left"/>
              <w:textAlignment w:val="center"/>
              <w:rPr>
                <w:sz w:val="24"/>
              </w:rPr>
            </w:pPr>
            <w:r>
              <w:rPr>
                <w:rFonts w:hint="eastAsia"/>
                <w:sz w:val="24"/>
              </w:rPr>
              <w:t>保障米易县住房和城乡建设局人员充足，从而能及时完成县委、县政府交办的各项任务，从而</w:t>
            </w:r>
            <w:r>
              <w:rPr>
                <w:rFonts w:hint="default"/>
                <w:sz w:val="24"/>
                <w:lang w:val="en-US"/>
              </w:rPr>
              <w:t>更好地为</w:t>
            </w:r>
            <w:r>
              <w:rPr>
                <w:rFonts w:hint="eastAsia"/>
                <w:sz w:val="24"/>
              </w:rPr>
              <w:t>城市建设做出贡献。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DA882">
            <w:pPr>
              <w:widowControl/>
              <w:ind w:firstLine="480" w:firstLineChars="200"/>
              <w:jc w:val="left"/>
              <w:textAlignment w:val="center"/>
              <w:rPr>
                <w:sz w:val="24"/>
              </w:rPr>
            </w:pPr>
            <w:r>
              <w:rPr>
                <w:rFonts w:hint="eastAsia"/>
                <w:sz w:val="24"/>
              </w:rPr>
              <w:t>保障米易县住房和城乡建设局人员充足，从而能及时完成县委、县政府交办的各项任务，从而</w:t>
            </w:r>
            <w:r>
              <w:rPr>
                <w:rFonts w:hint="default"/>
                <w:sz w:val="24"/>
                <w:lang w:val="en-US"/>
              </w:rPr>
              <w:t>更好地为</w:t>
            </w:r>
            <w:r>
              <w:rPr>
                <w:rFonts w:hint="eastAsia"/>
                <w:sz w:val="24"/>
              </w:rPr>
              <w:t>城市建设做出贡献。</w:t>
            </w:r>
          </w:p>
        </w:tc>
      </w:tr>
      <w:tr w14:paraId="484E776B">
        <w:tblPrEx>
          <w:tblCellMar>
            <w:top w:w="0" w:type="dxa"/>
            <w:left w:w="0" w:type="dxa"/>
            <w:bottom w:w="0" w:type="dxa"/>
            <w:right w:w="0" w:type="dxa"/>
          </w:tblCellMar>
        </w:tblPrEx>
        <w:trPr>
          <w:trHeight w:val="753"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99CFE5">
            <w:pPr>
              <w:widowControl/>
              <w:jc w:val="center"/>
              <w:textAlignment w:val="center"/>
              <w:rPr>
                <w:sz w:val="24"/>
              </w:rPr>
            </w:pPr>
            <w:r>
              <w:rPr>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78F1BFF">
            <w:pPr>
              <w:widowControl/>
              <w:jc w:val="center"/>
              <w:textAlignment w:val="center"/>
              <w:rPr>
                <w:sz w:val="24"/>
              </w:rPr>
            </w:pPr>
            <w:r>
              <w:rPr>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36AD085">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B9941">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1BDB1F">
            <w:pPr>
              <w:widowControl/>
              <w:jc w:val="center"/>
              <w:textAlignment w:val="center"/>
              <w:rPr>
                <w:sz w:val="24"/>
              </w:rPr>
            </w:pPr>
            <w:r>
              <w:rPr>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10437F">
            <w:pPr>
              <w:widowControl/>
              <w:jc w:val="center"/>
              <w:textAlignment w:val="center"/>
              <w:rPr>
                <w:sz w:val="24"/>
              </w:rPr>
            </w:pPr>
            <w:r>
              <w:rPr>
                <w:kern w:val="0"/>
                <w:sz w:val="24"/>
              </w:rPr>
              <w:t>实际完成指标值(包含数字及文字描述)</w:t>
            </w:r>
          </w:p>
        </w:tc>
      </w:tr>
      <w:tr w14:paraId="1BF81F27">
        <w:tblPrEx>
          <w:tblCellMar>
            <w:top w:w="0" w:type="dxa"/>
            <w:left w:w="0" w:type="dxa"/>
            <w:bottom w:w="0" w:type="dxa"/>
            <w:right w:w="0" w:type="dxa"/>
          </w:tblCellMar>
        </w:tblPrEx>
        <w:trPr>
          <w:trHeight w:val="734"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F263DA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98D6B05">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8964790">
            <w:pPr>
              <w:widowControl/>
              <w:jc w:val="center"/>
              <w:textAlignment w:val="center"/>
              <w:rPr>
                <w:rFonts w:ascii="仿宋_GB2312" w:eastAsia="仿宋_GB2312"/>
              </w:rPr>
            </w:pPr>
            <w:r>
              <w:rPr>
                <w:rFonts w:hint="eastAsia" w:ascii="仿宋_GB2312" w:eastAsia="仿宋_GB2312" w:cs="宋体"/>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57486D">
            <w:pPr>
              <w:widowControl/>
              <w:jc w:val="center"/>
              <w:textAlignment w:val="center"/>
              <w:rPr>
                <w:rFonts w:ascii="仿宋_GB2312" w:eastAsia="仿宋_GB2312"/>
              </w:rPr>
            </w:pPr>
            <w:r>
              <w:rPr>
                <w:rFonts w:hint="eastAsia" w:ascii="仿宋_GB2312" w:eastAsia="仿宋_GB2312" w:cs="宋体"/>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1355E">
            <w:pPr>
              <w:widowControl/>
              <w:jc w:val="center"/>
              <w:textAlignment w:val="center"/>
              <w:rPr>
                <w:rFonts w:ascii="仿宋_GB2312" w:eastAsia="仿宋_GB2312"/>
              </w:rPr>
            </w:pPr>
            <w:r>
              <w:rPr>
                <w:rFonts w:hint="eastAsia" w:ascii="仿宋_GB2312" w:eastAsia="仿宋_GB2312" w:cs="宋体"/>
              </w:rPr>
              <w:t>支付重点项目编外用工人员工资、保险等32.4万元。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B89944">
            <w:pPr>
              <w:widowControl/>
              <w:jc w:val="center"/>
              <w:textAlignment w:val="center"/>
              <w:rPr>
                <w:rFonts w:ascii="仿宋_GB2312" w:eastAsia="仿宋_GB2312"/>
              </w:rPr>
            </w:pPr>
            <w:r>
              <w:rPr>
                <w:rFonts w:hint="eastAsia" w:ascii="仿宋_GB2312" w:eastAsia="仿宋_GB2312"/>
              </w:rPr>
              <w:t>支付费用32.4万元。</w:t>
            </w:r>
          </w:p>
        </w:tc>
      </w:tr>
      <w:tr w14:paraId="102146F7">
        <w:tblPrEx>
          <w:tblCellMar>
            <w:top w:w="0" w:type="dxa"/>
            <w:left w:w="0" w:type="dxa"/>
            <w:bottom w:w="0" w:type="dxa"/>
            <w:right w:w="0" w:type="dxa"/>
          </w:tblCellMar>
        </w:tblPrEx>
        <w:trPr>
          <w:trHeight w:val="74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3502E69">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5D8F9DF">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3006E53">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78D1B">
            <w:pPr>
              <w:widowControl/>
              <w:jc w:val="center"/>
              <w:textAlignment w:val="center"/>
              <w:rPr>
                <w:rFonts w:ascii="仿宋_GB2312" w:eastAsia="仿宋_GB2312"/>
              </w:rPr>
            </w:pPr>
            <w:r>
              <w:rPr>
                <w:rFonts w:hint="eastAsia" w:ascii="仿宋_GB2312" w:eastAsia="仿宋_GB2312" w:cs="宋体"/>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F1FB3">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BFB29">
            <w:pPr>
              <w:widowControl/>
              <w:jc w:val="center"/>
              <w:textAlignment w:val="center"/>
              <w:rPr>
                <w:rFonts w:ascii="仿宋_GB2312" w:eastAsia="仿宋_GB2312"/>
              </w:rPr>
            </w:pPr>
            <w:r>
              <w:rPr>
                <w:rFonts w:hint="eastAsia" w:ascii="仿宋_GB2312" w:eastAsia="仿宋_GB2312"/>
              </w:rPr>
              <w:t>完成</w:t>
            </w:r>
            <w:r>
              <w:rPr>
                <w:rFonts w:ascii="仿宋_GB2312" w:eastAsia="仿宋_GB2312"/>
              </w:rPr>
              <w:t>100%</w:t>
            </w:r>
          </w:p>
        </w:tc>
      </w:tr>
      <w:tr w14:paraId="0A7DD227">
        <w:tblPrEx>
          <w:tblCellMar>
            <w:top w:w="0" w:type="dxa"/>
            <w:left w:w="0" w:type="dxa"/>
            <w:bottom w:w="0" w:type="dxa"/>
            <w:right w:w="0" w:type="dxa"/>
          </w:tblCellMar>
        </w:tblPrEx>
        <w:trPr>
          <w:trHeight w:val="768"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A31378">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C2386BA">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091513E">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D5A74">
            <w:pPr>
              <w:widowControl/>
              <w:jc w:val="center"/>
              <w:textAlignment w:val="center"/>
              <w:rPr>
                <w:rFonts w:ascii="仿宋_GB2312" w:eastAsia="仿宋_GB2312"/>
              </w:rPr>
            </w:pPr>
            <w:r>
              <w:rPr>
                <w:rFonts w:hint="eastAsia" w:ascii="仿宋_GB2312" w:eastAsia="仿宋_GB2312" w:cs="宋体"/>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5D80A">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787D75">
            <w:pPr>
              <w:widowControl/>
              <w:jc w:val="center"/>
              <w:textAlignment w:val="center"/>
              <w:rPr>
                <w:rFonts w:ascii="仿宋_GB2312" w:eastAsia="仿宋_GB2312"/>
              </w:rPr>
            </w:pPr>
            <w:r>
              <w:rPr>
                <w:rFonts w:hint="eastAsia" w:ascii="仿宋_GB2312" w:eastAsia="仿宋_GB2312"/>
              </w:rPr>
              <w:t>资金支付</w:t>
            </w:r>
            <w:r>
              <w:rPr>
                <w:rFonts w:ascii="仿宋_GB2312" w:eastAsia="仿宋_GB2312"/>
              </w:rPr>
              <w:t>100%</w:t>
            </w:r>
          </w:p>
        </w:tc>
      </w:tr>
      <w:tr w14:paraId="480DADFE">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719B5B">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B5EC0D">
            <w:pPr>
              <w:widowControl/>
              <w:jc w:val="center"/>
              <w:textAlignment w:val="center"/>
              <w:rPr>
                <w:kern w:val="0"/>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1A09243">
            <w:pPr>
              <w:widowControl/>
              <w:jc w:val="center"/>
              <w:textAlignment w:val="center"/>
              <w:rPr>
                <w:rFonts w:ascii="仿宋_GB2312" w:eastAsia="仿宋_GB2312"/>
              </w:rPr>
            </w:pPr>
            <w:r>
              <w:rPr>
                <w:rFonts w:hint="eastAsia" w:ascii="仿宋_GB2312" w:eastAsia="仿宋_GB2312" w:cs="宋体"/>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52FF0">
            <w:pPr>
              <w:widowControl/>
              <w:jc w:val="center"/>
              <w:textAlignment w:val="center"/>
              <w:rPr>
                <w:rFonts w:ascii="仿宋_GB2312" w:eastAsia="仿宋_GB2312"/>
              </w:rPr>
            </w:pPr>
            <w:r>
              <w:rPr>
                <w:rFonts w:hint="eastAsia" w:ascii="仿宋_GB2312" w:eastAsia="仿宋_GB2312" w:cs="宋体"/>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5F56D">
            <w:pPr>
              <w:widowControl/>
              <w:jc w:val="center"/>
              <w:textAlignment w:val="center"/>
              <w:rPr>
                <w:rFonts w:ascii="仿宋_GB2312" w:eastAsia="仿宋_GB2312"/>
              </w:rPr>
            </w:pPr>
            <w:r>
              <w:rPr>
                <w:rFonts w:ascii="仿宋_GB2312" w:eastAsia="仿宋_GB2312" w:cs="宋体"/>
              </w:rPr>
              <w:t>201</w:t>
            </w:r>
            <w:r>
              <w:rPr>
                <w:rFonts w:hint="eastAsia" w:ascii="仿宋_GB2312" w:eastAsia="仿宋_GB2312" w:cs="宋体"/>
              </w:rPr>
              <w:t>9年</w:t>
            </w:r>
            <w:r>
              <w:rPr>
                <w:rFonts w:ascii="仿宋_GB2312" w:eastAsia="仿宋_GB2312" w:cs="宋体"/>
              </w:rPr>
              <w:t>1-12</w:t>
            </w:r>
            <w:r>
              <w:rPr>
                <w:rFonts w:hint="eastAsia" w:ascii="仿宋_GB2312" w:eastAsia="仿宋_GB2312" w:cs="宋体"/>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C458F8">
            <w:pPr>
              <w:widowControl/>
              <w:jc w:val="center"/>
              <w:textAlignment w:val="center"/>
              <w:rPr>
                <w:rFonts w:ascii="仿宋_GB2312" w:eastAsia="仿宋_GB2312"/>
              </w:rPr>
            </w:pPr>
            <w:r>
              <w:rPr>
                <w:rFonts w:ascii="仿宋_GB2312" w:eastAsia="仿宋_GB2312"/>
              </w:rPr>
              <w:t>201</w:t>
            </w:r>
            <w:r>
              <w:rPr>
                <w:rFonts w:hint="eastAsia" w:ascii="仿宋_GB2312" w:eastAsia="仿宋_GB2312"/>
              </w:rPr>
              <w:t>9年度全部完成</w:t>
            </w:r>
          </w:p>
        </w:tc>
      </w:tr>
      <w:tr w14:paraId="14531492">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283CA8">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20953A">
            <w:pPr>
              <w:widowControl/>
              <w:jc w:val="center"/>
              <w:textAlignment w:val="center"/>
              <w:rPr>
                <w:sz w:val="24"/>
              </w:rPr>
            </w:pPr>
            <w:r>
              <w:rPr>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B56310F">
            <w:pPr>
              <w:widowControl/>
              <w:jc w:val="center"/>
              <w:textAlignment w:val="center"/>
              <w:rPr>
                <w:rFonts w:ascii="仿宋_GB2312" w:eastAsia="仿宋_GB2312"/>
                <w:sz w:val="18"/>
                <w:szCs w:val="18"/>
              </w:rPr>
            </w:pPr>
            <w:r>
              <w:rPr>
                <w:rFonts w:hint="eastAsia" w:ascii="仿宋_GB2312" w:eastAsia="仿宋_GB2312" w:cs="宋体"/>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A5904">
            <w:pPr>
              <w:widowControl/>
              <w:jc w:val="center"/>
              <w:textAlignment w:val="center"/>
              <w:rPr>
                <w:rFonts w:ascii="仿宋_GB2312" w:eastAsia="仿宋_GB2312"/>
              </w:rPr>
            </w:pPr>
            <w:r>
              <w:rPr>
                <w:rFonts w:hint="eastAsia" w:ascii="仿宋_GB2312" w:eastAsia="仿宋_GB2312" w:cs="宋体"/>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415DFC">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D2CE4">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r>
      <w:tr w14:paraId="423EF704">
        <w:tblPrEx>
          <w:tblCellMar>
            <w:top w:w="0" w:type="dxa"/>
            <w:left w:w="0" w:type="dxa"/>
            <w:bottom w:w="0" w:type="dxa"/>
            <w:right w:w="0" w:type="dxa"/>
          </w:tblCellMar>
        </w:tblPrEx>
        <w:trPr>
          <w:trHeight w:val="1113" w:hRule="atLeast"/>
          <w:jc w:val="center"/>
        </w:trPr>
        <w:tc>
          <w:tcPr>
            <w:tcW w:w="9960" w:type="dxa"/>
            <w:gridSpan w:val="6"/>
            <w:tcBorders>
              <w:top w:val="nil"/>
              <w:left w:val="nil"/>
              <w:bottom w:val="nil"/>
              <w:right w:val="nil"/>
            </w:tcBorders>
            <w:tcMar>
              <w:top w:w="15" w:type="dxa"/>
              <w:left w:w="15" w:type="dxa"/>
              <w:right w:w="15" w:type="dxa"/>
            </w:tcMar>
            <w:vAlign w:val="center"/>
          </w:tcPr>
          <w:p w14:paraId="5236DA91">
            <w:pPr>
              <w:widowControl/>
              <w:jc w:val="center"/>
              <w:textAlignment w:val="center"/>
              <w:rPr>
                <w:b/>
                <w:bCs/>
                <w:kern w:val="0"/>
                <w:sz w:val="36"/>
                <w:szCs w:val="36"/>
              </w:rPr>
            </w:pPr>
          </w:p>
          <w:p w14:paraId="5E169248">
            <w:pPr>
              <w:widowControl/>
              <w:jc w:val="center"/>
              <w:textAlignment w:val="center"/>
              <w:rPr>
                <w:b/>
                <w:bCs/>
                <w:kern w:val="0"/>
                <w:sz w:val="36"/>
                <w:szCs w:val="36"/>
              </w:rPr>
            </w:pPr>
          </w:p>
          <w:p w14:paraId="452F41C2">
            <w:pPr>
              <w:widowControl/>
              <w:jc w:val="center"/>
              <w:textAlignment w:val="center"/>
              <w:rPr>
                <w:sz w:val="36"/>
                <w:szCs w:val="36"/>
              </w:rPr>
            </w:pPr>
            <w:r>
              <w:rPr>
                <w:b/>
                <w:bCs/>
                <w:kern w:val="0"/>
                <w:sz w:val="36"/>
                <w:szCs w:val="36"/>
              </w:rPr>
              <w:t>项目绩效目标完成情况表</w:t>
            </w:r>
            <w:r>
              <w:rPr>
                <w:b/>
                <w:bCs/>
                <w:kern w:val="0"/>
                <w:sz w:val="36"/>
                <w:szCs w:val="36"/>
              </w:rPr>
              <w:br w:type="textWrapping"/>
            </w:r>
            <w:r>
              <w:rPr>
                <w:kern w:val="0"/>
                <w:sz w:val="36"/>
                <w:szCs w:val="36"/>
              </w:rPr>
              <w:t>(2019 年度)</w:t>
            </w:r>
          </w:p>
        </w:tc>
      </w:tr>
      <w:tr w14:paraId="3505B883">
        <w:tblPrEx>
          <w:tblCellMar>
            <w:top w:w="0" w:type="dxa"/>
            <w:left w:w="0" w:type="dxa"/>
            <w:bottom w:w="0" w:type="dxa"/>
            <w:right w:w="0" w:type="dxa"/>
          </w:tblCellMar>
        </w:tblPrEx>
        <w:trPr>
          <w:trHeight w:val="479"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96FD2">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76328B">
            <w:pPr>
              <w:widowControl/>
              <w:jc w:val="center"/>
              <w:textAlignment w:val="center"/>
              <w:rPr>
                <w:sz w:val="24"/>
              </w:rPr>
            </w:pPr>
            <w:r>
              <w:rPr>
                <w:rFonts w:hint="eastAsia"/>
                <w:sz w:val="24"/>
                <w:lang w:val="zh-CN"/>
              </w:rPr>
              <w:t>米易县城南电站风貌改造工程</w:t>
            </w:r>
          </w:p>
        </w:tc>
      </w:tr>
      <w:tr w14:paraId="1AEBF62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6C8AF">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7A55B">
            <w:pPr>
              <w:widowControl/>
              <w:jc w:val="center"/>
              <w:textAlignment w:val="center"/>
              <w:rPr>
                <w:sz w:val="24"/>
              </w:rPr>
            </w:pPr>
            <w:r>
              <w:rPr>
                <w:rFonts w:ascii="宋体" w:cs="宋体"/>
                <w:sz w:val="24"/>
              </w:rPr>
              <w:t>米易县住房和城乡建设局</w:t>
            </w:r>
          </w:p>
        </w:tc>
      </w:tr>
      <w:tr w14:paraId="0780FB8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D8C4FA">
            <w:pPr>
              <w:widowControl/>
              <w:jc w:val="center"/>
              <w:textAlignment w:val="center"/>
              <w:rPr>
                <w:sz w:val="24"/>
              </w:rPr>
            </w:pPr>
            <w:r>
              <w:rPr>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4FA6D">
            <w:pPr>
              <w:widowControl/>
              <w:jc w:val="center"/>
              <w:textAlignment w:val="center"/>
              <w:rPr>
                <w:sz w:val="24"/>
              </w:rPr>
            </w:pPr>
            <w:r>
              <w:rPr>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0C2264">
            <w:pPr>
              <w:widowControl/>
              <w:jc w:val="center"/>
              <w:textAlignment w:val="center"/>
              <w:rPr>
                <w:sz w:val="24"/>
              </w:rPr>
            </w:pPr>
            <w:r>
              <w:rPr>
                <w:rFonts w:hint="eastAsia"/>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44ED4">
            <w:pPr>
              <w:widowControl/>
              <w:jc w:val="center"/>
              <w:textAlignment w:val="center"/>
              <w:rPr>
                <w:sz w:val="24"/>
              </w:rPr>
            </w:pPr>
            <w:r>
              <w:rPr>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AD103">
            <w:pPr>
              <w:widowControl/>
              <w:jc w:val="center"/>
              <w:textAlignment w:val="center"/>
              <w:rPr>
                <w:sz w:val="24"/>
              </w:rPr>
            </w:pPr>
            <w:r>
              <w:rPr>
                <w:rFonts w:hint="eastAsia"/>
                <w:sz w:val="24"/>
              </w:rPr>
              <w:t>100</w:t>
            </w:r>
          </w:p>
        </w:tc>
      </w:tr>
      <w:tr w14:paraId="3CA50677">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E8DEF4">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CD39C">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0FD32">
            <w:pPr>
              <w:widowControl/>
              <w:jc w:val="center"/>
              <w:textAlignment w:val="center"/>
              <w:rPr>
                <w:sz w:val="24"/>
              </w:rPr>
            </w:pPr>
            <w:r>
              <w:rPr>
                <w:rFonts w:hint="eastAsia"/>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EE396">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9057C">
            <w:pPr>
              <w:widowControl/>
              <w:jc w:val="center"/>
              <w:textAlignment w:val="center"/>
              <w:rPr>
                <w:sz w:val="24"/>
              </w:rPr>
            </w:pPr>
            <w:r>
              <w:rPr>
                <w:rFonts w:hint="eastAsia"/>
                <w:sz w:val="24"/>
              </w:rPr>
              <w:t>100</w:t>
            </w:r>
          </w:p>
        </w:tc>
      </w:tr>
      <w:tr w14:paraId="70A035F9">
        <w:tblPrEx>
          <w:tblCellMar>
            <w:top w:w="0" w:type="dxa"/>
            <w:left w:w="0" w:type="dxa"/>
            <w:bottom w:w="0" w:type="dxa"/>
            <w:right w:w="0" w:type="dxa"/>
          </w:tblCellMar>
        </w:tblPrEx>
        <w:trPr>
          <w:trHeight w:val="13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18986">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74112">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CDECD">
            <w:pPr>
              <w:widowControl/>
              <w:jc w:val="center"/>
              <w:textAlignment w:val="center"/>
              <w:rPr>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5F559">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1816A4">
            <w:pPr>
              <w:jc w:val="center"/>
              <w:rPr>
                <w:sz w:val="24"/>
              </w:rPr>
            </w:pPr>
          </w:p>
        </w:tc>
      </w:tr>
      <w:tr w14:paraId="30F26FD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446F8">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AB1C9">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E09D17">
            <w:pPr>
              <w:widowControl/>
              <w:jc w:val="center"/>
              <w:textAlignment w:val="center"/>
              <w:rPr>
                <w:sz w:val="24"/>
              </w:rPr>
            </w:pPr>
            <w:r>
              <w:rPr>
                <w:kern w:val="0"/>
                <w:sz w:val="24"/>
              </w:rPr>
              <w:t>实际完成目标</w:t>
            </w:r>
          </w:p>
        </w:tc>
      </w:tr>
      <w:tr w14:paraId="72DB66F2">
        <w:tblPrEx>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CF657">
            <w:pPr>
              <w:jc w:val="center"/>
              <w:rPr>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CA2CD">
            <w:pPr>
              <w:widowControl/>
              <w:ind w:firstLine="480" w:firstLineChars="200"/>
              <w:jc w:val="left"/>
              <w:textAlignment w:val="center"/>
              <w:rPr>
                <w:sz w:val="24"/>
              </w:rPr>
            </w:pPr>
            <w:r>
              <w:rPr>
                <w:sz w:val="24"/>
              </w:rPr>
              <w:t>完成项目建设,</w:t>
            </w:r>
            <w:r>
              <w:rPr>
                <w:rFonts w:hint="eastAsia"/>
                <w:sz w:val="24"/>
              </w:rPr>
              <w:t>优化生态环境</w:t>
            </w:r>
            <w:r>
              <w:rPr>
                <w:sz w:val="24"/>
              </w:rPr>
              <w:t>，加强城市基础设施建设水平，提</w:t>
            </w:r>
            <w:r>
              <w:rPr>
                <w:rFonts w:hint="eastAsia"/>
                <w:sz w:val="24"/>
              </w:rPr>
              <w:t>升</w:t>
            </w:r>
            <w:r>
              <w:rPr>
                <w:sz w:val="24"/>
              </w:rPr>
              <w:t>城市品位。</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040D4">
            <w:pPr>
              <w:widowControl/>
              <w:ind w:firstLine="480" w:firstLineChars="200"/>
              <w:jc w:val="left"/>
              <w:textAlignment w:val="center"/>
              <w:rPr>
                <w:sz w:val="24"/>
              </w:rPr>
            </w:pPr>
            <w:r>
              <w:rPr>
                <w:sz w:val="24"/>
              </w:rPr>
              <w:t>完成项目建设,</w:t>
            </w:r>
            <w:r>
              <w:rPr>
                <w:rFonts w:hint="eastAsia"/>
                <w:sz w:val="24"/>
              </w:rPr>
              <w:t>优化生态环境</w:t>
            </w:r>
            <w:r>
              <w:rPr>
                <w:sz w:val="24"/>
              </w:rPr>
              <w:t>，加强城市基础设施建设水平，提</w:t>
            </w:r>
            <w:r>
              <w:rPr>
                <w:rFonts w:hint="eastAsia"/>
                <w:sz w:val="24"/>
              </w:rPr>
              <w:t>升</w:t>
            </w:r>
            <w:r>
              <w:rPr>
                <w:sz w:val="24"/>
              </w:rPr>
              <w:t>城市品位。</w:t>
            </w:r>
          </w:p>
        </w:tc>
      </w:tr>
      <w:tr w14:paraId="1BEE6C18">
        <w:tblPrEx>
          <w:tblCellMar>
            <w:top w:w="0" w:type="dxa"/>
            <w:left w:w="0" w:type="dxa"/>
            <w:bottom w:w="0" w:type="dxa"/>
            <w:right w:w="0" w:type="dxa"/>
          </w:tblCellMar>
        </w:tblPrEx>
        <w:trPr>
          <w:trHeight w:val="753"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52771B">
            <w:pPr>
              <w:widowControl/>
              <w:jc w:val="center"/>
              <w:textAlignment w:val="center"/>
              <w:rPr>
                <w:sz w:val="24"/>
              </w:rPr>
            </w:pPr>
            <w:r>
              <w:rPr>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C2AC56">
            <w:pPr>
              <w:widowControl/>
              <w:jc w:val="center"/>
              <w:textAlignment w:val="center"/>
              <w:rPr>
                <w:sz w:val="24"/>
              </w:rPr>
            </w:pPr>
            <w:r>
              <w:rPr>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5B5F645">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CE2603">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746DD4">
            <w:pPr>
              <w:widowControl/>
              <w:jc w:val="center"/>
              <w:textAlignment w:val="center"/>
              <w:rPr>
                <w:sz w:val="24"/>
              </w:rPr>
            </w:pPr>
            <w:r>
              <w:rPr>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52405">
            <w:pPr>
              <w:widowControl/>
              <w:jc w:val="center"/>
              <w:textAlignment w:val="center"/>
              <w:rPr>
                <w:sz w:val="24"/>
              </w:rPr>
            </w:pPr>
            <w:r>
              <w:rPr>
                <w:kern w:val="0"/>
                <w:sz w:val="24"/>
              </w:rPr>
              <w:t>实际完成指标值(包含数字及文字描述)</w:t>
            </w:r>
          </w:p>
        </w:tc>
      </w:tr>
      <w:tr w14:paraId="41E2284C">
        <w:tblPrEx>
          <w:tblCellMar>
            <w:top w:w="0" w:type="dxa"/>
            <w:left w:w="0" w:type="dxa"/>
            <w:bottom w:w="0" w:type="dxa"/>
            <w:right w:w="0" w:type="dxa"/>
          </w:tblCellMar>
        </w:tblPrEx>
        <w:trPr>
          <w:trHeight w:val="734"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0B3BF1">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D5FD77">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80F039C">
            <w:pPr>
              <w:widowControl/>
              <w:jc w:val="center"/>
              <w:textAlignment w:val="center"/>
              <w:rPr>
                <w:rFonts w:ascii="仿宋_GB2312" w:eastAsia="仿宋_GB2312"/>
              </w:rPr>
            </w:pPr>
            <w:r>
              <w:rPr>
                <w:rFonts w:hint="eastAsia" w:ascii="仿宋_GB2312" w:eastAsia="仿宋_GB2312" w:cs="宋体"/>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35FC6">
            <w:pPr>
              <w:widowControl/>
              <w:jc w:val="center"/>
              <w:textAlignment w:val="center"/>
              <w:rPr>
                <w:rFonts w:ascii="仿宋_GB2312" w:eastAsia="仿宋_GB2312"/>
              </w:rPr>
            </w:pPr>
            <w:r>
              <w:rPr>
                <w:rFonts w:hint="eastAsia" w:ascii="仿宋_GB2312" w:eastAsia="仿宋_GB2312" w:cs="宋体"/>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EE1D71">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100</w:t>
            </w:r>
            <w:r>
              <w:rPr>
                <w:rFonts w:ascii="仿宋_GB2312" w:eastAsia="仿宋_GB2312"/>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8BC1B">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100</w:t>
            </w:r>
            <w:r>
              <w:rPr>
                <w:rFonts w:ascii="仿宋_GB2312" w:eastAsia="仿宋_GB2312"/>
              </w:rPr>
              <w:t>万元</w:t>
            </w:r>
          </w:p>
        </w:tc>
      </w:tr>
      <w:tr w14:paraId="65FDEF76">
        <w:tblPrEx>
          <w:tblCellMar>
            <w:top w:w="0" w:type="dxa"/>
            <w:left w:w="0" w:type="dxa"/>
            <w:bottom w:w="0" w:type="dxa"/>
            <w:right w:w="0" w:type="dxa"/>
          </w:tblCellMar>
        </w:tblPrEx>
        <w:trPr>
          <w:trHeight w:val="74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775E6B">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994983">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A8463CA">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9D31F">
            <w:pPr>
              <w:widowControl/>
              <w:jc w:val="center"/>
              <w:textAlignment w:val="center"/>
              <w:rPr>
                <w:rFonts w:ascii="仿宋_GB2312" w:eastAsia="仿宋_GB2312"/>
              </w:rPr>
            </w:pPr>
            <w:r>
              <w:rPr>
                <w:rFonts w:hint="eastAsia" w:ascii="仿宋_GB2312" w:eastAsia="仿宋_GB2312" w:cs="宋体"/>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E2F2D">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FFCDE1">
            <w:pPr>
              <w:widowControl/>
              <w:jc w:val="center"/>
              <w:textAlignment w:val="center"/>
              <w:rPr>
                <w:rFonts w:ascii="仿宋_GB2312" w:eastAsia="仿宋_GB2312"/>
              </w:rPr>
            </w:pPr>
            <w:r>
              <w:rPr>
                <w:rFonts w:hint="eastAsia" w:ascii="仿宋_GB2312" w:eastAsia="仿宋_GB2312"/>
              </w:rPr>
              <w:t>完成</w:t>
            </w:r>
            <w:r>
              <w:rPr>
                <w:rFonts w:ascii="仿宋_GB2312" w:eastAsia="仿宋_GB2312"/>
              </w:rPr>
              <w:t>100%</w:t>
            </w:r>
          </w:p>
        </w:tc>
      </w:tr>
      <w:tr w14:paraId="6B38F8A0">
        <w:tblPrEx>
          <w:tblCellMar>
            <w:top w:w="0" w:type="dxa"/>
            <w:left w:w="0" w:type="dxa"/>
            <w:bottom w:w="0" w:type="dxa"/>
            <w:right w:w="0" w:type="dxa"/>
          </w:tblCellMar>
        </w:tblPrEx>
        <w:trPr>
          <w:trHeight w:val="768"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F4864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B7C668">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8C03C92">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6913F">
            <w:pPr>
              <w:widowControl/>
              <w:jc w:val="center"/>
              <w:textAlignment w:val="center"/>
              <w:rPr>
                <w:rFonts w:ascii="仿宋_GB2312" w:eastAsia="仿宋_GB2312"/>
              </w:rPr>
            </w:pPr>
            <w:r>
              <w:rPr>
                <w:rFonts w:hint="eastAsia" w:ascii="仿宋_GB2312" w:eastAsia="仿宋_GB2312" w:cs="宋体"/>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0C0C2">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528862">
            <w:pPr>
              <w:widowControl/>
              <w:jc w:val="center"/>
              <w:textAlignment w:val="center"/>
              <w:rPr>
                <w:rFonts w:ascii="仿宋_GB2312" w:eastAsia="仿宋_GB2312"/>
              </w:rPr>
            </w:pPr>
            <w:r>
              <w:rPr>
                <w:rFonts w:hint="eastAsia" w:ascii="仿宋_GB2312" w:eastAsia="仿宋_GB2312"/>
              </w:rPr>
              <w:t>资金支付</w:t>
            </w:r>
            <w:r>
              <w:rPr>
                <w:rFonts w:ascii="仿宋_GB2312" w:eastAsia="仿宋_GB2312"/>
              </w:rPr>
              <w:t>100%</w:t>
            </w:r>
          </w:p>
        </w:tc>
      </w:tr>
      <w:tr w14:paraId="40968E96">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D52DB0">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21FCCA">
            <w:pPr>
              <w:widowControl/>
              <w:jc w:val="center"/>
              <w:textAlignment w:val="center"/>
              <w:rPr>
                <w:kern w:val="0"/>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02BE728">
            <w:pPr>
              <w:widowControl/>
              <w:jc w:val="center"/>
              <w:textAlignment w:val="center"/>
              <w:rPr>
                <w:rFonts w:ascii="仿宋_GB2312" w:eastAsia="仿宋_GB2312"/>
              </w:rPr>
            </w:pPr>
            <w:r>
              <w:rPr>
                <w:rFonts w:hint="eastAsia" w:ascii="仿宋_GB2312" w:eastAsia="仿宋_GB2312" w:cs="宋体"/>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86815">
            <w:pPr>
              <w:widowControl/>
              <w:jc w:val="center"/>
              <w:textAlignment w:val="center"/>
              <w:rPr>
                <w:rFonts w:ascii="仿宋_GB2312" w:eastAsia="仿宋_GB2312"/>
              </w:rPr>
            </w:pPr>
            <w:r>
              <w:rPr>
                <w:rFonts w:hint="eastAsia" w:ascii="仿宋_GB2312" w:eastAsia="仿宋_GB2312" w:cs="宋体"/>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1E37F">
            <w:pPr>
              <w:widowControl/>
              <w:jc w:val="center"/>
              <w:textAlignment w:val="center"/>
              <w:rPr>
                <w:rFonts w:ascii="仿宋_GB2312" w:eastAsia="仿宋_GB2312"/>
              </w:rPr>
            </w:pPr>
            <w:r>
              <w:rPr>
                <w:rFonts w:ascii="仿宋_GB2312" w:eastAsia="仿宋_GB2312" w:cs="宋体"/>
              </w:rPr>
              <w:t>201</w:t>
            </w:r>
            <w:r>
              <w:rPr>
                <w:rFonts w:hint="eastAsia" w:ascii="仿宋_GB2312" w:eastAsia="仿宋_GB2312" w:cs="宋体"/>
              </w:rPr>
              <w:t>9年</w:t>
            </w:r>
            <w:r>
              <w:rPr>
                <w:rFonts w:ascii="仿宋_GB2312" w:eastAsia="仿宋_GB2312" w:cs="宋体"/>
              </w:rPr>
              <w:t>1-12</w:t>
            </w:r>
            <w:r>
              <w:rPr>
                <w:rFonts w:hint="eastAsia" w:ascii="仿宋_GB2312" w:eastAsia="仿宋_GB2312" w:cs="宋体"/>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1D207C">
            <w:pPr>
              <w:widowControl/>
              <w:jc w:val="center"/>
              <w:textAlignment w:val="center"/>
              <w:rPr>
                <w:rFonts w:ascii="仿宋_GB2312" w:eastAsia="仿宋_GB2312"/>
              </w:rPr>
            </w:pPr>
            <w:r>
              <w:rPr>
                <w:rFonts w:ascii="仿宋_GB2312" w:eastAsia="仿宋_GB2312"/>
              </w:rPr>
              <w:t>201</w:t>
            </w:r>
            <w:r>
              <w:rPr>
                <w:rFonts w:hint="eastAsia" w:ascii="仿宋_GB2312" w:eastAsia="仿宋_GB2312"/>
              </w:rPr>
              <w:t>9年度全部完成</w:t>
            </w:r>
          </w:p>
        </w:tc>
      </w:tr>
      <w:tr w14:paraId="67E7C54D">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EF043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0E8C8F">
            <w:pPr>
              <w:widowControl/>
              <w:jc w:val="center"/>
              <w:textAlignment w:val="center"/>
              <w:rPr>
                <w:sz w:val="24"/>
              </w:rPr>
            </w:pPr>
            <w:r>
              <w:rPr>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25EA468">
            <w:pPr>
              <w:widowControl/>
              <w:jc w:val="center"/>
              <w:textAlignment w:val="center"/>
              <w:rPr>
                <w:rFonts w:ascii="仿宋_GB2312" w:eastAsia="仿宋_GB2312"/>
                <w:sz w:val="18"/>
                <w:szCs w:val="18"/>
              </w:rPr>
            </w:pPr>
            <w:r>
              <w:rPr>
                <w:rFonts w:hint="eastAsia" w:ascii="仿宋_GB2312" w:eastAsia="仿宋_GB2312" w:cs="宋体"/>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026BF">
            <w:pPr>
              <w:widowControl/>
              <w:jc w:val="center"/>
              <w:textAlignment w:val="center"/>
              <w:rPr>
                <w:rFonts w:ascii="仿宋_GB2312" w:eastAsia="仿宋_GB2312"/>
              </w:rPr>
            </w:pPr>
            <w:r>
              <w:rPr>
                <w:rFonts w:hint="eastAsia" w:ascii="仿宋_GB2312" w:eastAsia="仿宋_GB2312" w:cs="宋体"/>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B830E5">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B7E9E">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r>
    </w:tbl>
    <w:p w14:paraId="747FBADC">
      <w:pPr>
        <w:spacing w:line="580" w:lineRule="exact"/>
        <w:ind w:left="630"/>
        <w:rPr>
          <w:rFonts w:eastAsia="仿宋_GB2312"/>
          <w:sz w:val="32"/>
          <w:szCs w:val="32"/>
        </w:rPr>
      </w:pPr>
    </w:p>
    <w:p w14:paraId="4273A9BF">
      <w:pPr>
        <w:spacing w:line="580" w:lineRule="exact"/>
        <w:ind w:left="630"/>
        <w:rPr>
          <w:rFonts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A1C520E">
        <w:tblPrEx>
          <w:tblCellMar>
            <w:top w:w="0" w:type="dxa"/>
            <w:left w:w="0" w:type="dxa"/>
            <w:bottom w:w="0" w:type="dxa"/>
            <w:right w:w="0" w:type="dxa"/>
          </w:tblCellMar>
        </w:tblPrEx>
        <w:trPr>
          <w:trHeight w:val="1113" w:hRule="atLeast"/>
          <w:jc w:val="center"/>
        </w:trPr>
        <w:tc>
          <w:tcPr>
            <w:tcW w:w="9960" w:type="dxa"/>
            <w:gridSpan w:val="6"/>
            <w:tcBorders>
              <w:top w:val="nil"/>
              <w:left w:val="nil"/>
              <w:bottom w:val="nil"/>
              <w:right w:val="nil"/>
            </w:tcBorders>
            <w:tcMar>
              <w:top w:w="15" w:type="dxa"/>
              <w:left w:w="15" w:type="dxa"/>
              <w:right w:w="15" w:type="dxa"/>
            </w:tcMar>
            <w:vAlign w:val="center"/>
          </w:tcPr>
          <w:p w14:paraId="0C4F1BAA">
            <w:pPr>
              <w:widowControl/>
              <w:jc w:val="center"/>
              <w:textAlignment w:val="center"/>
              <w:rPr>
                <w:b/>
                <w:bCs/>
                <w:kern w:val="0"/>
                <w:sz w:val="36"/>
                <w:szCs w:val="36"/>
              </w:rPr>
            </w:pPr>
          </w:p>
          <w:p w14:paraId="4961461C">
            <w:pPr>
              <w:widowControl/>
              <w:jc w:val="center"/>
              <w:textAlignment w:val="center"/>
              <w:rPr>
                <w:sz w:val="36"/>
                <w:szCs w:val="36"/>
              </w:rPr>
            </w:pPr>
            <w:r>
              <w:rPr>
                <w:b/>
                <w:bCs/>
                <w:kern w:val="0"/>
                <w:sz w:val="36"/>
                <w:szCs w:val="36"/>
              </w:rPr>
              <w:t>项目绩效目标完成情况表</w:t>
            </w:r>
            <w:r>
              <w:rPr>
                <w:b/>
                <w:bCs/>
                <w:kern w:val="0"/>
                <w:sz w:val="36"/>
                <w:szCs w:val="36"/>
              </w:rPr>
              <w:br w:type="textWrapping"/>
            </w:r>
            <w:r>
              <w:rPr>
                <w:kern w:val="0"/>
                <w:sz w:val="36"/>
                <w:szCs w:val="36"/>
              </w:rPr>
              <w:t>(2019 年度)</w:t>
            </w:r>
          </w:p>
        </w:tc>
      </w:tr>
      <w:tr w14:paraId="2AB41ADC">
        <w:tblPrEx>
          <w:tblCellMar>
            <w:top w:w="0" w:type="dxa"/>
            <w:left w:w="0" w:type="dxa"/>
            <w:bottom w:w="0" w:type="dxa"/>
            <w:right w:w="0" w:type="dxa"/>
          </w:tblCellMar>
        </w:tblPrEx>
        <w:trPr>
          <w:trHeight w:val="479"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CA0D5">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AA905">
            <w:pPr>
              <w:widowControl/>
              <w:jc w:val="center"/>
              <w:textAlignment w:val="center"/>
              <w:rPr>
                <w:sz w:val="24"/>
              </w:rPr>
            </w:pPr>
            <w:r>
              <w:rPr>
                <w:rFonts w:hint="eastAsia"/>
                <w:sz w:val="24"/>
                <w:lang w:val="zh-CN"/>
              </w:rPr>
              <w:t>草场河健身步道维护工程</w:t>
            </w:r>
          </w:p>
        </w:tc>
      </w:tr>
      <w:tr w14:paraId="19852F5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03E98E">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C931C">
            <w:pPr>
              <w:widowControl/>
              <w:jc w:val="center"/>
              <w:textAlignment w:val="center"/>
              <w:rPr>
                <w:sz w:val="24"/>
              </w:rPr>
            </w:pPr>
            <w:r>
              <w:rPr>
                <w:rFonts w:ascii="宋体" w:cs="宋体"/>
                <w:sz w:val="24"/>
              </w:rPr>
              <w:t>米易县住房和城乡建设局</w:t>
            </w:r>
          </w:p>
        </w:tc>
      </w:tr>
      <w:tr w14:paraId="00FFA93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1CB3C">
            <w:pPr>
              <w:widowControl/>
              <w:jc w:val="center"/>
              <w:textAlignment w:val="center"/>
              <w:rPr>
                <w:sz w:val="24"/>
              </w:rPr>
            </w:pPr>
            <w:r>
              <w:rPr>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39E10">
            <w:pPr>
              <w:widowControl/>
              <w:jc w:val="center"/>
              <w:textAlignment w:val="center"/>
              <w:rPr>
                <w:sz w:val="24"/>
              </w:rPr>
            </w:pPr>
            <w:r>
              <w:rPr>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193D6">
            <w:pPr>
              <w:widowControl/>
              <w:jc w:val="center"/>
              <w:textAlignment w:val="center"/>
              <w:rPr>
                <w:sz w:val="24"/>
              </w:rPr>
            </w:pPr>
            <w:r>
              <w:rPr>
                <w:rFonts w:hint="eastAsia"/>
                <w:sz w:val="24"/>
              </w:rPr>
              <w:t>15.2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3A416">
            <w:pPr>
              <w:widowControl/>
              <w:jc w:val="center"/>
              <w:textAlignment w:val="center"/>
              <w:rPr>
                <w:sz w:val="24"/>
              </w:rPr>
            </w:pPr>
            <w:r>
              <w:rPr>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751F3">
            <w:pPr>
              <w:widowControl/>
              <w:jc w:val="center"/>
              <w:textAlignment w:val="center"/>
              <w:rPr>
                <w:sz w:val="24"/>
              </w:rPr>
            </w:pPr>
            <w:r>
              <w:rPr>
                <w:rFonts w:hint="eastAsia"/>
                <w:sz w:val="24"/>
              </w:rPr>
              <w:t>15.2</w:t>
            </w:r>
          </w:p>
        </w:tc>
      </w:tr>
      <w:tr w14:paraId="693E8CD1">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D1EAB">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1D2E2">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E1A750">
            <w:pPr>
              <w:widowControl/>
              <w:jc w:val="center"/>
              <w:textAlignment w:val="center"/>
              <w:rPr>
                <w:sz w:val="24"/>
              </w:rPr>
            </w:pPr>
            <w:r>
              <w:rPr>
                <w:rFonts w:hint="eastAsia"/>
                <w:sz w:val="24"/>
              </w:rPr>
              <w:t>15.2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694D07">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7FE9B">
            <w:pPr>
              <w:widowControl/>
              <w:jc w:val="center"/>
              <w:textAlignment w:val="center"/>
              <w:rPr>
                <w:sz w:val="24"/>
              </w:rPr>
            </w:pPr>
            <w:r>
              <w:rPr>
                <w:rFonts w:hint="eastAsia"/>
                <w:sz w:val="24"/>
              </w:rPr>
              <w:t>15.2</w:t>
            </w:r>
          </w:p>
        </w:tc>
      </w:tr>
      <w:tr w14:paraId="41ED849F">
        <w:tblPrEx>
          <w:tblCellMar>
            <w:top w:w="0" w:type="dxa"/>
            <w:left w:w="0" w:type="dxa"/>
            <w:bottom w:w="0" w:type="dxa"/>
            <w:right w:w="0" w:type="dxa"/>
          </w:tblCellMar>
        </w:tblPrEx>
        <w:trPr>
          <w:trHeight w:val="13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0F2B1B">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184C6">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99EC53">
            <w:pPr>
              <w:widowControl/>
              <w:jc w:val="center"/>
              <w:textAlignment w:val="center"/>
              <w:rPr>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58639D">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9E426">
            <w:pPr>
              <w:jc w:val="center"/>
              <w:rPr>
                <w:sz w:val="24"/>
              </w:rPr>
            </w:pPr>
          </w:p>
        </w:tc>
      </w:tr>
      <w:tr w14:paraId="7A5BC94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49014">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D31C0">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8EA36D">
            <w:pPr>
              <w:widowControl/>
              <w:jc w:val="center"/>
              <w:textAlignment w:val="center"/>
              <w:rPr>
                <w:sz w:val="24"/>
              </w:rPr>
            </w:pPr>
            <w:r>
              <w:rPr>
                <w:kern w:val="0"/>
                <w:sz w:val="24"/>
              </w:rPr>
              <w:t>实际完成目标</w:t>
            </w:r>
          </w:p>
        </w:tc>
      </w:tr>
      <w:tr w14:paraId="4D4889F6">
        <w:tblPrEx>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31777">
            <w:pPr>
              <w:jc w:val="center"/>
              <w:rPr>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712296">
            <w:pPr>
              <w:widowControl/>
              <w:ind w:firstLine="480" w:firstLineChars="200"/>
              <w:jc w:val="left"/>
              <w:textAlignment w:val="center"/>
              <w:rPr>
                <w:sz w:val="24"/>
              </w:rPr>
            </w:pPr>
            <w:r>
              <w:rPr>
                <w:sz w:val="24"/>
              </w:rPr>
              <w:t>保障改善克朗新区区域生态环境，提升城市整体形象，为市民提供开敞便捷的休闲空间</w:t>
            </w:r>
            <w:r>
              <w:rPr>
                <w:rFonts w:hint="eastAsia"/>
                <w:sz w:val="24"/>
              </w:rPr>
              <w:t>。</w:t>
            </w:r>
          </w:p>
          <w:p w14:paraId="4F7D7846">
            <w:pPr>
              <w:widowControl/>
              <w:jc w:val="left"/>
              <w:textAlignment w:val="center"/>
              <w:rPr>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9B2D0">
            <w:pPr>
              <w:widowControl/>
              <w:ind w:firstLine="480" w:firstLineChars="200"/>
              <w:jc w:val="left"/>
              <w:textAlignment w:val="center"/>
              <w:rPr>
                <w:sz w:val="24"/>
              </w:rPr>
            </w:pPr>
            <w:r>
              <w:rPr>
                <w:sz w:val="24"/>
              </w:rPr>
              <w:t>保障改善克朗新区区域生态环境，提升城市整体形象，为市民提供开敞便捷的休闲空间</w:t>
            </w:r>
            <w:r>
              <w:rPr>
                <w:rFonts w:hint="eastAsia"/>
                <w:sz w:val="24"/>
              </w:rPr>
              <w:t>。</w:t>
            </w:r>
          </w:p>
          <w:p w14:paraId="4D46F39C">
            <w:pPr>
              <w:widowControl/>
              <w:jc w:val="left"/>
              <w:textAlignment w:val="center"/>
              <w:rPr>
                <w:sz w:val="24"/>
              </w:rPr>
            </w:pPr>
          </w:p>
        </w:tc>
      </w:tr>
      <w:tr w14:paraId="7AF96502">
        <w:tblPrEx>
          <w:tblCellMar>
            <w:top w:w="0" w:type="dxa"/>
            <w:left w:w="0" w:type="dxa"/>
            <w:bottom w:w="0" w:type="dxa"/>
            <w:right w:w="0" w:type="dxa"/>
          </w:tblCellMar>
        </w:tblPrEx>
        <w:trPr>
          <w:trHeight w:val="753"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E32C51">
            <w:pPr>
              <w:widowControl/>
              <w:jc w:val="center"/>
              <w:textAlignment w:val="center"/>
              <w:rPr>
                <w:sz w:val="24"/>
              </w:rPr>
            </w:pPr>
            <w:r>
              <w:rPr>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BA1FBE">
            <w:pPr>
              <w:widowControl/>
              <w:jc w:val="center"/>
              <w:textAlignment w:val="center"/>
              <w:rPr>
                <w:sz w:val="24"/>
              </w:rPr>
            </w:pPr>
            <w:r>
              <w:rPr>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51318FA">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CBDAED">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BBD9F5">
            <w:pPr>
              <w:widowControl/>
              <w:jc w:val="center"/>
              <w:textAlignment w:val="center"/>
              <w:rPr>
                <w:sz w:val="24"/>
              </w:rPr>
            </w:pPr>
            <w:r>
              <w:rPr>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E2DD5C">
            <w:pPr>
              <w:widowControl/>
              <w:jc w:val="center"/>
              <w:textAlignment w:val="center"/>
              <w:rPr>
                <w:sz w:val="24"/>
              </w:rPr>
            </w:pPr>
            <w:r>
              <w:rPr>
                <w:kern w:val="0"/>
                <w:sz w:val="24"/>
              </w:rPr>
              <w:t>实际完成指标值(包含数字及文字描述)</w:t>
            </w:r>
          </w:p>
        </w:tc>
      </w:tr>
      <w:tr w14:paraId="4791FBA0">
        <w:tblPrEx>
          <w:tblCellMar>
            <w:top w:w="0" w:type="dxa"/>
            <w:left w:w="0" w:type="dxa"/>
            <w:bottom w:w="0" w:type="dxa"/>
            <w:right w:w="0" w:type="dxa"/>
          </w:tblCellMar>
        </w:tblPrEx>
        <w:trPr>
          <w:trHeight w:val="734"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39D9A0">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E95D1D">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AB1C8AF">
            <w:pPr>
              <w:widowControl/>
              <w:jc w:val="center"/>
              <w:textAlignment w:val="center"/>
              <w:rPr>
                <w:rFonts w:ascii="仿宋_GB2312" w:eastAsia="仿宋_GB2312"/>
              </w:rPr>
            </w:pPr>
            <w:r>
              <w:rPr>
                <w:rFonts w:hint="eastAsia" w:ascii="仿宋_GB2312" w:eastAsia="仿宋_GB2312" w:cs="宋体"/>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48771">
            <w:pPr>
              <w:widowControl/>
              <w:jc w:val="center"/>
              <w:textAlignment w:val="center"/>
              <w:rPr>
                <w:rFonts w:ascii="仿宋_GB2312" w:eastAsia="仿宋_GB2312"/>
              </w:rPr>
            </w:pPr>
            <w:r>
              <w:rPr>
                <w:rFonts w:hint="eastAsia" w:ascii="仿宋_GB2312" w:eastAsia="仿宋_GB2312" w:cs="宋体"/>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E1AEDB">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15.2</w:t>
            </w:r>
            <w:r>
              <w:rPr>
                <w:rFonts w:ascii="仿宋_GB2312" w:eastAsia="仿宋_GB2312"/>
              </w:rPr>
              <w:t>万元</w:t>
            </w:r>
            <w:r>
              <w:rPr>
                <w:rFonts w:hint="eastAsia" w:ascii="仿宋_GB2312" w:eastAsia="仿宋_GB231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217F62">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15.2</w:t>
            </w:r>
            <w:r>
              <w:rPr>
                <w:rFonts w:ascii="仿宋_GB2312" w:eastAsia="仿宋_GB2312"/>
              </w:rPr>
              <w:t>万元</w:t>
            </w:r>
            <w:r>
              <w:rPr>
                <w:rFonts w:hint="eastAsia" w:ascii="仿宋_GB2312" w:eastAsia="仿宋_GB2312"/>
              </w:rPr>
              <w:t>。</w:t>
            </w:r>
          </w:p>
        </w:tc>
      </w:tr>
      <w:tr w14:paraId="450935C7">
        <w:tblPrEx>
          <w:tblCellMar>
            <w:top w:w="0" w:type="dxa"/>
            <w:left w:w="0" w:type="dxa"/>
            <w:bottom w:w="0" w:type="dxa"/>
            <w:right w:w="0" w:type="dxa"/>
          </w:tblCellMar>
        </w:tblPrEx>
        <w:trPr>
          <w:trHeight w:val="74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B5934A">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B2B3B7">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CD49303">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641F5">
            <w:pPr>
              <w:widowControl/>
              <w:jc w:val="center"/>
              <w:textAlignment w:val="center"/>
              <w:rPr>
                <w:rFonts w:ascii="仿宋_GB2312" w:eastAsia="仿宋_GB2312"/>
              </w:rPr>
            </w:pPr>
            <w:r>
              <w:rPr>
                <w:rFonts w:hint="eastAsia" w:ascii="仿宋_GB2312" w:eastAsia="仿宋_GB2312" w:cs="宋体"/>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A6E3F">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B434F">
            <w:pPr>
              <w:widowControl/>
              <w:jc w:val="center"/>
              <w:textAlignment w:val="center"/>
              <w:rPr>
                <w:rFonts w:ascii="仿宋_GB2312" w:eastAsia="仿宋_GB2312"/>
              </w:rPr>
            </w:pPr>
            <w:r>
              <w:rPr>
                <w:rFonts w:hint="eastAsia" w:ascii="仿宋_GB2312" w:eastAsia="仿宋_GB2312"/>
              </w:rPr>
              <w:t>完成</w:t>
            </w:r>
            <w:r>
              <w:rPr>
                <w:rFonts w:ascii="仿宋_GB2312" w:eastAsia="仿宋_GB2312"/>
              </w:rPr>
              <w:t>100%</w:t>
            </w:r>
          </w:p>
        </w:tc>
      </w:tr>
      <w:tr w14:paraId="0181FFE0">
        <w:tblPrEx>
          <w:tblCellMar>
            <w:top w:w="0" w:type="dxa"/>
            <w:left w:w="0" w:type="dxa"/>
            <w:bottom w:w="0" w:type="dxa"/>
            <w:right w:w="0" w:type="dxa"/>
          </w:tblCellMar>
        </w:tblPrEx>
        <w:trPr>
          <w:trHeight w:val="768"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97542B">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85B816">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35A4915">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2960C">
            <w:pPr>
              <w:widowControl/>
              <w:jc w:val="center"/>
              <w:textAlignment w:val="center"/>
              <w:rPr>
                <w:rFonts w:ascii="仿宋_GB2312" w:eastAsia="仿宋_GB2312"/>
              </w:rPr>
            </w:pPr>
            <w:r>
              <w:rPr>
                <w:rFonts w:hint="eastAsia" w:ascii="仿宋_GB2312" w:eastAsia="仿宋_GB2312" w:cs="宋体"/>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CDA096">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6DC948">
            <w:pPr>
              <w:widowControl/>
              <w:jc w:val="center"/>
              <w:textAlignment w:val="center"/>
              <w:rPr>
                <w:rFonts w:ascii="仿宋_GB2312" w:eastAsia="仿宋_GB2312"/>
              </w:rPr>
            </w:pPr>
            <w:r>
              <w:rPr>
                <w:rFonts w:hint="eastAsia" w:ascii="仿宋_GB2312" w:eastAsia="仿宋_GB2312"/>
              </w:rPr>
              <w:t>资金支付</w:t>
            </w:r>
            <w:r>
              <w:rPr>
                <w:rFonts w:ascii="仿宋_GB2312" w:eastAsia="仿宋_GB2312"/>
              </w:rPr>
              <w:t>100%</w:t>
            </w:r>
          </w:p>
        </w:tc>
      </w:tr>
      <w:tr w14:paraId="5F3BABFF">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8D966C">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5204F2">
            <w:pPr>
              <w:widowControl/>
              <w:jc w:val="center"/>
              <w:textAlignment w:val="center"/>
              <w:rPr>
                <w:kern w:val="0"/>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5AA9C3C">
            <w:pPr>
              <w:widowControl/>
              <w:jc w:val="center"/>
              <w:textAlignment w:val="center"/>
              <w:rPr>
                <w:rFonts w:ascii="仿宋_GB2312" w:eastAsia="仿宋_GB2312"/>
              </w:rPr>
            </w:pPr>
            <w:r>
              <w:rPr>
                <w:rFonts w:hint="eastAsia" w:ascii="仿宋_GB2312" w:eastAsia="仿宋_GB2312" w:cs="宋体"/>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40FFF">
            <w:pPr>
              <w:widowControl/>
              <w:jc w:val="center"/>
              <w:textAlignment w:val="center"/>
              <w:rPr>
                <w:rFonts w:ascii="仿宋_GB2312" w:eastAsia="仿宋_GB2312"/>
              </w:rPr>
            </w:pPr>
            <w:r>
              <w:rPr>
                <w:rFonts w:hint="eastAsia" w:ascii="仿宋_GB2312" w:eastAsia="仿宋_GB2312" w:cs="宋体"/>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4109F">
            <w:pPr>
              <w:widowControl/>
              <w:jc w:val="center"/>
              <w:textAlignment w:val="center"/>
              <w:rPr>
                <w:rFonts w:ascii="仿宋_GB2312" w:eastAsia="仿宋_GB2312"/>
              </w:rPr>
            </w:pPr>
            <w:r>
              <w:rPr>
                <w:rFonts w:ascii="仿宋_GB2312" w:eastAsia="仿宋_GB2312" w:cs="宋体"/>
              </w:rPr>
              <w:t>201</w:t>
            </w:r>
            <w:r>
              <w:rPr>
                <w:rFonts w:hint="eastAsia" w:ascii="仿宋_GB2312" w:eastAsia="仿宋_GB2312" w:cs="宋体"/>
              </w:rPr>
              <w:t>9年</w:t>
            </w:r>
            <w:r>
              <w:rPr>
                <w:rFonts w:ascii="仿宋_GB2312" w:eastAsia="仿宋_GB2312" w:cs="宋体"/>
              </w:rPr>
              <w:t>1-12</w:t>
            </w:r>
            <w:r>
              <w:rPr>
                <w:rFonts w:hint="eastAsia" w:ascii="仿宋_GB2312" w:eastAsia="仿宋_GB2312" w:cs="宋体"/>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35D1F">
            <w:pPr>
              <w:widowControl/>
              <w:jc w:val="center"/>
              <w:textAlignment w:val="center"/>
              <w:rPr>
                <w:rFonts w:ascii="仿宋_GB2312" w:eastAsia="仿宋_GB2312"/>
              </w:rPr>
            </w:pPr>
            <w:r>
              <w:rPr>
                <w:rFonts w:ascii="仿宋_GB2312" w:eastAsia="仿宋_GB2312"/>
              </w:rPr>
              <w:t>201</w:t>
            </w:r>
            <w:r>
              <w:rPr>
                <w:rFonts w:hint="eastAsia" w:ascii="仿宋_GB2312" w:eastAsia="仿宋_GB2312"/>
              </w:rPr>
              <w:t>9年度全部完成</w:t>
            </w:r>
          </w:p>
        </w:tc>
      </w:tr>
      <w:tr w14:paraId="051DD70D">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9D55E8">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F758070">
            <w:pPr>
              <w:widowControl/>
              <w:jc w:val="center"/>
              <w:textAlignment w:val="center"/>
              <w:rPr>
                <w:sz w:val="24"/>
              </w:rPr>
            </w:pPr>
            <w:r>
              <w:rPr>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DFE9A52">
            <w:pPr>
              <w:widowControl/>
              <w:jc w:val="center"/>
              <w:textAlignment w:val="center"/>
              <w:rPr>
                <w:rFonts w:ascii="仿宋_GB2312" w:eastAsia="仿宋_GB2312"/>
                <w:sz w:val="18"/>
                <w:szCs w:val="18"/>
              </w:rPr>
            </w:pPr>
            <w:r>
              <w:rPr>
                <w:rFonts w:hint="eastAsia" w:ascii="仿宋_GB2312" w:eastAsia="仿宋_GB2312" w:cs="宋体"/>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C25157">
            <w:pPr>
              <w:widowControl/>
              <w:jc w:val="center"/>
              <w:textAlignment w:val="center"/>
              <w:rPr>
                <w:rFonts w:ascii="仿宋_GB2312" w:eastAsia="仿宋_GB2312"/>
              </w:rPr>
            </w:pPr>
            <w:r>
              <w:rPr>
                <w:rFonts w:hint="eastAsia" w:ascii="仿宋_GB2312" w:eastAsia="仿宋_GB2312" w:cs="宋体"/>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C4341">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1C7B37">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r>
    </w:tbl>
    <w:p w14:paraId="40424750">
      <w:pPr>
        <w:spacing w:line="580" w:lineRule="exact"/>
        <w:ind w:left="630"/>
        <w:rPr>
          <w:rFonts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C9F7D58">
        <w:tblPrEx>
          <w:tblCellMar>
            <w:top w:w="0" w:type="dxa"/>
            <w:left w:w="0" w:type="dxa"/>
            <w:bottom w:w="0" w:type="dxa"/>
            <w:right w:w="0" w:type="dxa"/>
          </w:tblCellMar>
        </w:tblPrEx>
        <w:trPr>
          <w:trHeight w:val="1113" w:hRule="atLeast"/>
          <w:jc w:val="center"/>
        </w:trPr>
        <w:tc>
          <w:tcPr>
            <w:tcW w:w="9960" w:type="dxa"/>
            <w:gridSpan w:val="6"/>
            <w:tcBorders>
              <w:top w:val="nil"/>
              <w:left w:val="nil"/>
              <w:bottom w:val="nil"/>
              <w:right w:val="nil"/>
            </w:tcBorders>
            <w:tcMar>
              <w:top w:w="15" w:type="dxa"/>
              <w:left w:w="15" w:type="dxa"/>
              <w:right w:w="15" w:type="dxa"/>
            </w:tcMar>
            <w:vAlign w:val="center"/>
          </w:tcPr>
          <w:p w14:paraId="14338308">
            <w:pPr>
              <w:widowControl/>
              <w:jc w:val="center"/>
              <w:textAlignment w:val="center"/>
              <w:rPr>
                <w:sz w:val="36"/>
                <w:szCs w:val="36"/>
              </w:rPr>
            </w:pPr>
            <w:r>
              <w:rPr>
                <w:b/>
                <w:bCs/>
                <w:kern w:val="0"/>
                <w:sz w:val="36"/>
                <w:szCs w:val="36"/>
              </w:rPr>
              <w:t>项目绩效目标完成情况表</w:t>
            </w:r>
            <w:r>
              <w:rPr>
                <w:b/>
                <w:bCs/>
                <w:kern w:val="0"/>
                <w:sz w:val="36"/>
                <w:szCs w:val="36"/>
              </w:rPr>
              <w:br w:type="textWrapping"/>
            </w:r>
            <w:r>
              <w:rPr>
                <w:kern w:val="0"/>
                <w:sz w:val="36"/>
                <w:szCs w:val="36"/>
              </w:rPr>
              <w:t>(2019 年度)</w:t>
            </w:r>
          </w:p>
        </w:tc>
      </w:tr>
      <w:tr w14:paraId="5C533CF0">
        <w:tblPrEx>
          <w:tblCellMar>
            <w:top w:w="0" w:type="dxa"/>
            <w:left w:w="0" w:type="dxa"/>
            <w:bottom w:w="0" w:type="dxa"/>
            <w:right w:w="0" w:type="dxa"/>
          </w:tblCellMar>
        </w:tblPrEx>
        <w:trPr>
          <w:trHeight w:val="479"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25BE2">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FB8A2">
            <w:pPr>
              <w:widowControl/>
              <w:jc w:val="center"/>
              <w:textAlignment w:val="center"/>
              <w:rPr>
                <w:sz w:val="24"/>
              </w:rPr>
            </w:pPr>
            <w:r>
              <w:rPr>
                <w:rFonts w:hint="eastAsia"/>
                <w:sz w:val="24"/>
              </w:rPr>
              <w:t>米易县党建主题公园建设项目</w:t>
            </w:r>
          </w:p>
        </w:tc>
      </w:tr>
      <w:tr w14:paraId="36E8164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E230C">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03553">
            <w:pPr>
              <w:widowControl/>
              <w:jc w:val="center"/>
              <w:textAlignment w:val="center"/>
              <w:rPr>
                <w:sz w:val="24"/>
              </w:rPr>
            </w:pPr>
            <w:r>
              <w:rPr>
                <w:rFonts w:ascii="宋体" w:cs="宋体"/>
                <w:sz w:val="24"/>
              </w:rPr>
              <w:t>米易县住房和城乡建设局</w:t>
            </w:r>
          </w:p>
        </w:tc>
      </w:tr>
      <w:tr w14:paraId="2222751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1396FE">
            <w:pPr>
              <w:widowControl/>
              <w:jc w:val="center"/>
              <w:textAlignment w:val="center"/>
              <w:rPr>
                <w:sz w:val="24"/>
              </w:rPr>
            </w:pPr>
            <w:r>
              <w:rPr>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F0E8E8">
            <w:pPr>
              <w:widowControl/>
              <w:jc w:val="center"/>
              <w:textAlignment w:val="center"/>
              <w:rPr>
                <w:sz w:val="24"/>
              </w:rPr>
            </w:pPr>
            <w:r>
              <w:rPr>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4F8FEB">
            <w:pPr>
              <w:widowControl/>
              <w:jc w:val="center"/>
              <w:textAlignment w:val="center"/>
              <w:rPr>
                <w:sz w:val="24"/>
              </w:rPr>
            </w:pPr>
            <w:r>
              <w:rPr>
                <w:rFonts w:hint="eastAsia"/>
                <w:sz w:val="24"/>
              </w:rPr>
              <w:t>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50A98">
            <w:pPr>
              <w:widowControl/>
              <w:jc w:val="center"/>
              <w:textAlignment w:val="center"/>
              <w:rPr>
                <w:sz w:val="24"/>
              </w:rPr>
            </w:pPr>
            <w:r>
              <w:rPr>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C98CF">
            <w:pPr>
              <w:widowControl/>
              <w:jc w:val="center"/>
              <w:textAlignment w:val="center"/>
              <w:rPr>
                <w:sz w:val="24"/>
              </w:rPr>
            </w:pPr>
            <w:r>
              <w:rPr>
                <w:rFonts w:hint="eastAsia"/>
                <w:sz w:val="24"/>
              </w:rPr>
              <w:t>50</w:t>
            </w:r>
          </w:p>
        </w:tc>
      </w:tr>
      <w:tr w14:paraId="7096336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18EA1">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4F3263">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8BAB2">
            <w:pPr>
              <w:widowControl/>
              <w:jc w:val="center"/>
              <w:textAlignment w:val="center"/>
              <w:rPr>
                <w:sz w:val="24"/>
              </w:rPr>
            </w:pPr>
            <w:r>
              <w:rPr>
                <w:rFonts w:hint="eastAsia"/>
                <w:sz w:val="24"/>
              </w:rPr>
              <w:t>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FEB071">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98A5B">
            <w:pPr>
              <w:widowControl/>
              <w:jc w:val="center"/>
              <w:textAlignment w:val="center"/>
              <w:rPr>
                <w:sz w:val="24"/>
              </w:rPr>
            </w:pPr>
            <w:r>
              <w:rPr>
                <w:rFonts w:hint="eastAsia"/>
                <w:sz w:val="24"/>
              </w:rPr>
              <w:t>50</w:t>
            </w:r>
          </w:p>
        </w:tc>
      </w:tr>
      <w:tr w14:paraId="368FB7C9">
        <w:tblPrEx>
          <w:tblCellMar>
            <w:top w:w="0" w:type="dxa"/>
            <w:left w:w="0" w:type="dxa"/>
            <w:bottom w:w="0" w:type="dxa"/>
            <w:right w:w="0" w:type="dxa"/>
          </w:tblCellMar>
        </w:tblPrEx>
        <w:trPr>
          <w:trHeight w:val="13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0C944">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1BB15">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4EE439">
            <w:pPr>
              <w:widowControl/>
              <w:jc w:val="center"/>
              <w:textAlignment w:val="center"/>
              <w:rPr>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8E1E92">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0C366">
            <w:pPr>
              <w:jc w:val="center"/>
              <w:rPr>
                <w:sz w:val="24"/>
              </w:rPr>
            </w:pPr>
          </w:p>
        </w:tc>
      </w:tr>
      <w:tr w14:paraId="5159DA2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70179">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5C83D">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C0239">
            <w:pPr>
              <w:widowControl/>
              <w:jc w:val="center"/>
              <w:textAlignment w:val="center"/>
              <w:rPr>
                <w:sz w:val="24"/>
              </w:rPr>
            </w:pPr>
            <w:r>
              <w:rPr>
                <w:kern w:val="0"/>
                <w:sz w:val="24"/>
              </w:rPr>
              <w:t>实际完成目标</w:t>
            </w:r>
          </w:p>
        </w:tc>
      </w:tr>
      <w:tr w14:paraId="395E9C6C">
        <w:tblPrEx>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5DE017">
            <w:pPr>
              <w:jc w:val="center"/>
              <w:rPr>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7B8DF">
            <w:pPr>
              <w:widowControl/>
              <w:ind w:firstLine="480" w:firstLineChars="200"/>
              <w:jc w:val="left"/>
              <w:textAlignment w:val="center"/>
              <w:rPr>
                <w:rFonts w:hint="eastAsia"/>
                <w:sz w:val="24"/>
              </w:rPr>
            </w:pPr>
            <w:r>
              <w:rPr>
                <w:sz w:val="24"/>
              </w:rPr>
              <w:t>完成项目建设,</w:t>
            </w:r>
            <w:r>
              <w:rPr>
                <w:rFonts w:hint="eastAsia"/>
                <w:sz w:val="24"/>
              </w:rPr>
              <w:t>优化城市人文景观</w:t>
            </w:r>
            <w:r>
              <w:rPr>
                <w:sz w:val="24"/>
              </w:rPr>
              <w:t>，</w:t>
            </w:r>
            <w:r>
              <w:rPr>
                <w:rFonts w:hint="eastAsia"/>
                <w:sz w:val="24"/>
              </w:rPr>
              <w:t>提升城市文化底蕴，丰富群众文化生活</w:t>
            </w:r>
            <w:r>
              <w:rPr>
                <w:sz w:val="24"/>
              </w:rPr>
              <w:t>，提高城市品位</w:t>
            </w:r>
            <w:r>
              <w:rPr>
                <w:rFonts w:hint="eastAsia"/>
                <w:sz w:val="24"/>
              </w:rPr>
              <w:t>。</w:t>
            </w:r>
          </w:p>
          <w:p w14:paraId="5E1AC0A0">
            <w:pPr>
              <w:widowControl/>
              <w:jc w:val="left"/>
              <w:textAlignment w:val="center"/>
              <w:rPr>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A4448">
            <w:pPr>
              <w:widowControl/>
              <w:ind w:firstLine="480" w:firstLineChars="200"/>
              <w:jc w:val="left"/>
              <w:textAlignment w:val="center"/>
              <w:rPr>
                <w:rFonts w:hint="eastAsia"/>
                <w:sz w:val="24"/>
              </w:rPr>
            </w:pPr>
            <w:r>
              <w:rPr>
                <w:sz w:val="24"/>
              </w:rPr>
              <w:t>完成项目建设,</w:t>
            </w:r>
            <w:r>
              <w:rPr>
                <w:rFonts w:hint="eastAsia"/>
                <w:sz w:val="24"/>
              </w:rPr>
              <w:t>优化城市人文景观</w:t>
            </w:r>
            <w:r>
              <w:rPr>
                <w:sz w:val="24"/>
              </w:rPr>
              <w:t>，</w:t>
            </w:r>
            <w:r>
              <w:rPr>
                <w:rFonts w:hint="eastAsia"/>
                <w:sz w:val="24"/>
              </w:rPr>
              <w:t>提升城市文化底蕴，丰富群众文化生活</w:t>
            </w:r>
            <w:r>
              <w:rPr>
                <w:sz w:val="24"/>
              </w:rPr>
              <w:t>，提高城市品位</w:t>
            </w:r>
            <w:r>
              <w:rPr>
                <w:rFonts w:hint="eastAsia"/>
                <w:sz w:val="24"/>
              </w:rPr>
              <w:t>。</w:t>
            </w:r>
          </w:p>
          <w:p w14:paraId="07F749F1">
            <w:pPr>
              <w:widowControl/>
              <w:jc w:val="left"/>
              <w:textAlignment w:val="center"/>
              <w:rPr>
                <w:sz w:val="24"/>
              </w:rPr>
            </w:pPr>
          </w:p>
        </w:tc>
      </w:tr>
      <w:tr w14:paraId="6856FE33">
        <w:tblPrEx>
          <w:tblCellMar>
            <w:top w:w="0" w:type="dxa"/>
            <w:left w:w="0" w:type="dxa"/>
            <w:bottom w:w="0" w:type="dxa"/>
            <w:right w:w="0" w:type="dxa"/>
          </w:tblCellMar>
        </w:tblPrEx>
        <w:trPr>
          <w:trHeight w:val="753"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B2B523">
            <w:pPr>
              <w:widowControl/>
              <w:jc w:val="center"/>
              <w:textAlignment w:val="center"/>
              <w:rPr>
                <w:sz w:val="24"/>
              </w:rPr>
            </w:pPr>
            <w:r>
              <w:rPr>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B13802">
            <w:pPr>
              <w:widowControl/>
              <w:jc w:val="center"/>
              <w:textAlignment w:val="center"/>
              <w:rPr>
                <w:sz w:val="24"/>
              </w:rPr>
            </w:pPr>
            <w:r>
              <w:rPr>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ED05F12">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EC6CC">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791DC6">
            <w:pPr>
              <w:widowControl/>
              <w:jc w:val="center"/>
              <w:textAlignment w:val="center"/>
              <w:rPr>
                <w:sz w:val="24"/>
              </w:rPr>
            </w:pPr>
            <w:r>
              <w:rPr>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65463E">
            <w:pPr>
              <w:widowControl/>
              <w:jc w:val="center"/>
              <w:textAlignment w:val="center"/>
              <w:rPr>
                <w:sz w:val="24"/>
              </w:rPr>
            </w:pPr>
            <w:r>
              <w:rPr>
                <w:kern w:val="0"/>
                <w:sz w:val="24"/>
              </w:rPr>
              <w:t>实际完成指标值(包含数字及文字描述)</w:t>
            </w:r>
          </w:p>
        </w:tc>
      </w:tr>
      <w:tr w14:paraId="5E4E9CD3">
        <w:tblPrEx>
          <w:tblCellMar>
            <w:top w:w="0" w:type="dxa"/>
            <w:left w:w="0" w:type="dxa"/>
            <w:bottom w:w="0" w:type="dxa"/>
            <w:right w:w="0" w:type="dxa"/>
          </w:tblCellMar>
        </w:tblPrEx>
        <w:trPr>
          <w:trHeight w:val="734"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501479">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BA9C9C">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2668276">
            <w:pPr>
              <w:widowControl/>
              <w:jc w:val="center"/>
              <w:textAlignment w:val="center"/>
              <w:rPr>
                <w:rFonts w:ascii="仿宋_GB2312" w:eastAsia="仿宋_GB2312"/>
              </w:rPr>
            </w:pPr>
            <w:r>
              <w:rPr>
                <w:rFonts w:hint="eastAsia" w:ascii="仿宋_GB2312" w:eastAsia="仿宋_GB2312" w:cs="宋体"/>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BA35C9">
            <w:pPr>
              <w:widowControl/>
              <w:jc w:val="center"/>
              <w:textAlignment w:val="center"/>
              <w:rPr>
                <w:rFonts w:ascii="仿宋_GB2312" w:eastAsia="仿宋_GB2312"/>
              </w:rPr>
            </w:pPr>
            <w:r>
              <w:rPr>
                <w:rFonts w:hint="eastAsia" w:ascii="仿宋_GB2312" w:eastAsia="仿宋_GB2312" w:cs="宋体"/>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DDE2AC">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50</w:t>
            </w:r>
            <w:r>
              <w:rPr>
                <w:rFonts w:ascii="仿宋_GB2312" w:eastAsia="仿宋_GB2312"/>
              </w:rPr>
              <w:t>万元</w:t>
            </w:r>
            <w:r>
              <w:rPr>
                <w:rFonts w:hint="eastAsia" w:ascii="仿宋_GB2312" w:eastAsia="仿宋_GB231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EF207">
            <w:pPr>
              <w:widowControl/>
              <w:jc w:val="center"/>
              <w:textAlignment w:val="center"/>
              <w:rPr>
                <w:rFonts w:ascii="仿宋_GB2312" w:eastAsia="仿宋_GB2312"/>
              </w:rPr>
            </w:pPr>
            <w:r>
              <w:rPr>
                <w:rFonts w:ascii="仿宋_GB2312" w:eastAsia="仿宋_GB2312"/>
              </w:rPr>
              <w:t>支付施工工程款</w:t>
            </w:r>
            <w:r>
              <w:rPr>
                <w:rFonts w:hint="eastAsia" w:ascii="仿宋_GB2312" w:eastAsia="仿宋_GB2312"/>
              </w:rPr>
              <w:t>50</w:t>
            </w:r>
            <w:r>
              <w:rPr>
                <w:rFonts w:ascii="仿宋_GB2312" w:eastAsia="仿宋_GB2312"/>
              </w:rPr>
              <w:t>万元</w:t>
            </w:r>
            <w:r>
              <w:rPr>
                <w:rFonts w:hint="eastAsia" w:ascii="仿宋_GB2312" w:eastAsia="仿宋_GB2312"/>
              </w:rPr>
              <w:t>。</w:t>
            </w:r>
          </w:p>
        </w:tc>
      </w:tr>
      <w:tr w14:paraId="1F7FFA80">
        <w:tblPrEx>
          <w:tblCellMar>
            <w:top w:w="0" w:type="dxa"/>
            <w:left w:w="0" w:type="dxa"/>
            <w:bottom w:w="0" w:type="dxa"/>
            <w:right w:w="0" w:type="dxa"/>
          </w:tblCellMar>
        </w:tblPrEx>
        <w:trPr>
          <w:trHeight w:val="74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864BB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E0AC4F">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178BC0A">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64A619">
            <w:pPr>
              <w:widowControl/>
              <w:jc w:val="center"/>
              <w:textAlignment w:val="center"/>
              <w:rPr>
                <w:rFonts w:ascii="仿宋_GB2312" w:eastAsia="仿宋_GB2312"/>
              </w:rPr>
            </w:pPr>
            <w:r>
              <w:rPr>
                <w:rFonts w:hint="eastAsia" w:ascii="仿宋_GB2312" w:eastAsia="仿宋_GB2312" w:cs="宋体"/>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BEB76">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8E6BE">
            <w:pPr>
              <w:widowControl/>
              <w:jc w:val="center"/>
              <w:textAlignment w:val="center"/>
              <w:rPr>
                <w:rFonts w:ascii="仿宋_GB2312" w:eastAsia="仿宋_GB2312"/>
              </w:rPr>
            </w:pPr>
            <w:r>
              <w:rPr>
                <w:rFonts w:hint="eastAsia" w:ascii="仿宋_GB2312" w:eastAsia="仿宋_GB2312"/>
              </w:rPr>
              <w:t>完成</w:t>
            </w:r>
            <w:r>
              <w:rPr>
                <w:rFonts w:ascii="仿宋_GB2312" w:eastAsia="仿宋_GB2312"/>
              </w:rPr>
              <w:t>100%</w:t>
            </w:r>
          </w:p>
        </w:tc>
      </w:tr>
      <w:tr w14:paraId="005EBFB2">
        <w:tblPrEx>
          <w:tblCellMar>
            <w:top w:w="0" w:type="dxa"/>
            <w:left w:w="0" w:type="dxa"/>
            <w:bottom w:w="0" w:type="dxa"/>
            <w:right w:w="0" w:type="dxa"/>
          </w:tblCellMar>
        </w:tblPrEx>
        <w:trPr>
          <w:trHeight w:val="768"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A92C7E">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3A4425">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8F1FA47">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402FB5">
            <w:pPr>
              <w:widowControl/>
              <w:jc w:val="center"/>
              <w:textAlignment w:val="center"/>
              <w:rPr>
                <w:rFonts w:ascii="仿宋_GB2312" w:eastAsia="仿宋_GB2312"/>
              </w:rPr>
            </w:pPr>
            <w:r>
              <w:rPr>
                <w:rFonts w:hint="eastAsia" w:ascii="仿宋_GB2312" w:eastAsia="仿宋_GB2312" w:cs="宋体"/>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D111F">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519EF6">
            <w:pPr>
              <w:widowControl/>
              <w:jc w:val="center"/>
              <w:textAlignment w:val="center"/>
              <w:rPr>
                <w:rFonts w:ascii="仿宋_GB2312" w:eastAsia="仿宋_GB2312"/>
              </w:rPr>
            </w:pPr>
            <w:r>
              <w:rPr>
                <w:rFonts w:hint="eastAsia" w:ascii="仿宋_GB2312" w:eastAsia="仿宋_GB2312"/>
              </w:rPr>
              <w:t>资金支付</w:t>
            </w:r>
            <w:r>
              <w:rPr>
                <w:rFonts w:ascii="仿宋_GB2312" w:eastAsia="仿宋_GB2312"/>
              </w:rPr>
              <w:t>100%</w:t>
            </w:r>
          </w:p>
        </w:tc>
      </w:tr>
      <w:tr w14:paraId="2F179B4D">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9B7CD3">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492FCC2">
            <w:pPr>
              <w:widowControl/>
              <w:jc w:val="center"/>
              <w:textAlignment w:val="center"/>
              <w:rPr>
                <w:kern w:val="0"/>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567106E">
            <w:pPr>
              <w:widowControl/>
              <w:jc w:val="center"/>
              <w:textAlignment w:val="center"/>
              <w:rPr>
                <w:rFonts w:ascii="仿宋_GB2312" w:eastAsia="仿宋_GB2312"/>
              </w:rPr>
            </w:pPr>
            <w:r>
              <w:rPr>
                <w:rFonts w:hint="eastAsia" w:ascii="仿宋_GB2312" w:eastAsia="仿宋_GB2312" w:cs="宋体"/>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B05BC">
            <w:pPr>
              <w:widowControl/>
              <w:jc w:val="center"/>
              <w:textAlignment w:val="center"/>
              <w:rPr>
                <w:rFonts w:ascii="仿宋_GB2312" w:eastAsia="仿宋_GB2312"/>
              </w:rPr>
            </w:pPr>
            <w:r>
              <w:rPr>
                <w:rFonts w:hint="eastAsia" w:ascii="仿宋_GB2312" w:eastAsia="仿宋_GB2312" w:cs="宋体"/>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E8CE6">
            <w:pPr>
              <w:widowControl/>
              <w:jc w:val="center"/>
              <w:textAlignment w:val="center"/>
              <w:rPr>
                <w:rFonts w:ascii="仿宋_GB2312" w:eastAsia="仿宋_GB2312"/>
              </w:rPr>
            </w:pPr>
            <w:r>
              <w:rPr>
                <w:rFonts w:ascii="仿宋_GB2312" w:eastAsia="仿宋_GB2312" w:cs="宋体"/>
              </w:rPr>
              <w:t>201</w:t>
            </w:r>
            <w:r>
              <w:rPr>
                <w:rFonts w:hint="eastAsia" w:ascii="仿宋_GB2312" w:eastAsia="仿宋_GB2312" w:cs="宋体"/>
              </w:rPr>
              <w:t>9年</w:t>
            </w:r>
            <w:r>
              <w:rPr>
                <w:rFonts w:ascii="仿宋_GB2312" w:eastAsia="仿宋_GB2312" w:cs="宋体"/>
              </w:rPr>
              <w:t>1-12</w:t>
            </w:r>
            <w:r>
              <w:rPr>
                <w:rFonts w:hint="eastAsia" w:ascii="仿宋_GB2312" w:eastAsia="仿宋_GB2312" w:cs="宋体"/>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A8A343">
            <w:pPr>
              <w:widowControl/>
              <w:jc w:val="center"/>
              <w:textAlignment w:val="center"/>
              <w:rPr>
                <w:rFonts w:ascii="仿宋_GB2312" w:eastAsia="仿宋_GB2312"/>
              </w:rPr>
            </w:pPr>
            <w:r>
              <w:rPr>
                <w:rFonts w:ascii="仿宋_GB2312" w:eastAsia="仿宋_GB2312"/>
              </w:rPr>
              <w:t>201</w:t>
            </w:r>
            <w:r>
              <w:rPr>
                <w:rFonts w:hint="eastAsia" w:ascii="仿宋_GB2312" w:eastAsia="仿宋_GB2312"/>
              </w:rPr>
              <w:t>9年度全部完成</w:t>
            </w:r>
          </w:p>
        </w:tc>
      </w:tr>
      <w:tr w14:paraId="04B3DA90">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08694E">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213647">
            <w:pPr>
              <w:widowControl/>
              <w:jc w:val="center"/>
              <w:textAlignment w:val="center"/>
              <w:rPr>
                <w:sz w:val="24"/>
              </w:rPr>
            </w:pPr>
            <w:r>
              <w:rPr>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2D186B0">
            <w:pPr>
              <w:widowControl/>
              <w:jc w:val="center"/>
              <w:textAlignment w:val="center"/>
              <w:rPr>
                <w:rFonts w:ascii="仿宋_GB2312" w:eastAsia="仿宋_GB2312"/>
                <w:sz w:val="18"/>
                <w:szCs w:val="18"/>
              </w:rPr>
            </w:pPr>
            <w:r>
              <w:rPr>
                <w:rFonts w:hint="eastAsia" w:ascii="仿宋_GB2312" w:eastAsia="仿宋_GB2312" w:cs="宋体"/>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A4A92">
            <w:pPr>
              <w:widowControl/>
              <w:jc w:val="center"/>
              <w:textAlignment w:val="center"/>
              <w:rPr>
                <w:rFonts w:ascii="仿宋_GB2312" w:eastAsia="仿宋_GB2312"/>
              </w:rPr>
            </w:pPr>
            <w:r>
              <w:rPr>
                <w:rFonts w:hint="eastAsia" w:ascii="仿宋_GB2312" w:eastAsia="仿宋_GB2312" w:cs="宋体"/>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C23F5D">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E779E">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r>
    </w:tbl>
    <w:p w14:paraId="22DD20E6">
      <w:pPr>
        <w:spacing w:line="580" w:lineRule="exact"/>
        <w:ind w:left="630"/>
        <w:rPr>
          <w:rFonts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6B8087B3">
        <w:tblPrEx>
          <w:tblCellMar>
            <w:top w:w="0" w:type="dxa"/>
            <w:left w:w="0" w:type="dxa"/>
            <w:bottom w:w="0" w:type="dxa"/>
            <w:right w:w="0" w:type="dxa"/>
          </w:tblCellMar>
        </w:tblPrEx>
        <w:trPr>
          <w:trHeight w:val="1113" w:hRule="atLeast"/>
          <w:jc w:val="center"/>
        </w:trPr>
        <w:tc>
          <w:tcPr>
            <w:tcW w:w="9960" w:type="dxa"/>
            <w:gridSpan w:val="6"/>
            <w:tcBorders>
              <w:top w:val="nil"/>
              <w:left w:val="nil"/>
              <w:bottom w:val="nil"/>
              <w:right w:val="nil"/>
            </w:tcBorders>
            <w:tcMar>
              <w:top w:w="15" w:type="dxa"/>
              <w:left w:w="15" w:type="dxa"/>
              <w:right w:w="15" w:type="dxa"/>
            </w:tcMar>
            <w:vAlign w:val="center"/>
          </w:tcPr>
          <w:p w14:paraId="306FE6E0">
            <w:pPr>
              <w:widowControl/>
              <w:jc w:val="center"/>
              <w:textAlignment w:val="center"/>
              <w:rPr>
                <w:sz w:val="36"/>
                <w:szCs w:val="36"/>
              </w:rPr>
            </w:pPr>
            <w:r>
              <w:rPr>
                <w:b/>
                <w:bCs/>
                <w:kern w:val="0"/>
                <w:sz w:val="36"/>
                <w:szCs w:val="36"/>
              </w:rPr>
              <w:t>项目绩效目标完成情况表</w:t>
            </w:r>
            <w:r>
              <w:rPr>
                <w:b/>
                <w:bCs/>
                <w:kern w:val="0"/>
                <w:sz w:val="36"/>
                <w:szCs w:val="36"/>
              </w:rPr>
              <w:br w:type="textWrapping"/>
            </w:r>
            <w:r>
              <w:rPr>
                <w:kern w:val="0"/>
                <w:sz w:val="36"/>
                <w:szCs w:val="36"/>
              </w:rPr>
              <w:t>(2019 年度)</w:t>
            </w:r>
          </w:p>
        </w:tc>
      </w:tr>
      <w:tr w14:paraId="2A73D4E0">
        <w:tblPrEx>
          <w:tblCellMar>
            <w:top w:w="0" w:type="dxa"/>
            <w:left w:w="0" w:type="dxa"/>
            <w:bottom w:w="0" w:type="dxa"/>
            <w:right w:w="0" w:type="dxa"/>
          </w:tblCellMar>
        </w:tblPrEx>
        <w:trPr>
          <w:trHeight w:val="479"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36418">
            <w:pPr>
              <w:widowControl/>
              <w:jc w:val="center"/>
              <w:textAlignment w:val="center"/>
              <w:rPr>
                <w:sz w:val="24"/>
              </w:rPr>
            </w:pPr>
            <w:r>
              <w:rPr>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1D31F3">
            <w:pPr>
              <w:widowControl/>
              <w:jc w:val="center"/>
              <w:textAlignment w:val="center"/>
              <w:rPr>
                <w:sz w:val="24"/>
              </w:rPr>
            </w:pPr>
            <w:r>
              <w:rPr>
                <w:rFonts w:hint="eastAsia"/>
                <w:sz w:val="24"/>
              </w:rPr>
              <w:t>米易县府城路改造工程</w:t>
            </w:r>
          </w:p>
        </w:tc>
      </w:tr>
      <w:tr w14:paraId="75EB0BB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E2348">
            <w:pPr>
              <w:widowControl/>
              <w:jc w:val="center"/>
              <w:textAlignment w:val="center"/>
              <w:rPr>
                <w:sz w:val="24"/>
              </w:rPr>
            </w:pPr>
            <w:r>
              <w:rPr>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84885">
            <w:pPr>
              <w:widowControl/>
              <w:jc w:val="center"/>
              <w:textAlignment w:val="center"/>
              <w:rPr>
                <w:sz w:val="24"/>
              </w:rPr>
            </w:pPr>
            <w:r>
              <w:rPr>
                <w:rFonts w:ascii="宋体" w:cs="宋体"/>
                <w:sz w:val="24"/>
              </w:rPr>
              <w:t>米易县住房和城乡建设局</w:t>
            </w:r>
          </w:p>
        </w:tc>
      </w:tr>
      <w:tr w14:paraId="065149CA">
        <w:tblPrEx>
          <w:tblCellMar>
            <w:top w:w="0" w:type="dxa"/>
            <w:left w:w="0" w:type="dxa"/>
            <w:bottom w:w="0" w:type="dxa"/>
            <w:right w:w="0" w:type="dxa"/>
          </w:tblCellMar>
        </w:tblPrEx>
        <w:trPr>
          <w:trHeight w:val="26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3D3084">
            <w:pPr>
              <w:widowControl/>
              <w:jc w:val="center"/>
              <w:textAlignment w:val="center"/>
              <w:rPr>
                <w:sz w:val="24"/>
              </w:rPr>
            </w:pPr>
            <w:r>
              <w:rPr>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0157E">
            <w:pPr>
              <w:widowControl/>
              <w:jc w:val="center"/>
              <w:textAlignment w:val="center"/>
              <w:rPr>
                <w:sz w:val="24"/>
              </w:rPr>
            </w:pPr>
            <w:r>
              <w:rPr>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09ECB9">
            <w:pPr>
              <w:widowControl/>
              <w:jc w:val="center"/>
              <w:textAlignment w:val="center"/>
              <w:rPr>
                <w:sz w:val="24"/>
              </w:rPr>
            </w:pPr>
            <w:r>
              <w:rPr>
                <w:rFonts w:hint="eastAsia"/>
                <w:sz w:val="24"/>
              </w:rPr>
              <w:t>180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14609">
            <w:pPr>
              <w:widowControl/>
              <w:jc w:val="center"/>
              <w:textAlignment w:val="center"/>
              <w:rPr>
                <w:sz w:val="24"/>
              </w:rPr>
            </w:pPr>
            <w:r>
              <w:rPr>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1AD72">
            <w:pPr>
              <w:widowControl/>
              <w:jc w:val="center"/>
              <w:textAlignment w:val="center"/>
              <w:rPr>
                <w:sz w:val="24"/>
              </w:rPr>
            </w:pPr>
            <w:r>
              <w:rPr>
                <w:rFonts w:hint="eastAsia"/>
                <w:sz w:val="24"/>
              </w:rPr>
              <w:t>180</w:t>
            </w:r>
          </w:p>
        </w:tc>
      </w:tr>
      <w:tr w14:paraId="136BD6E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AD1C77">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EF8C1E">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DE8D4">
            <w:pPr>
              <w:widowControl/>
              <w:jc w:val="center"/>
              <w:textAlignment w:val="center"/>
              <w:rPr>
                <w:sz w:val="24"/>
              </w:rPr>
            </w:pPr>
            <w:r>
              <w:rPr>
                <w:rFonts w:hint="eastAsia"/>
                <w:sz w:val="24"/>
              </w:rPr>
              <w:t>180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B753C">
            <w:pPr>
              <w:widowControl/>
              <w:jc w:val="center"/>
              <w:textAlignment w:val="center"/>
              <w:rPr>
                <w:sz w:val="24"/>
              </w:rPr>
            </w:pPr>
            <w:r>
              <w:rPr>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0898E">
            <w:pPr>
              <w:widowControl/>
              <w:jc w:val="center"/>
              <w:textAlignment w:val="center"/>
              <w:rPr>
                <w:sz w:val="24"/>
              </w:rPr>
            </w:pPr>
            <w:r>
              <w:rPr>
                <w:rFonts w:hint="eastAsia"/>
                <w:sz w:val="24"/>
              </w:rPr>
              <w:t>180</w:t>
            </w:r>
          </w:p>
        </w:tc>
      </w:tr>
      <w:tr w14:paraId="54516835">
        <w:tblPrEx>
          <w:tblCellMar>
            <w:top w:w="0" w:type="dxa"/>
            <w:left w:w="0" w:type="dxa"/>
            <w:bottom w:w="0" w:type="dxa"/>
            <w:right w:w="0" w:type="dxa"/>
          </w:tblCellMar>
        </w:tblPrEx>
        <w:trPr>
          <w:trHeight w:val="13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6610E">
            <w:pPr>
              <w:jc w:val="center"/>
              <w:rPr>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FCDFC">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257AAE">
            <w:pPr>
              <w:widowControl/>
              <w:tabs>
                <w:tab w:val="left" w:pos="458"/>
              </w:tabs>
              <w:jc w:val="left"/>
              <w:textAlignment w:val="center"/>
              <w:rPr>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736BA">
            <w:pPr>
              <w:widowControl/>
              <w:jc w:val="center"/>
              <w:textAlignment w:val="center"/>
              <w:rPr>
                <w:sz w:val="24"/>
              </w:rPr>
            </w:pPr>
            <w:r>
              <w:rPr>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6C62A">
            <w:pPr>
              <w:jc w:val="center"/>
              <w:rPr>
                <w:sz w:val="24"/>
              </w:rPr>
            </w:pPr>
          </w:p>
        </w:tc>
      </w:tr>
      <w:tr w14:paraId="3A9B164D">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2BC2A">
            <w:pPr>
              <w:widowControl/>
              <w:jc w:val="center"/>
              <w:textAlignment w:val="center"/>
              <w:rPr>
                <w:sz w:val="24"/>
              </w:rPr>
            </w:pPr>
            <w:r>
              <w:rPr>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0C055">
            <w:pPr>
              <w:widowControl/>
              <w:jc w:val="center"/>
              <w:textAlignment w:val="center"/>
              <w:rPr>
                <w:sz w:val="24"/>
              </w:rPr>
            </w:pPr>
            <w:r>
              <w:rPr>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499CFC">
            <w:pPr>
              <w:widowControl/>
              <w:jc w:val="center"/>
              <w:textAlignment w:val="center"/>
              <w:rPr>
                <w:sz w:val="24"/>
              </w:rPr>
            </w:pPr>
            <w:r>
              <w:rPr>
                <w:kern w:val="0"/>
                <w:sz w:val="24"/>
              </w:rPr>
              <w:t>实际完成目标</w:t>
            </w:r>
          </w:p>
        </w:tc>
      </w:tr>
      <w:tr w14:paraId="230A6FEF">
        <w:tblPrEx>
          <w:tblCellMar>
            <w:top w:w="0" w:type="dxa"/>
            <w:left w:w="0" w:type="dxa"/>
            <w:bottom w:w="0" w:type="dxa"/>
            <w:right w:w="0" w:type="dxa"/>
          </w:tblCellMar>
        </w:tblPrEx>
        <w:trPr>
          <w:trHeight w:val="186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7D0829">
            <w:pPr>
              <w:jc w:val="center"/>
              <w:rPr>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C6E383">
            <w:pPr>
              <w:widowControl/>
              <w:jc w:val="left"/>
              <w:textAlignment w:val="center"/>
              <w:rPr>
                <w:color w:val="FF0000"/>
                <w:sz w:val="24"/>
              </w:rPr>
            </w:pPr>
            <w:r>
              <w:rPr>
                <w:rFonts w:hint="eastAsia"/>
                <w:color w:val="FF0000"/>
                <w:sz w:val="24"/>
              </w:rPr>
              <w:tab/>
            </w:r>
            <w:r>
              <w:rPr>
                <w:rFonts w:hint="default"/>
                <w:color w:val="000000" w:themeColor="text1"/>
                <w:sz w:val="24"/>
                <w14:textFill>
                  <w14:solidFill>
                    <w14:schemeClr w14:val="tx1"/>
                  </w14:solidFill>
                </w14:textFill>
              </w:rPr>
              <w:t>完成项目建设</w:t>
            </w:r>
            <w:r>
              <w:rPr>
                <w:rFonts w:hint="eastAsia"/>
                <w:color w:val="000000" w:themeColor="text1"/>
                <w:sz w:val="24"/>
                <w:lang w:eastAsia="zh-CN"/>
                <w14:textFill>
                  <w14:solidFill>
                    <w14:schemeClr w14:val="tx1"/>
                  </w14:solidFill>
                </w14:textFill>
              </w:rPr>
              <w:t>，</w:t>
            </w:r>
            <w:r>
              <w:rPr>
                <w:rFonts w:hint="default"/>
                <w:color w:val="000000" w:themeColor="text1"/>
                <w:sz w:val="24"/>
                <w14:textFill>
                  <w14:solidFill>
                    <w14:schemeClr w14:val="tx1"/>
                  </w14:solidFill>
                </w14:textFill>
              </w:rPr>
              <w:t>道路投入使用，建立便捷交通枢纽，加强城市基础设施建设水平，提高城市品位。</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3D4A4">
            <w:pPr>
              <w:widowControl/>
              <w:ind w:firstLine="480" w:firstLineChars="200"/>
              <w:jc w:val="left"/>
              <w:textAlignment w:val="center"/>
              <w:rPr>
                <w:color w:val="000000" w:themeColor="text1"/>
                <w:sz w:val="24"/>
                <w14:textFill>
                  <w14:solidFill>
                    <w14:schemeClr w14:val="tx1"/>
                  </w14:solidFill>
                </w14:textFill>
              </w:rPr>
            </w:pPr>
            <w:r>
              <w:rPr>
                <w:rFonts w:hint="default"/>
                <w:color w:val="000000" w:themeColor="text1"/>
                <w:sz w:val="24"/>
                <w14:textFill>
                  <w14:solidFill>
                    <w14:schemeClr w14:val="tx1"/>
                  </w14:solidFill>
                </w14:textFill>
              </w:rPr>
              <w:t>完成项目建设</w:t>
            </w:r>
            <w:r>
              <w:rPr>
                <w:rFonts w:hint="eastAsia"/>
                <w:color w:val="000000" w:themeColor="text1"/>
                <w:sz w:val="24"/>
                <w:lang w:eastAsia="zh-CN"/>
                <w14:textFill>
                  <w14:solidFill>
                    <w14:schemeClr w14:val="tx1"/>
                  </w14:solidFill>
                </w14:textFill>
              </w:rPr>
              <w:t>，</w:t>
            </w:r>
            <w:r>
              <w:rPr>
                <w:rFonts w:hint="default"/>
                <w:color w:val="000000" w:themeColor="text1"/>
                <w:sz w:val="24"/>
                <w14:textFill>
                  <w14:solidFill>
                    <w14:schemeClr w14:val="tx1"/>
                  </w14:solidFill>
                </w14:textFill>
              </w:rPr>
              <w:t>道路投入使用，建立便捷交通枢纽，加强城市基础设施建设水平，提高城市品位。</w:t>
            </w:r>
          </w:p>
        </w:tc>
      </w:tr>
      <w:tr w14:paraId="785C7E8A">
        <w:tblPrEx>
          <w:tblCellMar>
            <w:top w:w="0" w:type="dxa"/>
            <w:left w:w="0" w:type="dxa"/>
            <w:bottom w:w="0" w:type="dxa"/>
            <w:right w:w="0" w:type="dxa"/>
          </w:tblCellMar>
        </w:tblPrEx>
        <w:trPr>
          <w:trHeight w:val="753" w:hRule="atLeast"/>
          <w:jc w:val="center"/>
        </w:trPr>
        <w:tc>
          <w:tcPr>
            <w:tcW w:w="3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BF1653">
            <w:pPr>
              <w:widowControl/>
              <w:jc w:val="center"/>
              <w:textAlignment w:val="center"/>
              <w:rPr>
                <w:sz w:val="24"/>
              </w:rPr>
            </w:pPr>
            <w:r>
              <w:rPr>
                <w:sz w:val="24"/>
              </w:rPr>
              <w:t>绩效指标完成情况</w:t>
            </w: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B91F4D">
            <w:pPr>
              <w:widowControl/>
              <w:jc w:val="center"/>
              <w:textAlignment w:val="center"/>
              <w:rPr>
                <w:sz w:val="24"/>
              </w:rPr>
            </w:pPr>
            <w:r>
              <w:rPr>
                <w:kern w:val="0"/>
                <w:sz w:val="24"/>
              </w:rPr>
              <w:t>一级指标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4C6D474">
            <w:pPr>
              <w:widowControl/>
              <w:jc w:val="center"/>
              <w:textAlignment w:val="center"/>
              <w:rPr>
                <w:sz w:val="24"/>
              </w:rPr>
            </w:pPr>
            <w:r>
              <w:rPr>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046D2">
            <w:pPr>
              <w:widowControl/>
              <w:jc w:val="center"/>
              <w:textAlignment w:val="center"/>
              <w:rPr>
                <w:sz w:val="24"/>
              </w:rPr>
            </w:pPr>
            <w:r>
              <w:rPr>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41C1E4">
            <w:pPr>
              <w:widowControl/>
              <w:jc w:val="center"/>
              <w:textAlignment w:val="center"/>
              <w:rPr>
                <w:sz w:val="24"/>
              </w:rPr>
            </w:pPr>
            <w:r>
              <w:rPr>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619F74">
            <w:pPr>
              <w:widowControl/>
              <w:jc w:val="center"/>
              <w:textAlignment w:val="center"/>
              <w:rPr>
                <w:sz w:val="24"/>
              </w:rPr>
            </w:pPr>
            <w:r>
              <w:rPr>
                <w:kern w:val="0"/>
                <w:sz w:val="24"/>
              </w:rPr>
              <w:t>实际完成指标值(包含数字及文字描述)</w:t>
            </w:r>
          </w:p>
        </w:tc>
      </w:tr>
      <w:tr w14:paraId="0FA27CF0">
        <w:tblPrEx>
          <w:tblCellMar>
            <w:top w:w="0" w:type="dxa"/>
            <w:left w:w="0" w:type="dxa"/>
            <w:bottom w:w="0" w:type="dxa"/>
            <w:right w:w="0" w:type="dxa"/>
          </w:tblCellMar>
        </w:tblPrEx>
        <w:trPr>
          <w:trHeight w:val="734"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9AFF8F">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301E15">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CAD21E6">
            <w:pPr>
              <w:widowControl/>
              <w:jc w:val="center"/>
              <w:textAlignment w:val="center"/>
              <w:rPr>
                <w:rFonts w:ascii="仿宋_GB2312" w:eastAsia="仿宋_GB2312"/>
              </w:rPr>
            </w:pPr>
            <w:r>
              <w:rPr>
                <w:rFonts w:hint="eastAsia" w:ascii="仿宋_GB2312" w:eastAsia="仿宋_GB2312" w:cs="宋体"/>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12D66">
            <w:pPr>
              <w:widowControl/>
              <w:jc w:val="center"/>
              <w:textAlignment w:val="center"/>
              <w:rPr>
                <w:rFonts w:ascii="仿宋_GB2312" w:eastAsia="仿宋_GB2312"/>
              </w:rPr>
            </w:pPr>
            <w:r>
              <w:rPr>
                <w:rFonts w:hint="eastAsia" w:ascii="仿宋_GB2312" w:eastAsia="仿宋_GB2312" w:cs="宋体"/>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35678">
            <w:pPr>
              <w:widowControl/>
              <w:jc w:val="center"/>
              <w:textAlignment w:val="center"/>
              <w:rPr>
                <w:rFonts w:ascii="仿宋_GB2312" w:eastAsia="仿宋_GB2312"/>
              </w:rPr>
            </w:pPr>
            <w:r>
              <w:rPr>
                <w:rFonts w:hint="eastAsia" w:ascii="仿宋_GB2312" w:eastAsia="仿宋_GB2312"/>
              </w:rPr>
              <w:t>支付施工工程款180万元。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70DB05">
            <w:pPr>
              <w:widowControl/>
              <w:jc w:val="center"/>
              <w:textAlignment w:val="center"/>
              <w:rPr>
                <w:rFonts w:ascii="仿宋_GB2312" w:eastAsia="仿宋_GB2312"/>
              </w:rPr>
            </w:pPr>
            <w:r>
              <w:rPr>
                <w:rFonts w:hint="eastAsia" w:ascii="仿宋_GB2312" w:eastAsia="仿宋_GB2312"/>
              </w:rPr>
              <w:t>支付施工工程款180万元。</w:t>
            </w:r>
          </w:p>
        </w:tc>
      </w:tr>
      <w:tr w14:paraId="59D69998">
        <w:tblPrEx>
          <w:tblCellMar>
            <w:top w:w="0" w:type="dxa"/>
            <w:left w:w="0" w:type="dxa"/>
            <w:bottom w:w="0" w:type="dxa"/>
            <w:right w:w="0" w:type="dxa"/>
          </w:tblCellMar>
        </w:tblPrEx>
        <w:trPr>
          <w:trHeight w:val="747"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C77588">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86D665">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79FA35D">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F746A">
            <w:pPr>
              <w:widowControl/>
              <w:jc w:val="center"/>
              <w:textAlignment w:val="center"/>
              <w:rPr>
                <w:rFonts w:ascii="仿宋_GB2312" w:eastAsia="仿宋_GB2312"/>
              </w:rPr>
            </w:pPr>
            <w:r>
              <w:rPr>
                <w:rFonts w:hint="eastAsia" w:ascii="仿宋_GB2312" w:eastAsia="仿宋_GB2312" w:cs="宋体"/>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5B834">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D7FB3">
            <w:pPr>
              <w:widowControl/>
              <w:jc w:val="center"/>
              <w:textAlignment w:val="center"/>
              <w:rPr>
                <w:rFonts w:ascii="仿宋_GB2312" w:eastAsia="仿宋_GB2312"/>
              </w:rPr>
            </w:pPr>
            <w:r>
              <w:rPr>
                <w:rFonts w:hint="eastAsia" w:ascii="仿宋_GB2312" w:eastAsia="仿宋_GB2312"/>
              </w:rPr>
              <w:t>完成</w:t>
            </w:r>
            <w:r>
              <w:rPr>
                <w:rFonts w:ascii="仿宋_GB2312" w:eastAsia="仿宋_GB2312"/>
              </w:rPr>
              <w:t>100%</w:t>
            </w:r>
          </w:p>
        </w:tc>
      </w:tr>
      <w:tr w14:paraId="792CA247">
        <w:tblPrEx>
          <w:tblCellMar>
            <w:top w:w="0" w:type="dxa"/>
            <w:left w:w="0" w:type="dxa"/>
            <w:bottom w:w="0" w:type="dxa"/>
            <w:right w:w="0" w:type="dxa"/>
          </w:tblCellMar>
        </w:tblPrEx>
        <w:trPr>
          <w:trHeight w:val="768"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73889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39CFF4">
            <w:pPr>
              <w:widowControl/>
              <w:jc w:val="center"/>
              <w:textAlignment w:val="center"/>
              <w:rPr>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1336F2C">
            <w:pPr>
              <w:widowControl/>
              <w:jc w:val="center"/>
              <w:textAlignment w:val="center"/>
              <w:rPr>
                <w:rFonts w:ascii="仿宋_GB2312" w:eastAsia="仿宋_GB2312"/>
              </w:rPr>
            </w:pPr>
            <w:r>
              <w:rPr>
                <w:rFonts w:hint="eastAsia" w:ascii="仿宋_GB2312" w:eastAsia="仿宋_GB2312" w:cs="宋体"/>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142D1">
            <w:pPr>
              <w:widowControl/>
              <w:jc w:val="center"/>
              <w:textAlignment w:val="center"/>
              <w:rPr>
                <w:rFonts w:ascii="仿宋_GB2312" w:eastAsia="仿宋_GB2312"/>
              </w:rPr>
            </w:pPr>
            <w:r>
              <w:rPr>
                <w:rFonts w:hint="eastAsia" w:ascii="仿宋_GB2312" w:eastAsia="仿宋_GB2312" w:cs="宋体"/>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DFB739">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0E5A43">
            <w:pPr>
              <w:widowControl/>
              <w:jc w:val="center"/>
              <w:textAlignment w:val="center"/>
              <w:rPr>
                <w:rFonts w:ascii="仿宋_GB2312" w:eastAsia="仿宋_GB2312"/>
              </w:rPr>
            </w:pPr>
            <w:r>
              <w:rPr>
                <w:rFonts w:hint="eastAsia" w:ascii="仿宋_GB2312" w:eastAsia="仿宋_GB2312"/>
              </w:rPr>
              <w:t>资金支付</w:t>
            </w:r>
            <w:r>
              <w:rPr>
                <w:rFonts w:ascii="仿宋_GB2312" w:eastAsia="仿宋_GB2312"/>
              </w:rPr>
              <w:t>100%</w:t>
            </w:r>
          </w:p>
        </w:tc>
      </w:tr>
      <w:tr w14:paraId="7CE09667">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1F02BA">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7E4A18">
            <w:pPr>
              <w:widowControl/>
              <w:jc w:val="center"/>
              <w:textAlignment w:val="center"/>
              <w:rPr>
                <w:kern w:val="0"/>
                <w:sz w:val="24"/>
              </w:rPr>
            </w:pPr>
            <w:r>
              <w:rPr>
                <w:kern w:val="0"/>
                <w:sz w:val="24"/>
              </w:rPr>
              <w:t>项目完成指标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30248D2">
            <w:pPr>
              <w:widowControl/>
              <w:jc w:val="center"/>
              <w:textAlignment w:val="center"/>
              <w:rPr>
                <w:rFonts w:ascii="仿宋_GB2312" w:eastAsia="仿宋_GB2312"/>
              </w:rPr>
            </w:pPr>
            <w:r>
              <w:rPr>
                <w:rFonts w:hint="eastAsia" w:ascii="仿宋_GB2312" w:eastAsia="仿宋_GB2312" w:cs="宋体"/>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2EA70">
            <w:pPr>
              <w:widowControl/>
              <w:jc w:val="center"/>
              <w:textAlignment w:val="center"/>
              <w:rPr>
                <w:rFonts w:ascii="仿宋_GB2312" w:eastAsia="仿宋_GB2312"/>
              </w:rPr>
            </w:pPr>
            <w:r>
              <w:rPr>
                <w:rFonts w:hint="eastAsia" w:ascii="仿宋_GB2312" w:eastAsia="仿宋_GB2312" w:cs="宋体"/>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64901">
            <w:pPr>
              <w:widowControl/>
              <w:jc w:val="center"/>
              <w:textAlignment w:val="center"/>
              <w:rPr>
                <w:rFonts w:ascii="仿宋_GB2312" w:eastAsia="仿宋_GB2312"/>
              </w:rPr>
            </w:pPr>
            <w:r>
              <w:rPr>
                <w:rFonts w:ascii="仿宋_GB2312" w:eastAsia="仿宋_GB2312" w:cs="宋体"/>
              </w:rPr>
              <w:t>201</w:t>
            </w:r>
            <w:r>
              <w:rPr>
                <w:rFonts w:hint="eastAsia" w:ascii="仿宋_GB2312" w:eastAsia="仿宋_GB2312" w:cs="宋体"/>
              </w:rPr>
              <w:t>9年</w:t>
            </w:r>
            <w:r>
              <w:rPr>
                <w:rFonts w:ascii="仿宋_GB2312" w:eastAsia="仿宋_GB2312" w:cs="宋体"/>
              </w:rPr>
              <w:t>1-12</w:t>
            </w:r>
            <w:r>
              <w:rPr>
                <w:rFonts w:hint="eastAsia" w:ascii="仿宋_GB2312" w:eastAsia="仿宋_GB2312" w:cs="宋体"/>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C1F10E">
            <w:pPr>
              <w:widowControl/>
              <w:jc w:val="center"/>
              <w:textAlignment w:val="center"/>
              <w:rPr>
                <w:rFonts w:ascii="仿宋_GB2312" w:eastAsia="仿宋_GB2312"/>
              </w:rPr>
            </w:pPr>
            <w:r>
              <w:rPr>
                <w:rFonts w:ascii="仿宋_GB2312" w:eastAsia="仿宋_GB2312"/>
              </w:rPr>
              <w:t>201</w:t>
            </w:r>
            <w:r>
              <w:rPr>
                <w:rFonts w:hint="eastAsia" w:ascii="仿宋_GB2312" w:eastAsia="仿宋_GB2312"/>
              </w:rPr>
              <w:t>9年度全部完成</w:t>
            </w:r>
          </w:p>
        </w:tc>
      </w:tr>
      <w:tr w14:paraId="41476B0D">
        <w:tblPrEx>
          <w:tblCellMar>
            <w:top w:w="0" w:type="dxa"/>
            <w:left w:w="0" w:type="dxa"/>
            <w:bottom w:w="0" w:type="dxa"/>
            <w:right w:w="0" w:type="dxa"/>
          </w:tblCellMar>
        </w:tblPrEx>
        <w:trPr>
          <w:trHeight w:val="805" w:hRule="atLeast"/>
          <w:jc w:val="center"/>
        </w:trPr>
        <w:tc>
          <w:tcPr>
            <w:tcW w:w="3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7794E5">
            <w:pPr>
              <w:widowControl/>
              <w:jc w:val="center"/>
              <w:textAlignment w:val="center"/>
              <w:rPr>
                <w:sz w:val="24"/>
              </w:rPr>
            </w:pPr>
          </w:p>
        </w:tc>
        <w:tc>
          <w:tcPr>
            <w:tcW w:w="13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BF9DE6">
            <w:pPr>
              <w:widowControl/>
              <w:jc w:val="center"/>
              <w:textAlignment w:val="center"/>
              <w:rPr>
                <w:sz w:val="24"/>
              </w:rPr>
            </w:pPr>
            <w:r>
              <w:rPr>
                <w:kern w:val="0"/>
                <w:sz w:val="24"/>
              </w:rPr>
              <w:t>满意度指标</w:t>
            </w:r>
          </w:p>
        </w:tc>
        <w:tc>
          <w:tcPr>
            <w:tcW w:w="1025"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7EC694A9">
            <w:pPr>
              <w:widowControl/>
              <w:jc w:val="center"/>
              <w:textAlignment w:val="center"/>
              <w:rPr>
                <w:rFonts w:ascii="仿宋_GB2312" w:eastAsia="仿宋_GB2312"/>
                <w:sz w:val="18"/>
                <w:szCs w:val="18"/>
              </w:rPr>
            </w:pPr>
            <w:r>
              <w:rPr>
                <w:rFonts w:hint="eastAsia" w:ascii="仿宋_GB2312" w:eastAsia="仿宋_GB2312" w:cs="宋体"/>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33442">
            <w:pPr>
              <w:widowControl/>
              <w:jc w:val="center"/>
              <w:textAlignment w:val="center"/>
              <w:rPr>
                <w:rFonts w:ascii="仿宋_GB2312" w:eastAsia="仿宋_GB2312"/>
              </w:rPr>
            </w:pPr>
            <w:r>
              <w:rPr>
                <w:rFonts w:hint="eastAsia" w:ascii="仿宋_GB2312" w:eastAsia="仿宋_GB2312" w:cs="宋体"/>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A3E15">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031BA2">
            <w:pPr>
              <w:widowControl/>
              <w:jc w:val="center"/>
              <w:textAlignment w:val="center"/>
              <w:rPr>
                <w:rFonts w:ascii="仿宋_GB2312" w:eastAsia="仿宋_GB2312"/>
              </w:rPr>
            </w:pPr>
            <w:r>
              <w:rPr>
                <w:rFonts w:hint="eastAsia" w:ascii="仿宋_GB2312" w:eastAsia="仿宋_GB2312" w:cs="宋体"/>
              </w:rPr>
              <w:t>〉</w:t>
            </w:r>
            <w:r>
              <w:rPr>
                <w:rFonts w:ascii="仿宋_GB2312" w:eastAsia="仿宋_GB2312" w:cs="宋体"/>
              </w:rPr>
              <w:t>85%</w:t>
            </w:r>
          </w:p>
        </w:tc>
      </w:tr>
    </w:tbl>
    <w:p w14:paraId="7379A334">
      <w:pPr>
        <w:spacing w:line="580" w:lineRule="exact"/>
        <w:ind w:left="630"/>
        <w:rPr>
          <w:rFonts w:hint="default" w:ascii="Times New Roman" w:hAnsi="Times New Roman" w:eastAsia="楷体_GB2312" w:cs="Times New Roman"/>
          <w:color w:val="auto"/>
          <w:sz w:val="32"/>
          <w:szCs w:val="32"/>
        </w:rPr>
      </w:pPr>
    </w:p>
    <w:p w14:paraId="4ACEE852">
      <w:pPr>
        <w:spacing w:line="580" w:lineRule="exact"/>
        <w:ind w:left="630"/>
        <w:rPr>
          <w:rFonts w:hint="default" w:ascii="Times New Roman" w:hAnsi="Times New Roman" w:eastAsia="楷体_GB2312" w:cs="Times New Roman"/>
          <w:color w:val="auto"/>
          <w:sz w:val="32"/>
          <w:szCs w:val="32"/>
        </w:rPr>
      </w:pPr>
    </w:p>
    <w:p w14:paraId="23F4DB54">
      <w:pPr>
        <w:spacing w:line="580" w:lineRule="exact"/>
        <w:ind w:firstLine="643" w:firstLineChars="200"/>
        <w:rPr>
          <w:rFonts w:hint="default" w:eastAsia="楷体_GB2312"/>
          <w:b/>
          <w:bCs/>
          <w:sz w:val="32"/>
          <w:szCs w:val="32"/>
        </w:rPr>
      </w:pPr>
      <w:r>
        <w:rPr>
          <w:rFonts w:hint="default" w:eastAsia="楷体_GB2312"/>
          <w:b/>
          <w:bCs/>
          <w:sz w:val="32"/>
          <w:szCs w:val="32"/>
        </w:rPr>
        <w:t>2.部门绩效评价结果。</w:t>
      </w:r>
    </w:p>
    <w:p w14:paraId="7E229C69">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本部门按要求对2019年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部门整体支出绩效评价情况开展自评，《</w:t>
      </w:r>
      <w:r>
        <w:rPr>
          <w:rFonts w:hint="default" w:ascii="Times New Roman" w:hAnsi="Times New Roman" w:eastAsia="仿宋_GB2312" w:cs="Times New Roman"/>
          <w:color w:val="auto"/>
          <w:sz w:val="32"/>
          <w:szCs w:val="32"/>
          <w:lang w:eastAsia="zh-CN"/>
        </w:rPr>
        <w:t>米易县住房和城乡建设局</w:t>
      </w:r>
      <w:r>
        <w:rPr>
          <w:rFonts w:hint="default" w:ascii="Times New Roman" w:hAnsi="Times New Roman" w:eastAsia="仿宋_GB2312" w:cs="Times New Roman"/>
          <w:color w:val="auto"/>
          <w:sz w:val="32"/>
          <w:szCs w:val="32"/>
        </w:rPr>
        <w:t>部门2019年</w:t>
      </w:r>
      <w:r>
        <w:rPr>
          <w:rFonts w:hint="eastAsia" w:eastAsia="仿宋_GB2312" w:cs="Times New Roman"/>
          <w:color w:val="auto"/>
          <w:sz w:val="32"/>
          <w:szCs w:val="32"/>
          <w:lang w:eastAsia="zh-CN"/>
        </w:rPr>
        <w:t>度</w:t>
      </w:r>
      <w:r>
        <w:rPr>
          <w:rFonts w:hint="default" w:ascii="Times New Roman" w:hAnsi="Times New Roman" w:eastAsia="仿宋_GB2312" w:cs="Times New Roman"/>
          <w:color w:val="auto"/>
          <w:sz w:val="32"/>
          <w:szCs w:val="32"/>
        </w:rPr>
        <w:t>部门整体支出绩效评价报告》见附件（附件1）。</w:t>
      </w:r>
    </w:p>
    <w:p w14:paraId="025A8AC0">
      <w:pPr>
        <w:spacing w:line="580" w:lineRule="exact"/>
        <w:ind w:firstLine="640" w:firstLineChars="200"/>
        <w:rPr>
          <w:rFonts w:hint="default" w:ascii="Times New Roman" w:hAnsi="Times New Roman" w:eastAsia="仿宋_GB2312" w:cs="Times New Roman"/>
          <w:b w:val="0"/>
          <w:bCs w:val="0"/>
          <w:color w:val="000000"/>
          <w:kern w:val="0"/>
          <w:sz w:val="32"/>
          <w:szCs w:val="32"/>
          <w:shd w:val="clear" w:color="auto" w:fill="FFFFFF"/>
          <w:lang w:val="en-US" w:eastAsia="zh-CN" w:bidi="ar-SA"/>
        </w:rPr>
      </w:pPr>
      <w:r>
        <w:rPr>
          <w:rFonts w:hint="default" w:ascii="Times New Roman" w:hAnsi="Times New Roman" w:eastAsia="仿宋_GB2312" w:cs="Times New Roman"/>
          <w:b w:val="0"/>
          <w:bCs w:val="0"/>
          <w:color w:val="000000"/>
          <w:kern w:val="0"/>
          <w:sz w:val="32"/>
          <w:szCs w:val="32"/>
          <w:shd w:val="clear" w:color="auto" w:fill="FFFFFF"/>
          <w:lang w:val="en-US" w:eastAsia="zh-CN" w:bidi="ar-SA"/>
        </w:rPr>
        <w:t>本部门还自行组织对2019年度米易县草场河克朗段生态湿地净水区工程开展了绩效评价，《2019年度米易县草场河克朗段生态湿地净水区工程开展了绩效评价自评报告》见附件（附件2）。</w:t>
      </w:r>
    </w:p>
    <w:p w14:paraId="533E0DD7">
      <w:pPr>
        <w:spacing w:line="580" w:lineRule="exact"/>
        <w:ind w:firstLine="643" w:firstLineChars="200"/>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b/>
          <w:color w:val="FF0000"/>
          <w:sz w:val="32"/>
          <w:szCs w:val="32"/>
        </w:rPr>
        <w:br w:type="page"/>
      </w:r>
    </w:p>
    <w:p w14:paraId="0B9ADDC7">
      <w:pPr>
        <w:pStyle w:val="3"/>
        <w:jc w:val="center"/>
        <w:rPr>
          <w:rFonts w:hint="default" w:ascii="Times New Roman" w:hAnsi="Times New Roman" w:eastAsia="黑体" w:cs="Times New Roman"/>
          <w:b w:val="0"/>
        </w:rPr>
      </w:pPr>
      <w:bookmarkStart w:id="74" w:name="_Toc15396613"/>
      <w:bookmarkStart w:id="75" w:name="_Toc15377225"/>
      <w:bookmarkStart w:id="76" w:name="_第三部分 名词解释"/>
      <w:r>
        <w:rPr>
          <w:rFonts w:hint="eastAsia" w:eastAsia="黑体" w:cs="Times New Roman"/>
          <w:b w:val="0"/>
          <w:lang w:eastAsia="zh-CN"/>
        </w:rPr>
        <w:t>第三部分</w:t>
      </w:r>
      <w:r>
        <w:rPr>
          <w:rFonts w:hint="eastAsia" w:eastAsia="黑体" w:cs="Times New Roman"/>
          <w:b w:val="0"/>
          <w:lang w:val="en-US" w:eastAsia="zh-CN"/>
        </w:rPr>
        <w:t xml:space="preserve"> </w:t>
      </w:r>
      <w:r>
        <w:rPr>
          <w:rFonts w:hint="default" w:ascii="Times New Roman" w:hAnsi="Times New Roman" w:eastAsia="黑体" w:cs="Times New Roman"/>
          <w:b w:val="0"/>
        </w:rPr>
        <w:t>名词解释</w:t>
      </w:r>
      <w:bookmarkEnd w:id="74"/>
      <w:bookmarkEnd w:id="75"/>
    </w:p>
    <w:bookmarkEnd w:id="76"/>
    <w:p w14:paraId="0C031CCB">
      <w:pPr>
        <w:pStyle w:val="27"/>
        <w:spacing w:line="560" w:lineRule="exact"/>
        <w:ind w:firstLine="640" w:firstLineChars="200"/>
        <w:rPr>
          <w:rFonts w:ascii="仿宋_GB2312" w:eastAsia="仿宋_GB2312"/>
          <w:sz w:val="32"/>
          <w:szCs w:val="32"/>
        </w:rPr>
      </w:pPr>
      <w:bookmarkStart w:id="7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E34681B">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718F765">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37BF128">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5BFDD542">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7C000476">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0A08FA3">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050BE83E">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38BE54D">
      <w:pPr>
        <w:pStyle w:val="27"/>
        <w:spacing w:line="560" w:lineRule="exact"/>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color w:val="auto"/>
          <w:sz w:val="32"/>
          <w:szCs w:val="32"/>
        </w:rPr>
        <w:t>“三公”经费</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38C3685">
      <w:pPr>
        <w:ind w:firstLine="640" w:firstLineChars="200"/>
        <w:rPr>
          <w:rFonts w:ascii="仿宋_GB2312" w:eastAsia="仿宋_GB2312"/>
          <w:color w:val="000000"/>
          <w:sz w:val="32"/>
          <w:szCs w:val="32"/>
        </w:rPr>
      </w:pPr>
      <w:r>
        <w:rPr>
          <w:rFonts w:ascii="仿宋_GB2312" w:eastAsia="仿宋_GB2312"/>
          <w:sz w:val="32"/>
          <w:szCs w:val="32"/>
        </w:rPr>
        <w:t>10.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E0E5EBC">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C66BE82">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55907D9">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AB90D2D">
      <w:pPr>
        <w:pStyle w:val="3"/>
        <w:jc w:val="center"/>
        <w:rPr>
          <w:rFonts w:hint="default" w:eastAsia="黑体" w:cs="Times New Roman"/>
          <w:b w:val="0"/>
          <w:lang w:val="en-US" w:eastAsia="zh-CN"/>
        </w:rPr>
      </w:pPr>
      <w:bookmarkStart w:id="78" w:name="_Toc15396614"/>
      <w:bookmarkStart w:id="79" w:name="__x000F_第四部分 附件"/>
      <w:bookmarkStart w:id="80" w:name="__x000F_第四部分 附件"/>
    </w:p>
    <w:p w14:paraId="0681D57D">
      <w:pPr>
        <w:rPr>
          <w:rFonts w:hint="default"/>
          <w:lang w:val="en-US" w:eastAsia="zh-CN"/>
        </w:rPr>
      </w:pPr>
    </w:p>
    <w:p w14:paraId="2F650470">
      <w:pPr>
        <w:pStyle w:val="3"/>
        <w:jc w:val="center"/>
        <w:rPr>
          <w:rFonts w:hint="default" w:eastAsia="黑体" w:cs="Times New Roman"/>
          <w:b w:val="0"/>
          <w:lang w:val="en-US" w:eastAsia="zh-CN"/>
        </w:rPr>
      </w:pPr>
      <w:bookmarkStart w:id="81" w:name="_第四部分 附件"/>
      <w:r>
        <w:rPr>
          <w:rFonts w:hint="default" w:eastAsia="黑体" w:cs="Times New Roman"/>
          <w:b w:val="0"/>
          <w:lang w:val="en-US" w:eastAsia="zh-CN"/>
        </w:rPr>
        <w:t>第四部分 附件</w:t>
      </w:r>
      <w:bookmarkEnd w:id="78"/>
    </w:p>
    <w:bookmarkEnd w:id="79"/>
    <w:bookmarkEnd w:id="80"/>
    <w:bookmarkEnd w:id="81"/>
    <w:p w14:paraId="4900A039">
      <w:pPr>
        <w:pStyle w:val="3"/>
        <w:jc w:val="both"/>
        <w:rPr>
          <w:rFonts w:hint="eastAsia" w:ascii="黑体" w:hAnsi="黑体" w:eastAsia="黑体" w:cs="黑体"/>
          <w:b w:val="0"/>
          <w:sz w:val="32"/>
          <w:szCs w:val="32"/>
          <w:lang w:eastAsia="zh-CN"/>
        </w:rPr>
      </w:pPr>
      <w:bookmarkStart w:id="82" w:name="_附件1"/>
      <w:r>
        <w:rPr>
          <w:rFonts w:hint="eastAsia" w:ascii="黑体" w:hAnsi="黑体" w:eastAsia="黑体" w:cs="黑体"/>
          <w:b w:val="0"/>
          <w:sz w:val="32"/>
          <w:szCs w:val="32"/>
          <w:lang w:eastAsia="zh-CN"/>
        </w:rPr>
        <w:t>附件1</w:t>
      </w:r>
    </w:p>
    <w:bookmarkEnd w:id="82"/>
    <w:p w14:paraId="0C245EA9">
      <w:pPr>
        <w:spacing w:line="600" w:lineRule="exact"/>
        <w:jc w:val="center"/>
        <w:rPr>
          <w:rFonts w:hint="eastAsia" w:eastAsia="方正小标宋简体" w:cs="Times New Roman"/>
          <w:color w:val="000000"/>
          <w:kern w:val="0"/>
          <w:sz w:val="40"/>
          <w:szCs w:val="44"/>
          <w:lang w:eastAsia="zh-CN"/>
        </w:rPr>
      </w:pPr>
      <w:r>
        <w:rPr>
          <w:rFonts w:hint="eastAsia" w:eastAsia="方正小标宋简体" w:cs="Times New Roman"/>
          <w:color w:val="000000"/>
          <w:kern w:val="0"/>
          <w:sz w:val="40"/>
          <w:szCs w:val="44"/>
          <w:lang w:eastAsia="zh-CN"/>
        </w:rPr>
        <w:t>米易县住房和城乡建设局</w:t>
      </w:r>
    </w:p>
    <w:p w14:paraId="75518101">
      <w:pPr>
        <w:spacing w:line="600" w:lineRule="exact"/>
        <w:jc w:val="center"/>
        <w:rPr>
          <w:rFonts w:hint="default" w:ascii="Times New Roman" w:hAnsi="Times New Roman" w:eastAsia="方正小标宋简体" w:cs="Times New Roman"/>
          <w:color w:val="000000"/>
          <w:kern w:val="0"/>
          <w:sz w:val="40"/>
          <w:szCs w:val="44"/>
          <w:lang w:val="zh-CN"/>
        </w:rPr>
      </w:pPr>
      <w:r>
        <w:rPr>
          <w:rFonts w:hint="default" w:ascii="Times New Roman" w:hAnsi="Times New Roman" w:eastAsia="方正小标宋简体" w:cs="Times New Roman"/>
          <w:color w:val="000000"/>
          <w:kern w:val="0"/>
          <w:sz w:val="40"/>
          <w:szCs w:val="44"/>
        </w:rPr>
        <w:t>2019年</w:t>
      </w:r>
      <w:r>
        <w:rPr>
          <w:rFonts w:hint="eastAsia" w:eastAsia="方正小标宋简体" w:cs="Times New Roman"/>
          <w:color w:val="000000"/>
          <w:kern w:val="0"/>
          <w:sz w:val="40"/>
          <w:szCs w:val="44"/>
          <w:lang w:eastAsia="zh-CN"/>
        </w:rPr>
        <w:t>度</w:t>
      </w:r>
      <w:r>
        <w:rPr>
          <w:rFonts w:hint="default" w:ascii="Times New Roman" w:hAnsi="Times New Roman" w:eastAsia="方正小标宋简体" w:cs="Times New Roman"/>
          <w:color w:val="000000"/>
          <w:kern w:val="0"/>
          <w:sz w:val="40"/>
          <w:szCs w:val="44"/>
        </w:rPr>
        <w:t>部门</w:t>
      </w:r>
      <w:r>
        <w:rPr>
          <w:rFonts w:hint="default" w:ascii="Times New Roman" w:hAnsi="Times New Roman" w:eastAsia="方正小标宋简体" w:cs="Times New Roman"/>
          <w:color w:val="000000"/>
          <w:kern w:val="0"/>
          <w:sz w:val="40"/>
          <w:szCs w:val="44"/>
          <w:lang w:val="zh-CN"/>
        </w:rPr>
        <w:t>整体支出绩效评价报告</w:t>
      </w:r>
    </w:p>
    <w:p w14:paraId="04E95F7D">
      <w:pPr>
        <w:widowControl/>
        <w:adjustRightInd w:val="0"/>
        <w:snapToGrid w:val="0"/>
        <w:spacing w:line="580" w:lineRule="exact"/>
        <w:ind w:firstLine="480" w:firstLineChars="200"/>
        <w:contextualSpacing/>
        <w:jc w:val="left"/>
        <w:rPr>
          <w:rFonts w:hint="default" w:ascii="Times New Roman" w:hAnsi="Times New Roman" w:eastAsia="黑体" w:cs="Times New Roman"/>
          <w:color w:val="000000"/>
          <w:kern w:val="0"/>
          <w:sz w:val="24"/>
          <w:szCs w:val="32"/>
          <w:shd w:val="clear" w:color="auto" w:fill="FFFFFF"/>
        </w:rPr>
      </w:pPr>
    </w:p>
    <w:p w14:paraId="5B2B438C">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一、</w:t>
      </w:r>
      <w:r>
        <w:rPr>
          <w:rFonts w:hint="default" w:ascii="Times New Roman" w:hAnsi="Times New Roman" w:eastAsia="黑体" w:cs="Times New Roman"/>
          <w:color w:val="000000"/>
          <w:kern w:val="0"/>
          <w:sz w:val="32"/>
          <w:szCs w:val="32"/>
          <w:shd w:val="clear" w:color="auto" w:fill="FFFFFF"/>
          <w:lang w:val="zh-CN"/>
        </w:rPr>
        <w:t>部门（单位）概况</w:t>
      </w:r>
    </w:p>
    <w:p w14:paraId="4F48D460">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（一）机构组成。</w:t>
      </w:r>
    </w:p>
    <w:p w14:paraId="255A2455">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eastAsia="zh-CN"/>
        </w:rPr>
        <w:t>县住房和城乡建设局内</w:t>
      </w:r>
      <w:r>
        <w:rPr>
          <w:rFonts w:hint="default" w:ascii="Times New Roman" w:hAnsi="Times New Roman" w:eastAsia="仿宋_GB2312" w:cs="Times New Roman"/>
          <w:color w:val="000000"/>
          <w:kern w:val="0"/>
          <w:sz w:val="32"/>
          <w:szCs w:val="32"/>
          <w:shd w:val="clear" w:color="auto" w:fill="FFFFFF"/>
          <w:lang w:val="zh-CN"/>
        </w:rPr>
        <w:t>设行政股室</w:t>
      </w:r>
      <w:r>
        <w:rPr>
          <w:rFonts w:hint="default" w:ascii="Times New Roman" w:hAnsi="Times New Roman" w:eastAsia="仿宋_GB2312" w:cs="Times New Roman"/>
          <w:color w:val="000000"/>
          <w:kern w:val="0"/>
          <w:sz w:val="32"/>
          <w:szCs w:val="32"/>
          <w:shd w:val="clear" w:color="auto" w:fill="FFFFFF"/>
          <w:lang w:val="zh-CN" w:eastAsia="zh-CN"/>
        </w:rPr>
        <w:t>4</w:t>
      </w:r>
      <w:r>
        <w:rPr>
          <w:rFonts w:hint="default" w:ascii="Times New Roman" w:hAnsi="Times New Roman" w:eastAsia="仿宋_GB2312" w:cs="Times New Roman"/>
          <w:color w:val="000000"/>
          <w:kern w:val="0"/>
          <w:sz w:val="32"/>
          <w:szCs w:val="32"/>
          <w:shd w:val="clear" w:color="auto" w:fill="FFFFFF"/>
          <w:lang w:val="zh-CN"/>
        </w:rPr>
        <w:t>个</w:t>
      </w:r>
      <w:r>
        <w:rPr>
          <w:rFonts w:hint="default" w:ascii="Times New Roman" w:hAnsi="Times New Roman" w:eastAsia="仿宋_GB2312" w:cs="Times New Roman"/>
          <w:color w:val="000000"/>
          <w:kern w:val="0"/>
          <w:sz w:val="32"/>
          <w:szCs w:val="32"/>
          <w:shd w:val="clear" w:color="auto" w:fill="FFFFFF"/>
          <w:lang w:val="zh-CN" w:eastAsia="zh-CN"/>
        </w:rPr>
        <w:t>，即</w:t>
      </w:r>
      <w:r>
        <w:rPr>
          <w:rFonts w:hint="default" w:ascii="Times New Roman" w:hAnsi="Times New Roman" w:eastAsia="仿宋_GB2312" w:cs="Times New Roman"/>
          <w:color w:val="000000"/>
          <w:kern w:val="0"/>
          <w:sz w:val="32"/>
          <w:szCs w:val="32"/>
          <w:shd w:val="clear" w:color="auto" w:fill="FFFFFF"/>
          <w:lang w:val="zh-CN"/>
        </w:rPr>
        <w:t>办公室、</w:t>
      </w:r>
      <w:r>
        <w:rPr>
          <w:rFonts w:hint="default" w:ascii="Times New Roman" w:hAnsi="Times New Roman" w:eastAsia="仿宋_GB2312" w:cs="Times New Roman"/>
          <w:color w:val="000000"/>
          <w:kern w:val="0"/>
          <w:sz w:val="32"/>
          <w:szCs w:val="32"/>
          <w:shd w:val="clear" w:color="auto" w:fill="FFFFFF"/>
          <w:lang w:val="zh-CN" w:eastAsia="zh-CN"/>
        </w:rPr>
        <w:t>城乡建设股</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eastAsia="zh-CN"/>
        </w:rPr>
        <w:t>建筑行业管理股</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eastAsia="zh-CN"/>
        </w:rPr>
        <w:t>综合股；</w:t>
      </w:r>
      <w:r>
        <w:rPr>
          <w:rFonts w:hint="default" w:ascii="Times New Roman" w:hAnsi="Times New Roman" w:eastAsia="仿宋_GB2312" w:cs="Times New Roman"/>
          <w:color w:val="000000"/>
          <w:kern w:val="0"/>
          <w:sz w:val="32"/>
          <w:szCs w:val="32"/>
          <w:shd w:val="clear" w:color="auto" w:fill="FFFFFF"/>
          <w:lang w:val="zh-CN"/>
        </w:rPr>
        <w:t>下属事业单位6个，即</w:t>
      </w:r>
      <w:r>
        <w:rPr>
          <w:rFonts w:hint="default" w:ascii="Times New Roman" w:hAnsi="Times New Roman" w:eastAsia="仿宋_GB2312" w:cs="Times New Roman"/>
          <w:color w:val="000000"/>
          <w:kern w:val="0"/>
          <w:sz w:val="32"/>
          <w:szCs w:val="32"/>
          <w:shd w:val="clear" w:color="auto" w:fill="FFFFFF"/>
          <w:lang w:val="zh-CN" w:eastAsia="zh-CN"/>
        </w:rPr>
        <w:t>米易县住房保障服务中心</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eastAsia="zh-CN"/>
        </w:rPr>
        <w:t>米易县城乡建设促进中心（设主任 1 名，按副科级干部管理）</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eastAsia="zh-CN"/>
        </w:rPr>
        <w:t>米易县建设工程质量安全监测站</w:t>
      </w:r>
      <w:r>
        <w:rPr>
          <w:rFonts w:hint="default" w:ascii="Times New Roman" w:hAnsi="Times New Roman" w:eastAsia="仿宋_GB2312" w:cs="Times New Roman"/>
          <w:color w:val="000000"/>
          <w:kern w:val="0"/>
          <w:sz w:val="32"/>
          <w:szCs w:val="32"/>
          <w:shd w:val="clear" w:color="auto" w:fill="FFFFFF"/>
          <w:lang w:val="zh-CN"/>
        </w:rPr>
        <w:t>、</w:t>
      </w:r>
      <w:r>
        <w:rPr>
          <w:rFonts w:hint="default" w:ascii="Times New Roman" w:hAnsi="Times New Roman" w:eastAsia="仿宋_GB2312" w:cs="Times New Roman"/>
          <w:color w:val="000000"/>
          <w:kern w:val="0"/>
          <w:sz w:val="32"/>
          <w:szCs w:val="32"/>
          <w:shd w:val="clear" w:color="auto" w:fill="FFFFFF"/>
          <w:lang w:val="zh-CN" w:eastAsia="zh-CN"/>
        </w:rPr>
        <w:t>米易县房地产发展和物业服务中心</w:t>
      </w:r>
      <w:r>
        <w:rPr>
          <w:rFonts w:hint="default" w:ascii="Times New Roman" w:hAnsi="Times New Roman" w:eastAsia="仿宋_GB2312" w:cs="Times New Roman"/>
          <w:color w:val="000000"/>
          <w:kern w:val="0"/>
          <w:sz w:val="32"/>
          <w:szCs w:val="32"/>
          <w:shd w:val="clear" w:color="auto" w:fill="FFFFFF"/>
          <w:lang w:val="zh-CN"/>
        </w:rPr>
        <w:t>、</w:t>
      </w:r>
      <w:r>
        <w:rPr>
          <w:rFonts w:hint="eastAsia" w:eastAsia="仿宋_GB2312" w:cs="Times New Roman"/>
          <w:color w:val="000000"/>
          <w:kern w:val="0"/>
          <w:sz w:val="32"/>
          <w:szCs w:val="32"/>
          <w:shd w:val="clear" w:color="auto" w:fill="FFFFFF"/>
          <w:lang w:val="zh-CN"/>
        </w:rPr>
        <w:t>米易县</w:t>
      </w:r>
      <w:r>
        <w:rPr>
          <w:rFonts w:hint="default" w:ascii="Times New Roman" w:hAnsi="Times New Roman" w:eastAsia="仿宋_GB2312" w:cs="Times New Roman"/>
          <w:color w:val="000000"/>
          <w:kern w:val="0"/>
          <w:sz w:val="32"/>
          <w:szCs w:val="32"/>
          <w:shd w:val="clear" w:color="auto" w:fill="FFFFFF"/>
          <w:lang w:val="zh-CN"/>
        </w:rPr>
        <w:t>规划建设监察大队、</w:t>
      </w:r>
      <w:r>
        <w:rPr>
          <w:rFonts w:hint="eastAsia" w:eastAsia="仿宋_GB2312" w:cs="Times New Roman"/>
          <w:color w:val="000000"/>
          <w:kern w:val="0"/>
          <w:sz w:val="32"/>
          <w:szCs w:val="32"/>
          <w:shd w:val="clear" w:color="auto" w:fill="FFFFFF"/>
          <w:lang w:val="zh-CN"/>
        </w:rPr>
        <w:t>米易县</w:t>
      </w:r>
      <w:r>
        <w:rPr>
          <w:rFonts w:hint="default" w:ascii="Times New Roman" w:hAnsi="Times New Roman" w:eastAsia="仿宋_GB2312" w:cs="Times New Roman"/>
          <w:color w:val="000000"/>
          <w:kern w:val="0"/>
          <w:sz w:val="32"/>
          <w:szCs w:val="32"/>
          <w:shd w:val="clear" w:color="auto" w:fill="FFFFFF"/>
          <w:lang w:val="zh-CN"/>
        </w:rPr>
        <w:t>建筑行业</w:t>
      </w:r>
      <w:r>
        <w:rPr>
          <w:rFonts w:hint="default" w:ascii="Times New Roman" w:hAnsi="Times New Roman" w:eastAsia="仿宋_GB2312" w:cs="Times New Roman"/>
          <w:color w:val="000000"/>
          <w:kern w:val="0"/>
          <w:sz w:val="32"/>
          <w:szCs w:val="32"/>
          <w:shd w:val="clear" w:color="auto" w:fill="FFFFFF"/>
          <w:lang w:val="zh-CN" w:eastAsia="zh-CN"/>
        </w:rPr>
        <w:t>服务</w:t>
      </w:r>
      <w:r>
        <w:rPr>
          <w:rFonts w:hint="default" w:ascii="Times New Roman" w:hAnsi="Times New Roman" w:eastAsia="仿宋_GB2312" w:cs="Times New Roman"/>
          <w:color w:val="000000"/>
          <w:kern w:val="0"/>
          <w:sz w:val="32"/>
          <w:szCs w:val="32"/>
          <w:shd w:val="clear" w:color="auto" w:fill="FFFFFF"/>
          <w:lang w:val="zh-CN"/>
        </w:rPr>
        <w:t>站。</w:t>
      </w:r>
    </w:p>
    <w:p w14:paraId="5B492199">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（二）机构职能。</w:t>
      </w:r>
    </w:p>
    <w:p w14:paraId="5CDAFF0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负责城市市政设施年度建设计划编制。</w:t>
      </w:r>
      <w:r>
        <w:rPr>
          <w:rFonts w:hint="default" w:ascii="Times New Roman" w:hAnsi="Times New Roman" w:eastAsia="仿宋_GB2312" w:cs="Times New Roman"/>
          <w:sz w:val="32"/>
          <w:szCs w:val="32"/>
        </w:rPr>
        <w:t>指导城市市政设施建设和城市地铁、轨道交通等城市公共交通设施的建设。参与城市总体规划和专项规划编制和审核。参与城市市政基础设施建设项目竣工验收、移交工作。拟订全县村镇建设的发展规划并监督实施。指导全县乡镇和村庄建设工作。指导全县农村住房建设、危房改造、公用设施建设、小城镇建设、建筑工匠培训和管理。组织开展全县“特色小城镇”培育创建、村镇建设试点工作。参与我县新农村建设、改善农村人居环境工作。负责历史文化名城（镇、村）保护审核报批、保护和监督管理职责。</w:t>
      </w:r>
    </w:p>
    <w:p w14:paraId="2FC547BD">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拟订建筑业中长期规划、行业政策。</w:t>
      </w:r>
      <w:r>
        <w:rPr>
          <w:rFonts w:hint="default" w:ascii="Times New Roman" w:hAnsi="Times New Roman" w:eastAsia="仿宋_GB2312" w:cs="Times New Roman"/>
          <w:sz w:val="32"/>
          <w:szCs w:val="32"/>
        </w:rPr>
        <w:t xml:space="preserve">承担建筑市场及本地建筑施工企业资质、注册建造师的监督管理。参与房建和市政设施项目施工招投标活动监督。协助处理建设工程农民工拖欠工资。负责城市建设档案管理、散装水泥发展和应用的监督检查、材料价格信息、工程造价管理和施工合同备案管理。贯彻执行工程质量监督政策、管理规章、安全生产劳动保护的法律、法规和标准。研究拟订建筑行业安全保护措施。负责房屋建筑和市政基础设施工程的施工质量、安全生产和文明施工管理工作。负责工程质量竣工验收备案管理。负责行业安全生产综合监督管理和考核。负责组织建设工程质量安全生产大检查。指挥、处理房屋建筑和市政基础设施建设工程质量和安全突发应急事件。组织或参与重大工程质量问题、安全事故调查处理。指导起重机械设备备案管理、建筑施工企业编制保证安全施工的措施和专项施工方案的备案工作。负责全县建筑施工企业《安全生产许可证》的监督管理。负责对房屋建筑和市政工程施工扬尘、房屋建筑工程抗震设防实施情况、工程监理质量检测机构、专职安全管理人员、工程建设施工过程中质量安全强制性标准进行监督检查。负责全县建筑工程质量安全监督机构、监督人员考核工作。负责全县建设企业专业管理人员、特种作业人员、三类人员岗位培训和证书复检、备案及建筑劳务输出人员技能培训鉴定工作。指导农村住房建设质量安全监管。承担全县勘察设计行业综合管理的具体工作。参与建设工程勘察设计招标管理和勘察设计违法违规行为的查处。负责施工图审查备案工作和局系统信息化建设工作。负责行业新技术、新工艺、新材料、新设备的推广和应用工作。负责建设工程消防安全性施工图审查、备案、消防竣工验收和抽查职责。负责城市基础设施配套费的征收。 </w:t>
      </w:r>
    </w:p>
    <w:p w14:paraId="698910CC">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仿宋_GB2312" w:cs="Times New Roman"/>
          <w:b/>
          <w:bCs/>
          <w:sz w:val="32"/>
          <w:szCs w:val="32"/>
        </w:rPr>
        <w:t>3</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研究拟订全县房地产业的发展规划、产业政策和规章制度。</w:t>
      </w:r>
      <w:r>
        <w:rPr>
          <w:rFonts w:hint="default" w:ascii="Times New Roman" w:hAnsi="Times New Roman" w:eastAsia="仿宋_GB2312" w:cs="Times New Roman"/>
          <w:sz w:val="32"/>
          <w:szCs w:val="32"/>
        </w:rPr>
        <w:t>负责全县房地产业监督管理工作。负责房地产开发经营管理、物业管理、房屋产权交易和权属管理、房地产中介机构管理工作。组织拟定物业管理、房屋安全鉴定、白蚁防治等工作的规章制度并监督实施职责。参与全县城镇土地开发项目土地拍卖条件意见及规划编制方案审核工作。负责行业体制改革的政策研究及规范性文件合法性审查。负责行业的法制建设、法制宣传、培训工作。负责行业行政复议、行政诉讼等法律服务工作。负责本系统执法人员管理工作。协助做好立法调研和草案起草工作。负责本系统行政审批事项、行政许可事项和政务服务事项工作。宣传、贯彻和执行国家、省、市政府关于城镇保障性安居工程方面和住房改革方面的方针、政策。组织编制全县城镇保障性安居工程发展规划和年度计划并监督实施。会同县级相关部门筹集、管理、监督使用保障性住房资金。建设完善住房保障体系，健全准入、退出等管理机制。负责全县城镇保障性安居工程建设的计划、组织、指导、协调、监督实施工作。负责全县公共租赁住房补贴的审批、监督发放 工作。负责公共租赁住房共有产权的实施。负责全县住房保障相关数据的收集、整理、统计、上报工作。负责全县城市低收入家庭住房档案的建设和完善工作。负责全县住房制度改革配套政策的拟订、报批工作。完善住房补贴制度。负责房改房、 已购经济适用房和企业集资建房的上市审批。负责县国有土地 房屋征收管理工作。贯彻执行国家省市人民防空工作的方针政 策和法律法规，拟订全县人民防空发展规划和有关政策。负责 防空地下室的管理。负责组织发放防空警报和灾情警报，指导 人民防空专业队伍建设，组织防空防灾演练。负责人民防空工 程避难场所的建设与管理。制定人民防空宣传教育计划，开展避难知识宣传教育，普及公民防护基本知识和技能。负责人民防空工程使用费和人防易地建设费的征收和管理。</w:t>
      </w:r>
    </w:p>
    <w:p w14:paraId="35D67806">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（三）人员概况。</w:t>
      </w:r>
    </w:p>
    <w:p w14:paraId="0728E3DE">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zh-CN" w:eastAsia="zh-CN"/>
        </w:rPr>
        <w:t>我局属县级行政单位，执行行政单位会计制度。截止2019年底我单位编制人为45人（其中行政编制6人，事业编制人数38人，工勤人员1人）</w:t>
      </w:r>
      <w:r>
        <w:rPr>
          <w:rFonts w:hint="eastAsia" w:eastAsia="仿宋_GB2312" w:cs="Times New Roman"/>
          <w:color w:val="000000"/>
          <w:kern w:val="0"/>
          <w:sz w:val="32"/>
          <w:szCs w:val="32"/>
          <w:shd w:val="clear" w:color="auto" w:fill="FFFFFF"/>
          <w:lang w:val="zh-CN" w:eastAsia="zh-CN"/>
        </w:rPr>
        <w:t>。</w:t>
      </w:r>
    </w:p>
    <w:p w14:paraId="35AED99F">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eastAsia="zh-CN"/>
        </w:rPr>
        <w:t>实有人52人（行政：6人；事业29人；工人1人；退休1</w:t>
      </w:r>
      <w:r>
        <w:rPr>
          <w:rFonts w:hint="eastAsia" w:eastAsia="仿宋_GB2312" w:cs="Times New Roman"/>
          <w:color w:val="000000"/>
          <w:kern w:val="0"/>
          <w:sz w:val="32"/>
          <w:szCs w:val="32"/>
          <w:shd w:val="clear" w:color="auto" w:fill="FFFFFF"/>
          <w:lang w:val="en-US" w:eastAsia="zh-CN"/>
        </w:rPr>
        <w:t>6</w:t>
      </w:r>
      <w:r>
        <w:rPr>
          <w:rFonts w:hint="default" w:ascii="Times New Roman" w:hAnsi="Times New Roman" w:eastAsia="仿宋_GB2312" w:cs="Times New Roman"/>
          <w:color w:val="000000"/>
          <w:kern w:val="0"/>
          <w:sz w:val="32"/>
          <w:szCs w:val="32"/>
          <w:shd w:val="clear" w:color="auto" w:fill="FFFFFF"/>
          <w:lang w:val="zh-CN" w:eastAsia="zh-CN"/>
        </w:rPr>
        <w:t>人；临聘人员16人）。</w:t>
      </w:r>
    </w:p>
    <w:p w14:paraId="3E78C6CC">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二、部门财政资金收支情况</w:t>
      </w:r>
    </w:p>
    <w:p w14:paraId="09459F48">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（一）部门财政资金收入情况。</w:t>
      </w:r>
    </w:p>
    <w:p w14:paraId="4BF4CFA2">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eastAsia="zh-CN"/>
        </w:rPr>
      </w:pPr>
      <w:r>
        <w:rPr>
          <w:rFonts w:hint="default" w:ascii="Times New Roman" w:hAnsi="Times New Roman" w:eastAsia="仿宋_GB2312" w:cs="Times New Roman"/>
          <w:color w:val="000000"/>
          <w:kern w:val="0"/>
          <w:sz w:val="32"/>
          <w:szCs w:val="32"/>
          <w:shd w:val="clear" w:color="auto" w:fill="FFFFFF"/>
          <w:lang w:val="en-US" w:eastAsia="zh-CN"/>
        </w:rPr>
        <w:t>本年</w:t>
      </w:r>
      <w:r>
        <w:rPr>
          <w:rFonts w:hint="eastAsia" w:ascii="Times New Roman" w:hAnsi="Times New Roman" w:eastAsia="仿宋_GB2312" w:cs="Times New Roman"/>
          <w:color w:val="000000"/>
          <w:kern w:val="0"/>
          <w:sz w:val="32"/>
          <w:szCs w:val="32"/>
          <w:shd w:val="clear" w:color="auto" w:fill="FFFFFF"/>
          <w:lang w:val="en-US" w:eastAsia="zh-CN"/>
        </w:rPr>
        <w:t>度</w:t>
      </w:r>
      <w:r>
        <w:rPr>
          <w:rFonts w:hint="default" w:ascii="Times New Roman" w:hAnsi="Times New Roman" w:eastAsia="仿宋_GB2312" w:cs="Times New Roman"/>
          <w:color w:val="000000"/>
          <w:kern w:val="0"/>
          <w:sz w:val="32"/>
          <w:szCs w:val="32"/>
          <w:shd w:val="clear" w:color="auto" w:fill="FFFFFF"/>
          <w:lang w:val="en-US" w:eastAsia="zh-CN"/>
        </w:rPr>
        <w:t>收入37,719.83万元，其中:一般公共预算财政拨款13,108.43万元，政府性基金预算财政拨款24,611.40万元。上年结转收入4,737.61万元。</w:t>
      </w:r>
    </w:p>
    <w:p w14:paraId="6834DA95">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（二）部门财政资金支出情况。</w:t>
      </w:r>
    </w:p>
    <w:p w14:paraId="510A4A5E">
      <w:pPr>
        <w:widowControl/>
        <w:adjustRightInd w:val="0"/>
        <w:snapToGrid w:val="0"/>
        <w:spacing w:line="580" w:lineRule="exact"/>
        <w:ind w:firstLine="640" w:firstLineChars="200"/>
        <w:contextualSpacing/>
        <w:jc w:val="left"/>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lang w:val="en-US" w:eastAsia="zh-CN"/>
        </w:rPr>
        <w:t>2019年</w:t>
      </w:r>
      <w:r>
        <w:rPr>
          <w:rFonts w:hint="eastAsia" w:eastAsia="仿宋_GB2312" w:cs="Times New Roman"/>
          <w:color w:val="000000"/>
          <w:kern w:val="0"/>
          <w:sz w:val="32"/>
          <w:szCs w:val="32"/>
          <w:shd w:val="clear" w:color="auto" w:fill="FFFFFF"/>
          <w:lang w:val="en-US" w:eastAsia="zh-CN"/>
        </w:rPr>
        <w:t>度</w:t>
      </w:r>
      <w:r>
        <w:rPr>
          <w:rFonts w:hint="default" w:ascii="Times New Roman" w:hAnsi="Times New Roman" w:eastAsia="仿宋_GB2312" w:cs="Times New Roman"/>
          <w:color w:val="000000"/>
          <w:kern w:val="0"/>
          <w:sz w:val="32"/>
          <w:szCs w:val="32"/>
          <w:shd w:val="clear" w:color="auto" w:fill="FFFFFF"/>
          <w:lang w:val="en-US" w:eastAsia="zh-CN"/>
        </w:rPr>
        <w:t>我局支出总额为17,785.08万元，其中基本支出805.72万元，项目支出16</w:t>
      </w:r>
      <w:r>
        <w:rPr>
          <w:rFonts w:hint="eastAsia" w:ascii="Times New Roman" w:hAnsi="Times New Roman" w:eastAsia="仿宋_GB2312" w:cs="Times New Roman"/>
          <w:color w:val="000000"/>
          <w:kern w:val="0"/>
          <w:sz w:val="32"/>
          <w:szCs w:val="32"/>
          <w:shd w:val="clear" w:color="auto" w:fill="FFFFFF"/>
          <w:lang w:val="en-US" w:eastAsia="zh-CN"/>
        </w:rPr>
        <w:t>,</w:t>
      </w:r>
      <w:r>
        <w:rPr>
          <w:rFonts w:hint="default" w:ascii="Times New Roman" w:hAnsi="Times New Roman" w:eastAsia="仿宋_GB2312" w:cs="Times New Roman"/>
          <w:color w:val="000000"/>
          <w:kern w:val="0"/>
          <w:sz w:val="32"/>
          <w:szCs w:val="32"/>
          <w:shd w:val="clear" w:color="auto" w:fill="FFFFFF"/>
          <w:lang w:val="en-US" w:eastAsia="zh-CN"/>
        </w:rPr>
        <w:t>979.36万元。其中：一般公用服务支出1.85万元（主要用于第一书记、挂职干部补助经费）；社会保障和就业支出72.80万元（主要用于退休人员的退休费、机关事业单位基本养老保险缴费的支出）；卫生健康支出41.29万元（主要用于机关事业单位医疗保险支出）；节能环保支出1,429.18万元（主要用于自然生态保护基础项目建设）；城乡社区支出13,706.48万元(主要用于人员经费、日常公用经费、城市建设等项目的支出）；住房保障支出2,342.56万元（主要用于棚户区改造、农村危房改造、保障性安居工程以及住房公积金等支出）；债务付息支出190.92万元（主要用于世行贷款付息支出）。</w:t>
      </w:r>
    </w:p>
    <w:p w14:paraId="38CAABE4">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三、部门整体预算绩效管理情况</w:t>
      </w:r>
    </w:p>
    <w:p w14:paraId="127BEA3E">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（一）部门预算管理。</w:t>
      </w:r>
    </w:p>
    <w:p w14:paraId="5564C26C">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eastAsia="zh-CN"/>
        </w:rPr>
        <w:t>严格按照县财政《关于编制2019年县本级预算通知》相关精神，认真学习《预算法》及其实施条例等预算编制的法律、法规，掌握预算编制的相关政策，及时核对人员编制、实有人数、工资、车辆等基础信息，并实时更新单位基础信息数据库，准确编制部门预算，将部门预算收入全部纳入预算管理，全面完整地反映部门真实收入情况。以2018年12月31日为基本支出预算编制基准期。基本支出预算包括人员经费和日常公用经费两部分，采取人员经费按标准、公用经费按定额的方法客观编制基本支出预算。根据项目要求，对各项目进行充分论证、可行性分析和绩效评估，通过细化支出用途，明确支出范围，采取零基预算方法编制。</w:t>
      </w:r>
    </w:p>
    <w:p w14:paraId="3F80C3F5">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（二）结果应用情况。</w:t>
      </w:r>
    </w:p>
    <w:p w14:paraId="38652467">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shd w:val="clear" w:color="auto" w:fill="FFFFFF"/>
          <w:lang w:val="zh-CN" w:eastAsia="zh-CN"/>
        </w:rPr>
        <w:t>严格按照预算批复执行，合理安排资金的使用，项目资金严格按项目完成情况及时支付相关费用。严格执行季度和半年支出分析评价及项目实施进度分析，确保全年目标任务的完成。做好职工工资、社保及公积金等人员经费和办公费、差旅费等基本公用经费保障，让干部职工以饱满的工作热情积极投身城市建设，为人民群众建设更美好的米易。</w:t>
      </w:r>
    </w:p>
    <w:p w14:paraId="160B4E2D">
      <w:pPr>
        <w:widowControl/>
        <w:adjustRightInd w:val="0"/>
        <w:snapToGrid w:val="0"/>
        <w:spacing w:line="58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14:paraId="2E5B72DC">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（一）评价结论。</w:t>
      </w:r>
    </w:p>
    <w:p w14:paraId="05088694">
      <w:pPr>
        <w:widowControl/>
        <w:adjustRightInd w:val="0"/>
        <w:snapToGrid w:val="0"/>
        <w:spacing w:line="580" w:lineRule="exact"/>
        <w:ind w:firstLine="640" w:firstLineChars="200"/>
        <w:contextualSpacing/>
        <w:jc w:val="left"/>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lang w:val="en-US" w:eastAsia="zh-CN"/>
        </w:rPr>
        <w:t>2019年</w:t>
      </w:r>
      <w:r>
        <w:rPr>
          <w:rFonts w:hint="eastAsia" w:eastAsia="仿宋_GB2312" w:cs="Times New Roman"/>
          <w:color w:val="000000"/>
          <w:kern w:val="0"/>
          <w:sz w:val="32"/>
          <w:szCs w:val="32"/>
          <w:shd w:val="clear" w:color="auto" w:fill="FFFFFF"/>
          <w:lang w:val="en-US" w:eastAsia="zh-CN"/>
        </w:rPr>
        <w:t>度米易县住房和城乡建设局</w:t>
      </w:r>
      <w:r>
        <w:rPr>
          <w:rFonts w:hint="default" w:ascii="Times New Roman" w:hAnsi="Times New Roman" w:eastAsia="仿宋_GB2312" w:cs="Times New Roman"/>
          <w:color w:val="000000"/>
          <w:kern w:val="0"/>
          <w:sz w:val="32"/>
          <w:szCs w:val="32"/>
          <w:shd w:val="clear" w:color="auto" w:fill="FFFFFF"/>
          <w:lang w:val="en-US" w:eastAsia="zh-CN"/>
        </w:rPr>
        <w:t>将部门整体支出绩效评价作为财政预算资金使用管理的一项重要工作，切实加强预算收入管理，全面梳理内部管理流程，建立健全内部管理制度，有效提升了部门整体支出管理水平，根据部门整体支出绩效评价指标体系，自评综合得分为95分，评价等为“优”。整体上完成了年初设定的绩效目标，保障了部门各单位的正常运转，促进了机关事务管理的发展，充分发挥了财政资金的经济效益和社会效益。</w:t>
      </w:r>
    </w:p>
    <w:p w14:paraId="51A065CA">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（二）存在问题。</w:t>
      </w:r>
    </w:p>
    <w:p w14:paraId="3456DE8E">
      <w:pPr>
        <w:widowControl/>
        <w:adjustRightInd w:val="0"/>
        <w:snapToGrid w:val="0"/>
        <w:spacing w:line="580" w:lineRule="exact"/>
        <w:ind w:firstLine="640" w:firstLineChars="200"/>
        <w:contextualSpacing/>
        <w:jc w:val="left"/>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仿宋_GB2312" w:cs="Times New Roman"/>
          <w:color w:val="000000"/>
          <w:kern w:val="0"/>
          <w:sz w:val="32"/>
          <w:szCs w:val="32"/>
          <w:shd w:val="clear" w:color="auto" w:fill="FFFFFF"/>
          <w:lang w:val="en-US" w:eastAsia="zh-CN"/>
        </w:rPr>
        <w:t>一是预算管理不够精细，在预算管理过程中，需加强全局内设机构的协调联动，保证预算编制的合理与精细，并加强与财政部门的沟通和协调，确保预算资金的及时下达。二是在资金使用上存在超标情况，财务管理有待于进一步规范，提高资金使用效率。</w:t>
      </w:r>
    </w:p>
    <w:p w14:paraId="47402E96">
      <w:pPr>
        <w:pStyle w:val="28"/>
        <w:numPr>
          <w:ilvl w:val="0"/>
          <w:numId w:val="0"/>
        </w:numPr>
        <w:spacing w:line="600" w:lineRule="exact"/>
        <w:ind w:left="640" w:leftChars="0"/>
        <w:outlineLvl w:val="1"/>
        <w:rPr>
          <w:rFonts w:hint="default" w:ascii="Times New Roman" w:hAnsi="Times New Roman" w:eastAsia="方正楷体简体" w:cs="Times New Roman"/>
          <w:b/>
          <w:bCs w:val="0"/>
          <w:color w:val="auto"/>
          <w:kern w:val="0"/>
          <w:sz w:val="32"/>
          <w:szCs w:val="32"/>
          <w:lang w:val="zh-CN" w:eastAsia="zh-CN" w:bidi="ar-SA"/>
        </w:rPr>
      </w:pPr>
      <w:r>
        <w:rPr>
          <w:rFonts w:hint="default" w:ascii="Times New Roman" w:hAnsi="Times New Roman" w:eastAsia="方正楷体简体" w:cs="Times New Roman"/>
          <w:b/>
          <w:bCs w:val="0"/>
          <w:color w:val="auto"/>
          <w:kern w:val="0"/>
          <w:sz w:val="32"/>
          <w:szCs w:val="32"/>
          <w:lang w:val="zh-CN" w:eastAsia="zh-CN" w:bidi="ar-SA"/>
        </w:rPr>
        <w:t>（三）改进建议。</w:t>
      </w:r>
    </w:p>
    <w:p w14:paraId="5A187DBE">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1.遵行先有预算、后有支出的原则，加强机关财务管理，加强财务收支制度宣传，严格开支范围和标准，避免超预算和无预算安排支出。</w:t>
      </w:r>
    </w:p>
    <w:p w14:paraId="08EE8815">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2.对比往年预、决算差异，立足年度内单位可预见的工作任务，确定单位年度预算目标，进一步细化预算指标，推进预算编制科学化、准确化。加强预算中期评估，进行预算执行分析，找出预算实际执行情况与预算目标之间存在的差距，科学做好调整。</w:t>
      </w:r>
    </w:p>
    <w:p w14:paraId="251A5184">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169136B2">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215D4475">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6306FBAB">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34E625DC">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09056D5B">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58AB4CED">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0F414721">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21986513">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55B892C8">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649F8296">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5DF2414C">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1B83B8B1">
      <w:pPr>
        <w:widowControl/>
        <w:adjustRightInd w:val="0"/>
        <w:snapToGrid w:val="0"/>
        <w:spacing w:line="580" w:lineRule="exact"/>
        <w:ind w:firstLine="640" w:firstLineChars="200"/>
        <w:contextualSpacing/>
        <w:jc w:val="left"/>
        <w:rPr>
          <w:rFonts w:hint="default" w:ascii="Times New Roman" w:hAnsi="Times New Roman" w:eastAsia="仿宋_GB2312" w:cs="Times New Roman"/>
          <w:color w:val="000000"/>
          <w:kern w:val="0"/>
          <w:sz w:val="32"/>
          <w:szCs w:val="32"/>
          <w:shd w:val="clear" w:color="auto" w:fill="FFFFFF"/>
          <w:lang w:val="en-US" w:eastAsia="zh-CN"/>
        </w:rPr>
      </w:pPr>
    </w:p>
    <w:p w14:paraId="1D69725D">
      <w:pPr>
        <w:pStyle w:val="3"/>
        <w:jc w:val="both"/>
        <w:rPr>
          <w:rFonts w:hint="eastAsia" w:ascii="黑体" w:hAnsi="黑体" w:eastAsia="黑体" w:cs="黑体"/>
          <w:b w:val="0"/>
          <w:sz w:val="32"/>
          <w:szCs w:val="32"/>
          <w:lang w:val="en-US" w:eastAsia="zh-CN"/>
        </w:rPr>
      </w:pPr>
      <w:bookmarkStart w:id="83" w:name="_附件2"/>
      <w:r>
        <w:rPr>
          <w:rFonts w:hint="eastAsia" w:ascii="黑体" w:hAnsi="黑体" w:eastAsia="黑体" w:cs="黑体"/>
          <w:b w:val="0"/>
          <w:sz w:val="32"/>
          <w:szCs w:val="32"/>
          <w:lang w:val="en-US" w:eastAsia="zh-CN"/>
        </w:rPr>
        <w:t>附件2</w:t>
      </w:r>
    </w:p>
    <w:bookmarkEnd w:id="83"/>
    <w:p w14:paraId="7421BAC4">
      <w:pPr>
        <w:widowControl/>
        <w:adjustRightInd w:val="0"/>
        <w:snapToGrid w:val="0"/>
        <w:spacing w:line="580" w:lineRule="exact"/>
        <w:contextualSpacing/>
        <w:jc w:val="center"/>
        <w:rPr>
          <w:rFonts w:hint="eastAsia" w:ascii="方正小标宋简体" w:hAnsi="方正小标宋简体" w:eastAsia="方正小标宋简体" w:cs="方正小标宋简体"/>
          <w:color w:val="000000"/>
          <w:kern w:val="0"/>
          <w:sz w:val="36"/>
          <w:szCs w:val="36"/>
          <w:shd w:val="clear" w:color="auto" w:fill="FFFFFF"/>
          <w:lang w:val="en-US" w:eastAsia="zh-CN"/>
        </w:rPr>
      </w:pPr>
      <w:r>
        <w:rPr>
          <w:rFonts w:hint="eastAsia" w:ascii="方正小标宋简体" w:hAnsi="方正小标宋简体" w:eastAsia="方正小标宋简体" w:cs="方正小标宋简体"/>
          <w:b w:val="0"/>
          <w:bCs w:val="0"/>
          <w:color w:val="000000"/>
          <w:kern w:val="0"/>
          <w:sz w:val="36"/>
          <w:szCs w:val="36"/>
          <w:shd w:val="clear" w:color="auto" w:fill="FFFFFF"/>
          <w:lang w:val="en-US" w:eastAsia="zh-CN" w:bidi="ar-SA"/>
        </w:rPr>
        <w:t>2019年度米易县草场河克朗段生态湿地净水区工程项目绩效评价自评报告</w:t>
      </w:r>
    </w:p>
    <w:p w14:paraId="10CDB9C1">
      <w:pPr>
        <w:spacing w:line="580" w:lineRule="exact"/>
        <w:ind w:firstLine="640" w:firstLineChars="200"/>
        <w:rPr>
          <w:rFonts w:hint="default" w:ascii="Times New Roman" w:hAnsi="Times New Roman" w:eastAsia="仿宋_GB2312" w:cs="Times New Roman"/>
          <w:sz w:val="32"/>
          <w:szCs w:val="32"/>
        </w:rPr>
      </w:pPr>
    </w:p>
    <w:p w14:paraId="04E1E4AF">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一、项目概况</w:t>
      </w:r>
    </w:p>
    <w:p w14:paraId="63E273B3">
      <w:p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ascii="Times New Roman" w:hAnsi="Times New Roman" w:eastAsia="楷体_GB2312"/>
          <w:b/>
          <w:bCs/>
          <w:kern w:val="0"/>
          <w:sz w:val="32"/>
          <w:szCs w:val="32"/>
        </w:rPr>
        <w:t>（一）项目基本情况。</w:t>
      </w:r>
    </w:p>
    <w:p w14:paraId="719D08A6">
      <w:pPr>
        <w:spacing w:line="560" w:lineRule="exact"/>
        <w:ind w:left="1"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米易县草场河克朗段生态湿地净水区工程经米发改[2018]289号文核准建设，项目位于克朗新区，项目总投资约4500万元，新建生态湿地净水区45亩。主要建设内容包括生态露天茶吧区、管理用房、特色景观亭，沿新建道路另一侧设计生态停车场，为市民设计一个开敞便捷的休闲空间。配套商业建筑面积102平方米；新建道路总长714.65米，总面积8616.5㎡;扩宽道路长225.7米,总面积451.4㎡；生态停车场900㎡；绿地面积14156平方米，水源入口一个，卵石驳岸361米；新建区域内的景观绿化喷洒系统，雨水污水排水系统，新建区域灯光照明和光彩。</w:t>
      </w:r>
    </w:p>
    <w:p w14:paraId="779476D9">
      <w:p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hint="eastAsia" w:ascii="Times New Roman" w:hAnsi="Times New Roman" w:eastAsia="楷体_GB2312"/>
          <w:b/>
          <w:bCs/>
          <w:kern w:val="0"/>
          <w:sz w:val="32"/>
          <w:szCs w:val="32"/>
        </w:rPr>
        <w:t>（二）</w:t>
      </w:r>
      <w:r>
        <w:rPr>
          <w:rFonts w:ascii="Times New Roman" w:hAnsi="Times New Roman" w:eastAsia="楷体_GB2312"/>
          <w:b/>
          <w:bCs/>
          <w:kern w:val="0"/>
          <w:sz w:val="32"/>
          <w:szCs w:val="32"/>
        </w:rPr>
        <w:t>项目绩效目标。</w:t>
      </w:r>
    </w:p>
    <w:p w14:paraId="26B815C0">
      <w:pPr>
        <w:spacing w:line="560" w:lineRule="exact"/>
        <w:ind w:left="1" w:firstLine="640" w:firstLineChars="200"/>
        <w:rPr>
          <w:rFonts w:ascii="Times New Roman" w:hAnsi="Times New Roman" w:eastAsia="楷体_GB2312"/>
          <w:color w:val="0000FF"/>
          <w:kern w:val="0"/>
          <w:sz w:val="32"/>
          <w:szCs w:val="32"/>
        </w:rPr>
      </w:pPr>
      <w:r>
        <w:rPr>
          <w:rFonts w:hint="eastAsia" w:ascii="Times New Roman" w:hAnsi="Times New Roman" w:eastAsia="仿宋_GB2312"/>
          <w:sz w:val="32"/>
          <w:szCs w:val="32"/>
        </w:rPr>
        <w:t>通过项目建设改善生态环境，增强了水质自然净化功能，筑牢了长江上游生态屏障，推进生态文明建设，</w:t>
      </w:r>
      <w:r>
        <w:rPr>
          <w:rFonts w:ascii="Times New Roman" w:hAnsi="Times New Roman" w:eastAsia="仿宋_GB2312"/>
          <w:sz w:val="32"/>
          <w:szCs w:val="32"/>
        </w:rPr>
        <w:t>提升城市整体形象，为市民提供开敞便捷的休闲空间，构筑起人与自然和谐相处的城市滨水综合生态绿化体系。</w:t>
      </w:r>
    </w:p>
    <w:p w14:paraId="2328F1DC">
      <w:p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ascii="Times New Roman" w:hAnsi="Times New Roman" w:eastAsia="楷体_GB2312"/>
          <w:b/>
          <w:bCs/>
          <w:kern w:val="0"/>
          <w:sz w:val="32"/>
          <w:szCs w:val="32"/>
        </w:rPr>
        <w:t>（三）项目自评步骤及方法。</w:t>
      </w:r>
    </w:p>
    <w:p w14:paraId="725E0C72">
      <w:pPr>
        <w:spacing w:line="560" w:lineRule="exact"/>
        <w:ind w:left="1"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val="zh-CN"/>
        </w:rPr>
        <w:t>一是确定评价对象。</w:t>
      </w:r>
    </w:p>
    <w:p w14:paraId="17341C52">
      <w:pPr>
        <w:spacing w:line="560" w:lineRule="exact"/>
        <w:ind w:left="1"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val="zh-CN"/>
        </w:rPr>
        <w:t>二是收集整理项目基础资料和财务资料。</w:t>
      </w:r>
    </w:p>
    <w:p w14:paraId="74580B0F">
      <w:pPr>
        <w:spacing w:line="560" w:lineRule="exact"/>
        <w:ind w:left="1" w:firstLine="640" w:firstLineChars="200"/>
        <w:rPr>
          <w:rFonts w:ascii="Times New Roman" w:hAnsi="Times New Roman" w:eastAsia="仿宋_GB2312"/>
          <w:sz w:val="32"/>
          <w:szCs w:val="32"/>
          <w:lang w:val="zh-CN"/>
        </w:rPr>
      </w:pPr>
      <w:r>
        <w:rPr>
          <w:rFonts w:hint="eastAsia" w:ascii="Times New Roman" w:hAnsi="Times New Roman" w:eastAsia="仿宋_GB2312"/>
          <w:sz w:val="32"/>
          <w:szCs w:val="32"/>
          <w:lang w:val="zh-CN"/>
        </w:rPr>
        <w:t>三是梳理评价重点。对项目建设管理薄弱环节、问题易发点、绩效内容进行梳理，作为评价重点和目标。</w:t>
      </w:r>
    </w:p>
    <w:p w14:paraId="6F478106">
      <w:pPr>
        <w:spacing w:line="560" w:lineRule="exact"/>
        <w:ind w:left="1" w:firstLine="640" w:firstLineChars="200"/>
        <w:rPr>
          <w:rFonts w:ascii="Times New Roman" w:hAnsi="Times New Roman" w:eastAsia="仿宋_GB2312"/>
          <w:sz w:val="32"/>
          <w:szCs w:val="32"/>
        </w:rPr>
      </w:pPr>
      <w:r>
        <w:rPr>
          <w:rFonts w:hint="eastAsia" w:ascii="Times New Roman" w:hAnsi="Times New Roman" w:eastAsia="仿宋_GB2312"/>
          <w:sz w:val="32"/>
          <w:szCs w:val="32"/>
          <w:lang w:val="zh-CN"/>
        </w:rPr>
        <w:t>四是开展项目自评。根据项目特性指标开展自评，并撰写重点项目支出绩效自评报告。</w:t>
      </w:r>
    </w:p>
    <w:p w14:paraId="25B4AD90">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二、项目资金申报及使用情况</w:t>
      </w:r>
    </w:p>
    <w:p w14:paraId="08A44E58">
      <w:pPr>
        <w:autoSpaceDE w:val="0"/>
        <w:autoSpaceDN w:val="0"/>
        <w:adjustRightInd w:val="0"/>
        <w:spacing w:line="600" w:lineRule="exact"/>
        <w:ind w:firstLine="643" w:firstLineChars="200"/>
        <w:jc w:val="left"/>
        <w:rPr>
          <w:rFonts w:hint="eastAsia" w:ascii="Times New Roman" w:hAnsi="Times New Roman" w:eastAsia="楷体_GB2312"/>
          <w:b/>
          <w:bCs/>
          <w:kern w:val="0"/>
          <w:sz w:val="32"/>
          <w:szCs w:val="32"/>
        </w:rPr>
      </w:pPr>
      <w:r>
        <w:rPr>
          <w:rFonts w:hint="eastAsia" w:ascii="Times New Roman" w:hAnsi="Times New Roman" w:eastAsia="楷体_GB2312"/>
          <w:b/>
          <w:bCs/>
          <w:kern w:val="0"/>
          <w:sz w:val="32"/>
          <w:szCs w:val="32"/>
        </w:rPr>
        <w:t>（一）</w:t>
      </w:r>
      <w:r>
        <w:rPr>
          <w:rFonts w:ascii="Times New Roman" w:hAnsi="Times New Roman" w:eastAsia="楷体_GB2312"/>
          <w:b/>
          <w:bCs/>
          <w:kern w:val="0"/>
          <w:sz w:val="32"/>
          <w:szCs w:val="32"/>
        </w:rPr>
        <w:t>项目资金申报及批复情况。</w:t>
      </w:r>
    </w:p>
    <w:p w14:paraId="0992B4E6">
      <w:pPr>
        <w:spacing w:line="560" w:lineRule="exact"/>
        <w:ind w:left="1" w:firstLine="640" w:firstLineChars="200"/>
        <w:rPr>
          <w:rFonts w:hint="eastAsia" w:ascii="Times New Roman" w:hAnsi="Times New Roman" w:eastAsia="仿宋_GB2312"/>
          <w:sz w:val="32"/>
          <w:szCs w:val="32"/>
          <w:lang w:val="zh-CN"/>
        </w:rPr>
      </w:pPr>
      <w:r>
        <w:rPr>
          <w:rFonts w:hint="eastAsia" w:ascii="Times New Roman" w:hAnsi="Times New Roman" w:eastAsia="仿宋_GB2312"/>
          <w:sz w:val="32"/>
          <w:szCs w:val="32"/>
          <w:lang w:val="zh-CN"/>
        </w:rPr>
        <w:t>米易县草场河克朗段生态湿地净水区工程经米发改[2018]289号文核准建设，项目资金按进度申请拨付，该项目资金的使用符合资金管理办法等相关规定。</w:t>
      </w:r>
    </w:p>
    <w:p w14:paraId="29282E30">
      <w:pPr>
        <w:autoSpaceDE w:val="0"/>
        <w:autoSpaceDN w:val="0"/>
        <w:adjustRightInd w:val="0"/>
        <w:spacing w:line="600" w:lineRule="exact"/>
        <w:ind w:firstLine="643" w:firstLineChars="200"/>
        <w:jc w:val="left"/>
        <w:rPr>
          <w:rFonts w:hint="eastAsia" w:ascii="Times New Roman" w:hAnsi="Times New Roman" w:eastAsia="楷体_GB2312"/>
          <w:b/>
          <w:bCs/>
          <w:kern w:val="0"/>
          <w:sz w:val="32"/>
          <w:szCs w:val="32"/>
        </w:rPr>
      </w:pPr>
      <w:r>
        <w:rPr>
          <w:rFonts w:hint="eastAsia" w:ascii="Times New Roman" w:hAnsi="Times New Roman" w:eastAsia="楷体_GB2312"/>
          <w:b/>
          <w:bCs/>
          <w:kern w:val="0"/>
          <w:sz w:val="32"/>
          <w:szCs w:val="32"/>
        </w:rPr>
        <w:t>（二）</w:t>
      </w:r>
      <w:r>
        <w:rPr>
          <w:rFonts w:ascii="Times New Roman" w:hAnsi="Times New Roman" w:eastAsia="楷体_GB2312"/>
          <w:b/>
          <w:bCs/>
          <w:kern w:val="0"/>
          <w:sz w:val="32"/>
          <w:szCs w:val="32"/>
        </w:rPr>
        <w:t>资金计划、到位及使用情况</w:t>
      </w:r>
      <w:r>
        <w:rPr>
          <w:rFonts w:hint="eastAsia" w:ascii="Times New Roman" w:hAnsi="Times New Roman" w:eastAsia="楷体_GB2312"/>
          <w:b/>
          <w:bCs/>
          <w:kern w:val="0"/>
          <w:sz w:val="32"/>
          <w:szCs w:val="32"/>
        </w:rPr>
        <w:t>。</w:t>
      </w:r>
    </w:p>
    <w:p w14:paraId="65D68BA9">
      <w:pPr>
        <w:spacing w:line="56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1</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CN"/>
        </w:rPr>
        <w:t>资金计划。</w:t>
      </w:r>
    </w:p>
    <w:p w14:paraId="52CFD1F5">
      <w:pPr>
        <w:spacing w:line="560" w:lineRule="exact"/>
        <w:ind w:firstLine="640" w:firstLineChars="200"/>
        <w:rPr>
          <w:rFonts w:ascii="Times New Roman" w:hAnsi="Times New Roman" w:eastAsia="仿宋_GB2312"/>
          <w:sz w:val="32"/>
          <w:szCs w:val="32"/>
          <w:lang w:val="zh-CN"/>
        </w:rPr>
      </w:pPr>
      <w:r>
        <w:rPr>
          <w:rFonts w:hint="eastAsia" w:ascii="Times New Roman" w:hAnsi="Times New Roman" w:eastAsia="仿宋_GB2312" w:cs="仿宋_GB2312"/>
          <w:sz w:val="32"/>
          <w:szCs w:val="32"/>
          <w:lang w:val="zh-CN"/>
        </w:rPr>
        <w:t>该项目资金是按进度拨款，到年底资金能按预算全额到位。</w:t>
      </w:r>
    </w:p>
    <w:p w14:paraId="0EC1EF16">
      <w:pPr>
        <w:spacing w:line="560" w:lineRule="exact"/>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2</w:t>
      </w:r>
      <w:r>
        <w:rPr>
          <w:rFonts w:hint="eastAsia" w:ascii="Times New Roman" w:hAnsi="Times New Roman" w:eastAsia="仿宋_GB2312"/>
          <w:sz w:val="32"/>
          <w:szCs w:val="32"/>
        </w:rPr>
        <w:t>.</w:t>
      </w:r>
      <w:r>
        <w:rPr>
          <w:rFonts w:hint="eastAsia" w:ascii="Times New Roman" w:hAnsi="Times New Roman" w:eastAsia="仿宋_GB2312" w:cs="仿宋_GB2312"/>
          <w:sz w:val="32"/>
          <w:szCs w:val="32"/>
          <w:lang w:val="zh-CN"/>
        </w:rPr>
        <w:t>资金到位。</w:t>
      </w:r>
    </w:p>
    <w:p w14:paraId="4D40268E">
      <w:pPr>
        <w:spacing w:line="560" w:lineRule="exact"/>
        <w:ind w:firstLine="640" w:firstLineChars="200"/>
        <w:rPr>
          <w:rFonts w:ascii="Times New Roman" w:hAnsi="Times New Roman" w:eastAsia="仿宋_GB2312"/>
          <w:color w:val="auto"/>
          <w:sz w:val="32"/>
          <w:szCs w:val="32"/>
          <w:lang w:val="zh-CN"/>
        </w:rPr>
      </w:pPr>
      <w:r>
        <w:rPr>
          <w:rFonts w:hint="eastAsia" w:ascii="Times New Roman" w:hAnsi="Times New Roman" w:eastAsia="仿宋_GB2312" w:cs="仿宋_GB2312"/>
          <w:sz w:val="32"/>
          <w:szCs w:val="32"/>
          <w:lang w:val="zh-CN"/>
        </w:rPr>
        <w:t>根据当年工作安排，截止</w:t>
      </w:r>
      <w:r>
        <w:rPr>
          <w:rFonts w:ascii="Times New Roman" w:hAnsi="Times New Roman" w:eastAsia="仿宋_GB2312"/>
          <w:sz w:val="32"/>
          <w:szCs w:val="32"/>
          <w:lang w:val="zh-CN"/>
        </w:rPr>
        <w:t>2019</w:t>
      </w:r>
      <w:r>
        <w:rPr>
          <w:rFonts w:hint="eastAsia" w:ascii="Times New Roman" w:hAnsi="Times New Roman" w:eastAsia="仿宋_GB2312" w:cs="仿宋_GB2312"/>
          <w:sz w:val="32"/>
          <w:szCs w:val="32"/>
          <w:lang w:val="zh-CN"/>
        </w:rPr>
        <w:t>年</w:t>
      </w:r>
      <w:r>
        <w:rPr>
          <w:rFonts w:ascii="Times New Roman" w:hAnsi="Times New Roman" w:eastAsia="仿宋_GB2312"/>
          <w:sz w:val="32"/>
          <w:szCs w:val="32"/>
          <w:lang w:val="zh-CN"/>
        </w:rPr>
        <w:t>12</w:t>
      </w:r>
      <w:r>
        <w:rPr>
          <w:rFonts w:hint="eastAsia" w:ascii="Times New Roman" w:hAnsi="Times New Roman" w:eastAsia="仿宋_GB2312" w:cs="仿宋_GB2312"/>
          <w:sz w:val="32"/>
          <w:szCs w:val="32"/>
          <w:lang w:val="zh-CN"/>
        </w:rPr>
        <w:t>月</w:t>
      </w:r>
      <w:r>
        <w:rPr>
          <w:rFonts w:ascii="Times New Roman" w:hAnsi="Times New Roman" w:eastAsia="仿宋_GB2312"/>
          <w:sz w:val="32"/>
          <w:szCs w:val="32"/>
          <w:lang w:val="zh-CN"/>
        </w:rPr>
        <w:t>31</w:t>
      </w:r>
      <w:r>
        <w:rPr>
          <w:rFonts w:hint="eastAsia" w:ascii="Times New Roman" w:hAnsi="Times New Roman" w:eastAsia="仿宋_GB2312" w:cs="仿宋_GB2312"/>
          <w:sz w:val="32"/>
          <w:szCs w:val="32"/>
          <w:lang w:val="zh-CN"/>
        </w:rPr>
        <w:t>日该项目工程进</w:t>
      </w:r>
      <w:r>
        <w:rPr>
          <w:rFonts w:hint="eastAsia" w:ascii="Times New Roman" w:hAnsi="Times New Roman" w:eastAsia="仿宋_GB2312" w:cs="仿宋_GB2312"/>
          <w:color w:val="auto"/>
          <w:sz w:val="32"/>
          <w:szCs w:val="32"/>
          <w:lang w:val="zh-CN"/>
        </w:rPr>
        <w:t>度款</w:t>
      </w:r>
      <w:r>
        <w:rPr>
          <w:rFonts w:hint="eastAsia" w:ascii="Times New Roman" w:hAnsi="Times New Roman" w:eastAsia="仿宋_GB2312"/>
          <w:color w:val="auto"/>
          <w:sz w:val="32"/>
          <w:szCs w:val="32"/>
        </w:rPr>
        <w:t>1287.06</w:t>
      </w:r>
      <w:r>
        <w:rPr>
          <w:rFonts w:hint="eastAsia" w:ascii="Times New Roman" w:hAnsi="Times New Roman" w:eastAsia="仿宋_GB2312" w:cs="仿宋_GB2312"/>
          <w:color w:val="auto"/>
          <w:sz w:val="32"/>
          <w:szCs w:val="32"/>
          <w:lang w:val="zh-CN"/>
        </w:rPr>
        <w:t>万元，全部到位。</w:t>
      </w:r>
    </w:p>
    <w:p w14:paraId="25DF9A44">
      <w:pPr>
        <w:spacing w:line="560" w:lineRule="exact"/>
        <w:ind w:firstLine="640" w:firstLineChars="200"/>
        <w:rPr>
          <w:rFonts w:hint="eastAsia"/>
          <w:color w:val="auto"/>
          <w:lang w:val="zh-CN"/>
        </w:rPr>
      </w:pPr>
      <w:r>
        <w:rPr>
          <w:rFonts w:hint="eastAsia" w:ascii="Times New Roman" w:hAnsi="Times New Roman" w:eastAsia="仿宋_GB2312" w:cs="仿宋_GB2312"/>
          <w:color w:val="auto"/>
          <w:sz w:val="32"/>
          <w:szCs w:val="32"/>
        </w:rPr>
        <w:t>3.</w:t>
      </w:r>
      <w:r>
        <w:rPr>
          <w:rFonts w:hint="eastAsia" w:ascii="Times New Roman" w:hAnsi="Times New Roman" w:eastAsia="仿宋_GB2312" w:cs="仿宋_GB2312"/>
          <w:color w:val="auto"/>
          <w:sz w:val="32"/>
          <w:szCs w:val="32"/>
          <w:lang w:val="zh-CN"/>
        </w:rPr>
        <w:t>资金使用。截止</w:t>
      </w:r>
      <w:r>
        <w:rPr>
          <w:rFonts w:ascii="Times New Roman" w:hAnsi="Times New Roman" w:eastAsia="仿宋_GB2312"/>
          <w:color w:val="auto"/>
          <w:sz w:val="32"/>
          <w:szCs w:val="32"/>
          <w:lang w:val="zh-CN"/>
        </w:rPr>
        <w:t>2019</w:t>
      </w:r>
      <w:r>
        <w:rPr>
          <w:rFonts w:hint="eastAsia" w:ascii="Times New Roman" w:hAnsi="Times New Roman" w:eastAsia="仿宋_GB2312" w:cs="仿宋_GB2312"/>
          <w:color w:val="auto"/>
          <w:sz w:val="32"/>
          <w:szCs w:val="32"/>
          <w:lang w:val="zh-CN"/>
        </w:rPr>
        <w:t>年</w:t>
      </w:r>
      <w:r>
        <w:rPr>
          <w:rFonts w:ascii="Times New Roman" w:hAnsi="Times New Roman" w:eastAsia="仿宋_GB2312"/>
          <w:color w:val="auto"/>
          <w:sz w:val="32"/>
          <w:szCs w:val="32"/>
          <w:lang w:val="zh-CN"/>
        </w:rPr>
        <w:t>12</w:t>
      </w:r>
      <w:r>
        <w:rPr>
          <w:rFonts w:hint="eastAsia" w:ascii="Times New Roman" w:hAnsi="Times New Roman" w:eastAsia="仿宋_GB2312" w:cs="仿宋_GB2312"/>
          <w:color w:val="auto"/>
          <w:sz w:val="32"/>
          <w:szCs w:val="32"/>
          <w:lang w:val="zh-CN"/>
        </w:rPr>
        <w:t>月</w:t>
      </w:r>
      <w:r>
        <w:rPr>
          <w:rFonts w:ascii="Times New Roman" w:hAnsi="Times New Roman" w:eastAsia="仿宋_GB2312"/>
          <w:color w:val="auto"/>
          <w:sz w:val="32"/>
          <w:szCs w:val="32"/>
          <w:lang w:val="zh-CN"/>
        </w:rPr>
        <w:t>31</w:t>
      </w:r>
      <w:r>
        <w:rPr>
          <w:rFonts w:hint="eastAsia" w:ascii="Times New Roman" w:hAnsi="Times New Roman" w:eastAsia="仿宋_GB2312" w:cs="仿宋_GB2312"/>
          <w:color w:val="auto"/>
          <w:sz w:val="32"/>
          <w:szCs w:val="32"/>
          <w:lang w:val="zh-CN"/>
        </w:rPr>
        <w:t>日</w:t>
      </w:r>
      <w:r>
        <w:rPr>
          <w:rFonts w:hint="eastAsia" w:ascii="Times New Roman" w:hAnsi="Times New Roman" w:eastAsia="仿宋_GB2312"/>
          <w:color w:val="auto"/>
          <w:sz w:val="32"/>
          <w:szCs w:val="32"/>
          <w:lang w:val="zh-CN"/>
        </w:rPr>
        <w:t>米易县草场河克朗段生态湿地净水区工程</w:t>
      </w:r>
      <w:r>
        <w:rPr>
          <w:rFonts w:hint="eastAsia" w:ascii="Times New Roman" w:hAnsi="Times New Roman" w:eastAsia="仿宋_GB2312" w:cs="仿宋_GB2312"/>
          <w:color w:val="auto"/>
          <w:sz w:val="32"/>
          <w:szCs w:val="32"/>
          <w:lang w:val="zh-CN"/>
        </w:rPr>
        <w:t>项目资金共支出</w:t>
      </w:r>
      <w:r>
        <w:rPr>
          <w:rFonts w:hint="eastAsia" w:ascii="Times New Roman" w:hAnsi="Times New Roman" w:eastAsia="仿宋_GB2312"/>
          <w:color w:val="auto"/>
          <w:sz w:val="32"/>
          <w:szCs w:val="32"/>
        </w:rPr>
        <w:t>1287.06</w:t>
      </w:r>
      <w:r>
        <w:rPr>
          <w:rFonts w:hint="eastAsia" w:ascii="Times New Roman" w:hAnsi="Times New Roman" w:eastAsia="仿宋_GB2312" w:cs="仿宋_GB2312"/>
          <w:color w:val="auto"/>
          <w:sz w:val="32"/>
          <w:szCs w:val="32"/>
          <w:lang w:val="zh-CN"/>
        </w:rPr>
        <w:t>万元。资金支付范围、支付标准、支付进度、支付依据等都是合规合法。</w:t>
      </w:r>
    </w:p>
    <w:p w14:paraId="35BC6702">
      <w:pPr>
        <w:autoSpaceDE w:val="0"/>
        <w:autoSpaceDN w:val="0"/>
        <w:adjustRightInd w:val="0"/>
        <w:spacing w:line="600" w:lineRule="exact"/>
        <w:ind w:firstLine="643" w:firstLineChars="200"/>
        <w:jc w:val="left"/>
        <w:rPr>
          <w:rFonts w:hint="eastAsia" w:ascii="Times New Roman" w:hAnsi="Times New Roman" w:eastAsia="楷体_GB2312"/>
          <w:b/>
          <w:bCs/>
          <w:color w:val="auto"/>
          <w:kern w:val="0"/>
          <w:sz w:val="32"/>
          <w:szCs w:val="32"/>
        </w:rPr>
      </w:pPr>
      <w:r>
        <w:rPr>
          <w:rFonts w:ascii="Times New Roman" w:hAnsi="Times New Roman" w:eastAsia="楷体_GB2312"/>
          <w:b/>
          <w:bCs/>
          <w:color w:val="auto"/>
          <w:kern w:val="0"/>
          <w:sz w:val="32"/>
          <w:szCs w:val="32"/>
        </w:rPr>
        <w:t>（三）项目财务管理情况。</w:t>
      </w:r>
    </w:p>
    <w:p w14:paraId="7C6052E5">
      <w:pPr>
        <w:autoSpaceDE w:val="0"/>
        <w:autoSpaceDN w:val="0"/>
        <w:adjustRightInd w:val="0"/>
        <w:spacing w:line="60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lang w:val="zh-CN"/>
        </w:rPr>
        <w:t>我单位严格遵循“先有预算后有支出”的原则，</w:t>
      </w:r>
      <w:r>
        <w:rPr>
          <w:rFonts w:ascii="Times New Roman" w:hAnsi="Times New Roman" w:eastAsia="仿宋_GB2312"/>
          <w:kern w:val="0"/>
          <w:sz w:val="32"/>
          <w:szCs w:val="32"/>
        </w:rPr>
        <w:t>在收到财政下达的各类指标后，按照资金的用途，支出总额控制在预算总额以内，按照预算执行进度，及时拨付各项款项。财务管理制度健全，严格执行财务管理制度，账务处理及时，会计核算规范。</w:t>
      </w:r>
    </w:p>
    <w:p w14:paraId="7AC81FE8">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三、项目实施及管理情况</w:t>
      </w:r>
    </w:p>
    <w:p w14:paraId="004938E6">
      <w:pPr>
        <w:numPr>
          <w:ilvl w:val="0"/>
          <w:numId w:val="1"/>
        </w:num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ascii="Times New Roman" w:hAnsi="Times New Roman" w:eastAsia="楷体_GB2312"/>
          <w:b/>
          <w:bCs/>
          <w:kern w:val="0"/>
          <w:sz w:val="32"/>
          <w:szCs w:val="32"/>
        </w:rPr>
        <w:t>项目组织架构及实施流程。</w:t>
      </w:r>
    </w:p>
    <w:p w14:paraId="15C01129">
      <w:pPr>
        <w:autoSpaceDE w:val="0"/>
        <w:autoSpaceDN w:val="0"/>
        <w:adjustRightInd w:val="0"/>
        <w:spacing w:line="600" w:lineRule="exact"/>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1.召开项目建设筹备会及进行工作分工；</w:t>
      </w:r>
    </w:p>
    <w:p w14:paraId="5EBAE72A">
      <w:pPr>
        <w:autoSpaceDE w:val="0"/>
        <w:autoSpaceDN w:val="0"/>
        <w:adjustRightInd w:val="0"/>
        <w:spacing w:line="600" w:lineRule="exact"/>
        <w:ind w:firstLine="640" w:firstLineChars="200"/>
        <w:jc w:val="left"/>
        <w:rPr>
          <w:rFonts w:hint="eastAsia" w:eastAsia="仿宋_GB2312"/>
          <w:kern w:val="0"/>
          <w:sz w:val="32"/>
          <w:szCs w:val="32"/>
        </w:rPr>
      </w:pPr>
      <w:r>
        <w:rPr>
          <w:rFonts w:hint="eastAsia" w:eastAsia="仿宋_GB2312"/>
          <w:kern w:val="0"/>
          <w:sz w:val="32"/>
          <w:szCs w:val="32"/>
        </w:rPr>
        <w:t>2.</w:t>
      </w:r>
      <w:r>
        <w:rPr>
          <w:rFonts w:hint="eastAsia" w:ascii="Times New Roman" w:hAnsi="Times New Roman" w:eastAsia="仿宋_GB2312" w:cs="仿宋_GB2312"/>
          <w:sz w:val="32"/>
          <w:szCs w:val="32"/>
        </w:rPr>
        <w:t>查阅并熟悉有关项目的建设依据，审查项目建设资料的合法性、真实性、准确性和完整性，熟悉施工图纸，了解工程规模；</w:t>
      </w:r>
    </w:p>
    <w:p w14:paraId="521D8A6C">
      <w:pPr>
        <w:autoSpaceDE w:val="0"/>
        <w:autoSpaceDN w:val="0"/>
        <w:adjustRightInd w:val="0"/>
        <w:spacing w:line="600" w:lineRule="exact"/>
        <w:ind w:firstLine="640" w:firstLineChars="200"/>
        <w:jc w:val="left"/>
        <w:rPr>
          <w:rFonts w:hint="eastAsia" w:ascii="Times New Roman" w:hAnsi="Times New Roman" w:eastAsia="仿宋_GB2312" w:cs="仿宋_GB2312"/>
          <w:sz w:val="32"/>
          <w:szCs w:val="32"/>
        </w:rPr>
      </w:pPr>
      <w:r>
        <w:rPr>
          <w:rFonts w:hint="eastAsia" w:eastAsia="仿宋_GB2312"/>
          <w:kern w:val="0"/>
          <w:sz w:val="32"/>
          <w:szCs w:val="32"/>
        </w:rPr>
        <w:t>3.</w:t>
      </w:r>
      <w:r>
        <w:rPr>
          <w:rFonts w:hint="eastAsia" w:ascii="Times New Roman" w:hAnsi="Times New Roman" w:eastAsia="仿宋_GB2312" w:cs="仿宋_GB2312"/>
          <w:sz w:val="32"/>
          <w:szCs w:val="32"/>
        </w:rPr>
        <w:t>现场踏勘；</w:t>
      </w:r>
    </w:p>
    <w:p w14:paraId="46651F6D">
      <w:pPr>
        <w:autoSpaceDE w:val="0"/>
        <w:autoSpaceDN w:val="0"/>
        <w:adjustRightInd w:val="0"/>
        <w:spacing w:line="600" w:lineRule="exact"/>
        <w:ind w:firstLine="640" w:firstLineChars="200"/>
        <w:jc w:val="left"/>
        <w:rPr>
          <w:rFonts w:hint="eastAsia" w:ascii="Times New Roman" w:hAnsi="Times New Roman" w:eastAsia="仿宋_GB2312" w:cs="仿宋_GB2312"/>
          <w:sz w:val="32"/>
          <w:szCs w:val="32"/>
        </w:rPr>
      </w:pPr>
      <w:r>
        <w:rPr>
          <w:rFonts w:hint="eastAsia" w:eastAsia="仿宋_GB2312"/>
          <w:kern w:val="0"/>
          <w:sz w:val="32"/>
          <w:szCs w:val="32"/>
        </w:rPr>
        <w:t>4.</w:t>
      </w:r>
      <w:r>
        <w:rPr>
          <w:rFonts w:hint="eastAsia" w:ascii="Times New Roman" w:hAnsi="Times New Roman" w:eastAsia="仿宋_GB2312" w:cs="仿宋_GB2312"/>
          <w:sz w:val="32"/>
          <w:szCs w:val="32"/>
        </w:rPr>
        <w:t>进行市场调查，对招标控制价中的内容进行分析调查，核查、取证、计量、分析、汇总；</w:t>
      </w:r>
    </w:p>
    <w:p w14:paraId="14B5AB4F">
      <w:pPr>
        <w:adjustRightInd w:val="0"/>
        <w:snapToGrid w:val="0"/>
        <w:spacing w:line="560" w:lineRule="exact"/>
        <w:ind w:firstLine="640" w:firstLineChars="200"/>
        <w:jc w:val="left"/>
        <w:rPr>
          <w:rFonts w:eastAsia="仿宋_GB2312"/>
          <w:kern w:val="0"/>
          <w:sz w:val="32"/>
          <w:szCs w:val="32"/>
        </w:rPr>
      </w:pPr>
      <w:r>
        <w:rPr>
          <w:rFonts w:hint="eastAsia" w:eastAsia="仿宋_GB2312"/>
          <w:kern w:val="0"/>
          <w:sz w:val="32"/>
          <w:szCs w:val="32"/>
        </w:rPr>
        <w:t>5.</w:t>
      </w:r>
      <w:r>
        <w:rPr>
          <w:rFonts w:hint="eastAsia" w:ascii="Times New Roman" w:hAnsi="Times New Roman" w:eastAsia="仿宋_GB2312" w:cs="仿宋_GB2312"/>
          <w:sz w:val="32"/>
          <w:szCs w:val="32"/>
        </w:rPr>
        <w:t>及时收集整理，将完整的项目建设资料登记归档。</w:t>
      </w:r>
    </w:p>
    <w:p w14:paraId="25B98D98">
      <w:pPr>
        <w:autoSpaceDE w:val="0"/>
        <w:autoSpaceDN w:val="0"/>
        <w:adjustRightInd w:val="0"/>
        <w:spacing w:line="600" w:lineRule="exact"/>
        <w:ind w:firstLine="640" w:firstLineChars="200"/>
        <w:jc w:val="left"/>
      </w:pPr>
      <w:r>
        <w:rPr>
          <w:rFonts w:hint="eastAsia" w:eastAsia="仿宋_GB2312"/>
          <w:kern w:val="0"/>
          <w:sz w:val="32"/>
          <w:szCs w:val="32"/>
        </w:rPr>
        <w:t>6.组织验收</w:t>
      </w:r>
    </w:p>
    <w:p w14:paraId="186DE42D">
      <w:pPr>
        <w:autoSpaceDE w:val="0"/>
        <w:autoSpaceDN w:val="0"/>
        <w:adjustRightInd w:val="0"/>
        <w:spacing w:line="600" w:lineRule="exact"/>
        <w:ind w:firstLine="643" w:firstLineChars="200"/>
        <w:jc w:val="left"/>
      </w:pPr>
      <w:r>
        <w:rPr>
          <w:rFonts w:ascii="Times New Roman" w:hAnsi="Times New Roman" w:eastAsia="楷体_GB2312"/>
          <w:b/>
          <w:bCs/>
          <w:kern w:val="0"/>
          <w:sz w:val="32"/>
          <w:szCs w:val="32"/>
        </w:rPr>
        <w:t>（二）项目管理情况。</w:t>
      </w:r>
      <w:r>
        <w:rPr>
          <w:rFonts w:ascii="Times New Roman" w:hAnsi="Times New Roman" w:eastAsia="仿宋_GB2312"/>
          <w:kern w:val="0"/>
          <w:sz w:val="32"/>
          <w:szCs w:val="32"/>
        </w:rPr>
        <w:t>资金下达后，县住房</w:t>
      </w:r>
      <w:r>
        <w:rPr>
          <w:rFonts w:hint="eastAsia" w:ascii="Times New Roman" w:hAnsi="Times New Roman" w:eastAsia="仿宋_GB2312"/>
          <w:kern w:val="0"/>
          <w:sz w:val="32"/>
          <w:szCs w:val="32"/>
        </w:rPr>
        <w:t>和</w:t>
      </w:r>
      <w:r>
        <w:rPr>
          <w:rFonts w:ascii="Times New Roman" w:hAnsi="Times New Roman" w:eastAsia="仿宋_GB2312"/>
          <w:kern w:val="0"/>
          <w:sz w:val="32"/>
          <w:szCs w:val="32"/>
        </w:rPr>
        <w:t>城乡建设局及时与相关单位做好对接，</w:t>
      </w:r>
      <w:r>
        <w:rPr>
          <w:rFonts w:ascii="Times New Roman" w:hAnsi="Times New Roman" w:eastAsia="仿宋_GB2312"/>
          <w:kern w:val="0"/>
          <w:sz w:val="32"/>
          <w:szCs w:val="32"/>
          <w:lang w:val="zh-CN"/>
        </w:rPr>
        <w:t>资金管理严格按照《米易县财政专项资金管理暂行办法》的规定，专款专用，没有挤占、挪用资金</w:t>
      </w:r>
      <w:r>
        <w:rPr>
          <w:rFonts w:ascii="Times New Roman" w:hAnsi="Times New Roman" w:eastAsia="仿宋_GB2312"/>
          <w:kern w:val="0"/>
          <w:sz w:val="32"/>
          <w:szCs w:val="32"/>
        </w:rPr>
        <w:t>等情况发生。</w:t>
      </w:r>
      <w:r>
        <w:rPr>
          <w:rFonts w:hint="eastAsia" w:ascii="Times New Roman" w:hAnsi="Times New Roman" w:eastAsia="仿宋_GB2312" w:cs="仿宋_GB2312"/>
          <w:kern w:val="0"/>
          <w:sz w:val="32"/>
          <w:szCs w:val="32"/>
        </w:rPr>
        <w:t>项目资金统一由财政国库管理，专款专用，项目资金支出为财政授权支付凭证支付，并严格执行从申请</w:t>
      </w:r>
      <w:r>
        <w:rPr>
          <w:rFonts w:ascii="Times New Roman" w:hAnsi="Times New Roman" w:eastAsia="仿宋_GB2312"/>
          <w:kern w:val="0"/>
          <w:sz w:val="32"/>
          <w:szCs w:val="32"/>
        </w:rPr>
        <w:t>—</w:t>
      </w:r>
      <w:r>
        <w:rPr>
          <w:rFonts w:hint="eastAsia" w:ascii="Times New Roman" w:hAnsi="Times New Roman" w:eastAsia="仿宋_GB2312" w:cs="仿宋_GB2312"/>
          <w:kern w:val="0"/>
          <w:sz w:val="32"/>
          <w:szCs w:val="32"/>
        </w:rPr>
        <w:t>复核</w:t>
      </w:r>
      <w:r>
        <w:rPr>
          <w:rFonts w:ascii="Times New Roman" w:hAnsi="Times New Roman" w:eastAsia="仿宋_GB2312"/>
          <w:kern w:val="0"/>
          <w:sz w:val="32"/>
          <w:szCs w:val="32"/>
        </w:rPr>
        <w:t>—</w:t>
      </w:r>
      <w:r>
        <w:rPr>
          <w:rFonts w:hint="eastAsia" w:ascii="Times New Roman" w:hAnsi="Times New Roman" w:eastAsia="仿宋_GB2312" w:cs="仿宋_GB2312"/>
          <w:kern w:val="0"/>
          <w:sz w:val="32"/>
          <w:szCs w:val="32"/>
        </w:rPr>
        <w:t>审核</w:t>
      </w:r>
      <w:r>
        <w:rPr>
          <w:rFonts w:ascii="Times New Roman" w:hAnsi="Times New Roman" w:eastAsia="仿宋_GB2312"/>
          <w:kern w:val="0"/>
          <w:sz w:val="32"/>
          <w:szCs w:val="32"/>
        </w:rPr>
        <w:t>—</w:t>
      </w:r>
      <w:r>
        <w:rPr>
          <w:rFonts w:hint="eastAsia" w:ascii="Times New Roman" w:hAnsi="Times New Roman" w:eastAsia="仿宋_GB2312" w:cs="仿宋_GB2312"/>
          <w:kern w:val="0"/>
          <w:sz w:val="32"/>
          <w:szCs w:val="32"/>
        </w:rPr>
        <w:t>领导批准支付的操作程序，手续齐全，程序到位，资金使用规范，会计核算真实、准确。</w:t>
      </w:r>
    </w:p>
    <w:p w14:paraId="6B3B0CA4">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四、项目绩效情况</w:t>
      </w:r>
    </w:p>
    <w:p w14:paraId="236D8D58">
      <w:p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ascii="Times New Roman" w:hAnsi="Times New Roman" w:eastAsia="楷体_GB2312"/>
          <w:b/>
          <w:bCs/>
          <w:kern w:val="0"/>
          <w:sz w:val="32"/>
          <w:szCs w:val="32"/>
        </w:rPr>
        <w:t>（一）项目完成情况。</w:t>
      </w:r>
    </w:p>
    <w:p w14:paraId="70CD5FCB">
      <w:pPr>
        <w:ind w:firstLine="640" w:firstLineChars="200"/>
        <w:rPr>
          <w:rFonts w:hint="eastAsia" w:ascii="仿宋_GB2312" w:hAnsi="Times New Roman" w:eastAsia="仿宋_GB2312"/>
          <w:color w:val="auto"/>
          <w:kern w:val="0"/>
          <w:sz w:val="32"/>
          <w:szCs w:val="32"/>
        </w:rPr>
      </w:pPr>
      <w:r>
        <w:rPr>
          <w:rFonts w:hint="eastAsia" w:ascii="仿宋_GB2312" w:hAnsi="Times New Roman" w:eastAsia="仿宋_GB2312"/>
          <w:color w:val="auto"/>
          <w:kern w:val="0"/>
          <w:sz w:val="32"/>
          <w:szCs w:val="32"/>
        </w:rPr>
        <w:t>本项目建设总周期为16个月，项目的前期工作3-4个月，从2018年11月至2019年2月；项目的建设工期12个月，从 2019年03 月至2020年02月，2020 年03月项目湿地公园完工。</w:t>
      </w:r>
    </w:p>
    <w:p w14:paraId="3FB3C8F8">
      <w:pPr>
        <w:ind w:firstLine="640" w:firstLineChars="200"/>
        <w:rPr>
          <w:rFonts w:ascii="Times New Roman" w:hAnsi="Times New Roman" w:eastAsia="楷体_GB2312"/>
          <w:color w:val="auto"/>
          <w:kern w:val="0"/>
          <w:sz w:val="32"/>
          <w:szCs w:val="32"/>
        </w:rPr>
      </w:pPr>
      <w:r>
        <w:rPr>
          <w:rFonts w:hint="eastAsia" w:ascii="仿宋_GB2312" w:hAnsi="Times New Roman" w:eastAsia="仿宋_GB2312"/>
          <w:color w:val="auto"/>
          <w:kern w:val="0"/>
          <w:sz w:val="32"/>
          <w:szCs w:val="32"/>
        </w:rPr>
        <w:t>生态湿地净水区45亩已完成整体建设，正在蓄水，其中完成景观亭5个，管理用房102平方米，游步道450米，卵石驳岸361米，绿化面积12000平方米，蓄水区域17000平方米，目前已完成</w:t>
      </w:r>
      <w:r>
        <w:rPr>
          <w:rFonts w:hint="eastAsia" w:ascii="仿宋_GB2312" w:hAnsi="Times New Roman" w:eastAsia="仿宋_GB2312"/>
          <w:color w:val="auto"/>
          <w:kern w:val="0"/>
          <w:sz w:val="32"/>
          <w:szCs w:val="32"/>
        </w:rPr>
        <w:tab/>
      </w:r>
      <w:r>
        <w:rPr>
          <w:rFonts w:hint="eastAsia" w:ascii="仿宋_GB2312" w:hAnsi="Times New Roman" w:eastAsia="仿宋_GB2312"/>
          <w:color w:val="auto"/>
          <w:kern w:val="0"/>
          <w:sz w:val="32"/>
          <w:szCs w:val="32"/>
        </w:rPr>
        <w:t>A线道路</w:t>
      </w:r>
      <w:r>
        <w:rPr>
          <w:rFonts w:hint="eastAsia" w:ascii="Times New Roman" w:hAnsi="Times New Roman" w:eastAsia="仿宋_GB2312"/>
          <w:color w:val="auto"/>
          <w:sz w:val="32"/>
          <w:szCs w:val="32"/>
        </w:rPr>
        <w:t>路面沥青铺设和绿化栽种，正在进行B线道路路基回填、雨污管网埋设。总的资金投入目前约3500万元。</w:t>
      </w:r>
    </w:p>
    <w:p w14:paraId="6CBC00D6">
      <w:pPr>
        <w:autoSpaceDE w:val="0"/>
        <w:autoSpaceDN w:val="0"/>
        <w:adjustRightInd w:val="0"/>
        <w:spacing w:line="600" w:lineRule="exact"/>
        <w:ind w:firstLine="643" w:firstLineChars="200"/>
        <w:jc w:val="left"/>
        <w:rPr>
          <w:rFonts w:ascii="Times New Roman" w:hAnsi="Times New Roman" w:eastAsia="楷体_GB2312"/>
          <w:b/>
          <w:bCs/>
          <w:kern w:val="0"/>
          <w:sz w:val="32"/>
          <w:szCs w:val="32"/>
        </w:rPr>
      </w:pPr>
      <w:r>
        <w:rPr>
          <w:rFonts w:ascii="Times New Roman" w:hAnsi="Times New Roman" w:eastAsia="楷体_GB2312"/>
          <w:b/>
          <w:bCs/>
          <w:kern w:val="0"/>
          <w:sz w:val="32"/>
          <w:szCs w:val="32"/>
        </w:rPr>
        <w:t>（二）项目效益情况。</w:t>
      </w:r>
    </w:p>
    <w:p w14:paraId="2CA672DA">
      <w:pPr>
        <w:adjustRightInd w:val="0"/>
        <w:snapToGrid w:val="0"/>
        <w:spacing w:line="560" w:lineRule="exact"/>
        <w:ind w:firstLine="720"/>
        <w:rPr>
          <w:rFonts w:hint="eastAsia" w:ascii="仿宋_GB2312" w:hAnsi="楷体" w:eastAsia="仿宋_GB2312"/>
          <w:sz w:val="32"/>
          <w:szCs w:val="32"/>
        </w:rPr>
      </w:pPr>
      <w:r>
        <w:rPr>
          <w:rFonts w:hint="eastAsia" w:ascii="仿宋_GB2312" w:hAnsi="楷体" w:eastAsia="仿宋_GB2312"/>
          <w:sz w:val="32"/>
          <w:szCs w:val="32"/>
        </w:rPr>
        <w:t>通过米易县草场河克朗段生态湿地净水区工程项目的实施，使草场河水进入安宁河之前通过湿地净化后再进入安宁河，改善生态环境，增强了水质自然净化功能，筑牢了长江上游生态屏障，推进生态文明建设，提高了周边居民的生活水平，提升城市整体形象，为市民提供开敞便捷的休闲空间，构筑起人与自然和谐相处的城市滨水综合生态绿化体系，大大提升南部新城安宁河沿岸对外印象，促进区域经济的整体发展，具有巨大的社会效益、生态效益、环境效益、间接的经济效益。</w:t>
      </w:r>
    </w:p>
    <w:p w14:paraId="14782B31">
      <w:pPr>
        <w:adjustRightInd w:val="0"/>
        <w:snapToGrid w:val="0"/>
        <w:spacing w:line="560" w:lineRule="exact"/>
        <w:ind w:firstLine="720"/>
        <w:rPr>
          <w:rFonts w:ascii="仿宋_GB2312" w:hAnsi="楷体" w:eastAsia="仿宋_GB2312"/>
          <w:sz w:val="32"/>
          <w:szCs w:val="32"/>
        </w:rPr>
      </w:pPr>
      <w:r>
        <w:rPr>
          <w:rFonts w:hint="eastAsia" w:ascii="仿宋_GB2312" w:hAnsi="楷体" w:eastAsia="仿宋_GB2312"/>
          <w:sz w:val="32"/>
          <w:szCs w:val="32"/>
        </w:rPr>
        <w:t>在资金使用和管理中，实际支出与规定的用途一致，资金使用都能做到公开、公平、程序到位，严格执行财务制度，无截留、挤占、挪用工程款等违规行为，综合评价结果为优。</w:t>
      </w:r>
    </w:p>
    <w:p w14:paraId="098B9599">
      <w:pPr>
        <w:autoSpaceDE w:val="0"/>
        <w:autoSpaceDN w:val="0"/>
        <w:adjustRightInd w:val="0"/>
        <w:spacing w:line="600" w:lineRule="exact"/>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五、评价结论</w:t>
      </w:r>
    </w:p>
    <w:p w14:paraId="689C035C">
      <w:pPr>
        <w:adjustRightInd w:val="0"/>
        <w:snapToGrid w:val="0"/>
        <w:spacing w:line="560" w:lineRule="exact"/>
        <w:ind w:firstLine="720"/>
        <w:rPr>
          <w:rFonts w:hint="eastAsia" w:ascii="仿宋_GB2312" w:hAnsi="楷体" w:eastAsia="仿宋_GB2312"/>
          <w:sz w:val="32"/>
          <w:szCs w:val="32"/>
        </w:rPr>
      </w:pPr>
      <w:r>
        <w:rPr>
          <w:rFonts w:hint="eastAsia" w:ascii="仿宋_GB2312" w:hAnsi="楷体" w:eastAsia="仿宋_GB2312"/>
          <w:sz w:val="32"/>
          <w:szCs w:val="32"/>
        </w:rPr>
        <w:t>2019年度县住房和城乡建设局将项目支出绩效评价作为财政预算资金使用管理的一项重要工作，切实加强预算收入管理，全面梳理内部管理流程，建立健全内部管理制度，有效提升了项目支出管理水平，根据部门项目支出绩效评价指标体系，自评综合得分为95分，评价等为“优”。整体上完成了年初设定的绩效目标，保障了项目建设的正常运转，推进生态文明建设，提高了周边居民的生活水平，提升城市整体形象，充分发挥了财政资金的经济效益和社会效益。</w:t>
      </w:r>
    </w:p>
    <w:p w14:paraId="0E38B697">
      <w:pPr>
        <w:spacing w:line="580" w:lineRule="exact"/>
        <w:ind w:firstLine="640" w:firstLineChars="200"/>
        <w:rPr>
          <w:rFonts w:hint="default" w:ascii="Times New Roman" w:hAnsi="Times New Roman" w:eastAsia="仿宋_GB2312" w:cs="Times New Roman"/>
          <w:sz w:val="32"/>
          <w:szCs w:val="32"/>
        </w:rPr>
      </w:pPr>
    </w:p>
    <w:p w14:paraId="01050895">
      <w:pPr>
        <w:spacing w:line="580" w:lineRule="exact"/>
        <w:ind w:firstLine="640" w:firstLineChars="200"/>
        <w:rPr>
          <w:rFonts w:hint="default" w:ascii="Times New Roman" w:hAnsi="Times New Roman" w:eastAsia="仿宋_GB2312" w:cs="Times New Roman"/>
          <w:sz w:val="32"/>
          <w:szCs w:val="32"/>
        </w:rPr>
      </w:pPr>
    </w:p>
    <w:p w14:paraId="4178908B">
      <w:pPr>
        <w:spacing w:line="580" w:lineRule="exact"/>
        <w:ind w:firstLine="640" w:firstLineChars="200"/>
        <w:rPr>
          <w:rFonts w:hint="default" w:ascii="Times New Roman" w:hAnsi="Times New Roman" w:eastAsia="仿宋_GB2312" w:cs="Times New Roman"/>
          <w:sz w:val="32"/>
          <w:szCs w:val="32"/>
        </w:rPr>
      </w:pPr>
    </w:p>
    <w:p w14:paraId="4F5A776D">
      <w:pPr>
        <w:spacing w:line="580" w:lineRule="exact"/>
        <w:ind w:firstLine="640" w:firstLineChars="200"/>
        <w:rPr>
          <w:rFonts w:hint="default" w:ascii="Times New Roman" w:hAnsi="Times New Roman" w:eastAsia="仿宋_GB2312" w:cs="Times New Roman"/>
          <w:sz w:val="32"/>
          <w:szCs w:val="32"/>
        </w:rPr>
      </w:pPr>
    </w:p>
    <w:p w14:paraId="19E86D29">
      <w:pPr>
        <w:spacing w:line="580" w:lineRule="exact"/>
        <w:ind w:firstLine="640" w:firstLineChars="200"/>
        <w:rPr>
          <w:rFonts w:hint="default" w:ascii="Times New Roman" w:hAnsi="Times New Roman" w:eastAsia="仿宋_GB2312" w:cs="Times New Roman"/>
          <w:sz w:val="32"/>
          <w:szCs w:val="32"/>
        </w:rPr>
      </w:pPr>
    </w:p>
    <w:p w14:paraId="2F40D1D7">
      <w:pPr>
        <w:pStyle w:val="3"/>
        <w:jc w:val="center"/>
        <w:rPr>
          <w:rFonts w:hint="default" w:eastAsia="黑体" w:cs="Times New Roman"/>
          <w:b w:val="0"/>
          <w:lang w:val="en-US" w:eastAsia="zh-CN"/>
        </w:rPr>
      </w:pPr>
      <w:bookmarkStart w:id="84" w:name="_Toc15396618"/>
      <w:bookmarkStart w:id="85" w:name="_第五部分 附表"/>
      <w:r>
        <w:rPr>
          <w:rFonts w:hint="default" w:eastAsia="黑体" w:cs="Times New Roman"/>
          <w:b w:val="0"/>
          <w:lang w:val="en-US" w:eastAsia="zh-CN"/>
        </w:rPr>
        <w:t>第五部分 附表</w:t>
      </w:r>
      <w:bookmarkEnd w:id="77"/>
      <w:bookmarkEnd w:id="84"/>
    </w:p>
    <w:bookmarkEnd w:id="85"/>
    <w:p w14:paraId="734A427D">
      <w:pPr>
        <w:pStyle w:val="4"/>
        <w:rPr>
          <w:rFonts w:hint="default" w:ascii="Times New Roman" w:hAnsi="Times New Roman" w:eastAsia="仿宋" w:cs="Times New Roman"/>
          <w:color w:val="000000"/>
        </w:rPr>
      </w:pPr>
      <w:bookmarkStart w:id="86" w:name="_Toc15396619"/>
      <w:bookmarkStart w:id="87" w:name="_一、收入支出决算总表"/>
      <w:r>
        <w:rPr>
          <w:rFonts w:hint="default" w:ascii="Times New Roman" w:hAnsi="Times New Roman" w:eastAsia="仿宋" w:cs="Times New Roman"/>
          <w:b w:val="0"/>
          <w:color w:val="000000"/>
        </w:rPr>
        <w:t>一、收</w:t>
      </w:r>
      <w:r>
        <w:rPr>
          <w:rStyle w:val="30"/>
          <w:rFonts w:hint="default" w:ascii="Times New Roman" w:hAnsi="Times New Roman" w:eastAsia="仿宋" w:cs="Times New Roman"/>
          <w:b w:val="0"/>
          <w:bCs w:val="0"/>
        </w:rPr>
        <w:t>入支出决算总表</w:t>
      </w:r>
      <w:bookmarkEnd w:id="86"/>
    </w:p>
    <w:bookmarkEnd w:id="87"/>
    <w:p w14:paraId="62B639BA">
      <w:pPr>
        <w:pStyle w:val="4"/>
        <w:rPr>
          <w:rFonts w:hint="default" w:ascii="Times New Roman" w:hAnsi="Times New Roman" w:eastAsia="仿宋" w:cs="Times New Roman"/>
          <w:color w:val="000000"/>
        </w:rPr>
      </w:pPr>
      <w:bookmarkStart w:id="88" w:name="_Toc15396620"/>
      <w:bookmarkStart w:id="89" w:name="_二、收入决算表"/>
      <w:r>
        <w:rPr>
          <w:rFonts w:hint="default" w:ascii="Times New Roman" w:hAnsi="Times New Roman" w:eastAsia="仿宋" w:cs="Times New Roman"/>
          <w:b w:val="0"/>
          <w:color w:val="000000"/>
        </w:rPr>
        <w:t>二、收</w:t>
      </w:r>
      <w:r>
        <w:rPr>
          <w:rStyle w:val="30"/>
          <w:rFonts w:hint="default" w:ascii="Times New Roman" w:hAnsi="Times New Roman" w:eastAsia="仿宋" w:cs="Times New Roman"/>
          <w:b w:val="0"/>
          <w:bCs w:val="0"/>
        </w:rPr>
        <w:t>入决算表</w:t>
      </w:r>
      <w:bookmarkEnd w:id="88"/>
    </w:p>
    <w:bookmarkEnd w:id="89"/>
    <w:p w14:paraId="6DEBFCA0">
      <w:pPr>
        <w:pStyle w:val="4"/>
        <w:rPr>
          <w:rFonts w:hint="default" w:ascii="Times New Roman" w:hAnsi="Times New Roman" w:eastAsia="仿宋" w:cs="Times New Roman"/>
          <w:color w:val="000000"/>
        </w:rPr>
      </w:pPr>
      <w:bookmarkStart w:id="90" w:name="_Toc15396621"/>
      <w:bookmarkStart w:id="91" w:name="_三、支出决算表"/>
      <w:r>
        <w:rPr>
          <w:rStyle w:val="30"/>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30"/>
          <w:rFonts w:hint="default" w:ascii="Times New Roman" w:hAnsi="Times New Roman" w:eastAsia="仿宋" w:cs="Times New Roman"/>
          <w:b w:val="0"/>
          <w:bCs w:val="0"/>
        </w:rPr>
        <w:t>出决算表</w:t>
      </w:r>
      <w:bookmarkEnd w:id="90"/>
    </w:p>
    <w:bookmarkEnd w:id="91"/>
    <w:p w14:paraId="0D2AE819">
      <w:pPr>
        <w:pStyle w:val="4"/>
        <w:rPr>
          <w:rFonts w:hint="default" w:ascii="Times New Roman" w:hAnsi="Times New Roman" w:eastAsia="仿宋" w:cs="Times New Roman"/>
          <w:b w:val="0"/>
          <w:color w:val="000000"/>
        </w:rPr>
      </w:pPr>
      <w:bookmarkStart w:id="92" w:name="_Toc15396622"/>
      <w:bookmarkStart w:id="93" w:name="_四、财政拨款收入支出决算总表"/>
      <w:r>
        <w:rPr>
          <w:rStyle w:val="30"/>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30"/>
          <w:rFonts w:hint="default" w:ascii="Times New Roman" w:hAnsi="Times New Roman" w:eastAsia="仿宋" w:cs="Times New Roman"/>
          <w:b w:val="0"/>
          <w:bCs w:val="0"/>
        </w:rPr>
        <w:t>政拨款收入支出决算总表</w:t>
      </w:r>
      <w:bookmarkEnd w:id="92"/>
    </w:p>
    <w:bookmarkEnd w:id="93"/>
    <w:p w14:paraId="5F47019A">
      <w:pPr>
        <w:pStyle w:val="4"/>
        <w:rPr>
          <w:rStyle w:val="30"/>
          <w:rFonts w:hint="default" w:ascii="Times New Roman" w:hAnsi="Times New Roman" w:eastAsia="仿宋" w:cs="Times New Roman"/>
          <w:b w:val="0"/>
          <w:bCs w:val="0"/>
        </w:rPr>
      </w:pPr>
      <w:bookmarkStart w:id="94" w:name="_Toc15396623"/>
      <w:bookmarkStart w:id="95" w:name="_五、财政拨款支出决算明细表"/>
      <w:r>
        <w:rPr>
          <w:rStyle w:val="30"/>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30"/>
          <w:rFonts w:hint="default" w:ascii="Times New Roman" w:hAnsi="Times New Roman" w:eastAsia="仿宋" w:cs="Times New Roman"/>
          <w:b w:val="0"/>
          <w:bCs w:val="0"/>
        </w:rPr>
        <w:t>政拨款支出决算明细表</w:t>
      </w:r>
      <w:bookmarkEnd w:id="94"/>
      <w:bookmarkStart w:id="96" w:name="_Toc15396624"/>
    </w:p>
    <w:bookmarkEnd w:id="95"/>
    <w:p w14:paraId="528BFA84">
      <w:pPr>
        <w:pStyle w:val="4"/>
        <w:rPr>
          <w:rFonts w:hint="default" w:ascii="Times New Roman" w:hAnsi="Times New Roman" w:eastAsia="仿宋" w:cs="Times New Roman"/>
          <w:color w:val="000000"/>
        </w:rPr>
      </w:pPr>
      <w:bookmarkStart w:id="97" w:name="_六、一般公共预算财政拨款支出决算表"/>
      <w:r>
        <w:rPr>
          <w:rStyle w:val="30"/>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30"/>
          <w:rFonts w:hint="default" w:ascii="Times New Roman" w:hAnsi="Times New Roman" w:eastAsia="仿宋" w:cs="Times New Roman"/>
          <w:b w:val="0"/>
          <w:bCs w:val="0"/>
        </w:rPr>
        <w:t>般公共预算财政拨款支出决算表</w:t>
      </w:r>
      <w:bookmarkEnd w:id="96"/>
    </w:p>
    <w:bookmarkEnd w:id="97"/>
    <w:p w14:paraId="3B454937">
      <w:pPr>
        <w:pStyle w:val="4"/>
        <w:rPr>
          <w:rFonts w:hint="default" w:ascii="Times New Roman" w:hAnsi="Times New Roman" w:eastAsia="仿宋" w:cs="Times New Roman"/>
          <w:color w:val="000000"/>
        </w:rPr>
      </w:pPr>
      <w:bookmarkStart w:id="98" w:name="_Toc15396625"/>
      <w:bookmarkStart w:id="99" w:name="_七、一般公共预算财政拨款支出决算明细表"/>
      <w:r>
        <w:rPr>
          <w:rStyle w:val="30"/>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30"/>
          <w:rFonts w:hint="default" w:ascii="Times New Roman" w:hAnsi="Times New Roman" w:eastAsia="仿宋" w:cs="Times New Roman"/>
          <w:b w:val="0"/>
          <w:bCs w:val="0"/>
        </w:rPr>
        <w:t>般公共预算财政拨款支出决算明细表</w:t>
      </w:r>
      <w:bookmarkEnd w:id="98"/>
    </w:p>
    <w:bookmarkEnd w:id="99"/>
    <w:p w14:paraId="52181C77">
      <w:pPr>
        <w:pStyle w:val="4"/>
        <w:rPr>
          <w:rFonts w:hint="default" w:ascii="Times New Roman" w:hAnsi="Times New Roman" w:eastAsia="仿宋" w:cs="Times New Roman"/>
          <w:color w:val="000000"/>
        </w:rPr>
      </w:pPr>
      <w:bookmarkStart w:id="100" w:name="_Toc15396626"/>
      <w:bookmarkStart w:id="101" w:name="_八、一般公共预算财政拨款基本支出决算表"/>
      <w:r>
        <w:rPr>
          <w:rStyle w:val="30"/>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30"/>
          <w:rFonts w:hint="default" w:ascii="Times New Roman" w:hAnsi="Times New Roman" w:eastAsia="仿宋" w:cs="Times New Roman"/>
          <w:b w:val="0"/>
          <w:bCs w:val="0"/>
        </w:rPr>
        <w:t>般公共预算财政拨款基本支出决算表</w:t>
      </w:r>
      <w:bookmarkEnd w:id="100"/>
    </w:p>
    <w:bookmarkEnd w:id="101"/>
    <w:p w14:paraId="0CD9C0C0">
      <w:pPr>
        <w:pStyle w:val="4"/>
        <w:rPr>
          <w:rFonts w:hint="default" w:ascii="Times New Roman" w:hAnsi="Times New Roman" w:eastAsia="仿宋" w:cs="Times New Roman"/>
          <w:color w:val="000000"/>
        </w:rPr>
      </w:pPr>
      <w:bookmarkStart w:id="102" w:name="_Toc15396627"/>
      <w:bookmarkStart w:id="103" w:name="_九、一般公共预算财政拨款项目支出决算表"/>
      <w:r>
        <w:rPr>
          <w:rStyle w:val="30"/>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30"/>
          <w:rFonts w:hint="default" w:ascii="Times New Roman" w:hAnsi="Times New Roman" w:eastAsia="仿宋" w:cs="Times New Roman"/>
          <w:b w:val="0"/>
          <w:bCs w:val="0"/>
        </w:rPr>
        <w:t>般公共预算财政拨款项目支出决算表</w:t>
      </w:r>
      <w:bookmarkEnd w:id="102"/>
    </w:p>
    <w:bookmarkEnd w:id="103"/>
    <w:p w14:paraId="16455C29">
      <w:pPr>
        <w:pStyle w:val="4"/>
        <w:rPr>
          <w:rFonts w:hint="default" w:ascii="Times New Roman" w:hAnsi="Times New Roman" w:eastAsia="仿宋" w:cs="Times New Roman"/>
          <w:color w:val="000000"/>
        </w:rPr>
      </w:pPr>
      <w:bookmarkStart w:id="104" w:name="_Toc15396628"/>
      <w:bookmarkStart w:id="105" w:name="_十、一般公共预算财政拨款“三公”经费支出决算表"/>
      <w:r>
        <w:rPr>
          <w:rStyle w:val="30"/>
          <w:rFonts w:hint="default" w:ascii="Times New Roman" w:hAnsi="Times New Roman" w:eastAsia="仿宋" w:cs="Times New Roman"/>
          <w:b w:val="0"/>
          <w:bCs w:val="0"/>
        </w:rPr>
        <w:t>十、</w:t>
      </w:r>
      <w:r>
        <w:rPr>
          <w:rFonts w:hint="default" w:ascii="Times New Roman" w:hAnsi="Times New Roman" w:eastAsia="仿宋" w:cs="Times New Roman"/>
          <w:b w:val="0"/>
          <w:color w:val="000000"/>
        </w:rPr>
        <w:t>一</w:t>
      </w:r>
      <w:r>
        <w:rPr>
          <w:rStyle w:val="30"/>
          <w:rFonts w:hint="default" w:ascii="Times New Roman" w:hAnsi="Times New Roman" w:eastAsia="仿宋" w:cs="Times New Roman"/>
          <w:b w:val="0"/>
          <w:bCs w:val="0"/>
        </w:rPr>
        <w:t>般公共预算财政拨款“三公”经费支出决算表</w:t>
      </w:r>
      <w:bookmarkEnd w:id="104"/>
    </w:p>
    <w:bookmarkEnd w:id="105"/>
    <w:p w14:paraId="5F2F04DD">
      <w:pPr>
        <w:pStyle w:val="4"/>
        <w:rPr>
          <w:rFonts w:hint="default" w:ascii="Times New Roman" w:hAnsi="Times New Roman" w:eastAsia="仿宋" w:cs="Times New Roman"/>
          <w:color w:val="000000"/>
        </w:rPr>
      </w:pPr>
      <w:bookmarkStart w:id="106" w:name="_Toc15396629"/>
      <w:bookmarkStart w:id="107" w:name="_十一、政府性基金预算财政拨款收入支出决算表"/>
      <w:r>
        <w:rPr>
          <w:rStyle w:val="30"/>
          <w:rFonts w:hint="default" w:ascii="Times New Roman" w:hAnsi="Times New Roman" w:eastAsia="仿宋" w:cs="Times New Roman"/>
          <w:b w:val="0"/>
          <w:bCs w:val="0"/>
        </w:rPr>
        <w:t>十一、</w:t>
      </w:r>
      <w:r>
        <w:rPr>
          <w:rFonts w:hint="default" w:ascii="Times New Roman" w:hAnsi="Times New Roman" w:eastAsia="仿宋" w:cs="Times New Roman"/>
          <w:b w:val="0"/>
          <w:color w:val="000000"/>
        </w:rPr>
        <w:t>政</w:t>
      </w:r>
      <w:r>
        <w:rPr>
          <w:rStyle w:val="30"/>
          <w:rFonts w:hint="default" w:ascii="Times New Roman" w:hAnsi="Times New Roman" w:eastAsia="仿宋" w:cs="Times New Roman"/>
          <w:b w:val="0"/>
          <w:bCs w:val="0"/>
        </w:rPr>
        <w:t>府性基金预算财政拨款收入支出决算表</w:t>
      </w:r>
      <w:bookmarkEnd w:id="106"/>
    </w:p>
    <w:bookmarkEnd w:id="107"/>
    <w:p w14:paraId="197173D4">
      <w:pPr>
        <w:pStyle w:val="4"/>
        <w:rPr>
          <w:rStyle w:val="30"/>
          <w:rFonts w:hint="default" w:ascii="Times New Roman" w:hAnsi="Times New Roman" w:eastAsia="仿宋" w:cs="Times New Roman"/>
          <w:b w:val="0"/>
          <w:bCs w:val="0"/>
        </w:rPr>
      </w:pPr>
      <w:bookmarkStart w:id="108" w:name="_Toc15396630"/>
      <w:bookmarkStart w:id="109" w:name="_十二、政府性基金预算财政拨款“三公”经费支出决算表"/>
      <w:r>
        <w:rPr>
          <w:rStyle w:val="30"/>
          <w:rFonts w:hint="default" w:ascii="Times New Roman" w:hAnsi="Times New Roman" w:eastAsia="仿宋" w:cs="Times New Roman"/>
          <w:b w:val="0"/>
          <w:bCs w:val="0"/>
        </w:rPr>
        <w:t>十二、政府性基金预算财政拨款“三公”经费支出决算表</w:t>
      </w:r>
      <w:bookmarkEnd w:id="108"/>
    </w:p>
    <w:bookmarkEnd w:id="109"/>
    <w:p w14:paraId="31BC6D55">
      <w:pPr>
        <w:pStyle w:val="4"/>
        <w:rPr>
          <w:rStyle w:val="30"/>
          <w:rFonts w:hint="default" w:ascii="Times New Roman" w:hAnsi="Times New Roman" w:eastAsia="仿宋" w:cs="Times New Roman"/>
          <w:b w:val="0"/>
          <w:bCs w:val="0"/>
        </w:rPr>
      </w:pPr>
      <w:bookmarkStart w:id="110" w:name="_Toc15396631"/>
      <w:bookmarkStart w:id="111" w:name="_十三、国有资本经营预算支出决算表"/>
      <w:r>
        <w:rPr>
          <w:rStyle w:val="30"/>
          <w:rFonts w:hint="default" w:ascii="Times New Roman" w:hAnsi="Times New Roman" w:eastAsia="仿宋" w:cs="Times New Roman"/>
          <w:b w:val="0"/>
          <w:bCs w:val="0"/>
        </w:rPr>
        <w:t>十三、国有资本经营预算支出决算表</w:t>
      </w:r>
      <w:bookmarkEnd w:id="110"/>
    </w:p>
    <w:bookmarkEnd w:id="111"/>
    <w:p w14:paraId="1891A7A6">
      <w:pPr>
        <w:pStyle w:val="4"/>
        <w:rPr>
          <w:rFonts w:hint="eastAsia" w:eastAsia="仿宋"/>
          <w:lang w:eastAsia="zh-CN"/>
        </w:rPr>
      </w:pPr>
      <w:bookmarkStart w:id="112" w:name="_十四、机关运行经费、资产占用情况及政府采购支出信息表"/>
      <w:r>
        <w:rPr>
          <w:rStyle w:val="30"/>
          <w:rFonts w:hint="eastAsia" w:ascii="Times New Roman" w:hAnsi="Times New Roman" w:eastAsia="仿宋" w:cs="Times New Roman"/>
          <w:b w:val="0"/>
          <w:bCs w:val="0"/>
          <w:lang w:eastAsia="zh-CN"/>
        </w:rPr>
        <w:t>十四、机关运行经费、资产占用情</w:t>
      </w:r>
      <w:r>
        <w:rPr>
          <w:rStyle w:val="30"/>
          <w:rFonts w:hint="eastAsia" w:eastAsia="仿宋" w:cs="Times New Roman"/>
          <w:b w:val="0"/>
          <w:bCs w:val="0"/>
          <w:lang w:eastAsia="zh-CN"/>
        </w:rPr>
        <w:t>况及政府采购支出信息表</w:t>
      </w:r>
      <w:bookmarkEnd w:id="11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0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楷体简体">
    <w:altName w:val="楷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7F35BBE">
        <w:pPr>
          <w:pStyle w:val="10"/>
          <w:jc w:val="center"/>
        </w:pPr>
        <w:r>
          <w:fldChar w:fldCharType="begin"/>
        </w:r>
        <w:r>
          <w:instrText xml:space="preserve">PAGE   \* MERGEFORMAT</w:instrText>
        </w:r>
        <w:r>
          <w:fldChar w:fldCharType="separate"/>
        </w:r>
        <w:r>
          <w:rPr>
            <w:lang w:val="zh-CN"/>
          </w:rPr>
          <w:t>24</w:t>
        </w:r>
        <w:r>
          <w:fldChar w:fldCharType="end"/>
        </w:r>
      </w:p>
    </w:sdtContent>
  </w:sdt>
  <w:p w14:paraId="3939BDC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126FE">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5010"/>
    <w:multiLevelType w:val="singleLevel"/>
    <w:tmpl w:val="8075501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46841"/>
    <w:rsid w:val="01A42CAB"/>
    <w:rsid w:val="02BC4549"/>
    <w:rsid w:val="038C60C3"/>
    <w:rsid w:val="03950059"/>
    <w:rsid w:val="04C0569B"/>
    <w:rsid w:val="07E33336"/>
    <w:rsid w:val="091E6B2D"/>
    <w:rsid w:val="09223A51"/>
    <w:rsid w:val="0BDC10AF"/>
    <w:rsid w:val="0C6522B8"/>
    <w:rsid w:val="0C99530E"/>
    <w:rsid w:val="0C9C25DD"/>
    <w:rsid w:val="0DA33915"/>
    <w:rsid w:val="0E0372A5"/>
    <w:rsid w:val="0E087D7B"/>
    <w:rsid w:val="0FA42A2A"/>
    <w:rsid w:val="10C055FF"/>
    <w:rsid w:val="11C567A4"/>
    <w:rsid w:val="143C7BD6"/>
    <w:rsid w:val="158E288E"/>
    <w:rsid w:val="16BB723D"/>
    <w:rsid w:val="17FF0BC4"/>
    <w:rsid w:val="18C17DC1"/>
    <w:rsid w:val="18D914AA"/>
    <w:rsid w:val="1B500F65"/>
    <w:rsid w:val="1C642F8C"/>
    <w:rsid w:val="1CDC6D5E"/>
    <w:rsid w:val="1CFF00F7"/>
    <w:rsid w:val="1D0962EA"/>
    <w:rsid w:val="1D1B0561"/>
    <w:rsid w:val="1D376AE4"/>
    <w:rsid w:val="1D624FAD"/>
    <w:rsid w:val="1D780DF0"/>
    <w:rsid w:val="1DCC5D58"/>
    <w:rsid w:val="1E2A741A"/>
    <w:rsid w:val="1E731E84"/>
    <w:rsid w:val="1F933CB5"/>
    <w:rsid w:val="1FDE4743"/>
    <w:rsid w:val="201C06C2"/>
    <w:rsid w:val="202D58F8"/>
    <w:rsid w:val="219C3490"/>
    <w:rsid w:val="22DA6673"/>
    <w:rsid w:val="22EF13A0"/>
    <w:rsid w:val="235E59F2"/>
    <w:rsid w:val="23CB03E8"/>
    <w:rsid w:val="240371BF"/>
    <w:rsid w:val="244D0E27"/>
    <w:rsid w:val="24874B49"/>
    <w:rsid w:val="24AA73D8"/>
    <w:rsid w:val="26A00AE6"/>
    <w:rsid w:val="279B0124"/>
    <w:rsid w:val="28C13581"/>
    <w:rsid w:val="29FD04D3"/>
    <w:rsid w:val="2AC35BB9"/>
    <w:rsid w:val="2AE13DCA"/>
    <w:rsid w:val="2D8C41F0"/>
    <w:rsid w:val="2E3C761D"/>
    <w:rsid w:val="30061054"/>
    <w:rsid w:val="306A64B3"/>
    <w:rsid w:val="319F7F4E"/>
    <w:rsid w:val="31B15D11"/>
    <w:rsid w:val="31F91041"/>
    <w:rsid w:val="32342D6D"/>
    <w:rsid w:val="32FE3D96"/>
    <w:rsid w:val="3305252A"/>
    <w:rsid w:val="34004D5B"/>
    <w:rsid w:val="34804687"/>
    <w:rsid w:val="349504E5"/>
    <w:rsid w:val="351D6263"/>
    <w:rsid w:val="35B71560"/>
    <w:rsid w:val="35E929F3"/>
    <w:rsid w:val="367E7706"/>
    <w:rsid w:val="377535CC"/>
    <w:rsid w:val="377E06C8"/>
    <w:rsid w:val="383F7674"/>
    <w:rsid w:val="38D745EF"/>
    <w:rsid w:val="39E816A4"/>
    <w:rsid w:val="3C0D3A5A"/>
    <w:rsid w:val="3C53685A"/>
    <w:rsid w:val="3C7E41C6"/>
    <w:rsid w:val="3CBD7321"/>
    <w:rsid w:val="3D6867D9"/>
    <w:rsid w:val="400761A1"/>
    <w:rsid w:val="40426C6D"/>
    <w:rsid w:val="41743734"/>
    <w:rsid w:val="45606F74"/>
    <w:rsid w:val="46914D97"/>
    <w:rsid w:val="49760904"/>
    <w:rsid w:val="4A0F0175"/>
    <w:rsid w:val="4C356F62"/>
    <w:rsid w:val="4E9E6425"/>
    <w:rsid w:val="4ECE2238"/>
    <w:rsid w:val="5295403A"/>
    <w:rsid w:val="52A45F37"/>
    <w:rsid w:val="52C013FB"/>
    <w:rsid w:val="53C03231"/>
    <w:rsid w:val="540713ED"/>
    <w:rsid w:val="54592A74"/>
    <w:rsid w:val="557467C7"/>
    <w:rsid w:val="56007D6F"/>
    <w:rsid w:val="56C84573"/>
    <w:rsid w:val="57AD172A"/>
    <w:rsid w:val="57EC1D85"/>
    <w:rsid w:val="5B7F64EA"/>
    <w:rsid w:val="5D87303A"/>
    <w:rsid w:val="5F252BCB"/>
    <w:rsid w:val="5F833880"/>
    <w:rsid w:val="5FBD6ACC"/>
    <w:rsid w:val="5FC91F25"/>
    <w:rsid w:val="61861235"/>
    <w:rsid w:val="619A29DC"/>
    <w:rsid w:val="62D66698"/>
    <w:rsid w:val="63AC5F4F"/>
    <w:rsid w:val="63F83E74"/>
    <w:rsid w:val="65134F9A"/>
    <w:rsid w:val="65C36DFA"/>
    <w:rsid w:val="65DA1373"/>
    <w:rsid w:val="694609C5"/>
    <w:rsid w:val="69DA6507"/>
    <w:rsid w:val="6A191852"/>
    <w:rsid w:val="6A77521A"/>
    <w:rsid w:val="6AE61BBB"/>
    <w:rsid w:val="6BFC0F94"/>
    <w:rsid w:val="6C3C530F"/>
    <w:rsid w:val="6E24298D"/>
    <w:rsid w:val="6F1116CC"/>
    <w:rsid w:val="700A72A3"/>
    <w:rsid w:val="72364BF4"/>
    <w:rsid w:val="72734D90"/>
    <w:rsid w:val="73505356"/>
    <w:rsid w:val="73A64E6D"/>
    <w:rsid w:val="73E50379"/>
    <w:rsid w:val="7420714C"/>
    <w:rsid w:val="75165CB4"/>
    <w:rsid w:val="75281313"/>
    <w:rsid w:val="765D24F4"/>
    <w:rsid w:val="77182F04"/>
    <w:rsid w:val="77ED6403"/>
    <w:rsid w:val="787A444A"/>
    <w:rsid w:val="79733286"/>
    <w:rsid w:val="799F3614"/>
    <w:rsid w:val="7B2E2E4A"/>
    <w:rsid w:val="7BCB3093"/>
    <w:rsid w:val="7C03560A"/>
    <w:rsid w:val="7D020678"/>
    <w:rsid w:val="FF7F1E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99"/>
    <w:pPr>
      <w:spacing w:after="120" w:line="480" w:lineRule="auto"/>
      <w:ind w:left="420" w:leftChars="200"/>
    </w:pPr>
    <w:rPr>
      <w:szCs w:val="20"/>
    </w:rPr>
  </w:style>
  <w:style w:type="paragraph" w:styleId="6">
    <w:name w:val="annotation text"/>
    <w:basedOn w:val="1"/>
    <w:qFormat/>
    <w:uiPriority w:val="0"/>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7">
    <w:name w:val="Strong"/>
    <w:basedOn w:val="16"/>
    <w:qFormat/>
    <w:uiPriority w:val="99"/>
    <w:rPr>
      <w:b/>
    </w:rPr>
  </w:style>
  <w:style w:type="character" w:styleId="18">
    <w:name w:val="page number"/>
    <w:basedOn w:val="16"/>
    <w:qFormat/>
    <w:uiPriority w:val="0"/>
  </w:style>
  <w:style w:type="character" w:styleId="19">
    <w:name w:val="FollowedHyperlink"/>
    <w:basedOn w:val="16"/>
    <w:semiHidden/>
    <w:unhideWhenUsed/>
    <w:qFormat/>
    <w:uiPriority w:val="99"/>
    <w:rPr>
      <w:color w:val="800080"/>
      <w:u w:val="single"/>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6"/>
    <w:link w:val="3"/>
    <w:qFormat/>
    <w:uiPriority w:val="9"/>
    <w:rPr>
      <w:rFonts w:ascii="Times New Roman" w:hAnsi="Times New Roman"/>
      <w:b/>
      <w:bCs/>
      <w:kern w:val="44"/>
      <w:sz w:val="44"/>
      <w:szCs w:val="44"/>
    </w:rPr>
  </w:style>
  <w:style w:type="character" w:customStyle="1" w:styleId="30">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6"/>
    <w:link w:val="9"/>
    <w:semiHidden/>
    <w:qFormat/>
    <w:uiPriority w:val="99"/>
    <w:rPr>
      <w:rFonts w:ascii="Times New Roman" w:hAnsi="Times New Roman"/>
      <w:kern w:val="2"/>
      <w:sz w:val="18"/>
      <w:szCs w:val="18"/>
    </w:rPr>
  </w:style>
  <w:style w:type="character" w:customStyle="1" w:styleId="33">
    <w:name w:val="标题 3 Char"/>
    <w:basedOn w:val="16"/>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40</Pages>
  <Words>7622</Words>
  <Characters>931</Characters>
  <Lines>7</Lines>
  <Paragraphs>17</Paragraphs>
  <TotalTime>3</TotalTime>
  <ScaleCrop>false</ScaleCrop>
  <LinksUpToDate>false</LinksUpToDate>
  <CharactersWithSpaces>8536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2020-09-11T09:45:00Z</cp:lastPrinted>
  <dcterms:modified xsi:type="dcterms:W3CDTF">2026-08-19T16:28:20Z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ED1DF400B0994FAD975C825E489FB4B6</vt:lpwstr>
  </property>
</Properties>
</file>