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969D5">
      <w:pPr>
        <w:spacing w:line="600" w:lineRule="exact"/>
        <w:jc w:val="center"/>
        <w:outlineLvl w:val="0"/>
        <w:rPr>
          <w:rFonts w:ascii="方正小标宋简体" w:hAnsi="宋体" w:eastAsia="方正小标宋简体"/>
          <w:sz w:val="72"/>
          <w:szCs w:val="72"/>
        </w:rPr>
      </w:pPr>
      <w:bookmarkStart w:id="0" w:name="_Toc15377425"/>
      <w:bookmarkStart w:id="1" w:name="_Toc15378441"/>
      <w:bookmarkStart w:id="2" w:name="_Toc15396475"/>
      <w:bookmarkStart w:id="3" w:name="_Toc15396597"/>
      <w:bookmarkStart w:id="4" w:name="_Toc15377193"/>
      <w:bookmarkStart w:id="5" w:name="_Toc15306267"/>
    </w:p>
    <w:p w14:paraId="21AC37C4">
      <w:pPr>
        <w:spacing w:line="600" w:lineRule="exact"/>
        <w:jc w:val="center"/>
        <w:outlineLvl w:val="0"/>
        <w:rPr>
          <w:rFonts w:ascii="方正小标宋简体" w:hAnsi="宋体" w:eastAsia="方正小标宋简体"/>
          <w:sz w:val="72"/>
          <w:szCs w:val="72"/>
        </w:rPr>
      </w:pPr>
    </w:p>
    <w:p w14:paraId="4E558E96">
      <w:pPr>
        <w:spacing w:line="600" w:lineRule="exact"/>
        <w:jc w:val="center"/>
        <w:outlineLvl w:val="0"/>
        <w:rPr>
          <w:rFonts w:ascii="方正小标宋简体" w:hAnsi="宋体" w:eastAsia="方正小标宋简体"/>
          <w:sz w:val="72"/>
          <w:szCs w:val="72"/>
        </w:rPr>
      </w:pPr>
    </w:p>
    <w:p w14:paraId="367C0F7E">
      <w:pPr>
        <w:spacing w:line="600" w:lineRule="exact"/>
        <w:jc w:val="center"/>
        <w:outlineLvl w:val="0"/>
        <w:rPr>
          <w:rFonts w:ascii="方正小标宋简体" w:hAnsi="宋体" w:eastAsia="方正小标宋简体"/>
          <w:sz w:val="72"/>
          <w:szCs w:val="72"/>
        </w:rPr>
      </w:pPr>
    </w:p>
    <w:p w14:paraId="17CEAE06">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17519035"/>
      <w:r>
        <w:rPr>
          <w:rFonts w:hint="default" w:ascii="Times New Roman" w:hAnsi="Times New Roman" w:eastAsia="方正小标宋简体" w:cs="Times New Roman"/>
          <w:sz w:val="72"/>
          <w:szCs w:val="72"/>
        </w:rPr>
        <w:t>2021</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p>
    <w:bookmarkEnd w:id="5"/>
    <w:p w14:paraId="06F4F4BF">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17519036"/>
      <w:bookmarkStart w:id="8" w:name="_Toc15377426"/>
      <w:bookmarkStart w:id="9" w:name="_Toc15396476"/>
      <w:bookmarkStart w:id="10" w:name="_Toc15306268"/>
      <w:bookmarkStart w:id="11" w:name="_Toc15377194"/>
      <w:bookmarkStart w:id="12" w:name="_Toc15378442"/>
      <w:bookmarkStart w:id="13" w:name="_Toc15396598"/>
      <w:r>
        <w:rPr>
          <w:rFonts w:hint="eastAsia" w:ascii="方正小标宋简体" w:hAnsi="方正小标宋简体" w:eastAsia="方正小标宋简体" w:cs="方正小标宋简体"/>
          <w:sz w:val="72"/>
          <w:szCs w:val="72"/>
        </w:rPr>
        <w:t>中国共产党米易县委员会宣传部</w:t>
      </w:r>
      <w:bookmarkEnd w:id="7"/>
    </w:p>
    <w:p w14:paraId="631DAA7A">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4" w:name="_Toc117519037"/>
      <w:r>
        <w:rPr>
          <w:rFonts w:hint="eastAsia" w:ascii="方正小标宋简体" w:hAnsi="方正小标宋简体" w:eastAsia="方正小标宋简体" w:cs="方正小标宋简体"/>
          <w:sz w:val="72"/>
          <w:szCs w:val="72"/>
        </w:rPr>
        <w:t>部门决算</w:t>
      </w:r>
      <w:bookmarkEnd w:id="8"/>
      <w:bookmarkEnd w:id="9"/>
      <w:bookmarkEnd w:id="10"/>
      <w:bookmarkEnd w:id="11"/>
      <w:bookmarkEnd w:id="12"/>
      <w:bookmarkEnd w:id="13"/>
      <w:bookmarkEnd w:id="14"/>
    </w:p>
    <w:p w14:paraId="353768A7">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75FE76B8">
      <w:pPr>
        <w:widowControl/>
        <w:jc w:val="center"/>
        <w:rPr>
          <w:rFonts w:ascii="黑体" w:hAnsi="黑体" w:eastAsia="黑体" w:cstheme="minorBidi"/>
          <w:sz w:val="28"/>
          <w:szCs w:val="28"/>
        </w:rPr>
      </w:pPr>
    </w:p>
    <w:p w14:paraId="76F23302">
      <w:pPr>
        <w:pStyle w:val="10"/>
      </w:pPr>
      <w:r>
        <w:rPr>
          <w:rFonts w:hint="eastAsia"/>
        </w:rPr>
        <w:t>公开时间：2022年10月26日</w:t>
      </w:r>
    </w:p>
    <w:sdt>
      <w:sdtPr>
        <w:rPr>
          <w:rFonts w:ascii="Times New Roman" w:hAnsi="Times New Roman" w:eastAsia="宋体" w:cs="Times New Roman"/>
          <w:b w:val="0"/>
          <w:bCs w:val="0"/>
          <w:color w:val="auto"/>
          <w:kern w:val="2"/>
          <w:sz w:val="21"/>
          <w:szCs w:val="24"/>
          <w:lang w:val="zh-CN"/>
        </w:rPr>
        <w:id w:val="26040968"/>
      </w:sdtPr>
      <w:sdtEndPr>
        <w:rPr>
          <w:rFonts w:ascii="Times New Roman" w:hAnsi="Times New Roman" w:eastAsia="宋体" w:cs="Times New Roman"/>
          <w:b w:val="0"/>
          <w:bCs w:val="0"/>
          <w:color w:val="auto"/>
          <w:kern w:val="2"/>
          <w:sz w:val="21"/>
          <w:szCs w:val="24"/>
          <w:lang w:val="en-US"/>
        </w:rPr>
      </w:sdtEndPr>
      <w:sdtContent>
        <w:p w14:paraId="730C3C2D">
          <w:pPr>
            <w:pStyle w:val="33"/>
            <w:rPr>
              <w:rFonts w:asciiTheme="minorHAnsi" w:hAnsiTheme="minorHAnsi" w:eastAsiaTheme="minorEastAsia" w:cstheme="minorBidi"/>
              <w:sz w:val="21"/>
              <w:szCs w:val="22"/>
            </w:rPr>
          </w:pPr>
          <w:r>
            <w:fldChar w:fldCharType="begin"/>
          </w:r>
          <w:r>
            <w:instrText xml:space="preserve"> TOC \o "1-3" \h \z \u </w:instrText>
          </w:r>
          <w:r>
            <w:fldChar w:fldCharType="separate"/>
          </w:r>
        </w:p>
        <w:p w14:paraId="7257F0D0">
          <w:pPr>
            <w:pStyle w:val="10"/>
            <w:rPr>
              <w:rFonts w:asciiTheme="minorHAnsi" w:hAnsiTheme="minorHAnsi" w:eastAsiaTheme="minorEastAsia" w:cstheme="minorBidi"/>
              <w:sz w:val="21"/>
              <w:szCs w:val="22"/>
            </w:rPr>
          </w:pPr>
          <w:r>
            <w:fldChar w:fldCharType="begin"/>
          </w:r>
          <w:r>
            <w:instrText xml:space="preserve"> HYPERLINK \l "_Toc117519038" </w:instrText>
          </w:r>
          <w:r>
            <w:fldChar w:fldCharType="separate"/>
          </w:r>
          <w:r>
            <w:rPr>
              <w:rStyle w:val="15"/>
              <w:rFonts w:hint="eastAsia" w:ascii="黑体" w:hAnsi="黑体" w:eastAsia="黑体"/>
            </w:rPr>
            <w:t>第一部分</w:t>
          </w:r>
          <w:r>
            <w:rPr>
              <w:rStyle w:val="15"/>
              <w:rFonts w:ascii="黑体" w:hAnsi="黑体" w:eastAsia="黑体"/>
            </w:rPr>
            <w:t xml:space="preserve"> </w:t>
          </w:r>
          <w:r>
            <w:rPr>
              <w:rStyle w:val="15"/>
              <w:rFonts w:hint="eastAsia" w:ascii="黑体" w:hAnsi="黑体" w:eastAsia="黑体"/>
            </w:rPr>
            <w:t>部门概况</w:t>
          </w:r>
          <w:r>
            <w:tab/>
          </w:r>
          <w:r>
            <w:fldChar w:fldCharType="begin"/>
          </w:r>
          <w:r>
            <w:instrText xml:space="preserve"> PAGEREF _Toc117519038 \h </w:instrText>
          </w:r>
          <w:r>
            <w:fldChar w:fldCharType="separate"/>
          </w:r>
          <w:r>
            <w:t>3</w:t>
          </w:r>
          <w:r>
            <w:fldChar w:fldCharType="end"/>
          </w:r>
          <w:r>
            <w:fldChar w:fldCharType="end"/>
          </w:r>
        </w:p>
        <w:p w14:paraId="4DF352E6">
          <w:pPr>
            <w:pStyle w:val="11"/>
            <w:rPr>
              <w:rFonts w:asciiTheme="minorHAnsi" w:hAnsiTheme="minorHAnsi" w:eastAsiaTheme="minorEastAsia" w:cstheme="minorBidi"/>
              <w:szCs w:val="22"/>
            </w:rPr>
          </w:pPr>
          <w:r>
            <w:fldChar w:fldCharType="begin"/>
          </w:r>
          <w:r>
            <w:instrText xml:space="preserve"> HYPERLINK \l "_Toc117519039" </w:instrText>
          </w:r>
          <w:r>
            <w:fldChar w:fldCharType="separate"/>
          </w:r>
          <w:r>
            <w:rPr>
              <w:rStyle w:val="15"/>
              <w:rFonts w:hint="eastAsia" w:ascii="黑体" w:hAnsi="黑体" w:eastAsia="黑体"/>
            </w:rPr>
            <w:t>一、基本职能及主要工作</w:t>
          </w:r>
          <w:r>
            <w:tab/>
          </w:r>
          <w:r>
            <w:fldChar w:fldCharType="begin"/>
          </w:r>
          <w:r>
            <w:instrText xml:space="preserve"> PAGEREF _Toc117519039 \h </w:instrText>
          </w:r>
          <w:r>
            <w:fldChar w:fldCharType="separate"/>
          </w:r>
          <w:r>
            <w:t>3</w:t>
          </w:r>
          <w:r>
            <w:fldChar w:fldCharType="end"/>
          </w:r>
          <w:r>
            <w:fldChar w:fldCharType="end"/>
          </w:r>
        </w:p>
        <w:p w14:paraId="36570D93">
          <w:pPr>
            <w:pStyle w:val="11"/>
            <w:rPr>
              <w:rFonts w:asciiTheme="minorHAnsi" w:hAnsiTheme="minorHAnsi" w:eastAsiaTheme="minorEastAsia" w:cstheme="minorBidi"/>
              <w:szCs w:val="22"/>
            </w:rPr>
          </w:pPr>
          <w:r>
            <w:fldChar w:fldCharType="begin"/>
          </w:r>
          <w:r>
            <w:instrText xml:space="preserve"> HYPERLINK \l "_Toc117519050" </w:instrText>
          </w:r>
          <w:r>
            <w:fldChar w:fldCharType="separate"/>
          </w:r>
          <w:r>
            <w:rPr>
              <w:rStyle w:val="15"/>
              <w:rFonts w:hint="eastAsia" w:ascii="黑体" w:eastAsia="黑体"/>
            </w:rPr>
            <w:t>二、</w:t>
          </w:r>
          <w:r>
            <w:rPr>
              <w:rStyle w:val="15"/>
              <w:rFonts w:hint="eastAsia" w:ascii="黑体" w:hAnsi="黑体" w:eastAsia="黑体"/>
            </w:rPr>
            <w:t>机构设置</w:t>
          </w:r>
          <w:r>
            <w:tab/>
          </w:r>
          <w:r>
            <w:fldChar w:fldCharType="begin"/>
          </w:r>
          <w:r>
            <w:instrText xml:space="preserve"> PAGEREF _Toc117519050 \h </w:instrText>
          </w:r>
          <w:r>
            <w:fldChar w:fldCharType="separate"/>
          </w:r>
          <w:r>
            <w:t>6</w:t>
          </w:r>
          <w:r>
            <w:fldChar w:fldCharType="end"/>
          </w:r>
          <w:r>
            <w:fldChar w:fldCharType="end"/>
          </w:r>
        </w:p>
        <w:p w14:paraId="489D40EC">
          <w:pPr>
            <w:pStyle w:val="10"/>
            <w:rPr>
              <w:rFonts w:asciiTheme="minorHAnsi" w:hAnsiTheme="minorHAnsi" w:eastAsiaTheme="minorEastAsia" w:cstheme="minorBidi"/>
              <w:sz w:val="21"/>
              <w:szCs w:val="22"/>
            </w:rPr>
          </w:pPr>
          <w:r>
            <w:fldChar w:fldCharType="begin"/>
          </w:r>
          <w:r>
            <w:instrText xml:space="preserve"> HYPERLINK \l "_Toc117519051" </w:instrText>
          </w:r>
          <w:r>
            <w:fldChar w:fldCharType="separate"/>
          </w:r>
          <w:r>
            <w:rPr>
              <w:rStyle w:val="15"/>
              <w:rFonts w:hint="eastAsia" w:ascii="黑体" w:hAnsi="黑体" w:eastAsia="黑体"/>
            </w:rPr>
            <w:t>第二部分</w:t>
          </w:r>
          <w:r>
            <w:rPr>
              <w:rStyle w:val="15"/>
              <w:rFonts w:ascii="黑体" w:hAnsi="黑体" w:eastAsia="黑体"/>
            </w:rPr>
            <w:t xml:space="preserve"> 2021</w:t>
          </w:r>
          <w:r>
            <w:rPr>
              <w:rStyle w:val="15"/>
              <w:rFonts w:hint="eastAsia" w:ascii="黑体" w:hAnsi="黑体" w:eastAsia="黑体"/>
            </w:rPr>
            <w:t>年度部门决算情况说明</w:t>
          </w:r>
          <w:r>
            <w:tab/>
          </w:r>
          <w:r>
            <w:fldChar w:fldCharType="begin"/>
          </w:r>
          <w:r>
            <w:instrText xml:space="preserve"> PAGEREF _Toc117519051 \h </w:instrText>
          </w:r>
          <w:r>
            <w:fldChar w:fldCharType="separate"/>
          </w:r>
          <w:r>
            <w:t>7</w:t>
          </w:r>
          <w:r>
            <w:fldChar w:fldCharType="end"/>
          </w:r>
          <w:r>
            <w:fldChar w:fldCharType="end"/>
          </w:r>
        </w:p>
        <w:p w14:paraId="7E9B7FD5">
          <w:pPr>
            <w:pStyle w:val="11"/>
            <w:tabs>
              <w:tab w:val="left" w:pos="1260"/>
            </w:tabs>
            <w:rPr>
              <w:rFonts w:asciiTheme="minorHAnsi" w:hAnsiTheme="minorHAnsi" w:eastAsiaTheme="minorEastAsia" w:cstheme="minorBidi"/>
              <w:szCs w:val="22"/>
            </w:rPr>
          </w:pPr>
          <w:r>
            <w:fldChar w:fldCharType="begin"/>
          </w:r>
          <w:r>
            <w:instrText xml:space="preserve"> HYPERLINK \l "_Toc117519052" </w:instrText>
          </w:r>
          <w:r>
            <w:fldChar w:fldCharType="separate"/>
          </w:r>
          <w:r>
            <w:rPr>
              <w:rStyle w:val="15"/>
              <w:rFonts w:hint="eastAsia" w:ascii="黑体" w:hAnsi="黑体" w:eastAsia="黑体" w:cstheme="majorBidi"/>
              <w:bCs/>
            </w:rPr>
            <w:t>一、</w:t>
          </w:r>
          <w:r>
            <w:rPr>
              <w:rStyle w:val="15"/>
              <w:rFonts w:hint="eastAsia" w:ascii="黑体" w:hAnsi="黑体" w:eastAsia="黑体"/>
            </w:rPr>
            <w:t>收</w:t>
          </w:r>
          <w:r>
            <w:rPr>
              <w:rStyle w:val="15"/>
              <w:rFonts w:hint="eastAsia" w:ascii="黑体" w:hAnsi="黑体" w:eastAsia="黑体" w:cstheme="majorBidi"/>
              <w:bCs/>
            </w:rPr>
            <w:t>入支出决算总体情况说明</w:t>
          </w:r>
          <w:r>
            <w:tab/>
          </w:r>
          <w:r>
            <w:fldChar w:fldCharType="begin"/>
          </w:r>
          <w:r>
            <w:instrText xml:space="preserve"> PAGEREF _Toc117519052 \h </w:instrText>
          </w:r>
          <w:r>
            <w:fldChar w:fldCharType="separate"/>
          </w:r>
          <w:r>
            <w:t>7</w:t>
          </w:r>
          <w:r>
            <w:fldChar w:fldCharType="end"/>
          </w:r>
          <w:r>
            <w:fldChar w:fldCharType="end"/>
          </w:r>
        </w:p>
        <w:p w14:paraId="267CB845">
          <w:pPr>
            <w:pStyle w:val="11"/>
            <w:tabs>
              <w:tab w:val="left" w:pos="1260"/>
            </w:tabs>
            <w:rPr>
              <w:rFonts w:asciiTheme="minorHAnsi" w:hAnsiTheme="minorHAnsi" w:eastAsiaTheme="minorEastAsia" w:cstheme="minorBidi"/>
              <w:szCs w:val="22"/>
            </w:rPr>
          </w:pPr>
          <w:r>
            <w:fldChar w:fldCharType="begin"/>
          </w:r>
          <w:r>
            <w:instrText xml:space="preserve"> HYPERLINK \l "_Toc117519053" </w:instrText>
          </w:r>
          <w:r>
            <w:fldChar w:fldCharType="separate"/>
          </w:r>
          <w:r>
            <w:rPr>
              <w:rStyle w:val="15"/>
              <w:rFonts w:hint="eastAsia" w:ascii="黑体" w:hAnsi="黑体" w:eastAsia="黑体" w:cstheme="majorBidi"/>
              <w:bCs/>
            </w:rPr>
            <w:t>二、</w:t>
          </w:r>
          <w:r>
            <w:rPr>
              <w:rStyle w:val="15"/>
              <w:rFonts w:hint="eastAsia" w:ascii="黑体" w:hAnsi="黑体" w:eastAsia="黑体"/>
            </w:rPr>
            <w:t>收</w:t>
          </w:r>
          <w:r>
            <w:rPr>
              <w:rStyle w:val="15"/>
              <w:rFonts w:hint="eastAsia" w:ascii="黑体" w:hAnsi="黑体" w:eastAsia="黑体" w:cstheme="majorBidi"/>
              <w:bCs/>
            </w:rPr>
            <w:t>入决算情况说明</w:t>
          </w:r>
          <w:r>
            <w:tab/>
          </w:r>
          <w:r>
            <w:fldChar w:fldCharType="begin"/>
          </w:r>
          <w:r>
            <w:instrText xml:space="preserve"> PAGEREF _Toc117519053 \h </w:instrText>
          </w:r>
          <w:r>
            <w:fldChar w:fldCharType="separate"/>
          </w:r>
          <w:r>
            <w:t>7</w:t>
          </w:r>
          <w:r>
            <w:fldChar w:fldCharType="end"/>
          </w:r>
          <w:r>
            <w:fldChar w:fldCharType="end"/>
          </w:r>
        </w:p>
        <w:p w14:paraId="64692C3C">
          <w:pPr>
            <w:pStyle w:val="11"/>
            <w:tabs>
              <w:tab w:val="left" w:pos="1260"/>
            </w:tabs>
            <w:rPr>
              <w:rFonts w:asciiTheme="minorHAnsi" w:hAnsiTheme="minorHAnsi" w:eastAsiaTheme="minorEastAsia" w:cstheme="minorBidi"/>
              <w:szCs w:val="22"/>
            </w:rPr>
          </w:pPr>
          <w:r>
            <w:fldChar w:fldCharType="begin"/>
          </w:r>
          <w:r>
            <w:instrText xml:space="preserve"> HYPERLINK \l "_Toc117519055" </w:instrText>
          </w:r>
          <w:r>
            <w:fldChar w:fldCharType="separate"/>
          </w:r>
          <w:r>
            <w:rPr>
              <w:rStyle w:val="15"/>
              <w:rFonts w:hint="eastAsia" w:ascii="黑体" w:hAnsi="黑体" w:eastAsia="黑体" w:cstheme="majorBidi"/>
              <w:bCs/>
            </w:rPr>
            <w:t>三、</w:t>
          </w:r>
          <w:r>
            <w:rPr>
              <w:rStyle w:val="15"/>
              <w:rFonts w:hint="eastAsia" w:ascii="黑体" w:hAnsi="黑体" w:eastAsia="黑体"/>
            </w:rPr>
            <w:t>支</w:t>
          </w:r>
          <w:r>
            <w:rPr>
              <w:rStyle w:val="15"/>
              <w:rFonts w:hint="eastAsia" w:ascii="黑体" w:hAnsi="黑体" w:eastAsia="黑体" w:cstheme="majorBidi"/>
              <w:bCs/>
            </w:rPr>
            <w:t>出决算情况说明</w:t>
          </w:r>
          <w:r>
            <w:tab/>
          </w:r>
          <w:r>
            <w:fldChar w:fldCharType="begin"/>
          </w:r>
          <w:r>
            <w:instrText xml:space="preserve"> PAGEREF _Toc117519055 \h </w:instrText>
          </w:r>
          <w:r>
            <w:fldChar w:fldCharType="separate"/>
          </w:r>
          <w:r>
            <w:t>8</w:t>
          </w:r>
          <w:r>
            <w:fldChar w:fldCharType="end"/>
          </w:r>
          <w:r>
            <w:fldChar w:fldCharType="end"/>
          </w:r>
        </w:p>
        <w:p w14:paraId="067B80B4">
          <w:pPr>
            <w:pStyle w:val="11"/>
            <w:rPr>
              <w:rFonts w:asciiTheme="minorHAnsi" w:hAnsiTheme="minorHAnsi" w:eastAsiaTheme="minorEastAsia" w:cstheme="minorBidi"/>
              <w:szCs w:val="22"/>
            </w:rPr>
          </w:pPr>
          <w:r>
            <w:fldChar w:fldCharType="begin"/>
          </w:r>
          <w:r>
            <w:instrText xml:space="preserve"> HYPERLINK \l "_Toc117519057" </w:instrText>
          </w:r>
          <w:r>
            <w:fldChar w:fldCharType="separate"/>
          </w:r>
          <w:r>
            <w:rPr>
              <w:rStyle w:val="15"/>
              <w:rFonts w:hint="eastAsia" w:ascii="黑体" w:hAnsi="黑体" w:eastAsia="黑体"/>
            </w:rPr>
            <w:t>四、财</w:t>
          </w:r>
          <w:r>
            <w:rPr>
              <w:rStyle w:val="15"/>
              <w:rFonts w:hint="eastAsia" w:ascii="黑体" w:hAnsi="黑体" w:eastAsia="黑体" w:cstheme="majorBidi"/>
              <w:bCs/>
            </w:rPr>
            <w:t>政拨款收入支出决算总体情况说明</w:t>
          </w:r>
          <w:r>
            <w:tab/>
          </w:r>
          <w:r>
            <w:fldChar w:fldCharType="begin"/>
          </w:r>
          <w:r>
            <w:instrText xml:space="preserve"> PAGEREF _Toc117519057 \h </w:instrText>
          </w:r>
          <w:r>
            <w:fldChar w:fldCharType="separate"/>
          </w:r>
          <w:r>
            <w:t>9</w:t>
          </w:r>
          <w:r>
            <w:fldChar w:fldCharType="end"/>
          </w:r>
          <w:r>
            <w:fldChar w:fldCharType="end"/>
          </w:r>
        </w:p>
        <w:p w14:paraId="499D3DB3">
          <w:pPr>
            <w:pStyle w:val="11"/>
            <w:rPr>
              <w:rFonts w:asciiTheme="minorHAnsi" w:hAnsiTheme="minorHAnsi" w:eastAsiaTheme="minorEastAsia" w:cstheme="minorBidi"/>
              <w:szCs w:val="22"/>
            </w:rPr>
          </w:pPr>
          <w:r>
            <w:fldChar w:fldCharType="begin"/>
          </w:r>
          <w:r>
            <w:instrText xml:space="preserve"> HYPERLINK \l "_Toc117519058" </w:instrText>
          </w:r>
          <w:r>
            <w:fldChar w:fldCharType="separate"/>
          </w:r>
          <w:r>
            <w:rPr>
              <w:rStyle w:val="15"/>
              <w:rFonts w:hint="eastAsia" w:ascii="黑体" w:hAnsi="黑体" w:eastAsia="黑体"/>
            </w:rPr>
            <w:t>五、</w:t>
          </w:r>
          <w:r>
            <w:rPr>
              <w:rStyle w:val="15"/>
              <w:rFonts w:hint="eastAsia" w:ascii="黑体" w:hAnsi="黑体" w:eastAsia="黑体"/>
              <w:b/>
            </w:rPr>
            <w:t>一</w:t>
          </w:r>
          <w:r>
            <w:rPr>
              <w:rStyle w:val="15"/>
              <w:rFonts w:hint="eastAsia" w:ascii="黑体" w:hAnsi="黑体" w:eastAsia="黑体" w:cstheme="majorBidi"/>
              <w:bCs/>
            </w:rPr>
            <w:t>般公共预算财政拨款支出决算情况说明</w:t>
          </w:r>
          <w:r>
            <w:tab/>
          </w:r>
          <w:r>
            <w:fldChar w:fldCharType="begin"/>
          </w:r>
          <w:r>
            <w:instrText xml:space="preserve"> PAGEREF _Toc117519058 \h </w:instrText>
          </w:r>
          <w:r>
            <w:fldChar w:fldCharType="separate"/>
          </w:r>
          <w:r>
            <w:t>10</w:t>
          </w:r>
          <w:r>
            <w:fldChar w:fldCharType="end"/>
          </w:r>
          <w:r>
            <w:fldChar w:fldCharType="end"/>
          </w:r>
        </w:p>
        <w:p w14:paraId="0E9F2256">
          <w:pPr>
            <w:pStyle w:val="11"/>
            <w:rPr>
              <w:rFonts w:asciiTheme="minorHAnsi" w:hAnsiTheme="minorHAnsi" w:eastAsiaTheme="minorEastAsia" w:cstheme="minorBidi"/>
              <w:szCs w:val="22"/>
            </w:rPr>
          </w:pPr>
          <w:r>
            <w:fldChar w:fldCharType="begin"/>
          </w:r>
          <w:r>
            <w:instrText xml:space="preserve"> HYPERLINK \l "_Toc117519063" </w:instrText>
          </w:r>
          <w:r>
            <w:fldChar w:fldCharType="separate"/>
          </w:r>
          <w:r>
            <w:rPr>
              <w:rStyle w:val="15"/>
              <w:rFonts w:hint="eastAsia" w:ascii="黑体" w:eastAsia="黑体"/>
            </w:rPr>
            <w:t>六</w:t>
          </w:r>
          <w:r>
            <w:rPr>
              <w:rStyle w:val="15"/>
              <w:rFonts w:hint="eastAsia" w:ascii="黑体" w:eastAsia="黑体"/>
              <w:b/>
            </w:rPr>
            <w:t>、</w:t>
          </w:r>
          <w:r>
            <w:rPr>
              <w:rStyle w:val="15"/>
              <w:rFonts w:hint="eastAsia" w:ascii="黑体" w:hAnsi="黑体" w:eastAsia="黑体"/>
              <w:b/>
            </w:rPr>
            <w:t>一</w:t>
          </w:r>
          <w:r>
            <w:rPr>
              <w:rStyle w:val="15"/>
              <w:rFonts w:hint="eastAsia" w:ascii="黑体" w:hAnsi="黑体" w:eastAsia="黑体" w:cstheme="majorBidi"/>
              <w:bCs/>
            </w:rPr>
            <w:t>般公共预算财政拨款基本支出决算情况说明</w:t>
          </w:r>
          <w:r>
            <w:tab/>
          </w:r>
          <w:r>
            <w:fldChar w:fldCharType="begin"/>
          </w:r>
          <w:r>
            <w:instrText xml:space="preserve"> PAGEREF _Toc117519063 \h </w:instrText>
          </w:r>
          <w:r>
            <w:fldChar w:fldCharType="separate"/>
          </w:r>
          <w:r>
            <w:t>13</w:t>
          </w:r>
          <w:r>
            <w:fldChar w:fldCharType="end"/>
          </w:r>
          <w:r>
            <w:fldChar w:fldCharType="end"/>
          </w:r>
        </w:p>
        <w:p w14:paraId="215A65AA">
          <w:pPr>
            <w:pStyle w:val="11"/>
            <w:rPr>
              <w:rFonts w:asciiTheme="minorHAnsi" w:hAnsiTheme="minorHAnsi" w:eastAsiaTheme="minorEastAsia" w:cstheme="minorBidi"/>
              <w:szCs w:val="22"/>
            </w:rPr>
          </w:pPr>
          <w:r>
            <w:fldChar w:fldCharType="begin"/>
          </w:r>
          <w:r>
            <w:instrText xml:space="preserve"> HYPERLINK \l "_Toc117519064" </w:instrText>
          </w:r>
          <w:r>
            <w:fldChar w:fldCharType="separate"/>
          </w:r>
          <w:r>
            <w:rPr>
              <w:rStyle w:val="15"/>
              <w:rFonts w:hint="eastAsia" w:ascii="黑体" w:eastAsia="黑体"/>
            </w:rPr>
            <w:t>七、</w:t>
          </w:r>
          <w:r>
            <w:rPr>
              <w:rStyle w:val="15"/>
              <w:rFonts w:hint="eastAsia" w:ascii="黑体" w:hAnsi="黑体" w:eastAsia="黑体" w:cstheme="majorBidi"/>
              <w:b/>
              <w:bCs/>
              <w:lang w:eastAsia="zh-CN"/>
            </w:rPr>
            <w:t>“</w:t>
          </w:r>
          <w:r>
            <w:rPr>
              <w:rStyle w:val="15"/>
              <w:rFonts w:hint="eastAsia" w:ascii="黑体" w:hAnsi="黑体" w:eastAsia="黑体" w:cstheme="majorBidi"/>
              <w:bCs/>
            </w:rPr>
            <w:t>三公</w:t>
          </w:r>
          <w:r>
            <w:rPr>
              <w:rStyle w:val="15"/>
              <w:rFonts w:hint="eastAsia" w:ascii="黑体" w:hAnsi="黑体" w:eastAsia="黑体" w:cstheme="majorBidi"/>
              <w:bCs/>
              <w:lang w:eastAsia="zh-CN"/>
            </w:rPr>
            <w:t>”</w:t>
          </w:r>
          <w:r>
            <w:rPr>
              <w:rStyle w:val="15"/>
              <w:rFonts w:hint="eastAsia" w:ascii="黑体" w:hAnsi="黑体" w:eastAsia="黑体" w:cstheme="majorBidi"/>
              <w:bCs/>
            </w:rPr>
            <w:t>经费财政拨款支出决算情况说明</w:t>
          </w:r>
          <w:r>
            <w:tab/>
          </w:r>
          <w:r>
            <w:fldChar w:fldCharType="begin"/>
          </w:r>
          <w:r>
            <w:instrText xml:space="preserve"> PAGEREF _Toc117519064 \h </w:instrText>
          </w:r>
          <w:r>
            <w:fldChar w:fldCharType="separate"/>
          </w:r>
          <w:r>
            <w:t>13</w:t>
          </w:r>
          <w:r>
            <w:fldChar w:fldCharType="end"/>
          </w:r>
          <w:r>
            <w:fldChar w:fldCharType="end"/>
          </w:r>
        </w:p>
        <w:p w14:paraId="5E7AB5C5">
          <w:pPr>
            <w:pStyle w:val="11"/>
            <w:rPr>
              <w:rFonts w:asciiTheme="minorHAnsi" w:hAnsiTheme="minorHAnsi" w:eastAsiaTheme="minorEastAsia" w:cstheme="minorBidi"/>
              <w:szCs w:val="22"/>
            </w:rPr>
          </w:pPr>
          <w:r>
            <w:fldChar w:fldCharType="begin"/>
          </w:r>
          <w:r>
            <w:instrText xml:space="preserve"> HYPERLINK \l "_Toc117519067" </w:instrText>
          </w:r>
          <w:r>
            <w:fldChar w:fldCharType="separate"/>
          </w:r>
          <w:r>
            <w:rPr>
              <w:rStyle w:val="15"/>
              <w:rFonts w:hint="eastAsia" w:ascii="黑体" w:eastAsia="黑体"/>
            </w:rPr>
            <w:t>八、</w:t>
          </w:r>
          <w:r>
            <w:rPr>
              <w:rStyle w:val="15"/>
              <w:rFonts w:hint="eastAsia" w:ascii="黑体" w:hAnsi="黑体" w:eastAsia="黑体" w:cstheme="majorBidi"/>
              <w:bCs/>
            </w:rPr>
            <w:t>政府性基金预算支出决算情况说明</w:t>
          </w:r>
          <w:r>
            <w:tab/>
          </w:r>
          <w:r>
            <w:fldChar w:fldCharType="begin"/>
          </w:r>
          <w:r>
            <w:instrText xml:space="preserve"> PAGEREF _Toc117519067 \h </w:instrText>
          </w:r>
          <w:r>
            <w:fldChar w:fldCharType="separate"/>
          </w:r>
          <w:r>
            <w:t>15</w:t>
          </w:r>
          <w:r>
            <w:fldChar w:fldCharType="end"/>
          </w:r>
          <w:r>
            <w:fldChar w:fldCharType="end"/>
          </w:r>
        </w:p>
        <w:p w14:paraId="1779DD78">
          <w:pPr>
            <w:pStyle w:val="11"/>
            <w:rPr>
              <w:rFonts w:asciiTheme="minorHAnsi" w:hAnsiTheme="minorHAnsi" w:eastAsiaTheme="minorEastAsia" w:cstheme="minorBidi"/>
              <w:szCs w:val="22"/>
            </w:rPr>
          </w:pPr>
          <w:r>
            <w:fldChar w:fldCharType="begin"/>
          </w:r>
          <w:r>
            <w:instrText xml:space="preserve"> HYPERLINK \l "_Toc117519068" </w:instrText>
          </w:r>
          <w:r>
            <w:fldChar w:fldCharType="separate"/>
          </w:r>
          <w:r>
            <w:rPr>
              <w:rStyle w:val="15"/>
              <w:rFonts w:hint="eastAsia" w:ascii="黑体" w:hAnsi="黑体" w:eastAsia="黑体" w:cstheme="majorBidi"/>
              <w:bCs/>
            </w:rPr>
            <w:t>九、国有资本经营预算支出决算情况说明</w:t>
          </w:r>
          <w:r>
            <w:tab/>
          </w:r>
          <w:r>
            <w:fldChar w:fldCharType="begin"/>
          </w:r>
          <w:r>
            <w:instrText xml:space="preserve"> PAGEREF _Toc117519068 \h </w:instrText>
          </w:r>
          <w:r>
            <w:fldChar w:fldCharType="separate"/>
          </w:r>
          <w:r>
            <w:t>15</w:t>
          </w:r>
          <w:r>
            <w:fldChar w:fldCharType="end"/>
          </w:r>
          <w:r>
            <w:fldChar w:fldCharType="end"/>
          </w:r>
        </w:p>
        <w:p w14:paraId="465CC1F3">
          <w:pPr>
            <w:pStyle w:val="11"/>
            <w:rPr>
              <w:rFonts w:asciiTheme="minorHAnsi" w:hAnsiTheme="minorHAnsi" w:eastAsiaTheme="minorEastAsia" w:cstheme="minorBidi"/>
              <w:szCs w:val="22"/>
            </w:rPr>
          </w:pPr>
          <w:r>
            <w:fldChar w:fldCharType="begin"/>
          </w:r>
          <w:r>
            <w:instrText xml:space="preserve"> HYPERLINK \l "_Toc117519069" </w:instrText>
          </w:r>
          <w:r>
            <w:fldChar w:fldCharType="separate"/>
          </w:r>
          <w:r>
            <w:rPr>
              <w:rStyle w:val="15"/>
              <w:rFonts w:hint="eastAsia" w:ascii="黑体" w:hAnsi="黑体" w:eastAsia="黑体" w:cstheme="majorBidi"/>
              <w:bCs/>
            </w:rPr>
            <w:t>十、其他重要事项的情况说明</w:t>
          </w:r>
          <w:r>
            <w:tab/>
          </w:r>
          <w:r>
            <w:fldChar w:fldCharType="begin"/>
          </w:r>
          <w:r>
            <w:instrText xml:space="preserve"> PAGEREF _Toc117519069 \h </w:instrText>
          </w:r>
          <w:r>
            <w:fldChar w:fldCharType="separate"/>
          </w:r>
          <w:r>
            <w:t>15</w:t>
          </w:r>
          <w:r>
            <w:fldChar w:fldCharType="end"/>
          </w:r>
          <w:r>
            <w:fldChar w:fldCharType="end"/>
          </w:r>
        </w:p>
        <w:p w14:paraId="4C324484">
          <w:pPr>
            <w:pStyle w:val="10"/>
            <w:rPr>
              <w:rFonts w:asciiTheme="minorHAnsi" w:hAnsiTheme="minorHAnsi" w:eastAsiaTheme="minorEastAsia" w:cstheme="minorBidi"/>
              <w:sz w:val="21"/>
              <w:szCs w:val="22"/>
            </w:rPr>
          </w:pPr>
          <w:r>
            <w:fldChar w:fldCharType="begin"/>
          </w:r>
          <w:r>
            <w:instrText xml:space="preserve"> HYPERLINK \l "_Toc117519074" </w:instrText>
          </w:r>
          <w:r>
            <w:fldChar w:fldCharType="separate"/>
          </w:r>
          <w:r>
            <w:rPr>
              <w:rStyle w:val="15"/>
              <w:rFonts w:hint="eastAsia" w:ascii="黑体" w:hAnsi="黑体" w:eastAsia="黑体"/>
              <w:bCs/>
              <w:kern w:val="44"/>
            </w:rPr>
            <w:t>第三部分</w:t>
          </w:r>
          <w:r>
            <w:rPr>
              <w:rStyle w:val="15"/>
              <w:rFonts w:hint="eastAsia" w:ascii="黑体" w:hAnsi="黑体" w:eastAsia="黑体"/>
            </w:rPr>
            <w:t xml:space="preserve"> 名</w:t>
          </w:r>
          <w:r>
            <w:rPr>
              <w:rStyle w:val="15"/>
              <w:rFonts w:hint="eastAsia" w:ascii="黑体" w:hAnsi="黑体" w:eastAsia="黑体"/>
              <w:bCs/>
              <w:kern w:val="44"/>
            </w:rPr>
            <w:t>词解释</w:t>
          </w:r>
          <w:r>
            <w:tab/>
          </w:r>
          <w:r>
            <w:fldChar w:fldCharType="begin"/>
          </w:r>
          <w:r>
            <w:instrText xml:space="preserve"> PAGEREF _Toc117519074 \h </w:instrText>
          </w:r>
          <w:r>
            <w:fldChar w:fldCharType="separate"/>
          </w:r>
          <w:r>
            <w:t>17</w:t>
          </w:r>
          <w:r>
            <w:fldChar w:fldCharType="end"/>
          </w:r>
          <w:r>
            <w:fldChar w:fldCharType="end"/>
          </w:r>
        </w:p>
        <w:p w14:paraId="01023F66">
          <w:pPr>
            <w:pStyle w:val="10"/>
            <w:rPr>
              <w:rFonts w:asciiTheme="minorHAnsi" w:hAnsiTheme="minorHAnsi" w:eastAsiaTheme="minorEastAsia" w:cstheme="minorBidi"/>
              <w:sz w:val="21"/>
              <w:szCs w:val="22"/>
            </w:rPr>
          </w:pPr>
          <w:r>
            <w:fldChar w:fldCharType="begin"/>
          </w:r>
          <w:r>
            <w:instrText xml:space="preserve"> HYPERLINK \l "_Toc117519075" </w:instrText>
          </w:r>
          <w:r>
            <w:fldChar w:fldCharType="separate"/>
          </w:r>
          <w:r>
            <w:rPr>
              <w:rStyle w:val="15"/>
              <w:rFonts w:hint="eastAsia" w:ascii="黑体" w:hAnsi="黑体" w:eastAsia="黑体"/>
            </w:rPr>
            <w:t>第</w:t>
          </w:r>
          <w:r>
            <w:rPr>
              <w:rStyle w:val="15"/>
              <w:rFonts w:hint="eastAsia" w:ascii="黑体" w:hAnsi="黑体" w:eastAsia="黑体"/>
              <w:bCs/>
              <w:kern w:val="44"/>
            </w:rPr>
            <w:t>四部分</w:t>
          </w:r>
          <w:r>
            <w:rPr>
              <w:rStyle w:val="15"/>
              <w:rFonts w:ascii="黑体" w:hAnsi="黑体" w:eastAsia="黑体"/>
              <w:bCs/>
              <w:kern w:val="44"/>
            </w:rPr>
            <w:t xml:space="preserve"> </w:t>
          </w:r>
          <w:r>
            <w:rPr>
              <w:rStyle w:val="15"/>
              <w:rFonts w:hint="eastAsia" w:ascii="黑体" w:hAnsi="黑体" w:eastAsia="黑体"/>
              <w:bCs/>
              <w:kern w:val="44"/>
            </w:rPr>
            <w:t>附件</w:t>
          </w:r>
          <w:r>
            <w:tab/>
          </w:r>
          <w:r>
            <w:fldChar w:fldCharType="begin"/>
          </w:r>
          <w:r>
            <w:instrText xml:space="preserve"> PAGEREF _Toc117519075 \h </w:instrText>
          </w:r>
          <w:r>
            <w:fldChar w:fldCharType="separate"/>
          </w:r>
          <w:r>
            <w:t>21</w:t>
          </w:r>
          <w:r>
            <w:fldChar w:fldCharType="end"/>
          </w:r>
          <w:r>
            <w:fldChar w:fldCharType="end"/>
          </w:r>
          <w:r>
            <w:rPr>
              <w:rFonts w:asciiTheme="minorHAnsi" w:hAnsiTheme="minorHAnsi" w:eastAsiaTheme="minorEastAsia" w:cstheme="minorBidi"/>
              <w:sz w:val="21"/>
              <w:szCs w:val="22"/>
            </w:rPr>
            <w:t xml:space="preserve"> </w:t>
          </w:r>
        </w:p>
        <w:p w14:paraId="6F3FB23F">
          <w:pPr>
            <w:pStyle w:val="10"/>
            <w:rPr>
              <w:rFonts w:asciiTheme="minorHAnsi" w:hAnsiTheme="minorHAnsi" w:eastAsiaTheme="minorEastAsia" w:cstheme="minorBidi"/>
              <w:sz w:val="21"/>
              <w:szCs w:val="22"/>
            </w:rPr>
          </w:pPr>
          <w:r>
            <w:fldChar w:fldCharType="begin"/>
          </w:r>
          <w:r>
            <w:instrText xml:space="preserve"> HYPERLINK \l "_Toc117519077" </w:instrText>
          </w:r>
          <w:r>
            <w:fldChar w:fldCharType="separate"/>
          </w:r>
          <w:r>
            <w:rPr>
              <w:rStyle w:val="15"/>
              <w:rFonts w:hint="eastAsia" w:ascii="黑体" w:hAnsi="黑体" w:eastAsia="黑体"/>
            </w:rPr>
            <w:t>第</w:t>
          </w:r>
          <w:r>
            <w:rPr>
              <w:rStyle w:val="15"/>
              <w:rFonts w:hint="eastAsia" w:ascii="黑体" w:hAnsi="黑体" w:eastAsia="黑体"/>
              <w:bCs/>
              <w:kern w:val="44"/>
            </w:rPr>
            <w:t>五部分</w:t>
          </w:r>
          <w:r>
            <w:rPr>
              <w:rStyle w:val="15"/>
              <w:rFonts w:ascii="黑体" w:hAnsi="黑体" w:eastAsia="黑体"/>
              <w:bCs/>
              <w:kern w:val="44"/>
            </w:rPr>
            <w:t xml:space="preserve"> </w:t>
          </w:r>
          <w:r>
            <w:rPr>
              <w:rStyle w:val="15"/>
              <w:rFonts w:hint="eastAsia" w:ascii="黑体" w:hAnsi="黑体" w:eastAsia="黑体"/>
              <w:bCs/>
              <w:kern w:val="44"/>
            </w:rPr>
            <w:t>附表</w:t>
          </w:r>
          <w:r>
            <w:tab/>
          </w:r>
          <w:r>
            <w:fldChar w:fldCharType="begin"/>
          </w:r>
          <w:r>
            <w:instrText xml:space="preserve"> PAGEREF _Toc117519077 \h </w:instrText>
          </w:r>
          <w:r>
            <w:fldChar w:fldCharType="separate"/>
          </w:r>
          <w:r>
            <w:t>38</w:t>
          </w:r>
          <w:r>
            <w:fldChar w:fldCharType="end"/>
          </w:r>
          <w:r>
            <w:fldChar w:fldCharType="end"/>
          </w:r>
        </w:p>
        <w:p w14:paraId="2BD6305A">
          <w:pPr>
            <w:pStyle w:val="11"/>
            <w:rPr>
              <w:rFonts w:asciiTheme="minorHAnsi" w:hAnsiTheme="minorHAnsi" w:eastAsiaTheme="minorEastAsia" w:cstheme="minorBidi"/>
              <w:szCs w:val="22"/>
            </w:rPr>
          </w:pPr>
          <w:r>
            <w:fldChar w:fldCharType="begin"/>
          </w:r>
          <w:r>
            <w:instrText xml:space="preserve"> HYPERLINK \l "_Toc117519078" </w:instrText>
          </w:r>
          <w:r>
            <w:fldChar w:fldCharType="separate"/>
          </w:r>
          <w:r>
            <w:rPr>
              <w:rStyle w:val="15"/>
              <w:rFonts w:hint="eastAsia" w:ascii="仿宋" w:hAnsi="仿宋" w:eastAsia="仿宋"/>
            </w:rPr>
            <w:t>一、收入支出决算总表</w:t>
          </w:r>
          <w:r>
            <w:tab/>
          </w:r>
          <w:r>
            <w:fldChar w:fldCharType="begin"/>
          </w:r>
          <w:r>
            <w:instrText xml:space="preserve"> PAGEREF _Toc117519078 \h </w:instrText>
          </w:r>
          <w:r>
            <w:fldChar w:fldCharType="separate"/>
          </w:r>
          <w:r>
            <w:t>38</w:t>
          </w:r>
          <w:r>
            <w:fldChar w:fldCharType="end"/>
          </w:r>
          <w:r>
            <w:fldChar w:fldCharType="end"/>
          </w:r>
        </w:p>
        <w:p w14:paraId="6D30C23C">
          <w:pPr>
            <w:pStyle w:val="11"/>
            <w:rPr>
              <w:rFonts w:asciiTheme="minorHAnsi" w:hAnsiTheme="minorHAnsi" w:eastAsiaTheme="minorEastAsia" w:cstheme="minorBidi"/>
              <w:szCs w:val="22"/>
            </w:rPr>
          </w:pPr>
          <w:r>
            <w:fldChar w:fldCharType="begin"/>
          </w:r>
          <w:r>
            <w:instrText xml:space="preserve"> HYPERLINK \l "_Toc117519079" </w:instrText>
          </w:r>
          <w:r>
            <w:fldChar w:fldCharType="separate"/>
          </w:r>
          <w:r>
            <w:rPr>
              <w:rStyle w:val="15"/>
              <w:rFonts w:hint="eastAsia" w:ascii="仿宋" w:hAnsi="仿宋" w:eastAsia="仿宋"/>
            </w:rPr>
            <w:t>二、收入决算表</w:t>
          </w:r>
          <w:r>
            <w:tab/>
          </w:r>
          <w:r>
            <w:fldChar w:fldCharType="begin"/>
          </w:r>
          <w:r>
            <w:instrText xml:space="preserve"> PAGEREF _Toc117519079 \h </w:instrText>
          </w:r>
          <w:r>
            <w:fldChar w:fldCharType="separate"/>
          </w:r>
          <w:r>
            <w:t>38</w:t>
          </w:r>
          <w:r>
            <w:fldChar w:fldCharType="end"/>
          </w:r>
          <w:r>
            <w:fldChar w:fldCharType="end"/>
          </w:r>
        </w:p>
        <w:p w14:paraId="10E06D27">
          <w:pPr>
            <w:pStyle w:val="11"/>
            <w:rPr>
              <w:rFonts w:asciiTheme="minorHAnsi" w:hAnsiTheme="minorHAnsi" w:eastAsiaTheme="minorEastAsia" w:cstheme="minorBidi"/>
              <w:szCs w:val="22"/>
            </w:rPr>
          </w:pPr>
          <w:r>
            <w:fldChar w:fldCharType="begin"/>
          </w:r>
          <w:r>
            <w:instrText xml:space="preserve"> HYPERLINK \l "_Toc117519080" </w:instrText>
          </w:r>
          <w:r>
            <w:fldChar w:fldCharType="separate"/>
          </w:r>
          <w:r>
            <w:rPr>
              <w:rStyle w:val="15"/>
              <w:rFonts w:hint="eastAsia" w:ascii="仿宋" w:hAnsi="仿宋" w:eastAsia="仿宋"/>
            </w:rPr>
            <w:t>三、支出决算表</w:t>
          </w:r>
          <w:r>
            <w:tab/>
          </w:r>
          <w:r>
            <w:fldChar w:fldCharType="begin"/>
          </w:r>
          <w:r>
            <w:instrText xml:space="preserve"> PAGEREF _Toc117519080 \h </w:instrText>
          </w:r>
          <w:r>
            <w:fldChar w:fldCharType="separate"/>
          </w:r>
          <w:r>
            <w:t>38</w:t>
          </w:r>
          <w:r>
            <w:fldChar w:fldCharType="end"/>
          </w:r>
          <w:r>
            <w:fldChar w:fldCharType="end"/>
          </w:r>
        </w:p>
        <w:p w14:paraId="520AC71B">
          <w:pPr>
            <w:pStyle w:val="11"/>
            <w:rPr>
              <w:rFonts w:asciiTheme="minorHAnsi" w:hAnsiTheme="minorHAnsi" w:eastAsiaTheme="minorEastAsia" w:cstheme="minorBidi"/>
              <w:szCs w:val="22"/>
            </w:rPr>
          </w:pPr>
          <w:r>
            <w:fldChar w:fldCharType="begin"/>
          </w:r>
          <w:r>
            <w:instrText xml:space="preserve"> HYPERLINK \l "_Toc117519081" </w:instrText>
          </w:r>
          <w:r>
            <w:fldChar w:fldCharType="separate"/>
          </w:r>
          <w:r>
            <w:rPr>
              <w:rStyle w:val="15"/>
              <w:rFonts w:hint="eastAsia" w:ascii="仿宋" w:hAnsi="仿宋" w:eastAsia="仿宋"/>
            </w:rPr>
            <w:t>四、财政拨款收入支出决算总表</w:t>
          </w:r>
          <w:r>
            <w:tab/>
          </w:r>
          <w:r>
            <w:fldChar w:fldCharType="begin"/>
          </w:r>
          <w:r>
            <w:instrText xml:space="preserve"> PAGEREF _Toc117519081 \h </w:instrText>
          </w:r>
          <w:r>
            <w:fldChar w:fldCharType="separate"/>
          </w:r>
          <w:r>
            <w:t>38</w:t>
          </w:r>
          <w:r>
            <w:fldChar w:fldCharType="end"/>
          </w:r>
          <w:r>
            <w:fldChar w:fldCharType="end"/>
          </w:r>
        </w:p>
        <w:p w14:paraId="2AC91370">
          <w:pPr>
            <w:pStyle w:val="11"/>
            <w:rPr>
              <w:rFonts w:asciiTheme="minorHAnsi" w:hAnsiTheme="minorHAnsi" w:eastAsiaTheme="minorEastAsia" w:cstheme="minorBidi"/>
              <w:szCs w:val="22"/>
            </w:rPr>
          </w:pPr>
          <w:r>
            <w:fldChar w:fldCharType="begin"/>
          </w:r>
          <w:r>
            <w:instrText xml:space="preserve"> HYPERLINK \l "_Toc117519082" </w:instrText>
          </w:r>
          <w:r>
            <w:fldChar w:fldCharType="separate"/>
          </w:r>
          <w:r>
            <w:rPr>
              <w:rStyle w:val="15"/>
              <w:rFonts w:hint="eastAsia" w:ascii="仿宋" w:hAnsi="仿宋" w:eastAsia="仿宋"/>
            </w:rPr>
            <w:t>五、财政拨款支出决算明细表</w:t>
          </w:r>
          <w:r>
            <w:tab/>
          </w:r>
          <w:r>
            <w:fldChar w:fldCharType="begin"/>
          </w:r>
          <w:r>
            <w:instrText xml:space="preserve"> PAGEREF _Toc117519082 \h </w:instrText>
          </w:r>
          <w:r>
            <w:fldChar w:fldCharType="separate"/>
          </w:r>
          <w:r>
            <w:t>38</w:t>
          </w:r>
          <w:r>
            <w:fldChar w:fldCharType="end"/>
          </w:r>
          <w:r>
            <w:fldChar w:fldCharType="end"/>
          </w:r>
        </w:p>
        <w:p w14:paraId="582A3BE1">
          <w:pPr>
            <w:pStyle w:val="11"/>
            <w:rPr>
              <w:rFonts w:asciiTheme="minorHAnsi" w:hAnsiTheme="minorHAnsi" w:eastAsiaTheme="minorEastAsia" w:cstheme="minorBidi"/>
              <w:szCs w:val="22"/>
            </w:rPr>
          </w:pPr>
          <w:r>
            <w:fldChar w:fldCharType="begin"/>
          </w:r>
          <w:r>
            <w:instrText xml:space="preserve"> HYPERLINK \l "_Toc117519083" </w:instrText>
          </w:r>
          <w:r>
            <w:fldChar w:fldCharType="separate"/>
          </w:r>
          <w:r>
            <w:rPr>
              <w:rStyle w:val="15"/>
              <w:rFonts w:hint="eastAsia" w:ascii="仿宋" w:hAnsi="仿宋" w:eastAsia="仿宋"/>
            </w:rPr>
            <w:t>六、一般公共预算财政拨款支出决算表</w:t>
          </w:r>
          <w:r>
            <w:tab/>
          </w:r>
          <w:r>
            <w:fldChar w:fldCharType="begin"/>
          </w:r>
          <w:r>
            <w:instrText xml:space="preserve"> PAGEREF _Toc117519083 \h </w:instrText>
          </w:r>
          <w:r>
            <w:fldChar w:fldCharType="separate"/>
          </w:r>
          <w:r>
            <w:t>38</w:t>
          </w:r>
          <w:r>
            <w:fldChar w:fldCharType="end"/>
          </w:r>
          <w:r>
            <w:fldChar w:fldCharType="end"/>
          </w:r>
        </w:p>
        <w:p w14:paraId="756B9349">
          <w:pPr>
            <w:pStyle w:val="11"/>
            <w:rPr>
              <w:rFonts w:asciiTheme="minorHAnsi" w:hAnsiTheme="minorHAnsi" w:eastAsiaTheme="minorEastAsia" w:cstheme="minorBidi"/>
              <w:szCs w:val="22"/>
            </w:rPr>
          </w:pPr>
          <w:r>
            <w:fldChar w:fldCharType="begin"/>
          </w:r>
          <w:r>
            <w:instrText xml:space="preserve"> HYPERLINK \l "_Toc117519084" </w:instrText>
          </w:r>
          <w:r>
            <w:fldChar w:fldCharType="separate"/>
          </w:r>
          <w:r>
            <w:rPr>
              <w:rStyle w:val="15"/>
              <w:rFonts w:hint="eastAsia" w:ascii="仿宋" w:hAnsi="仿宋" w:eastAsia="仿宋"/>
            </w:rPr>
            <w:t>七、一般公共预算财政拨款支出决算明细表</w:t>
          </w:r>
          <w:r>
            <w:tab/>
          </w:r>
          <w:r>
            <w:fldChar w:fldCharType="begin"/>
          </w:r>
          <w:r>
            <w:instrText xml:space="preserve"> PAGEREF _Toc117519084 \h </w:instrText>
          </w:r>
          <w:r>
            <w:fldChar w:fldCharType="separate"/>
          </w:r>
          <w:r>
            <w:t>38</w:t>
          </w:r>
          <w:r>
            <w:fldChar w:fldCharType="end"/>
          </w:r>
          <w:r>
            <w:fldChar w:fldCharType="end"/>
          </w:r>
        </w:p>
        <w:p w14:paraId="6F442A70">
          <w:pPr>
            <w:pStyle w:val="11"/>
            <w:rPr>
              <w:rFonts w:asciiTheme="minorHAnsi" w:hAnsiTheme="minorHAnsi" w:eastAsiaTheme="minorEastAsia" w:cstheme="minorBidi"/>
              <w:szCs w:val="22"/>
            </w:rPr>
          </w:pPr>
          <w:r>
            <w:fldChar w:fldCharType="begin"/>
          </w:r>
          <w:r>
            <w:instrText xml:space="preserve"> HYPERLINK \l "_Toc117519085" </w:instrText>
          </w:r>
          <w:r>
            <w:fldChar w:fldCharType="separate"/>
          </w:r>
          <w:r>
            <w:rPr>
              <w:rStyle w:val="15"/>
              <w:rFonts w:hint="eastAsia" w:ascii="仿宋" w:hAnsi="仿宋" w:eastAsia="仿宋"/>
            </w:rPr>
            <w:t>八、一般公共预算财政拨款基本支出决算表</w:t>
          </w:r>
          <w:r>
            <w:tab/>
          </w:r>
          <w:r>
            <w:fldChar w:fldCharType="begin"/>
          </w:r>
          <w:r>
            <w:instrText xml:space="preserve"> PAGEREF _Toc117519085 \h </w:instrText>
          </w:r>
          <w:r>
            <w:fldChar w:fldCharType="separate"/>
          </w:r>
          <w:r>
            <w:t>38</w:t>
          </w:r>
          <w:r>
            <w:fldChar w:fldCharType="end"/>
          </w:r>
          <w:r>
            <w:fldChar w:fldCharType="end"/>
          </w:r>
        </w:p>
        <w:p w14:paraId="1634B0C9">
          <w:pPr>
            <w:pStyle w:val="11"/>
            <w:rPr>
              <w:rFonts w:asciiTheme="minorHAnsi" w:hAnsiTheme="minorHAnsi" w:eastAsiaTheme="minorEastAsia" w:cstheme="minorBidi"/>
              <w:szCs w:val="22"/>
            </w:rPr>
          </w:pPr>
          <w:r>
            <w:fldChar w:fldCharType="begin"/>
          </w:r>
          <w:r>
            <w:instrText xml:space="preserve"> HYPERLINK \l "_Toc117519086" </w:instrText>
          </w:r>
          <w:r>
            <w:fldChar w:fldCharType="separate"/>
          </w:r>
          <w:r>
            <w:rPr>
              <w:rStyle w:val="15"/>
              <w:rFonts w:hint="eastAsia" w:ascii="仿宋" w:hAnsi="仿宋" w:eastAsia="仿宋"/>
            </w:rPr>
            <w:t>九、一般公共预算财政拨款项目支出决算表</w:t>
          </w:r>
          <w:r>
            <w:tab/>
          </w:r>
          <w:r>
            <w:fldChar w:fldCharType="begin"/>
          </w:r>
          <w:r>
            <w:instrText xml:space="preserve"> PAGEREF _Toc117519086 \h </w:instrText>
          </w:r>
          <w:r>
            <w:fldChar w:fldCharType="separate"/>
          </w:r>
          <w:r>
            <w:t>38</w:t>
          </w:r>
          <w:r>
            <w:fldChar w:fldCharType="end"/>
          </w:r>
          <w:r>
            <w:fldChar w:fldCharType="end"/>
          </w:r>
        </w:p>
        <w:p w14:paraId="329673E7">
          <w:pPr>
            <w:pStyle w:val="11"/>
            <w:rPr>
              <w:rFonts w:asciiTheme="minorHAnsi" w:hAnsiTheme="minorHAnsi" w:eastAsiaTheme="minorEastAsia" w:cstheme="minorBidi"/>
              <w:szCs w:val="22"/>
            </w:rPr>
          </w:pPr>
          <w:r>
            <w:fldChar w:fldCharType="begin"/>
          </w:r>
          <w:r>
            <w:instrText xml:space="preserve"> HYPERLINK \l "_Toc117519087" </w:instrText>
          </w:r>
          <w:r>
            <w:fldChar w:fldCharType="separate"/>
          </w:r>
          <w:r>
            <w:rPr>
              <w:rStyle w:val="15"/>
              <w:rFonts w:hint="eastAsia" w:ascii="仿宋" w:hAnsi="仿宋" w:eastAsia="仿宋"/>
            </w:rPr>
            <w:t>十、一般公共预算财政拨款</w:t>
          </w:r>
          <w:r>
            <w:rPr>
              <w:rStyle w:val="15"/>
              <w:rFonts w:hint="eastAsia" w:ascii="仿宋" w:hAnsi="仿宋" w:eastAsia="仿宋"/>
              <w:lang w:eastAsia="zh-CN"/>
            </w:rPr>
            <w:t>“</w:t>
          </w:r>
          <w:r>
            <w:rPr>
              <w:rStyle w:val="15"/>
              <w:rFonts w:hint="eastAsia" w:ascii="仿宋" w:hAnsi="仿宋" w:eastAsia="仿宋"/>
            </w:rPr>
            <w:t>三公</w:t>
          </w:r>
          <w:r>
            <w:rPr>
              <w:rStyle w:val="15"/>
              <w:rFonts w:hint="eastAsia" w:ascii="仿宋" w:hAnsi="仿宋" w:eastAsia="仿宋"/>
              <w:lang w:eastAsia="zh-CN"/>
            </w:rPr>
            <w:t>”</w:t>
          </w:r>
          <w:r>
            <w:rPr>
              <w:rStyle w:val="15"/>
              <w:rFonts w:hint="eastAsia" w:ascii="仿宋" w:hAnsi="仿宋" w:eastAsia="仿宋"/>
            </w:rPr>
            <w:t>经费支出决算表</w:t>
          </w:r>
          <w:r>
            <w:tab/>
          </w:r>
          <w:r>
            <w:fldChar w:fldCharType="begin"/>
          </w:r>
          <w:r>
            <w:instrText xml:space="preserve"> PAGEREF _Toc117519087 \h </w:instrText>
          </w:r>
          <w:r>
            <w:fldChar w:fldCharType="separate"/>
          </w:r>
          <w:r>
            <w:t>38</w:t>
          </w:r>
          <w:r>
            <w:fldChar w:fldCharType="end"/>
          </w:r>
          <w:r>
            <w:fldChar w:fldCharType="end"/>
          </w:r>
        </w:p>
        <w:p w14:paraId="2E9C9119">
          <w:pPr>
            <w:pStyle w:val="11"/>
            <w:rPr>
              <w:rFonts w:asciiTheme="minorHAnsi" w:hAnsiTheme="minorHAnsi" w:eastAsiaTheme="minorEastAsia" w:cstheme="minorBidi"/>
              <w:szCs w:val="22"/>
            </w:rPr>
          </w:pPr>
          <w:r>
            <w:fldChar w:fldCharType="begin"/>
          </w:r>
          <w:r>
            <w:instrText xml:space="preserve"> HYPERLINK \l "_Toc117519088" </w:instrText>
          </w:r>
          <w:r>
            <w:fldChar w:fldCharType="separate"/>
          </w:r>
          <w:r>
            <w:rPr>
              <w:rStyle w:val="15"/>
              <w:rFonts w:hint="eastAsia" w:ascii="仿宋" w:hAnsi="仿宋" w:eastAsia="仿宋"/>
            </w:rPr>
            <w:t>十一、政府性基金预算财政拨款收入支出决算表</w:t>
          </w:r>
          <w:r>
            <w:tab/>
          </w:r>
          <w:r>
            <w:fldChar w:fldCharType="begin"/>
          </w:r>
          <w:r>
            <w:instrText xml:space="preserve"> PAGEREF _Toc117519088 \h </w:instrText>
          </w:r>
          <w:r>
            <w:fldChar w:fldCharType="separate"/>
          </w:r>
          <w:r>
            <w:t>38</w:t>
          </w:r>
          <w:r>
            <w:fldChar w:fldCharType="end"/>
          </w:r>
          <w:r>
            <w:fldChar w:fldCharType="end"/>
          </w:r>
        </w:p>
        <w:p w14:paraId="07922BCD">
          <w:pPr>
            <w:pStyle w:val="11"/>
            <w:rPr>
              <w:rFonts w:asciiTheme="minorHAnsi" w:hAnsiTheme="minorHAnsi" w:eastAsiaTheme="minorEastAsia" w:cstheme="minorBidi"/>
              <w:szCs w:val="22"/>
            </w:rPr>
          </w:pPr>
          <w:r>
            <w:fldChar w:fldCharType="begin"/>
          </w:r>
          <w:r>
            <w:instrText xml:space="preserve"> HYPERLINK \l "_Toc117519089" </w:instrText>
          </w:r>
          <w:r>
            <w:fldChar w:fldCharType="separate"/>
          </w:r>
          <w:r>
            <w:rPr>
              <w:rStyle w:val="15"/>
              <w:rFonts w:hint="eastAsia" w:ascii="仿宋" w:hAnsi="仿宋" w:eastAsia="仿宋"/>
            </w:rPr>
            <w:t>十二、政府性基金预算财政拨款</w:t>
          </w:r>
          <w:r>
            <w:rPr>
              <w:rStyle w:val="15"/>
              <w:rFonts w:hint="eastAsia" w:ascii="仿宋" w:hAnsi="仿宋" w:eastAsia="仿宋"/>
              <w:lang w:eastAsia="zh-CN"/>
            </w:rPr>
            <w:t>“</w:t>
          </w:r>
          <w:r>
            <w:rPr>
              <w:rStyle w:val="15"/>
              <w:rFonts w:hint="eastAsia" w:ascii="仿宋" w:hAnsi="仿宋" w:eastAsia="仿宋"/>
            </w:rPr>
            <w:t>三公</w:t>
          </w:r>
          <w:r>
            <w:rPr>
              <w:rStyle w:val="15"/>
              <w:rFonts w:hint="eastAsia" w:ascii="仿宋" w:hAnsi="仿宋" w:eastAsia="仿宋"/>
              <w:lang w:eastAsia="zh-CN"/>
            </w:rPr>
            <w:t>”</w:t>
          </w:r>
          <w:r>
            <w:rPr>
              <w:rStyle w:val="15"/>
              <w:rFonts w:hint="eastAsia" w:ascii="仿宋" w:hAnsi="仿宋" w:eastAsia="仿宋"/>
            </w:rPr>
            <w:t>经费支出决算表</w:t>
          </w:r>
          <w:r>
            <w:tab/>
          </w:r>
          <w:r>
            <w:fldChar w:fldCharType="begin"/>
          </w:r>
          <w:r>
            <w:instrText xml:space="preserve"> PAGEREF _Toc117519089 \h </w:instrText>
          </w:r>
          <w:r>
            <w:fldChar w:fldCharType="separate"/>
          </w:r>
          <w:r>
            <w:t>38</w:t>
          </w:r>
          <w:r>
            <w:fldChar w:fldCharType="end"/>
          </w:r>
          <w:r>
            <w:fldChar w:fldCharType="end"/>
          </w:r>
        </w:p>
        <w:p w14:paraId="73E1D2CE">
          <w:pPr>
            <w:pStyle w:val="11"/>
            <w:rPr>
              <w:rFonts w:asciiTheme="minorHAnsi" w:hAnsiTheme="minorHAnsi" w:eastAsiaTheme="minorEastAsia" w:cstheme="minorBidi"/>
              <w:szCs w:val="22"/>
            </w:rPr>
          </w:pPr>
          <w:r>
            <w:fldChar w:fldCharType="begin"/>
          </w:r>
          <w:r>
            <w:instrText xml:space="preserve"> HYPERLINK \l "_Toc117519090" </w:instrText>
          </w:r>
          <w:r>
            <w:fldChar w:fldCharType="separate"/>
          </w:r>
          <w:r>
            <w:rPr>
              <w:rStyle w:val="15"/>
              <w:rFonts w:hint="eastAsia" w:ascii="仿宋" w:hAnsi="仿宋" w:eastAsia="仿宋"/>
            </w:rPr>
            <w:t>十三、国有资本经营预算财政拨款收入支出决算表</w:t>
          </w:r>
          <w:r>
            <w:tab/>
          </w:r>
          <w:r>
            <w:fldChar w:fldCharType="begin"/>
          </w:r>
          <w:r>
            <w:instrText xml:space="preserve"> PAGEREF _Toc117519090 \h </w:instrText>
          </w:r>
          <w:r>
            <w:fldChar w:fldCharType="separate"/>
          </w:r>
          <w:r>
            <w:t>38</w:t>
          </w:r>
          <w:r>
            <w:fldChar w:fldCharType="end"/>
          </w:r>
          <w:r>
            <w:fldChar w:fldCharType="end"/>
          </w:r>
        </w:p>
        <w:p w14:paraId="06097E91">
          <w:pPr>
            <w:pStyle w:val="11"/>
            <w:rPr>
              <w:rFonts w:asciiTheme="minorHAnsi" w:hAnsiTheme="minorHAnsi" w:eastAsiaTheme="minorEastAsia" w:cstheme="minorBidi"/>
              <w:szCs w:val="22"/>
            </w:rPr>
          </w:pPr>
          <w:r>
            <w:fldChar w:fldCharType="begin"/>
          </w:r>
          <w:r>
            <w:instrText xml:space="preserve"> HYPERLINK \l "_Toc117519091" </w:instrText>
          </w:r>
          <w:r>
            <w:fldChar w:fldCharType="separate"/>
          </w:r>
          <w:r>
            <w:rPr>
              <w:rStyle w:val="15"/>
              <w:rFonts w:hint="eastAsia" w:ascii="仿宋" w:hAnsi="仿宋" w:eastAsia="仿宋"/>
            </w:rPr>
            <w:t>十四、国有资本经营预算财政拨款支出决算表</w:t>
          </w:r>
          <w:r>
            <w:tab/>
          </w:r>
          <w:r>
            <w:fldChar w:fldCharType="begin"/>
          </w:r>
          <w:r>
            <w:instrText xml:space="preserve"> PAGEREF _Toc117519091 \h </w:instrText>
          </w:r>
          <w:r>
            <w:fldChar w:fldCharType="separate"/>
          </w:r>
          <w:r>
            <w:t>38</w:t>
          </w:r>
          <w:r>
            <w:fldChar w:fldCharType="end"/>
          </w:r>
          <w:r>
            <w:fldChar w:fldCharType="end"/>
          </w:r>
        </w:p>
        <w:p w14:paraId="05820F7D">
          <w:pPr>
            <w:pStyle w:val="11"/>
            <w:rPr>
              <w:rFonts w:asciiTheme="minorHAnsi" w:hAnsiTheme="minorHAnsi" w:eastAsiaTheme="minorEastAsia" w:cstheme="minorBidi"/>
              <w:szCs w:val="22"/>
            </w:rPr>
          </w:pPr>
          <w:r>
            <w:fldChar w:fldCharType="begin"/>
          </w:r>
          <w:r>
            <w:instrText xml:space="preserve"> HYPERLINK \l "_Toc117519092" </w:instrText>
          </w:r>
          <w:r>
            <w:fldChar w:fldCharType="separate"/>
          </w:r>
          <w:r>
            <w:rPr>
              <w:rStyle w:val="15"/>
              <w:rFonts w:hint="eastAsia" w:ascii="仿宋" w:hAnsi="仿宋" w:eastAsia="仿宋"/>
            </w:rPr>
            <w:t>十五、机关运行经费、资产占用情况及政府采购支出信息表</w:t>
          </w:r>
          <w:r>
            <w:tab/>
          </w:r>
          <w:r>
            <w:fldChar w:fldCharType="begin"/>
          </w:r>
          <w:r>
            <w:instrText xml:space="preserve"> PAGEREF _Toc117519092 \h </w:instrText>
          </w:r>
          <w:r>
            <w:fldChar w:fldCharType="separate"/>
          </w:r>
          <w:r>
            <w:t>38</w:t>
          </w:r>
          <w:r>
            <w:fldChar w:fldCharType="end"/>
          </w:r>
          <w:r>
            <w:fldChar w:fldCharType="end"/>
          </w:r>
        </w:p>
        <w:p w14:paraId="532BD472">
          <w:r>
            <w:fldChar w:fldCharType="end"/>
          </w:r>
        </w:p>
      </w:sdtContent>
    </w:sdt>
    <w:p w14:paraId="1706D6C8">
      <w:pPr>
        <w:pStyle w:val="10"/>
        <w:adjustRightInd w:val="0"/>
        <w:snapToGrid w:val="0"/>
        <w:spacing w:before="0" w:line="440" w:lineRule="exact"/>
        <w:jc w:val="left"/>
        <w:rPr>
          <w:rFonts w:cstheme="minorBidi"/>
          <w:sz w:val="24"/>
          <w:szCs w:val="24"/>
        </w:rPr>
      </w:pPr>
    </w:p>
    <w:p w14:paraId="60B0A603"/>
    <w:p w14:paraId="3E5B4A0B">
      <w:pPr>
        <w:pStyle w:val="2"/>
        <w:spacing w:before="93"/>
      </w:pPr>
    </w:p>
    <w:p w14:paraId="365393B7">
      <w:pPr>
        <w:pStyle w:val="2"/>
        <w:spacing w:before="93"/>
      </w:pPr>
    </w:p>
    <w:p w14:paraId="1DDC2E65">
      <w:pPr>
        <w:pStyle w:val="2"/>
        <w:spacing w:before="93"/>
      </w:pPr>
    </w:p>
    <w:p w14:paraId="6FC182B1">
      <w:pPr>
        <w:pStyle w:val="2"/>
        <w:spacing w:before="93"/>
      </w:pPr>
    </w:p>
    <w:p w14:paraId="17463DAB">
      <w:pPr>
        <w:pStyle w:val="2"/>
        <w:spacing w:before="93"/>
      </w:pPr>
    </w:p>
    <w:p w14:paraId="06EFA6CC">
      <w:pPr>
        <w:pStyle w:val="2"/>
        <w:spacing w:before="93"/>
      </w:pPr>
    </w:p>
    <w:p w14:paraId="767EF651">
      <w:pPr>
        <w:pStyle w:val="2"/>
        <w:spacing w:before="93"/>
      </w:pPr>
    </w:p>
    <w:p w14:paraId="1C7A23ED">
      <w:pPr>
        <w:pStyle w:val="2"/>
        <w:spacing w:before="93"/>
      </w:pPr>
    </w:p>
    <w:p w14:paraId="2DEA73DB">
      <w:pPr>
        <w:pStyle w:val="2"/>
        <w:spacing w:before="93"/>
      </w:pPr>
    </w:p>
    <w:p w14:paraId="4C9AE758">
      <w:pPr>
        <w:pStyle w:val="2"/>
        <w:spacing w:before="93"/>
      </w:pPr>
    </w:p>
    <w:p w14:paraId="4A231B81">
      <w:pPr>
        <w:pStyle w:val="2"/>
        <w:spacing w:before="93"/>
      </w:pPr>
    </w:p>
    <w:p w14:paraId="73123B75">
      <w:pPr>
        <w:pStyle w:val="3"/>
        <w:jc w:val="center"/>
        <w:rPr>
          <w:rStyle w:val="24"/>
          <w:rFonts w:ascii="黑体" w:hAnsi="黑体" w:eastAsia="黑体"/>
          <w:b/>
          <w:bCs w:val="0"/>
        </w:rPr>
      </w:pPr>
      <w:bookmarkStart w:id="15" w:name="_Toc15377196"/>
      <w:bookmarkStart w:id="16" w:name="_Toc15396599"/>
      <w:bookmarkStart w:id="17" w:name="_Toc117519038"/>
      <w:r>
        <w:rPr>
          <w:rFonts w:hint="eastAsia" w:ascii="黑体" w:hAnsi="黑体" w:eastAsia="黑体"/>
          <w:b w:val="0"/>
        </w:rPr>
        <w:t xml:space="preserve">第一部分 </w:t>
      </w:r>
      <w:r>
        <w:rPr>
          <w:rStyle w:val="24"/>
          <w:rFonts w:hint="eastAsia" w:ascii="黑体" w:hAnsi="黑体" w:eastAsia="黑体"/>
          <w:b w:val="0"/>
          <w:bCs w:val="0"/>
        </w:rPr>
        <w:t>部门概况</w:t>
      </w:r>
      <w:bookmarkEnd w:id="15"/>
      <w:bookmarkEnd w:id="16"/>
      <w:bookmarkEnd w:id="17"/>
    </w:p>
    <w:p w14:paraId="63F057E6">
      <w:pPr>
        <w:widowControl/>
        <w:jc w:val="left"/>
        <w:rPr>
          <w:rFonts w:ascii="黑体" w:eastAsia="黑体"/>
          <w:sz w:val="32"/>
          <w:szCs w:val="32"/>
        </w:rPr>
      </w:pPr>
    </w:p>
    <w:p w14:paraId="00911E3B">
      <w:pPr>
        <w:pStyle w:val="4"/>
        <w:pageBreakBefore w:val="0"/>
        <w:kinsoku/>
        <w:wordWrap/>
        <w:overflowPunct/>
        <w:topLinePunct w:val="0"/>
        <w:autoSpaceDE/>
        <w:autoSpaceDN/>
        <w:bidi w:val="0"/>
        <w:spacing w:before="0" w:after="0" w:line="600" w:lineRule="exact"/>
        <w:ind w:firstLine="640" w:firstLineChars="200"/>
        <w:jc w:val="both"/>
        <w:textAlignment w:val="auto"/>
        <w:rPr>
          <w:rFonts w:hint="default" w:ascii="Times New Roman" w:hAnsi="Times New Roman" w:eastAsia="黑体" w:cs="Times New Roman"/>
          <w:b w:val="0"/>
        </w:rPr>
      </w:pPr>
      <w:bookmarkStart w:id="18" w:name="_Toc15377197"/>
      <w:bookmarkStart w:id="19" w:name="_Toc117519039"/>
      <w:bookmarkStart w:id="20" w:name="_Toc15396600"/>
      <w:r>
        <w:rPr>
          <w:rFonts w:hint="default" w:ascii="Times New Roman" w:hAnsi="Times New Roman" w:eastAsia="黑体" w:cs="Times New Roman"/>
          <w:b w:val="0"/>
        </w:rPr>
        <w:t>一、</w:t>
      </w:r>
      <w:bookmarkEnd w:id="18"/>
      <w:bookmarkEnd w:id="19"/>
      <w:bookmarkEnd w:id="20"/>
      <w:r>
        <w:rPr>
          <w:rFonts w:hint="default" w:ascii="Times New Roman" w:hAnsi="Times New Roman" w:eastAsia="黑体" w:cs="Times New Roman"/>
          <w:b w:val="0"/>
        </w:rPr>
        <w:t>基本职能及主要工作</w:t>
      </w:r>
    </w:p>
    <w:p w14:paraId="661A2415">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en-US" w:eastAsia="zh-CN" w:bidi="ar-SA"/>
        </w:rPr>
      </w:pPr>
      <w:bookmarkStart w:id="21" w:name="_Toc15377198"/>
      <w:bookmarkStart w:id="22" w:name="_Toc117519040"/>
      <w:bookmarkStart w:id="23" w:name="_Toc15378445"/>
      <w:r>
        <w:rPr>
          <w:rFonts w:hint="default" w:ascii="楷体_GB2312" w:hAnsi="宋体" w:eastAsia="楷体_GB2312" w:cs="Times New Roman"/>
          <w:b w:val="0"/>
          <w:bCs/>
          <w:kern w:val="2"/>
          <w:sz w:val="32"/>
          <w:szCs w:val="32"/>
          <w:lang w:val="en-US" w:eastAsia="zh-CN" w:bidi="ar-SA"/>
        </w:rPr>
        <w:t>（一）主要职能</w:t>
      </w:r>
      <w:bookmarkEnd w:id="21"/>
      <w:bookmarkEnd w:id="22"/>
      <w:bookmarkEnd w:id="23"/>
      <w:bookmarkStart w:id="24" w:name="_Toc15377199"/>
      <w:bookmarkStart w:id="25" w:name="_Toc15378446"/>
    </w:p>
    <w:p w14:paraId="57D752ED">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26" w:name="_Toc117519041"/>
      <w:r>
        <w:rPr>
          <w:rFonts w:hint="default" w:ascii="Times New Roman" w:hAnsi="Times New Roman" w:eastAsia="仿宋" w:cs="Times New Roman"/>
          <w:bCs/>
          <w:sz w:val="32"/>
          <w:szCs w:val="32"/>
        </w:rPr>
        <w:t>1</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负责组织、指导全县理论研究、理论学习、理论宣传和社会科学规划的工作。</w:t>
      </w:r>
      <w:bookmarkEnd w:id="26"/>
    </w:p>
    <w:p w14:paraId="2059A0EE">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27" w:name="_Toc117519042"/>
      <w:r>
        <w:rPr>
          <w:rFonts w:hint="default" w:ascii="Times New Roman" w:hAnsi="Times New Roman" w:eastAsia="仿宋" w:cs="Times New Roman"/>
          <w:bCs/>
          <w:sz w:val="32"/>
          <w:szCs w:val="32"/>
        </w:rPr>
        <w:t>2</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负责规划、部署全县性的宣传思想工作，会同有关部门研究和改进基层宣传思想工作</w:t>
      </w:r>
      <w:r>
        <w:rPr>
          <w:rFonts w:hint="eastAsia" w:ascii="Times New Roman" w:eastAsia="仿宋" w:cs="Times New Roman"/>
          <w:bCs/>
          <w:sz w:val="32"/>
          <w:szCs w:val="32"/>
          <w:lang w:eastAsia="zh-CN"/>
        </w:rPr>
        <w:t>；</w:t>
      </w:r>
      <w:r>
        <w:rPr>
          <w:rFonts w:hint="default" w:ascii="Times New Roman" w:hAnsi="Times New Roman" w:eastAsia="仿宋" w:cs="Times New Roman"/>
          <w:bCs/>
          <w:sz w:val="32"/>
          <w:szCs w:val="32"/>
        </w:rPr>
        <w:t>负责指导、协调和组织全县社会宣传工作。</w:t>
      </w:r>
      <w:bookmarkEnd w:id="27"/>
    </w:p>
    <w:p w14:paraId="51691D5C">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28" w:name="_Toc117519043"/>
      <w:r>
        <w:rPr>
          <w:rFonts w:hint="default" w:ascii="Times New Roman" w:hAnsi="Times New Roman" w:eastAsia="仿宋" w:cs="Times New Roman"/>
          <w:bCs/>
          <w:sz w:val="32"/>
          <w:szCs w:val="32"/>
        </w:rPr>
        <w:t>3</w:t>
      </w:r>
      <w:r>
        <w:rPr>
          <w:rFonts w:hint="eastAsia" w:ascii="Times New Roman" w:eastAsia="仿宋" w:cs="Times New Roman"/>
          <w:bCs/>
          <w:sz w:val="32"/>
          <w:szCs w:val="32"/>
          <w:lang w:val="en-US" w:eastAsia="zh-CN"/>
        </w:rPr>
        <w:t>.</w:t>
      </w:r>
      <w:r>
        <w:rPr>
          <w:rFonts w:hint="default" w:ascii="Times New Roman" w:hAnsi="Times New Roman" w:eastAsia="仿宋" w:cs="Times New Roman"/>
          <w:bCs/>
          <w:sz w:val="32"/>
          <w:szCs w:val="32"/>
        </w:rPr>
        <w:t>负责指导、监督、管理和协调全县新闻宣传、出版工作，对县新闻媒体实施方针政策的指导</w:t>
      </w:r>
      <w:r>
        <w:rPr>
          <w:rFonts w:hint="eastAsia" w:ascii="Times New Roman" w:eastAsia="仿宋" w:cs="Times New Roman"/>
          <w:bCs/>
          <w:sz w:val="32"/>
          <w:szCs w:val="32"/>
          <w:lang w:eastAsia="zh-CN"/>
        </w:rPr>
        <w:t>；</w:t>
      </w:r>
      <w:r>
        <w:rPr>
          <w:rFonts w:hint="default" w:ascii="Times New Roman" w:hAnsi="Times New Roman" w:eastAsia="仿宋" w:cs="Times New Roman"/>
          <w:bCs/>
          <w:sz w:val="32"/>
          <w:szCs w:val="32"/>
        </w:rPr>
        <w:t>负责指导、监督和管理全县网络新闻宣传。联系中央、省、市各级新闻单位。</w:t>
      </w:r>
      <w:bookmarkEnd w:id="28"/>
    </w:p>
    <w:p w14:paraId="6EB39E2D">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29" w:name="_Toc117519044"/>
      <w:r>
        <w:rPr>
          <w:rFonts w:hint="default" w:ascii="Times New Roman" w:hAnsi="Times New Roman" w:eastAsia="仿宋" w:cs="Times New Roman"/>
          <w:bCs/>
          <w:sz w:val="32"/>
          <w:szCs w:val="32"/>
        </w:rPr>
        <w:t>4</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负责全县对外宣传工作的总体规划，组织协调、指导和管理全县的外宣工作。</w:t>
      </w:r>
      <w:bookmarkEnd w:id="29"/>
    </w:p>
    <w:p w14:paraId="6177F62A">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30" w:name="_Toc117519045"/>
      <w:r>
        <w:rPr>
          <w:rFonts w:hint="default" w:ascii="Times New Roman" w:hAnsi="Times New Roman" w:eastAsia="仿宋" w:cs="Times New Roman"/>
          <w:bCs/>
          <w:sz w:val="32"/>
          <w:szCs w:val="32"/>
        </w:rPr>
        <w:t>5</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负责从宏观上指导文化艺术工作、精神产品的生产和文化市场的管理，对县文广旅局、县融媒体中心、县文联等宣传思想文化单位有关工作进行协调指导。</w:t>
      </w:r>
      <w:bookmarkEnd w:id="30"/>
    </w:p>
    <w:p w14:paraId="0C1F7382">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31" w:name="_Toc117519046"/>
      <w:r>
        <w:rPr>
          <w:rFonts w:hint="default" w:ascii="Times New Roman" w:hAnsi="Times New Roman" w:eastAsia="仿宋" w:cs="Times New Roman"/>
          <w:bCs/>
          <w:sz w:val="32"/>
          <w:szCs w:val="32"/>
        </w:rPr>
        <w:t>6</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负责全县群众性精神文明创建工作的规划和组织实施</w:t>
      </w:r>
      <w:r>
        <w:rPr>
          <w:rFonts w:hint="eastAsia" w:ascii="Times New Roman" w:eastAsia="仿宋" w:cs="Times New Roman"/>
          <w:bCs/>
          <w:sz w:val="32"/>
          <w:szCs w:val="32"/>
          <w:lang w:eastAsia="zh-CN"/>
        </w:rPr>
        <w:t>；</w:t>
      </w:r>
      <w:r>
        <w:rPr>
          <w:rFonts w:hint="default" w:ascii="Times New Roman" w:hAnsi="Times New Roman" w:eastAsia="仿宋" w:cs="Times New Roman"/>
          <w:bCs/>
          <w:sz w:val="32"/>
          <w:szCs w:val="32"/>
        </w:rPr>
        <w:t>协调、指导和监督全县文明城市、文明单位、文明村镇、社区、行业、未成年人思想道德建设等各类群众性精神文明创建活动。</w:t>
      </w:r>
      <w:bookmarkEnd w:id="31"/>
    </w:p>
    <w:p w14:paraId="19BC7E2B">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32" w:name="_Toc117519047"/>
      <w:r>
        <w:rPr>
          <w:rFonts w:hint="default" w:ascii="Times New Roman" w:hAnsi="Times New Roman" w:eastAsia="仿宋" w:cs="Times New Roman"/>
          <w:bCs/>
          <w:sz w:val="32"/>
          <w:szCs w:val="32"/>
        </w:rPr>
        <w:t>7</w:t>
      </w:r>
      <w:r>
        <w:rPr>
          <w:rFonts w:hint="default" w:ascii="Times New Roman" w:hAnsi="Times New Roman" w:eastAsia="仿宋" w:cs="Times New Roman"/>
          <w:bCs/>
          <w:sz w:val="32"/>
          <w:szCs w:val="32"/>
          <w:lang w:eastAsia="zh-CN"/>
        </w:rPr>
        <w:t>.</w:t>
      </w:r>
      <w:r>
        <w:rPr>
          <w:rFonts w:hint="default" w:ascii="Times New Roman" w:hAnsi="Times New Roman" w:eastAsia="仿宋" w:cs="Times New Roman"/>
          <w:bCs/>
          <w:sz w:val="32"/>
          <w:szCs w:val="32"/>
        </w:rPr>
        <w:t>完成县委交办的其它任务。</w:t>
      </w:r>
      <w:bookmarkEnd w:id="32"/>
    </w:p>
    <w:p w14:paraId="462F00DA">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en-US" w:eastAsia="zh-CN" w:bidi="ar-SA"/>
        </w:rPr>
      </w:pPr>
      <w:bookmarkStart w:id="33" w:name="_Toc117519048"/>
      <w:r>
        <w:rPr>
          <w:rFonts w:hint="default" w:ascii="楷体_GB2312" w:hAnsi="宋体" w:eastAsia="楷体_GB2312" w:cs="Times New Roman"/>
          <w:b w:val="0"/>
          <w:bCs/>
          <w:kern w:val="2"/>
          <w:sz w:val="32"/>
          <w:szCs w:val="32"/>
          <w:lang w:val="en-US" w:eastAsia="zh-CN" w:bidi="ar-SA"/>
        </w:rPr>
        <w:t>（二）2021年重点工作完成情况</w:t>
      </w:r>
      <w:bookmarkEnd w:id="24"/>
      <w:bookmarkEnd w:id="25"/>
      <w:bookmarkEnd w:id="33"/>
    </w:p>
    <w:p w14:paraId="120BF9A3">
      <w:pPr>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理论学习深入推进。组织县委理论学习中心组开展学习研讨15次，邀请专家、教授以及各级领导到我县作专题辅导讲座6次。理论宣传广泛开展。从县级各部门抽调部分领导干部、专家学者组建县委宣讲团开展专题宣讲7次，深入机关、学校、企业、农村、社区等开展宣讲1000余场次。理论平台推广应用。充分利用</w:t>
      </w:r>
      <w:r>
        <w:rPr>
          <w:rFonts w:hint="eastAsia" w:eastAsia="仿宋" w:cs="Times New Roman"/>
          <w:sz w:val="32"/>
          <w:szCs w:val="32"/>
          <w:lang w:eastAsia="zh-CN"/>
        </w:rPr>
        <w:t>“</w:t>
      </w:r>
      <w:r>
        <w:rPr>
          <w:rFonts w:hint="default" w:ascii="Times New Roman" w:hAnsi="Times New Roman" w:eastAsia="仿宋" w:cs="Times New Roman"/>
          <w:sz w:val="32"/>
          <w:szCs w:val="32"/>
        </w:rPr>
        <w:t>学习强国</w:t>
      </w:r>
      <w:r>
        <w:rPr>
          <w:rFonts w:hint="eastAsia" w:eastAsia="仿宋" w:cs="Times New Roman"/>
          <w:sz w:val="32"/>
          <w:szCs w:val="32"/>
          <w:lang w:eastAsia="zh-CN"/>
        </w:rPr>
        <w:t>”</w:t>
      </w:r>
      <w:r>
        <w:rPr>
          <w:rFonts w:hint="default" w:ascii="Times New Roman" w:hAnsi="Times New Roman" w:eastAsia="仿宋" w:cs="Times New Roman"/>
          <w:sz w:val="32"/>
          <w:szCs w:val="32"/>
        </w:rPr>
        <w:t>线上平台开展理论学习，全县人均学习积分居全市各区县前列。</w:t>
      </w:r>
    </w:p>
    <w:p w14:paraId="5FD4639D">
      <w:pPr>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严格落实主管主办和属地管理原则，加强对新闻媒体、网络、社科类报告会、学校、出版物和文艺作品、文化类场馆等各类阵地的管理，确保阵地可管可控、规范有序，网络空间清朗稳固。</w:t>
      </w:r>
    </w:p>
    <w:p w14:paraId="314AAB7C">
      <w:pPr>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建宣讲队伍，开展党史学习专题宣讲，举办读书活动、文艺演出，推出文艺作品，本土主题歌曲，展播红色电影，发放党史书籍、党报及党建资讯。精准组织专题培训，开发特色课程，开展主体班次、专题班次。不断浓厚党史学习教育工作氛围，制作党史学习教育户外广告，开设专栏宣传报道。认真开展庆祝活动，举办了合唱大赛和文艺晚会，打造了花景和灯光秀。开通</w:t>
      </w:r>
      <w:r>
        <w:rPr>
          <w:rFonts w:hint="eastAsia" w:eastAsia="仿宋" w:cs="Times New Roman"/>
          <w:sz w:val="32"/>
          <w:szCs w:val="32"/>
          <w:lang w:eastAsia="zh-CN"/>
        </w:rPr>
        <w:t>“</w:t>
      </w:r>
      <w:r>
        <w:rPr>
          <w:rFonts w:hint="default" w:ascii="Times New Roman" w:hAnsi="Times New Roman" w:eastAsia="仿宋" w:cs="Times New Roman"/>
          <w:sz w:val="32"/>
          <w:szCs w:val="32"/>
        </w:rPr>
        <w:t>阳光米易</w:t>
      </w:r>
      <w:r>
        <w:rPr>
          <w:rFonts w:hint="eastAsia" w:eastAsia="仿宋" w:cs="Times New Roman"/>
          <w:sz w:val="32"/>
          <w:szCs w:val="32"/>
          <w:lang w:eastAsia="zh-CN"/>
        </w:rPr>
        <w:t>”</w:t>
      </w:r>
      <w:r>
        <w:rPr>
          <w:rFonts w:hint="default" w:ascii="Times New Roman" w:hAnsi="Times New Roman" w:eastAsia="仿宋" w:cs="Times New Roman"/>
          <w:sz w:val="32"/>
          <w:szCs w:val="32"/>
        </w:rPr>
        <w:t>APP《民声》板块，搭建</w:t>
      </w:r>
      <w:r>
        <w:rPr>
          <w:rFonts w:hint="eastAsia" w:eastAsia="仿宋" w:cs="Times New Roman"/>
          <w:sz w:val="32"/>
          <w:szCs w:val="32"/>
          <w:lang w:eastAsia="zh-CN"/>
        </w:rPr>
        <w:t>“</w:t>
      </w:r>
      <w:r>
        <w:rPr>
          <w:rFonts w:hint="default" w:ascii="Times New Roman" w:hAnsi="Times New Roman" w:eastAsia="仿宋" w:cs="Times New Roman"/>
          <w:sz w:val="32"/>
          <w:szCs w:val="32"/>
        </w:rPr>
        <w:t>网络+电话</w:t>
      </w:r>
      <w:r>
        <w:rPr>
          <w:rFonts w:hint="eastAsia" w:eastAsia="仿宋" w:cs="Times New Roman"/>
          <w:sz w:val="32"/>
          <w:szCs w:val="32"/>
          <w:lang w:eastAsia="zh-CN"/>
        </w:rPr>
        <w:t>”</w:t>
      </w:r>
      <w:r>
        <w:rPr>
          <w:rFonts w:hint="default" w:ascii="Times New Roman" w:hAnsi="Times New Roman" w:eastAsia="仿宋" w:cs="Times New Roman"/>
          <w:sz w:val="32"/>
          <w:szCs w:val="32"/>
        </w:rPr>
        <w:t>实事办理平台，受理群众诉求和意见建议。</w:t>
      </w:r>
    </w:p>
    <w:p w14:paraId="5F14343D">
      <w:pPr>
        <w:pageBreakBefore w:val="0"/>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围绕中央、省委、市委和县委重要会议精神、重大决策部署、重要节庆活动，积极对接中央、省、市主流媒体，在各级媒体刊播米易新闻稿件4163条。紧紧围绕重点工作，全力做好社会宣传，制作道旗1200余面、大型户外广告宣传80余面，更换灯箱宣传栏700余次，努力营造浓厚学习氛围、良好社会氛围、喜庆节气氛围。通过走出去、请进来等方式，常态举办并统筹策划</w:t>
      </w:r>
      <w:r>
        <w:rPr>
          <w:rFonts w:hint="eastAsia" w:eastAsia="仿宋" w:cs="Times New Roman"/>
          <w:sz w:val="32"/>
          <w:szCs w:val="32"/>
          <w:lang w:eastAsia="zh-CN"/>
        </w:rPr>
        <w:t>“</w:t>
      </w:r>
      <w:r>
        <w:rPr>
          <w:rFonts w:hint="default" w:ascii="Times New Roman" w:hAnsi="Times New Roman" w:eastAsia="仿宋" w:cs="Times New Roman"/>
          <w:sz w:val="32"/>
          <w:szCs w:val="32"/>
        </w:rPr>
        <w:t>深呼吸•在米易</w:t>
      </w:r>
      <w:r>
        <w:rPr>
          <w:rFonts w:hint="eastAsia" w:eastAsia="仿宋" w:cs="Times New Roman"/>
          <w:sz w:val="32"/>
          <w:szCs w:val="32"/>
          <w:lang w:eastAsia="zh-CN"/>
        </w:rPr>
        <w:t>”“</w:t>
      </w:r>
      <w:r>
        <w:rPr>
          <w:rFonts w:hint="default" w:ascii="Times New Roman" w:hAnsi="Times New Roman" w:eastAsia="仿宋" w:cs="Times New Roman"/>
          <w:sz w:val="32"/>
          <w:szCs w:val="32"/>
        </w:rPr>
        <w:t>清凉度假•在米易</w:t>
      </w:r>
      <w:r>
        <w:rPr>
          <w:rFonts w:hint="eastAsia" w:eastAsia="仿宋" w:cs="Times New Roman"/>
          <w:sz w:val="32"/>
          <w:szCs w:val="32"/>
          <w:lang w:eastAsia="zh-CN"/>
        </w:rPr>
        <w:t>”</w:t>
      </w:r>
      <w:r>
        <w:rPr>
          <w:rFonts w:hint="default" w:ascii="Times New Roman" w:hAnsi="Times New Roman" w:eastAsia="仿宋" w:cs="Times New Roman"/>
          <w:sz w:val="32"/>
          <w:szCs w:val="32"/>
        </w:rPr>
        <w:t>等城市营销活动，形成品牌，米易在川内的吸引力、在西部的竞争力、在全国的影响力有力提升，米易人民的幸福感、自豪感、归属感显著增强。</w:t>
      </w:r>
    </w:p>
    <w:p w14:paraId="3C43F42F">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Times New Roman" w:hAnsi="Times New Roman" w:eastAsia="仿宋" w:cs="Times New Roman"/>
          <w:bCs/>
          <w:sz w:val="32"/>
          <w:szCs w:val="32"/>
        </w:rPr>
      </w:pPr>
      <w:bookmarkStart w:id="34" w:name="_Toc117519049"/>
      <w:r>
        <w:rPr>
          <w:rFonts w:hint="default" w:ascii="Times New Roman" w:hAnsi="Times New Roman" w:eastAsia="仿宋" w:cs="Times New Roman"/>
          <w:sz w:val="32"/>
          <w:szCs w:val="32"/>
        </w:rPr>
        <w:t>聚焦全国文明城市巩固提升工作重点难点和薄弱短板，科学制定方案为全年工作提供基本遵循。围绕基础设施提升，针对城区道路、盲道缘石坡、标识标线、污水管网等18项短板不足全面予以完善。强化部门联动重点开展城乡环境、居民小区、交通秩序等</w:t>
      </w:r>
      <w:r>
        <w:rPr>
          <w:rFonts w:hint="eastAsia" w:ascii="Times New Roman" w:eastAsia="仿宋" w:cs="Times New Roman"/>
          <w:sz w:val="32"/>
          <w:szCs w:val="32"/>
          <w:lang w:eastAsia="zh-CN"/>
        </w:rPr>
        <w:t>“</w:t>
      </w:r>
      <w:r>
        <w:rPr>
          <w:rFonts w:hint="default" w:ascii="Times New Roman" w:hAnsi="Times New Roman" w:eastAsia="仿宋" w:cs="Times New Roman"/>
          <w:sz w:val="32"/>
          <w:szCs w:val="32"/>
        </w:rPr>
        <w:t>7+1</w:t>
      </w:r>
      <w:r>
        <w:rPr>
          <w:rFonts w:hint="eastAsia" w:ascii="Times New Roman" w:eastAsia="仿宋" w:cs="Times New Roman"/>
          <w:sz w:val="32"/>
          <w:szCs w:val="32"/>
          <w:lang w:eastAsia="zh-CN"/>
        </w:rPr>
        <w:t>”</w:t>
      </w:r>
      <w:r>
        <w:rPr>
          <w:rFonts w:hint="default" w:ascii="Times New Roman" w:hAnsi="Times New Roman" w:eastAsia="仿宋" w:cs="Times New Roman"/>
          <w:sz w:val="32"/>
          <w:szCs w:val="32"/>
        </w:rPr>
        <w:t>专项整治，有序开展文明村镇、文明单位、文明家庭、文明校园等细胞创建，广泛开展文明家庭和道德模范评选活动。全国文明城市的设施基础、环境基础、人文基础得到明显提升。完成6个县级文明实践基地建设，基本形成</w:t>
      </w:r>
      <w:r>
        <w:rPr>
          <w:rFonts w:hint="eastAsia" w:ascii="Times New Roman" w:eastAsia="仿宋" w:cs="Times New Roman"/>
          <w:sz w:val="32"/>
          <w:szCs w:val="32"/>
          <w:lang w:eastAsia="zh-CN"/>
        </w:rPr>
        <w:t>“</w:t>
      </w:r>
      <w:r>
        <w:rPr>
          <w:rFonts w:hint="default" w:ascii="Times New Roman" w:hAnsi="Times New Roman" w:eastAsia="仿宋" w:cs="Times New Roman"/>
          <w:sz w:val="32"/>
          <w:szCs w:val="32"/>
        </w:rPr>
        <w:t>1中心+多基地</w:t>
      </w:r>
      <w:r>
        <w:rPr>
          <w:rFonts w:hint="eastAsia" w:ascii="Times New Roman" w:eastAsia="仿宋" w:cs="Times New Roman"/>
          <w:sz w:val="32"/>
          <w:szCs w:val="32"/>
          <w:lang w:eastAsia="zh-CN"/>
        </w:rPr>
        <w:t>”</w:t>
      </w:r>
      <w:r>
        <w:rPr>
          <w:rFonts w:hint="default" w:ascii="Times New Roman" w:hAnsi="Times New Roman" w:eastAsia="仿宋" w:cs="Times New Roman"/>
          <w:sz w:val="32"/>
          <w:szCs w:val="32"/>
        </w:rPr>
        <w:t>的文明实践格局。基本完成11个乡镇、86个村（社区）组织、制度、队伍和阵地建设，组建志愿服务队伍141支，开展志愿服务活动1300余场次。全国文明城市的创建氛围、创建主体、创建成效不断向基层、向农村延伸，城乡一体化全域创建的工作格局日渐形成。</w:t>
      </w:r>
      <w:bookmarkEnd w:id="34"/>
    </w:p>
    <w:p w14:paraId="4EC768D4">
      <w:pPr>
        <w:pStyle w:val="4"/>
        <w:pageBreakBefore w:val="0"/>
        <w:kinsoku/>
        <w:wordWrap/>
        <w:overflowPunct/>
        <w:topLinePunct w:val="0"/>
        <w:autoSpaceDE/>
        <w:autoSpaceDN/>
        <w:bidi w:val="0"/>
        <w:spacing w:before="0" w:after="0" w:line="600" w:lineRule="exact"/>
        <w:ind w:firstLine="640" w:firstLineChars="200"/>
        <w:jc w:val="both"/>
        <w:textAlignment w:val="auto"/>
        <w:rPr>
          <w:rStyle w:val="25"/>
          <w:rFonts w:hint="default" w:ascii="Times New Roman" w:hAnsi="Times New Roman" w:cs="Times New Roman"/>
          <w:b w:val="0"/>
          <w:bCs w:val="0"/>
        </w:rPr>
      </w:pPr>
      <w:bookmarkStart w:id="35" w:name="_Toc15396601"/>
      <w:bookmarkStart w:id="36" w:name="_Toc15377200"/>
      <w:bookmarkStart w:id="37" w:name="_Toc117519050"/>
      <w:r>
        <w:rPr>
          <w:rFonts w:hint="default" w:ascii="Times New Roman" w:hAnsi="Times New Roman" w:eastAsia="黑体" w:cs="Times New Roman"/>
          <w:b w:val="0"/>
        </w:rPr>
        <w:t>二、机</w:t>
      </w:r>
      <w:r>
        <w:rPr>
          <w:rStyle w:val="25"/>
          <w:rFonts w:hint="default" w:ascii="Times New Roman" w:hAnsi="Times New Roman" w:eastAsia="黑体" w:cs="Times New Roman"/>
          <w:b w:val="0"/>
          <w:bCs w:val="0"/>
        </w:rPr>
        <w:t>构设置</w:t>
      </w:r>
      <w:bookmarkEnd w:id="35"/>
      <w:bookmarkEnd w:id="36"/>
      <w:bookmarkEnd w:id="37"/>
    </w:p>
    <w:p w14:paraId="28838182">
      <w:pPr>
        <w:pageBreakBefore w:val="0"/>
        <w:widowControl/>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eastAsia" w:eastAsia="仿宋" w:cs="Times New Roman"/>
          <w:sz w:val="32"/>
          <w:szCs w:val="32"/>
          <w:lang w:eastAsia="zh-CN"/>
        </w:rPr>
        <w:t>中共米易县委宣传部</w:t>
      </w:r>
      <w:r>
        <w:rPr>
          <w:rFonts w:hint="default" w:ascii="Times New Roman" w:hAnsi="Times New Roman" w:eastAsia="仿宋" w:cs="Times New Roman"/>
          <w:sz w:val="32"/>
          <w:szCs w:val="32"/>
        </w:rPr>
        <w:t>下属二级单位</w:t>
      </w:r>
      <w:r>
        <w:rPr>
          <w:rFonts w:hint="eastAsia" w:eastAsia="仿宋" w:cs="Times New Roman"/>
          <w:sz w:val="32"/>
          <w:szCs w:val="32"/>
          <w:lang w:val="en-US" w:eastAsia="zh-CN"/>
        </w:rPr>
        <w:t>2</w:t>
      </w:r>
      <w:r>
        <w:rPr>
          <w:rFonts w:hint="default" w:ascii="Times New Roman" w:hAnsi="Times New Roman" w:eastAsia="仿宋" w:cs="Times New Roman"/>
          <w:sz w:val="32"/>
          <w:szCs w:val="32"/>
        </w:rPr>
        <w:t>个，其中行政单位</w:t>
      </w:r>
      <w:r>
        <w:rPr>
          <w:rFonts w:hint="eastAsia" w:eastAsia="仿宋" w:cs="Times New Roman"/>
          <w:sz w:val="32"/>
          <w:szCs w:val="32"/>
          <w:lang w:val="en-US" w:eastAsia="zh-CN"/>
        </w:rPr>
        <w:t>0</w:t>
      </w:r>
      <w:r>
        <w:rPr>
          <w:rFonts w:hint="default" w:ascii="Times New Roman" w:hAnsi="Times New Roman" w:eastAsia="仿宋" w:cs="Times New Roman"/>
          <w:sz w:val="32"/>
          <w:szCs w:val="32"/>
        </w:rPr>
        <w:t>个，参照公务员法管理的事业单位</w:t>
      </w:r>
      <w:r>
        <w:rPr>
          <w:rFonts w:hint="eastAsia" w:eastAsia="仿宋" w:cs="Times New Roman"/>
          <w:sz w:val="32"/>
          <w:szCs w:val="32"/>
          <w:lang w:val="en-US" w:eastAsia="zh-CN"/>
        </w:rPr>
        <w:t>0</w:t>
      </w:r>
      <w:r>
        <w:rPr>
          <w:rFonts w:hint="default" w:ascii="Times New Roman" w:hAnsi="Times New Roman" w:eastAsia="仿宋" w:cs="Times New Roman"/>
          <w:sz w:val="32"/>
          <w:szCs w:val="32"/>
        </w:rPr>
        <w:t>个，其他事业单位</w:t>
      </w:r>
      <w:r>
        <w:rPr>
          <w:rFonts w:hint="eastAsia" w:eastAsia="仿宋" w:cs="Times New Roman"/>
          <w:sz w:val="32"/>
          <w:szCs w:val="32"/>
          <w:lang w:val="en-US" w:eastAsia="zh-CN"/>
        </w:rPr>
        <w:t>2</w:t>
      </w:r>
      <w:r>
        <w:rPr>
          <w:rFonts w:hint="default" w:ascii="Times New Roman" w:hAnsi="Times New Roman" w:eastAsia="仿宋" w:cs="Times New Roman"/>
          <w:sz w:val="32"/>
          <w:szCs w:val="32"/>
        </w:rPr>
        <w:t>个。</w:t>
      </w:r>
    </w:p>
    <w:p w14:paraId="1C8FB87D">
      <w:pPr>
        <w:pageBreakBefore w:val="0"/>
        <w:widowControl/>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纳入</w:t>
      </w:r>
      <w:r>
        <w:rPr>
          <w:rFonts w:hint="eastAsia" w:eastAsia="仿宋" w:cs="Times New Roman"/>
          <w:sz w:val="32"/>
          <w:szCs w:val="32"/>
          <w:lang w:eastAsia="zh-CN"/>
        </w:rPr>
        <w:t>中共米易县委宣传部</w:t>
      </w:r>
      <w:r>
        <w:rPr>
          <w:rFonts w:hint="default" w:ascii="Times New Roman" w:hAnsi="Times New Roman" w:eastAsia="仿宋" w:cs="Times New Roman"/>
          <w:sz w:val="32"/>
          <w:szCs w:val="32"/>
        </w:rPr>
        <w:t>20</w:t>
      </w:r>
      <w:r>
        <w:rPr>
          <w:rFonts w:hint="default" w:ascii="Times New Roman" w:hAnsi="Times New Roman" w:eastAsia="仿宋" w:cs="Times New Roman"/>
          <w:sz w:val="32"/>
          <w:szCs w:val="32"/>
          <w:lang w:val="en-US" w:eastAsia="zh-CN"/>
        </w:rPr>
        <w:t>21</w:t>
      </w:r>
      <w:r>
        <w:rPr>
          <w:rFonts w:hint="default" w:ascii="Times New Roman" w:hAnsi="Times New Roman" w:eastAsia="仿宋" w:cs="Times New Roman"/>
          <w:sz w:val="32"/>
          <w:szCs w:val="32"/>
        </w:rPr>
        <w:t>年度部门决算编制范围的二级预算单位包括：</w:t>
      </w:r>
    </w:p>
    <w:p w14:paraId="6022ADDA">
      <w:pPr>
        <w:pageBreakBefore w:val="0"/>
        <w:widowControl/>
        <w:numPr>
          <w:ilvl w:val="0"/>
          <w:numId w:val="0"/>
        </w:numPr>
        <w:kinsoku/>
        <w:wordWrap/>
        <w:overflowPunct/>
        <w:topLinePunct w:val="0"/>
        <w:autoSpaceDE/>
        <w:autoSpaceDN/>
        <w:bidi w:val="0"/>
        <w:spacing w:line="600" w:lineRule="exact"/>
        <w:ind w:firstLine="640" w:firstLineChars="200"/>
        <w:jc w:val="both"/>
        <w:textAlignment w:val="auto"/>
        <w:rPr>
          <w:rFonts w:hint="eastAsia" w:ascii="Times New Roman" w:hAnsi="Times New Roman" w:eastAsia="仿宋" w:cs="Times New Roman"/>
          <w:sz w:val="32"/>
          <w:szCs w:val="32"/>
          <w:lang w:eastAsia="zh-CN"/>
        </w:rPr>
      </w:pPr>
      <w:r>
        <w:rPr>
          <w:rFonts w:hint="eastAsia" w:eastAsia="仿宋" w:cs="Times New Roman"/>
          <w:sz w:val="32"/>
          <w:szCs w:val="32"/>
          <w:lang w:val="en-US" w:eastAsia="zh-CN"/>
        </w:rPr>
        <w:t>1.</w:t>
      </w:r>
      <w:r>
        <w:rPr>
          <w:rFonts w:hint="default" w:ascii="Times New Roman" w:hAnsi="Times New Roman" w:eastAsia="仿宋" w:cs="Times New Roman"/>
          <w:sz w:val="32"/>
          <w:szCs w:val="32"/>
        </w:rPr>
        <w:t>中共米易县委对外宣传中心</w:t>
      </w:r>
      <w:r>
        <w:rPr>
          <w:rFonts w:hint="eastAsia" w:eastAsia="仿宋" w:cs="Times New Roman"/>
          <w:sz w:val="32"/>
          <w:szCs w:val="32"/>
          <w:lang w:eastAsia="zh-CN"/>
        </w:rPr>
        <w:t>，</w:t>
      </w:r>
    </w:p>
    <w:p w14:paraId="0EE80628">
      <w:pPr>
        <w:pageBreakBefore w:val="0"/>
        <w:widowControl/>
        <w:numPr>
          <w:ilvl w:val="0"/>
          <w:numId w:val="0"/>
        </w:numPr>
        <w:kinsoku/>
        <w:wordWrap/>
        <w:overflowPunct/>
        <w:topLinePunct w:val="0"/>
        <w:autoSpaceDE/>
        <w:autoSpaceDN/>
        <w:bidi w:val="0"/>
        <w:spacing w:line="600" w:lineRule="exact"/>
        <w:ind w:firstLine="640" w:firstLineChars="200"/>
        <w:jc w:val="both"/>
        <w:textAlignment w:val="auto"/>
        <w:rPr>
          <w:rFonts w:hint="default" w:ascii="Times New Roman" w:hAnsi="Times New Roman" w:eastAsia="仿宋" w:cs="Times New Roman"/>
          <w:kern w:val="0"/>
          <w:sz w:val="32"/>
          <w:szCs w:val="32"/>
        </w:rPr>
      </w:pPr>
      <w:r>
        <w:rPr>
          <w:rFonts w:hint="eastAsia" w:eastAsia="仿宋" w:cs="Times New Roman"/>
          <w:sz w:val="32"/>
          <w:szCs w:val="32"/>
          <w:lang w:val="en-US" w:eastAsia="zh-CN"/>
        </w:rPr>
        <w:t>2.</w:t>
      </w:r>
      <w:r>
        <w:rPr>
          <w:rFonts w:hint="default" w:ascii="Times New Roman" w:hAnsi="Times New Roman" w:eastAsia="仿宋" w:cs="Times New Roman"/>
          <w:sz w:val="32"/>
          <w:szCs w:val="32"/>
        </w:rPr>
        <w:t>米易县新文明实践服务中心。</w:t>
      </w:r>
      <w:r>
        <w:rPr>
          <w:rFonts w:hint="default" w:ascii="Times New Roman" w:hAnsi="Times New Roman" w:eastAsia="仿宋" w:cs="Times New Roman"/>
          <w:sz w:val="32"/>
          <w:szCs w:val="32"/>
        </w:rPr>
        <w:br w:type="page"/>
      </w:r>
    </w:p>
    <w:p w14:paraId="53881282">
      <w:pPr>
        <w:pStyle w:val="3"/>
        <w:jc w:val="center"/>
        <w:rPr>
          <w:rFonts w:hint="default" w:ascii="Times New Roman" w:hAnsi="Times New Roman" w:eastAsia="黑体" w:cs="Times New Roman"/>
          <w:b w:val="0"/>
        </w:rPr>
      </w:pPr>
      <w:bookmarkStart w:id="38" w:name="_Toc15377204"/>
      <w:bookmarkStart w:id="39" w:name="_Toc15396602"/>
      <w:bookmarkStart w:id="40" w:name="_Toc117519051"/>
      <w:r>
        <w:rPr>
          <w:rFonts w:hint="default" w:ascii="Times New Roman" w:hAnsi="Times New Roman" w:eastAsia="黑体" w:cs="Times New Roman"/>
          <w:b w:val="0"/>
        </w:rPr>
        <w:t>第二部分 2021年度部门决算情况说明</w:t>
      </w:r>
      <w:bookmarkEnd w:id="38"/>
      <w:bookmarkEnd w:id="39"/>
      <w:bookmarkEnd w:id="40"/>
    </w:p>
    <w:p w14:paraId="56067328"/>
    <w:p w14:paraId="6EA36F20">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1"/>
        <w:rPr>
          <w:rStyle w:val="25"/>
          <w:rFonts w:hint="default" w:ascii="Times New Roman" w:hAnsi="Times New Roman" w:eastAsia="黑体" w:cs="Times New Roman"/>
          <w:b w:val="0"/>
        </w:rPr>
      </w:pPr>
      <w:bookmarkStart w:id="41" w:name="_Toc15396603"/>
      <w:bookmarkStart w:id="42" w:name="_Toc15377205"/>
      <w:bookmarkStart w:id="43" w:name="_Toc117519052"/>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收</w:t>
      </w:r>
      <w:r>
        <w:rPr>
          <w:rStyle w:val="25"/>
          <w:rFonts w:hint="default" w:ascii="Times New Roman" w:hAnsi="Times New Roman" w:eastAsia="黑体" w:cs="Times New Roman"/>
          <w:b w:val="0"/>
        </w:rPr>
        <w:t>入支出决算总体情况说明</w:t>
      </w:r>
      <w:bookmarkEnd w:id="41"/>
      <w:bookmarkEnd w:id="42"/>
      <w:bookmarkEnd w:id="43"/>
    </w:p>
    <w:p w14:paraId="382898FF">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2021年度收、支总计675.25万元。与2020年相比，收、支总计减少640.56万元，下降48.68%。主要变动原因是</w:t>
      </w:r>
      <w:r>
        <w:rPr>
          <w:rFonts w:hint="default" w:ascii="Times New Roman" w:hAnsi="Times New Roman" w:eastAsia="仿宋_GB2312" w:cs="Times New Roman"/>
          <w:sz w:val="32"/>
          <w:szCs w:val="32"/>
        </w:rPr>
        <w:t>2021年大部分项目资金都还未清算支付。</w:t>
      </w:r>
    </w:p>
    <w:p w14:paraId="2913AA6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（图1：收、支决算总计变动情况图）</w:t>
      </w:r>
    </w:p>
    <w:p w14:paraId="44A2AE78">
      <w:pPr>
        <w:pStyle w:val="2"/>
        <w:spacing w:before="93"/>
      </w:pPr>
      <w:r>
        <w:rPr>
          <w:rFonts w:hint="eastAsia"/>
        </w:rPr>
        <w:drawing>
          <wp:inline distT="0" distB="0" distL="0" distR="0">
            <wp:extent cx="5274310" cy="3076575"/>
            <wp:effectExtent l="19050" t="0" r="2159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255F3BD">
      <w:pPr>
        <w:pStyle w:val="2"/>
        <w:spacing w:before="93"/>
      </w:pPr>
    </w:p>
    <w:p w14:paraId="550BC27A">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1"/>
        <w:rPr>
          <w:rFonts w:hint="default" w:ascii="Times New Roman" w:hAnsi="Times New Roman" w:eastAsia="黑体" w:cs="Times New Roman"/>
          <w:sz w:val="32"/>
          <w:szCs w:val="32"/>
          <w:lang w:eastAsia="zh-CN"/>
        </w:rPr>
      </w:pPr>
      <w:bookmarkStart w:id="44" w:name="_Toc15396604"/>
      <w:bookmarkStart w:id="45" w:name="_Toc15377206"/>
      <w:bookmarkStart w:id="46" w:name="_Toc117519053"/>
      <w:r>
        <w:rPr>
          <w:rFonts w:hint="default" w:ascii="Times New Roman" w:hAnsi="Times New Roman" w:eastAsia="黑体" w:cs="Times New Roman"/>
          <w:sz w:val="32"/>
          <w:szCs w:val="32"/>
          <w:lang w:eastAsia="zh-CN"/>
        </w:rPr>
        <w:t>二、收入决算情况说明</w:t>
      </w:r>
      <w:bookmarkEnd w:id="44"/>
      <w:bookmarkEnd w:id="45"/>
      <w:bookmarkEnd w:id="46"/>
    </w:p>
    <w:p w14:paraId="41C45DA8">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default" w:ascii="Times New Roman" w:hAnsi="Times New Roman" w:eastAsia="仿宋" w:cs="Times New Roman"/>
          <w:sz w:val="32"/>
          <w:szCs w:val="32"/>
        </w:rPr>
      </w:pPr>
      <w:bookmarkStart w:id="47" w:name="_Toc117519054"/>
      <w:r>
        <w:rPr>
          <w:rFonts w:hint="default" w:ascii="Times New Roman" w:hAnsi="Times New Roman" w:eastAsia="仿宋" w:cs="Times New Roman"/>
          <w:sz w:val="32"/>
          <w:szCs w:val="32"/>
        </w:rPr>
        <w:t>2021年本年收入合计672.25万元，其中：一般公共预算财政拨款收入583.06万元，占86.73%</w:t>
      </w:r>
      <w:r>
        <w:rPr>
          <w:rFonts w:hint="eastAsia" w:eastAsia="仿宋" w:cs="Times New Roman"/>
          <w:sz w:val="32"/>
          <w:szCs w:val="32"/>
          <w:lang w:eastAsia="zh-CN"/>
        </w:rPr>
        <w:t>；</w:t>
      </w:r>
      <w:r>
        <w:rPr>
          <w:rFonts w:hint="default" w:ascii="Times New Roman" w:hAnsi="Times New Roman" w:eastAsia="仿宋" w:cs="Times New Roman"/>
          <w:sz w:val="32"/>
          <w:szCs w:val="32"/>
        </w:rPr>
        <w:t>政府性基金预算财政拨款收入89.19万元，占13.27%</w:t>
      </w:r>
      <w:r>
        <w:rPr>
          <w:rFonts w:hint="eastAsia" w:eastAsia="仿宋" w:cs="Times New Roman"/>
          <w:sz w:val="32"/>
          <w:szCs w:val="32"/>
          <w:lang w:eastAsia="zh-CN"/>
        </w:rPr>
        <w:t>；</w:t>
      </w:r>
      <w:r>
        <w:rPr>
          <w:rFonts w:hint="default" w:ascii="Times New Roman" w:hAnsi="Times New Roman" w:eastAsia="仿宋" w:cs="Times New Roman"/>
          <w:sz w:val="32"/>
          <w:szCs w:val="32"/>
        </w:rPr>
        <w:t>国有资本经营预算财政拨款收入0万元，占0%</w:t>
      </w:r>
      <w:r>
        <w:rPr>
          <w:rFonts w:hint="eastAsia" w:eastAsia="仿宋" w:cs="Times New Roman"/>
          <w:sz w:val="32"/>
          <w:szCs w:val="32"/>
          <w:lang w:eastAsia="zh-CN"/>
        </w:rPr>
        <w:t>；</w:t>
      </w:r>
      <w:r>
        <w:rPr>
          <w:rFonts w:hint="default" w:ascii="Times New Roman" w:hAnsi="Times New Roman" w:eastAsia="仿宋" w:cs="Times New Roman"/>
          <w:sz w:val="32"/>
          <w:szCs w:val="32"/>
        </w:rPr>
        <w:t>上级补助收入0万元，占0%</w:t>
      </w:r>
      <w:r>
        <w:rPr>
          <w:rFonts w:hint="eastAsia" w:eastAsia="仿宋" w:cs="Times New Roman"/>
          <w:sz w:val="32"/>
          <w:szCs w:val="32"/>
          <w:lang w:eastAsia="zh-CN"/>
        </w:rPr>
        <w:t>；</w:t>
      </w:r>
      <w:r>
        <w:rPr>
          <w:rFonts w:hint="default" w:ascii="Times New Roman" w:hAnsi="Times New Roman" w:eastAsia="仿宋" w:cs="Times New Roman"/>
          <w:sz w:val="32"/>
          <w:szCs w:val="32"/>
        </w:rPr>
        <w:t>事业收入0万元，占0%</w:t>
      </w:r>
      <w:r>
        <w:rPr>
          <w:rFonts w:hint="eastAsia" w:eastAsia="仿宋" w:cs="Times New Roman"/>
          <w:sz w:val="32"/>
          <w:szCs w:val="32"/>
          <w:lang w:eastAsia="zh-CN"/>
        </w:rPr>
        <w:t>；</w:t>
      </w:r>
      <w:r>
        <w:rPr>
          <w:rFonts w:hint="default" w:ascii="Times New Roman" w:hAnsi="Times New Roman" w:eastAsia="仿宋" w:cs="Times New Roman"/>
          <w:sz w:val="32"/>
          <w:szCs w:val="32"/>
        </w:rPr>
        <w:t>经营收入0万元，占0%</w:t>
      </w:r>
      <w:r>
        <w:rPr>
          <w:rFonts w:hint="eastAsia" w:eastAsia="仿宋" w:cs="Times New Roman"/>
          <w:sz w:val="32"/>
          <w:szCs w:val="32"/>
          <w:lang w:eastAsia="zh-CN"/>
        </w:rPr>
        <w:t>；</w:t>
      </w:r>
      <w:r>
        <w:rPr>
          <w:rFonts w:hint="default" w:ascii="Times New Roman" w:hAnsi="Times New Roman" w:eastAsia="仿宋" w:cs="Times New Roman"/>
          <w:sz w:val="32"/>
          <w:szCs w:val="32"/>
        </w:rPr>
        <w:t>附属单位上缴收入0万元，占0%</w:t>
      </w:r>
      <w:r>
        <w:rPr>
          <w:rFonts w:hint="eastAsia" w:eastAsia="仿宋" w:cs="Times New Roman"/>
          <w:sz w:val="32"/>
          <w:szCs w:val="32"/>
          <w:lang w:eastAsia="zh-CN"/>
        </w:rPr>
        <w:t>；</w:t>
      </w:r>
      <w:r>
        <w:rPr>
          <w:rFonts w:hint="default" w:ascii="Times New Roman" w:hAnsi="Times New Roman" w:eastAsia="仿宋" w:cs="Times New Roman"/>
          <w:sz w:val="32"/>
          <w:szCs w:val="32"/>
        </w:rPr>
        <w:t>其他收入0万元，占0%。年初结转和结余3万元。</w:t>
      </w:r>
      <w:bookmarkEnd w:id="47"/>
    </w:p>
    <w:p w14:paraId="648E165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（图2：收入决算结构图）</w:t>
      </w:r>
    </w:p>
    <w:p w14:paraId="1A996A71">
      <w:pPr>
        <w:pStyle w:val="2"/>
        <w:spacing w:before="93"/>
      </w:pPr>
    </w:p>
    <w:p w14:paraId="0295BF92">
      <w:pPr>
        <w:pStyle w:val="2"/>
        <w:spacing w:before="93"/>
      </w:pPr>
      <w:r>
        <w:rPr>
          <w:rFonts w:hint="eastAsia"/>
        </w:rPr>
        <w:drawing>
          <wp:inline distT="0" distB="0" distL="0" distR="0">
            <wp:extent cx="5274310" cy="3076575"/>
            <wp:effectExtent l="19050" t="0" r="2159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1E1C9D8">
      <w:pPr>
        <w:pStyle w:val="2"/>
        <w:spacing w:before="93"/>
      </w:pPr>
    </w:p>
    <w:p w14:paraId="202FABA2">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黑体" w:cs="Times New Roman"/>
          <w:sz w:val="32"/>
          <w:szCs w:val="32"/>
          <w:lang w:eastAsia="zh-CN"/>
        </w:rPr>
      </w:pPr>
      <w:bookmarkStart w:id="48" w:name="_Toc15396605"/>
      <w:bookmarkStart w:id="49" w:name="_Toc117519055"/>
      <w:bookmarkStart w:id="50" w:name="_Toc15377207"/>
      <w:r>
        <w:rPr>
          <w:rFonts w:hint="default" w:ascii="Times New Roman" w:hAnsi="Times New Roman" w:eastAsia="黑体" w:cs="Times New Roman"/>
          <w:sz w:val="32"/>
          <w:szCs w:val="32"/>
          <w:lang w:eastAsia="zh-CN"/>
        </w:rPr>
        <w:t>三、支出决算情况说明</w:t>
      </w:r>
      <w:bookmarkEnd w:id="48"/>
      <w:bookmarkEnd w:id="49"/>
      <w:bookmarkEnd w:id="50"/>
    </w:p>
    <w:p w14:paraId="75DC91B4">
      <w:pPr>
        <w:keepNext w:val="0"/>
        <w:keepLines w:val="0"/>
        <w:pageBreakBefore w:val="0"/>
        <w:widowControl w:val="0"/>
        <w:kinsoku/>
        <w:wordWrap/>
        <w:overflowPunct/>
        <w:topLinePunct w:val="0"/>
        <w:bidi w:val="0"/>
        <w:snapToGrid/>
        <w:spacing w:line="600" w:lineRule="exact"/>
        <w:ind w:firstLine="640" w:firstLineChars="200"/>
        <w:jc w:val="both"/>
        <w:textAlignment w:val="auto"/>
        <w:outlineLvl w:val="1"/>
        <w:rPr>
          <w:rFonts w:hint="default" w:ascii="Times New Roman" w:hAnsi="Times New Roman" w:eastAsia="仿宋" w:cs="Times New Roman"/>
          <w:sz w:val="32"/>
          <w:szCs w:val="32"/>
        </w:rPr>
      </w:pPr>
      <w:bookmarkStart w:id="51" w:name="_Toc117519056"/>
      <w:r>
        <w:rPr>
          <w:rFonts w:hint="default" w:ascii="Times New Roman" w:hAnsi="Times New Roman" w:eastAsia="仿宋" w:cs="Times New Roman"/>
          <w:sz w:val="32"/>
          <w:szCs w:val="32"/>
        </w:rPr>
        <w:t>2021年本年支出合计675.22万元，其中：基本支出253.41万元，占37.53%</w:t>
      </w:r>
      <w:r>
        <w:rPr>
          <w:rFonts w:hint="eastAsia" w:eastAsia="仿宋" w:cs="Times New Roman"/>
          <w:sz w:val="32"/>
          <w:szCs w:val="32"/>
          <w:lang w:eastAsia="zh-CN"/>
        </w:rPr>
        <w:t>；</w:t>
      </w:r>
      <w:r>
        <w:rPr>
          <w:rFonts w:hint="default" w:ascii="Times New Roman" w:hAnsi="Times New Roman" w:eastAsia="仿宋" w:cs="Times New Roman"/>
          <w:sz w:val="32"/>
          <w:szCs w:val="32"/>
        </w:rPr>
        <w:t>项目支出421.81万元，占62.47%</w:t>
      </w:r>
      <w:r>
        <w:rPr>
          <w:rFonts w:hint="eastAsia" w:eastAsia="仿宋" w:cs="Times New Roman"/>
          <w:sz w:val="32"/>
          <w:szCs w:val="32"/>
          <w:lang w:eastAsia="zh-CN"/>
        </w:rPr>
        <w:t>；</w:t>
      </w:r>
      <w:r>
        <w:rPr>
          <w:rFonts w:hint="default" w:ascii="Times New Roman" w:hAnsi="Times New Roman" w:eastAsia="仿宋" w:cs="Times New Roman"/>
          <w:sz w:val="32"/>
          <w:szCs w:val="32"/>
        </w:rPr>
        <w:t>上缴上级支出0万元，占0%</w:t>
      </w:r>
      <w:r>
        <w:rPr>
          <w:rFonts w:hint="eastAsia" w:eastAsia="仿宋" w:cs="Times New Roman"/>
          <w:sz w:val="32"/>
          <w:szCs w:val="32"/>
          <w:lang w:eastAsia="zh-CN"/>
        </w:rPr>
        <w:t>；</w:t>
      </w:r>
      <w:r>
        <w:rPr>
          <w:rFonts w:hint="default" w:ascii="Times New Roman" w:hAnsi="Times New Roman" w:eastAsia="仿宋" w:cs="Times New Roman"/>
          <w:sz w:val="32"/>
          <w:szCs w:val="32"/>
        </w:rPr>
        <w:t>经营支出0万元，占0%</w:t>
      </w:r>
      <w:r>
        <w:rPr>
          <w:rFonts w:hint="eastAsia" w:eastAsia="仿宋" w:cs="Times New Roman"/>
          <w:sz w:val="32"/>
          <w:szCs w:val="32"/>
          <w:lang w:eastAsia="zh-CN"/>
        </w:rPr>
        <w:t>；</w:t>
      </w:r>
      <w:r>
        <w:rPr>
          <w:rFonts w:hint="default" w:ascii="Times New Roman" w:hAnsi="Times New Roman" w:eastAsia="仿宋" w:cs="Times New Roman"/>
          <w:sz w:val="32"/>
          <w:szCs w:val="32"/>
        </w:rPr>
        <w:t>对</w:t>
      </w:r>
      <w:r>
        <w:rPr>
          <w:rFonts w:hint="default" w:ascii="Times New Roman" w:hAnsi="Times New Roman" w:eastAsia="仿宋" w:cs="Times New Roman"/>
          <w:spacing w:val="6"/>
          <w:sz w:val="32"/>
          <w:szCs w:val="32"/>
        </w:rPr>
        <w:t>附属单位补助支出0万元，占0%。年末结转和结余0.03万元。</w:t>
      </w:r>
      <w:bookmarkEnd w:id="51"/>
    </w:p>
    <w:p w14:paraId="199DBBD5">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（图3：支出决算结构图）</w:t>
      </w:r>
    </w:p>
    <w:p w14:paraId="55EA0F08">
      <w:pPr>
        <w:pStyle w:val="2"/>
        <w:spacing w:before="93"/>
      </w:pPr>
      <w:r>
        <w:rPr>
          <w:rFonts w:hint="eastAsia"/>
        </w:rPr>
        <w:drawing>
          <wp:inline distT="0" distB="0" distL="0" distR="0">
            <wp:extent cx="5274310" cy="3076575"/>
            <wp:effectExtent l="19050" t="0" r="2159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FD92260">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outlineLvl w:val="1"/>
        <w:rPr>
          <w:rFonts w:hint="eastAsia" w:ascii="黑体" w:hAnsi="黑体" w:eastAsia="黑体"/>
          <w:sz w:val="32"/>
          <w:szCs w:val="32"/>
          <w:lang w:eastAsia="zh-CN"/>
        </w:rPr>
      </w:pPr>
      <w:bookmarkStart w:id="52" w:name="_Toc15377208"/>
      <w:bookmarkStart w:id="53" w:name="_Toc117519057"/>
      <w:bookmarkStart w:id="54" w:name="_Toc15396606"/>
      <w:r>
        <w:rPr>
          <w:rFonts w:hint="eastAsia" w:ascii="黑体" w:hAnsi="黑体" w:eastAsia="黑体"/>
          <w:sz w:val="32"/>
          <w:szCs w:val="32"/>
          <w:lang w:eastAsia="zh-CN"/>
        </w:rPr>
        <w:t>四、财政拨款收入支出决算总体情况说明</w:t>
      </w:r>
      <w:bookmarkEnd w:id="52"/>
      <w:bookmarkEnd w:id="53"/>
      <w:bookmarkEnd w:id="54"/>
    </w:p>
    <w:p w14:paraId="28C112A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2021年财政拨款收、支总计675.25万元。与2020年相比，财政拨款收、支总计减少640.56万元，下降48.68%。主要变动原因是2021年大部分项目资金还未清算支付。</w:t>
      </w:r>
    </w:p>
    <w:p w14:paraId="041ABA3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（图4：财政拨款收、支决算总计变动情况）</w:t>
      </w:r>
    </w:p>
    <w:p w14:paraId="65324100">
      <w:pPr>
        <w:pStyle w:val="2"/>
        <w:spacing w:before="93"/>
      </w:pPr>
      <w:r>
        <w:rPr>
          <w:rFonts w:hint="eastAsia"/>
        </w:rPr>
        <w:drawing>
          <wp:inline distT="0" distB="0" distL="0" distR="0">
            <wp:extent cx="5274310" cy="3076575"/>
            <wp:effectExtent l="19050" t="0" r="2159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AF8107">
      <w:pPr>
        <w:spacing w:line="600" w:lineRule="exact"/>
        <w:ind w:firstLine="640" w:firstLineChars="200"/>
        <w:outlineLvl w:val="1"/>
        <w:rPr>
          <w:rFonts w:ascii="黑体" w:hAnsi="黑体" w:eastAsia="黑体"/>
          <w:sz w:val="32"/>
          <w:szCs w:val="32"/>
        </w:rPr>
      </w:pPr>
      <w:bookmarkStart w:id="55" w:name="_Toc15377209"/>
      <w:bookmarkStart w:id="56" w:name="_Toc15396607"/>
    </w:p>
    <w:p w14:paraId="501ED686">
      <w:pPr>
        <w:spacing w:line="600" w:lineRule="exact"/>
        <w:ind w:firstLine="640" w:firstLineChars="200"/>
        <w:outlineLvl w:val="1"/>
        <w:rPr>
          <w:rStyle w:val="25"/>
          <w:rFonts w:ascii="黑体" w:hAnsi="黑体" w:eastAsia="黑体"/>
          <w:b w:val="0"/>
        </w:rPr>
      </w:pPr>
      <w:bookmarkStart w:id="57" w:name="_Toc117519058"/>
      <w:r>
        <w:rPr>
          <w:rFonts w:hint="eastAsia" w:ascii="黑体" w:hAnsi="黑体" w:eastAsia="黑体"/>
          <w:sz w:val="32"/>
          <w:szCs w:val="32"/>
        </w:rPr>
        <w:t>五、</w:t>
      </w:r>
      <w:r>
        <w:rPr>
          <w:rFonts w:hint="eastAsia" w:ascii="黑体" w:hAnsi="黑体" w:eastAsia="黑体"/>
          <w:b/>
          <w:sz w:val="32"/>
          <w:szCs w:val="32"/>
        </w:rPr>
        <w:t>一</w:t>
      </w:r>
      <w:r>
        <w:rPr>
          <w:rStyle w:val="25"/>
          <w:rFonts w:hint="eastAsia" w:ascii="黑体" w:hAnsi="黑体" w:eastAsia="黑体"/>
          <w:b w:val="0"/>
        </w:rPr>
        <w:t>般公共预算财政拨款支出决算情况说明</w:t>
      </w:r>
      <w:bookmarkEnd w:id="55"/>
      <w:bookmarkEnd w:id="56"/>
      <w:bookmarkEnd w:id="57"/>
    </w:p>
    <w:p w14:paraId="1BE93043">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58" w:name="_Toc15377210"/>
      <w:bookmarkStart w:id="59" w:name="_Toc117519059"/>
      <w:r>
        <w:rPr>
          <w:rFonts w:hint="default" w:ascii="楷体_GB2312" w:hAnsi="宋体" w:eastAsia="楷体_GB2312" w:cs="Times New Roman"/>
          <w:b w:val="0"/>
          <w:bCs/>
          <w:kern w:val="2"/>
          <w:sz w:val="32"/>
          <w:szCs w:val="32"/>
          <w:lang w:val="zh-CN" w:eastAsia="zh-CN" w:bidi="ar-SA"/>
        </w:rPr>
        <w:t>（一）一般公共预算财政拨款支出决算总体情况</w:t>
      </w:r>
      <w:bookmarkEnd w:id="58"/>
      <w:bookmarkEnd w:id="59"/>
    </w:p>
    <w:p w14:paraId="73AC389D">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2021年一般公共预算财政拨款支出586.02万元，占本年支出合计的86.79%。与2020年相比，一般公共预算财政拨款支出减少357.57万元，下降37.89%。主要变动原因是大部分项目资金还未清算支付。</w:t>
      </w:r>
    </w:p>
    <w:p w14:paraId="28B63D25">
      <w:pPr>
        <w:spacing w:line="600" w:lineRule="exact"/>
        <w:ind w:firstLine="560" w:firstLineChars="200"/>
        <w:rPr>
          <w:rFonts w:hint="default" w:ascii="Times New Roman" w:hAnsi="Times New Roman" w:eastAsia="仿宋" w:cs="Times New Roman"/>
          <w:spacing w:val="-20"/>
          <w:sz w:val="32"/>
          <w:szCs w:val="32"/>
        </w:rPr>
      </w:pPr>
      <w:r>
        <w:rPr>
          <w:rFonts w:hint="default" w:ascii="Times New Roman" w:hAnsi="Times New Roman" w:eastAsia="仿宋" w:cs="Times New Roman"/>
          <w:spacing w:val="-20"/>
          <w:sz w:val="32"/>
          <w:szCs w:val="32"/>
        </w:rPr>
        <w:t>（图5：一般公共预算财政拨款支出决算变动情况）</w:t>
      </w:r>
    </w:p>
    <w:p w14:paraId="5AB71550">
      <w:pPr>
        <w:pStyle w:val="2"/>
        <w:spacing w:before="93"/>
      </w:pPr>
      <w:r>
        <w:rPr>
          <w:rFonts w:hint="eastAsia"/>
        </w:rPr>
        <w:drawing>
          <wp:inline distT="0" distB="0" distL="0" distR="0">
            <wp:extent cx="3659505" cy="2224405"/>
            <wp:effectExtent l="19050" t="0" r="16585" b="3922"/>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05AE91">
      <w:pPr>
        <w:pStyle w:val="2"/>
        <w:spacing w:before="93"/>
      </w:pPr>
    </w:p>
    <w:p w14:paraId="020C6430">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60" w:name="_Toc15377211"/>
      <w:bookmarkStart w:id="61" w:name="_Toc117519060"/>
      <w:r>
        <w:rPr>
          <w:rFonts w:hint="eastAsia" w:ascii="楷体_GB2312" w:hAnsi="宋体" w:eastAsia="楷体_GB2312" w:cs="Times New Roman"/>
          <w:b w:val="0"/>
          <w:bCs/>
          <w:kern w:val="2"/>
          <w:sz w:val="32"/>
          <w:szCs w:val="32"/>
          <w:lang w:val="zh-CN" w:eastAsia="zh-CN" w:bidi="ar-SA"/>
        </w:rPr>
        <w:t>（二）一般公共预算财政拨款支出决算结构情况</w:t>
      </w:r>
      <w:bookmarkEnd w:id="60"/>
      <w:bookmarkEnd w:id="61"/>
    </w:p>
    <w:p w14:paraId="68ED5B4F">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 w:hAnsi="仿宋" w:eastAsia="仿宋"/>
          <w:sz w:val="32"/>
          <w:szCs w:val="32"/>
        </w:rPr>
      </w:pPr>
      <w:r>
        <w:rPr>
          <w:rFonts w:hint="default" w:ascii="Times New Roman" w:hAnsi="Times New Roman" w:eastAsia="仿宋" w:cs="Times New Roman"/>
          <w:sz w:val="32"/>
          <w:szCs w:val="32"/>
        </w:rPr>
        <w:t>20</w:t>
      </w:r>
      <w:r>
        <w:rPr>
          <w:rFonts w:hint="eastAsia" w:ascii="Times New Roman" w:hAnsi="Times New Roman" w:eastAsia="仿宋" w:cs="Times New Roman"/>
          <w:sz w:val="32"/>
          <w:szCs w:val="32"/>
        </w:rPr>
        <w:t>21</w:t>
      </w:r>
      <w:r>
        <w:rPr>
          <w:rFonts w:hint="eastAsia" w:ascii="仿宋" w:hAnsi="仿宋" w:eastAsia="仿宋"/>
          <w:sz w:val="32"/>
          <w:szCs w:val="32"/>
        </w:rPr>
        <w:t>年一般公共预算财政拨款支出</w:t>
      </w:r>
      <w:r>
        <w:rPr>
          <w:rFonts w:hint="default" w:ascii="Times New Roman" w:hAnsi="Times New Roman" w:eastAsia="仿宋" w:cs="Times New Roman"/>
          <w:sz w:val="32"/>
          <w:szCs w:val="32"/>
        </w:rPr>
        <w:t>586.02</w:t>
      </w:r>
      <w:r>
        <w:rPr>
          <w:rFonts w:hint="eastAsia" w:ascii="仿宋" w:hAnsi="仿宋" w:eastAsia="仿宋"/>
          <w:sz w:val="32"/>
          <w:szCs w:val="32"/>
        </w:rPr>
        <w:t>万元，主要用于以下方面</w:t>
      </w:r>
      <w:r>
        <w:rPr>
          <w:rFonts w:hint="eastAsia" w:ascii="仿宋" w:hAnsi="仿宋" w:eastAsia="仿宋"/>
          <w:sz w:val="32"/>
          <w:szCs w:val="32"/>
          <w:lang w:eastAsia="zh-CN"/>
        </w:rPr>
        <w:t>：</w:t>
      </w:r>
      <w:r>
        <w:rPr>
          <w:rFonts w:hint="eastAsia" w:ascii="仿宋" w:hAnsi="仿宋" w:eastAsia="仿宋"/>
          <w:sz w:val="32"/>
          <w:szCs w:val="32"/>
        </w:rPr>
        <w:t>一般公共服务（类）支出</w:t>
      </w:r>
      <w:r>
        <w:rPr>
          <w:rFonts w:hint="eastAsia" w:ascii="Times New Roman" w:hAnsi="Times New Roman" w:eastAsia="仿宋" w:cs="Times New Roman"/>
          <w:sz w:val="32"/>
          <w:szCs w:val="32"/>
        </w:rPr>
        <w:t>475.40</w:t>
      </w:r>
      <w:r>
        <w:rPr>
          <w:rFonts w:hint="eastAsia" w:ascii="仿宋" w:hAnsi="仿宋" w:eastAsia="仿宋"/>
          <w:sz w:val="32"/>
          <w:szCs w:val="32"/>
        </w:rPr>
        <w:t>万元，占</w:t>
      </w:r>
      <w:r>
        <w:rPr>
          <w:rFonts w:hint="eastAsia" w:ascii="Times New Roman" w:hAnsi="Times New Roman" w:eastAsia="仿宋" w:cs="Times New Roman"/>
          <w:sz w:val="32"/>
          <w:szCs w:val="32"/>
        </w:rPr>
        <w:t>81.12</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Cs/>
          <w:sz w:val="32"/>
          <w:szCs w:val="32"/>
        </w:rPr>
        <w:t>文化旅游体育与传媒（类）支出</w:t>
      </w:r>
      <w:r>
        <w:rPr>
          <w:rFonts w:hint="eastAsia" w:ascii="Times New Roman" w:hAnsi="Times New Roman" w:eastAsia="仿宋" w:cs="Times New Roman"/>
          <w:sz w:val="32"/>
          <w:szCs w:val="32"/>
        </w:rPr>
        <w:t>43.53</w:t>
      </w:r>
      <w:r>
        <w:rPr>
          <w:rFonts w:hint="eastAsia" w:ascii="仿宋" w:hAnsi="仿宋" w:eastAsia="仿宋"/>
          <w:bCs/>
          <w:sz w:val="32"/>
          <w:szCs w:val="32"/>
        </w:rPr>
        <w:t>万元，占</w:t>
      </w:r>
      <w:r>
        <w:rPr>
          <w:rFonts w:hint="eastAsia" w:ascii="Times New Roman" w:hAnsi="Times New Roman" w:eastAsia="仿宋" w:cs="Times New Roman"/>
          <w:sz w:val="32"/>
          <w:szCs w:val="32"/>
        </w:rPr>
        <w:t>7.43</w:t>
      </w:r>
      <w:r>
        <w:rPr>
          <w:rFonts w:ascii="仿宋" w:hAnsi="仿宋" w:eastAsia="仿宋"/>
          <w:bCs/>
          <w:sz w:val="32"/>
          <w:szCs w:val="32"/>
        </w:rPr>
        <w:t>%</w:t>
      </w:r>
      <w:r>
        <w:rPr>
          <w:rFonts w:hint="eastAsia" w:ascii="仿宋" w:hAnsi="仿宋" w:eastAsia="仿宋"/>
          <w:sz w:val="32"/>
          <w:szCs w:val="32"/>
          <w:lang w:eastAsia="zh-CN"/>
        </w:rPr>
        <w:t>；</w:t>
      </w:r>
      <w:r>
        <w:rPr>
          <w:rFonts w:hint="eastAsia" w:ascii="仿宋" w:hAnsi="仿宋" w:eastAsia="仿宋"/>
          <w:sz w:val="32"/>
          <w:szCs w:val="32"/>
        </w:rPr>
        <w:t>社会保障和就业（类）支出</w:t>
      </w:r>
      <w:r>
        <w:rPr>
          <w:rFonts w:hint="eastAsia" w:ascii="Times New Roman" w:hAnsi="Times New Roman" w:eastAsia="仿宋" w:cs="Times New Roman"/>
          <w:sz w:val="32"/>
          <w:szCs w:val="32"/>
        </w:rPr>
        <w:t>22.37</w:t>
      </w:r>
      <w:r>
        <w:rPr>
          <w:rFonts w:hint="eastAsia" w:ascii="仿宋" w:hAnsi="仿宋" w:eastAsia="仿宋"/>
          <w:sz w:val="32"/>
          <w:szCs w:val="32"/>
        </w:rPr>
        <w:t>万元，占</w:t>
      </w:r>
      <w:r>
        <w:rPr>
          <w:rFonts w:hint="eastAsia" w:ascii="Times New Roman" w:hAnsi="Times New Roman" w:eastAsia="仿宋" w:cs="Times New Roman"/>
          <w:sz w:val="32"/>
          <w:szCs w:val="32"/>
        </w:rPr>
        <w:t>3.82</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Cs/>
          <w:sz w:val="32"/>
          <w:szCs w:val="32"/>
        </w:rPr>
        <w:t>卫生健康支出</w:t>
      </w:r>
      <w:r>
        <w:rPr>
          <w:rFonts w:hint="eastAsia" w:ascii="Times New Roman" w:hAnsi="Times New Roman" w:eastAsia="仿宋" w:cs="Times New Roman"/>
          <w:sz w:val="32"/>
          <w:szCs w:val="32"/>
        </w:rPr>
        <w:t>19.35</w:t>
      </w:r>
      <w:r>
        <w:rPr>
          <w:rFonts w:hint="eastAsia" w:ascii="仿宋" w:hAnsi="仿宋" w:eastAsia="仿宋"/>
          <w:sz w:val="32"/>
          <w:szCs w:val="32"/>
        </w:rPr>
        <w:t>万元，占</w:t>
      </w:r>
      <w:r>
        <w:rPr>
          <w:rFonts w:hint="eastAsia" w:ascii="Times New Roman" w:hAnsi="Times New Roman" w:eastAsia="仿宋" w:cs="Times New Roman"/>
          <w:sz w:val="32"/>
          <w:szCs w:val="32"/>
        </w:rPr>
        <w:t>3.30</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住房保障支出</w:t>
      </w:r>
      <w:r>
        <w:rPr>
          <w:rFonts w:hint="eastAsia" w:ascii="Times New Roman" w:hAnsi="Times New Roman" w:eastAsia="仿宋" w:cs="Times New Roman"/>
          <w:sz w:val="32"/>
          <w:szCs w:val="32"/>
        </w:rPr>
        <w:t>25.38</w:t>
      </w:r>
      <w:r>
        <w:rPr>
          <w:rFonts w:hint="eastAsia" w:ascii="仿宋" w:hAnsi="仿宋" w:eastAsia="仿宋"/>
          <w:sz w:val="32"/>
          <w:szCs w:val="32"/>
        </w:rPr>
        <w:t>万元，占</w:t>
      </w:r>
      <w:r>
        <w:rPr>
          <w:rFonts w:hint="eastAsia" w:ascii="Times New Roman" w:hAnsi="Times New Roman" w:eastAsia="仿宋" w:cs="Times New Roman"/>
          <w:sz w:val="32"/>
          <w:szCs w:val="32"/>
        </w:rPr>
        <w:t>4.33</w:t>
      </w:r>
      <w:r>
        <w:rPr>
          <w:rFonts w:ascii="仿宋" w:hAnsi="仿宋" w:eastAsia="仿宋"/>
          <w:sz w:val="32"/>
          <w:szCs w:val="32"/>
        </w:rPr>
        <w:t>%</w:t>
      </w:r>
      <w:r>
        <w:rPr>
          <w:rFonts w:hint="eastAsia" w:ascii="仿宋" w:hAnsi="仿宋" w:eastAsia="仿宋"/>
          <w:sz w:val="32"/>
          <w:szCs w:val="32"/>
        </w:rPr>
        <w:t>。</w:t>
      </w:r>
    </w:p>
    <w:p w14:paraId="00A7F4C5">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w:t>
      </w:r>
    </w:p>
    <w:p w14:paraId="49AA9998">
      <w:pPr>
        <w:pStyle w:val="2"/>
        <w:spacing w:before="93"/>
      </w:pPr>
      <w:r>
        <w:rPr>
          <w:rFonts w:hint="eastAsia"/>
        </w:rPr>
        <w:drawing>
          <wp:inline distT="0" distB="0" distL="0" distR="0">
            <wp:extent cx="5305425" cy="3571240"/>
            <wp:effectExtent l="19050" t="0" r="28015"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5A15E5">
      <w:pPr>
        <w:pStyle w:val="2"/>
        <w:spacing w:before="93"/>
      </w:pPr>
    </w:p>
    <w:p w14:paraId="5849F0F3">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62" w:name="_Toc15377212"/>
      <w:bookmarkStart w:id="63" w:name="_Toc117519061"/>
      <w:r>
        <w:rPr>
          <w:rFonts w:hint="default" w:ascii="楷体_GB2312" w:hAnsi="宋体" w:eastAsia="楷体_GB2312" w:cs="Times New Roman"/>
          <w:b w:val="0"/>
          <w:bCs/>
          <w:kern w:val="2"/>
          <w:sz w:val="32"/>
          <w:szCs w:val="32"/>
          <w:lang w:val="zh-CN" w:eastAsia="zh-CN" w:bidi="ar-SA"/>
        </w:rPr>
        <w:t>（三）一般公共预算财政拨款支出决算具体情况</w:t>
      </w:r>
      <w:bookmarkEnd w:id="62"/>
      <w:bookmarkEnd w:id="63"/>
    </w:p>
    <w:p w14:paraId="3E69D33B">
      <w:pPr>
        <w:keepNext w:val="0"/>
        <w:keepLines w:val="0"/>
        <w:pageBreakBefore w:val="0"/>
        <w:widowControl w:val="0"/>
        <w:kinsoku/>
        <w:wordWrap/>
        <w:overflowPunct/>
        <w:topLinePunct w:val="0"/>
        <w:bidi w:val="0"/>
        <w:snapToGrid/>
        <w:spacing w:line="600" w:lineRule="exact"/>
        <w:ind w:firstLine="640" w:firstLineChars="200"/>
        <w:jc w:val="both"/>
        <w:textAlignment w:val="auto"/>
        <w:outlineLvl w:val="2"/>
        <w:rPr>
          <w:rFonts w:hint="default" w:ascii="Times New Roman" w:hAnsi="Times New Roman" w:eastAsia="仿宋" w:cs="Times New Roman"/>
          <w:b w:val="0"/>
          <w:bCs/>
          <w:sz w:val="32"/>
          <w:szCs w:val="32"/>
        </w:rPr>
      </w:pPr>
      <w:bookmarkStart w:id="64" w:name="_Toc117519062"/>
      <w:bookmarkStart w:id="65" w:name="_Toc15377444"/>
      <w:bookmarkStart w:id="66" w:name="_Toc15377213"/>
      <w:bookmarkStart w:id="67" w:name="_Toc15378460"/>
      <w:r>
        <w:rPr>
          <w:rFonts w:hint="default" w:ascii="Times New Roman" w:hAnsi="Times New Roman" w:eastAsia="仿宋" w:cs="Times New Roman"/>
          <w:b w:val="0"/>
          <w:bCs/>
          <w:sz w:val="32"/>
          <w:szCs w:val="32"/>
        </w:rPr>
        <w:t>2021年一般公共预算支出决算数为586.02万元，</w:t>
      </w:r>
      <w:r>
        <w:rPr>
          <w:rStyle w:val="14"/>
          <w:rFonts w:hint="default" w:ascii="Times New Roman" w:hAnsi="Times New Roman" w:eastAsia="仿宋" w:cs="Times New Roman"/>
          <w:b w:val="0"/>
          <w:bCs/>
          <w:sz w:val="32"/>
          <w:szCs w:val="32"/>
        </w:rPr>
        <w:t>完成预算99.99%。其中：</w:t>
      </w:r>
      <w:bookmarkEnd w:id="64"/>
      <w:bookmarkEnd w:id="65"/>
      <w:bookmarkEnd w:id="66"/>
      <w:bookmarkEnd w:id="67"/>
    </w:p>
    <w:p w14:paraId="5646EE85">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Style w:val="14"/>
          <w:rFonts w:hint="default" w:ascii="Times New Roman" w:hAnsi="Times New Roman" w:eastAsia="仿宋" w:cs="Times New Roman"/>
          <w:b w:val="0"/>
          <w:bCs/>
          <w:sz w:val="32"/>
          <w:szCs w:val="32"/>
        </w:rPr>
        <w:t>1.一般公共服务（类）宣传事务（款）行政运行（项）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 xml:space="preserve"> 支出决算为125.94万元，完成预算99.98%，决算数小于预算数的主要原因是</w:t>
      </w:r>
      <w:r>
        <w:rPr>
          <w:rFonts w:hint="default" w:ascii="Times New Roman" w:hAnsi="Times New Roman" w:eastAsia="仿宋" w:cs="Times New Roman"/>
          <w:bCs/>
          <w:sz w:val="32"/>
          <w:szCs w:val="32"/>
        </w:rPr>
        <w:t>12月计算了个人所得税扣款并在发放工资时扣除，后单位职工修改了专项附加扣除，交税时个税金额比发放工资时少</w:t>
      </w:r>
      <w:r>
        <w:rPr>
          <w:rFonts w:hint="eastAsia" w:eastAsia="仿宋" w:cs="Times New Roman"/>
          <w:bCs/>
          <w:sz w:val="32"/>
          <w:szCs w:val="32"/>
          <w:lang w:val="en-US" w:eastAsia="zh-CN"/>
        </w:rPr>
        <w:t>0.04万</w:t>
      </w:r>
      <w:r>
        <w:rPr>
          <w:rFonts w:hint="default" w:ascii="Times New Roman" w:hAnsi="Times New Roman" w:eastAsia="仿宋" w:cs="Times New Roman"/>
          <w:bCs/>
          <w:sz w:val="32"/>
          <w:szCs w:val="32"/>
        </w:rPr>
        <w:t>元，故有</w:t>
      </w:r>
      <w:r>
        <w:rPr>
          <w:rFonts w:hint="eastAsia" w:eastAsia="仿宋" w:cs="Times New Roman"/>
          <w:bCs/>
          <w:sz w:val="32"/>
          <w:szCs w:val="32"/>
          <w:lang w:val="en-US" w:eastAsia="zh-CN"/>
        </w:rPr>
        <w:t>0.04万</w:t>
      </w:r>
      <w:r>
        <w:rPr>
          <w:rFonts w:hint="default" w:ascii="Times New Roman" w:hAnsi="Times New Roman" w:eastAsia="仿宋" w:cs="Times New Roman"/>
          <w:bCs/>
          <w:sz w:val="32"/>
          <w:szCs w:val="32"/>
        </w:rPr>
        <w:t>元结转在下年发放</w:t>
      </w:r>
      <w:r>
        <w:rPr>
          <w:rFonts w:hint="eastAsia" w:eastAsia="仿宋" w:cs="Times New Roman"/>
          <w:bCs/>
          <w:sz w:val="32"/>
          <w:szCs w:val="32"/>
          <w:lang w:eastAsia="zh-CN"/>
        </w:rPr>
        <w:t>；</w:t>
      </w:r>
      <w:r>
        <w:rPr>
          <w:rStyle w:val="14"/>
          <w:rFonts w:hint="default" w:ascii="Times New Roman" w:hAnsi="Times New Roman" w:eastAsia="仿宋" w:cs="Times New Roman"/>
          <w:b w:val="0"/>
          <w:bCs/>
          <w:sz w:val="32"/>
          <w:szCs w:val="32"/>
        </w:rPr>
        <w:t>一般公共服务（类）宣传事务（款）一般行政管理事务（项）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支出决算为284.39万元，完成预算100%</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一般公共服务（类）宣传事务（款）事业运行（项）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 xml:space="preserve"> 支出决算为65.07万元，完成预算100%。</w:t>
      </w:r>
    </w:p>
    <w:p w14:paraId="386C7AE9">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Style w:val="14"/>
          <w:rFonts w:hint="default" w:ascii="Times New Roman" w:hAnsi="Times New Roman" w:eastAsia="仿宋" w:cs="Times New Roman"/>
          <w:b w:val="0"/>
          <w:bCs/>
          <w:sz w:val="32"/>
          <w:szCs w:val="32"/>
        </w:rPr>
        <w:t>2.文化旅游体育与传媒（类）文化和旅游（款）文化活动（项）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支出决算为25.18万元，完成预算100%</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文化旅游体育与传媒（类）文化和旅游（款）文化活动（项）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 xml:space="preserve"> 支出决算为4.38万元，完成预算100%</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文化旅游体育与传媒（类）新闻出版电影（款）电影（项）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 xml:space="preserve"> 支出决算为10.97万元，完成预算100%</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文化旅游体育与传媒（类）其他文化旅游体育与传媒支出（款）文化产业发展专项支出（项）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 xml:space="preserve"> 支出决算为3万元，此项为年初结转结余。</w:t>
      </w:r>
    </w:p>
    <w:p w14:paraId="2ECC1A33">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Style w:val="14"/>
          <w:rFonts w:hint="default" w:ascii="Times New Roman" w:hAnsi="Times New Roman" w:eastAsia="仿宋" w:cs="Times New Roman"/>
          <w:b w:val="0"/>
          <w:bCs/>
          <w:sz w:val="32"/>
          <w:szCs w:val="32"/>
        </w:rPr>
        <w:t>3.社会保障和就业（类）行政事业单位养老支出（款）行政单位离退休（项）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支出决算为6.14万元，完成预算100%</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社会保障和就业（类）行政事业单位养老支出（款）机关事业单位基本养老保险缴费支出（项）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支出决算为16.23万元，完成预算100%。</w:t>
      </w:r>
    </w:p>
    <w:p w14:paraId="140C860E">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Style w:val="14"/>
          <w:rFonts w:hint="default" w:ascii="Times New Roman" w:hAnsi="Times New Roman" w:eastAsia="仿宋" w:cs="Times New Roman"/>
          <w:b w:val="0"/>
          <w:bCs/>
          <w:sz w:val="32"/>
          <w:szCs w:val="32"/>
        </w:rPr>
        <w:t>4.</w:t>
      </w:r>
      <w:r>
        <w:rPr>
          <w:rFonts w:hint="default" w:ascii="Times New Roman" w:hAnsi="Times New Roman" w:eastAsia="仿宋" w:cs="Times New Roman"/>
          <w:bCs/>
          <w:sz w:val="32"/>
          <w:szCs w:val="32"/>
        </w:rPr>
        <w:t>卫生健康</w:t>
      </w:r>
      <w:r>
        <w:rPr>
          <w:rStyle w:val="14"/>
          <w:rFonts w:hint="default" w:ascii="Times New Roman" w:hAnsi="Times New Roman" w:eastAsia="仿宋" w:cs="Times New Roman"/>
          <w:b w:val="0"/>
          <w:bCs/>
          <w:sz w:val="32"/>
          <w:szCs w:val="32"/>
        </w:rPr>
        <w:t>（类）行政事业单位医疗（款）行政单位医疗（项）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支出决算为9.53万元，完成预算100%</w:t>
      </w:r>
      <w:r>
        <w:rPr>
          <w:rStyle w:val="14"/>
          <w:rFonts w:hint="eastAsia" w:eastAsia="仿宋" w:cs="Times New Roman"/>
          <w:b w:val="0"/>
          <w:bCs/>
          <w:sz w:val="32"/>
          <w:szCs w:val="32"/>
          <w:lang w:eastAsia="zh-CN"/>
        </w:rPr>
        <w:t>；</w:t>
      </w:r>
      <w:r>
        <w:rPr>
          <w:rFonts w:hint="default" w:ascii="Times New Roman" w:hAnsi="Times New Roman" w:eastAsia="仿宋" w:cs="Times New Roman"/>
          <w:bCs/>
          <w:sz w:val="32"/>
          <w:szCs w:val="32"/>
        </w:rPr>
        <w:t>卫生健康</w:t>
      </w:r>
      <w:r>
        <w:rPr>
          <w:rStyle w:val="14"/>
          <w:rFonts w:hint="default" w:ascii="Times New Roman" w:hAnsi="Times New Roman" w:eastAsia="仿宋" w:cs="Times New Roman"/>
          <w:b w:val="0"/>
          <w:bCs/>
          <w:sz w:val="32"/>
          <w:szCs w:val="32"/>
        </w:rPr>
        <w:t>（类）行政事业单位医疗（款）事业单位医疗（项）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支出决算为4.08万元，完成预算100%</w:t>
      </w:r>
      <w:r>
        <w:rPr>
          <w:rStyle w:val="14"/>
          <w:rFonts w:hint="eastAsia" w:eastAsia="仿宋" w:cs="Times New Roman"/>
          <w:b w:val="0"/>
          <w:bCs/>
          <w:sz w:val="32"/>
          <w:szCs w:val="32"/>
          <w:lang w:eastAsia="zh-CN"/>
        </w:rPr>
        <w:t>；</w:t>
      </w:r>
      <w:r>
        <w:rPr>
          <w:rFonts w:hint="default" w:ascii="Times New Roman" w:hAnsi="Times New Roman" w:eastAsia="仿宋" w:cs="Times New Roman"/>
          <w:bCs/>
          <w:sz w:val="32"/>
          <w:szCs w:val="32"/>
        </w:rPr>
        <w:t>卫生健康</w:t>
      </w:r>
      <w:r>
        <w:rPr>
          <w:rStyle w:val="14"/>
          <w:rFonts w:hint="default" w:ascii="Times New Roman" w:hAnsi="Times New Roman" w:eastAsia="仿宋" w:cs="Times New Roman"/>
          <w:b w:val="0"/>
          <w:bCs/>
          <w:sz w:val="32"/>
          <w:szCs w:val="32"/>
        </w:rPr>
        <w:t>（类）行政事业单位医疗（款）公务员医疗补助（项）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支出决算为1.04万元，完成预算100%</w:t>
      </w:r>
      <w:r>
        <w:rPr>
          <w:rStyle w:val="14"/>
          <w:rFonts w:hint="eastAsia" w:eastAsia="仿宋" w:cs="Times New Roman"/>
          <w:b w:val="0"/>
          <w:bCs/>
          <w:sz w:val="32"/>
          <w:szCs w:val="32"/>
          <w:lang w:eastAsia="zh-CN"/>
        </w:rPr>
        <w:t>；</w:t>
      </w:r>
      <w:r>
        <w:rPr>
          <w:rFonts w:hint="default" w:ascii="Times New Roman" w:hAnsi="Times New Roman" w:eastAsia="仿宋" w:cs="Times New Roman"/>
          <w:bCs/>
          <w:sz w:val="32"/>
          <w:szCs w:val="32"/>
        </w:rPr>
        <w:t>卫生健康</w:t>
      </w:r>
      <w:r>
        <w:rPr>
          <w:rStyle w:val="14"/>
          <w:rFonts w:hint="default" w:ascii="Times New Roman" w:hAnsi="Times New Roman" w:eastAsia="仿宋" w:cs="Times New Roman"/>
          <w:b w:val="0"/>
          <w:bCs/>
          <w:sz w:val="32"/>
          <w:szCs w:val="32"/>
        </w:rPr>
        <w:t>（类）其他卫生健康（款）其他卫生健康支出（项）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支出决算为4.7万元，完成预算100%。</w:t>
      </w:r>
    </w:p>
    <w:p w14:paraId="3076783F">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default" w:ascii="Times New Roman" w:hAnsi="Times New Roman" w:eastAsia="仿宋" w:cs="Times New Roman"/>
          <w:bCs/>
          <w:sz w:val="32"/>
          <w:szCs w:val="32"/>
        </w:rPr>
        <w:t>住房保障</w:t>
      </w:r>
      <w:r>
        <w:rPr>
          <w:rStyle w:val="14"/>
          <w:rFonts w:hint="default" w:ascii="Times New Roman" w:hAnsi="Times New Roman" w:eastAsia="仿宋" w:cs="Times New Roman"/>
          <w:b w:val="0"/>
          <w:bCs/>
          <w:sz w:val="32"/>
          <w:szCs w:val="32"/>
        </w:rPr>
        <w:t>（类）住房改革支出（款）住房公积金（项）</w:t>
      </w:r>
      <w:r>
        <w:rPr>
          <w:rStyle w:val="14"/>
          <w:rFonts w:hint="eastAsia" w:eastAsia="仿宋" w:cs="Times New Roman"/>
          <w:b w:val="0"/>
          <w:bCs/>
          <w:sz w:val="32"/>
          <w:szCs w:val="32"/>
          <w:lang w:eastAsia="zh-CN"/>
        </w:rPr>
        <w:t>：</w:t>
      </w:r>
      <w:r>
        <w:rPr>
          <w:rStyle w:val="14"/>
          <w:rFonts w:hint="default" w:ascii="Times New Roman" w:hAnsi="Times New Roman" w:eastAsia="仿宋" w:cs="Times New Roman"/>
          <w:b w:val="0"/>
          <w:bCs/>
          <w:sz w:val="32"/>
          <w:szCs w:val="32"/>
        </w:rPr>
        <w:t>支出决算为25.38万元，完成预算100%。</w:t>
      </w:r>
    </w:p>
    <w:p w14:paraId="38432896">
      <w:pPr>
        <w:keepNext w:val="0"/>
        <w:keepLines w:val="0"/>
        <w:pageBreakBefore w:val="0"/>
        <w:widowControl w:val="0"/>
        <w:tabs>
          <w:tab w:val="right" w:pos="8306"/>
        </w:tabs>
        <w:kinsoku/>
        <w:wordWrap/>
        <w:overflowPunct/>
        <w:topLinePunct w:val="0"/>
        <w:bidi w:val="0"/>
        <w:snapToGrid/>
        <w:spacing w:line="600" w:lineRule="exact"/>
        <w:ind w:firstLine="640" w:firstLineChars="200"/>
        <w:jc w:val="both"/>
        <w:textAlignment w:val="auto"/>
        <w:outlineLvl w:val="1"/>
        <w:rPr>
          <w:rStyle w:val="25"/>
          <w:rFonts w:hint="default" w:ascii="Times New Roman" w:hAnsi="Times New Roman" w:cs="Times New Roman"/>
        </w:rPr>
      </w:pPr>
      <w:bookmarkStart w:id="68" w:name="_Toc15377214"/>
      <w:bookmarkStart w:id="69" w:name="_Toc117519063"/>
      <w:bookmarkStart w:id="70" w:name="_Toc15396608"/>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25"/>
          <w:rFonts w:hint="default" w:ascii="Times New Roman" w:hAnsi="Times New Roman" w:eastAsia="黑体" w:cs="Times New Roman"/>
          <w:b w:val="0"/>
        </w:rPr>
        <w:t>般公共预算财政拨款基本支出决算情况说明</w:t>
      </w:r>
      <w:bookmarkEnd w:id="68"/>
      <w:bookmarkEnd w:id="69"/>
      <w:bookmarkEnd w:id="70"/>
    </w:p>
    <w:p w14:paraId="498C4BFF">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2021年一般公共预算财政拨款基本支出253.41万元，其中：</w:t>
      </w:r>
    </w:p>
    <w:p w14:paraId="0F5A4D98">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人员经费236.42万元，主要包括：基本工资、津贴补贴、奖金、绩效工资、机关事业单位基本养老保险缴费、职业年金缴费、其他社会保障缴费、生活补助、住房公积金等。</w:t>
      </w:r>
    </w:p>
    <w:p w14:paraId="79932D7C">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公用经费16.99万元，主要包括：办公费、手续费、邮电费、差旅费、维修（护）费、培训费、公务接待费、其他交通费、其他商品和服务支出等。</w:t>
      </w:r>
    </w:p>
    <w:p w14:paraId="431160DE">
      <w:pPr>
        <w:keepNext w:val="0"/>
        <w:keepLines w:val="0"/>
        <w:pageBreakBefore w:val="0"/>
        <w:widowControl w:val="0"/>
        <w:kinsoku/>
        <w:wordWrap/>
        <w:overflowPunct/>
        <w:topLinePunct w:val="0"/>
        <w:bidi w:val="0"/>
        <w:snapToGrid/>
        <w:spacing w:line="600" w:lineRule="exact"/>
        <w:ind w:firstLine="640" w:firstLineChars="200"/>
        <w:jc w:val="both"/>
        <w:textAlignment w:val="auto"/>
        <w:outlineLvl w:val="1"/>
        <w:rPr>
          <w:rStyle w:val="25"/>
          <w:rFonts w:hint="default" w:ascii="Times New Roman" w:hAnsi="Times New Roman" w:eastAsia="黑体" w:cs="Times New Roman"/>
          <w:b w:val="0"/>
        </w:rPr>
      </w:pPr>
      <w:bookmarkStart w:id="71" w:name="_Toc117519064"/>
      <w:bookmarkStart w:id="72" w:name="_Toc15377215"/>
      <w:bookmarkStart w:id="73" w:name="_Toc15396609"/>
      <w:r>
        <w:rPr>
          <w:rFonts w:hint="default" w:ascii="Times New Roman" w:hAnsi="Times New Roman" w:eastAsia="黑体" w:cs="Times New Roman"/>
          <w:sz w:val="32"/>
          <w:szCs w:val="32"/>
        </w:rPr>
        <w:t>七、</w:t>
      </w:r>
      <w:r>
        <w:rPr>
          <w:rStyle w:val="25"/>
          <w:rFonts w:hint="eastAsia" w:eastAsia="黑体" w:cs="Times New Roman"/>
          <w:lang w:eastAsia="zh-CN"/>
        </w:rPr>
        <w:t>“</w:t>
      </w:r>
      <w:r>
        <w:rPr>
          <w:rStyle w:val="25"/>
          <w:rFonts w:hint="default" w:ascii="Times New Roman" w:hAnsi="Times New Roman" w:eastAsia="黑体" w:cs="Times New Roman"/>
          <w:b w:val="0"/>
        </w:rPr>
        <w:t>三公</w:t>
      </w:r>
      <w:r>
        <w:rPr>
          <w:rStyle w:val="25"/>
          <w:rFonts w:hint="eastAsia" w:eastAsia="黑体" w:cs="Times New Roman"/>
          <w:b w:val="0"/>
          <w:lang w:eastAsia="zh-CN"/>
        </w:rPr>
        <w:t>”</w:t>
      </w:r>
      <w:r>
        <w:rPr>
          <w:rStyle w:val="25"/>
          <w:rFonts w:hint="default" w:ascii="Times New Roman" w:hAnsi="Times New Roman" w:eastAsia="黑体" w:cs="Times New Roman"/>
          <w:b w:val="0"/>
        </w:rPr>
        <w:t>经费财政拨款支出决算情况说明</w:t>
      </w:r>
      <w:bookmarkEnd w:id="71"/>
      <w:bookmarkEnd w:id="72"/>
      <w:bookmarkEnd w:id="73"/>
    </w:p>
    <w:p w14:paraId="72AEF3B6">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74" w:name="_Toc15377216"/>
      <w:bookmarkStart w:id="75" w:name="_Toc117519065"/>
      <w:r>
        <w:rPr>
          <w:rFonts w:hint="default" w:ascii="楷体_GB2312" w:hAnsi="宋体" w:eastAsia="楷体_GB2312" w:cs="Times New Roman"/>
          <w:b w:val="0"/>
          <w:bCs/>
          <w:kern w:val="2"/>
          <w:sz w:val="32"/>
          <w:szCs w:val="32"/>
          <w:lang w:val="zh-CN" w:eastAsia="zh-CN" w:bidi="ar-SA"/>
        </w:rPr>
        <w:t>（一）</w:t>
      </w:r>
      <w:r>
        <w:rPr>
          <w:rFonts w:hint="eastAsia" w:ascii="楷体_GB2312" w:hAnsi="宋体" w:eastAsia="楷体_GB2312" w:cs="Times New Roman"/>
          <w:b w:val="0"/>
          <w:bCs/>
          <w:kern w:val="2"/>
          <w:sz w:val="32"/>
          <w:szCs w:val="32"/>
          <w:lang w:val="zh-CN" w:eastAsia="zh-CN" w:bidi="ar-SA"/>
        </w:rPr>
        <w:t>“</w:t>
      </w:r>
      <w:r>
        <w:rPr>
          <w:rFonts w:hint="default" w:ascii="楷体_GB2312" w:hAnsi="宋体" w:eastAsia="楷体_GB2312" w:cs="Times New Roman"/>
          <w:b w:val="0"/>
          <w:bCs/>
          <w:kern w:val="2"/>
          <w:sz w:val="32"/>
          <w:szCs w:val="32"/>
          <w:lang w:val="zh-CN" w:eastAsia="zh-CN" w:bidi="ar-SA"/>
        </w:rPr>
        <w:t>三公</w:t>
      </w:r>
      <w:r>
        <w:rPr>
          <w:rFonts w:hint="eastAsia" w:ascii="楷体_GB2312" w:hAnsi="宋体" w:eastAsia="楷体_GB2312" w:cs="Times New Roman"/>
          <w:b w:val="0"/>
          <w:bCs/>
          <w:kern w:val="2"/>
          <w:sz w:val="32"/>
          <w:szCs w:val="32"/>
          <w:lang w:val="zh-CN" w:eastAsia="zh-CN" w:bidi="ar-SA"/>
        </w:rPr>
        <w:t>”</w:t>
      </w:r>
      <w:r>
        <w:rPr>
          <w:rFonts w:hint="default" w:ascii="楷体_GB2312" w:hAnsi="宋体" w:eastAsia="楷体_GB2312" w:cs="Times New Roman"/>
          <w:b w:val="0"/>
          <w:bCs/>
          <w:kern w:val="2"/>
          <w:sz w:val="32"/>
          <w:szCs w:val="32"/>
          <w:lang w:val="zh-CN" w:eastAsia="zh-CN" w:bidi="ar-SA"/>
        </w:rPr>
        <w:t>经费财政拨款支出决算总体情况说明</w:t>
      </w:r>
      <w:bookmarkEnd w:id="74"/>
      <w:bookmarkEnd w:id="75"/>
    </w:p>
    <w:p w14:paraId="0B487638">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w:t>
      </w:r>
      <w:r>
        <w:rPr>
          <w:rFonts w:hint="eastAsia" w:eastAsia="仿宋" w:cs="Times New Roman"/>
          <w:sz w:val="32"/>
          <w:szCs w:val="32"/>
          <w:lang w:eastAsia="zh-CN"/>
        </w:rPr>
        <w:t>“</w:t>
      </w:r>
      <w:r>
        <w:rPr>
          <w:rFonts w:hint="default" w:ascii="Times New Roman" w:hAnsi="Times New Roman" w:eastAsia="仿宋" w:cs="Times New Roman"/>
          <w:sz w:val="32"/>
          <w:szCs w:val="32"/>
        </w:rPr>
        <w:t>三公</w:t>
      </w:r>
      <w:r>
        <w:rPr>
          <w:rFonts w:hint="eastAsia" w:eastAsia="仿宋" w:cs="Times New Roman"/>
          <w:sz w:val="32"/>
          <w:szCs w:val="32"/>
          <w:lang w:eastAsia="zh-CN"/>
        </w:rPr>
        <w:t>”</w:t>
      </w:r>
      <w:r>
        <w:rPr>
          <w:rFonts w:hint="default" w:ascii="Times New Roman" w:hAnsi="Times New Roman" w:eastAsia="仿宋" w:cs="Times New Roman"/>
          <w:sz w:val="32"/>
          <w:szCs w:val="32"/>
        </w:rPr>
        <w:t>经费财政拨款支出决算为0.12万元，完成预算4.6%，决算数小于预算数的主要原因是</w:t>
      </w:r>
      <w:r>
        <w:rPr>
          <w:rFonts w:hint="default" w:ascii="Times New Roman" w:hAnsi="Times New Roman" w:eastAsia="仿宋_GB2312" w:cs="Times New Roman"/>
          <w:sz w:val="32"/>
          <w:szCs w:val="32"/>
        </w:rPr>
        <w:t>资金都还未审核清算支付</w:t>
      </w:r>
      <w:r>
        <w:rPr>
          <w:rFonts w:hint="default" w:ascii="Times New Roman" w:hAnsi="Times New Roman" w:eastAsia="仿宋" w:cs="Times New Roman"/>
          <w:sz w:val="32"/>
          <w:szCs w:val="32"/>
        </w:rPr>
        <w:t>。</w:t>
      </w:r>
    </w:p>
    <w:p w14:paraId="37B44B0A">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76" w:name="_Toc15377217"/>
      <w:bookmarkStart w:id="77" w:name="_Toc117519066"/>
      <w:r>
        <w:rPr>
          <w:rFonts w:hint="default" w:ascii="楷体_GB2312" w:hAnsi="宋体" w:eastAsia="楷体_GB2312" w:cs="Times New Roman"/>
          <w:b w:val="0"/>
          <w:bCs/>
          <w:kern w:val="2"/>
          <w:sz w:val="32"/>
          <w:szCs w:val="32"/>
          <w:lang w:val="zh-CN" w:eastAsia="zh-CN" w:bidi="ar-SA"/>
        </w:rPr>
        <w:t>（二）</w:t>
      </w:r>
      <w:r>
        <w:rPr>
          <w:rFonts w:hint="eastAsia" w:ascii="楷体_GB2312" w:hAnsi="宋体" w:eastAsia="楷体_GB2312" w:cs="Times New Roman"/>
          <w:b w:val="0"/>
          <w:bCs/>
          <w:kern w:val="2"/>
          <w:sz w:val="32"/>
          <w:szCs w:val="32"/>
          <w:lang w:val="zh-CN" w:eastAsia="zh-CN" w:bidi="ar-SA"/>
        </w:rPr>
        <w:t>“</w:t>
      </w:r>
      <w:r>
        <w:rPr>
          <w:rFonts w:hint="default" w:ascii="楷体_GB2312" w:hAnsi="宋体" w:eastAsia="楷体_GB2312" w:cs="Times New Roman"/>
          <w:b w:val="0"/>
          <w:bCs/>
          <w:kern w:val="2"/>
          <w:sz w:val="32"/>
          <w:szCs w:val="32"/>
          <w:lang w:val="zh-CN" w:eastAsia="zh-CN" w:bidi="ar-SA"/>
        </w:rPr>
        <w:t>三公</w:t>
      </w:r>
      <w:r>
        <w:rPr>
          <w:rFonts w:hint="eastAsia" w:ascii="楷体_GB2312" w:hAnsi="宋体" w:eastAsia="楷体_GB2312" w:cs="Times New Roman"/>
          <w:b w:val="0"/>
          <w:bCs/>
          <w:kern w:val="2"/>
          <w:sz w:val="32"/>
          <w:szCs w:val="32"/>
          <w:lang w:val="zh-CN" w:eastAsia="zh-CN" w:bidi="ar-SA"/>
        </w:rPr>
        <w:t>”</w:t>
      </w:r>
      <w:r>
        <w:rPr>
          <w:rFonts w:hint="default" w:ascii="楷体_GB2312" w:hAnsi="宋体" w:eastAsia="楷体_GB2312" w:cs="Times New Roman"/>
          <w:b w:val="0"/>
          <w:bCs/>
          <w:kern w:val="2"/>
          <w:sz w:val="32"/>
          <w:szCs w:val="32"/>
          <w:lang w:val="zh-CN" w:eastAsia="zh-CN" w:bidi="ar-SA"/>
        </w:rPr>
        <w:t>经费财政拨款支出决算具体情况说明</w:t>
      </w:r>
      <w:bookmarkEnd w:id="76"/>
      <w:bookmarkEnd w:id="77"/>
    </w:p>
    <w:p w14:paraId="45B17140">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2021年</w:t>
      </w:r>
      <w:r>
        <w:rPr>
          <w:rFonts w:hint="eastAsia" w:eastAsia="仿宋" w:cs="Times New Roman"/>
          <w:sz w:val="32"/>
          <w:szCs w:val="32"/>
          <w:lang w:eastAsia="zh-CN"/>
        </w:rPr>
        <w:t>“</w:t>
      </w:r>
      <w:r>
        <w:rPr>
          <w:rFonts w:hint="default" w:ascii="Times New Roman" w:hAnsi="Times New Roman" w:eastAsia="仿宋" w:cs="Times New Roman"/>
          <w:sz w:val="32"/>
          <w:szCs w:val="32"/>
        </w:rPr>
        <w:t>三公</w:t>
      </w:r>
      <w:r>
        <w:rPr>
          <w:rFonts w:hint="eastAsia" w:eastAsia="仿宋" w:cs="Times New Roman"/>
          <w:sz w:val="32"/>
          <w:szCs w:val="32"/>
          <w:lang w:eastAsia="zh-CN"/>
        </w:rPr>
        <w:t>”</w:t>
      </w:r>
      <w:r>
        <w:rPr>
          <w:rFonts w:hint="default" w:ascii="Times New Roman" w:hAnsi="Times New Roman" w:eastAsia="仿宋" w:cs="Times New Roman"/>
          <w:sz w:val="32"/>
          <w:szCs w:val="32"/>
        </w:rPr>
        <w:t>经费财政拨款支出决算中，因公出国（境）费支出决算0万元，占0%</w:t>
      </w:r>
      <w:r>
        <w:rPr>
          <w:rFonts w:hint="eastAsia" w:eastAsia="仿宋" w:cs="Times New Roman"/>
          <w:sz w:val="32"/>
          <w:szCs w:val="32"/>
          <w:lang w:eastAsia="zh-CN"/>
        </w:rPr>
        <w:t>；</w:t>
      </w:r>
      <w:r>
        <w:rPr>
          <w:rFonts w:hint="default" w:ascii="Times New Roman" w:hAnsi="Times New Roman" w:eastAsia="仿宋" w:cs="Times New Roman"/>
          <w:sz w:val="32"/>
          <w:szCs w:val="32"/>
        </w:rPr>
        <w:t>公务用车购置及运行维护费支出决算0万元，占0%</w:t>
      </w:r>
      <w:r>
        <w:rPr>
          <w:rFonts w:hint="eastAsia" w:eastAsia="仿宋" w:cs="Times New Roman"/>
          <w:sz w:val="32"/>
          <w:szCs w:val="32"/>
          <w:lang w:eastAsia="zh-CN"/>
        </w:rPr>
        <w:t>；</w:t>
      </w:r>
      <w:r>
        <w:rPr>
          <w:rFonts w:hint="default" w:ascii="Times New Roman" w:hAnsi="Times New Roman" w:eastAsia="仿宋" w:cs="Times New Roman"/>
          <w:sz w:val="32"/>
          <w:szCs w:val="32"/>
        </w:rPr>
        <w:t>公务接待费支出决算0.12万元，占100%。具体情况如下：</w:t>
      </w:r>
    </w:p>
    <w:p w14:paraId="057D0466">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（图7：</w:t>
      </w:r>
      <w:r>
        <w:rPr>
          <w:rFonts w:hint="eastAsia" w:eastAsia="仿宋" w:cs="Times New Roman"/>
          <w:sz w:val="32"/>
          <w:szCs w:val="32"/>
          <w:lang w:eastAsia="zh-CN"/>
        </w:rPr>
        <w:t>“</w:t>
      </w:r>
      <w:r>
        <w:rPr>
          <w:rFonts w:hint="default" w:ascii="Times New Roman" w:hAnsi="Times New Roman" w:eastAsia="仿宋" w:cs="Times New Roman"/>
          <w:sz w:val="32"/>
          <w:szCs w:val="32"/>
        </w:rPr>
        <w:t>三公</w:t>
      </w:r>
      <w:r>
        <w:rPr>
          <w:rFonts w:hint="eastAsia" w:eastAsia="仿宋" w:cs="Times New Roman"/>
          <w:sz w:val="32"/>
          <w:szCs w:val="32"/>
          <w:lang w:eastAsia="zh-CN"/>
        </w:rPr>
        <w:t>”</w:t>
      </w:r>
      <w:r>
        <w:rPr>
          <w:rFonts w:hint="default" w:ascii="Times New Roman" w:hAnsi="Times New Roman" w:eastAsia="仿宋" w:cs="Times New Roman"/>
          <w:sz w:val="32"/>
          <w:szCs w:val="32"/>
        </w:rPr>
        <w:t>经费财政拨款支出结构）</w:t>
      </w:r>
    </w:p>
    <w:p w14:paraId="49BD0465">
      <w:pPr>
        <w:pStyle w:val="2"/>
        <w:spacing w:before="93"/>
      </w:pPr>
    </w:p>
    <w:p w14:paraId="1E2301ED">
      <w:pPr>
        <w:pStyle w:val="2"/>
        <w:spacing w:before="93"/>
      </w:pPr>
    </w:p>
    <w:p w14:paraId="4E614AD6">
      <w:pPr>
        <w:pStyle w:val="2"/>
        <w:spacing w:before="93"/>
      </w:pPr>
      <w:r>
        <w:drawing>
          <wp:inline distT="0" distB="0" distL="0" distR="0">
            <wp:extent cx="5273040" cy="2785745"/>
            <wp:effectExtent l="19050" t="0" r="22263"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D1B15D">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1.因公出国（境）经费支出0万元</w:t>
      </w:r>
      <w:r>
        <w:rPr>
          <w:rStyle w:val="14"/>
          <w:rFonts w:hint="default" w:ascii="Times New Roman" w:hAnsi="Times New Roman" w:eastAsia="仿宋" w:cs="Times New Roman"/>
          <w:bCs/>
          <w:sz w:val="32"/>
          <w:szCs w:val="32"/>
        </w:rPr>
        <w:t>。</w:t>
      </w:r>
      <w:r>
        <w:rPr>
          <w:rFonts w:hint="default" w:ascii="Times New Roman" w:hAnsi="Times New Roman" w:eastAsia="仿宋_GB2312" w:cs="Times New Roman"/>
          <w:sz w:val="32"/>
          <w:szCs w:val="32"/>
        </w:rPr>
        <w:t>全年安排因公出国（境）团组0次，出国（境）0人。因公出国（境）支出决算与2020年持平。</w:t>
      </w:r>
    </w:p>
    <w:p w14:paraId="6179879A">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2.公务用车购置及运行维护费支出0万元</w:t>
      </w:r>
      <w:r>
        <w:rPr>
          <w:rStyle w:val="14"/>
          <w:rFonts w:hint="default" w:ascii="Times New Roman" w:hAnsi="Times New Roman" w:eastAsia="仿宋" w:cs="Times New Roman"/>
          <w:bCs/>
          <w:sz w:val="32"/>
          <w:szCs w:val="32"/>
        </w:rPr>
        <w:t>。</w:t>
      </w:r>
      <w:r>
        <w:rPr>
          <w:rFonts w:hint="default" w:ascii="Times New Roman" w:hAnsi="Times New Roman" w:eastAsia="仿宋_GB2312" w:cs="Times New Roman"/>
          <w:sz w:val="32"/>
          <w:szCs w:val="32"/>
        </w:rPr>
        <w:t>公务用车购置及运行维护费支出决算与2020年持平。</w:t>
      </w:r>
    </w:p>
    <w:p w14:paraId="6A67C967">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3.公务接待费支出0.12万元，</w:t>
      </w:r>
      <w:r>
        <w:rPr>
          <w:rStyle w:val="14"/>
          <w:rFonts w:hint="default" w:ascii="Times New Roman" w:hAnsi="Times New Roman" w:eastAsia="仿宋" w:cs="Times New Roman"/>
          <w:b w:val="0"/>
          <w:bCs/>
          <w:sz w:val="32"/>
          <w:szCs w:val="32"/>
        </w:rPr>
        <w:t>完成预算4.6%。</w:t>
      </w:r>
      <w:r>
        <w:rPr>
          <w:rFonts w:hint="default" w:ascii="Times New Roman" w:hAnsi="Times New Roman" w:eastAsia="仿宋_GB2312" w:cs="Times New Roman"/>
          <w:sz w:val="32"/>
          <w:szCs w:val="32"/>
        </w:rPr>
        <w:t>公务接待费支出决算比2020年减少3.04万元，下降96.2%。主要原因是</w:t>
      </w:r>
      <w:r>
        <w:rPr>
          <w:rFonts w:hint="default" w:ascii="Times New Roman" w:hAnsi="Times New Roman" w:eastAsia="仿宋_GB2312" w:cs="Times New Roman"/>
          <w:color w:val="000000"/>
          <w:sz w:val="32"/>
          <w:szCs w:val="32"/>
        </w:rPr>
        <w:t>按照中央八项规定要求厉行节约</w:t>
      </w:r>
      <w:r>
        <w:rPr>
          <w:rFonts w:hint="default" w:ascii="Times New Roman" w:hAnsi="Times New Roman" w:eastAsia="仿宋_GB2312" w:cs="Times New Roman"/>
          <w:sz w:val="32"/>
          <w:szCs w:val="32"/>
        </w:rPr>
        <w:t>今年创文方面的接待费减少及资金未审核清算支付。其中：</w:t>
      </w:r>
    </w:p>
    <w:p w14:paraId="2D363EB1">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仿宋" w:cs="Times New Roman"/>
          <w:sz w:val="32"/>
          <w:szCs w:val="32"/>
        </w:rPr>
        <w:t>国内公务接待支出0.12</w:t>
      </w:r>
      <w:r>
        <w:rPr>
          <w:rFonts w:hint="default" w:ascii="Times New Roman" w:hAnsi="Times New Roman" w:eastAsia="仿宋_GB2312" w:cs="Times New Roman"/>
          <w:sz w:val="32"/>
          <w:szCs w:val="32"/>
        </w:rPr>
        <w:t>万元，主要用于执行公务、开展业务活动开支的交通费、住宿费、用餐费等。国内公务接待2批次，10人次（不包括陪同人员），共计支出0.12万元，具体内容包括：市委宣传部到我县调研新闻出版等工作接待</w:t>
      </w:r>
      <w:r>
        <w:rPr>
          <w:rFonts w:hint="default" w:ascii="Times New Roman" w:hAnsi="Times New Roman" w:eastAsia="仿宋_GB2312" w:cs="Times New Roman"/>
          <w:spacing w:val="6"/>
          <w:sz w:val="32"/>
          <w:szCs w:val="32"/>
        </w:rPr>
        <w:t>费0.09万元及到我县排查爱国主义教育基地等工作</w:t>
      </w:r>
      <w:r>
        <w:rPr>
          <w:rFonts w:hint="eastAsia" w:eastAsia="仿宋_GB2312" w:cs="Times New Roman"/>
          <w:spacing w:val="6"/>
          <w:sz w:val="32"/>
          <w:szCs w:val="32"/>
          <w:lang w:eastAsia="zh-CN"/>
        </w:rPr>
        <w:t>接待费</w:t>
      </w:r>
      <w:r>
        <w:rPr>
          <w:rFonts w:hint="default" w:ascii="Times New Roman" w:hAnsi="Times New Roman" w:eastAsia="仿宋_GB2312" w:cs="Times New Roman"/>
          <w:spacing w:val="6"/>
          <w:sz w:val="32"/>
          <w:szCs w:val="32"/>
        </w:rPr>
        <w:t>0.03万元。</w:t>
      </w:r>
    </w:p>
    <w:p w14:paraId="0DC2579B">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仿宋" w:cs="Times New Roman"/>
          <w:sz w:val="32"/>
          <w:szCs w:val="32"/>
        </w:rPr>
        <w:t>外事接待支出0</w:t>
      </w:r>
      <w:r>
        <w:rPr>
          <w:rFonts w:hint="default" w:ascii="Times New Roman" w:hAnsi="Times New Roman" w:eastAsia="仿宋_GB2312" w:cs="Times New Roman"/>
          <w:sz w:val="32"/>
          <w:szCs w:val="32"/>
        </w:rPr>
        <w:t>万元，外事接待0批次，0人。</w:t>
      </w:r>
      <w:bookmarkStart w:id="78" w:name="_Toc15377218"/>
      <w:bookmarkStart w:id="79" w:name="_Toc15396610"/>
    </w:p>
    <w:p w14:paraId="3C36FC2D">
      <w:pPr>
        <w:keepNext w:val="0"/>
        <w:keepLines w:val="0"/>
        <w:pageBreakBefore w:val="0"/>
        <w:widowControl w:val="0"/>
        <w:kinsoku/>
        <w:wordWrap/>
        <w:overflowPunct/>
        <w:topLinePunct w:val="0"/>
        <w:bidi w:val="0"/>
        <w:snapToGrid/>
        <w:spacing w:line="600" w:lineRule="exact"/>
        <w:ind w:firstLine="640" w:firstLineChars="200"/>
        <w:jc w:val="both"/>
        <w:textAlignment w:val="auto"/>
        <w:outlineLvl w:val="1"/>
        <w:rPr>
          <w:rStyle w:val="25"/>
          <w:rFonts w:hint="default" w:ascii="Times New Roman" w:hAnsi="Times New Roman" w:eastAsia="黑体" w:cs="Times New Roman"/>
        </w:rPr>
      </w:pPr>
      <w:bookmarkStart w:id="80" w:name="_Toc117519067"/>
      <w:r>
        <w:rPr>
          <w:rFonts w:hint="default" w:ascii="Times New Roman" w:hAnsi="Times New Roman" w:eastAsia="黑体" w:cs="Times New Roman"/>
          <w:sz w:val="32"/>
          <w:szCs w:val="32"/>
        </w:rPr>
        <w:t>八、</w:t>
      </w:r>
      <w:r>
        <w:rPr>
          <w:rStyle w:val="25"/>
          <w:rFonts w:hint="default" w:ascii="Times New Roman" w:hAnsi="Times New Roman" w:eastAsia="黑体" w:cs="Times New Roman"/>
          <w:b w:val="0"/>
        </w:rPr>
        <w:t>政府性基金预算支出决算情况说明</w:t>
      </w:r>
      <w:bookmarkEnd w:id="78"/>
      <w:bookmarkEnd w:id="79"/>
      <w:bookmarkEnd w:id="80"/>
    </w:p>
    <w:p w14:paraId="43DC26BE">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2021年政府性基金预算财政拨款支出89.19万元。</w:t>
      </w:r>
    </w:p>
    <w:p w14:paraId="2BBBDB1D">
      <w:pPr>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outlineLvl w:val="1"/>
        <w:rPr>
          <w:rStyle w:val="25"/>
          <w:rFonts w:hint="default" w:ascii="Times New Roman" w:hAnsi="Times New Roman" w:eastAsia="黑体" w:cs="Times New Roman"/>
          <w:b w:val="0"/>
        </w:rPr>
      </w:pPr>
      <w:bookmarkStart w:id="81" w:name="_Toc117519068"/>
      <w:bookmarkStart w:id="82" w:name="_Toc15377219"/>
      <w:bookmarkStart w:id="83" w:name="_Toc15396611"/>
      <w:r>
        <w:rPr>
          <w:rStyle w:val="25"/>
          <w:rFonts w:hint="default" w:ascii="Times New Roman" w:hAnsi="Times New Roman" w:eastAsia="黑体" w:cs="Times New Roman"/>
          <w:b w:val="0"/>
        </w:rPr>
        <w:t>国有资本经营预算支出决算情况说明</w:t>
      </w:r>
      <w:bookmarkEnd w:id="81"/>
      <w:bookmarkEnd w:id="82"/>
      <w:bookmarkEnd w:id="83"/>
    </w:p>
    <w:p w14:paraId="536F687D">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rPr>
        <w:t>2021年国有资本经营预算财政拨款支出0万元。</w:t>
      </w:r>
    </w:p>
    <w:p w14:paraId="7F46B60B">
      <w:pPr>
        <w:keepNext w:val="0"/>
        <w:keepLines w:val="0"/>
        <w:pageBreakBefore w:val="0"/>
        <w:widowControl w:val="0"/>
        <w:numPr>
          <w:ilvl w:val="0"/>
          <w:numId w:val="1"/>
        </w:numPr>
        <w:kinsoku/>
        <w:wordWrap/>
        <w:overflowPunct/>
        <w:topLinePunct w:val="0"/>
        <w:bidi w:val="0"/>
        <w:snapToGrid/>
        <w:spacing w:line="600" w:lineRule="exact"/>
        <w:ind w:firstLine="640" w:firstLineChars="200"/>
        <w:jc w:val="both"/>
        <w:textAlignment w:val="auto"/>
        <w:outlineLvl w:val="1"/>
        <w:rPr>
          <w:rStyle w:val="25"/>
          <w:rFonts w:hint="default" w:ascii="Times New Roman" w:hAnsi="Times New Roman" w:eastAsia="黑体" w:cs="Times New Roman"/>
          <w:b w:val="0"/>
        </w:rPr>
      </w:pPr>
      <w:bookmarkStart w:id="84" w:name="_Toc15377221"/>
      <w:bookmarkStart w:id="85" w:name="_Toc117519069"/>
      <w:bookmarkStart w:id="86" w:name="_Toc15396612"/>
      <w:r>
        <w:rPr>
          <w:rStyle w:val="25"/>
          <w:rFonts w:hint="default" w:ascii="Times New Roman" w:hAnsi="Times New Roman" w:eastAsia="黑体" w:cs="Times New Roman"/>
          <w:b w:val="0"/>
        </w:rPr>
        <w:t>其他重要事项的情况说明</w:t>
      </w:r>
      <w:bookmarkEnd w:id="84"/>
      <w:bookmarkEnd w:id="85"/>
      <w:bookmarkEnd w:id="86"/>
    </w:p>
    <w:p w14:paraId="4342CB0F">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87" w:name="_Toc15377222"/>
      <w:bookmarkStart w:id="88" w:name="_Toc117519070"/>
      <w:r>
        <w:rPr>
          <w:rFonts w:hint="default" w:ascii="楷体_GB2312" w:hAnsi="宋体" w:eastAsia="楷体_GB2312" w:cs="Times New Roman"/>
          <w:b w:val="0"/>
          <w:bCs/>
          <w:kern w:val="2"/>
          <w:sz w:val="32"/>
          <w:szCs w:val="32"/>
          <w:lang w:val="zh-CN" w:eastAsia="zh-CN" w:bidi="ar-SA"/>
        </w:rPr>
        <w:t>（一）机关运行经费支出情况</w:t>
      </w:r>
      <w:bookmarkEnd w:id="87"/>
      <w:bookmarkEnd w:id="88"/>
    </w:p>
    <w:p w14:paraId="45B55DB1">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2021年，县委宣传部机关运行经费支出16.99万元，比2020年减少4.2万元，下降19.82%。主要原因是资金未审核清算支付。</w:t>
      </w:r>
    </w:p>
    <w:p w14:paraId="25431D81">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89" w:name="_Toc15377223"/>
      <w:bookmarkStart w:id="90" w:name="_Toc117519071"/>
      <w:r>
        <w:rPr>
          <w:rFonts w:hint="default" w:ascii="楷体_GB2312" w:hAnsi="宋体" w:eastAsia="楷体_GB2312" w:cs="Times New Roman"/>
          <w:b w:val="0"/>
          <w:bCs/>
          <w:kern w:val="2"/>
          <w:sz w:val="32"/>
          <w:szCs w:val="32"/>
          <w:lang w:val="zh-CN" w:eastAsia="zh-CN" w:bidi="ar-SA"/>
        </w:rPr>
        <w:t>（二）政府采购支出情况</w:t>
      </w:r>
      <w:bookmarkEnd w:id="89"/>
      <w:bookmarkEnd w:id="90"/>
    </w:p>
    <w:p w14:paraId="7F43C29E">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2021年，县委宣传部政府采购支出总额0万元，其中：政府采购货物支出0万元、政府采购工程支出0万元、政府采购服务支出0万元。授予中小企业合同金额0万元。</w:t>
      </w:r>
    </w:p>
    <w:p w14:paraId="625C6D79">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bookmarkStart w:id="91" w:name="_Toc15377224"/>
      <w:bookmarkStart w:id="92" w:name="_Toc117519072"/>
      <w:r>
        <w:rPr>
          <w:rFonts w:hint="default" w:ascii="楷体_GB2312" w:hAnsi="宋体" w:eastAsia="楷体_GB2312" w:cs="Times New Roman"/>
          <w:b w:val="0"/>
          <w:bCs/>
          <w:kern w:val="2"/>
          <w:sz w:val="32"/>
          <w:szCs w:val="32"/>
          <w:lang w:val="zh-CN" w:eastAsia="zh-CN" w:bidi="ar-SA"/>
        </w:rPr>
        <w:t>（三）国有资产占有使用情况</w:t>
      </w:r>
      <w:bookmarkEnd w:id="91"/>
      <w:bookmarkEnd w:id="92"/>
    </w:p>
    <w:p w14:paraId="6862A8C0">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截至2021年12月31日，县委宣传部共有车辆0辆，其中：主要领导干部用车0辆、机要通信用车0辆、应急保障用车0辆、其他用车0辆，单价50万元以上通用设备0台（套），单价100万元以上专用设备0台（套）。</w:t>
      </w:r>
    </w:p>
    <w:p w14:paraId="3F22872B">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eastAsia" w:ascii="楷体_GB2312" w:hAnsi="宋体" w:eastAsia="楷体_GB2312" w:cs="Times New Roman"/>
          <w:b w:val="0"/>
          <w:bCs/>
          <w:kern w:val="2"/>
          <w:sz w:val="32"/>
          <w:szCs w:val="32"/>
          <w:lang w:val="zh-CN" w:eastAsia="zh-CN" w:bidi="ar-SA"/>
        </w:rPr>
      </w:pPr>
      <w:bookmarkStart w:id="93" w:name="_Toc117519073"/>
      <w:r>
        <w:rPr>
          <w:rFonts w:hint="eastAsia" w:ascii="楷体_GB2312" w:hAnsi="宋体" w:eastAsia="楷体_GB2312" w:cs="Times New Roman"/>
          <w:b w:val="0"/>
          <w:bCs/>
          <w:kern w:val="2"/>
          <w:sz w:val="32"/>
          <w:szCs w:val="32"/>
          <w:lang w:val="zh-CN" w:eastAsia="zh-CN" w:bidi="ar-SA"/>
        </w:rPr>
        <w:t>（四）预算绩效管理情况</w:t>
      </w:r>
      <w:bookmarkEnd w:id="93"/>
    </w:p>
    <w:p w14:paraId="3A86C3A3">
      <w:pPr>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县委宣传部在2021年度预算编制阶段，组织对编外人员2021年工资等经费项目、创文办劳务服务人员经费、精神文明建设工作经费等4个项目开展了预算事前绩效评估，对4个项目编制了绩效目标，预算执行过程中，选取27个项目开展绩效监控，年终执行完毕后，对2个项目开展了绩效自评。同时，本部门对2021年部门整体开展了绩效自评，《中共米易县委宣传部2021年部门整体支出绩效评价报告》《</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清凉度假</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在米易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推介采风行活动项目绩效评价报告》《</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你让我点赞</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文明城市创建整</w:t>
      </w:r>
      <w:r>
        <w:rPr>
          <w:rFonts w:hint="default" w:ascii="Times New Roman" w:hAnsi="Times New Roman" w:eastAsia="仿宋_GB2312" w:cs="Times New Roman"/>
          <w:spacing w:val="-6"/>
          <w:sz w:val="32"/>
          <w:szCs w:val="32"/>
        </w:rPr>
        <w:t>体影响力提升系列活动项目绩效评价报告》见附件（第四部分）。</w:t>
      </w:r>
    </w:p>
    <w:p w14:paraId="7642E6C7">
      <w:pPr>
        <w:widowControl/>
        <w:jc w:val="left"/>
        <w:rPr>
          <w:rFonts w:ascii="仿宋_GB2312" w:eastAsia="仿宋_GB2312"/>
          <w:b/>
          <w:sz w:val="32"/>
          <w:szCs w:val="32"/>
        </w:rPr>
      </w:pPr>
      <w:r>
        <w:rPr>
          <w:rFonts w:ascii="仿宋_GB2312" w:eastAsia="仿宋_GB2312"/>
          <w:b/>
          <w:sz w:val="32"/>
          <w:szCs w:val="32"/>
        </w:rPr>
        <w:br w:type="page"/>
      </w:r>
    </w:p>
    <w:p w14:paraId="5AC16B07">
      <w:pPr>
        <w:pStyle w:val="3"/>
        <w:jc w:val="center"/>
        <w:rPr>
          <w:rFonts w:hint="default" w:ascii="Times New Roman" w:hAnsi="Times New Roman" w:eastAsia="黑体" w:cs="Times New Roman"/>
          <w:b w:val="0"/>
        </w:rPr>
      </w:pPr>
      <w:bookmarkStart w:id="94" w:name="_Toc15396613"/>
      <w:bookmarkStart w:id="95" w:name="_Toc117519074"/>
      <w:bookmarkStart w:id="96" w:name="_Toc15377225"/>
      <w:r>
        <w:rPr>
          <w:rFonts w:hint="default" w:ascii="Times New Roman" w:hAnsi="Times New Roman" w:eastAsia="黑体" w:cs="Times New Roman"/>
          <w:b w:val="0"/>
        </w:rPr>
        <w:t>第</w:t>
      </w:r>
      <w:r>
        <w:rPr>
          <w:rFonts w:hint="eastAsia" w:ascii="Times New Roman" w:hAnsi="Times New Roman" w:eastAsia="黑体" w:cs="Times New Roman"/>
          <w:b w:val="0"/>
          <w:lang w:eastAsia="zh-CN"/>
        </w:rPr>
        <w:t>三</w:t>
      </w:r>
      <w:r>
        <w:rPr>
          <w:rFonts w:hint="default" w:ascii="Times New Roman" w:hAnsi="Times New Roman" w:eastAsia="黑体" w:cs="Times New Roman"/>
          <w:b w:val="0"/>
        </w:rPr>
        <w:t xml:space="preserve">部分 </w:t>
      </w:r>
      <w:r>
        <w:rPr>
          <w:rFonts w:hint="eastAsia" w:ascii="Times New Roman" w:hAnsi="Times New Roman" w:eastAsia="黑体" w:cs="Times New Roman"/>
          <w:b w:val="0"/>
        </w:rPr>
        <w:t>名词解释</w:t>
      </w:r>
      <w:bookmarkEnd w:id="94"/>
      <w:bookmarkEnd w:id="95"/>
      <w:bookmarkEnd w:id="96"/>
    </w:p>
    <w:p w14:paraId="5319A6DF">
      <w:pPr>
        <w:spacing w:line="600" w:lineRule="exact"/>
        <w:jc w:val="left"/>
        <w:rPr>
          <w:rFonts w:ascii="宋体"/>
          <w:b/>
          <w:sz w:val="44"/>
          <w:szCs w:val="44"/>
        </w:rPr>
      </w:pPr>
    </w:p>
    <w:p w14:paraId="375E2B0C">
      <w:pPr>
        <w:pStyle w:val="22"/>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1.</w:t>
      </w:r>
      <w:r>
        <w:rPr>
          <w:rFonts w:hint="eastAsia" w:ascii="仿宋_GB2312" w:eastAsia="仿宋_GB2312"/>
          <w:sz w:val="32"/>
          <w:szCs w:val="32"/>
        </w:rPr>
        <w:t>财政拨款收入：指单位从同级财政部门取得的财政预算资金。</w:t>
      </w:r>
    </w:p>
    <w:p w14:paraId="3F77A9FD">
      <w:pPr>
        <w:pStyle w:val="22"/>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86F6DAE">
      <w:pPr>
        <w:pStyle w:val="22"/>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w:t>
      </w:r>
      <w:r>
        <w:rPr>
          <w:rFonts w:hint="eastAsia" w:ascii="仿宋_GB2312" w:eastAsia="仿宋_GB2312"/>
          <w:sz w:val="32"/>
          <w:szCs w:val="32"/>
        </w:rPr>
        <w:t>年末结转和结余：指单位按有关规定结转到下年或以后年度继续使用的资金。</w:t>
      </w:r>
    </w:p>
    <w:p w14:paraId="5AB8172E">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仿宋_GB2312" w:eastAsia="仿宋_GB2312"/>
          <w:sz w:val="32"/>
          <w:szCs w:val="32"/>
        </w:rPr>
        <w:t>一般公共服务（类）宣传事务（款）行政运行（项）：指中国共产党宣传部门行政单位的基本支出。</w:t>
      </w:r>
    </w:p>
    <w:p w14:paraId="12249100">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仿宋_GB2312" w:eastAsia="仿宋_GB2312"/>
          <w:sz w:val="32"/>
          <w:szCs w:val="32"/>
        </w:rPr>
        <w:t>一般公共服务（类）宣传事务（款）一般行政管理事务（项）：指中国共产党宣传部门行政单位未单独设置项级科目的其他项目支出。</w:t>
      </w:r>
    </w:p>
    <w:p w14:paraId="524261D4">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仿宋_GB2312" w:eastAsia="仿宋_GB2312"/>
          <w:sz w:val="32"/>
          <w:szCs w:val="32"/>
        </w:rPr>
        <w:t>一般公共服务（类）宣传事务（款）事业运行（项）：指中国共产党宣传部门事业单位的基本支出，不包括行政单位后勤服务中心、医务室等附属事业单位。</w:t>
      </w:r>
    </w:p>
    <w:p w14:paraId="761C2C5C">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eastAsia" w:ascii="仿宋_GB2312" w:eastAsia="仿宋_GB2312"/>
          <w:sz w:val="32"/>
          <w:szCs w:val="32"/>
        </w:rPr>
        <w:t>文化体育与传媒（类）文化和旅游（款）文化活动（项）：指政府在举办大型文化艺术活动的支出。</w:t>
      </w:r>
    </w:p>
    <w:p w14:paraId="319D124C">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eastAsia" w:ascii="仿宋_GB2312" w:eastAsia="仿宋_GB2312"/>
          <w:sz w:val="32"/>
          <w:szCs w:val="32"/>
        </w:rPr>
        <w:t>文化体育与传媒（类）文化和旅游（款）群众文化（项）：反映群众文化方面的支出，包括基层文化馆（站）、群众艺术馆支出等。</w:t>
      </w:r>
    </w:p>
    <w:p w14:paraId="3A386642">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eastAsia" w:ascii="仿宋_GB2312" w:eastAsia="仿宋_GB2312"/>
          <w:sz w:val="32"/>
          <w:szCs w:val="32"/>
        </w:rPr>
        <w:t>文化体育与传媒（类）新闻出版电影（款）电影（项）：指政府在电影制片、发行、放映等方面的支出。</w:t>
      </w:r>
    </w:p>
    <w:p w14:paraId="5451B120">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仿宋_GB2312" w:eastAsia="仿宋_GB2312"/>
          <w:sz w:val="32"/>
          <w:szCs w:val="32"/>
        </w:rPr>
        <w:t>文化体育与传媒（类）国家电影事业发展专项资金安排（款）其他国家电影事业发展专项资金支出（项）：反映其他用于新闻出版电影方面的支出。</w:t>
      </w:r>
    </w:p>
    <w:p w14:paraId="4D92ED20">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eastAsia" w:ascii="仿宋_GB2312" w:eastAsia="仿宋_GB2312"/>
          <w:sz w:val="32"/>
          <w:szCs w:val="32"/>
        </w:rPr>
        <w:t>文化体育与传媒（类）其他文化旅游体育与传媒支出（款）文化产业发展专项支出（项）：反映支持文化产业发展专项支出。</w:t>
      </w:r>
    </w:p>
    <w:p w14:paraId="32729462">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仿宋_GB2312" w:eastAsia="仿宋_GB2312"/>
          <w:sz w:val="32"/>
          <w:szCs w:val="32"/>
        </w:rPr>
        <w:t>社会保障和就业支出（类）行政事业单位养老支出</w:t>
      </w:r>
      <w:r>
        <w:rPr>
          <w:rFonts w:hint="eastAsia" w:ascii="仿宋_GB2312" w:eastAsia="仿宋_GB2312"/>
          <w:spacing w:val="-6"/>
          <w:sz w:val="32"/>
          <w:szCs w:val="32"/>
        </w:rPr>
        <w:t>（款）行政单位离退休（项）：指行政单位开支的离退休经费。</w:t>
      </w:r>
    </w:p>
    <w:p w14:paraId="2847EEE5">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仿宋_GB2312" w:eastAsia="仿宋_GB2312"/>
          <w:sz w:val="32"/>
          <w:szCs w:val="32"/>
        </w:rPr>
        <w:t>社会保障和就业支出（类）行政事业单位养老支出（款）机关事业单位基本养老保险缴费支出（项）：指机关</w:t>
      </w:r>
      <w:r>
        <w:rPr>
          <w:rFonts w:hint="eastAsia" w:ascii="仿宋_GB2312" w:eastAsia="仿宋_GB2312"/>
          <w:spacing w:val="-6"/>
          <w:sz w:val="32"/>
          <w:szCs w:val="32"/>
        </w:rPr>
        <w:t>事业单位实施养老保险制度由单位缴纳的基本养老保险支出。</w:t>
      </w:r>
    </w:p>
    <w:p w14:paraId="2095FA01">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仿宋_GB2312" w:eastAsia="仿宋_GB2312"/>
          <w:sz w:val="32"/>
          <w:szCs w:val="32"/>
        </w:rPr>
        <w:t>卫生健康支出（类）行政事业单位医疗（款）行政单位医疗（项）：指财政部门安排的行政单位基本医疗保险缴费经费，未参加医疗保险的行政单位的公费医疗经费，按国家规定享受离休人员、红军老战士待遇人员的医疗经费。</w:t>
      </w:r>
    </w:p>
    <w:p w14:paraId="7A71525E">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仿宋_GB2312" w:eastAsia="仿宋_GB2312"/>
          <w:sz w:val="32"/>
          <w:szCs w:val="32"/>
        </w:rPr>
        <w:t>卫生健康支出（类）行政事业单位医疗（款）事业单位医疗（项）：指财政部门安排的事业单位基本医疗保险缴费经费，未参加医疗保险的事业单位的公费医疗经费，按国家规定享受离休人员待遇的医疗经费。</w:t>
      </w:r>
    </w:p>
    <w:p w14:paraId="3950CD8A">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w:t>
      </w:r>
      <w:r>
        <w:rPr>
          <w:rFonts w:hint="eastAsia" w:ascii="仿宋_GB2312" w:eastAsia="仿宋_GB2312"/>
          <w:sz w:val="32"/>
          <w:szCs w:val="32"/>
        </w:rPr>
        <w:t>卫生健康支出（类）行政事业单位医疗（款）公务员医疗补助（项）：指财政部门安排的公务员医疗补助经费。</w:t>
      </w:r>
    </w:p>
    <w:p w14:paraId="4AFC84D7">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17</w:t>
      </w:r>
      <w:r>
        <w:rPr>
          <w:rFonts w:hint="eastAsia" w:ascii="Times New Roman" w:hAnsi="Times New Roman" w:eastAsia="仿宋_GB2312" w:cs="Times New Roman"/>
          <w:sz w:val="32"/>
          <w:szCs w:val="32"/>
        </w:rPr>
        <w:t>.</w:t>
      </w:r>
      <w:r>
        <w:rPr>
          <w:rFonts w:hint="eastAsia" w:ascii="仿宋_GB2312" w:eastAsia="仿宋_GB2312"/>
          <w:sz w:val="32"/>
          <w:szCs w:val="32"/>
        </w:rPr>
        <w:t>卫生健康支出（类）其他卫生健康支出（款）其他卫生健康支出（项）：反映其他用于卫生健康方面的支出。</w:t>
      </w:r>
    </w:p>
    <w:p w14:paraId="585D0F66">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rPr>
        <w:t>.</w:t>
      </w:r>
      <w:r>
        <w:rPr>
          <w:rFonts w:hint="eastAsia" w:ascii="仿宋_GB2312" w:eastAsia="仿宋_GB2312"/>
          <w:sz w:val="32"/>
          <w:szCs w:val="32"/>
        </w:rPr>
        <w:t>城乡社区支出（类）国有土地使用权出让收入安排的支出（款）土地开发支出（项）：反映地方政府用于前期土地开发性支出以及与前期土地开发相关的费用等支出。</w:t>
      </w:r>
    </w:p>
    <w:p w14:paraId="04FB599D">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w:t>
      </w:r>
      <w:r>
        <w:rPr>
          <w:rFonts w:hint="eastAsia" w:ascii="仿宋_GB2312" w:eastAsia="仿宋_GB2312"/>
          <w:sz w:val="32"/>
          <w:szCs w:val="32"/>
        </w:rPr>
        <w:t>住房保障支出（类）住房改革支出（款）住房公积金（项）：指行政事业单位按人力资源和社会保障部、财政部规定的基本工资和津贴补贴以及规定比例为职工缴纳的住</w:t>
      </w:r>
      <w:r>
        <w:rPr>
          <w:rFonts w:hint="eastAsia" w:ascii="仿宋_GB2312" w:eastAsia="仿宋_GB2312"/>
          <w:sz w:val="32"/>
          <w:szCs w:val="32"/>
          <w:lang w:eastAsia="zh-CN"/>
        </w:rPr>
        <w:t>房公积金</w:t>
      </w:r>
      <w:r>
        <w:rPr>
          <w:rFonts w:hint="eastAsia" w:ascii="仿宋_GB2312" w:eastAsia="仿宋_GB2312"/>
          <w:sz w:val="32"/>
          <w:szCs w:val="32"/>
        </w:rPr>
        <w:t>。</w:t>
      </w:r>
    </w:p>
    <w:p w14:paraId="76028B6E">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仿宋_GB2312" w:eastAsia="仿宋_GB2312"/>
          <w:sz w:val="32"/>
          <w:szCs w:val="32"/>
        </w:rPr>
        <w:t>基本支出：指为保障机构正常运转、完成日常工作任务而发生的人员支出和公用支出。</w:t>
      </w:r>
    </w:p>
    <w:p w14:paraId="1F5B9FA8">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3F1867B5">
      <w:pPr>
        <w:pStyle w:val="22"/>
        <w:spacing w:line="560" w:lineRule="exact"/>
        <w:rPr>
          <w:rFonts w:ascii="仿宋_GB2312" w:eastAsia="仿宋_GB2312"/>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4DB094EE">
      <w:pPr>
        <w:pStyle w:val="22"/>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仿宋_GB2312" w:eastAsia="仿宋_GB2312"/>
          <w:sz w:val="32"/>
          <w:szCs w:val="32"/>
          <w:lang w:eastAsia="zh-CN"/>
        </w:rPr>
        <w:t>“</w:t>
      </w:r>
      <w:r>
        <w:rPr>
          <w:rFonts w:hint="eastAsia" w:ascii="仿宋_GB2312" w:eastAsia="仿宋_GB2312"/>
          <w:sz w:val="32"/>
          <w:szCs w:val="32"/>
        </w:rPr>
        <w:t>三公</w:t>
      </w:r>
      <w:r>
        <w:rPr>
          <w:rFonts w:hint="eastAsia" w:ascii="仿宋_GB2312" w:eastAsia="仿宋_GB2312"/>
          <w:sz w:val="32"/>
          <w:szCs w:val="32"/>
          <w:lang w:eastAsia="zh-CN"/>
        </w:rPr>
        <w:t>”</w:t>
      </w:r>
      <w:r>
        <w:rPr>
          <w:rFonts w:hint="eastAsia" w:ascii="仿宋_GB2312" w:eastAsia="仿宋_GB2312"/>
          <w:sz w:val="32"/>
          <w:szCs w:val="32"/>
        </w:rPr>
        <w:t>经费：指部门用财政拨款安排的因公出国（境）费、公务用车购置及运行费和公务接待费。其中，因公出国（境）费反映单位公务出国（境）的国际旅费、国外城市间交通费、住宿费、伙食费、培训费、公杂费等支出</w:t>
      </w:r>
      <w:r>
        <w:rPr>
          <w:rFonts w:hint="eastAsia" w:ascii="仿宋_GB2312" w:eastAsia="仿宋_GB2312"/>
          <w:sz w:val="32"/>
          <w:szCs w:val="32"/>
          <w:lang w:eastAsia="zh-CN"/>
        </w:rPr>
        <w:t>；</w:t>
      </w:r>
      <w:r>
        <w:rPr>
          <w:rFonts w:hint="eastAsia" w:ascii="仿宋_GB2312" w:eastAsia="仿宋_GB2312"/>
          <w:sz w:val="32"/>
          <w:szCs w:val="32"/>
        </w:rPr>
        <w:t>公务用车购置及运行费反映单位公务用车车辆购置支出（含车辆购置税）及租用费、燃料费、维修费、过路过桥费、保险费等支出</w:t>
      </w:r>
      <w:r>
        <w:rPr>
          <w:rFonts w:hint="eastAsia" w:ascii="仿宋_GB2312" w:eastAsia="仿宋_GB2312"/>
          <w:sz w:val="32"/>
          <w:szCs w:val="32"/>
          <w:lang w:eastAsia="zh-CN"/>
        </w:rPr>
        <w:t>；</w:t>
      </w:r>
      <w:r>
        <w:rPr>
          <w:rFonts w:hint="eastAsia" w:ascii="仿宋_GB2312" w:eastAsia="仿宋_GB2312"/>
          <w:sz w:val="32"/>
          <w:szCs w:val="32"/>
        </w:rPr>
        <w:t>公务接待费反映单位按规定开支的各类公务接待（含外宾接待）支出。</w:t>
      </w:r>
    </w:p>
    <w:p w14:paraId="6C2A73A2">
      <w:pPr>
        <w:pStyle w:val="22"/>
        <w:rPr>
          <w:rFonts w:ascii="仿宋_GB2312" w:eastAsia="仿宋_GB2312"/>
          <w:sz w:val="32"/>
          <w:szCs w:val="32"/>
        </w:rPr>
      </w:pPr>
      <w:r>
        <w:rPr>
          <w:rFonts w:hint="eastAsia" w:ascii="仿宋_GB2312" w:eastAsia="仿宋_GB2312"/>
          <w:sz w:val="32"/>
          <w:szCs w:val="32"/>
        </w:rPr>
        <w:t xml:space="preserve">    </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01D690">
      <w:pPr>
        <w:spacing w:line="600" w:lineRule="exact"/>
        <w:jc w:val="center"/>
        <w:outlineLvl w:val="0"/>
        <w:rPr>
          <w:rFonts w:hint="default" w:ascii="Times New Roman" w:hAnsi="Times New Roman" w:eastAsia="黑体" w:cs="Times New Roman"/>
          <w:b w:val="0"/>
          <w:bCs/>
          <w:kern w:val="44"/>
          <w:sz w:val="44"/>
          <w:szCs w:val="44"/>
          <w:lang w:val="en-US" w:eastAsia="zh-CN" w:bidi="ar-SA"/>
        </w:rPr>
      </w:pPr>
      <w:bookmarkStart w:id="97" w:name="_Toc15377226"/>
      <w:r>
        <w:rPr>
          <w:rFonts w:ascii="宋体"/>
          <w:b/>
          <w:sz w:val="44"/>
          <w:szCs w:val="44"/>
        </w:rPr>
        <w:br w:type="page"/>
      </w:r>
      <w:bookmarkStart w:id="98" w:name="_Toc15396614"/>
      <w:bookmarkStart w:id="99" w:name="_Toc117519075"/>
      <w:r>
        <w:rPr>
          <w:rFonts w:hint="eastAsia" w:ascii="Times New Roman" w:hAnsi="Times New Roman" w:eastAsia="黑体" w:cs="Times New Roman"/>
          <w:b w:val="0"/>
          <w:bCs/>
          <w:kern w:val="44"/>
          <w:sz w:val="44"/>
          <w:szCs w:val="44"/>
          <w:lang w:val="en-US" w:eastAsia="zh-CN" w:bidi="ar-SA"/>
        </w:rPr>
        <w:t>第四部分 附件</w:t>
      </w:r>
      <w:bookmarkEnd w:id="98"/>
      <w:bookmarkEnd w:id="99"/>
    </w:p>
    <w:p w14:paraId="11B91B86">
      <w:pPr>
        <w:spacing w:line="572" w:lineRule="exact"/>
        <w:jc w:val="left"/>
        <w:outlineLvl w:val="0"/>
        <w:rPr>
          <w:rFonts w:hint="default" w:ascii="Times New Roman" w:hAnsi="Times New Roman" w:eastAsia="方正小标宋简体" w:cs="Times New Roman"/>
          <w:sz w:val="44"/>
          <w:szCs w:val="44"/>
        </w:rPr>
      </w:pPr>
      <w:bookmarkStart w:id="100" w:name="_Toc117519076"/>
      <w:r>
        <w:rPr>
          <w:rFonts w:hint="default" w:ascii="Times New Roman" w:hAnsi="Times New Roman" w:eastAsia="黑体" w:cs="Times New Roman"/>
          <w:sz w:val="32"/>
          <w:szCs w:val="32"/>
        </w:rPr>
        <w:t>附件1</w:t>
      </w:r>
      <w:bookmarkEnd w:id="100"/>
    </w:p>
    <w:p w14:paraId="3D191DB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default" w:ascii="Times New Roman" w:hAnsi="Times New Roman" w:eastAsia="小标宋" w:cs="Times New Roman"/>
        </w:rPr>
      </w:pPr>
      <w:r>
        <w:rPr>
          <w:rStyle w:val="30"/>
          <w:rFonts w:hint="default" w:ascii="Times New Roman" w:hAnsi="Times New Roman" w:eastAsia="小标宋" w:cs="Times New Roman"/>
        </w:rPr>
        <w:t>2021年</w:t>
      </w:r>
      <w:r>
        <w:rPr>
          <w:rStyle w:val="30"/>
          <w:rFonts w:hint="eastAsia" w:eastAsia="小标宋" w:cs="Times New Roman"/>
          <w:lang w:eastAsia="zh-CN"/>
        </w:rPr>
        <w:t>中国共产党米易县委员会</w:t>
      </w:r>
      <w:r>
        <w:rPr>
          <w:rStyle w:val="30"/>
          <w:rFonts w:hint="default" w:ascii="Times New Roman" w:hAnsi="Times New Roman" w:eastAsia="小标宋" w:cs="Times New Roman"/>
        </w:rPr>
        <w:t>宣传部</w:t>
      </w:r>
    </w:p>
    <w:p w14:paraId="6DA5CC7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default" w:ascii="Times New Roman" w:hAnsi="Times New Roman" w:eastAsia="小标宋" w:cs="Times New Roman"/>
        </w:rPr>
      </w:pPr>
      <w:r>
        <w:rPr>
          <w:rStyle w:val="30"/>
          <w:rFonts w:hint="default" w:ascii="Times New Roman" w:hAnsi="Times New Roman" w:eastAsia="小标宋" w:cs="Times New Roman"/>
        </w:rPr>
        <w:t>部门整体支出绩效评价报告</w:t>
      </w:r>
    </w:p>
    <w:p w14:paraId="17E8E1FD">
      <w:pPr>
        <w:spacing w:line="560" w:lineRule="exact"/>
        <w:jc w:val="center"/>
        <w:rPr>
          <w:rStyle w:val="31"/>
          <w:rFonts w:hint="default" w:ascii="楷体_GB2312" w:hAnsi="楷体_GB2312" w:eastAsia="楷体_GB2312" w:cs="楷体_GB2312"/>
        </w:rPr>
      </w:pPr>
    </w:p>
    <w:p w14:paraId="5684EA9A">
      <w:pPr>
        <w:widowControl/>
        <w:adjustRightInd w:val="0"/>
        <w:snapToGrid w:val="0"/>
        <w:spacing w:line="560" w:lineRule="exact"/>
        <w:ind w:firstLine="640" w:firstLineChars="200"/>
        <w:contextualSpacing/>
        <w:rPr>
          <w:rFonts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部门概况</w:t>
      </w:r>
    </w:p>
    <w:p w14:paraId="12B37E5F">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（一）机构组成</w:t>
      </w:r>
    </w:p>
    <w:p w14:paraId="58B50976">
      <w:pPr>
        <w:keepNext w:val="0"/>
        <w:keepLines w:val="0"/>
        <w:pageBreakBefore w:val="0"/>
        <w:widowControl/>
        <w:kinsoku/>
        <w:wordWrap/>
        <w:overflowPunct/>
        <w:topLinePunct w:val="0"/>
        <w:autoSpaceDE/>
        <w:autoSpaceDN/>
        <w:bidi w:val="0"/>
        <w:snapToGrid w:val="0"/>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我部共有4个内设机构，分别是：办公室、宣传和思想政治教育股、精神文明建设股、文化新闻出版电影管理股，有2个下属事业单位：中共米易县委对外宣传中心、米易县新文明实践服务中心。</w:t>
      </w:r>
    </w:p>
    <w:p w14:paraId="223B96C7">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（二）机构职能</w:t>
      </w:r>
    </w:p>
    <w:p w14:paraId="2108F68E">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contextualSpacing/>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1.负责组织、指导全县理论研究、理论学习、理论宣传和社会科学规划等工作。</w:t>
      </w:r>
    </w:p>
    <w:p w14:paraId="2297A432">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contextualSpacing/>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2.负责规划、部署全县性的宣传思想工作，会同有关部门研究和改进基层宣传思想工作；负责指导、协调和组织全县社会宣传工作。</w:t>
      </w:r>
    </w:p>
    <w:p w14:paraId="4DF2F7EE">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contextualSpacing/>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3.负责指导、监督、管理和协调全县新闻宣传、出版工作，对县新闻媒体实施方针政策的指导</w:t>
      </w:r>
      <w:r>
        <w:rPr>
          <w:rFonts w:hint="default" w:ascii="Times New Roman" w:hAnsi="Times New Roman" w:eastAsia="仿宋_GB2312" w:cs="Times New Roman"/>
          <w:color w:val="000000"/>
          <w:kern w:val="0"/>
          <w:sz w:val="32"/>
          <w:szCs w:val="32"/>
          <w:shd w:val="clear" w:color="auto" w:fill="FFFFFF"/>
          <w:lang w:val="zh-CN" w:eastAsia="zh-CN"/>
        </w:rPr>
        <w:t>；</w:t>
      </w:r>
      <w:r>
        <w:rPr>
          <w:rFonts w:hint="default" w:ascii="Times New Roman" w:hAnsi="Times New Roman" w:eastAsia="仿宋_GB2312" w:cs="Times New Roman"/>
          <w:color w:val="000000"/>
          <w:kern w:val="0"/>
          <w:sz w:val="32"/>
          <w:szCs w:val="32"/>
          <w:shd w:val="clear" w:color="auto" w:fill="FFFFFF"/>
          <w:lang w:val="zh-CN"/>
        </w:rPr>
        <w:t>负责指导、监督和管理全县网络新闻宣传。联系中央、省、市各级新闻单位。</w:t>
      </w:r>
    </w:p>
    <w:p w14:paraId="76ED9469">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contextualSpacing/>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4.负责全县对外宣传工作的总体规划，组织协调、指导和管理全县的外宣工作。</w:t>
      </w:r>
    </w:p>
    <w:p w14:paraId="04E891F7">
      <w:pPr>
        <w:tabs>
          <w:tab w:val="left" w:pos="1109"/>
        </w:tabs>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en-US" w:eastAsia="zh-CN"/>
        </w:rPr>
        <w:t xml:space="preserve">    </w:t>
      </w:r>
      <w:r>
        <w:rPr>
          <w:rFonts w:hint="default" w:ascii="Times New Roman" w:hAnsi="Times New Roman" w:eastAsia="仿宋_GB2312" w:cs="Times New Roman"/>
          <w:color w:val="000000"/>
          <w:kern w:val="0"/>
          <w:sz w:val="32"/>
          <w:szCs w:val="32"/>
          <w:shd w:val="clear" w:color="auto" w:fill="FFFFFF"/>
          <w:lang w:val="zh-CN"/>
        </w:rPr>
        <w:t>5.负责从宏观上指导文化艺术工作、精神产品的生产和文化市场的管理，对县文广旅局、县融媒体中心、县文联等宣传思想文化单位有关工作进行协调指导。</w:t>
      </w:r>
    </w:p>
    <w:p w14:paraId="2646878C">
      <w:pPr>
        <w:keepNext w:val="0"/>
        <w:keepLines w:val="0"/>
        <w:pageBreakBefore w:val="0"/>
        <w:widowControl/>
        <w:kinsoku/>
        <w:wordWrap/>
        <w:overflowPunct/>
        <w:topLinePunct w:val="0"/>
        <w:autoSpaceDE/>
        <w:autoSpaceDN/>
        <w:bidi w:val="0"/>
        <w:snapToGrid w:val="0"/>
        <w:spacing w:line="56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6.负责全县群众性精神文明创建工作的规划和组织实施；协调、指导和监督全县文明城市、文明单位、文明村镇、社区、行业、未成年人思想道德建设等各类群众性精神文明创建活动。</w:t>
      </w:r>
    </w:p>
    <w:p w14:paraId="26EBC26E">
      <w:pPr>
        <w:keepNext w:val="0"/>
        <w:keepLines w:val="0"/>
        <w:pageBreakBefore w:val="0"/>
        <w:widowControl/>
        <w:kinsoku/>
        <w:wordWrap/>
        <w:overflowPunct/>
        <w:topLinePunct w:val="0"/>
        <w:autoSpaceDE/>
        <w:autoSpaceDN/>
        <w:bidi w:val="0"/>
        <w:snapToGrid w:val="0"/>
        <w:spacing w:line="56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7.完成县委交办的其它任务。</w:t>
      </w:r>
    </w:p>
    <w:p w14:paraId="04E12E75">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（三）人员概况</w:t>
      </w:r>
    </w:p>
    <w:p w14:paraId="0EA07CE8">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我部行政编制7名，机关后勤编制1名，事业编制9名。现有在职行政人员6名，机关后勤1名，事业人员5名，退休人员5名。因公车改革，现有车辆0辆。</w:t>
      </w:r>
    </w:p>
    <w:p w14:paraId="75FE70B1">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二、部门财政资金收支情况</w:t>
      </w:r>
    </w:p>
    <w:p w14:paraId="3DDE86D0">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（一）部门财政资金收入情况</w:t>
      </w:r>
    </w:p>
    <w:p w14:paraId="58272579">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我部2021年年初预算收入、支出数为311</w:t>
      </w:r>
      <w:r>
        <w:rPr>
          <w:rFonts w:hint="eastAsia"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zh-CN"/>
        </w:rPr>
        <w:t>75</w:t>
      </w:r>
      <w:r>
        <w:rPr>
          <w:rFonts w:hint="eastAsia" w:eastAsia="仿宋_GB2312" w:cs="Times New Roman"/>
          <w:color w:val="000000"/>
          <w:kern w:val="0"/>
          <w:sz w:val="32"/>
          <w:szCs w:val="32"/>
          <w:shd w:val="clear" w:color="auto" w:fill="FFFFFF"/>
          <w:lang w:val="zh-CN"/>
        </w:rPr>
        <w:t>万</w:t>
      </w:r>
      <w:r>
        <w:rPr>
          <w:rFonts w:hint="default" w:ascii="Times New Roman" w:hAnsi="Times New Roman" w:eastAsia="仿宋_GB2312" w:cs="Times New Roman"/>
          <w:color w:val="000000"/>
          <w:kern w:val="0"/>
          <w:sz w:val="32"/>
          <w:szCs w:val="32"/>
          <w:shd w:val="clear" w:color="auto" w:fill="FFFFFF"/>
          <w:lang w:val="zh-CN"/>
        </w:rPr>
        <w:t>元，比上年减少97</w:t>
      </w:r>
      <w:r>
        <w:rPr>
          <w:rFonts w:hint="eastAsia"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zh-CN"/>
        </w:rPr>
        <w:t>53</w:t>
      </w:r>
      <w:r>
        <w:rPr>
          <w:rFonts w:hint="eastAsia" w:eastAsia="仿宋_GB2312" w:cs="Times New Roman"/>
          <w:color w:val="000000"/>
          <w:kern w:val="0"/>
          <w:sz w:val="32"/>
          <w:szCs w:val="32"/>
          <w:shd w:val="clear" w:color="auto" w:fill="FFFFFF"/>
          <w:lang w:val="zh-CN"/>
        </w:rPr>
        <w:t>万</w:t>
      </w:r>
      <w:r>
        <w:rPr>
          <w:rFonts w:hint="default" w:ascii="Times New Roman" w:hAnsi="Times New Roman" w:eastAsia="仿宋_GB2312" w:cs="Times New Roman"/>
          <w:color w:val="000000"/>
          <w:kern w:val="0"/>
          <w:sz w:val="32"/>
          <w:szCs w:val="32"/>
          <w:shd w:val="clear" w:color="auto" w:fill="FFFFFF"/>
          <w:lang w:val="zh-CN"/>
        </w:rPr>
        <w:t>元，原因为预算项目数量减少。年度执行中因职工工资变动、增加项目经费等情况，调整预算数为672</w:t>
      </w:r>
      <w:r>
        <w:rPr>
          <w:rFonts w:hint="eastAsia"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zh-CN"/>
        </w:rPr>
        <w:t>25</w:t>
      </w:r>
      <w:r>
        <w:rPr>
          <w:rFonts w:hint="eastAsia" w:eastAsia="仿宋_GB2312" w:cs="Times New Roman"/>
          <w:color w:val="000000"/>
          <w:kern w:val="0"/>
          <w:sz w:val="32"/>
          <w:szCs w:val="32"/>
          <w:shd w:val="clear" w:color="auto" w:fill="FFFFFF"/>
          <w:lang w:val="zh-CN"/>
        </w:rPr>
        <w:t>万</w:t>
      </w:r>
      <w:r>
        <w:rPr>
          <w:rFonts w:hint="default" w:ascii="Times New Roman" w:hAnsi="Times New Roman" w:eastAsia="仿宋_GB2312" w:cs="Times New Roman"/>
          <w:color w:val="000000"/>
          <w:kern w:val="0"/>
          <w:sz w:val="32"/>
          <w:szCs w:val="32"/>
          <w:shd w:val="clear" w:color="auto" w:fill="FFFFFF"/>
          <w:lang w:val="zh-CN"/>
        </w:rPr>
        <w:t>元。</w:t>
      </w:r>
    </w:p>
    <w:p w14:paraId="283A3A57">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（二）部门财政资金支出情况</w:t>
      </w:r>
    </w:p>
    <w:p w14:paraId="3DA2079B">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2021年我部支出决算数为675</w:t>
      </w:r>
      <w:r>
        <w:rPr>
          <w:rFonts w:hint="eastAsia"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zh-CN"/>
        </w:rPr>
        <w:t>2</w:t>
      </w:r>
      <w:r>
        <w:rPr>
          <w:rFonts w:hint="eastAsia" w:eastAsia="仿宋_GB2312" w:cs="Times New Roman"/>
          <w:color w:val="000000"/>
          <w:kern w:val="0"/>
          <w:sz w:val="32"/>
          <w:szCs w:val="32"/>
          <w:shd w:val="clear" w:color="auto" w:fill="FFFFFF"/>
          <w:lang w:val="en-US" w:eastAsia="zh-CN"/>
        </w:rPr>
        <w:t>2万</w:t>
      </w:r>
      <w:r>
        <w:rPr>
          <w:rFonts w:hint="default" w:ascii="Times New Roman" w:hAnsi="Times New Roman" w:eastAsia="仿宋_GB2312" w:cs="Times New Roman"/>
          <w:color w:val="000000"/>
          <w:kern w:val="0"/>
          <w:sz w:val="32"/>
          <w:szCs w:val="32"/>
          <w:shd w:val="clear" w:color="auto" w:fill="FFFFFF"/>
          <w:lang w:val="zh-CN"/>
        </w:rPr>
        <w:t>元，比上年减少637</w:t>
      </w:r>
      <w:r>
        <w:rPr>
          <w:rFonts w:hint="eastAsia"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zh-CN"/>
        </w:rPr>
        <w:t>59</w:t>
      </w:r>
      <w:r>
        <w:rPr>
          <w:rFonts w:hint="eastAsia" w:eastAsia="仿宋_GB2312" w:cs="Times New Roman"/>
          <w:color w:val="000000"/>
          <w:kern w:val="0"/>
          <w:sz w:val="32"/>
          <w:szCs w:val="32"/>
          <w:shd w:val="clear" w:color="auto" w:fill="FFFFFF"/>
          <w:lang w:val="zh-CN"/>
        </w:rPr>
        <w:t>万</w:t>
      </w:r>
      <w:r>
        <w:rPr>
          <w:rFonts w:hint="default" w:ascii="Times New Roman" w:hAnsi="Times New Roman" w:eastAsia="仿宋_GB2312" w:cs="Times New Roman"/>
          <w:color w:val="000000"/>
          <w:kern w:val="0"/>
          <w:sz w:val="32"/>
          <w:szCs w:val="32"/>
          <w:shd w:val="clear" w:color="auto" w:fill="FFFFFF"/>
          <w:lang w:val="zh-CN"/>
        </w:rPr>
        <w:t>元，原因为今年大部分项目资金都还未审核清算支付。</w:t>
      </w:r>
    </w:p>
    <w:p w14:paraId="5BE8BEA8">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（三）结转和结余情况</w:t>
      </w:r>
    </w:p>
    <w:p w14:paraId="4695A85E">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1.本年度一般公共预算财政拨款人员经费支出结转</w:t>
      </w:r>
      <w:r>
        <w:rPr>
          <w:rFonts w:hint="eastAsia" w:eastAsia="仿宋_GB2312" w:cs="Times New Roman"/>
          <w:color w:val="000000"/>
          <w:kern w:val="0"/>
          <w:sz w:val="32"/>
          <w:szCs w:val="32"/>
          <w:shd w:val="clear" w:color="auto" w:fill="FFFFFF"/>
          <w:lang w:val="en-US" w:eastAsia="zh-CN"/>
        </w:rPr>
        <w:t>0.04万</w:t>
      </w:r>
      <w:r>
        <w:rPr>
          <w:rFonts w:hint="default" w:ascii="Times New Roman" w:hAnsi="Times New Roman" w:eastAsia="仿宋_GB2312" w:cs="Times New Roman"/>
          <w:color w:val="000000"/>
          <w:kern w:val="0"/>
          <w:sz w:val="32"/>
          <w:szCs w:val="32"/>
          <w:shd w:val="clear" w:color="auto" w:fill="FFFFFF"/>
          <w:lang w:val="zh-CN"/>
        </w:rPr>
        <w:t>元，为因扣款未发放出的职工工资。</w:t>
      </w:r>
    </w:p>
    <w:p w14:paraId="26831CAB">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2.本年度形成资金结转的原因为：12月计算了个人所得税扣款并在发放工资时扣除，后单位职工修改了专项附加扣除，交税时个税金额比发放工资时少</w:t>
      </w:r>
      <w:r>
        <w:rPr>
          <w:rFonts w:hint="eastAsia" w:eastAsia="仿宋_GB2312" w:cs="Times New Roman"/>
          <w:color w:val="000000"/>
          <w:kern w:val="0"/>
          <w:sz w:val="32"/>
          <w:szCs w:val="32"/>
          <w:shd w:val="clear" w:color="auto" w:fill="FFFFFF"/>
          <w:lang w:val="en-US" w:eastAsia="zh-CN"/>
        </w:rPr>
        <w:t>0.04万</w:t>
      </w:r>
      <w:r>
        <w:rPr>
          <w:rFonts w:hint="default" w:ascii="Times New Roman" w:hAnsi="Times New Roman" w:eastAsia="仿宋_GB2312" w:cs="Times New Roman"/>
          <w:color w:val="000000"/>
          <w:kern w:val="0"/>
          <w:sz w:val="32"/>
          <w:szCs w:val="32"/>
          <w:shd w:val="clear" w:color="auto" w:fill="FFFFFF"/>
          <w:lang w:val="zh-CN"/>
        </w:rPr>
        <w:t>元，故有</w:t>
      </w:r>
      <w:r>
        <w:rPr>
          <w:rFonts w:hint="eastAsia" w:eastAsia="仿宋_GB2312" w:cs="Times New Roman"/>
          <w:color w:val="000000"/>
          <w:kern w:val="0"/>
          <w:sz w:val="32"/>
          <w:szCs w:val="32"/>
          <w:shd w:val="clear" w:color="auto" w:fill="FFFFFF"/>
          <w:lang w:val="en-US" w:eastAsia="zh-CN"/>
        </w:rPr>
        <w:t>0.04万</w:t>
      </w:r>
      <w:r>
        <w:rPr>
          <w:rFonts w:hint="default" w:ascii="Times New Roman" w:hAnsi="Times New Roman" w:eastAsia="仿宋_GB2312" w:cs="Times New Roman"/>
          <w:color w:val="000000"/>
          <w:kern w:val="0"/>
          <w:sz w:val="32"/>
          <w:szCs w:val="32"/>
          <w:shd w:val="clear" w:color="auto" w:fill="FFFFFF"/>
          <w:lang w:val="zh-CN"/>
        </w:rPr>
        <w:t>元结转在下年发放。</w:t>
      </w:r>
    </w:p>
    <w:p w14:paraId="1F450297">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三、部门整体预算绩效管理情况</w:t>
      </w:r>
    </w:p>
    <w:p w14:paraId="25EBA208">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（一）部门预算管理</w:t>
      </w:r>
    </w:p>
    <w:p w14:paraId="2C8670EF">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我部部门预算绩效目标要素完整，包含数量指标、质量指标、时效指标、成本指标、社会效益指标，绩效指标均已细化量化。</w:t>
      </w:r>
    </w:p>
    <w:p w14:paraId="3440CA9B">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年初预算批复后，我部单位正常运转，部门预算执行进度达到目标进度，部门绩效目标达到预期目标，其中职工工资福利支出和日常公用经费支出保障了单位的日常运转，特定目标类项目支出强化了理论武装工作，不断创新了对外宣传工作，持续加强了公民思想道德建设，丰富我县青少年精神生活和有力有序开展了文化惠民活动。</w:t>
      </w:r>
    </w:p>
    <w:p w14:paraId="36D7F645">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我部部门预算项目年终全部执行完成，但某些项目资金未全部实际支付到位，部门日常公用经费和项目支出中的办公费、邮电费、差旅费等公用经费年初预算数与决算数有所偏差。原因为年底结账有些资金未能清算支付。</w:t>
      </w:r>
    </w:p>
    <w:p w14:paraId="4279A130">
      <w:pPr>
        <w:widowControl/>
        <w:snapToGrid w:val="0"/>
        <w:spacing w:line="560" w:lineRule="exact"/>
        <w:ind w:firstLine="640"/>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rPr>
        <w:t>在上一年度巡视巡察、审计监督、财政检查结果中，未出现部门预算管理方面违纪违规问题。</w:t>
      </w:r>
    </w:p>
    <w:p w14:paraId="5C0B327A">
      <w:pPr>
        <w:pStyle w:val="2"/>
        <w:pageBreakBefore w:val="0"/>
        <w:kinsoku/>
        <w:wordWrap/>
        <w:overflowPunct/>
        <w:topLinePunct w:val="0"/>
        <w:autoSpaceDE/>
        <w:autoSpaceDN/>
        <w:bidi w:val="0"/>
        <w:adjustRightInd w:val="0"/>
        <w:snapToGrid w:val="0"/>
        <w:spacing w:beforeLines="0" w:line="600" w:lineRule="exact"/>
        <w:ind w:firstLine="640" w:firstLineChars="200"/>
        <w:jc w:val="both"/>
        <w:textAlignment w:val="auto"/>
        <w:outlineLvl w:val="2"/>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（二）结果应用情况</w:t>
      </w:r>
    </w:p>
    <w:p w14:paraId="71C175EC">
      <w:pPr>
        <w:widowControl/>
        <w:adjustRightInd w:val="0"/>
        <w:snapToGrid w:val="0"/>
        <w:spacing w:line="560" w:lineRule="exact"/>
        <w:ind w:firstLine="656" w:firstLineChars="200"/>
        <w:contextualSpacing/>
        <w:rPr>
          <w:rFonts w:hint="eastAsia" w:ascii="Times New Roman" w:hAnsi="Times New Roman" w:eastAsia="仿宋_GB2312" w:cs="Times New Roman"/>
          <w:color w:val="000000"/>
          <w:spacing w:val="4"/>
          <w:kern w:val="0"/>
          <w:sz w:val="32"/>
          <w:szCs w:val="32"/>
          <w:shd w:val="clear" w:color="auto" w:fill="FFFFFF"/>
          <w:lang w:val="zh-CN" w:eastAsia="zh-CN"/>
        </w:rPr>
      </w:pPr>
      <w:r>
        <w:rPr>
          <w:rFonts w:hint="default" w:ascii="Times New Roman" w:hAnsi="Times New Roman" w:eastAsia="仿宋_GB2312" w:cs="Times New Roman"/>
          <w:color w:val="000000"/>
          <w:spacing w:val="4"/>
          <w:kern w:val="0"/>
          <w:sz w:val="32"/>
          <w:szCs w:val="32"/>
          <w:shd w:val="clear" w:color="auto" w:fill="FFFFFF"/>
          <w:lang w:val="zh-CN"/>
        </w:rPr>
        <w:t>我部在年初根据县财政要求，在规定时间按照统一格式、内容、口径在米易县人民政府网站及时公开了预算绩效情况。做到了基础数据真实、准确、完整。</w:t>
      </w:r>
      <w:r>
        <w:rPr>
          <w:rFonts w:hint="default" w:ascii="Times New Roman" w:hAnsi="Times New Roman" w:eastAsia="仿宋_GB2312" w:cs="Times New Roman"/>
          <w:color w:val="000000"/>
          <w:sz w:val="32"/>
          <w:szCs w:val="32"/>
        </w:rPr>
        <w:t>严格按照</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统筹兼顾、厉行节约、保障重点、注重绩效</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的原则，结合当年重点工作需要，明确绩效目标，做好绩效目标管理工作，从数量、质量、成本、时效、效益等方面细化量化绩效目标，加强目标绩效管理，确保全年目标任务的完成</w:t>
      </w:r>
      <w:r>
        <w:rPr>
          <w:rFonts w:hint="eastAsia" w:eastAsia="仿宋_GB2312" w:cs="Times New Roman"/>
          <w:color w:val="000000"/>
          <w:sz w:val="32"/>
          <w:szCs w:val="32"/>
          <w:lang w:eastAsia="zh-CN"/>
        </w:rPr>
        <w:t>。</w:t>
      </w:r>
    </w:p>
    <w:p w14:paraId="7CB3460B">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14:paraId="1C2F2053">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eastAsia" w:ascii="楷体_GB2312" w:hAnsi="宋体" w:eastAsia="楷体_GB2312" w:cs="Times New Roman"/>
          <w:b w:val="0"/>
          <w:bCs/>
          <w:kern w:val="2"/>
          <w:sz w:val="32"/>
          <w:szCs w:val="32"/>
          <w:lang w:val="zh-CN" w:eastAsia="zh-CN" w:bidi="ar-SA"/>
        </w:rPr>
        <w:t>（一）</w:t>
      </w:r>
      <w:r>
        <w:rPr>
          <w:rFonts w:hint="default" w:ascii="楷体_GB2312" w:hAnsi="宋体" w:eastAsia="楷体_GB2312" w:cs="Times New Roman"/>
          <w:b w:val="0"/>
          <w:bCs/>
          <w:kern w:val="2"/>
          <w:sz w:val="32"/>
          <w:szCs w:val="32"/>
          <w:lang w:val="zh-CN" w:eastAsia="zh-CN" w:bidi="ar-SA"/>
        </w:rPr>
        <w:t>评价结论</w:t>
      </w:r>
    </w:p>
    <w:p w14:paraId="262DA113">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我部将部门整体支出绩效评价作为财政预算资金使用管理的一项重要工作，切实加强预算收入管理，全面梳理内部管理流程，建立健全内部管理制度，有效提升了部门整体支出管理水平，根据部门整体支出绩效评价指标体系，自评综合得分为88分。整体上完成了年初设定的绩效目标，保障了部门各单位的正常运转，促进了宣传事务的发展，充分发挥了财政资金的经济效益和社会效益。</w:t>
      </w:r>
    </w:p>
    <w:p w14:paraId="78C72356">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（二）存在问题</w:t>
      </w:r>
    </w:p>
    <w:p w14:paraId="18A0B615">
      <w:pPr>
        <w:widowControl/>
        <w:adjustRightInd w:val="0"/>
        <w:snapToGrid w:val="0"/>
        <w:spacing w:line="560" w:lineRule="exact"/>
        <w:ind w:firstLine="640" w:firstLineChars="200"/>
        <w:contextualSpacing/>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预算管理不够精细，有些项目资金争取及实际支付到位进度缓慢。</w:t>
      </w:r>
    </w:p>
    <w:p w14:paraId="35F5A809">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（三）改进建议</w:t>
      </w:r>
    </w:p>
    <w:p w14:paraId="465A4ED1">
      <w:pPr>
        <w:widowControl/>
        <w:adjustRightInd w:val="0"/>
        <w:snapToGrid w:val="0"/>
        <w:spacing w:line="540" w:lineRule="exact"/>
        <w:ind w:firstLine="627" w:firstLineChars="196"/>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进一步细化和加强预算编制和预算管理，加强与政府和</w:t>
      </w:r>
      <w:r>
        <w:rPr>
          <w:rFonts w:hint="default" w:ascii="Times New Roman" w:hAnsi="Times New Roman" w:eastAsia="仿宋_GB2312" w:cs="Times New Roman"/>
          <w:color w:val="000000"/>
          <w:spacing w:val="-6"/>
          <w:sz w:val="32"/>
          <w:szCs w:val="32"/>
        </w:rPr>
        <w:t>财政部门的沟通和协调，确保预算资金的及时下达及支付到位。</w:t>
      </w:r>
    </w:p>
    <w:p w14:paraId="17E2CE9D">
      <w:pPr>
        <w:widowControl/>
        <w:adjustRightInd w:val="0"/>
        <w:snapToGrid w:val="0"/>
        <w:spacing w:line="540" w:lineRule="exact"/>
        <w:ind w:firstLine="627" w:firstLineChars="196"/>
        <w:jc w:val="left"/>
        <w:rPr>
          <w:rFonts w:hint="default" w:ascii="Times New Roman" w:hAnsi="Times New Roman" w:eastAsia="仿宋_GB2312" w:cs="Times New Roman"/>
          <w:color w:val="000000"/>
          <w:sz w:val="32"/>
          <w:szCs w:val="32"/>
        </w:rPr>
      </w:pPr>
    </w:p>
    <w:p w14:paraId="4BD9870D">
      <w:pPr>
        <w:spacing w:line="580" w:lineRule="exact"/>
        <w:rPr>
          <w:rFonts w:ascii="黑体" w:hAnsi="黑体" w:eastAsia="黑体" w:cs="黑体"/>
          <w:sz w:val="32"/>
          <w:szCs w:val="32"/>
        </w:rPr>
      </w:pPr>
    </w:p>
    <w:p w14:paraId="6D698DDD">
      <w:pPr>
        <w:pStyle w:val="2"/>
      </w:pPr>
    </w:p>
    <w:p w14:paraId="599AD44D">
      <w:pPr>
        <w:pStyle w:val="2"/>
      </w:pPr>
    </w:p>
    <w:p w14:paraId="5802D777">
      <w:pPr>
        <w:spacing w:line="572" w:lineRule="exact"/>
        <w:jc w:val="left"/>
        <w:outlineLvl w:val="0"/>
        <w:rPr>
          <w:rFonts w:hint="default"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hint="default" w:ascii="Times New Roman" w:hAnsi="Times New Roman" w:eastAsia="黑体" w:cs="Times New Roman"/>
          <w:sz w:val="32"/>
          <w:szCs w:val="32"/>
        </w:rPr>
        <w:t>2</w:t>
      </w:r>
    </w:p>
    <w:p w14:paraId="1AE89CB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default" w:ascii="Times New Roman" w:hAnsi="Times New Roman" w:eastAsia="小标宋" w:cs="Times New Roman"/>
        </w:rPr>
      </w:pPr>
      <w:r>
        <w:rPr>
          <w:rStyle w:val="30"/>
          <w:rFonts w:hint="eastAsia" w:eastAsia="小标宋" w:cs="Times New Roman"/>
          <w:lang w:eastAsia="zh-CN"/>
        </w:rPr>
        <w:t>“</w:t>
      </w:r>
      <w:r>
        <w:rPr>
          <w:rStyle w:val="30"/>
          <w:rFonts w:hint="eastAsia" w:ascii="Times New Roman" w:hAnsi="Times New Roman" w:eastAsia="小标宋" w:cs="Times New Roman"/>
        </w:rPr>
        <w:t>清凉度假</w:t>
      </w:r>
      <w:r>
        <w:rPr>
          <w:rStyle w:val="30"/>
          <w:rFonts w:hint="eastAsia" w:eastAsia="小标宋" w:cs="Times New Roman"/>
          <w:lang w:val="en-US" w:eastAsia="zh-CN"/>
        </w:rPr>
        <w:t>·</w:t>
      </w:r>
      <w:r>
        <w:rPr>
          <w:rStyle w:val="30"/>
          <w:rFonts w:hint="eastAsia" w:ascii="Times New Roman" w:hAnsi="Times New Roman" w:eastAsia="小标宋" w:cs="Times New Roman"/>
        </w:rPr>
        <w:t>在米易</w:t>
      </w:r>
      <w:r>
        <w:rPr>
          <w:rStyle w:val="30"/>
          <w:rFonts w:hint="eastAsia" w:eastAsia="小标宋" w:cs="Times New Roman"/>
          <w:lang w:eastAsia="zh-CN"/>
        </w:rPr>
        <w:t>”</w:t>
      </w:r>
      <w:r>
        <w:rPr>
          <w:rStyle w:val="30"/>
          <w:rFonts w:hint="eastAsia" w:ascii="Times New Roman" w:hAnsi="Times New Roman" w:eastAsia="小标宋" w:cs="Times New Roman"/>
        </w:rPr>
        <w:t>推介采风行活动</w:t>
      </w:r>
    </w:p>
    <w:p w14:paraId="13CDAA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default" w:ascii="Times New Roman" w:hAnsi="Times New Roman" w:eastAsia="小标宋" w:cs="Times New Roman"/>
          <w:lang w:val="zh-CN"/>
        </w:rPr>
      </w:pPr>
      <w:r>
        <w:rPr>
          <w:rStyle w:val="30"/>
          <w:rFonts w:hint="eastAsia" w:ascii="Times New Roman" w:hAnsi="Times New Roman" w:eastAsia="小标宋" w:cs="Times New Roman"/>
          <w:lang w:val="zh-CN"/>
        </w:rPr>
        <w:t>项目</w:t>
      </w:r>
      <w:r>
        <w:rPr>
          <w:rStyle w:val="30"/>
          <w:rFonts w:hint="eastAsia" w:eastAsia="小标宋" w:cs="Times New Roman"/>
          <w:lang w:val="zh-CN"/>
        </w:rPr>
        <w:t>支出</w:t>
      </w:r>
      <w:r>
        <w:rPr>
          <w:rStyle w:val="30"/>
          <w:rFonts w:hint="eastAsia" w:ascii="Times New Roman" w:hAnsi="Times New Roman" w:eastAsia="小标宋" w:cs="Times New Roman"/>
          <w:lang w:val="zh-CN"/>
        </w:rPr>
        <w:t>绩效</w:t>
      </w:r>
      <w:r>
        <w:rPr>
          <w:rStyle w:val="30"/>
          <w:rFonts w:hint="eastAsia" w:eastAsia="小标宋" w:cs="Times New Roman"/>
          <w:lang w:val="zh-CN"/>
        </w:rPr>
        <w:t>自评</w:t>
      </w:r>
      <w:r>
        <w:rPr>
          <w:rStyle w:val="30"/>
          <w:rFonts w:hint="eastAsia" w:ascii="Times New Roman" w:hAnsi="Times New Roman" w:eastAsia="小标宋" w:cs="Times New Roman"/>
          <w:lang w:val="zh-CN"/>
        </w:rPr>
        <w:t>报告</w:t>
      </w:r>
    </w:p>
    <w:p w14:paraId="577D3581">
      <w:pPr>
        <w:spacing w:line="600" w:lineRule="exact"/>
        <w:rPr>
          <w:rFonts w:ascii="宋体"/>
          <w:sz w:val="32"/>
          <w:szCs w:val="32"/>
          <w:lang w:val="zh-CN"/>
        </w:rPr>
      </w:pPr>
    </w:p>
    <w:p w14:paraId="5BFC8F8F">
      <w:pPr>
        <w:widowControl/>
        <w:adjustRightInd w:val="0"/>
        <w:snapToGrid w:val="0"/>
        <w:spacing w:line="560" w:lineRule="exact"/>
        <w:ind w:firstLine="640" w:firstLineChars="200"/>
        <w:contextualSpacing/>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项目概况</w:t>
      </w:r>
    </w:p>
    <w:p w14:paraId="45DE5B5B">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eastAsia" w:ascii="楷体_GB2312" w:hAnsi="宋体" w:eastAsia="楷体_GB2312" w:cs="Times New Roman"/>
          <w:b w:val="0"/>
          <w:bCs/>
          <w:kern w:val="2"/>
          <w:sz w:val="32"/>
          <w:szCs w:val="32"/>
          <w:lang w:val="zh-CN" w:eastAsia="zh-CN" w:bidi="ar-SA"/>
        </w:rPr>
        <w:t>（一）项目基本情况</w:t>
      </w:r>
    </w:p>
    <w:p w14:paraId="0541A813">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1.在该项目管理中的职能</w:t>
      </w:r>
    </w:p>
    <w:p w14:paraId="544CE1BA">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我部负责统筹此次活动，落实场地和场地布置，做好新闻通稿的制定和发布，做好媒体邀请、媒体代表发言、分组活动安排组织和对口服务保障工作。</w:t>
      </w:r>
    </w:p>
    <w:p w14:paraId="18D1B318">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2.项目立项、资金申报的依据</w:t>
      </w:r>
    </w:p>
    <w:p w14:paraId="0C4696BB">
      <w:pPr>
        <w:adjustRightInd w:val="0"/>
        <w:snapToGrid w:val="0"/>
        <w:spacing w:line="600" w:lineRule="exact"/>
        <w:ind w:firstLine="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随着全国疫情防控，我县冬季康养旅游度假受到严重影响。为加快繁荣我县康养旅游度假事业，通过</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请进来</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的对外宣传方式，持续巩固和深刻米易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冬日暖阳、夏季清凉</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康养度假品牌和形象，助推米易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天府旅游名县</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建设，结合实际情况制定本活动。</w:t>
      </w:r>
    </w:p>
    <w:p w14:paraId="7C7ABC03">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3.资金管理办法制定情况</w:t>
      </w:r>
    </w:p>
    <w:p w14:paraId="10F7C291">
      <w:pPr>
        <w:adjustRightInd w:val="0"/>
        <w:snapToGrid w:val="0"/>
        <w:spacing w:line="600" w:lineRule="exact"/>
        <w:ind w:firstLine="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各项目责任单位根据</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清凉度假在米易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推介采风行方案中所涉及的工作性质制定各自资金管理办法。</w:t>
      </w:r>
    </w:p>
    <w:p w14:paraId="195286CF">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4.资金分配的原则</w:t>
      </w:r>
    </w:p>
    <w:p w14:paraId="445B6D89">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清凉度假</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在米易</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推介采风行活动费用根据各责任单位实际负责内容发生的费用来分配。</w:t>
      </w:r>
    </w:p>
    <w:p w14:paraId="75A76FE9">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（二）项目绩效目标</w:t>
      </w:r>
    </w:p>
    <w:p w14:paraId="15313234">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1.项目主要内容</w:t>
      </w:r>
    </w:p>
    <w:p w14:paraId="4D042BC9">
      <w:pPr>
        <w:adjustRightInd w:val="0"/>
        <w:snapToGrid w:val="0"/>
        <w:spacing w:line="600" w:lineRule="exact"/>
        <w:ind w:firstLine="72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此次</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清凉度假</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在米易</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推介采风行活动项目由启动仪式、体验行采风、旅游线路开发签约等环节构成，邀请到中国旅游报、中国经济网、新华网（四川频道）、中国新闻社四川分社等21家主流媒体和新媒体的记者33名，成都自驾游协会、成都旅游协会等17家文旅团体和企业代表19人参加此次推介采风行活动。</w:t>
      </w:r>
    </w:p>
    <w:p w14:paraId="2CAF2337">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2.项目应实现的具体绩效目标</w:t>
      </w:r>
    </w:p>
    <w:p w14:paraId="485FDC73">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以</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清凉度假在米易 巴适又安逸</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为主题，举办</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清凉度假</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在米易</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推介采风行活动，向外界全面展示米易县持续巩固和提升</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夏季清凉冬</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日暖阳</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康养旅游品牌，提振康养旅游消费市场，助力</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天府旅游名县</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创建，倾力打造国际阳光康养旅游度假目的地的生动实践，并借此机会巩固米易对外招商工作。</w:t>
      </w:r>
    </w:p>
    <w:p w14:paraId="23ED626F">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清凉度假</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在米易</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推介采风行活动经费申报内容与实际相符，申报目标合理可行。</w:t>
      </w:r>
    </w:p>
    <w:p w14:paraId="71E129C2">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（三）项目自评步骤及方法</w:t>
      </w:r>
    </w:p>
    <w:p w14:paraId="175A6099">
      <w:pPr>
        <w:widowControl/>
        <w:snapToGrid w:val="0"/>
        <w:spacing w:line="600" w:lineRule="atLeast"/>
        <w:ind w:firstLine="640" w:firstLineChars="200"/>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一是确定评价对象</w:t>
      </w:r>
      <w:r>
        <w:rPr>
          <w:rFonts w:hint="eastAsia" w:eastAsia="仿宋_GB2312" w:cs="Times New Roman"/>
          <w:kern w:val="0"/>
          <w:sz w:val="32"/>
          <w:szCs w:val="32"/>
          <w:lang w:eastAsia="zh-CN"/>
        </w:rPr>
        <w:t>。</w:t>
      </w:r>
    </w:p>
    <w:p w14:paraId="344F76F0">
      <w:pPr>
        <w:widowControl/>
        <w:snapToGrid w:val="0"/>
        <w:spacing w:line="600" w:lineRule="atLeas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二是收集整理项目基础资料和财务资料。</w:t>
      </w:r>
    </w:p>
    <w:p w14:paraId="16046C1F">
      <w:pPr>
        <w:widowControl/>
        <w:snapToGrid w:val="0"/>
        <w:spacing w:line="600" w:lineRule="atLeas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三是梳理评价重点。对项目实施薄弱环节、绩效内容进行梳理，作为评价重点和目标。</w:t>
      </w:r>
    </w:p>
    <w:p w14:paraId="40E4532F">
      <w:pPr>
        <w:adjustRightInd w:val="0"/>
        <w:snapToGrid w:val="0"/>
        <w:spacing w:line="600" w:lineRule="exact"/>
        <w:ind w:firstLine="72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四是开展项目自评。根据项目特性指标开展自评，并撰写项目支出绩效自评报告。</w:t>
      </w:r>
    </w:p>
    <w:p w14:paraId="346FD393">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二、项目资金申报及使用情况</w:t>
      </w:r>
    </w:p>
    <w:p w14:paraId="01AC117D">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（一）项目资金申报及批复情况</w:t>
      </w:r>
    </w:p>
    <w:p w14:paraId="0222A9A7">
      <w:pPr>
        <w:adjustRightInd w:val="0"/>
        <w:snapToGrid w:val="0"/>
        <w:spacing w:line="600" w:lineRule="exact"/>
        <w:ind w:firstLine="720"/>
        <w:rPr>
          <w:rFonts w:hint="default" w:ascii="Times New Roman" w:hAnsi="Times New Roman" w:eastAsia="仿宋_GB2312" w:cs="Times New Roman"/>
          <w:spacing w:val="-10"/>
          <w:kern w:val="0"/>
          <w:sz w:val="32"/>
          <w:szCs w:val="32"/>
        </w:rPr>
      </w:pPr>
      <w:r>
        <w:rPr>
          <w:rFonts w:hint="default" w:ascii="Times New Roman" w:hAnsi="Times New Roman" w:eastAsia="仿宋_GB2312" w:cs="Times New Roman"/>
          <w:sz w:val="32"/>
          <w:szCs w:val="32"/>
          <w:lang w:val="zh-CN"/>
        </w:rPr>
        <w:t>项目各实施单位根据工作内容申报实际发生资金，待我部实施项目的相关工作人员审核后向县政府申报项目总金额。经县政府批准后报县财政局，</w:t>
      </w:r>
      <w:r>
        <w:rPr>
          <w:rFonts w:hint="eastAsia" w:eastAsia="仿宋_GB2312" w:cs="Times New Roman"/>
          <w:sz w:val="32"/>
          <w:szCs w:val="32"/>
          <w:lang w:val="zh-CN"/>
        </w:rPr>
        <w:t>县</w:t>
      </w:r>
      <w:r>
        <w:rPr>
          <w:rFonts w:hint="default" w:ascii="Times New Roman" w:hAnsi="Times New Roman" w:eastAsia="仿宋_GB2312" w:cs="Times New Roman"/>
          <w:sz w:val="32"/>
          <w:szCs w:val="32"/>
          <w:lang w:val="zh-CN"/>
        </w:rPr>
        <w:t>财政局根据项目各实施单位实际发生金额将指标下达到各单位。</w:t>
      </w:r>
    </w:p>
    <w:p w14:paraId="225CCB17">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（二）资金计划、到位及使用情况</w:t>
      </w:r>
    </w:p>
    <w:p w14:paraId="29B1C48B">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楷体_GB2312" w:cs="Times New Roman"/>
          <w:sz w:val="32"/>
          <w:szCs w:val="32"/>
          <w:lang w:val="zh-CN"/>
        </w:rPr>
        <w:t>1.</w:t>
      </w:r>
      <w:r>
        <w:rPr>
          <w:rFonts w:hint="eastAsia" w:ascii="仿宋_GB2312" w:hAnsi="仿宋_GB2312" w:eastAsia="仿宋_GB2312" w:cs="仿宋_GB2312"/>
          <w:sz w:val="32"/>
          <w:szCs w:val="32"/>
          <w:lang w:val="zh-CN"/>
        </w:rPr>
        <w:t>资金计划</w:t>
      </w:r>
    </w:p>
    <w:p w14:paraId="32F8EA4B">
      <w:pPr>
        <w:widowControl/>
        <w:snapToGrid w:val="0"/>
        <w:spacing w:line="600" w:lineRule="atLeas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在项目计划阶段，根据工作方案，初步草拟了活动经费预算表，项目资金为县财政资金。</w:t>
      </w:r>
    </w:p>
    <w:p w14:paraId="2E6A3A91">
      <w:pPr>
        <w:adjustRightInd w:val="0"/>
        <w:snapToGrid w:val="0"/>
        <w:spacing w:line="60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2.</w:t>
      </w:r>
      <w:r>
        <w:rPr>
          <w:rFonts w:hint="default" w:ascii="Times New Roman" w:hAnsi="Times New Roman" w:eastAsia="仿宋_GB2312" w:cs="Times New Roman"/>
          <w:sz w:val="32"/>
          <w:szCs w:val="32"/>
          <w:lang w:val="zh-CN"/>
        </w:rPr>
        <w:t>资金到位</w:t>
      </w:r>
    </w:p>
    <w:p w14:paraId="5E861E4A">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项目实施完成后，我部统计各项目实施单位实际发生费用，经向县政府、县财政局申报县财政资金后，县财政局已将各项目实施单位实际发生资金下达到各项目实施单位。</w:t>
      </w:r>
    </w:p>
    <w:p w14:paraId="364EF591">
      <w:pPr>
        <w:adjustRightInd w:val="0"/>
        <w:snapToGrid w:val="0"/>
        <w:spacing w:line="600" w:lineRule="exact"/>
        <w:ind w:firstLine="720"/>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3.</w:t>
      </w:r>
      <w:r>
        <w:rPr>
          <w:rFonts w:hint="default" w:ascii="Times New Roman" w:hAnsi="Times New Roman" w:eastAsia="仿宋_GB2312" w:cs="Times New Roman"/>
          <w:sz w:val="32"/>
          <w:szCs w:val="32"/>
          <w:lang w:val="zh-CN"/>
        </w:rPr>
        <w:t>资金使用</w:t>
      </w:r>
    </w:p>
    <w:p w14:paraId="591898EC">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rPr>
        <w:t>2021年支出项目资金24万元。资金支付范围、支付标准、支付进度、支付依据等都是合规合法。</w:t>
      </w:r>
    </w:p>
    <w:p w14:paraId="6DE1E7A2">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（三）项目财务管理情况</w:t>
      </w:r>
    </w:p>
    <w:p w14:paraId="5849C1AF">
      <w:pPr>
        <w:widowControl/>
        <w:spacing w:line="600" w:lineRule="atLeas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我部在收到财政下达指标后，按照资金的用途，及时拨付各项款项。财务管理制度健全，严格执行财务管理制度，账务处理及时，会计核算规范。</w:t>
      </w:r>
    </w:p>
    <w:p w14:paraId="5D62BC5E">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三、项目实施及管理情况</w:t>
      </w:r>
    </w:p>
    <w:p w14:paraId="544B7BD8">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（一）项目组织架构及实施流程</w:t>
      </w:r>
    </w:p>
    <w:p w14:paraId="7A3D5EDF">
      <w:pPr>
        <w:adjustRightInd w:val="0"/>
        <w:snapToGrid w:val="0"/>
        <w:spacing w:line="600" w:lineRule="exact"/>
        <w:ind w:firstLine="720"/>
        <w:rPr>
          <w:rFonts w:hint="default" w:ascii="Times New Roman" w:hAnsi="Times New Roman" w:eastAsia="仿宋_GB2312" w:cs="Times New Roman"/>
          <w:kern w:val="0"/>
          <w:sz w:val="32"/>
          <w:szCs w:val="32"/>
        </w:rPr>
      </w:pP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清凉度假</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在米易</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推介采风行活动</w:t>
      </w:r>
      <w:r>
        <w:rPr>
          <w:rFonts w:hint="default" w:ascii="Times New Roman" w:hAnsi="Times New Roman" w:eastAsia="仿宋_GB2312" w:cs="Times New Roman"/>
          <w:sz w:val="32"/>
          <w:szCs w:val="32"/>
          <w:lang w:val="zh-CN"/>
        </w:rPr>
        <w:t>在活动初期制作了活动工作方案，成立了活动工作领导小组，明确了工作推进机构及其职责。活动分为三个环节，依次进行：</w:t>
      </w:r>
      <w:r>
        <w:rPr>
          <w:rFonts w:hint="default" w:ascii="Times New Roman" w:hAnsi="Times New Roman" w:eastAsia="仿宋_GB2312" w:cs="Times New Roman"/>
          <w:kern w:val="0"/>
          <w:sz w:val="32"/>
          <w:szCs w:val="32"/>
        </w:rPr>
        <w:t>启动仪式、分组体验采风、旅游线路开发签约。</w:t>
      </w:r>
    </w:p>
    <w:p w14:paraId="49F31FC3">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（二）项目管理情况</w:t>
      </w:r>
    </w:p>
    <w:p w14:paraId="0C4B650E">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rPr>
        <w:t>资金批复后，及时与各相关项目实施单位做好对接，资金管理按照规定，专款专用，严格执行从申请</w:t>
      </w:r>
      <w:r>
        <w:rPr>
          <w:rFonts w:hint="default" w:ascii="Times New Roman" w:hAnsi="Times New Roman" w:cs="Times New Roman"/>
          <w:kern w:val="0"/>
          <w:sz w:val="32"/>
          <w:szCs w:val="32"/>
        </w:rPr>
        <w:t>—</w:t>
      </w:r>
      <w:r>
        <w:rPr>
          <w:rFonts w:hint="default" w:ascii="Times New Roman" w:hAnsi="Times New Roman" w:eastAsia="仿宋_GB2312" w:cs="Times New Roman"/>
          <w:kern w:val="0"/>
          <w:sz w:val="32"/>
          <w:szCs w:val="32"/>
        </w:rPr>
        <w:t>审核</w:t>
      </w:r>
      <w:r>
        <w:rPr>
          <w:rFonts w:hint="default" w:ascii="Times New Roman" w:hAnsi="Times New Roman" w:cs="Times New Roman"/>
          <w:kern w:val="0"/>
          <w:sz w:val="32"/>
          <w:szCs w:val="32"/>
        </w:rPr>
        <w:t>—</w:t>
      </w:r>
      <w:r>
        <w:rPr>
          <w:rFonts w:hint="default" w:ascii="Times New Roman" w:hAnsi="Times New Roman" w:eastAsia="仿宋_GB2312" w:cs="Times New Roman"/>
          <w:kern w:val="0"/>
          <w:sz w:val="32"/>
          <w:szCs w:val="32"/>
        </w:rPr>
        <w:t>领导批准支付的操作程序，手续齐全，程序到位，资金使用规范，会计核算真实、准确。</w:t>
      </w:r>
    </w:p>
    <w:p w14:paraId="5805F261">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四、项目绩效情况</w:t>
      </w:r>
    </w:p>
    <w:p w14:paraId="29338FC2">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（一）项目完成情况</w:t>
      </w:r>
    </w:p>
    <w:p w14:paraId="180CAD3F">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清凉度假</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在米易</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推介采风行活动按照方案，圆满完成启动仪式、体验行采风、旅游线路开发签约等活动。邀请到21家主流媒体和新媒体的记者33名，17家文旅团体和企业代表19人参加此次推介采风行活动。</w:t>
      </w:r>
    </w:p>
    <w:p w14:paraId="2EB4B39A">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（二）项目效益情况</w:t>
      </w:r>
    </w:p>
    <w:p w14:paraId="719AD242">
      <w:pPr>
        <w:spacing w:line="600" w:lineRule="exact"/>
        <w:ind w:firstLine="663"/>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1.巩固和扩大康养旅游成果</w:t>
      </w:r>
    </w:p>
    <w:p w14:paraId="06AA1E85">
      <w:pPr>
        <w:spacing w:line="600" w:lineRule="exact"/>
        <w:ind w:firstLine="659" w:firstLineChars="206"/>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为巩固和持续提升米易县</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夏季清凉、冬日暖阳</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康养旅游品牌，活动过后，米易县文旅餐饮业已恢复到同期的90%以上，贡献了米易力量。</w:t>
      </w:r>
    </w:p>
    <w:p w14:paraId="254A2DE5">
      <w:pPr>
        <w:spacing w:line="600" w:lineRule="exact"/>
        <w:ind w:firstLine="663"/>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2.对外合作呈现多元化态势</w:t>
      </w:r>
    </w:p>
    <w:p w14:paraId="18D6151C">
      <w:pPr>
        <w:spacing w:line="600" w:lineRule="exact"/>
        <w:ind w:firstLine="66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本次活动，21家中央、省级及市级媒体记者和17家省内知名企业代表，先后前往颛顼龙洞、米易梯田、米易枇杷生态园等地，亲身体验</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清凉度假·在米易</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独特魅力，对提升米易的外向度、知名度起到积极的助推作用。米易县人民政府与旅游协会等签订合作框架协议，推出特色旅游线路，每年将组织省内外游客前来米易康养旅游度假。本次签约把米易的优势旅游资源向外推介，同时也把外部的旅游资源引到米易，助力米易康养旅游业的发展。</w:t>
      </w:r>
    </w:p>
    <w:p w14:paraId="0EDB1ACE">
      <w:pPr>
        <w:spacing w:line="600" w:lineRule="exact"/>
        <w:ind w:left="64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3.提升米易的外向度知名度</w:t>
      </w:r>
    </w:p>
    <w:p w14:paraId="11251C84">
      <w:pPr>
        <w:spacing w:line="600" w:lineRule="exact"/>
        <w:ind w:firstLine="66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中国新闻网、四川日报、四川电视台等主流媒体关注本次活动并推送相关新闻近150条，向外界展示了米易县古老的傈僳风情、优美的田园风光和米易县农文旅融合发展取得的丰硕成果。</w:t>
      </w:r>
    </w:p>
    <w:p w14:paraId="1E6EFBD9">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五、评价结论及建议</w:t>
      </w:r>
    </w:p>
    <w:p w14:paraId="32232961">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（一）评价结论</w:t>
      </w:r>
    </w:p>
    <w:p w14:paraId="786A7C2C">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通过举办</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清凉度假·在米易</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推介采风行活动，对提升米易的外向度、知名度起到积极的助推作用，助力了米易康养旅游业的发展，借机巩固了米易对外招商工作，巩固和扩大了康养旅游成果。</w:t>
      </w:r>
    </w:p>
    <w:p w14:paraId="5D29B1F2">
      <w:pPr>
        <w:adjustRightInd w:val="0"/>
        <w:snapToGrid w:val="0"/>
        <w:spacing w:line="600" w:lineRule="exact"/>
        <w:ind w:firstLine="720"/>
        <w:rPr>
          <w:rFonts w:hint="default" w:ascii="楷体_GB2312" w:hAnsi="宋体" w:eastAsia="楷体_GB2312" w:cs="Times New Roman"/>
          <w:b w:val="0"/>
          <w:bCs/>
          <w:kern w:val="2"/>
          <w:sz w:val="32"/>
          <w:szCs w:val="32"/>
          <w:lang w:val="zh-CN" w:eastAsia="zh-CN" w:bidi="ar-SA"/>
        </w:rPr>
      </w:pPr>
      <w:r>
        <w:rPr>
          <w:rFonts w:hint="default" w:ascii="楷体_GB2312" w:hAnsi="宋体" w:eastAsia="楷体_GB2312" w:cs="Times New Roman"/>
          <w:b w:val="0"/>
          <w:bCs/>
          <w:kern w:val="2"/>
          <w:sz w:val="32"/>
          <w:szCs w:val="32"/>
          <w:lang w:val="zh-CN" w:eastAsia="zh-CN" w:bidi="ar-SA"/>
        </w:rPr>
        <w:t>（二）相关建议</w:t>
      </w:r>
    </w:p>
    <w:p w14:paraId="03FA1D62">
      <w:pPr>
        <w:spacing w:line="58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冬日暖阳、夏季清凉</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康养旅游品牌打造，同时拓展康养载体，完善配套功能，更好地满足各方面康养度假人群的需求，让米易真正成为闻者向往、来者依恋、居者自豪的美丽宜居公园城和环境安稳、生活安逸、秩序安定的阳光康养目的地。</w:t>
      </w:r>
    </w:p>
    <w:p w14:paraId="2C574EEF">
      <w:pPr>
        <w:pStyle w:val="2"/>
        <w:spacing w:before="93"/>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附表：</w:t>
      </w:r>
    </w:p>
    <w:tbl>
      <w:tblPr>
        <w:tblStyle w:val="12"/>
        <w:tblpPr w:leftFromText="180" w:rightFromText="180" w:vertAnchor="text" w:horzAnchor="page" w:tblpX="1399" w:tblpY="218"/>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14:paraId="55ABE210">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vAlign w:val="center"/>
          </w:tcPr>
          <w:p w14:paraId="062DFC2F">
            <w:pPr>
              <w:widowControl/>
              <w:jc w:val="center"/>
              <w:textAlignment w:val="center"/>
              <w:rPr>
                <w:rFonts w:ascii="宋体" w:hAnsi="宋体" w:cs="宋体"/>
                <w:b/>
                <w:sz w:val="32"/>
                <w:szCs w:val="32"/>
              </w:rPr>
            </w:pPr>
            <w:r>
              <w:rPr>
                <w:rFonts w:hint="eastAsia" w:ascii="宋体" w:hAnsi="宋体" w:cs="宋体"/>
                <w:b/>
                <w:sz w:val="32"/>
                <w:szCs w:val="32"/>
              </w:rPr>
              <w:t>2021年特定目标类部门预算项目绩效目标自评</w:t>
            </w:r>
          </w:p>
        </w:tc>
        <w:tc>
          <w:tcPr>
            <w:tcW w:w="236" w:type="dxa"/>
            <w:tcBorders>
              <w:top w:val="nil"/>
              <w:left w:val="nil"/>
              <w:bottom w:val="nil"/>
              <w:right w:val="nil"/>
            </w:tcBorders>
            <w:shd w:val="clear" w:color="auto" w:fill="auto"/>
            <w:vAlign w:val="center"/>
          </w:tcPr>
          <w:p w14:paraId="0AA185FB">
            <w:pPr>
              <w:widowControl/>
              <w:jc w:val="center"/>
              <w:textAlignment w:val="center"/>
              <w:rPr>
                <w:rFonts w:ascii="宋体" w:hAnsi="宋体" w:cs="宋体"/>
                <w:b/>
                <w:kern w:val="0"/>
                <w:sz w:val="32"/>
                <w:szCs w:val="32"/>
              </w:rPr>
            </w:pPr>
          </w:p>
        </w:tc>
      </w:tr>
      <w:tr w14:paraId="242F04EA">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728A9">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EB150">
            <w:pPr>
              <w:widowControl/>
              <w:spacing w:line="320" w:lineRule="exact"/>
              <w:textAlignment w:val="center"/>
              <w:rPr>
                <w:rFonts w:ascii="宋体" w:hAnsi="宋体" w:cs="宋体"/>
                <w:sz w:val="24"/>
              </w:rPr>
            </w:pPr>
            <w:r>
              <w:rPr>
                <w:rFonts w:hint="eastAsia" w:ascii="宋体" w:hAnsi="宋体" w:cs="宋体"/>
                <w:sz w:val="24"/>
              </w:rPr>
              <w:t>中共米易县委宣传部</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C3BF">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D1B5">
            <w:pPr>
              <w:widowControl/>
              <w:spacing w:line="320" w:lineRule="exact"/>
              <w:jc w:val="center"/>
              <w:textAlignment w:val="center"/>
              <w:rPr>
                <w:rFonts w:hint="eastAsia" w:ascii="宋体" w:hAnsi="宋体" w:eastAsia="宋体" w:cs="宋体"/>
                <w:color w:val="FF0000"/>
                <w:sz w:val="24"/>
                <w:lang w:eastAsia="zh-CN"/>
              </w:rPr>
            </w:pPr>
            <w:r>
              <w:rPr>
                <w:rFonts w:hint="eastAsia" w:ascii="宋体" w:hAnsi="宋体" w:cs="宋体"/>
                <w:color w:val="auto"/>
                <w:sz w:val="24"/>
              </w:rPr>
              <w:t>米投</w:t>
            </w:r>
            <w:r>
              <w:rPr>
                <w:rFonts w:hint="eastAsia" w:ascii="宋体" w:hAnsi="宋体" w:cs="宋体"/>
                <w:color w:val="auto"/>
                <w:sz w:val="24"/>
                <w:lang w:eastAsia="zh-CN"/>
              </w:rPr>
              <w:t>集团</w:t>
            </w:r>
          </w:p>
        </w:tc>
      </w:tr>
      <w:tr w14:paraId="31DA57A0">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52F97">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项目预算</w:t>
            </w:r>
          </w:p>
          <w:p w14:paraId="2F917FA2">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执行情况</w:t>
            </w:r>
          </w:p>
          <w:p w14:paraId="5CA21303">
            <w:pPr>
              <w:widowControl/>
              <w:spacing w:line="320" w:lineRule="exact"/>
              <w:jc w:val="center"/>
              <w:textAlignment w:val="center"/>
              <w:rPr>
                <w:rFonts w:ascii="宋体" w:hAnsi="宋体" w:cs="宋体"/>
                <w:sz w:val="24"/>
              </w:rPr>
            </w:pPr>
            <w:r>
              <w:rPr>
                <w:rFonts w:hint="eastAsia" w:ascii="宋体" w:hAns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2DA5">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6724">
            <w:pPr>
              <w:widowControl/>
              <w:spacing w:line="320" w:lineRule="exact"/>
              <w:jc w:val="left"/>
              <w:textAlignment w:val="center"/>
              <w:rPr>
                <w:rFonts w:ascii="宋体" w:hAnsi="宋体" w:cs="宋体"/>
                <w:sz w:val="24"/>
              </w:rPr>
            </w:pPr>
            <w:r>
              <w:rPr>
                <w:rFonts w:hint="eastAsia" w:ascii="宋体" w:hAnsi="宋体" w:cs="宋体"/>
                <w:sz w:val="24"/>
              </w:rPr>
              <w:t>24万元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1AA7">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927B">
            <w:pPr>
              <w:widowControl/>
              <w:spacing w:line="320" w:lineRule="exact"/>
              <w:jc w:val="left"/>
              <w:textAlignment w:val="center"/>
              <w:rPr>
                <w:rFonts w:ascii="宋体" w:hAnsi="宋体" w:cs="宋体"/>
                <w:sz w:val="24"/>
              </w:rPr>
            </w:pPr>
            <w:r>
              <w:rPr>
                <w:rFonts w:hint="eastAsia" w:ascii="宋体" w:hAnsi="宋体" w:cs="宋体"/>
                <w:sz w:val="24"/>
              </w:rPr>
              <w:t>24万元</w:t>
            </w:r>
          </w:p>
        </w:tc>
      </w:tr>
      <w:tr w14:paraId="12FA53A2">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5FB8F">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F3FE">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78C1743C">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860F">
            <w:pPr>
              <w:widowControl/>
              <w:spacing w:line="320" w:lineRule="exact"/>
              <w:jc w:val="left"/>
              <w:textAlignment w:val="center"/>
              <w:rPr>
                <w:rFonts w:ascii="宋体" w:hAnsi="宋体" w:cs="宋体"/>
                <w:sz w:val="24"/>
              </w:rPr>
            </w:pPr>
            <w:r>
              <w:rPr>
                <w:rFonts w:hint="eastAsia" w:ascii="宋体" w:hAnsi="宋体" w:cs="宋体"/>
                <w:sz w:val="24"/>
              </w:rPr>
              <w:t>24万元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FA23">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0B3F8779">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441F">
            <w:pPr>
              <w:widowControl/>
              <w:spacing w:line="320" w:lineRule="exact"/>
              <w:textAlignment w:val="center"/>
              <w:rPr>
                <w:rFonts w:ascii="宋体" w:hAnsi="宋体" w:cs="宋体"/>
                <w:sz w:val="24"/>
              </w:rPr>
            </w:pPr>
            <w:r>
              <w:rPr>
                <w:rFonts w:hint="eastAsia" w:ascii="宋体" w:hAnsi="宋体" w:cs="宋体"/>
                <w:sz w:val="24"/>
              </w:rPr>
              <w:t>24万元</w:t>
            </w:r>
          </w:p>
        </w:tc>
      </w:tr>
      <w:tr w14:paraId="19C78B06">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23FC">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731E">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933A">
            <w:pPr>
              <w:widowControl/>
              <w:spacing w:line="320" w:lineRule="exact"/>
              <w:jc w:val="left"/>
              <w:textAlignment w:val="center"/>
              <w:rPr>
                <w:rFonts w:ascii="宋体" w:hAns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950F">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7204">
            <w:pPr>
              <w:widowControl/>
              <w:spacing w:line="320" w:lineRule="exact"/>
              <w:jc w:val="center"/>
              <w:textAlignment w:val="center"/>
              <w:rPr>
                <w:rFonts w:ascii="宋体" w:hAnsi="宋体" w:cs="宋体"/>
                <w:sz w:val="24"/>
              </w:rPr>
            </w:pPr>
          </w:p>
        </w:tc>
      </w:tr>
      <w:tr w14:paraId="09B7E999">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A7ABD">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77391D56">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463D5">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803F1">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6EDAED49">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6DBF6">
            <w:pPr>
              <w:spacing w:line="320" w:lineRule="exact"/>
              <w:jc w:val="center"/>
              <w:rPr>
                <w:rFonts w:ascii="宋体" w:hAnsi="宋体" w:cs="宋体"/>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14:paraId="17F18CCD">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助推提升米易的外向度、知名度，助力米易康养旅游业的发展。</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tcPr>
          <w:p w14:paraId="2A92838A">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助推提升米易的外向度、知名度，助力米易康养旅游业的发展</w:t>
            </w:r>
          </w:p>
        </w:tc>
      </w:tr>
      <w:tr w14:paraId="7A4846A5">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14:paraId="73F0EE4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698B071A">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5B7C29F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832C">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195DCD8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E99C">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2B25612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E162">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3515">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2F42FEE1">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5C192767">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AA80B">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2345B1E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F98E9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4BBEA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E52AE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三个</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872D9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三个</w:t>
            </w:r>
          </w:p>
        </w:tc>
      </w:tr>
      <w:tr w14:paraId="559FE087">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49AE8806">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42C5C2F">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6CA9C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E2EDE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完成质量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18500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20A7E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r w14:paraId="67C5D32C">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3AD0736F">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8778530">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B57AB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0F3C9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D815D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1年</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0E254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已完成</w:t>
            </w:r>
          </w:p>
        </w:tc>
      </w:tr>
      <w:tr w14:paraId="4841D3AE">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1D6F6C15">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570FE8E">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E9F89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26D9B8">
            <w:pPr>
              <w:widowControl/>
              <w:spacing w:line="320" w:lineRule="exact"/>
              <w:jc w:val="center"/>
              <w:textAlignment w:val="bottom"/>
              <w:rPr>
                <w:rFonts w:ascii="仿宋_GB2312" w:hAnsi="仿宋_GB2312" w:eastAsia="仿宋_GB2312" w:cs="仿宋_GB2312"/>
                <w:sz w:val="28"/>
                <w:szCs w:val="28"/>
              </w:rPr>
            </w:pPr>
            <w:r>
              <w:rPr>
                <w:rFonts w:hint="eastAsia" w:ascii="Times New Roman" w:hAnsi="Times New Roman" w:eastAsia="仿宋_GB2312" w:cs="Times New Roman"/>
                <w:sz w:val="24"/>
                <w:szCs w:val="24"/>
                <w:lang w:val="zh-CN"/>
              </w:rPr>
              <w:t>颛顼广场祈福活动及嘉宾服务保障费用。</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C7A0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24万元</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A3E9C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24万元</w:t>
            </w:r>
          </w:p>
        </w:tc>
      </w:tr>
      <w:tr w14:paraId="53F726F2">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148CF805">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1195D">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效益</w:t>
            </w:r>
          </w:p>
          <w:p w14:paraId="51458E2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74A6D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87D126">
            <w:pPr>
              <w:widowControl/>
              <w:spacing w:line="320" w:lineRule="exact"/>
              <w:jc w:val="center"/>
              <w:textAlignment w:val="bottom"/>
              <w:rPr>
                <w:rFonts w:ascii="仿宋_GB2312" w:hAns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5F08FD">
            <w:pPr>
              <w:widowControl/>
              <w:spacing w:line="320" w:lineRule="exact"/>
              <w:jc w:val="center"/>
              <w:textAlignment w:val="bottom"/>
              <w:rPr>
                <w:rFonts w:ascii="仿宋_GB2312" w:hAns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EE6EBF">
            <w:pPr>
              <w:widowControl/>
              <w:spacing w:line="320" w:lineRule="exact"/>
              <w:jc w:val="center"/>
              <w:textAlignment w:val="bottom"/>
              <w:rPr>
                <w:rFonts w:ascii="仿宋_GB2312" w:hAnsi="仿宋_GB2312" w:eastAsia="仿宋_GB2312" w:cs="仿宋_GB2312"/>
                <w:sz w:val="28"/>
                <w:szCs w:val="28"/>
              </w:rPr>
            </w:pPr>
          </w:p>
        </w:tc>
      </w:tr>
      <w:tr w14:paraId="5C9B800B">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4CD92AEE">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8487F26">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63A86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67F7C7">
            <w:pPr>
              <w:widowControl/>
              <w:spacing w:line="320" w:lineRule="exact"/>
              <w:jc w:val="center"/>
              <w:textAlignment w:val="bottom"/>
              <w:rPr>
                <w:rFonts w:ascii="仿宋_GB2312" w:hAnsi="仿宋_GB2312" w:eastAsia="仿宋_GB2312" w:cs="仿宋_GB2312"/>
                <w:szCs w:val="21"/>
              </w:rPr>
            </w:pPr>
            <w:r>
              <w:rPr>
                <w:rFonts w:hint="eastAsia" w:ascii="仿宋_GB2312" w:hAnsi="仿宋_GB2312" w:eastAsia="仿宋_GB2312" w:cs="仿宋_GB2312"/>
                <w:szCs w:val="21"/>
              </w:rPr>
              <w:t>助推提升米易的外向度、知名度，助力米易康养旅游业的发展。</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FA7F0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B7E5C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r w14:paraId="7EA06BDB">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14:paraId="2FDCE5C7">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E83B79">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满意</w:t>
            </w:r>
          </w:p>
          <w:p w14:paraId="529E432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92E3E7">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7FB3DFC4">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62E46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服务对象满意度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DE43A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DAF79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bl>
    <w:p w14:paraId="6C73D11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eastAsia" w:ascii="Times New Roman" w:hAnsi="Times New Roman" w:eastAsia="小标宋" w:cs="Times New Roman"/>
          <w:lang w:eastAsia="zh-CN"/>
        </w:rPr>
      </w:pPr>
    </w:p>
    <w:p w14:paraId="04E6F2F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eastAsia" w:ascii="Times New Roman" w:hAnsi="Times New Roman" w:eastAsia="小标宋" w:cs="Times New Roman"/>
          <w:lang w:eastAsia="zh-CN"/>
        </w:rPr>
      </w:pPr>
    </w:p>
    <w:p w14:paraId="1EDC3D46">
      <w:pPr>
        <w:spacing w:line="572" w:lineRule="exact"/>
        <w:jc w:val="left"/>
        <w:outlineLvl w:val="0"/>
        <w:rPr>
          <w:rFonts w:hint="eastAsia" w:ascii="Times New Roman" w:hAnsi="Times New Roman" w:eastAsia="黑体" w:cs="Times New Roman"/>
          <w:sz w:val="32"/>
          <w:szCs w:val="32"/>
          <w:lang w:val="zh-CN"/>
        </w:rPr>
      </w:pPr>
      <w:r>
        <w:rPr>
          <w:rFonts w:hint="eastAsia" w:ascii="Times New Roman" w:hAnsi="Times New Roman" w:eastAsia="黑体" w:cs="Times New Roman"/>
          <w:sz w:val="32"/>
          <w:szCs w:val="32"/>
          <w:lang w:val="zh-CN"/>
        </w:rPr>
        <w:t>附件3</w:t>
      </w:r>
    </w:p>
    <w:p w14:paraId="1B3149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Style w:val="30"/>
          <w:rFonts w:hint="eastAsia" w:ascii="Times New Roman" w:hAnsi="Times New Roman" w:eastAsia="小标宋" w:cs="Times New Roman"/>
          <w:lang w:val="zh-CN" w:eastAsia="zh-CN"/>
        </w:rPr>
      </w:pPr>
      <w:r>
        <w:rPr>
          <w:rStyle w:val="30"/>
          <w:rFonts w:hint="eastAsia" w:eastAsia="小标宋" w:cs="Times New Roman"/>
          <w:lang w:eastAsia="zh-CN"/>
        </w:rPr>
        <w:t>“</w:t>
      </w:r>
      <w:r>
        <w:rPr>
          <w:rStyle w:val="30"/>
          <w:rFonts w:hint="eastAsia" w:ascii="Times New Roman" w:hAnsi="Times New Roman" w:eastAsia="小标宋" w:cs="Times New Roman"/>
          <w:lang w:eastAsia="zh-CN"/>
        </w:rPr>
        <w:t>你让我点赞</w:t>
      </w:r>
      <w:r>
        <w:rPr>
          <w:rStyle w:val="30"/>
          <w:rFonts w:hint="eastAsia" w:eastAsia="小标宋" w:cs="Times New Roman"/>
          <w:lang w:eastAsia="zh-CN"/>
        </w:rPr>
        <w:t>”</w:t>
      </w:r>
      <w:r>
        <w:rPr>
          <w:rStyle w:val="30"/>
          <w:rFonts w:hint="eastAsia" w:ascii="Times New Roman" w:hAnsi="Times New Roman" w:eastAsia="小标宋" w:cs="Times New Roman"/>
          <w:lang w:eastAsia="zh-CN"/>
        </w:rPr>
        <w:t>文明城市创建整体影响力提升系列活动</w:t>
      </w:r>
      <w:r>
        <w:rPr>
          <w:rStyle w:val="30"/>
          <w:rFonts w:hint="eastAsia" w:ascii="Times New Roman" w:hAnsi="Times New Roman" w:eastAsia="小标宋" w:cs="Times New Roman"/>
          <w:lang w:val="zh-CN" w:eastAsia="zh-CN"/>
        </w:rPr>
        <w:t>项目</w:t>
      </w:r>
      <w:r>
        <w:rPr>
          <w:rStyle w:val="30"/>
          <w:rFonts w:hint="eastAsia" w:eastAsia="小标宋" w:cs="Times New Roman"/>
          <w:lang w:val="zh-CN" w:eastAsia="zh-CN"/>
        </w:rPr>
        <w:t>支出</w:t>
      </w:r>
      <w:r>
        <w:rPr>
          <w:rStyle w:val="30"/>
          <w:rFonts w:hint="eastAsia" w:ascii="Times New Roman" w:hAnsi="Times New Roman" w:eastAsia="小标宋" w:cs="Times New Roman"/>
          <w:lang w:val="zh-CN" w:eastAsia="zh-CN"/>
        </w:rPr>
        <w:t>绩效</w:t>
      </w:r>
      <w:r>
        <w:rPr>
          <w:rStyle w:val="30"/>
          <w:rFonts w:hint="eastAsia" w:eastAsia="小标宋" w:cs="Times New Roman"/>
          <w:lang w:val="zh-CN" w:eastAsia="zh-CN"/>
        </w:rPr>
        <w:t>自评</w:t>
      </w:r>
      <w:r>
        <w:rPr>
          <w:rStyle w:val="30"/>
          <w:rFonts w:hint="eastAsia" w:ascii="Times New Roman" w:hAnsi="Times New Roman" w:eastAsia="小标宋" w:cs="Times New Roman"/>
          <w:lang w:val="zh-CN" w:eastAsia="zh-CN"/>
        </w:rPr>
        <w:t>报告</w:t>
      </w:r>
    </w:p>
    <w:p w14:paraId="2B8EB942">
      <w:pPr>
        <w:spacing w:line="600" w:lineRule="exact"/>
        <w:ind w:firstLine="640"/>
        <w:jc w:val="center"/>
        <w:rPr>
          <w:rFonts w:ascii="宋体" w:hAnsi="宋体"/>
          <w:sz w:val="32"/>
          <w:szCs w:val="32"/>
          <w:lang w:val="zh-CN"/>
        </w:rPr>
      </w:pPr>
    </w:p>
    <w:p w14:paraId="206473A2">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一、</w:t>
      </w:r>
      <w:r>
        <w:rPr>
          <w:rFonts w:hint="default" w:ascii="Times New Roman" w:hAnsi="Times New Roman" w:eastAsia="黑体" w:cs="Times New Roman"/>
          <w:color w:val="000000"/>
          <w:kern w:val="0"/>
          <w:sz w:val="32"/>
          <w:szCs w:val="32"/>
          <w:shd w:val="clear" w:color="auto" w:fill="FFFFFF"/>
          <w:lang w:val="zh-CN"/>
        </w:rPr>
        <w:t>项目概况</w:t>
      </w:r>
    </w:p>
    <w:p w14:paraId="70FBEF6C">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（一）项目基本情况</w:t>
      </w:r>
    </w:p>
    <w:p w14:paraId="4C01FBE2">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1.在该项目管理中的职能</w:t>
      </w:r>
    </w:p>
    <w:p w14:paraId="6CC0C9F7">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县委宣传部负责统筹此次活动，落实场地和场地布置，配合四川日报报业集团做好新闻通稿的制定和发布，做好对口服务保障和活动组织配合工作。</w:t>
      </w:r>
    </w:p>
    <w:p w14:paraId="172DA4F5">
      <w:pPr>
        <w:numPr>
          <w:ilvl w:val="0"/>
          <w:numId w:val="0"/>
        </w:num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lang w:val="zh-CN"/>
        </w:rPr>
        <w:t>项目立项、资金申报的依据</w:t>
      </w:r>
    </w:p>
    <w:p w14:paraId="0762AD13">
      <w:pPr>
        <w:adjustRightInd w:val="0"/>
        <w:snapToGrid w:val="0"/>
        <w:spacing w:line="600" w:lineRule="exact"/>
        <w:ind w:firstLine="636" w:firstLineChars="200"/>
        <w:rPr>
          <w:rFonts w:hint="default" w:ascii="Times New Roman" w:hAnsi="Times New Roman" w:eastAsia="仿宋_GB2312" w:cs="Times New Roman"/>
          <w:sz w:val="32"/>
          <w:szCs w:val="32"/>
          <w:lang w:val="zh-CN"/>
        </w:rPr>
      </w:pPr>
      <w:r>
        <w:rPr>
          <w:rFonts w:hint="default" w:ascii="Times New Roman" w:hAnsi="Times New Roman" w:eastAsia="方正仿宋_GBK" w:cs="Times New Roman"/>
          <w:spacing w:val="-6"/>
          <w:sz w:val="33"/>
          <w:szCs w:val="33"/>
        </w:rPr>
        <w:t>2020年是第六届全国文明城市创建收官之年，米易县作为全国文明城市提名城市，已进入决战决胜冲刺阶段。</w:t>
      </w:r>
      <w:r>
        <w:rPr>
          <w:rFonts w:hint="default" w:ascii="Times New Roman" w:hAnsi="Times New Roman" w:eastAsia="方正仿宋_GBK" w:cs="Times New Roman"/>
          <w:sz w:val="33"/>
          <w:szCs w:val="33"/>
        </w:rPr>
        <w:t>为进一步凝聚文明创建为人民的最大共识，</w:t>
      </w:r>
      <w:r>
        <w:rPr>
          <w:rFonts w:hint="default" w:ascii="Times New Roman" w:hAnsi="Times New Roman" w:eastAsia="方正仿宋_GBK" w:cs="Times New Roman"/>
          <w:spacing w:val="-6"/>
          <w:sz w:val="33"/>
          <w:szCs w:val="33"/>
        </w:rPr>
        <w:t>鼓励社会各界人士争当文明城市的宣传者、倡导者和践行者，</w:t>
      </w:r>
      <w:r>
        <w:rPr>
          <w:rFonts w:hint="default" w:ascii="Times New Roman" w:hAnsi="Times New Roman" w:eastAsia="方正仿宋_GBK" w:cs="Times New Roman"/>
          <w:sz w:val="33"/>
          <w:szCs w:val="33"/>
        </w:rPr>
        <w:t>形成人人讲文明</w:t>
      </w:r>
      <w:r>
        <w:rPr>
          <w:rFonts w:hint="default" w:ascii="Times New Roman" w:hAnsi="Times New Roman" w:eastAsia="方正仿宋_GBK" w:cs="Times New Roman"/>
          <w:spacing w:val="-6"/>
          <w:sz w:val="33"/>
          <w:szCs w:val="33"/>
        </w:rPr>
        <w:t>、人人创文明的最大合力，经县委、县政府同意，我县依托四川日报报业集团省媒旗舰优势，携手提升文明创建整体影响力，共同推动文明城市创建，开展</w:t>
      </w:r>
      <w:r>
        <w:rPr>
          <w:rFonts w:hint="eastAsia" w:eastAsia="方正仿宋_GBK" w:cs="Times New Roman"/>
          <w:spacing w:val="-6"/>
          <w:sz w:val="33"/>
          <w:szCs w:val="33"/>
          <w:lang w:eastAsia="zh-CN"/>
        </w:rPr>
        <w:t>“</w:t>
      </w:r>
      <w:r>
        <w:rPr>
          <w:rFonts w:hint="default" w:ascii="Times New Roman" w:hAnsi="Times New Roman" w:eastAsia="方正仿宋_GBK" w:cs="Times New Roman"/>
          <w:spacing w:val="-6"/>
          <w:sz w:val="33"/>
          <w:szCs w:val="33"/>
        </w:rPr>
        <w:t>你让我点赞</w:t>
      </w:r>
      <w:r>
        <w:rPr>
          <w:rFonts w:hint="eastAsia" w:eastAsia="方正仿宋_GBK" w:cs="Times New Roman"/>
          <w:spacing w:val="-6"/>
          <w:sz w:val="33"/>
          <w:szCs w:val="33"/>
          <w:lang w:eastAsia="zh-CN"/>
        </w:rPr>
        <w:t>”</w:t>
      </w:r>
      <w:r>
        <w:rPr>
          <w:rFonts w:hint="default" w:ascii="Times New Roman" w:hAnsi="Times New Roman" w:eastAsia="方正仿宋_GBK" w:cs="Times New Roman"/>
          <w:spacing w:val="-6"/>
          <w:sz w:val="33"/>
          <w:szCs w:val="33"/>
        </w:rPr>
        <w:t>文明城市创建整体影响力提升系列活动。</w:t>
      </w:r>
    </w:p>
    <w:p w14:paraId="30A4A0ED">
      <w:pPr>
        <w:numPr>
          <w:ilvl w:val="0"/>
          <w:numId w:val="0"/>
        </w:num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lang w:val="zh-CN"/>
        </w:rPr>
        <w:t>资金管理办法制定情况</w:t>
      </w:r>
    </w:p>
    <w:p w14:paraId="2A4C782C">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县委宣传部根据</w:t>
      </w:r>
      <w:r>
        <w:rPr>
          <w:rFonts w:hint="eastAsia" w:eastAsia="仿宋_GB2312" w:cs="Times New Roman"/>
          <w:sz w:val="32"/>
          <w:szCs w:val="32"/>
          <w:lang w:val="zh-CN"/>
        </w:rPr>
        <w:t>“</w:t>
      </w:r>
      <w:r>
        <w:rPr>
          <w:rFonts w:hint="default" w:ascii="Times New Roman" w:hAnsi="Times New Roman" w:eastAsia="仿宋_GB2312" w:cs="Times New Roman"/>
          <w:bCs/>
          <w:sz w:val="33"/>
          <w:szCs w:val="33"/>
        </w:rPr>
        <w:t>你让我点赞</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文明城市创建整体影响力提升系列活动</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方案中所涉及</w:t>
      </w:r>
      <w:bookmarkStart w:id="131" w:name="_GoBack"/>
      <w:bookmarkEnd w:id="131"/>
      <w:r>
        <w:rPr>
          <w:rFonts w:hint="default" w:ascii="Times New Roman" w:hAnsi="Times New Roman" w:eastAsia="仿宋_GB2312" w:cs="Times New Roman"/>
          <w:sz w:val="32"/>
          <w:szCs w:val="32"/>
          <w:lang w:val="zh-CN"/>
        </w:rPr>
        <w:t>的工作性质制定资金管理办法。</w:t>
      </w:r>
    </w:p>
    <w:p w14:paraId="2F80D9A4">
      <w:pPr>
        <w:numPr>
          <w:ilvl w:val="0"/>
          <w:numId w:val="0"/>
        </w:num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 xml:space="preserve">    4.</w:t>
      </w:r>
      <w:r>
        <w:rPr>
          <w:rFonts w:hint="default" w:ascii="Times New Roman" w:hAnsi="Times New Roman" w:eastAsia="仿宋_GB2312" w:cs="Times New Roman"/>
          <w:sz w:val="32"/>
          <w:szCs w:val="32"/>
          <w:lang w:val="zh-CN"/>
        </w:rPr>
        <w:t>资金分配的原则及考虑因素</w:t>
      </w:r>
    </w:p>
    <w:p w14:paraId="5DA1E95E">
      <w:pPr>
        <w:adjustRightInd w:val="0"/>
        <w:snapToGrid w:val="0"/>
        <w:spacing w:line="600" w:lineRule="exact"/>
        <w:ind w:left="720"/>
        <w:rPr>
          <w:rFonts w:hint="default" w:ascii="Times New Roman" w:hAnsi="Times New Roman" w:eastAsia="仿宋_GB2312" w:cs="Times New Roman"/>
          <w:bCs/>
          <w:sz w:val="33"/>
          <w:szCs w:val="33"/>
        </w:rPr>
      </w:pPr>
      <w:r>
        <w:rPr>
          <w:rFonts w:hint="eastAsia" w:eastAsia="仿宋_GB2312" w:cs="Times New Roman"/>
          <w:sz w:val="32"/>
          <w:szCs w:val="32"/>
          <w:lang w:val="zh-CN"/>
        </w:rPr>
        <w:t>“</w:t>
      </w:r>
      <w:r>
        <w:rPr>
          <w:rFonts w:hint="default" w:ascii="Times New Roman" w:hAnsi="Times New Roman" w:eastAsia="仿宋_GB2312" w:cs="Times New Roman"/>
          <w:bCs/>
          <w:sz w:val="33"/>
          <w:szCs w:val="33"/>
        </w:rPr>
        <w:t>你让我点赞</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文明城市创建整体影响力提升系列活</w:t>
      </w:r>
    </w:p>
    <w:p w14:paraId="0AD47B81">
      <w:p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bCs/>
          <w:sz w:val="33"/>
          <w:szCs w:val="33"/>
        </w:rPr>
        <w:t>动</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费用根据实际发生的费用来分配。</w:t>
      </w:r>
    </w:p>
    <w:p w14:paraId="709C18FF">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（二）项目绩效目标</w:t>
      </w:r>
    </w:p>
    <w:p w14:paraId="00450F0D">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1.项目主要内容</w:t>
      </w:r>
    </w:p>
    <w:p w14:paraId="3B85BEB0">
      <w:pPr>
        <w:adjustRightInd w:val="0"/>
        <w:snapToGrid w:val="0"/>
        <w:spacing w:line="600" w:lineRule="exact"/>
        <w:ind w:firstLine="72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pacing w:val="-6"/>
          <w:sz w:val="33"/>
          <w:szCs w:val="33"/>
        </w:rPr>
        <w:t>此次系列活动</w:t>
      </w:r>
      <w:r>
        <w:rPr>
          <w:rFonts w:hint="default" w:ascii="Times New Roman" w:hAnsi="Times New Roman" w:eastAsia="方正仿宋_GBK" w:cs="Times New Roman"/>
          <w:sz w:val="33"/>
          <w:szCs w:val="33"/>
        </w:rPr>
        <w:t>通过</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1+N</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的活动方式，紧扣</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1</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个成功创建全国文明城市的总体目标，开展</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N</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项专题宣传活动。举办</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你让我点赞</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文明城市创建整体影响力提升系列活动启动仪式</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sz w:val="33"/>
          <w:szCs w:val="33"/>
        </w:rPr>
        <w:t>开通川报观察米易版</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文明创建</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频道</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sz w:val="33"/>
          <w:szCs w:val="33"/>
        </w:rPr>
        <w:t>开展媒体暗访创文城市行动暨创文体验日活动以及</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朵朵志愿者，童心助创文</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少儿城市体验官活动</w:t>
      </w:r>
      <w:r>
        <w:rPr>
          <w:rFonts w:hint="eastAsia" w:eastAsia="方正仿宋_GBK" w:cs="Times New Roman"/>
          <w:sz w:val="33"/>
          <w:szCs w:val="33"/>
          <w:lang w:eastAsia="zh-CN"/>
        </w:rPr>
        <w:t>。</w:t>
      </w:r>
    </w:p>
    <w:p w14:paraId="13A7282E">
      <w:pPr>
        <w:numPr>
          <w:ilvl w:val="0"/>
          <w:numId w:val="0"/>
        </w:num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lang w:val="zh-CN"/>
        </w:rPr>
        <w:t>项目应实现的具体绩效目标</w:t>
      </w:r>
    </w:p>
    <w:p w14:paraId="2DA18832">
      <w:pPr>
        <w:adjustRightInd w:val="0"/>
        <w:snapToGrid w:val="0"/>
        <w:spacing w:line="600" w:lineRule="exact"/>
        <w:ind w:firstLine="660" w:firstLineChars="200"/>
        <w:rPr>
          <w:rFonts w:hint="default" w:ascii="Times New Roman" w:hAnsi="Times New Roman" w:eastAsia="仿宋_GB2312" w:cs="Times New Roman"/>
          <w:sz w:val="32"/>
          <w:szCs w:val="32"/>
          <w:lang w:val="zh-CN"/>
        </w:rPr>
      </w:pPr>
      <w:r>
        <w:rPr>
          <w:rFonts w:hint="default" w:ascii="Times New Roman" w:hAnsi="Times New Roman" w:eastAsia="方正仿宋_GBK" w:cs="Times New Roman"/>
          <w:sz w:val="33"/>
          <w:szCs w:val="33"/>
        </w:rPr>
        <w:t>从8月上旬至9月下旬分3个阶段持续开展影响力整体提升推广宣传。活动邀请青少年开展少儿城市体验官活动，推广宣传刊载米易县创建全国文明城市新闻报道，进一步凝聚文明创建为人民的最大共识，</w:t>
      </w:r>
      <w:r>
        <w:rPr>
          <w:rFonts w:hint="default" w:ascii="Times New Roman" w:hAnsi="Times New Roman" w:eastAsia="方正仿宋_GBK" w:cs="Times New Roman"/>
          <w:spacing w:val="-6"/>
          <w:sz w:val="33"/>
          <w:szCs w:val="33"/>
        </w:rPr>
        <w:t>鼓励社会各界人士争当文明城市的宣传者、倡导者和践行者，</w:t>
      </w:r>
      <w:r>
        <w:rPr>
          <w:rFonts w:hint="default" w:ascii="Times New Roman" w:hAnsi="Times New Roman" w:eastAsia="方正仿宋_GBK" w:cs="Times New Roman"/>
          <w:sz w:val="33"/>
          <w:szCs w:val="33"/>
        </w:rPr>
        <w:t>形成人人讲文明</w:t>
      </w:r>
      <w:r>
        <w:rPr>
          <w:rFonts w:hint="default" w:ascii="Times New Roman" w:hAnsi="Times New Roman" w:eastAsia="方正仿宋_GBK" w:cs="Times New Roman"/>
          <w:spacing w:val="-6"/>
          <w:sz w:val="33"/>
          <w:szCs w:val="33"/>
        </w:rPr>
        <w:t>、人人创文明的最大合力，推动文明城市创建。</w:t>
      </w:r>
    </w:p>
    <w:p w14:paraId="5A129266">
      <w:pPr>
        <w:numPr>
          <w:ilvl w:val="0"/>
          <w:numId w:val="0"/>
        </w:num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lang w:val="zh-CN"/>
        </w:rPr>
        <w:t>申报内容是否与实际相符，申报目标是否合理可行</w:t>
      </w:r>
    </w:p>
    <w:p w14:paraId="13EF3270">
      <w:pPr>
        <w:adjustRightInd w:val="0"/>
        <w:snapToGrid w:val="0"/>
        <w:spacing w:line="600" w:lineRule="exact"/>
        <w:ind w:left="720"/>
        <w:rPr>
          <w:rFonts w:hint="default" w:ascii="Times New Roman" w:hAnsi="Times New Roman" w:eastAsia="仿宋_GB2312" w:cs="Times New Roman"/>
          <w:sz w:val="32"/>
          <w:szCs w:val="32"/>
          <w:lang w:val="zh-CN"/>
        </w:rPr>
      </w:pP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你让我点赞</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文明城市创建整体影响力提升系列活</w:t>
      </w:r>
    </w:p>
    <w:p w14:paraId="062EAFF0">
      <w:pPr>
        <w:adjustRightInd w:val="0"/>
        <w:snapToGrid w:val="0"/>
        <w:spacing w:line="600" w:lineRule="exact"/>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sz w:val="32"/>
          <w:szCs w:val="32"/>
          <w:lang w:val="zh-CN"/>
        </w:rPr>
        <w:t>动</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经费申报内容与实际相符，申报目标合理可行。</w:t>
      </w:r>
    </w:p>
    <w:p w14:paraId="2DF9FC7D">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（三）项目自评步骤及方法</w:t>
      </w:r>
    </w:p>
    <w:p w14:paraId="07EB6778">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一是确定评价对象。</w:t>
      </w:r>
    </w:p>
    <w:p w14:paraId="4CF6653A">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二是收集整理项目基础资料和财务资料。</w:t>
      </w:r>
    </w:p>
    <w:p w14:paraId="741D35B5">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三是梳理评价重点。对项目实施薄弱环节、绩效内容进行梳理，作为评价重点和目标。</w:t>
      </w:r>
    </w:p>
    <w:p w14:paraId="58B55E38">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四是开展项目自评。根据项目特性指标开展自评，并撰写项目支出绩效自评报告。</w:t>
      </w:r>
    </w:p>
    <w:p w14:paraId="3976A713">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二、项目资金申报及使用情况</w:t>
      </w:r>
    </w:p>
    <w:p w14:paraId="4CA3DC2B">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（一）项目资金申报及批复情况</w:t>
      </w:r>
    </w:p>
    <w:p w14:paraId="0C5BB961">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县委宣传部根据工作内容实际发生资金，向县政府申报项目总金额。经县政府批准后报县财政局，</w:t>
      </w:r>
      <w:r>
        <w:rPr>
          <w:rFonts w:hint="eastAsia" w:eastAsia="仿宋_GB2312" w:cs="Times New Roman"/>
          <w:sz w:val="32"/>
          <w:szCs w:val="32"/>
          <w:lang w:val="zh-CN"/>
        </w:rPr>
        <w:t>县</w:t>
      </w:r>
      <w:r>
        <w:rPr>
          <w:rFonts w:hint="default" w:ascii="Times New Roman" w:hAnsi="Times New Roman" w:eastAsia="仿宋_GB2312" w:cs="Times New Roman"/>
          <w:sz w:val="32"/>
          <w:szCs w:val="32"/>
          <w:lang w:val="zh-CN"/>
        </w:rPr>
        <w:t>财政局根据项目各实施实际发生金额将指标下达到我部。</w:t>
      </w:r>
    </w:p>
    <w:p w14:paraId="44EA930A">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（二）资金计划、到位及使用情况</w:t>
      </w:r>
    </w:p>
    <w:p w14:paraId="4F6207E8">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1.资金计划</w:t>
      </w:r>
    </w:p>
    <w:p w14:paraId="617E9660">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在项目计划阶段，根据工作方案，初步草拟了活动经费预算表，项目资金为县财政资金。</w:t>
      </w:r>
    </w:p>
    <w:p w14:paraId="109E7AD7">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2.资金到位</w:t>
      </w:r>
    </w:p>
    <w:p w14:paraId="69F15995">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项目实施完成后，我部统计实际发生费用，经向县政府、县财政局申报县财政资金后，县财政局已将各项目实际发生资金下达到我部。</w:t>
      </w:r>
    </w:p>
    <w:p w14:paraId="69A3712E">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zh-CN"/>
        </w:rPr>
        <w:t>资金使用</w:t>
      </w:r>
    </w:p>
    <w:p w14:paraId="4B8E0E60">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仿宋_GB2312" w:cs="Times New Roman"/>
          <w:sz w:val="32"/>
          <w:szCs w:val="32"/>
          <w:lang w:val="zh-CN"/>
        </w:rPr>
        <w:t>2021年支出项目资金</w:t>
      </w:r>
      <w:r>
        <w:rPr>
          <w:rFonts w:hint="default" w:ascii="Times New Roman" w:hAnsi="Times New Roman" w:eastAsia="仿宋_GB2312" w:cs="Times New Roman"/>
          <w:sz w:val="32"/>
          <w:szCs w:val="32"/>
        </w:rPr>
        <w:t>40.7</w:t>
      </w:r>
      <w:r>
        <w:rPr>
          <w:rFonts w:hint="default" w:ascii="Times New Roman" w:hAnsi="Times New Roman" w:eastAsia="仿宋_GB2312" w:cs="Times New Roman"/>
          <w:sz w:val="32"/>
          <w:szCs w:val="32"/>
          <w:lang w:val="zh-CN"/>
        </w:rPr>
        <w:t>万元。资金支付范围、支付标准、支付进度、支付依据等合规合法。</w:t>
      </w:r>
    </w:p>
    <w:p w14:paraId="2646FD4B">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（三）项目财务管理情况</w:t>
      </w:r>
    </w:p>
    <w:p w14:paraId="0FB9F0E1">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县委宣传部在收到财政下达指标后，按照资金用途，及时拨付各项款项。财务管理制度健全，严格执行财务管理制度，账务处理及时，会计核算规范。</w:t>
      </w:r>
    </w:p>
    <w:p w14:paraId="4B77FFF2">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三、项目实施及管理情况</w:t>
      </w:r>
    </w:p>
    <w:p w14:paraId="118660C2">
      <w:pPr>
        <w:numPr>
          <w:ilvl w:val="0"/>
          <w:numId w:val="0"/>
        </w:numPr>
        <w:adjustRightInd w:val="0"/>
        <w:snapToGrid w:val="0"/>
        <w:spacing w:line="600" w:lineRule="exact"/>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val="0"/>
          <w:bCs/>
          <w:sz w:val="32"/>
          <w:szCs w:val="32"/>
          <w:lang w:val="en-US" w:eastAsia="zh-CN"/>
        </w:rPr>
        <w:t xml:space="preserve"> （一）</w:t>
      </w:r>
      <w:r>
        <w:rPr>
          <w:rFonts w:hint="default" w:ascii="Times New Roman" w:hAnsi="Times New Roman" w:eastAsia="楷体_GB2312" w:cs="Times New Roman"/>
          <w:b w:val="0"/>
          <w:bCs/>
          <w:sz w:val="32"/>
          <w:szCs w:val="32"/>
          <w:lang w:val="zh-CN"/>
        </w:rPr>
        <w:t>项目组织架构及实施流程</w:t>
      </w:r>
    </w:p>
    <w:p w14:paraId="1523A1FB">
      <w:pPr>
        <w:adjustRightInd w:val="0"/>
        <w:snapToGrid w:val="0"/>
        <w:spacing w:line="600" w:lineRule="exact"/>
        <w:ind w:firstLine="720"/>
        <w:rPr>
          <w:rFonts w:hint="default" w:ascii="Times New Roman" w:hAnsi="Times New Roman" w:eastAsia="楷体_GB2312" w:cs="Times New Roman"/>
          <w:b/>
          <w:sz w:val="32"/>
          <w:szCs w:val="32"/>
          <w:lang w:val="zh-CN"/>
        </w:rPr>
      </w:pPr>
      <w:r>
        <w:rPr>
          <w:rFonts w:hint="eastAsia" w:eastAsia="仿宋_GB2312" w:cs="Times New Roman"/>
          <w:sz w:val="32"/>
          <w:szCs w:val="32"/>
          <w:lang w:val="zh-CN"/>
        </w:rPr>
        <w:t>“</w:t>
      </w:r>
      <w:r>
        <w:rPr>
          <w:rFonts w:hint="default" w:ascii="Times New Roman" w:hAnsi="Times New Roman" w:eastAsia="仿宋_GB2312" w:cs="Times New Roman"/>
          <w:sz w:val="32"/>
          <w:szCs w:val="32"/>
        </w:rPr>
        <w:t>你让我点赞</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文明城市创建整体影响力提升系列活动</w:t>
      </w:r>
      <w:r>
        <w:rPr>
          <w:rFonts w:hint="default" w:ascii="Times New Roman" w:hAnsi="Times New Roman" w:eastAsia="仿宋_GB2312" w:cs="Times New Roman"/>
          <w:sz w:val="32"/>
          <w:szCs w:val="32"/>
          <w:lang w:val="zh-CN"/>
        </w:rPr>
        <w:t>制作了活动工作方案，成立了活动工作领导小组，明确了工作推进机构及其职责。</w:t>
      </w:r>
      <w:r>
        <w:rPr>
          <w:rFonts w:hint="default" w:ascii="Times New Roman" w:hAnsi="Times New Roman" w:eastAsia="方正仿宋_GBK" w:cs="Times New Roman"/>
          <w:spacing w:val="-6"/>
          <w:sz w:val="33"/>
          <w:szCs w:val="33"/>
        </w:rPr>
        <w:t>此次系列活动</w:t>
      </w:r>
      <w:r>
        <w:rPr>
          <w:rFonts w:hint="default" w:ascii="Times New Roman" w:hAnsi="Times New Roman" w:eastAsia="方正仿宋_GBK" w:cs="Times New Roman"/>
          <w:sz w:val="33"/>
          <w:szCs w:val="33"/>
        </w:rPr>
        <w:t>通过</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1+N</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的活动方式，紧扣</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1</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个成功创建全国文明城市的总体目标，开展</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N</w:t>
      </w:r>
      <w:r>
        <w:rPr>
          <w:rFonts w:hint="eastAsia" w:eastAsia="方正仿宋_GBK" w:cs="Times New Roman"/>
          <w:sz w:val="33"/>
          <w:szCs w:val="33"/>
          <w:lang w:eastAsia="zh-CN"/>
        </w:rPr>
        <w:t>”</w:t>
      </w:r>
      <w:r>
        <w:rPr>
          <w:rFonts w:hint="default" w:ascii="Times New Roman" w:hAnsi="Times New Roman" w:eastAsia="方正仿宋_GBK" w:cs="Times New Roman"/>
          <w:sz w:val="33"/>
          <w:szCs w:val="33"/>
        </w:rPr>
        <w:t>项专题宣传活动。</w:t>
      </w:r>
    </w:p>
    <w:p w14:paraId="7F3B94B2">
      <w:pPr>
        <w:numPr>
          <w:ilvl w:val="0"/>
          <w:numId w:val="0"/>
        </w:numPr>
        <w:adjustRightInd w:val="0"/>
        <w:snapToGrid w:val="0"/>
        <w:spacing w:line="600" w:lineRule="exact"/>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val="0"/>
          <w:bCs/>
          <w:sz w:val="32"/>
          <w:szCs w:val="32"/>
          <w:lang w:val="en-US" w:eastAsia="zh-CN"/>
        </w:rPr>
        <w:t>（二）</w:t>
      </w:r>
      <w:r>
        <w:rPr>
          <w:rFonts w:hint="default" w:ascii="Times New Roman" w:hAnsi="Times New Roman" w:eastAsia="楷体_GB2312" w:cs="Times New Roman"/>
          <w:b w:val="0"/>
          <w:bCs/>
          <w:sz w:val="32"/>
          <w:szCs w:val="32"/>
          <w:lang w:val="zh-CN"/>
        </w:rPr>
        <w:t>项目管理情况</w:t>
      </w:r>
    </w:p>
    <w:p w14:paraId="51AA885B">
      <w:pPr>
        <w:adjustRightInd w:val="0"/>
        <w:snapToGrid w:val="0"/>
        <w:spacing w:line="60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资金批复后，按照资金管理规定，专款专用，严格执行从申请—审核—领导批准支付的操作程序，手续齐全，程序到位，资金使用规范，会计核算真实、准确。</w:t>
      </w:r>
    </w:p>
    <w:p w14:paraId="084AB154">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eastAsia="zh-CN"/>
        </w:rPr>
        <w:t>（三）</w:t>
      </w:r>
      <w:r>
        <w:rPr>
          <w:rFonts w:hint="default" w:ascii="Times New Roman" w:hAnsi="Times New Roman" w:eastAsia="楷体_GB2312" w:cs="Times New Roman"/>
          <w:b w:val="0"/>
          <w:bCs/>
          <w:sz w:val="32"/>
          <w:szCs w:val="32"/>
          <w:lang w:val="zh-CN"/>
        </w:rPr>
        <w:t>项目监管情况</w:t>
      </w:r>
    </w:p>
    <w:p w14:paraId="01C539AD">
      <w:pPr>
        <w:adjustRightInd w:val="0"/>
        <w:snapToGrid w:val="0"/>
        <w:spacing w:line="600" w:lineRule="exact"/>
        <w:ind w:left="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县委宣传部派出专人全程参与</w:t>
      </w:r>
      <w:r>
        <w:rPr>
          <w:rFonts w:hint="eastAsia" w:eastAsia="仿宋_GB2312" w:cs="Times New Roman"/>
          <w:sz w:val="32"/>
          <w:szCs w:val="32"/>
          <w:lang w:val="zh-CN"/>
        </w:rPr>
        <w:t>“</w:t>
      </w:r>
      <w:r>
        <w:rPr>
          <w:rFonts w:hint="default" w:ascii="Times New Roman" w:hAnsi="Times New Roman" w:eastAsia="仿宋_GB2312" w:cs="Times New Roman"/>
          <w:sz w:val="32"/>
          <w:szCs w:val="32"/>
        </w:rPr>
        <w:t>你让我点赞</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文明城市</w:t>
      </w:r>
    </w:p>
    <w:p w14:paraId="608AFCA1">
      <w:pPr>
        <w:adjustRightInd w:val="0"/>
        <w:snapToGrid w:val="0"/>
        <w:spacing w:line="600" w:lineRule="exac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创建整体影响力提升系列活动</w:t>
      </w:r>
      <w:r>
        <w:rPr>
          <w:rFonts w:hint="default" w:ascii="Times New Roman" w:hAnsi="Times New Roman" w:eastAsia="仿宋_GB2312" w:cs="Times New Roman"/>
          <w:sz w:val="32"/>
          <w:szCs w:val="32"/>
          <w:lang w:val="zh-CN"/>
        </w:rPr>
        <w:t>，整个活动按照工作方案有序开展。</w:t>
      </w:r>
    </w:p>
    <w:p w14:paraId="4926899F">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四、项目绩效情况</w:t>
      </w:r>
    </w:p>
    <w:p w14:paraId="5B6DEB93">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（一）项目完成情况</w:t>
      </w:r>
    </w:p>
    <w:p w14:paraId="41BE53C3">
      <w:pPr>
        <w:adjustRightInd w:val="0"/>
        <w:snapToGrid w:val="0"/>
        <w:spacing w:line="600" w:lineRule="exact"/>
        <w:ind w:firstLine="66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bCs/>
          <w:sz w:val="33"/>
          <w:szCs w:val="33"/>
        </w:rPr>
        <w:t>我县依托四川日报报业集团省媒旗舰优势，携手提升文明创建整体影响力，成功举办</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你让我点赞</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文明城市创建整体影响力提升系列活动启动仪式、创文体验日以及</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朵朵志愿者，童心助创文</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少儿城市体验官等系列活动。圆满完成活动各个子项目。</w:t>
      </w:r>
      <w:r>
        <w:rPr>
          <w:rFonts w:hint="default" w:ascii="Times New Roman" w:hAnsi="Times New Roman" w:eastAsia="方正仿宋_GBK" w:cs="Times New Roman"/>
          <w:sz w:val="33"/>
          <w:szCs w:val="33"/>
        </w:rPr>
        <w:t>整个活动邀请30名青少年开展少儿城市体验官活动3次，推广宣传刊载米易县创建全国文明城市新闻报道23篇，传播受众达346万人次</w:t>
      </w:r>
      <w:r>
        <w:rPr>
          <w:rFonts w:hint="default" w:ascii="Times New Roman" w:hAnsi="Times New Roman" w:eastAsia="方正仿宋_GBK" w:cs="Times New Roman"/>
          <w:sz w:val="33"/>
          <w:szCs w:val="33"/>
          <w:lang w:eastAsia="zh-CN"/>
        </w:rPr>
        <w:t>，</w:t>
      </w:r>
      <w:r>
        <w:rPr>
          <w:rFonts w:hint="default" w:ascii="Times New Roman" w:hAnsi="Times New Roman" w:eastAsia="方正仿宋_GBK" w:cs="Times New Roman"/>
          <w:spacing w:val="-6"/>
          <w:sz w:val="33"/>
          <w:szCs w:val="33"/>
        </w:rPr>
        <w:t>推动了文明城市创建。</w:t>
      </w:r>
    </w:p>
    <w:p w14:paraId="09B90123">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（二）项目效益情况</w:t>
      </w:r>
    </w:p>
    <w:p w14:paraId="68B3AE49">
      <w:pPr>
        <w:adjustRightInd w:val="0"/>
        <w:snapToGrid w:val="0"/>
        <w:spacing w:line="600" w:lineRule="exact"/>
        <w:ind w:firstLine="720"/>
        <w:rPr>
          <w:rFonts w:hint="default" w:ascii="Times New Roman" w:hAnsi="Times New Roman" w:eastAsia="仿宋_GB2312" w:cs="Times New Roman"/>
          <w:bCs/>
          <w:sz w:val="33"/>
          <w:szCs w:val="33"/>
          <w:lang w:val="zh-CN"/>
        </w:rPr>
      </w:pPr>
      <w:r>
        <w:rPr>
          <w:rFonts w:hint="default" w:ascii="Times New Roman" w:hAnsi="Times New Roman" w:eastAsia="仿宋_GB2312" w:cs="Times New Roman"/>
          <w:bCs/>
          <w:sz w:val="33"/>
          <w:szCs w:val="33"/>
          <w:lang w:val="zh-CN"/>
        </w:rPr>
        <w:t>因</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你让我点赞</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文明城市创建整体影响力提升系列活动</w:t>
      </w:r>
      <w:r>
        <w:rPr>
          <w:rFonts w:hint="eastAsia" w:eastAsia="仿宋_GB2312" w:cs="Times New Roman"/>
          <w:bCs/>
          <w:sz w:val="33"/>
          <w:szCs w:val="33"/>
          <w:lang w:eastAsia="zh-CN"/>
        </w:rPr>
        <w:t>”</w:t>
      </w:r>
      <w:r>
        <w:rPr>
          <w:rFonts w:hint="default" w:ascii="Times New Roman" w:hAnsi="Times New Roman" w:eastAsia="仿宋_GB2312" w:cs="Times New Roman"/>
          <w:bCs/>
          <w:sz w:val="33"/>
          <w:szCs w:val="33"/>
        </w:rPr>
        <w:t>主要体现公益性，其</w:t>
      </w:r>
      <w:r>
        <w:rPr>
          <w:rFonts w:hint="default" w:ascii="Times New Roman" w:hAnsi="Times New Roman" w:eastAsia="仿宋_GB2312" w:cs="Times New Roman"/>
          <w:bCs/>
          <w:sz w:val="33"/>
          <w:szCs w:val="33"/>
          <w:lang w:val="zh-CN"/>
        </w:rPr>
        <w:t>效益主要体现在社会效益和可持续效益方面。</w:t>
      </w:r>
    </w:p>
    <w:p w14:paraId="58411E5D">
      <w:pPr>
        <w:adjustRightInd w:val="0"/>
        <w:snapToGrid w:val="0"/>
        <w:spacing w:line="600" w:lineRule="exact"/>
        <w:ind w:firstLine="720"/>
        <w:rPr>
          <w:rFonts w:hint="default" w:ascii="Times New Roman" w:hAnsi="Times New Roman" w:eastAsia="仿宋_GB2312" w:cs="Times New Roman"/>
          <w:bCs/>
          <w:sz w:val="33"/>
          <w:szCs w:val="33"/>
        </w:rPr>
      </w:pPr>
      <w:r>
        <w:rPr>
          <w:rFonts w:hint="default" w:ascii="Times New Roman" w:hAnsi="Times New Roman" w:eastAsia="仿宋_GB2312" w:cs="Times New Roman"/>
          <w:bCs/>
          <w:sz w:val="33"/>
          <w:szCs w:val="33"/>
          <w:lang w:val="zh-CN"/>
        </w:rPr>
        <w:t>在社会效益方面：</w:t>
      </w:r>
      <w:r>
        <w:rPr>
          <w:rFonts w:hint="default" w:ascii="Times New Roman" w:hAnsi="Times New Roman" w:eastAsia="仿宋_GB2312" w:cs="Times New Roman"/>
          <w:bCs/>
          <w:sz w:val="33"/>
          <w:szCs w:val="33"/>
        </w:rPr>
        <w:t>进一步凝聚起了我县文明创建为人民的最大共识，鼓励我县社会各界人士争当文明城市的宣传者、倡导者和践行者，形成人人讲文明、人人创文明的最大合力。</w:t>
      </w:r>
    </w:p>
    <w:p w14:paraId="1D1DD5FA">
      <w:pPr>
        <w:adjustRightInd w:val="0"/>
        <w:snapToGrid w:val="0"/>
        <w:spacing w:line="600" w:lineRule="exact"/>
        <w:ind w:firstLine="720"/>
        <w:rPr>
          <w:rFonts w:hint="default" w:ascii="Times New Roman" w:hAnsi="Times New Roman" w:eastAsia="仿宋_GB2312" w:cs="Times New Roman"/>
          <w:bCs/>
          <w:sz w:val="33"/>
          <w:szCs w:val="33"/>
          <w:lang w:val="zh-CN"/>
        </w:rPr>
      </w:pPr>
      <w:r>
        <w:rPr>
          <w:rFonts w:hint="default" w:ascii="Times New Roman" w:hAnsi="Times New Roman" w:eastAsia="仿宋_GB2312" w:cs="Times New Roman"/>
          <w:bCs/>
          <w:sz w:val="33"/>
          <w:szCs w:val="33"/>
        </w:rPr>
        <w:t>可持续效益方面：米易县全国文明城市</w:t>
      </w:r>
      <w:r>
        <w:rPr>
          <w:rFonts w:hint="default" w:ascii="Times New Roman" w:hAnsi="Times New Roman" w:eastAsia="方正仿宋_GBK" w:cs="Times New Roman"/>
          <w:spacing w:val="-6"/>
          <w:sz w:val="33"/>
          <w:szCs w:val="33"/>
        </w:rPr>
        <w:t>创建持续、深入影响社会各界</w:t>
      </w:r>
      <w:r>
        <w:rPr>
          <w:rFonts w:hint="eastAsia" w:eastAsia="方正仿宋_GBK" w:cs="Times New Roman"/>
          <w:spacing w:val="-6"/>
          <w:sz w:val="33"/>
          <w:szCs w:val="33"/>
          <w:lang w:eastAsia="zh-CN"/>
        </w:rPr>
        <w:t>人士</w:t>
      </w:r>
      <w:r>
        <w:rPr>
          <w:rFonts w:hint="default" w:ascii="Times New Roman" w:hAnsi="Times New Roman" w:eastAsia="方正仿宋_GBK" w:cs="Times New Roman"/>
          <w:spacing w:val="-6"/>
          <w:sz w:val="33"/>
          <w:szCs w:val="33"/>
        </w:rPr>
        <w:t>。</w:t>
      </w:r>
    </w:p>
    <w:p w14:paraId="67EA7458">
      <w:pPr>
        <w:widowControl/>
        <w:adjustRightInd w:val="0"/>
        <w:snapToGrid w:val="0"/>
        <w:spacing w:line="560" w:lineRule="exact"/>
        <w:ind w:firstLine="640" w:firstLineChars="200"/>
        <w:contextualSpacing/>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五、评价结论及建议</w:t>
      </w:r>
    </w:p>
    <w:p w14:paraId="0EE276B1">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（一）评价结论</w:t>
      </w:r>
    </w:p>
    <w:p w14:paraId="2187693A">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通过举办</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你让我点赞</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文明城市创建整体影响力提升系列活动</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，向外界展示了米易县创建全国文明城市的坚定信心和创建中的创新举措，助推了米易县全国文明城市创建工作。</w:t>
      </w:r>
    </w:p>
    <w:p w14:paraId="508ECC3C">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（二）存在的问题</w:t>
      </w:r>
    </w:p>
    <w:p w14:paraId="4B5EB0E8">
      <w:pPr>
        <w:adjustRightInd w:val="0"/>
        <w:snapToGrid w:val="0"/>
        <w:spacing w:line="600" w:lineRule="exact"/>
        <w:ind w:firstLine="640" w:firstLineChars="200"/>
        <w:rPr>
          <w:rFonts w:hint="default" w:ascii="Times New Roman" w:hAnsi="Times New Roman" w:eastAsia="仿宋_GB2312" w:cs="Times New Roman"/>
          <w:sz w:val="32"/>
          <w:szCs w:val="32"/>
          <w:lang w:val="zh-CN"/>
        </w:rPr>
      </w:pP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你让我点赞</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文明城市创建整体影响力提升系列活动参与的主体为我县部分学校的部分学生，覆盖面上不够广，沉浸式参与度不够高。</w:t>
      </w:r>
    </w:p>
    <w:p w14:paraId="7369267E">
      <w:pPr>
        <w:adjustRightInd w:val="0"/>
        <w:snapToGrid w:val="0"/>
        <w:spacing w:line="600" w:lineRule="exact"/>
        <w:ind w:firstLine="720"/>
        <w:rPr>
          <w:rFonts w:hint="default" w:ascii="Times New Roman" w:hAnsi="Times New Roman" w:eastAsia="楷体_GB2312" w:cs="Times New Roman"/>
          <w:b w:val="0"/>
          <w:bCs/>
          <w:sz w:val="32"/>
          <w:szCs w:val="32"/>
          <w:lang w:val="zh-CN"/>
        </w:rPr>
      </w:pPr>
      <w:r>
        <w:rPr>
          <w:rFonts w:hint="default" w:ascii="Times New Roman" w:hAnsi="Times New Roman" w:eastAsia="楷体_GB2312" w:cs="Times New Roman"/>
          <w:b w:val="0"/>
          <w:bCs/>
          <w:sz w:val="32"/>
          <w:szCs w:val="32"/>
          <w:lang w:val="zh-CN"/>
        </w:rPr>
        <w:t>（三）相关建议</w:t>
      </w:r>
    </w:p>
    <w:p w14:paraId="5A13746C">
      <w:pPr>
        <w:adjustRightInd w:val="0"/>
        <w:snapToGrid w:val="0"/>
        <w:spacing w:line="600" w:lineRule="exact"/>
        <w:ind w:firstLine="640" w:firstLineChars="200"/>
        <w:rPr>
          <w:rFonts w:ascii="仿宋_GB2312" w:hAnsi="宋体" w:eastAsia="仿宋_GB2312"/>
          <w:sz w:val="32"/>
          <w:szCs w:val="32"/>
          <w:lang w:val="zh-CN"/>
        </w:rPr>
      </w:pPr>
      <w:r>
        <w:rPr>
          <w:rFonts w:hint="default" w:ascii="Times New Roman" w:hAnsi="Times New Roman" w:eastAsia="仿宋_GB2312" w:cs="Times New Roman"/>
          <w:sz w:val="32"/>
          <w:szCs w:val="32"/>
          <w:lang w:val="zh-CN"/>
        </w:rPr>
        <w:t>以后组织类似活动，要从覆盖面和参与度上多作思考，让更多的群体，更多的人员参与其中，让活动有更大声势，有更宽的覆盖面，有更大的教育范围。</w:t>
      </w:r>
    </w:p>
    <w:p w14:paraId="76787B4C">
      <w:pPr>
        <w:pStyle w:val="2"/>
        <w:spacing w:before="93"/>
        <w:rPr>
          <w:rFonts w:hint="default"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附表：</w:t>
      </w:r>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309"/>
        <w:gridCol w:w="1276"/>
        <w:gridCol w:w="141"/>
        <w:gridCol w:w="2096"/>
        <w:gridCol w:w="236"/>
      </w:tblGrid>
      <w:tr w14:paraId="15F4241F">
        <w:tblPrEx>
          <w:tblCellMar>
            <w:top w:w="0" w:type="dxa"/>
            <w:left w:w="108" w:type="dxa"/>
            <w:bottom w:w="0" w:type="dxa"/>
            <w:right w:w="108" w:type="dxa"/>
          </w:tblCellMar>
        </w:tblPrEx>
        <w:trPr>
          <w:trHeight w:val="675" w:hRule="atLeast"/>
        </w:trPr>
        <w:tc>
          <w:tcPr>
            <w:tcW w:w="9575" w:type="dxa"/>
            <w:gridSpan w:val="7"/>
            <w:tcBorders>
              <w:top w:val="nil"/>
              <w:left w:val="nil"/>
              <w:bottom w:val="nil"/>
              <w:right w:val="nil"/>
            </w:tcBorders>
            <w:shd w:val="clear" w:color="auto" w:fill="auto"/>
            <w:vAlign w:val="center"/>
          </w:tcPr>
          <w:p w14:paraId="6FFA2818">
            <w:pPr>
              <w:widowControl/>
              <w:jc w:val="center"/>
              <w:textAlignment w:val="center"/>
              <w:rPr>
                <w:rFonts w:ascii="宋体" w:hAnsi="宋体" w:cs="宋体"/>
                <w:b/>
                <w:sz w:val="32"/>
                <w:szCs w:val="32"/>
              </w:rPr>
            </w:pPr>
            <w:r>
              <w:rPr>
                <w:rFonts w:hint="eastAsia" w:ascii="宋体" w:hAnsi="宋体" w:cs="宋体"/>
                <w:b/>
                <w:sz w:val="32"/>
                <w:szCs w:val="32"/>
              </w:rPr>
              <w:t>2021年特定目标类部门预算项目绩效目标自评</w:t>
            </w:r>
          </w:p>
        </w:tc>
        <w:tc>
          <w:tcPr>
            <w:tcW w:w="236" w:type="dxa"/>
            <w:tcBorders>
              <w:top w:val="nil"/>
              <w:left w:val="nil"/>
              <w:bottom w:val="nil"/>
              <w:right w:val="nil"/>
            </w:tcBorders>
            <w:shd w:val="clear" w:color="auto" w:fill="auto"/>
            <w:vAlign w:val="center"/>
          </w:tcPr>
          <w:p w14:paraId="0EB7CF44">
            <w:pPr>
              <w:widowControl/>
              <w:jc w:val="center"/>
              <w:textAlignment w:val="center"/>
              <w:rPr>
                <w:rFonts w:ascii="宋体" w:hAnsi="宋体" w:cs="宋体"/>
                <w:b/>
                <w:kern w:val="0"/>
                <w:sz w:val="32"/>
                <w:szCs w:val="32"/>
              </w:rPr>
            </w:pPr>
          </w:p>
        </w:tc>
      </w:tr>
      <w:tr w14:paraId="74FC59AC">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4FD4D">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2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4C9D1">
            <w:pPr>
              <w:widowControl/>
              <w:spacing w:line="320" w:lineRule="exact"/>
              <w:textAlignment w:val="center"/>
              <w:rPr>
                <w:rFonts w:ascii="宋体" w:hAnsi="宋体" w:cs="宋体"/>
                <w:sz w:val="24"/>
              </w:rPr>
            </w:pPr>
            <w:r>
              <w:rPr>
                <w:rFonts w:hint="eastAsia" w:ascii="宋体" w:hAnsi="宋体" w:cs="宋体"/>
                <w:sz w:val="24"/>
              </w:rPr>
              <w:t>中共米易县委宣传部</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E246">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78218">
            <w:pPr>
              <w:widowControl/>
              <w:spacing w:line="320" w:lineRule="exact"/>
              <w:jc w:val="center"/>
              <w:textAlignment w:val="center"/>
              <w:rPr>
                <w:rFonts w:ascii="宋体" w:hAnsi="宋体" w:cs="宋体"/>
                <w:sz w:val="24"/>
              </w:rPr>
            </w:pPr>
            <w:r>
              <w:rPr>
                <w:rFonts w:hint="eastAsia" w:ascii="宋体" w:hAnsi="宋体" w:cs="宋体"/>
                <w:sz w:val="24"/>
              </w:rPr>
              <w:t>中共米易县委宣传部</w:t>
            </w:r>
          </w:p>
        </w:tc>
      </w:tr>
      <w:tr w14:paraId="38932A47">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57E6A">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项目预算</w:t>
            </w:r>
          </w:p>
          <w:p w14:paraId="4130ACFD">
            <w:pPr>
              <w:widowControl/>
              <w:spacing w:line="320" w:lineRule="exact"/>
              <w:jc w:val="center"/>
              <w:textAlignment w:val="center"/>
              <w:rPr>
                <w:rFonts w:hint="eastAsia" w:ascii="宋体" w:hAnsi="宋体" w:eastAsia="宋体" w:cs="宋体"/>
                <w:kern w:val="0"/>
                <w:sz w:val="24"/>
                <w:lang w:eastAsia="zh-CN"/>
              </w:rPr>
            </w:pPr>
            <w:r>
              <w:rPr>
                <w:rFonts w:hint="eastAsia" w:ascii="宋体" w:hAnsi="宋体" w:cs="宋体"/>
                <w:kern w:val="0"/>
                <w:sz w:val="24"/>
              </w:rPr>
              <w:t>执行情况</w:t>
            </w:r>
          </w:p>
          <w:p w14:paraId="3F405446">
            <w:pPr>
              <w:widowControl/>
              <w:spacing w:line="320" w:lineRule="exact"/>
              <w:jc w:val="center"/>
              <w:textAlignment w:val="center"/>
              <w:rPr>
                <w:rFonts w:ascii="宋体" w:hAnsi="宋体" w:cs="宋体"/>
                <w:sz w:val="24"/>
              </w:rPr>
            </w:pPr>
            <w:r>
              <w:rPr>
                <w:rFonts w:hint="eastAsia" w:ascii="宋体" w:hAns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D07E">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FD82">
            <w:pPr>
              <w:widowControl/>
              <w:spacing w:line="320" w:lineRule="exact"/>
              <w:jc w:val="left"/>
              <w:textAlignment w:val="center"/>
              <w:rPr>
                <w:rFonts w:ascii="宋体" w:hAnsi="宋体" w:cs="宋体"/>
                <w:sz w:val="24"/>
              </w:rPr>
            </w:pPr>
            <w:r>
              <w:rPr>
                <w:rFonts w:hint="eastAsia" w:ascii="宋体" w:hAnsi="宋体" w:cs="宋体"/>
                <w:sz w:val="24"/>
              </w:rPr>
              <w:t>40.7万元</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EDDE">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7E9F5">
            <w:pPr>
              <w:widowControl/>
              <w:spacing w:line="320" w:lineRule="exact"/>
              <w:jc w:val="left"/>
              <w:textAlignment w:val="center"/>
              <w:rPr>
                <w:rFonts w:ascii="宋体" w:hAnsi="宋体" w:cs="宋体"/>
                <w:sz w:val="24"/>
              </w:rPr>
            </w:pPr>
            <w:r>
              <w:rPr>
                <w:rFonts w:hint="eastAsia" w:ascii="宋体" w:hAnsi="宋体" w:cs="宋体"/>
                <w:sz w:val="24"/>
              </w:rPr>
              <w:t>40.7万元</w:t>
            </w:r>
          </w:p>
        </w:tc>
      </w:tr>
      <w:tr w14:paraId="7762155D">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D7621">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C91C">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D5234C3">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A869">
            <w:pPr>
              <w:widowControl/>
              <w:spacing w:line="320" w:lineRule="exact"/>
              <w:jc w:val="left"/>
              <w:textAlignment w:val="center"/>
              <w:rPr>
                <w:rFonts w:ascii="宋体" w:hAnsi="宋体" w:cs="宋体"/>
                <w:sz w:val="24"/>
              </w:rPr>
            </w:pPr>
            <w:r>
              <w:rPr>
                <w:rFonts w:hint="eastAsia" w:ascii="宋体" w:hAnsi="宋体" w:cs="宋体"/>
                <w:sz w:val="24"/>
              </w:rPr>
              <w:t>40.7万元</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8641">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797FED61">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6AE0F">
            <w:pPr>
              <w:widowControl/>
              <w:spacing w:line="320" w:lineRule="exact"/>
              <w:textAlignment w:val="center"/>
              <w:rPr>
                <w:rFonts w:ascii="宋体" w:hAnsi="宋体" w:cs="宋体"/>
                <w:sz w:val="24"/>
              </w:rPr>
            </w:pPr>
            <w:r>
              <w:rPr>
                <w:rFonts w:hint="eastAsia" w:ascii="宋体" w:hAnsi="宋体" w:cs="宋体"/>
                <w:sz w:val="24"/>
              </w:rPr>
              <w:t>40.7万元</w:t>
            </w:r>
          </w:p>
        </w:tc>
      </w:tr>
      <w:tr w14:paraId="2394CCB5">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85AF6">
            <w:pPr>
              <w:spacing w:line="320" w:lineRule="exact"/>
              <w:jc w:val="center"/>
              <w:rPr>
                <w:rFonts w:ascii="宋体" w:hAnsi="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815D">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7D8D">
            <w:pPr>
              <w:widowControl/>
              <w:spacing w:line="320" w:lineRule="exact"/>
              <w:jc w:val="left"/>
              <w:textAlignment w:val="center"/>
              <w:rPr>
                <w:rFonts w:ascii="宋体" w:hAnsi="宋体" w:cs="宋体"/>
                <w:sz w:val="24"/>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797B">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D9A96">
            <w:pPr>
              <w:widowControl/>
              <w:spacing w:line="320" w:lineRule="exact"/>
              <w:jc w:val="center"/>
              <w:textAlignment w:val="center"/>
              <w:rPr>
                <w:rFonts w:ascii="宋体" w:hAnsi="宋体" w:cs="宋体"/>
                <w:sz w:val="24"/>
              </w:rPr>
            </w:pPr>
          </w:p>
        </w:tc>
      </w:tr>
      <w:tr w14:paraId="3361711D">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6BB8C">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6B700150">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DEB86C">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5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D58AD">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565505E4">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366C0">
            <w:pPr>
              <w:spacing w:line="320" w:lineRule="exact"/>
              <w:jc w:val="center"/>
              <w:rPr>
                <w:rFonts w:ascii="宋体" w:hAnsi="宋体" w:cs="宋体"/>
                <w:sz w:val="24"/>
              </w:rPr>
            </w:pPr>
          </w:p>
        </w:tc>
        <w:tc>
          <w:tcPr>
            <w:tcW w:w="4086" w:type="dxa"/>
            <w:gridSpan w:val="3"/>
            <w:tcBorders>
              <w:top w:val="single" w:color="000000" w:sz="4" w:space="0"/>
              <w:left w:val="single" w:color="000000" w:sz="4" w:space="0"/>
              <w:bottom w:val="single" w:color="000000" w:sz="4" w:space="0"/>
              <w:right w:val="single" w:color="000000" w:sz="4" w:space="0"/>
            </w:tcBorders>
            <w:shd w:val="clear" w:color="auto" w:fill="auto"/>
          </w:tcPr>
          <w:p w14:paraId="79E0E8FE">
            <w:pPr>
              <w:adjustRightInd w:val="0"/>
              <w:snapToGrid w:val="0"/>
              <w:spacing w:line="240" w:lineRule="atLeast"/>
              <w:jc w:val="left"/>
              <w:rPr>
                <w:rFonts w:ascii="仿宋_GB2312" w:hAnsi="宋体" w:eastAsia="仿宋_GB2312"/>
                <w:szCs w:val="21"/>
                <w:lang w:val="zh-CN"/>
              </w:rPr>
            </w:pPr>
            <w:r>
              <w:rPr>
                <w:rFonts w:hint="eastAsia" w:eastAsia="方正仿宋_GBK"/>
                <w:szCs w:val="21"/>
              </w:rPr>
              <w:t>进一步</w:t>
            </w:r>
            <w:r>
              <w:rPr>
                <w:rFonts w:eastAsia="方正仿宋_GBK"/>
                <w:szCs w:val="21"/>
              </w:rPr>
              <w:t>凝聚文明创建为人民的最大共识，</w:t>
            </w:r>
            <w:r>
              <w:rPr>
                <w:rFonts w:eastAsia="方正仿宋_GBK"/>
                <w:spacing w:val="-6"/>
                <w:szCs w:val="21"/>
              </w:rPr>
              <w:t>鼓励社会各界人士争当文明城市的宣传者、倡导者和践行者，</w:t>
            </w:r>
            <w:r>
              <w:rPr>
                <w:rFonts w:eastAsia="方正仿宋_GBK"/>
                <w:szCs w:val="21"/>
              </w:rPr>
              <w:t>形成人人讲文明</w:t>
            </w:r>
            <w:r>
              <w:rPr>
                <w:rFonts w:eastAsia="方正仿宋_GBK"/>
                <w:spacing w:val="-6"/>
                <w:szCs w:val="21"/>
              </w:rPr>
              <w:t>、人人创文明的最大合力</w:t>
            </w:r>
            <w:r>
              <w:rPr>
                <w:rFonts w:hint="eastAsia" w:eastAsia="方正仿宋_GBK"/>
                <w:spacing w:val="-6"/>
                <w:szCs w:val="21"/>
              </w:rPr>
              <w:t>，</w:t>
            </w:r>
            <w:r>
              <w:rPr>
                <w:rFonts w:eastAsia="方正仿宋_GBK"/>
                <w:spacing w:val="-6"/>
                <w:szCs w:val="21"/>
              </w:rPr>
              <w:t>推动文明城市创建</w:t>
            </w:r>
            <w:r>
              <w:rPr>
                <w:rFonts w:hint="eastAsia" w:eastAsia="方正仿宋_GBK"/>
                <w:spacing w:val="-6"/>
                <w:szCs w:val="21"/>
              </w:rPr>
              <w:t>。</w:t>
            </w:r>
          </w:p>
        </w:tc>
        <w:tc>
          <w:tcPr>
            <w:tcW w:w="3513" w:type="dxa"/>
            <w:gridSpan w:val="3"/>
            <w:tcBorders>
              <w:top w:val="single" w:color="000000" w:sz="4" w:space="0"/>
              <w:left w:val="single" w:color="000000" w:sz="4" w:space="0"/>
              <w:bottom w:val="single" w:color="000000" w:sz="4" w:space="0"/>
              <w:right w:val="single" w:color="000000" w:sz="4" w:space="0"/>
            </w:tcBorders>
            <w:shd w:val="clear" w:color="auto" w:fill="auto"/>
          </w:tcPr>
          <w:p w14:paraId="3EF7D711">
            <w:pPr>
              <w:widowControl/>
              <w:spacing w:line="320" w:lineRule="exact"/>
              <w:jc w:val="left"/>
              <w:textAlignment w:val="bottom"/>
              <w:rPr>
                <w:rFonts w:ascii="仿宋_GB2312" w:hAnsi="仿宋_GB2312" w:eastAsia="仿宋_GB2312" w:cs="仿宋_GB2312"/>
                <w:sz w:val="28"/>
                <w:szCs w:val="28"/>
              </w:rPr>
            </w:pPr>
            <w:r>
              <w:rPr>
                <w:rFonts w:hint="eastAsia" w:eastAsia="方正仿宋_GBK"/>
                <w:szCs w:val="21"/>
              </w:rPr>
              <w:t>成功举办</w:t>
            </w:r>
            <w:r>
              <w:rPr>
                <w:rFonts w:hint="eastAsia" w:eastAsia="方正仿宋_GBK"/>
                <w:szCs w:val="21"/>
                <w:lang w:eastAsia="zh-CN"/>
              </w:rPr>
              <w:t>“</w:t>
            </w:r>
            <w:r>
              <w:rPr>
                <w:rFonts w:hint="eastAsia" w:eastAsia="方正仿宋_GBK"/>
                <w:szCs w:val="21"/>
              </w:rPr>
              <w:t>你让我点赞</w:t>
            </w:r>
            <w:r>
              <w:rPr>
                <w:rFonts w:hint="eastAsia" w:eastAsia="方正仿宋_GBK"/>
                <w:szCs w:val="21"/>
                <w:lang w:eastAsia="zh-CN"/>
              </w:rPr>
              <w:t>”</w:t>
            </w:r>
            <w:r>
              <w:rPr>
                <w:rFonts w:hint="eastAsia" w:eastAsia="方正仿宋_GBK"/>
                <w:szCs w:val="21"/>
              </w:rPr>
              <w:t>文明城市创建整体影响力提升系列活动，成功创建全国文明城市。</w:t>
            </w:r>
          </w:p>
        </w:tc>
      </w:tr>
      <w:tr w14:paraId="524F401A">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14:paraId="1FDA89CB">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14:paraId="621AB6DF">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2439D02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4580">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7FEE6F4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E40B">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264EEEC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6558A">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29D4">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67C67338">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4D6C4D94">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4668CC">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p w14:paraId="7C941E6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25D69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数量指标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6A7B1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31CF07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五个</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26074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五个</w:t>
            </w:r>
          </w:p>
        </w:tc>
      </w:tr>
      <w:tr w14:paraId="3711E4D4">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25030101">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097B20B">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45497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质量指标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460BB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完成质量</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32A600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FAA92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r w14:paraId="6DDF6DD8">
        <w:tblPrEx>
          <w:tblCellMar>
            <w:top w:w="0" w:type="dxa"/>
            <w:left w:w="108" w:type="dxa"/>
            <w:bottom w:w="0" w:type="dxa"/>
            <w:right w:w="108" w:type="dxa"/>
          </w:tblCellMar>
        </w:tblPrEx>
        <w:trPr>
          <w:gridAfter w:val="1"/>
          <w:wAfter w:w="236" w:type="dxa"/>
          <w:trHeight w:val="415" w:hRule="atLeast"/>
        </w:trPr>
        <w:tc>
          <w:tcPr>
            <w:tcW w:w="1976" w:type="dxa"/>
            <w:vMerge w:val="continue"/>
            <w:tcBorders>
              <w:left w:val="single" w:color="000000" w:sz="4" w:space="0"/>
              <w:right w:val="single" w:color="000000" w:sz="4" w:space="0"/>
            </w:tcBorders>
            <w:shd w:val="clear" w:color="auto" w:fill="auto"/>
            <w:vAlign w:val="center"/>
          </w:tcPr>
          <w:p w14:paraId="5C67E542">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2F5D2A0">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66256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时效指标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5F489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完成时间</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59DE9E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1年</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FD2A2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已完成</w:t>
            </w:r>
          </w:p>
        </w:tc>
      </w:tr>
      <w:tr w14:paraId="3371B521">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3B5ABC9D">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4CB648D">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07114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成本指标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5709A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color w:val="000000"/>
                <w:sz w:val="22"/>
                <w:szCs w:val="22"/>
              </w:rPr>
              <w:t>活动策划、执行等费用</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6AD58F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40.7万元</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F51D4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40.7万元</w:t>
            </w:r>
          </w:p>
        </w:tc>
      </w:tr>
      <w:tr w14:paraId="5F932338">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2002CD2B">
            <w:pPr>
              <w:spacing w:line="320" w:lineRule="exact"/>
              <w:jc w:val="center"/>
              <w:rPr>
                <w:rFonts w:ascii="仿宋_GB2312" w:hAnsi="仿宋_GB2312" w:eastAsia="仿宋_GB2312" w:cs="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A3D79">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效益</w:t>
            </w:r>
          </w:p>
          <w:p w14:paraId="56E90765">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EE91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经济效益  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F501ED">
            <w:pPr>
              <w:widowControl/>
              <w:spacing w:line="320" w:lineRule="exact"/>
              <w:jc w:val="center"/>
              <w:textAlignment w:val="bottom"/>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823A7BB">
            <w:pPr>
              <w:widowControl/>
              <w:spacing w:line="320" w:lineRule="exact"/>
              <w:jc w:val="center"/>
              <w:textAlignment w:val="bottom"/>
              <w:rPr>
                <w:rFonts w:ascii="仿宋_GB2312" w:hAnsi="仿宋_GB2312" w:eastAsia="仿宋_GB2312" w:cs="仿宋_GB2312"/>
                <w:sz w:val="28"/>
                <w:szCs w:val="28"/>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07AA13">
            <w:pPr>
              <w:widowControl/>
              <w:spacing w:line="320" w:lineRule="exact"/>
              <w:jc w:val="center"/>
              <w:textAlignment w:val="bottom"/>
              <w:rPr>
                <w:rFonts w:ascii="仿宋_GB2312" w:hAnsi="仿宋_GB2312" w:eastAsia="仿宋_GB2312" w:cs="仿宋_GB2312"/>
                <w:sz w:val="28"/>
                <w:szCs w:val="28"/>
              </w:rPr>
            </w:pPr>
          </w:p>
        </w:tc>
      </w:tr>
      <w:tr w14:paraId="6ACCBDC3">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68EDDEB8">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07A2DDC">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862EB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社会效益  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7E64DE">
            <w:pPr>
              <w:widowControl/>
              <w:spacing w:line="320" w:lineRule="exact"/>
              <w:jc w:val="center"/>
              <w:textAlignment w:val="bottom"/>
              <w:rPr>
                <w:rFonts w:ascii="仿宋_GB2312" w:hAnsi="仿宋_GB2312" w:eastAsia="仿宋_GB2312" w:cs="仿宋_GB2312"/>
                <w:bCs/>
                <w:szCs w:val="21"/>
              </w:rPr>
            </w:pPr>
            <w:r>
              <w:rPr>
                <w:rFonts w:hint="eastAsia" w:ascii="仿宋_GB2312" w:hAnsi="仿宋_GB2312" w:eastAsia="仿宋_GB2312" w:cs="仿宋_GB2312"/>
                <w:bCs/>
                <w:szCs w:val="21"/>
              </w:rPr>
              <w:t>进一步凝聚起了我县文明创建为人民的最大共识，鼓励我县社会各界人士争当文明城市的宣传者、倡导者和践行者，形成人人讲文明、人人创文明的最大合力。</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970882E">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CF815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r w14:paraId="21399EAB">
        <w:tblPrEx>
          <w:tblCellMar>
            <w:top w:w="0" w:type="dxa"/>
            <w:left w:w="108" w:type="dxa"/>
            <w:bottom w:w="0" w:type="dxa"/>
            <w:right w:w="108" w:type="dxa"/>
          </w:tblCellMar>
        </w:tblPrEx>
        <w:trPr>
          <w:gridAfter w:val="1"/>
          <w:wAfter w:w="236" w:type="dxa"/>
          <w:trHeight w:val="577" w:hRule="atLeast"/>
        </w:trPr>
        <w:tc>
          <w:tcPr>
            <w:tcW w:w="1976" w:type="dxa"/>
            <w:vMerge w:val="continue"/>
            <w:tcBorders>
              <w:left w:val="single" w:color="000000" w:sz="4" w:space="0"/>
              <w:right w:val="single" w:color="000000" w:sz="4" w:space="0"/>
            </w:tcBorders>
            <w:shd w:val="clear" w:color="auto" w:fill="auto"/>
            <w:vAlign w:val="center"/>
          </w:tcPr>
          <w:p w14:paraId="5B9CAB66">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829A0F2">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A3926A">
            <w:pPr>
              <w:widowControl/>
              <w:spacing w:line="320" w:lineRule="exact"/>
              <w:ind w:left="463" w:leftChars="87" w:hanging="280" w:hangingChars="100"/>
              <w:jc w:val="left"/>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生态效益  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013703">
            <w:pPr>
              <w:widowControl/>
              <w:spacing w:line="320" w:lineRule="exact"/>
              <w:jc w:val="center"/>
              <w:textAlignment w:val="bottom"/>
              <w:rPr>
                <w:rFonts w:ascii="仿宋_GB2312" w:hAnsi="仿宋_GB2312" w:eastAsia="仿宋_GB2312" w:cs="仿宋_GB2312"/>
                <w:sz w:val="28"/>
                <w:szCs w:val="28"/>
              </w:rPr>
            </w:pP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08FB184">
            <w:pPr>
              <w:widowControl/>
              <w:spacing w:line="320" w:lineRule="exact"/>
              <w:jc w:val="center"/>
              <w:textAlignment w:val="bottom"/>
              <w:rPr>
                <w:rFonts w:ascii="仿宋_GB2312" w:hAnsi="仿宋_GB2312" w:eastAsia="仿宋_GB2312" w:cs="仿宋_GB2312"/>
                <w:sz w:val="28"/>
                <w:szCs w:val="28"/>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A68C28">
            <w:pPr>
              <w:widowControl/>
              <w:spacing w:line="320" w:lineRule="exact"/>
              <w:jc w:val="center"/>
              <w:textAlignment w:val="bottom"/>
              <w:rPr>
                <w:rFonts w:ascii="仿宋_GB2312" w:hAnsi="仿宋_GB2312" w:eastAsia="仿宋_GB2312" w:cs="仿宋_GB2312"/>
                <w:sz w:val="28"/>
                <w:szCs w:val="28"/>
              </w:rPr>
            </w:pPr>
          </w:p>
        </w:tc>
      </w:tr>
      <w:tr w14:paraId="717E38FE">
        <w:tblPrEx>
          <w:tblCellMar>
            <w:top w:w="0" w:type="dxa"/>
            <w:left w:w="108" w:type="dxa"/>
            <w:bottom w:w="0" w:type="dxa"/>
            <w:right w:w="108" w:type="dxa"/>
          </w:tblCellMar>
        </w:tblPrEx>
        <w:trPr>
          <w:gridAfter w:val="1"/>
          <w:wAfter w:w="236" w:type="dxa"/>
          <w:trHeight w:val="480" w:hRule="atLeast"/>
        </w:trPr>
        <w:tc>
          <w:tcPr>
            <w:tcW w:w="1976" w:type="dxa"/>
            <w:vMerge w:val="continue"/>
            <w:tcBorders>
              <w:left w:val="single" w:color="000000" w:sz="4" w:space="0"/>
              <w:right w:val="single" w:color="000000" w:sz="4" w:space="0"/>
            </w:tcBorders>
            <w:shd w:val="clear" w:color="auto" w:fill="auto"/>
            <w:vAlign w:val="center"/>
          </w:tcPr>
          <w:p w14:paraId="16E3E22B">
            <w:pPr>
              <w:spacing w:line="320" w:lineRule="exact"/>
              <w:jc w:val="center"/>
              <w:rPr>
                <w:rFonts w:ascii="仿宋_GB2312" w:hAnsi="仿宋_GB2312" w:eastAsia="仿宋_GB2312" w:cs="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79DC6F8">
            <w:pPr>
              <w:spacing w:line="320" w:lineRule="exact"/>
              <w:jc w:val="center"/>
              <w:rPr>
                <w:rFonts w:ascii="仿宋_GB2312" w:hAnsi="仿宋_GB2312" w:eastAsia="仿宋_GB2312" w:cs="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F0E6C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可持续影响 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F17DF1">
            <w:pPr>
              <w:widowControl/>
              <w:spacing w:line="320" w:lineRule="exact"/>
              <w:jc w:val="center"/>
              <w:textAlignment w:val="bottom"/>
              <w:rPr>
                <w:rFonts w:ascii="仿宋_GB2312" w:hAnsi="仿宋_GB2312" w:eastAsia="仿宋_GB2312" w:cs="仿宋_GB2312"/>
                <w:bCs/>
                <w:szCs w:val="21"/>
              </w:rPr>
            </w:pPr>
            <w:r>
              <w:rPr>
                <w:rFonts w:hint="eastAsia" w:ascii="仿宋_GB2312" w:hAnsi="仿宋_GB2312" w:eastAsia="仿宋_GB2312" w:cs="仿宋_GB2312"/>
                <w:bCs/>
                <w:szCs w:val="21"/>
              </w:rPr>
              <w:t>米易县全国文明城市</w:t>
            </w:r>
            <w:r>
              <w:rPr>
                <w:rFonts w:hint="eastAsia" w:ascii="仿宋_GB2312" w:hAnsi="仿宋_GB2312" w:eastAsia="仿宋_GB2312" w:cs="仿宋_GB2312"/>
                <w:szCs w:val="21"/>
              </w:rPr>
              <w:t>创建持续、深入影响社会各界群众。</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31494A2">
            <w:pPr>
              <w:widowControl/>
              <w:spacing w:line="320" w:lineRule="exact"/>
              <w:jc w:val="center"/>
              <w:textAlignment w:val="bottom"/>
              <w:rPr>
                <w:rFonts w:ascii="仿宋_GB2312" w:hAnsi="仿宋_GB2312" w:eastAsia="仿宋_GB2312" w:cs="仿宋_GB2312"/>
                <w:sz w:val="28"/>
                <w:szCs w:val="28"/>
              </w:rPr>
            </w:pP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C035B7">
            <w:pPr>
              <w:widowControl/>
              <w:spacing w:line="320" w:lineRule="exact"/>
              <w:jc w:val="center"/>
              <w:textAlignment w:val="bottom"/>
              <w:rPr>
                <w:rFonts w:ascii="仿宋_GB2312" w:hAnsi="仿宋_GB2312" w:eastAsia="仿宋_GB2312" w:cs="仿宋_GB2312"/>
                <w:sz w:val="28"/>
                <w:szCs w:val="28"/>
              </w:rPr>
            </w:pPr>
          </w:p>
        </w:tc>
      </w:tr>
      <w:tr w14:paraId="220954C1">
        <w:tblPrEx>
          <w:tblCellMar>
            <w:top w:w="0" w:type="dxa"/>
            <w:left w:w="108" w:type="dxa"/>
            <w:bottom w:w="0" w:type="dxa"/>
            <w:right w:w="108" w:type="dxa"/>
          </w:tblCellMar>
        </w:tblPrEx>
        <w:trPr>
          <w:gridAfter w:val="1"/>
          <w:wAfter w:w="236"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14:paraId="613292AC">
            <w:pPr>
              <w:spacing w:line="320" w:lineRule="exact"/>
              <w:jc w:val="center"/>
              <w:rPr>
                <w:rFonts w:ascii="仿宋_GB2312" w:hAnsi="仿宋_GB2312" w:eastAsia="仿宋_GB2312" w:cs="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A1B1BA">
            <w:pPr>
              <w:widowControl/>
              <w:spacing w:line="320" w:lineRule="exact"/>
              <w:jc w:val="center"/>
              <w:textAlignment w:val="bottom"/>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满意</w:t>
            </w:r>
          </w:p>
          <w:p w14:paraId="63D6AE0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C8442E">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w:t>
            </w:r>
          </w:p>
          <w:p w14:paraId="395F6A4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C018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服务对象满意度</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F15B4F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优良中低差</w:t>
            </w:r>
          </w:p>
        </w:tc>
        <w:tc>
          <w:tcPr>
            <w:tcW w:w="209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E1434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优</w:t>
            </w:r>
          </w:p>
        </w:tc>
      </w:tr>
    </w:tbl>
    <w:p w14:paraId="56B924C0">
      <w:pPr>
        <w:widowControl/>
        <w:jc w:val="left"/>
        <w:rPr>
          <w:rStyle w:val="24"/>
          <w:rFonts w:ascii="黑体" w:hAnsi="黑体" w:eastAsia="黑体"/>
          <w:b w:val="0"/>
        </w:rPr>
      </w:pPr>
    </w:p>
    <w:p w14:paraId="5BCB8EE0">
      <w:pPr>
        <w:pStyle w:val="2"/>
        <w:spacing w:before="93"/>
      </w:pPr>
    </w:p>
    <w:p w14:paraId="3704D7EC">
      <w:pPr>
        <w:pStyle w:val="2"/>
        <w:spacing w:before="93"/>
      </w:pPr>
    </w:p>
    <w:p w14:paraId="741D8474">
      <w:pPr>
        <w:pStyle w:val="2"/>
        <w:spacing w:before="93"/>
      </w:pPr>
    </w:p>
    <w:p w14:paraId="53173045">
      <w:pPr>
        <w:pStyle w:val="2"/>
        <w:spacing w:before="93"/>
      </w:pPr>
    </w:p>
    <w:p w14:paraId="46DBE8FA">
      <w:pPr>
        <w:pStyle w:val="2"/>
        <w:spacing w:before="93"/>
      </w:pPr>
    </w:p>
    <w:p w14:paraId="157C48C3">
      <w:pPr>
        <w:pStyle w:val="2"/>
        <w:spacing w:before="93"/>
      </w:pPr>
    </w:p>
    <w:p w14:paraId="1A8C4490">
      <w:pPr>
        <w:pStyle w:val="2"/>
        <w:spacing w:before="93"/>
      </w:pPr>
    </w:p>
    <w:p w14:paraId="712BCECA">
      <w:pPr>
        <w:pStyle w:val="2"/>
        <w:spacing w:before="93"/>
      </w:pPr>
    </w:p>
    <w:p w14:paraId="374D49FD">
      <w:pPr>
        <w:spacing w:line="600" w:lineRule="exact"/>
        <w:jc w:val="center"/>
        <w:outlineLvl w:val="0"/>
        <w:rPr>
          <w:rFonts w:hint="eastAsia" w:ascii="Times New Roman" w:hAnsi="Times New Roman" w:eastAsia="黑体" w:cs="Times New Roman"/>
          <w:b w:val="0"/>
          <w:bCs/>
          <w:kern w:val="44"/>
          <w:sz w:val="44"/>
          <w:szCs w:val="44"/>
          <w:lang w:val="en-US" w:eastAsia="zh-CN" w:bidi="ar-SA"/>
        </w:rPr>
      </w:pPr>
      <w:bookmarkStart w:id="101" w:name="_Toc15396618"/>
      <w:bookmarkStart w:id="102" w:name="_Toc117519077"/>
      <w:r>
        <w:rPr>
          <w:rFonts w:hint="eastAsia" w:ascii="Times New Roman" w:hAnsi="Times New Roman" w:eastAsia="黑体" w:cs="Times New Roman"/>
          <w:b w:val="0"/>
          <w:bCs/>
          <w:kern w:val="44"/>
          <w:sz w:val="44"/>
          <w:szCs w:val="44"/>
          <w:lang w:val="en-US" w:eastAsia="zh-CN" w:bidi="ar-SA"/>
        </w:rPr>
        <w:t>第五部分 附表</w:t>
      </w:r>
      <w:bookmarkEnd w:id="97"/>
      <w:bookmarkEnd w:id="101"/>
      <w:bookmarkEnd w:id="102"/>
      <w:bookmarkStart w:id="103" w:name="_Toc15396619"/>
    </w:p>
    <w:p w14:paraId="1014F9F6">
      <w:pPr>
        <w:pStyle w:val="4"/>
        <w:rPr>
          <w:rFonts w:ascii="仿宋" w:hAnsi="仿宋" w:eastAsia="仿宋"/>
        </w:rPr>
      </w:pPr>
      <w:bookmarkStart w:id="104" w:name="_Toc117519078"/>
      <w:r>
        <w:rPr>
          <w:rFonts w:hint="eastAsia" w:ascii="仿宋" w:hAnsi="仿宋" w:eastAsia="仿宋"/>
          <w:b w:val="0"/>
        </w:rPr>
        <w:t>一、收</w:t>
      </w:r>
      <w:r>
        <w:rPr>
          <w:rStyle w:val="25"/>
          <w:rFonts w:hint="eastAsia" w:ascii="仿宋" w:hAnsi="仿宋" w:eastAsia="仿宋"/>
          <w:b w:val="0"/>
          <w:bCs w:val="0"/>
        </w:rPr>
        <w:t>入支出决算总表</w:t>
      </w:r>
      <w:bookmarkEnd w:id="103"/>
      <w:bookmarkEnd w:id="104"/>
    </w:p>
    <w:p w14:paraId="7C2EE2FB">
      <w:pPr>
        <w:pStyle w:val="4"/>
        <w:rPr>
          <w:rFonts w:ascii="仿宋" w:hAnsi="仿宋" w:eastAsia="仿宋"/>
        </w:rPr>
      </w:pPr>
      <w:bookmarkStart w:id="105" w:name="_Toc15396620"/>
      <w:bookmarkStart w:id="106" w:name="_Toc117519079"/>
      <w:r>
        <w:rPr>
          <w:rFonts w:hint="eastAsia" w:ascii="仿宋" w:hAnsi="仿宋" w:eastAsia="仿宋"/>
          <w:b w:val="0"/>
        </w:rPr>
        <w:t>二、收</w:t>
      </w:r>
      <w:r>
        <w:rPr>
          <w:rStyle w:val="25"/>
          <w:rFonts w:hint="eastAsia" w:ascii="仿宋" w:hAnsi="仿宋" w:eastAsia="仿宋"/>
          <w:b w:val="0"/>
          <w:bCs w:val="0"/>
        </w:rPr>
        <w:t>入决算表</w:t>
      </w:r>
      <w:bookmarkEnd w:id="105"/>
      <w:bookmarkEnd w:id="106"/>
    </w:p>
    <w:p w14:paraId="26BC740E">
      <w:pPr>
        <w:pStyle w:val="4"/>
        <w:rPr>
          <w:rFonts w:ascii="仿宋" w:hAnsi="仿宋" w:eastAsia="仿宋"/>
        </w:rPr>
      </w:pPr>
      <w:bookmarkStart w:id="107" w:name="_Toc15396621"/>
      <w:bookmarkStart w:id="108" w:name="_Toc117519080"/>
      <w:r>
        <w:rPr>
          <w:rStyle w:val="25"/>
          <w:rFonts w:hint="eastAsia" w:ascii="仿宋" w:hAnsi="仿宋" w:eastAsia="仿宋"/>
          <w:b w:val="0"/>
          <w:bCs w:val="0"/>
        </w:rPr>
        <w:t>三、</w:t>
      </w:r>
      <w:r>
        <w:rPr>
          <w:rFonts w:hint="eastAsia" w:ascii="仿宋" w:hAnsi="仿宋" w:eastAsia="仿宋"/>
          <w:b w:val="0"/>
        </w:rPr>
        <w:t>支</w:t>
      </w:r>
      <w:r>
        <w:rPr>
          <w:rStyle w:val="25"/>
          <w:rFonts w:hint="eastAsia" w:ascii="仿宋" w:hAnsi="仿宋" w:eastAsia="仿宋"/>
          <w:b w:val="0"/>
          <w:bCs w:val="0"/>
        </w:rPr>
        <w:t>出决算表</w:t>
      </w:r>
      <w:bookmarkEnd w:id="107"/>
      <w:bookmarkEnd w:id="108"/>
    </w:p>
    <w:p w14:paraId="6B06B7F8">
      <w:pPr>
        <w:pStyle w:val="4"/>
        <w:rPr>
          <w:rFonts w:ascii="仿宋" w:hAnsi="仿宋" w:eastAsia="仿宋"/>
          <w:b w:val="0"/>
        </w:rPr>
      </w:pPr>
      <w:bookmarkStart w:id="109" w:name="_Toc117519081"/>
      <w:bookmarkStart w:id="110" w:name="_Toc15396622"/>
      <w:r>
        <w:rPr>
          <w:rStyle w:val="25"/>
          <w:rFonts w:hint="eastAsia" w:ascii="仿宋" w:hAnsi="仿宋" w:eastAsia="仿宋"/>
          <w:b w:val="0"/>
          <w:bCs w:val="0"/>
        </w:rPr>
        <w:t>四、</w:t>
      </w:r>
      <w:r>
        <w:rPr>
          <w:rFonts w:hint="eastAsia" w:ascii="仿宋" w:hAnsi="仿宋" w:eastAsia="仿宋"/>
          <w:b w:val="0"/>
        </w:rPr>
        <w:t>财</w:t>
      </w:r>
      <w:r>
        <w:rPr>
          <w:rStyle w:val="25"/>
          <w:rFonts w:hint="eastAsia" w:ascii="仿宋" w:hAnsi="仿宋" w:eastAsia="仿宋"/>
          <w:b w:val="0"/>
          <w:bCs w:val="0"/>
        </w:rPr>
        <w:t>政拨款收入支出决算总表</w:t>
      </w:r>
      <w:bookmarkEnd w:id="109"/>
      <w:bookmarkEnd w:id="110"/>
    </w:p>
    <w:p w14:paraId="4CDF60B2">
      <w:pPr>
        <w:pStyle w:val="4"/>
        <w:rPr>
          <w:rStyle w:val="25"/>
          <w:rFonts w:ascii="仿宋" w:hAnsi="仿宋" w:eastAsia="仿宋"/>
          <w:b w:val="0"/>
          <w:bCs w:val="0"/>
        </w:rPr>
      </w:pPr>
      <w:bookmarkStart w:id="111" w:name="_Toc15396623"/>
      <w:bookmarkStart w:id="112" w:name="_Toc117519082"/>
      <w:r>
        <w:rPr>
          <w:rStyle w:val="25"/>
          <w:rFonts w:hint="eastAsia" w:ascii="仿宋" w:hAnsi="仿宋" w:eastAsia="仿宋"/>
          <w:b w:val="0"/>
          <w:bCs w:val="0"/>
        </w:rPr>
        <w:t>五、</w:t>
      </w:r>
      <w:r>
        <w:rPr>
          <w:rFonts w:hint="eastAsia" w:ascii="仿宋" w:hAnsi="仿宋" w:eastAsia="仿宋"/>
          <w:b w:val="0"/>
        </w:rPr>
        <w:t>财</w:t>
      </w:r>
      <w:r>
        <w:rPr>
          <w:rStyle w:val="25"/>
          <w:rFonts w:hint="eastAsia" w:ascii="仿宋" w:hAnsi="仿宋" w:eastAsia="仿宋"/>
          <w:b w:val="0"/>
          <w:bCs w:val="0"/>
        </w:rPr>
        <w:t>政拨款支出决算明细表</w:t>
      </w:r>
      <w:bookmarkEnd w:id="111"/>
      <w:bookmarkEnd w:id="112"/>
      <w:bookmarkStart w:id="113" w:name="_Toc15396624"/>
    </w:p>
    <w:p w14:paraId="7A63645C">
      <w:pPr>
        <w:pStyle w:val="4"/>
        <w:rPr>
          <w:rFonts w:ascii="仿宋" w:hAnsi="仿宋" w:eastAsia="仿宋"/>
        </w:rPr>
      </w:pPr>
      <w:bookmarkStart w:id="114" w:name="_Toc117519083"/>
      <w:r>
        <w:rPr>
          <w:rStyle w:val="25"/>
          <w:rFonts w:hint="eastAsia" w:ascii="仿宋" w:hAnsi="仿宋" w:eastAsia="仿宋"/>
          <w:b w:val="0"/>
          <w:bCs w:val="0"/>
        </w:rPr>
        <w:t>六、</w:t>
      </w:r>
      <w:r>
        <w:rPr>
          <w:rFonts w:hint="eastAsia" w:ascii="仿宋" w:hAnsi="仿宋" w:eastAsia="仿宋"/>
          <w:b w:val="0"/>
        </w:rPr>
        <w:t>一</w:t>
      </w:r>
      <w:r>
        <w:rPr>
          <w:rStyle w:val="25"/>
          <w:rFonts w:hint="eastAsia" w:ascii="仿宋" w:hAnsi="仿宋" w:eastAsia="仿宋"/>
          <w:b w:val="0"/>
          <w:bCs w:val="0"/>
        </w:rPr>
        <w:t>般公共预算财政拨款支出决算表</w:t>
      </w:r>
      <w:bookmarkEnd w:id="113"/>
      <w:bookmarkEnd w:id="114"/>
    </w:p>
    <w:p w14:paraId="076827BA">
      <w:pPr>
        <w:pStyle w:val="4"/>
        <w:rPr>
          <w:rFonts w:ascii="仿宋" w:hAnsi="仿宋" w:eastAsia="仿宋"/>
        </w:rPr>
      </w:pPr>
      <w:bookmarkStart w:id="115" w:name="_Toc15396625"/>
      <w:bookmarkStart w:id="116" w:name="_Toc117519084"/>
      <w:r>
        <w:rPr>
          <w:rStyle w:val="25"/>
          <w:rFonts w:hint="eastAsia" w:ascii="仿宋" w:hAnsi="仿宋" w:eastAsia="仿宋"/>
          <w:b w:val="0"/>
          <w:bCs w:val="0"/>
        </w:rPr>
        <w:t>七、</w:t>
      </w:r>
      <w:r>
        <w:rPr>
          <w:rFonts w:hint="eastAsia" w:ascii="仿宋" w:hAnsi="仿宋" w:eastAsia="仿宋"/>
          <w:b w:val="0"/>
        </w:rPr>
        <w:t>一</w:t>
      </w:r>
      <w:r>
        <w:rPr>
          <w:rStyle w:val="25"/>
          <w:rFonts w:hint="eastAsia" w:ascii="仿宋" w:hAnsi="仿宋" w:eastAsia="仿宋"/>
          <w:b w:val="0"/>
          <w:bCs w:val="0"/>
        </w:rPr>
        <w:t>般公共预算财政拨款支出决算明细表</w:t>
      </w:r>
      <w:bookmarkEnd w:id="115"/>
      <w:bookmarkEnd w:id="116"/>
    </w:p>
    <w:p w14:paraId="6447E1F4">
      <w:pPr>
        <w:pStyle w:val="4"/>
        <w:rPr>
          <w:rFonts w:ascii="仿宋" w:hAnsi="仿宋" w:eastAsia="仿宋"/>
        </w:rPr>
      </w:pPr>
      <w:bookmarkStart w:id="117" w:name="_Toc15396626"/>
      <w:bookmarkStart w:id="118" w:name="_Toc117519085"/>
      <w:r>
        <w:rPr>
          <w:rStyle w:val="25"/>
          <w:rFonts w:hint="eastAsia" w:ascii="仿宋" w:hAnsi="仿宋" w:eastAsia="仿宋"/>
          <w:b w:val="0"/>
          <w:bCs w:val="0"/>
        </w:rPr>
        <w:t>八、</w:t>
      </w:r>
      <w:r>
        <w:rPr>
          <w:rFonts w:hint="eastAsia" w:ascii="仿宋" w:hAnsi="仿宋" w:eastAsia="仿宋"/>
          <w:b w:val="0"/>
        </w:rPr>
        <w:t>一</w:t>
      </w:r>
      <w:r>
        <w:rPr>
          <w:rStyle w:val="25"/>
          <w:rFonts w:hint="eastAsia" w:ascii="仿宋" w:hAnsi="仿宋" w:eastAsia="仿宋"/>
          <w:b w:val="0"/>
          <w:bCs w:val="0"/>
        </w:rPr>
        <w:t>般公共预算财政拨款基本支出决算表</w:t>
      </w:r>
      <w:bookmarkEnd w:id="117"/>
      <w:bookmarkEnd w:id="118"/>
    </w:p>
    <w:p w14:paraId="476FEDBB">
      <w:pPr>
        <w:pStyle w:val="4"/>
        <w:rPr>
          <w:rFonts w:ascii="仿宋" w:hAnsi="仿宋" w:eastAsia="仿宋"/>
        </w:rPr>
      </w:pPr>
      <w:bookmarkStart w:id="119" w:name="_Toc117519086"/>
      <w:bookmarkStart w:id="120" w:name="_Toc15396627"/>
      <w:r>
        <w:rPr>
          <w:rStyle w:val="25"/>
          <w:rFonts w:hint="eastAsia" w:ascii="仿宋" w:hAnsi="仿宋" w:eastAsia="仿宋"/>
          <w:b w:val="0"/>
          <w:bCs w:val="0"/>
        </w:rPr>
        <w:t>九、</w:t>
      </w:r>
      <w:r>
        <w:rPr>
          <w:rFonts w:hint="eastAsia" w:ascii="仿宋" w:hAnsi="仿宋" w:eastAsia="仿宋"/>
          <w:b w:val="0"/>
        </w:rPr>
        <w:t>一</w:t>
      </w:r>
      <w:r>
        <w:rPr>
          <w:rStyle w:val="25"/>
          <w:rFonts w:hint="eastAsia" w:ascii="仿宋" w:hAnsi="仿宋" w:eastAsia="仿宋"/>
          <w:b w:val="0"/>
          <w:bCs w:val="0"/>
        </w:rPr>
        <w:t>般公共预算财政拨款项目支出决算表</w:t>
      </w:r>
      <w:bookmarkEnd w:id="119"/>
      <w:bookmarkEnd w:id="120"/>
    </w:p>
    <w:p w14:paraId="08F0F880">
      <w:pPr>
        <w:pStyle w:val="4"/>
        <w:rPr>
          <w:rFonts w:ascii="仿宋" w:hAnsi="仿宋" w:eastAsia="仿宋"/>
        </w:rPr>
      </w:pPr>
      <w:bookmarkStart w:id="121" w:name="_Toc117519087"/>
      <w:bookmarkStart w:id="122" w:name="_Toc15396628"/>
      <w:r>
        <w:rPr>
          <w:rStyle w:val="25"/>
          <w:rFonts w:hint="eastAsia" w:ascii="仿宋" w:hAnsi="仿宋" w:eastAsia="仿宋"/>
          <w:b w:val="0"/>
          <w:bCs w:val="0"/>
        </w:rPr>
        <w:t>十、</w:t>
      </w:r>
      <w:r>
        <w:rPr>
          <w:rFonts w:hint="eastAsia" w:ascii="仿宋" w:hAnsi="仿宋" w:eastAsia="仿宋"/>
          <w:b w:val="0"/>
        </w:rPr>
        <w:t>一</w:t>
      </w:r>
      <w:r>
        <w:rPr>
          <w:rStyle w:val="25"/>
          <w:rFonts w:hint="eastAsia" w:ascii="仿宋" w:hAnsi="仿宋" w:eastAsia="仿宋"/>
          <w:b w:val="0"/>
          <w:bCs w:val="0"/>
        </w:rPr>
        <w:t>般公共预算财政拨款</w:t>
      </w:r>
      <w:r>
        <w:rPr>
          <w:rStyle w:val="25"/>
          <w:rFonts w:hint="eastAsia" w:ascii="仿宋" w:hAnsi="仿宋" w:eastAsia="仿宋"/>
          <w:b w:val="0"/>
          <w:bCs w:val="0"/>
          <w:lang w:eastAsia="zh-CN"/>
        </w:rPr>
        <w:t>“</w:t>
      </w:r>
      <w:r>
        <w:rPr>
          <w:rStyle w:val="25"/>
          <w:rFonts w:hint="eastAsia" w:ascii="仿宋" w:hAnsi="仿宋" w:eastAsia="仿宋"/>
          <w:b w:val="0"/>
          <w:bCs w:val="0"/>
        </w:rPr>
        <w:t>三公</w:t>
      </w:r>
      <w:r>
        <w:rPr>
          <w:rStyle w:val="25"/>
          <w:rFonts w:hint="eastAsia" w:ascii="仿宋" w:hAnsi="仿宋" w:eastAsia="仿宋"/>
          <w:b w:val="0"/>
          <w:bCs w:val="0"/>
          <w:lang w:eastAsia="zh-CN"/>
        </w:rPr>
        <w:t>”</w:t>
      </w:r>
      <w:r>
        <w:rPr>
          <w:rStyle w:val="25"/>
          <w:rFonts w:hint="eastAsia" w:ascii="仿宋" w:hAnsi="仿宋" w:eastAsia="仿宋"/>
          <w:b w:val="0"/>
          <w:bCs w:val="0"/>
        </w:rPr>
        <w:t>经费支出决算表</w:t>
      </w:r>
      <w:bookmarkEnd w:id="121"/>
      <w:bookmarkEnd w:id="122"/>
    </w:p>
    <w:p w14:paraId="78CD6C0F">
      <w:pPr>
        <w:pStyle w:val="4"/>
        <w:rPr>
          <w:rFonts w:ascii="仿宋" w:hAnsi="仿宋" w:eastAsia="仿宋"/>
        </w:rPr>
      </w:pPr>
      <w:bookmarkStart w:id="123" w:name="_Toc15396629"/>
      <w:bookmarkStart w:id="124" w:name="_Toc117519088"/>
      <w:r>
        <w:rPr>
          <w:rStyle w:val="25"/>
          <w:rFonts w:hint="eastAsia" w:ascii="仿宋" w:hAnsi="仿宋" w:eastAsia="仿宋"/>
          <w:b w:val="0"/>
          <w:bCs w:val="0"/>
        </w:rPr>
        <w:t>十一、</w:t>
      </w:r>
      <w:r>
        <w:rPr>
          <w:rFonts w:hint="eastAsia" w:ascii="仿宋" w:hAnsi="仿宋" w:eastAsia="仿宋"/>
          <w:b w:val="0"/>
        </w:rPr>
        <w:t>政</w:t>
      </w:r>
      <w:r>
        <w:rPr>
          <w:rStyle w:val="25"/>
          <w:rFonts w:hint="eastAsia" w:ascii="仿宋" w:hAnsi="仿宋" w:eastAsia="仿宋"/>
          <w:b w:val="0"/>
          <w:bCs w:val="0"/>
        </w:rPr>
        <w:t>府性基金预算财政拨款收入支出决算表</w:t>
      </w:r>
      <w:bookmarkEnd w:id="123"/>
      <w:bookmarkEnd w:id="124"/>
    </w:p>
    <w:p w14:paraId="59A05188">
      <w:pPr>
        <w:pStyle w:val="4"/>
        <w:rPr>
          <w:rFonts w:ascii="仿宋" w:hAnsi="仿宋" w:eastAsia="仿宋"/>
        </w:rPr>
      </w:pPr>
      <w:bookmarkStart w:id="125" w:name="_Toc117519089"/>
      <w:bookmarkStart w:id="126" w:name="_Toc15396630"/>
      <w:r>
        <w:rPr>
          <w:rStyle w:val="25"/>
          <w:rFonts w:hint="eastAsia" w:ascii="仿宋" w:hAnsi="仿宋" w:eastAsia="仿宋"/>
          <w:b w:val="0"/>
          <w:bCs w:val="0"/>
        </w:rPr>
        <w:t>十二、</w:t>
      </w:r>
      <w:r>
        <w:rPr>
          <w:rFonts w:hint="eastAsia" w:ascii="仿宋" w:hAnsi="仿宋" w:eastAsia="仿宋"/>
          <w:b w:val="0"/>
        </w:rPr>
        <w:t>政</w:t>
      </w:r>
      <w:r>
        <w:rPr>
          <w:rStyle w:val="25"/>
          <w:rFonts w:hint="eastAsia" w:ascii="仿宋" w:hAnsi="仿宋" w:eastAsia="仿宋"/>
          <w:b w:val="0"/>
          <w:bCs w:val="0"/>
        </w:rPr>
        <w:t>府性基金预算财政拨款</w:t>
      </w:r>
      <w:r>
        <w:rPr>
          <w:rStyle w:val="25"/>
          <w:rFonts w:hint="eastAsia" w:ascii="仿宋" w:hAnsi="仿宋" w:eastAsia="仿宋"/>
          <w:b w:val="0"/>
          <w:bCs w:val="0"/>
          <w:lang w:eastAsia="zh-CN"/>
        </w:rPr>
        <w:t>“</w:t>
      </w:r>
      <w:r>
        <w:rPr>
          <w:rStyle w:val="25"/>
          <w:rFonts w:hint="eastAsia" w:ascii="仿宋" w:hAnsi="仿宋" w:eastAsia="仿宋"/>
          <w:b w:val="0"/>
          <w:bCs w:val="0"/>
        </w:rPr>
        <w:t>三公</w:t>
      </w:r>
      <w:r>
        <w:rPr>
          <w:rStyle w:val="25"/>
          <w:rFonts w:hint="eastAsia" w:ascii="仿宋" w:hAnsi="仿宋" w:eastAsia="仿宋"/>
          <w:b w:val="0"/>
          <w:bCs w:val="0"/>
          <w:lang w:eastAsia="zh-CN"/>
        </w:rPr>
        <w:t>”</w:t>
      </w:r>
      <w:r>
        <w:rPr>
          <w:rStyle w:val="25"/>
          <w:rFonts w:hint="eastAsia" w:ascii="仿宋" w:hAnsi="仿宋" w:eastAsia="仿宋"/>
          <w:b w:val="0"/>
          <w:bCs w:val="0"/>
        </w:rPr>
        <w:t>经费支出决算表</w:t>
      </w:r>
      <w:bookmarkEnd w:id="125"/>
      <w:bookmarkEnd w:id="126"/>
    </w:p>
    <w:p w14:paraId="44C62568">
      <w:pPr>
        <w:pStyle w:val="4"/>
        <w:rPr>
          <w:rStyle w:val="25"/>
          <w:rFonts w:ascii="仿宋" w:hAnsi="仿宋" w:eastAsia="仿宋"/>
          <w:b w:val="0"/>
          <w:bCs w:val="0"/>
        </w:rPr>
      </w:pPr>
      <w:bookmarkStart w:id="127" w:name="_Toc15396631"/>
      <w:bookmarkStart w:id="128" w:name="_Toc117519090"/>
      <w:r>
        <w:rPr>
          <w:rStyle w:val="25"/>
          <w:rFonts w:hint="eastAsia" w:ascii="仿宋" w:hAnsi="仿宋" w:eastAsia="仿宋"/>
          <w:b w:val="0"/>
          <w:bCs w:val="0"/>
        </w:rPr>
        <w:t>十三、</w:t>
      </w:r>
      <w:r>
        <w:rPr>
          <w:rFonts w:hint="eastAsia" w:ascii="仿宋" w:hAnsi="仿宋" w:eastAsia="仿宋"/>
          <w:b w:val="0"/>
        </w:rPr>
        <w:t>国</w:t>
      </w:r>
      <w:r>
        <w:rPr>
          <w:rStyle w:val="25"/>
          <w:rFonts w:hint="eastAsia" w:ascii="仿宋" w:hAnsi="仿宋" w:eastAsia="仿宋"/>
          <w:b w:val="0"/>
          <w:bCs w:val="0"/>
        </w:rPr>
        <w:t>有资本经营预算财政拨款收入支出决算表</w:t>
      </w:r>
      <w:bookmarkEnd w:id="127"/>
      <w:bookmarkEnd w:id="128"/>
    </w:p>
    <w:p w14:paraId="3D640224">
      <w:pPr>
        <w:rPr>
          <w:rStyle w:val="25"/>
          <w:rFonts w:ascii="仿宋" w:hAnsi="仿宋" w:eastAsia="仿宋"/>
          <w:b w:val="0"/>
          <w:bCs w:val="0"/>
        </w:rPr>
      </w:pPr>
      <w:bookmarkStart w:id="129" w:name="_Toc117519091"/>
      <w:r>
        <w:rPr>
          <w:rStyle w:val="25"/>
          <w:rFonts w:hint="eastAsia" w:ascii="仿宋" w:hAnsi="仿宋" w:eastAsia="仿宋"/>
          <w:b w:val="0"/>
          <w:bCs w:val="0"/>
        </w:rPr>
        <w:t>十四、国有资本经营预算财政拨款支出决算表</w:t>
      </w:r>
      <w:bookmarkEnd w:id="129"/>
    </w:p>
    <w:p w14:paraId="4DEA996D">
      <w:pPr>
        <w:pStyle w:val="2"/>
        <w:spacing w:before="93"/>
        <w:rPr>
          <w:rStyle w:val="25"/>
          <w:rFonts w:ascii="仿宋" w:hAnsi="仿宋" w:eastAsia="仿宋"/>
          <w:b w:val="0"/>
          <w:bCs w:val="0"/>
        </w:rPr>
      </w:pPr>
      <w:bookmarkStart w:id="130" w:name="_Toc117519092"/>
      <w:r>
        <w:rPr>
          <w:rStyle w:val="25"/>
          <w:rFonts w:hint="eastAsia" w:ascii="仿宋" w:hAnsi="仿宋" w:eastAsia="仿宋"/>
          <w:b w:val="0"/>
          <w:bCs w:val="0"/>
        </w:rPr>
        <w:t>十五、机关运行经费、资产占用情况及政府采购支出信息表</w:t>
      </w:r>
      <w:bookmarkEnd w:id="130"/>
    </w:p>
    <w:sectPr>
      <w:footerReference r:id="rId3"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moder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小标宋_GBK"/>
    <w:panose1 w:val="03000509000000000000"/>
    <w:charset w:val="86"/>
    <w:family w:val="auto"/>
    <w:pitch w:val="default"/>
    <w:sig w:usb0="00000000" w:usb1="00000000" w:usb2="00000000" w:usb3="00000000" w:csb0="00040000" w:csb1="00000000"/>
  </w:font>
  <w:font w:name="小标宋">
    <w:altName w:val="方正小标宋_GBK"/>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4A4D7">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570D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F0570D6">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0903DACC">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xN2Q3OGI3NWEzZmMyOWYyOTc1NTgwYTA5OWU5NWEifQ=="/>
  </w:docVars>
  <w:rsids>
    <w:rsidRoot w:val="00F1361C"/>
    <w:rsid w:val="000049BC"/>
    <w:rsid w:val="00014C4D"/>
    <w:rsid w:val="000222C6"/>
    <w:rsid w:val="000237C8"/>
    <w:rsid w:val="0002549F"/>
    <w:rsid w:val="000468DB"/>
    <w:rsid w:val="0006487A"/>
    <w:rsid w:val="00065F8F"/>
    <w:rsid w:val="00070A43"/>
    <w:rsid w:val="00075A3E"/>
    <w:rsid w:val="000768F2"/>
    <w:rsid w:val="00077765"/>
    <w:rsid w:val="0008479E"/>
    <w:rsid w:val="0009184B"/>
    <w:rsid w:val="00094236"/>
    <w:rsid w:val="0009593C"/>
    <w:rsid w:val="00097322"/>
    <w:rsid w:val="000A6A92"/>
    <w:rsid w:val="000B047F"/>
    <w:rsid w:val="000B5923"/>
    <w:rsid w:val="000B5A48"/>
    <w:rsid w:val="000B6FF3"/>
    <w:rsid w:val="000C3467"/>
    <w:rsid w:val="000C3CA6"/>
    <w:rsid w:val="000C67BB"/>
    <w:rsid w:val="000D1267"/>
    <w:rsid w:val="000D1D50"/>
    <w:rsid w:val="000D5782"/>
    <w:rsid w:val="000E6613"/>
    <w:rsid w:val="000E7119"/>
    <w:rsid w:val="00105F6F"/>
    <w:rsid w:val="00114E9B"/>
    <w:rsid w:val="0012426F"/>
    <w:rsid w:val="00124824"/>
    <w:rsid w:val="00134153"/>
    <w:rsid w:val="00142216"/>
    <w:rsid w:val="00144D6A"/>
    <w:rsid w:val="0014729F"/>
    <w:rsid w:val="00152A2A"/>
    <w:rsid w:val="001531BA"/>
    <w:rsid w:val="00157A00"/>
    <w:rsid w:val="00157BAB"/>
    <w:rsid w:val="001654D1"/>
    <w:rsid w:val="00171C16"/>
    <w:rsid w:val="00174518"/>
    <w:rsid w:val="0018106D"/>
    <w:rsid w:val="001877A7"/>
    <w:rsid w:val="00191536"/>
    <w:rsid w:val="0019375D"/>
    <w:rsid w:val="00196687"/>
    <w:rsid w:val="001A70B5"/>
    <w:rsid w:val="001B3451"/>
    <w:rsid w:val="001B5C2A"/>
    <w:rsid w:val="001C0962"/>
    <w:rsid w:val="001D7531"/>
    <w:rsid w:val="001E0657"/>
    <w:rsid w:val="001E354D"/>
    <w:rsid w:val="001E737D"/>
    <w:rsid w:val="001F0592"/>
    <w:rsid w:val="001F7506"/>
    <w:rsid w:val="002006CD"/>
    <w:rsid w:val="00202B36"/>
    <w:rsid w:val="00204B7A"/>
    <w:rsid w:val="00204CDE"/>
    <w:rsid w:val="0021101A"/>
    <w:rsid w:val="00220536"/>
    <w:rsid w:val="00220D02"/>
    <w:rsid w:val="00222462"/>
    <w:rsid w:val="00235629"/>
    <w:rsid w:val="00260C38"/>
    <w:rsid w:val="002616C0"/>
    <w:rsid w:val="00262E18"/>
    <w:rsid w:val="00263EF5"/>
    <w:rsid w:val="00265372"/>
    <w:rsid w:val="002662AA"/>
    <w:rsid w:val="00280496"/>
    <w:rsid w:val="002836DC"/>
    <w:rsid w:val="00294DC9"/>
    <w:rsid w:val="00295495"/>
    <w:rsid w:val="002A31DE"/>
    <w:rsid w:val="002A5C53"/>
    <w:rsid w:val="002B2613"/>
    <w:rsid w:val="002C56F2"/>
    <w:rsid w:val="002D6D05"/>
    <w:rsid w:val="002E7994"/>
    <w:rsid w:val="002F1818"/>
    <w:rsid w:val="002F567B"/>
    <w:rsid w:val="00305C89"/>
    <w:rsid w:val="003216A9"/>
    <w:rsid w:val="00326C9B"/>
    <w:rsid w:val="00335A74"/>
    <w:rsid w:val="0036561B"/>
    <w:rsid w:val="0037013F"/>
    <w:rsid w:val="00380C92"/>
    <w:rsid w:val="00381175"/>
    <w:rsid w:val="003976FD"/>
    <w:rsid w:val="003A484F"/>
    <w:rsid w:val="003A4883"/>
    <w:rsid w:val="003B0BE0"/>
    <w:rsid w:val="003B0C1B"/>
    <w:rsid w:val="003B688C"/>
    <w:rsid w:val="003B747C"/>
    <w:rsid w:val="003C0291"/>
    <w:rsid w:val="003C39AE"/>
    <w:rsid w:val="003C7B60"/>
    <w:rsid w:val="003D0C0F"/>
    <w:rsid w:val="003D1FB2"/>
    <w:rsid w:val="003D5248"/>
    <w:rsid w:val="003D66DA"/>
    <w:rsid w:val="003E1310"/>
    <w:rsid w:val="003E1DC7"/>
    <w:rsid w:val="003E6F55"/>
    <w:rsid w:val="003F4750"/>
    <w:rsid w:val="00406254"/>
    <w:rsid w:val="00417E6F"/>
    <w:rsid w:val="004216A6"/>
    <w:rsid w:val="004223DE"/>
    <w:rsid w:val="00424139"/>
    <w:rsid w:val="00425153"/>
    <w:rsid w:val="00434489"/>
    <w:rsid w:val="00437085"/>
    <w:rsid w:val="00443880"/>
    <w:rsid w:val="004464F4"/>
    <w:rsid w:val="00471401"/>
    <w:rsid w:val="00473F31"/>
    <w:rsid w:val="0048263A"/>
    <w:rsid w:val="00487E5D"/>
    <w:rsid w:val="00493CDC"/>
    <w:rsid w:val="004A0F47"/>
    <w:rsid w:val="004A711F"/>
    <w:rsid w:val="004B199D"/>
    <w:rsid w:val="004B4690"/>
    <w:rsid w:val="004C5499"/>
    <w:rsid w:val="004C6D35"/>
    <w:rsid w:val="004E0A2D"/>
    <w:rsid w:val="004E206B"/>
    <w:rsid w:val="004E6DF7"/>
    <w:rsid w:val="004F0FBD"/>
    <w:rsid w:val="0050384B"/>
    <w:rsid w:val="00503EAB"/>
    <w:rsid w:val="00505A47"/>
    <w:rsid w:val="00512FDA"/>
    <w:rsid w:val="00513DDC"/>
    <w:rsid w:val="00520008"/>
    <w:rsid w:val="00520DA0"/>
    <w:rsid w:val="0056421C"/>
    <w:rsid w:val="005664BB"/>
    <w:rsid w:val="00566FFA"/>
    <w:rsid w:val="0057481D"/>
    <w:rsid w:val="0058486E"/>
    <w:rsid w:val="00585B33"/>
    <w:rsid w:val="0059014D"/>
    <w:rsid w:val="005B5C64"/>
    <w:rsid w:val="005C5337"/>
    <w:rsid w:val="005C6BD0"/>
    <w:rsid w:val="005D0302"/>
    <w:rsid w:val="005D0A73"/>
    <w:rsid w:val="005D1C8B"/>
    <w:rsid w:val="005D468D"/>
    <w:rsid w:val="005D5CED"/>
    <w:rsid w:val="005F1A4C"/>
    <w:rsid w:val="00605688"/>
    <w:rsid w:val="006070AF"/>
    <w:rsid w:val="00607E6C"/>
    <w:rsid w:val="006101B1"/>
    <w:rsid w:val="00614E44"/>
    <w:rsid w:val="0062270A"/>
    <w:rsid w:val="00622830"/>
    <w:rsid w:val="00623DA0"/>
    <w:rsid w:val="00625D06"/>
    <w:rsid w:val="00630AEF"/>
    <w:rsid w:val="00631030"/>
    <w:rsid w:val="006325F8"/>
    <w:rsid w:val="00633463"/>
    <w:rsid w:val="00634C9A"/>
    <w:rsid w:val="006440E4"/>
    <w:rsid w:val="0066343B"/>
    <w:rsid w:val="00664777"/>
    <w:rsid w:val="006748A4"/>
    <w:rsid w:val="0068181C"/>
    <w:rsid w:val="00681A31"/>
    <w:rsid w:val="00683E73"/>
    <w:rsid w:val="00685037"/>
    <w:rsid w:val="006A3141"/>
    <w:rsid w:val="006A5E34"/>
    <w:rsid w:val="006B2422"/>
    <w:rsid w:val="006B2B9A"/>
    <w:rsid w:val="006C1937"/>
    <w:rsid w:val="006C79B8"/>
    <w:rsid w:val="006D5F88"/>
    <w:rsid w:val="006E0B55"/>
    <w:rsid w:val="006F020C"/>
    <w:rsid w:val="00701BD6"/>
    <w:rsid w:val="007127B7"/>
    <w:rsid w:val="0071798E"/>
    <w:rsid w:val="007416B6"/>
    <w:rsid w:val="00746F48"/>
    <w:rsid w:val="0075404D"/>
    <w:rsid w:val="0076182A"/>
    <w:rsid w:val="00764610"/>
    <w:rsid w:val="00767B7E"/>
    <w:rsid w:val="007770C3"/>
    <w:rsid w:val="00784D24"/>
    <w:rsid w:val="00785FBA"/>
    <w:rsid w:val="00786E4A"/>
    <w:rsid w:val="007875EB"/>
    <w:rsid w:val="00791E65"/>
    <w:rsid w:val="0079426B"/>
    <w:rsid w:val="007C7B2D"/>
    <w:rsid w:val="007D1682"/>
    <w:rsid w:val="007D312A"/>
    <w:rsid w:val="007D3F19"/>
    <w:rsid w:val="007E19B0"/>
    <w:rsid w:val="007E23B0"/>
    <w:rsid w:val="007E23E5"/>
    <w:rsid w:val="007F1991"/>
    <w:rsid w:val="007F2C2F"/>
    <w:rsid w:val="007F55FC"/>
    <w:rsid w:val="007F5665"/>
    <w:rsid w:val="00800112"/>
    <w:rsid w:val="00813348"/>
    <w:rsid w:val="008253BB"/>
    <w:rsid w:val="0083706E"/>
    <w:rsid w:val="008408F6"/>
    <w:rsid w:val="008423A5"/>
    <w:rsid w:val="0084339E"/>
    <w:rsid w:val="008468A6"/>
    <w:rsid w:val="00847964"/>
    <w:rsid w:val="008502EB"/>
    <w:rsid w:val="00850625"/>
    <w:rsid w:val="00853718"/>
    <w:rsid w:val="00855221"/>
    <w:rsid w:val="00860645"/>
    <w:rsid w:val="00871F71"/>
    <w:rsid w:val="00872FD8"/>
    <w:rsid w:val="0088389B"/>
    <w:rsid w:val="00885AF4"/>
    <w:rsid w:val="0089329F"/>
    <w:rsid w:val="008939CD"/>
    <w:rsid w:val="00894D6B"/>
    <w:rsid w:val="008A7AE5"/>
    <w:rsid w:val="008B768C"/>
    <w:rsid w:val="008C4DB1"/>
    <w:rsid w:val="008C4EAF"/>
    <w:rsid w:val="008C5176"/>
    <w:rsid w:val="008C7FD0"/>
    <w:rsid w:val="008D3B07"/>
    <w:rsid w:val="008E1DE7"/>
    <w:rsid w:val="008E2F6D"/>
    <w:rsid w:val="008E707C"/>
    <w:rsid w:val="008F4580"/>
    <w:rsid w:val="00900B08"/>
    <w:rsid w:val="00902155"/>
    <w:rsid w:val="00902FA3"/>
    <w:rsid w:val="009211D1"/>
    <w:rsid w:val="00923564"/>
    <w:rsid w:val="0092392E"/>
    <w:rsid w:val="009315F9"/>
    <w:rsid w:val="00933499"/>
    <w:rsid w:val="00935C98"/>
    <w:rsid w:val="00946945"/>
    <w:rsid w:val="00951248"/>
    <w:rsid w:val="0095152F"/>
    <w:rsid w:val="00954C49"/>
    <w:rsid w:val="00955E37"/>
    <w:rsid w:val="0097099F"/>
    <w:rsid w:val="00971997"/>
    <w:rsid w:val="00971FFC"/>
    <w:rsid w:val="00981DF6"/>
    <w:rsid w:val="0098660A"/>
    <w:rsid w:val="009931C3"/>
    <w:rsid w:val="009A14A1"/>
    <w:rsid w:val="009B2C43"/>
    <w:rsid w:val="009B4EAE"/>
    <w:rsid w:val="009B7573"/>
    <w:rsid w:val="009C22F4"/>
    <w:rsid w:val="009C2A4B"/>
    <w:rsid w:val="009C2E98"/>
    <w:rsid w:val="009D3447"/>
    <w:rsid w:val="009D4711"/>
    <w:rsid w:val="009F1185"/>
    <w:rsid w:val="009F18CD"/>
    <w:rsid w:val="009F1D39"/>
    <w:rsid w:val="009F2A13"/>
    <w:rsid w:val="009F7527"/>
    <w:rsid w:val="00A00256"/>
    <w:rsid w:val="00A04EB0"/>
    <w:rsid w:val="00A13CC1"/>
    <w:rsid w:val="00A16847"/>
    <w:rsid w:val="00A2032E"/>
    <w:rsid w:val="00A237D8"/>
    <w:rsid w:val="00A268C4"/>
    <w:rsid w:val="00A307CD"/>
    <w:rsid w:val="00A331C8"/>
    <w:rsid w:val="00A361BE"/>
    <w:rsid w:val="00A40A00"/>
    <w:rsid w:val="00A4142F"/>
    <w:rsid w:val="00A422EB"/>
    <w:rsid w:val="00A45BB7"/>
    <w:rsid w:val="00A56DF2"/>
    <w:rsid w:val="00A56E6E"/>
    <w:rsid w:val="00A67AB5"/>
    <w:rsid w:val="00A733B2"/>
    <w:rsid w:val="00A741C2"/>
    <w:rsid w:val="00A85E2E"/>
    <w:rsid w:val="00A91760"/>
    <w:rsid w:val="00A93886"/>
    <w:rsid w:val="00A93B00"/>
    <w:rsid w:val="00A93C21"/>
    <w:rsid w:val="00AB64C9"/>
    <w:rsid w:val="00AC3C6A"/>
    <w:rsid w:val="00AD152B"/>
    <w:rsid w:val="00AD5620"/>
    <w:rsid w:val="00AD656B"/>
    <w:rsid w:val="00AD7C1B"/>
    <w:rsid w:val="00AE16BA"/>
    <w:rsid w:val="00AE1EBE"/>
    <w:rsid w:val="00AE7839"/>
    <w:rsid w:val="00AF36A3"/>
    <w:rsid w:val="00B03C9D"/>
    <w:rsid w:val="00B060AE"/>
    <w:rsid w:val="00B10517"/>
    <w:rsid w:val="00B14C86"/>
    <w:rsid w:val="00B14E76"/>
    <w:rsid w:val="00B161B8"/>
    <w:rsid w:val="00B2048C"/>
    <w:rsid w:val="00B310B9"/>
    <w:rsid w:val="00B35F3F"/>
    <w:rsid w:val="00B36235"/>
    <w:rsid w:val="00B36CBB"/>
    <w:rsid w:val="00B425E0"/>
    <w:rsid w:val="00B440AA"/>
    <w:rsid w:val="00B440B0"/>
    <w:rsid w:val="00B44B70"/>
    <w:rsid w:val="00B53C56"/>
    <w:rsid w:val="00B57DAF"/>
    <w:rsid w:val="00B658FE"/>
    <w:rsid w:val="00B77EA6"/>
    <w:rsid w:val="00B81598"/>
    <w:rsid w:val="00B841F1"/>
    <w:rsid w:val="00B864EA"/>
    <w:rsid w:val="00B90209"/>
    <w:rsid w:val="00B944D6"/>
    <w:rsid w:val="00BA7648"/>
    <w:rsid w:val="00BB4DF0"/>
    <w:rsid w:val="00BB6642"/>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579D6"/>
    <w:rsid w:val="00C61BFC"/>
    <w:rsid w:val="00C62B85"/>
    <w:rsid w:val="00C65438"/>
    <w:rsid w:val="00C71088"/>
    <w:rsid w:val="00C7235D"/>
    <w:rsid w:val="00C76435"/>
    <w:rsid w:val="00C87FD8"/>
    <w:rsid w:val="00C91381"/>
    <w:rsid w:val="00C91CBB"/>
    <w:rsid w:val="00C93CC8"/>
    <w:rsid w:val="00CA05CE"/>
    <w:rsid w:val="00CA72EA"/>
    <w:rsid w:val="00CB1584"/>
    <w:rsid w:val="00CB4E70"/>
    <w:rsid w:val="00CC09B6"/>
    <w:rsid w:val="00CC666F"/>
    <w:rsid w:val="00CD1E3F"/>
    <w:rsid w:val="00CD61D8"/>
    <w:rsid w:val="00CE44F6"/>
    <w:rsid w:val="00CE49DA"/>
    <w:rsid w:val="00CE7B61"/>
    <w:rsid w:val="00CF671A"/>
    <w:rsid w:val="00D00095"/>
    <w:rsid w:val="00D114F0"/>
    <w:rsid w:val="00D15D07"/>
    <w:rsid w:val="00D20620"/>
    <w:rsid w:val="00D254F7"/>
    <w:rsid w:val="00D26091"/>
    <w:rsid w:val="00D2685C"/>
    <w:rsid w:val="00D34E7C"/>
    <w:rsid w:val="00D35489"/>
    <w:rsid w:val="00D36AFE"/>
    <w:rsid w:val="00D4468D"/>
    <w:rsid w:val="00D45ED1"/>
    <w:rsid w:val="00D51276"/>
    <w:rsid w:val="00D552BD"/>
    <w:rsid w:val="00D7035F"/>
    <w:rsid w:val="00D825EA"/>
    <w:rsid w:val="00DA0CD5"/>
    <w:rsid w:val="00DA1B09"/>
    <w:rsid w:val="00DA634F"/>
    <w:rsid w:val="00DA65AC"/>
    <w:rsid w:val="00DB1913"/>
    <w:rsid w:val="00DC410D"/>
    <w:rsid w:val="00DC5A81"/>
    <w:rsid w:val="00DC68CA"/>
    <w:rsid w:val="00DC7CBA"/>
    <w:rsid w:val="00DD73B7"/>
    <w:rsid w:val="00DF28BC"/>
    <w:rsid w:val="00DF34B9"/>
    <w:rsid w:val="00E01053"/>
    <w:rsid w:val="00E01FF5"/>
    <w:rsid w:val="00E02DD5"/>
    <w:rsid w:val="00E07ACF"/>
    <w:rsid w:val="00E331A1"/>
    <w:rsid w:val="00E33202"/>
    <w:rsid w:val="00E336A9"/>
    <w:rsid w:val="00E404C2"/>
    <w:rsid w:val="00E46A26"/>
    <w:rsid w:val="00E472B1"/>
    <w:rsid w:val="00E50624"/>
    <w:rsid w:val="00E50910"/>
    <w:rsid w:val="00E568DF"/>
    <w:rsid w:val="00E63961"/>
    <w:rsid w:val="00E64269"/>
    <w:rsid w:val="00E82267"/>
    <w:rsid w:val="00E853CE"/>
    <w:rsid w:val="00E867B6"/>
    <w:rsid w:val="00EA010F"/>
    <w:rsid w:val="00EA1E4B"/>
    <w:rsid w:val="00EA47BC"/>
    <w:rsid w:val="00EB70C2"/>
    <w:rsid w:val="00EC6ED5"/>
    <w:rsid w:val="00ED1B63"/>
    <w:rsid w:val="00ED1BB9"/>
    <w:rsid w:val="00ED3C1F"/>
    <w:rsid w:val="00ED4085"/>
    <w:rsid w:val="00ED420E"/>
    <w:rsid w:val="00ED6FBE"/>
    <w:rsid w:val="00EE2F57"/>
    <w:rsid w:val="00EF3773"/>
    <w:rsid w:val="00EF4C34"/>
    <w:rsid w:val="00EF77C6"/>
    <w:rsid w:val="00EF7C33"/>
    <w:rsid w:val="00F05438"/>
    <w:rsid w:val="00F1361C"/>
    <w:rsid w:val="00F156F0"/>
    <w:rsid w:val="00F160C7"/>
    <w:rsid w:val="00F212C6"/>
    <w:rsid w:val="00F2408F"/>
    <w:rsid w:val="00F240E9"/>
    <w:rsid w:val="00F258DC"/>
    <w:rsid w:val="00F36D8F"/>
    <w:rsid w:val="00F417B1"/>
    <w:rsid w:val="00F45853"/>
    <w:rsid w:val="00F602DF"/>
    <w:rsid w:val="00F754A1"/>
    <w:rsid w:val="00F81FD9"/>
    <w:rsid w:val="00F841AA"/>
    <w:rsid w:val="00F84A94"/>
    <w:rsid w:val="00F87E96"/>
    <w:rsid w:val="00F94F93"/>
    <w:rsid w:val="00FA23E8"/>
    <w:rsid w:val="00FC3B12"/>
    <w:rsid w:val="00FD3CC1"/>
    <w:rsid w:val="00FE16A4"/>
    <w:rsid w:val="00FF1E02"/>
    <w:rsid w:val="00FF30B4"/>
    <w:rsid w:val="0574717F"/>
    <w:rsid w:val="06161438"/>
    <w:rsid w:val="066E0107"/>
    <w:rsid w:val="06E45C98"/>
    <w:rsid w:val="07996F6E"/>
    <w:rsid w:val="0A2032A3"/>
    <w:rsid w:val="0BB743C6"/>
    <w:rsid w:val="0C14753C"/>
    <w:rsid w:val="0C7E61B8"/>
    <w:rsid w:val="0D1F7653"/>
    <w:rsid w:val="101860EC"/>
    <w:rsid w:val="10C055FF"/>
    <w:rsid w:val="118107EC"/>
    <w:rsid w:val="13D50BC4"/>
    <w:rsid w:val="16BB723D"/>
    <w:rsid w:val="18856C48"/>
    <w:rsid w:val="18C77C40"/>
    <w:rsid w:val="1BD85D3B"/>
    <w:rsid w:val="1BE8440E"/>
    <w:rsid w:val="1D155CEE"/>
    <w:rsid w:val="1E932F10"/>
    <w:rsid w:val="214C5D21"/>
    <w:rsid w:val="215B5523"/>
    <w:rsid w:val="23860B96"/>
    <w:rsid w:val="240371BF"/>
    <w:rsid w:val="29FD04D3"/>
    <w:rsid w:val="2C8A61B5"/>
    <w:rsid w:val="2D036383"/>
    <w:rsid w:val="2DF04E50"/>
    <w:rsid w:val="2F007210"/>
    <w:rsid w:val="2F1C2AC8"/>
    <w:rsid w:val="319F7F4E"/>
    <w:rsid w:val="33470D00"/>
    <w:rsid w:val="335576A9"/>
    <w:rsid w:val="35DFBB9B"/>
    <w:rsid w:val="36AA5135"/>
    <w:rsid w:val="37E16F03"/>
    <w:rsid w:val="39A31C9F"/>
    <w:rsid w:val="3AB42276"/>
    <w:rsid w:val="3C3C39C4"/>
    <w:rsid w:val="3C945583"/>
    <w:rsid w:val="3D8D2C58"/>
    <w:rsid w:val="3D98207C"/>
    <w:rsid w:val="41833F44"/>
    <w:rsid w:val="44E268DA"/>
    <w:rsid w:val="498D50E6"/>
    <w:rsid w:val="4A627F82"/>
    <w:rsid w:val="4B211352"/>
    <w:rsid w:val="4B4F25DA"/>
    <w:rsid w:val="4BE068DB"/>
    <w:rsid w:val="4D577224"/>
    <w:rsid w:val="4E8F1320"/>
    <w:rsid w:val="4EAB630A"/>
    <w:rsid w:val="4ECE2238"/>
    <w:rsid w:val="519D31E6"/>
    <w:rsid w:val="55B41D2B"/>
    <w:rsid w:val="563E6EBC"/>
    <w:rsid w:val="58114036"/>
    <w:rsid w:val="5AF92295"/>
    <w:rsid w:val="5CD71FC4"/>
    <w:rsid w:val="631D08F7"/>
    <w:rsid w:val="64754A6B"/>
    <w:rsid w:val="65343F73"/>
    <w:rsid w:val="66A739F8"/>
    <w:rsid w:val="66AE6C06"/>
    <w:rsid w:val="67A90CA2"/>
    <w:rsid w:val="6827538A"/>
    <w:rsid w:val="6A510F7A"/>
    <w:rsid w:val="6C4A05C8"/>
    <w:rsid w:val="6E4B29CC"/>
    <w:rsid w:val="6E7E3605"/>
    <w:rsid w:val="6FF5CC65"/>
    <w:rsid w:val="715C0E4B"/>
    <w:rsid w:val="717C7162"/>
    <w:rsid w:val="72734D90"/>
    <w:rsid w:val="73116E72"/>
    <w:rsid w:val="732A20A2"/>
    <w:rsid w:val="73AD73D5"/>
    <w:rsid w:val="73B6EB34"/>
    <w:rsid w:val="73D047CC"/>
    <w:rsid w:val="79A26016"/>
    <w:rsid w:val="79EE5BA4"/>
    <w:rsid w:val="7A894339"/>
    <w:rsid w:val="7E292D8B"/>
    <w:rsid w:val="7EEF11D3"/>
    <w:rsid w:val="7FA30C79"/>
    <w:rsid w:val="7FC96657"/>
    <w:rsid w:val="D8D6DB89"/>
    <w:rsid w:val="DB6F4CAB"/>
    <w:rsid w:val="DF6F978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2"/>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fontstyle01"/>
    <w:qFormat/>
    <w:uiPriority w:val="0"/>
    <w:rPr>
      <w:rFonts w:hint="eastAsia" w:ascii="方正小标宋_GBK" w:eastAsia="方正小标宋_GBK"/>
      <w:color w:val="000000"/>
      <w:sz w:val="44"/>
      <w:szCs w:val="44"/>
    </w:rPr>
  </w:style>
  <w:style w:type="character" w:customStyle="1" w:styleId="31">
    <w:name w:val="fontstyle31"/>
    <w:qFormat/>
    <w:uiPriority w:val="0"/>
    <w:rPr>
      <w:rFonts w:hint="eastAsia" w:ascii="黑体" w:hAnsi="黑体" w:eastAsia="黑体"/>
      <w:color w:val="000000"/>
      <w:sz w:val="32"/>
      <w:szCs w:val="32"/>
    </w:rPr>
  </w:style>
  <w:style w:type="character" w:customStyle="1" w:styleId="32">
    <w:name w:val="fontstyle61"/>
    <w:qFormat/>
    <w:uiPriority w:val="0"/>
    <w:rPr>
      <w:rFonts w:hint="eastAsia" w:ascii="楷体_GB2312" w:eastAsia="楷体_GB2312"/>
      <w:color w:val="000000"/>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收入总计（万元）</c:v>
                </c:pt>
                <c:pt idx="1">
                  <c:v>支出总计（万元）</c:v>
                </c:pt>
              </c:strCache>
            </c:strRef>
          </c:cat>
          <c:val>
            <c:numRef>
              <c:f>Sheet1!$B$2:$B$3</c:f>
              <c:numCache>
                <c:formatCode>General</c:formatCode>
                <c:ptCount val="2"/>
                <c:pt idx="0">
                  <c:v>1315.81</c:v>
                </c:pt>
                <c:pt idx="1">
                  <c:v>1315.81</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收入总计（万元）</c:v>
                </c:pt>
                <c:pt idx="1">
                  <c:v>支出总计（万元）</c:v>
                </c:pt>
              </c:strCache>
            </c:strRef>
          </c:cat>
          <c:val>
            <c:numRef>
              <c:f>Sheet1!$C$2:$C$3</c:f>
              <c:numCache>
                <c:formatCode>General</c:formatCode>
                <c:ptCount val="2"/>
                <c:pt idx="0">
                  <c:v>675.25</c:v>
                </c:pt>
                <c:pt idx="1">
                  <c:v>675.25</c:v>
                </c:pt>
              </c:numCache>
            </c:numRef>
          </c:val>
        </c:ser>
        <c:dLbls>
          <c:showLegendKey val="0"/>
          <c:showVal val="0"/>
          <c:showCatName val="0"/>
          <c:showSerName val="0"/>
          <c:showPercent val="0"/>
          <c:showBubbleSize val="0"/>
        </c:dLbls>
        <c:gapWidth val="150"/>
        <c:axId val="102205312"/>
        <c:axId val="144347520"/>
      </c:barChart>
      <c:catAx>
        <c:axId val="102205312"/>
        <c:scaling>
          <c:orientation val="minMax"/>
        </c:scaling>
        <c:delete val="0"/>
        <c:axPos val="b"/>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44347520"/>
        <c:crosses val="autoZero"/>
        <c:auto val="1"/>
        <c:lblAlgn val="ctr"/>
        <c:lblOffset val="100"/>
        <c:noMultiLvlLbl val="0"/>
      </c:catAx>
      <c:valAx>
        <c:axId val="144347520"/>
        <c:scaling>
          <c:orientation val="minMax"/>
        </c:scaling>
        <c:delete val="0"/>
        <c:axPos val="l"/>
        <c:majorGridlines>
          <c:spPr>
            <a:ln w="9525" cap="flat" cmpd="sng" algn="ctr">
              <a:solidFill>
                <a:schemeClr val="tx1">
                  <a:lumMod val="50000"/>
                  <a:lumOff val="50000"/>
                </a:schemeClr>
              </a:solidFill>
              <a:prstDash val="solid"/>
              <a:round/>
            </a:ln>
            <a:effectLst/>
          </c:spPr>
        </c:majorGridlines>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02205312"/>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ef5c689-df25-4fbe-af9e-4cd00ce2c9a4}"/>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本年收入（万元）</c:v>
                </c:pt>
              </c:strCache>
            </c:strRef>
          </c:tx>
          <c:spPr>
            <a:effectLst/>
          </c:spPr>
          <c:explosion val="0"/>
          <c:dPt>
            <c:idx val="0"/>
            <c:bubble3D val="0"/>
            <c:spPr>
              <a:solidFill>
                <a:schemeClr val="accent1">
                  <a:shade val="76667"/>
                </a:schemeClr>
              </a:solidFill>
              <a:ln>
                <a:noFill/>
              </a:ln>
              <a:effectLst/>
            </c:spPr>
          </c:dPt>
          <c:dPt>
            <c:idx val="1"/>
            <c:bubble3D val="0"/>
            <c:spPr>
              <a:solidFill>
                <a:schemeClr val="accent2">
                  <a:shade val="76667"/>
                </a:schemeClr>
              </a:solidFill>
              <a:ln>
                <a:noFill/>
              </a:ln>
              <a:effectLst/>
            </c:spPr>
          </c:dPt>
          <c:dPt>
            <c:idx val="2"/>
            <c:bubble3D val="0"/>
            <c:spPr>
              <a:solidFill>
                <a:schemeClr val="accent3">
                  <a:shade val="76667"/>
                </a:schemeClr>
              </a:solidFill>
              <a:ln>
                <a:noFill/>
              </a:ln>
              <a:effectLst/>
            </c:spPr>
          </c:dPt>
          <c:dPt>
            <c:idx val="3"/>
            <c:bubble3D val="0"/>
            <c:spPr>
              <a:solidFill>
                <a:schemeClr val="accent4">
                  <a:shade val="76667"/>
                </a:schemeClr>
              </a:solidFill>
              <a:ln>
                <a:noFill/>
              </a:ln>
              <a:effectLst/>
            </c:spPr>
          </c:dPt>
          <c:dPt>
            <c:idx val="4"/>
            <c:bubble3D val="0"/>
            <c:spPr>
              <a:solidFill>
                <a:schemeClr val="accent5">
                  <a:shade val="76667"/>
                </a:schemeClr>
              </a:solidFill>
              <a:ln>
                <a:noFill/>
              </a:ln>
              <a:effectLst/>
            </c:spPr>
          </c:dPt>
          <c:dPt>
            <c:idx val="5"/>
            <c:bubble3D val="0"/>
            <c:spPr>
              <a:solidFill>
                <a:schemeClr val="accent6">
                  <a:shade val="76667"/>
                </a:schemeClr>
              </a:solidFill>
              <a:ln>
                <a:noFill/>
              </a:ln>
              <a:effectLst/>
            </c:spPr>
          </c:dPt>
          <c:dPt>
            <c:idx val="6"/>
            <c:bubble3D val="0"/>
            <c:spPr>
              <a:solidFill>
                <a:schemeClr val="accent1">
                  <a:tint val="76667"/>
                </a:schemeClr>
              </a:solidFill>
              <a:ln>
                <a:noFill/>
              </a:ln>
              <a:effectLst/>
            </c:spPr>
          </c:dPt>
          <c:dPt>
            <c:idx val="7"/>
            <c:bubble3D val="0"/>
            <c:spPr>
              <a:solidFill>
                <a:schemeClr val="accent2">
                  <a:tint val="76667"/>
                </a:schemeClr>
              </a:solidFill>
              <a:ln>
                <a:noFill/>
              </a:ln>
              <a:effectLst/>
            </c:spPr>
          </c:dPt>
          <c:dLbls>
            <c:delete val="1"/>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583.059999999999</c:v>
                </c:pt>
                <c:pt idx="1">
                  <c:v>89.19</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c045772-addc-4f45-b2c0-dd7618a2d9ac}"/>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本年支出（万元）</c:v>
                </c:pt>
              </c:strCache>
            </c:strRef>
          </c:tx>
          <c:spPr>
            <a:effectLst/>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253.41</c:v>
                </c:pt>
                <c:pt idx="1">
                  <c:v>421.81</c:v>
                </c:pt>
                <c:pt idx="2">
                  <c:v>0</c:v>
                </c:pt>
                <c:pt idx="3">
                  <c:v>0</c:v>
                </c:pt>
                <c:pt idx="4">
                  <c:v>0</c:v>
                </c:pt>
              </c:numCache>
            </c:numRef>
          </c:val>
        </c:ser>
        <c:dLbls>
          <c:showLegendKey val="0"/>
          <c:showVal val="0"/>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0f746a2-2c49-4f01-94e0-206a41e38be7}"/>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财政拨款收入总计（万元）</c:v>
                </c:pt>
                <c:pt idx="1">
                  <c:v>财政拨款支出总计（万元）</c:v>
                </c:pt>
              </c:strCache>
            </c:strRef>
          </c:cat>
          <c:val>
            <c:numRef>
              <c:f>Sheet1!$B$2:$B$3</c:f>
              <c:numCache>
                <c:formatCode>General</c:formatCode>
                <c:ptCount val="2"/>
                <c:pt idx="0">
                  <c:v>1315.81</c:v>
                </c:pt>
                <c:pt idx="1">
                  <c:v>1315.81</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财政拨款收入总计（万元）</c:v>
                </c:pt>
                <c:pt idx="1">
                  <c:v>财政拨款支出总计（万元）</c:v>
                </c:pt>
              </c:strCache>
            </c:strRef>
          </c:cat>
          <c:val>
            <c:numRef>
              <c:f>Sheet1!$C$2:$C$3</c:f>
              <c:numCache>
                <c:formatCode>General</c:formatCode>
                <c:ptCount val="2"/>
                <c:pt idx="0">
                  <c:v>675.25</c:v>
                </c:pt>
                <c:pt idx="1">
                  <c:v>675.25</c:v>
                </c:pt>
              </c:numCache>
            </c:numRef>
          </c:val>
        </c:ser>
        <c:dLbls>
          <c:showLegendKey val="0"/>
          <c:showVal val="0"/>
          <c:showCatName val="0"/>
          <c:showSerName val="0"/>
          <c:showPercent val="0"/>
          <c:showBubbleSize val="0"/>
        </c:dLbls>
        <c:gapWidth val="150"/>
        <c:axId val="165372288"/>
        <c:axId val="165373824"/>
      </c:barChart>
      <c:catAx>
        <c:axId val="165372288"/>
        <c:scaling>
          <c:orientation val="minMax"/>
        </c:scaling>
        <c:delete val="0"/>
        <c:axPos val="b"/>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65373824"/>
        <c:crosses val="autoZero"/>
        <c:auto val="1"/>
        <c:lblAlgn val="ctr"/>
        <c:lblOffset val="100"/>
        <c:noMultiLvlLbl val="0"/>
      </c:catAx>
      <c:valAx>
        <c:axId val="165373824"/>
        <c:scaling>
          <c:orientation val="minMax"/>
        </c:scaling>
        <c:delete val="0"/>
        <c:axPos val="l"/>
        <c:majorGridlines>
          <c:spPr>
            <a:ln w="9525" cap="flat" cmpd="sng" algn="ctr">
              <a:solidFill>
                <a:schemeClr val="tx1">
                  <a:lumMod val="50000"/>
                  <a:lumOff val="50000"/>
                </a:schemeClr>
              </a:solidFill>
              <a:prstDash val="solid"/>
              <a:round/>
            </a:ln>
            <a:effectLst/>
          </c:spPr>
        </c:majorGridlines>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65372288"/>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be8d6bb3-b0d7-4a21-9b90-a8a176c320ef}"/>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c:f>
              <c:strCache>
                <c:ptCount val="1"/>
                <c:pt idx="0">
                  <c:v>一般公共预算财政拨款支出（万元）</c:v>
                </c:pt>
              </c:strCache>
            </c:strRef>
          </c:cat>
          <c:val>
            <c:numRef>
              <c:f>Sheet1!$B$2</c:f>
              <c:numCache>
                <c:formatCode>General</c:formatCode>
                <c:ptCount val="1"/>
                <c:pt idx="0">
                  <c:v>943.59</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c:f>
              <c:strCache>
                <c:ptCount val="1"/>
                <c:pt idx="0">
                  <c:v>一般公共预算财政拨款支出（万元）</c:v>
                </c:pt>
              </c:strCache>
            </c:strRef>
          </c:cat>
          <c:val>
            <c:numRef>
              <c:f>Sheet1!$C$2</c:f>
              <c:numCache>
                <c:formatCode>General</c:formatCode>
                <c:ptCount val="1"/>
                <c:pt idx="0">
                  <c:v>586.02</c:v>
                </c:pt>
              </c:numCache>
            </c:numRef>
          </c:val>
        </c:ser>
        <c:dLbls>
          <c:showLegendKey val="0"/>
          <c:showVal val="0"/>
          <c:showCatName val="0"/>
          <c:showSerName val="0"/>
          <c:showPercent val="0"/>
          <c:showBubbleSize val="0"/>
        </c:dLbls>
        <c:gapWidth val="150"/>
        <c:axId val="165386112"/>
        <c:axId val="165387648"/>
      </c:barChart>
      <c:catAx>
        <c:axId val="165386112"/>
        <c:scaling>
          <c:orientation val="minMax"/>
        </c:scaling>
        <c:delete val="0"/>
        <c:axPos val="b"/>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65387648"/>
        <c:crosses val="autoZero"/>
        <c:auto val="1"/>
        <c:lblAlgn val="ctr"/>
        <c:lblOffset val="100"/>
        <c:noMultiLvlLbl val="0"/>
      </c:catAx>
      <c:valAx>
        <c:axId val="165387648"/>
        <c:scaling>
          <c:orientation val="minMax"/>
        </c:scaling>
        <c:delete val="0"/>
        <c:axPos val="l"/>
        <c:majorGridlines>
          <c:spPr>
            <a:ln w="9525" cap="flat" cmpd="sng" algn="ctr">
              <a:solidFill>
                <a:schemeClr val="tx1">
                  <a:lumMod val="50000"/>
                  <a:lumOff val="50000"/>
                </a:schemeClr>
              </a:solidFill>
              <a:prstDash val="solid"/>
              <a:round/>
            </a:ln>
            <a:effectLst/>
          </c:spPr>
        </c:majorGridlines>
        <c:numFmt formatCode="General" sourceLinked="1"/>
        <c:majorTickMark val="out"/>
        <c:minorTickMark val="none"/>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crossAx val="165386112"/>
        <c:crosses val="autoZero"/>
        <c:crossBetween val="between"/>
      </c:valAx>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c62b553-764a-4929-8713-56b305cf6dd5}"/>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spPr>
            <a:effectLst/>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Lbls>
            <c:delete val="1"/>
          </c:dLbls>
          <c:cat>
            <c:strRef>
              <c:f>Sheet1!$A$2:$A$6</c:f>
              <c:strCache>
                <c:ptCount val="5"/>
                <c:pt idx="0">
                  <c:v>一般公共服务支出</c:v>
                </c:pt>
                <c:pt idx="1">
                  <c:v>文化旅游体育与传媒支出</c:v>
                </c:pt>
                <c:pt idx="2">
                  <c:v>社会保障和就业支出</c:v>
                </c:pt>
                <c:pt idx="3">
                  <c:v>卫生健康支出</c:v>
                </c:pt>
                <c:pt idx="4">
                  <c:v>住房保障支出</c:v>
                </c:pt>
              </c:strCache>
            </c:strRef>
          </c:cat>
          <c:val>
            <c:numRef>
              <c:f>Sheet1!$B$2:$B$6</c:f>
              <c:numCache>
                <c:formatCode>General</c:formatCode>
                <c:ptCount val="5"/>
                <c:pt idx="0">
                  <c:v>475.4</c:v>
                </c:pt>
                <c:pt idx="1">
                  <c:v>43.53</c:v>
                </c:pt>
                <c:pt idx="2">
                  <c:v>22.37</c:v>
                </c:pt>
                <c:pt idx="3">
                  <c:v>19.35</c:v>
                </c:pt>
                <c:pt idx="4">
                  <c:v>25.38</c:v>
                </c:pt>
              </c:numCache>
            </c:numRef>
          </c:val>
        </c:ser>
        <c:dLbls>
          <c:showLegendKey val="0"/>
          <c:showVal val="0"/>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3440059-0be0-4b9e-bd23-8885abfb59ac}"/>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a:effectLst/>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Lbls>
            <c:delete val="1"/>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0</c:v>
                </c:pt>
                <c:pt idx="2">
                  <c:v>0.12</c:v>
                </c:pt>
              </c:numCache>
            </c:numRef>
          </c:val>
        </c:ser>
        <c:dLbls>
          <c:showLegendKey val="0"/>
          <c:showVal val="0"/>
          <c:showCatName val="0"/>
          <c:showSerName val="0"/>
          <c:showPercent val="0"/>
          <c:showBubbleSize val="0"/>
          <c:showLeaderLines val="1"/>
        </c:dLbls>
        <c:firstSliceAng val="0"/>
      </c:pieChart>
      <c:spPr>
        <a:solidFill>
          <a:schemeClr val="bg1"/>
        </a:solid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c425e83-3c96-48d5-a4bd-39d67605b9da}"/>
      </c:ext>
    </c:extLst>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DD95BD-D287-4D4C-9894-FDDE1EE4E04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13843</Words>
  <Characters>14539</Characters>
  <Lines>128</Lines>
  <Paragraphs>36</Paragraphs>
  <TotalTime>2</TotalTime>
  <ScaleCrop>false</ScaleCrop>
  <LinksUpToDate>false</LinksUpToDate>
  <CharactersWithSpaces>15078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 回甘</cp:lastModifiedBy>
  <cp:lastPrinted>2022-10-25T16:11:00Z</cp:lastPrinted>
  <dcterms:modified xsi:type="dcterms:W3CDTF">2026-08-19T15:49:09Z</dcterms:modified>
  <dc:title>四川省***</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C7FA4AC28FF4478DB5BA469811A75D00_13</vt:lpwstr>
  </property>
</Properties>
</file>