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AF5A9">
      <w:pPr>
        <w:spacing w:line="600" w:lineRule="exact"/>
        <w:jc w:val="center"/>
        <w:outlineLvl w:val="0"/>
        <w:rPr>
          <w:rFonts w:eastAsia="方正小标宋简体"/>
          <w:color w:val="000000"/>
          <w:sz w:val="44"/>
          <w:szCs w:val="44"/>
        </w:rPr>
      </w:pPr>
      <w:bookmarkStart w:id="0" w:name="_Toc15306267"/>
      <w:bookmarkStart w:id="65" w:name="_GoBack"/>
      <w:bookmarkEnd w:id="65"/>
    </w:p>
    <w:p w14:paraId="21F33423">
      <w:pPr>
        <w:spacing w:line="600" w:lineRule="exact"/>
        <w:jc w:val="center"/>
        <w:outlineLvl w:val="0"/>
        <w:rPr>
          <w:rFonts w:eastAsia="方正小标宋简体"/>
          <w:color w:val="000000"/>
          <w:sz w:val="44"/>
          <w:szCs w:val="44"/>
        </w:rPr>
      </w:pPr>
    </w:p>
    <w:p w14:paraId="42B425B0">
      <w:pPr>
        <w:spacing w:line="600" w:lineRule="exact"/>
        <w:jc w:val="center"/>
        <w:outlineLvl w:val="0"/>
        <w:rPr>
          <w:rFonts w:eastAsia="方正小标宋简体"/>
          <w:color w:val="000000"/>
          <w:sz w:val="44"/>
          <w:szCs w:val="44"/>
        </w:rPr>
      </w:pPr>
    </w:p>
    <w:p w14:paraId="635C6001">
      <w:pPr>
        <w:spacing w:line="600" w:lineRule="exact"/>
        <w:jc w:val="center"/>
        <w:outlineLvl w:val="0"/>
        <w:rPr>
          <w:rFonts w:eastAsia="方正小标宋简体"/>
          <w:color w:val="000000"/>
          <w:sz w:val="44"/>
          <w:szCs w:val="44"/>
        </w:rPr>
      </w:pPr>
    </w:p>
    <w:p w14:paraId="5F96A29F">
      <w:pPr>
        <w:spacing w:line="600" w:lineRule="exact"/>
        <w:jc w:val="center"/>
        <w:outlineLvl w:val="0"/>
        <w:rPr>
          <w:rFonts w:eastAsia="方正小标宋简体"/>
          <w:color w:val="000000"/>
          <w:sz w:val="44"/>
          <w:szCs w:val="44"/>
        </w:rPr>
      </w:pPr>
    </w:p>
    <w:p w14:paraId="366CEF04">
      <w:pPr>
        <w:spacing w:line="600" w:lineRule="exact"/>
        <w:jc w:val="center"/>
        <w:outlineLvl w:val="0"/>
        <w:rPr>
          <w:rFonts w:eastAsia="方正小标宋_GBK"/>
          <w:color w:val="000000"/>
          <w:sz w:val="44"/>
          <w:szCs w:val="44"/>
        </w:rPr>
      </w:pPr>
    </w:p>
    <w:bookmarkEnd w:id="0"/>
    <w:p w14:paraId="65258A41">
      <w:pPr>
        <w:spacing w:line="0" w:lineRule="atLeast"/>
        <w:jc w:val="center"/>
        <w:rPr>
          <w:rFonts w:eastAsia="方正小标宋_GBK"/>
          <w:sz w:val="44"/>
          <w:szCs w:val="44"/>
        </w:rPr>
      </w:pPr>
      <w:r>
        <w:rPr>
          <w:rFonts w:eastAsia="方正小标宋_GBK"/>
          <w:sz w:val="44"/>
          <w:szCs w:val="44"/>
        </w:rPr>
        <w:t>米易县城市管理局</w:t>
      </w:r>
    </w:p>
    <w:p w14:paraId="58620BA6">
      <w:pPr>
        <w:spacing w:line="0" w:lineRule="atLeast"/>
        <w:jc w:val="center"/>
        <w:rPr>
          <w:rFonts w:eastAsia="小标宋"/>
          <w:sz w:val="44"/>
          <w:szCs w:val="44"/>
        </w:rPr>
      </w:pPr>
      <w:r>
        <w:rPr>
          <w:rFonts w:hint="eastAsia" w:eastAsia="方正小标宋_GBK"/>
          <w:sz w:val="44"/>
          <w:szCs w:val="44"/>
        </w:rPr>
        <w:t>2018</w:t>
      </w:r>
      <w:r>
        <w:rPr>
          <w:rFonts w:eastAsia="方正小标宋_GBK"/>
          <w:sz w:val="44"/>
          <w:szCs w:val="44"/>
        </w:rPr>
        <w:t>年部门</w:t>
      </w:r>
      <w:r>
        <w:rPr>
          <w:rFonts w:hint="eastAsia" w:eastAsia="方正小标宋_GBK"/>
          <w:sz w:val="44"/>
          <w:szCs w:val="44"/>
        </w:rPr>
        <w:t>决</w:t>
      </w:r>
      <w:r>
        <w:rPr>
          <w:rFonts w:eastAsia="方正小标宋_GBK"/>
          <w:sz w:val="44"/>
          <w:szCs w:val="44"/>
        </w:rPr>
        <w:t>算编制说明</w:t>
      </w:r>
    </w:p>
    <w:p w14:paraId="2B7507D2">
      <w:pPr>
        <w:adjustRightInd w:val="0"/>
        <w:snapToGrid w:val="0"/>
        <w:spacing w:line="360" w:lineRule="auto"/>
        <w:jc w:val="center"/>
        <w:outlineLvl w:val="0"/>
        <w:rPr>
          <w:rFonts w:eastAsia="方正小标宋简体"/>
          <w:color w:val="000000"/>
          <w:sz w:val="44"/>
          <w:szCs w:val="44"/>
        </w:rPr>
      </w:pPr>
    </w:p>
    <w:p w14:paraId="649D776D">
      <w:pPr>
        <w:adjustRightInd w:val="0"/>
        <w:snapToGrid w:val="0"/>
        <w:spacing w:line="360" w:lineRule="auto"/>
        <w:jc w:val="center"/>
        <w:outlineLvl w:val="0"/>
        <w:rPr>
          <w:rFonts w:eastAsia="方正小标宋简体"/>
          <w:color w:val="000000"/>
          <w:sz w:val="44"/>
          <w:szCs w:val="44"/>
        </w:rPr>
      </w:pPr>
    </w:p>
    <w:p w14:paraId="52150BEB">
      <w:pPr>
        <w:adjustRightInd w:val="0"/>
        <w:snapToGrid w:val="0"/>
        <w:spacing w:line="360" w:lineRule="auto"/>
        <w:jc w:val="center"/>
        <w:outlineLvl w:val="0"/>
        <w:rPr>
          <w:rFonts w:eastAsia="方正小标宋简体"/>
          <w:color w:val="000000"/>
          <w:sz w:val="44"/>
          <w:szCs w:val="44"/>
        </w:rPr>
      </w:pPr>
    </w:p>
    <w:p w14:paraId="7C9BC1E3">
      <w:pPr>
        <w:adjustRightInd w:val="0"/>
        <w:snapToGrid w:val="0"/>
        <w:spacing w:line="360" w:lineRule="auto"/>
        <w:jc w:val="center"/>
        <w:outlineLvl w:val="0"/>
        <w:rPr>
          <w:rFonts w:eastAsia="方正小标宋简体"/>
          <w:color w:val="000000"/>
          <w:sz w:val="44"/>
          <w:szCs w:val="44"/>
        </w:rPr>
      </w:pPr>
    </w:p>
    <w:p w14:paraId="1C0FB3CE">
      <w:pPr>
        <w:adjustRightInd w:val="0"/>
        <w:snapToGrid w:val="0"/>
        <w:spacing w:line="360" w:lineRule="auto"/>
        <w:jc w:val="center"/>
        <w:outlineLvl w:val="0"/>
        <w:rPr>
          <w:rFonts w:eastAsia="方正小标宋简体"/>
          <w:color w:val="000000"/>
          <w:sz w:val="44"/>
          <w:szCs w:val="44"/>
        </w:rPr>
      </w:pPr>
    </w:p>
    <w:p w14:paraId="7A540B83">
      <w:pPr>
        <w:adjustRightInd w:val="0"/>
        <w:snapToGrid w:val="0"/>
        <w:spacing w:line="360" w:lineRule="auto"/>
        <w:outlineLvl w:val="0"/>
        <w:rPr>
          <w:rFonts w:eastAsia="方正小标宋简体"/>
          <w:color w:val="000000"/>
          <w:sz w:val="44"/>
          <w:szCs w:val="44"/>
        </w:rPr>
      </w:pPr>
    </w:p>
    <w:p w14:paraId="061FCF1C">
      <w:pPr>
        <w:widowControl/>
        <w:jc w:val="center"/>
        <w:rPr>
          <w:rFonts w:eastAsia="黑体"/>
          <w:color w:val="000000"/>
          <w:sz w:val="44"/>
          <w:szCs w:val="44"/>
        </w:rPr>
      </w:pPr>
      <w:r>
        <w:rPr>
          <w:rFonts w:eastAsia="方正小标宋简体"/>
          <w:color w:val="000000"/>
          <w:sz w:val="44"/>
          <w:szCs w:val="44"/>
        </w:rPr>
        <w:br w:type="page"/>
      </w:r>
      <w:r>
        <w:rPr>
          <w:rFonts w:eastAsia="黑体"/>
          <w:color w:val="000000"/>
          <w:sz w:val="44"/>
          <w:szCs w:val="44"/>
        </w:rPr>
        <w:t>目录</w:t>
      </w:r>
    </w:p>
    <w:p w14:paraId="37F2265F">
      <w:pPr>
        <w:widowControl/>
        <w:spacing w:line="560" w:lineRule="exact"/>
        <w:ind w:firstLine="640" w:firstLineChars="200"/>
        <w:jc w:val="center"/>
        <w:rPr>
          <w:rFonts w:eastAsia="仿宋_GB2312"/>
          <w:sz w:val="32"/>
          <w:szCs w:val="32"/>
        </w:rPr>
      </w:pPr>
      <w:r>
        <w:rPr>
          <w:rFonts w:eastAsia="仿宋_GB2312"/>
          <w:color w:val="000000"/>
          <w:sz w:val="32"/>
          <w:szCs w:val="32"/>
        </w:rPr>
        <w:fldChar w:fldCharType="begin"/>
      </w:r>
      <w:r>
        <w:rPr>
          <w:rFonts w:eastAsia="仿宋_GB2312"/>
          <w:color w:val="000000"/>
          <w:sz w:val="32"/>
          <w:szCs w:val="32"/>
        </w:rPr>
        <w:instrText xml:space="preserve"> TOC \o "1-2" \h \z \u </w:instrText>
      </w:r>
      <w:r>
        <w:rPr>
          <w:rFonts w:eastAsia="仿宋_GB2312"/>
          <w:color w:val="000000"/>
          <w:sz w:val="32"/>
          <w:szCs w:val="32"/>
        </w:rPr>
        <w:fldChar w:fldCharType="separate"/>
      </w:r>
    </w:p>
    <w:p w14:paraId="61921180">
      <w:pPr>
        <w:pStyle w:val="11"/>
        <w:spacing w:before="0"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公开时间：2019年8月</w:t>
      </w:r>
      <w:r>
        <w:rPr>
          <w:rFonts w:hint="eastAsia" w:ascii="Times New Roman" w:hAnsi="Times New Roman" w:eastAsia="仿宋_GB2312" w:cs="Times New Roman"/>
          <w:sz w:val="32"/>
          <w:szCs w:val="32"/>
        </w:rPr>
        <w:t>29</w:t>
      </w:r>
      <w:r>
        <w:rPr>
          <w:rFonts w:ascii="Times New Roman" w:hAnsi="Times New Roman" w:eastAsia="仿宋_GB2312" w:cs="Times New Roman"/>
          <w:sz w:val="32"/>
          <w:szCs w:val="32"/>
        </w:rPr>
        <w:t>日</w:t>
      </w:r>
    </w:p>
    <w:p w14:paraId="7C859090">
      <w:pPr>
        <w:spacing w:line="560" w:lineRule="exact"/>
        <w:ind w:firstLine="640" w:firstLineChars="200"/>
        <w:rPr>
          <w:rFonts w:eastAsia="仿宋_GB2312"/>
          <w:sz w:val="32"/>
          <w:szCs w:val="32"/>
        </w:rPr>
      </w:pPr>
    </w:p>
    <w:p w14:paraId="67CE2CC4">
      <w:pPr>
        <w:pStyle w:val="11"/>
        <w:spacing w:before="0" w:line="560" w:lineRule="exact"/>
        <w:ind w:firstLine="560" w:firstLineChars="200"/>
        <w:jc w:val="both"/>
        <w:rPr>
          <w:rFonts w:ascii="Times New Roman" w:hAnsi="Times New Roman" w:eastAsia="仿宋_GB2312" w:cs="Times New Roman"/>
          <w:sz w:val="32"/>
          <w:szCs w:val="32"/>
        </w:rPr>
      </w:pPr>
      <w:r>
        <w:fldChar w:fldCharType="begin"/>
      </w:r>
      <w:r>
        <w:instrText xml:space="preserve"> HYPERLINK \l "_Toc15396599" </w:instrText>
      </w:r>
      <w:r>
        <w:fldChar w:fldCharType="separate"/>
      </w:r>
      <w:r>
        <w:rPr>
          <w:rStyle w:val="17"/>
          <w:rFonts w:ascii="Times New Roman" w:hAnsi="Times New Roman" w:eastAsia="仿宋_GB2312" w:cs="Times New Roman"/>
          <w:color w:val="auto"/>
          <w:sz w:val="32"/>
          <w:szCs w:val="32"/>
        </w:rPr>
        <w:t>第一部分 部门概况</w:t>
      </w: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rPr>
        <w:fldChar w:fldCharType="end"/>
      </w:r>
    </w:p>
    <w:p w14:paraId="767A0EBB">
      <w:pPr>
        <w:pStyle w:val="12"/>
        <w:spacing w:line="560" w:lineRule="exact"/>
        <w:ind w:left="0" w:leftChars="0" w:firstLine="400" w:firstLineChars="200"/>
        <w:rPr>
          <w:rFonts w:eastAsia="仿宋_GB2312"/>
          <w:sz w:val="32"/>
          <w:szCs w:val="32"/>
        </w:rPr>
      </w:pPr>
      <w:r>
        <w:fldChar w:fldCharType="begin"/>
      </w:r>
      <w:r>
        <w:instrText xml:space="preserve"> HYPERLINK \l "_Toc15396600" </w:instrText>
      </w:r>
      <w:r>
        <w:fldChar w:fldCharType="separate"/>
      </w:r>
      <w:r>
        <w:rPr>
          <w:rStyle w:val="17"/>
          <w:rFonts w:eastAsia="仿宋_GB2312"/>
          <w:color w:val="auto"/>
          <w:sz w:val="32"/>
          <w:szCs w:val="32"/>
        </w:rPr>
        <w:t>一、基本职能及主要工作</w:t>
      </w:r>
      <w:r>
        <w:rPr>
          <w:rFonts w:eastAsia="仿宋_GB2312"/>
          <w:sz w:val="32"/>
          <w:szCs w:val="32"/>
        </w:rPr>
        <w:tab/>
      </w:r>
      <w:r>
        <w:rPr>
          <w:rFonts w:hint="eastAsia" w:eastAsia="仿宋_GB2312"/>
          <w:sz w:val="32"/>
          <w:szCs w:val="32"/>
        </w:rPr>
        <w:t>4</w:t>
      </w:r>
      <w:r>
        <w:rPr>
          <w:rFonts w:hint="eastAsia" w:eastAsia="仿宋_GB2312"/>
          <w:sz w:val="32"/>
          <w:szCs w:val="32"/>
        </w:rPr>
        <w:fldChar w:fldCharType="end"/>
      </w:r>
    </w:p>
    <w:p w14:paraId="2CB7FD42">
      <w:pPr>
        <w:pStyle w:val="12"/>
        <w:spacing w:line="560" w:lineRule="exact"/>
        <w:ind w:left="0" w:leftChars="0" w:firstLine="400" w:firstLineChars="200"/>
        <w:rPr>
          <w:rFonts w:eastAsia="仿宋_GB2312"/>
          <w:sz w:val="32"/>
          <w:szCs w:val="32"/>
        </w:rPr>
      </w:pPr>
      <w:r>
        <w:fldChar w:fldCharType="begin"/>
      </w:r>
      <w:r>
        <w:instrText xml:space="preserve"> HYPERLINK \l "_Toc15396601" </w:instrText>
      </w:r>
      <w:r>
        <w:fldChar w:fldCharType="separate"/>
      </w:r>
      <w:r>
        <w:rPr>
          <w:rStyle w:val="17"/>
          <w:rFonts w:eastAsia="仿宋_GB2312"/>
          <w:color w:val="auto"/>
          <w:sz w:val="32"/>
          <w:szCs w:val="32"/>
        </w:rPr>
        <w:t>二、机构设置</w:t>
      </w:r>
      <w:r>
        <w:rPr>
          <w:rFonts w:eastAsia="仿宋_GB2312"/>
          <w:sz w:val="32"/>
          <w:szCs w:val="32"/>
        </w:rPr>
        <w:tab/>
      </w:r>
      <w:r>
        <w:rPr>
          <w:rFonts w:hint="eastAsia" w:eastAsia="仿宋_GB2312"/>
          <w:sz w:val="32"/>
          <w:szCs w:val="32"/>
        </w:rPr>
        <w:t>4</w:t>
      </w:r>
      <w:r>
        <w:rPr>
          <w:rFonts w:hint="eastAsia" w:eastAsia="仿宋_GB2312"/>
          <w:sz w:val="32"/>
          <w:szCs w:val="32"/>
        </w:rPr>
        <w:fldChar w:fldCharType="end"/>
      </w:r>
    </w:p>
    <w:p w14:paraId="4117B340">
      <w:pPr>
        <w:pStyle w:val="11"/>
        <w:spacing w:before="0" w:line="560" w:lineRule="exact"/>
        <w:ind w:firstLine="560" w:firstLineChars="200"/>
        <w:jc w:val="both"/>
        <w:rPr>
          <w:rFonts w:ascii="Times New Roman" w:hAnsi="Times New Roman" w:eastAsia="仿宋_GB2312" w:cs="Times New Roman"/>
          <w:sz w:val="32"/>
          <w:szCs w:val="32"/>
        </w:rPr>
      </w:pPr>
      <w:r>
        <w:fldChar w:fldCharType="begin"/>
      </w:r>
      <w:r>
        <w:instrText xml:space="preserve"> HYPERLINK \l "_Toc15396602" </w:instrText>
      </w:r>
      <w:r>
        <w:fldChar w:fldCharType="separate"/>
      </w:r>
      <w:r>
        <w:rPr>
          <w:rStyle w:val="17"/>
          <w:rFonts w:ascii="Times New Roman" w:hAnsi="Times New Roman" w:eastAsia="仿宋_GB2312" w:cs="Times New Roman"/>
          <w:color w:val="auto"/>
          <w:sz w:val="32"/>
          <w:szCs w:val="32"/>
        </w:rPr>
        <w:t>第二部分 2018年度部门决算情况说明</w:t>
      </w: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5</w:t>
      </w:r>
      <w:r>
        <w:rPr>
          <w:rFonts w:hint="eastAsia" w:ascii="Times New Roman" w:hAnsi="Times New Roman" w:eastAsia="仿宋_GB2312" w:cs="Times New Roman"/>
          <w:sz w:val="32"/>
          <w:szCs w:val="32"/>
        </w:rPr>
        <w:fldChar w:fldCharType="end"/>
      </w:r>
    </w:p>
    <w:p w14:paraId="0779B0B9">
      <w:pPr>
        <w:pStyle w:val="12"/>
        <w:spacing w:line="560" w:lineRule="exact"/>
        <w:ind w:left="0" w:leftChars="0" w:firstLine="400" w:firstLineChars="200"/>
        <w:rPr>
          <w:rFonts w:eastAsia="仿宋_GB2312"/>
          <w:sz w:val="32"/>
          <w:szCs w:val="32"/>
        </w:rPr>
      </w:pPr>
      <w:r>
        <w:fldChar w:fldCharType="begin"/>
      </w:r>
      <w:r>
        <w:instrText xml:space="preserve"> HYPERLINK \l "_Toc15396603" </w:instrText>
      </w:r>
      <w:r>
        <w:fldChar w:fldCharType="separate"/>
      </w:r>
      <w:r>
        <w:rPr>
          <w:rStyle w:val="17"/>
          <w:rFonts w:eastAsia="仿宋_GB2312"/>
          <w:color w:val="auto"/>
          <w:sz w:val="32"/>
          <w:szCs w:val="32"/>
        </w:rPr>
        <w:t>一、收入支出决算总体情况说明</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p>
    <w:p w14:paraId="272017E8">
      <w:pPr>
        <w:pStyle w:val="12"/>
        <w:spacing w:line="560" w:lineRule="exact"/>
        <w:ind w:left="0" w:leftChars="0" w:firstLine="400" w:firstLineChars="200"/>
        <w:rPr>
          <w:rFonts w:eastAsia="仿宋_GB2312"/>
          <w:sz w:val="32"/>
          <w:szCs w:val="32"/>
        </w:rPr>
      </w:pPr>
      <w:r>
        <w:fldChar w:fldCharType="begin"/>
      </w:r>
      <w:r>
        <w:instrText xml:space="preserve"> HYPERLINK \l "_Toc15396604" </w:instrText>
      </w:r>
      <w:r>
        <w:fldChar w:fldCharType="separate"/>
      </w:r>
      <w:r>
        <w:rPr>
          <w:rStyle w:val="17"/>
          <w:rFonts w:eastAsia="仿宋_GB2312"/>
          <w:color w:val="auto"/>
          <w:sz w:val="32"/>
          <w:szCs w:val="32"/>
        </w:rPr>
        <w:t>二、收入决算情况说明</w:t>
      </w:r>
      <w:r>
        <w:rPr>
          <w:rFonts w:eastAsia="仿宋_GB2312"/>
          <w:sz w:val="32"/>
          <w:szCs w:val="32"/>
        </w:rPr>
        <w:tab/>
      </w:r>
      <w:r>
        <w:rPr>
          <w:rFonts w:eastAsia="仿宋_GB2312"/>
          <w:sz w:val="32"/>
          <w:szCs w:val="32"/>
        </w:rPr>
        <w:t>6</w:t>
      </w:r>
      <w:r>
        <w:rPr>
          <w:rFonts w:eastAsia="仿宋_GB2312"/>
          <w:sz w:val="32"/>
          <w:szCs w:val="32"/>
        </w:rPr>
        <w:fldChar w:fldCharType="end"/>
      </w:r>
    </w:p>
    <w:p w14:paraId="37DAC090">
      <w:pPr>
        <w:pStyle w:val="12"/>
        <w:spacing w:line="560" w:lineRule="exact"/>
        <w:ind w:left="0" w:leftChars="0" w:firstLine="400" w:firstLineChars="200"/>
        <w:rPr>
          <w:rFonts w:eastAsia="仿宋_GB2312"/>
          <w:sz w:val="32"/>
          <w:szCs w:val="32"/>
        </w:rPr>
      </w:pPr>
      <w:r>
        <w:fldChar w:fldCharType="begin"/>
      </w:r>
      <w:r>
        <w:instrText xml:space="preserve"> HYPERLINK \l "_Toc15396605" </w:instrText>
      </w:r>
      <w:r>
        <w:fldChar w:fldCharType="separate"/>
      </w:r>
      <w:r>
        <w:rPr>
          <w:rStyle w:val="17"/>
          <w:rFonts w:eastAsia="仿宋_GB2312"/>
          <w:color w:val="auto"/>
          <w:sz w:val="32"/>
          <w:szCs w:val="32"/>
        </w:rPr>
        <w:t>三、支出决算情况说明</w:t>
      </w:r>
      <w:r>
        <w:rPr>
          <w:rFonts w:eastAsia="仿宋_GB2312"/>
          <w:sz w:val="32"/>
          <w:szCs w:val="32"/>
        </w:rPr>
        <w:tab/>
      </w:r>
      <w:r>
        <w:rPr>
          <w:rFonts w:hint="eastAsia" w:eastAsia="仿宋_GB2312"/>
          <w:sz w:val="32"/>
          <w:szCs w:val="32"/>
        </w:rPr>
        <w:t>6</w:t>
      </w:r>
      <w:r>
        <w:rPr>
          <w:rFonts w:hint="eastAsia" w:eastAsia="仿宋_GB2312"/>
          <w:sz w:val="32"/>
          <w:szCs w:val="32"/>
        </w:rPr>
        <w:fldChar w:fldCharType="end"/>
      </w:r>
    </w:p>
    <w:p w14:paraId="46B2464F">
      <w:pPr>
        <w:pStyle w:val="12"/>
        <w:spacing w:line="560" w:lineRule="exact"/>
        <w:ind w:left="0" w:leftChars="0" w:firstLine="400" w:firstLineChars="200"/>
        <w:rPr>
          <w:rFonts w:eastAsia="仿宋_GB2312"/>
          <w:sz w:val="32"/>
          <w:szCs w:val="32"/>
        </w:rPr>
      </w:pPr>
      <w:r>
        <w:fldChar w:fldCharType="begin"/>
      </w:r>
      <w:r>
        <w:instrText xml:space="preserve"> HYPERLINK \l "_Toc15396606" </w:instrText>
      </w:r>
      <w:r>
        <w:fldChar w:fldCharType="separate"/>
      </w:r>
      <w:r>
        <w:rPr>
          <w:rStyle w:val="17"/>
          <w:rFonts w:eastAsia="仿宋_GB2312"/>
          <w:color w:val="auto"/>
          <w:sz w:val="32"/>
          <w:szCs w:val="32"/>
        </w:rPr>
        <w:t>四、财政拨款收入支出决算总体情况说明</w:t>
      </w:r>
      <w:r>
        <w:rPr>
          <w:rFonts w:eastAsia="仿宋_GB2312"/>
          <w:sz w:val="32"/>
          <w:szCs w:val="32"/>
        </w:rPr>
        <w:tab/>
      </w:r>
      <w:r>
        <w:rPr>
          <w:rFonts w:hint="eastAsia" w:eastAsia="仿宋_GB2312"/>
          <w:sz w:val="32"/>
          <w:szCs w:val="32"/>
        </w:rPr>
        <w:t>7</w:t>
      </w:r>
      <w:r>
        <w:rPr>
          <w:rFonts w:hint="eastAsia" w:eastAsia="仿宋_GB2312"/>
          <w:sz w:val="32"/>
          <w:szCs w:val="32"/>
        </w:rPr>
        <w:fldChar w:fldCharType="end"/>
      </w:r>
    </w:p>
    <w:p w14:paraId="20B7573A">
      <w:pPr>
        <w:pStyle w:val="12"/>
        <w:spacing w:line="560" w:lineRule="exact"/>
        <w:ind w:left="0" w:leftChars="0" w:firstLine="400" w:firstLineChars="200"/>
        <w:rPr>
          <w:rFonts w:eastAsia="仿宋_GB2312"/>
          <w:sz w:val="32"/>
          <w:szCs w:val="32"/>
        </w:rPr>
      </w:pPr>
      <w:r>
        <w:fldChar w:fldCharType="begin"/>
      </w:r>
      <w:r>
        <w:instrText xml:space="preserve"> HYPERLINK \l "_Toc15396607" </w:instrText>
      </w:r>
      <w:r>
        <w:fldChar w:fldCharType="separate"/>
      </w:r>
      <w:r>
        <w:rPr>
          <w:rStyle w:val="17"/>
          <w:rFonts w:eastAsia="仿宋_GB2312"/>
          <w:sz w:val="32"/>
          <w:szCs w:val="32"/>
        </w:rPr>
        <w:t>五、一般公共预算财政拨款支出决算情况说明</w:t>
      </w:r>
      <w:r>
        <w:rPr>
          <w:rFonts w:eastAsia="仿宋_GB2312"/>
          <w:sz w:val="32"/>
          <w:szCs w:val="32"/>
        </w:rPr>
        <w:tab/>
      </w:r>
      <w:r>
        <w:rPr>
          <w:rFonts w:hint="eastAsia" w:eastAsia="仿宋_GB2312"/>
          <w:sz w:val="32"/>
          <w:szCs w:val="32"/>
        </w:rPr>
        <w:t>8</w:t>
      </w:r>
      <w:r>
        <w:rPr>
          <w:rFonts w:hint="eastAsia" w:eastAsia="仿宋_GB2312"/>
          <w:sz w:val="32"/>
          <w:szCs w:val="32"/>
        </w:rPr>
        <w:fldChar w:fldCharType="end"/>
      </w:r>
    </w:p>
    <w:p w14:paraId="6A237552">
      <w:pPr>
        <w:spacing w:line="560" w:lineRule="exact"/>
        <w:ind w:firstLine="640" w:firstLineChars="200"/>
        <w:rPr>
          <w:rFonts w:eastAsia="仿宋_GB2312"/>
          <w:sz w:val="32"/>
          <w:szCs w:val="32"/>
          <w:em w:val="dot"/>
        </w:rPr>
      </w:pPr>
      <w:r>
        <w:rPr>
          <w:rFonts w:eastAsia="仿宋_GB2312"/>
          <w:sz w:val="32"/>
          <w:szCs w:val="32"/>
        </w:rPr>
        <w:t>六、一般公共预算财政拨款基本支出决算情况说明</w:t>
      </w:r>
      <w:r>
        <w:rPr>
          <w:rFonts w:hint="eastAsia" w:eastAsia="仿宋_GB2312"/>
          <w:sz w:val="32"/>
          <w:szCs w:val="32"/>
        </w:rPr>
        <w:t>....</w:t>
      </w:r>
      <w:r>
        <w:rPr>
          <w:rFonts w:eastAsia="仿宋_GB2312"/>
          <w:sz w:val="32"/>
          <w:szCs w:val="32"/>
        </w:rPr>
        <w:t>1</w:t>
      </w:r>
      <w:r>
        <w:rPr>
          <w:rFonts w:hint="eastAsia" w:eastAsia="仿宋_GB2312"/>
          <w:sz w:val="32"/>
          <w:szCs w:val="32"/>
        </w:rPr>
        <w:t>1</w:t>
      </w:r>
      <w:r>
        <w:rPr>
          <w:rFonts w:eastAsia="仿宋_GB2312"/>
          <w:sz w:val="32"/>
          <w:szCs w:val="32"/>
        </w:rPr>
        <w:t xml:space="preserve">  </w:t>
      </w:r>
      <w:r>
        <w:rPr>
          <w:rFonts w:eastAsia="仿宋_GB2312"/>
          <w:color w:val="FF0000"/>
          <w:sz w:val="32"/>
          <w:szCs w:val="32"/>
        </w:rPr>
        <w:t xml:space="preserve">    </w:t>
      </w:r>
      <w:r>
        <w:rPr>
          <w:rFonts w:eastAsia="仿宋_GB2312"/>
          <w:sz w:val="32"/>
          <w:szCs w:val="32"/>
        </w:rPr>
        <w:t xml:space="preserve">                </w:t>
      </w:r>
    </w:p>
    <w:p w14:paraId="0C2C0207">
      <w:pPr>
        <w:pStyle w:val="12"/>
        <w:spacing w:line="560" w:lineRule="exact"/>
        <w:ind w:left="0" w:leftChars="0" w:firstLine="400" w:firstLineChars="200"/>
        <w:rPr>
          <w:rFonts w:eastAsia="仿宋_GB2312"/>
          <w:sz w:val="32"/>
          <w:szCs w:val="32"/>
        </w:rPr>
      </w:pPr>
      <w:r>
        <w:fldChar w:fldCharType="begin"/>
      </w:r>
      <w:r>
        <w:instrText xml:space="preserve"> HYPERLINK \l "_Toc15396609" </w:instrText>
      </w:r>
      <w:r>
        <w:fldChar w:fldCharType="separate"/>
      </w:r>
      <w:r>
        <w:rPr>
          <w:rStyle w:val="17"/>
          <w:rFonts w:eastAsia="仿宋_GB2312"/>
          <w:sz w:val="32"/>
          <w:szCs w:val="32"/>
        </w:rPr>
        <w:t>七、“三公”经费财政拨款支出决算情况说明</w:t>
      </w:r>
      <w:r>
        <w:rPr>
          <w:rFonts w:eastAsia="仿宋_GB2312"/>
          <w:sz w:val="32"/>
          <w:szCs w:val="32"/>
        </w:rPr>
        <w:tab/>
      </w:r>
      <w:r>
        <w:rPr>
          <w:rFonts w:eastAsia="仿宋_GB2312"/>
          <w:sz w:val="32"/>
          <w:szCs w:val="32"/>
        </w:rPr>
        <w:t>1</w:t>
      </w:r>
      <w:r>
        <w:rPr>
          <w:rFonts w:hint="eastAsia" w:eastAsia="仿宋_GB2312"/>
          <w:sz w:val="32"/>
          <w:szCs w:val="32"/>
        </w:rPr>
        <w:t>1</w:t>
      </w:r>
      <w:r>
        <w:rPr>
          <w:rFonts w:hint="eastAsia" w:eastAsia="仿宋_GB2312"/>
          <w:sz w:val="32"/>
          <w:szCs w:val="32"/>
        </w:rPr>
        <w:fldChar w:fldCharType="end"/>
      </w:r>
    </w:p>
    <w:p w14:paraId="47DB78F9">
      <w:pPr>
        <w:pStyle w:val="12"/>
        <w:spacing w:line="560" w:lineRule="exact"/>
        <w:ind w:left="0" w:leftChars="0" w:firstLine="400" w:firstLineChars="200"/>
        <w:rPr>
          <w:rFonts w:eastAsia="仿宋_GB2312"/>
          <w:sz w:val="32"/>
          <w:szCs w:val="32"/>
        </w:rPr>
      </w:pPr>
      <w:r>
        <w:fldChar w:fldCharType="begin"/>
      </w:r>
      <w:r>
        <w:instrText xml:space="preserve"> HYPERLINK \l "_Toc15396610" </w:instrText>
      </w:r>
      <w:r>
        <w:fldChar w:fldCharType="separate"/>
      </w:r>
      <w:r>
        <w:rPr>
          <w:rStyle w:val="17"/>
          <w:rFonts w:eastAsia="仿宋_GB2312"/>
          <w:sz w:val="32"/>
          <w:szCs w:val="32"/>
        </w:rPr>
        <w:t>八、政府性基金预算支出决算情况说明</w:t>
      </w:r>
      <w:r>
        <w:rPr>
          <w:rFonts w:eastAsia="仿宋_GB2312"/>
          <w:sz w:val="32"/>
          <w:szCs w:val="32"/>
        </w:rPr>
        <w:tab/>
      </w:r>
      <w:r>
        <w:rPr>
          <w:rFonts w:eastAsia="仿宋_GB2312"/>
          <w:sz w:val="32"/>
          <w:szCs w:val="32"/>
        </w:rPr>
        <w:t>1</w:t>
      </w:r>
      <w:r>
        <w:rPr>
          <w:rFonts w:hint="eastAsia" w:eastAsia="仿宋_GB2312"/>
          <w:sz w:val="32"/>
          <w:szCs w:val="32"/>
        </w:rPr>
        <w:t>3</w:t>
      </w:r>
      <w:r>
        <w:rPr>
          <w:rFonts w:hint="eastAsia" w:eastAsia="仿宋_GB2312"/>
          <w:sz w:val="32"/>
          <w:szCs w:val="32"/>
        </w:rPr>
        <w:fldChar w:fldCharType="end"/>
      </w:r>
    </w:p>
    <w:p w14:paraId="743860D3">
      <w:pPr>
        <w:pStyle w:val="12"/>
        <w:spacing w:line="560" w:lineRule="exact"/>
        <w:ind w:left="0" w:leftChars="0" w:firstLine="400" w:firstLineChars="200"/>
        <w:rPr>
          <w:rFonts w:eastAsia="仿宋_GB2312"/>
          <w:sz w:val="32"/>
          <w:szCs w:val="32"/>
        </w:rPr>
      </w:pPr>
      <w:r>
        <w:fldChar w:fldCharType="begin"/>
      </w:r>
      <w:r>
        <w:instrText xml:space="preserve"> HYPERLINK \l "_Toc15396611" </w:instrText>
      </w:r>
      <w:r>
        <w:fldChar w:fldCharType="separate"/>
      </w:r>
      <w:r>
        <w:rPr>
          <w:rStyle w:val="17"/>
          <w:rFonts w:eastAsia="仿宋_GB2312"/>
          <w:sz w:val="32"/>
          <w:szCs w:val="32"/>
        </w:rPr>
        <w:t>九、 国有资本经营预算支出决算情况说明</w:t>
      </w:r>
      <w:r>
        <w:rPr>
          <w:rFonts w:eastAsia="仿宋_GB2312"/>
          <w:sz w:val="32"/>
          <w:szCs w:val="32"/>
        </w:rPr>
        <w:tab/>
      </w:r>
      <w:r>
        <w:rPr>
          <w:rFonts w:eastAsia="仿宋_GB2312"/>
          <w:sz w:val="32"/>
          <w:szCs w:val="32"/>
        </w:rPr>
        <w:t>1</w:t>
      </w:r>
      <w:r>
        <w:rPr>
          <w:rFonts w:hint="eastAsia" w:eastAsia="仿宋_GB2312"/>
          <w:sz w:val="32"/>
          <w:szCs w:val="32"/>
        </w:rPr>
        <w:t>3</w:t>
      </w:r>
      <w:r>
        <w:rPr>
          <w:rFonts w:hint="eastAsia" w:eastAsia="仿宋_GB2312"/>
          <w:sz w:val="32"/>
          <w:szCs w:val="32"/>
        </w:rPr>
        <w:fldChar w:fldCharType="end"/>
      </w:r>
    </w:p>
    <w:p w14:paraId="4D442B8E">
      <w:pPr>
        <w:pStyle w:val="12"/>
        <w:spacing w:line="560" w:lineRule="exact"/>
        <w:ind w:left="0" w:leftChars="0" w:firstLine="400" w:firstLineChars="200"/>
        <w:rPr>
          <w:rFonts w:eastAsia="仿宋_GB2312"/>
          <w:sz w:val="32"/>
          <w:szCs w:val="32"/>
        </w:rPr>
      </w:pPr>
      <w:r>
        <w:fldChar w:fldCharType="begin"/>
      </w:r>
      <w:r>
        <w:instrText xml:space="preserve"> HYPERLINK \l "_Toc15396611" </w:instrText>
      </w:r>
      <w:r>
        <w:fldChar w:fldCharType="separate"/>
      </w:r>
      <w:r>
        <w:rPr>
          <w:rStyle w:val="17"/>
          <w:rFonts w:eastAsia="仿宋_GB2312"/>
          <w:sz w:val="32"/>
          <w:szCs w:val="32"/>
        </w:rPr>
        <w:t>十、 预算绩效情况说明</w:t>
      </w:r>
      <w:r>
        <w:rPr>
          <w:rFonts w:eastAsia="仿宋_GB2312"/>
          <w:sz w:val="32"/>
          <w:szCs w:val="32"/>
        </w:rPr>
        <w:tab/>
      </w:r>
      <w:r>
        <w:rPr>
          <w:rFonts w:eastAsia="仿宋_GB2312"/>
          <w:sz w:val="32"/>
          <w:szCs w:val="32"/>
        </w:rPr>
        <w:t>1</w:t>
      </w:r>
      <w:r>
        <w:rPr>
          <w:rFonts w:hint="eastAsia" w:eastAsia="仿宋_GB2312"/>
          <w:sz w:val="32"/>
          <w:szCs w:val="32"/>
        </w:rPr>
        <w:t>3</w:t>
      </w:r>
      <w:r>
        <w:rPr>
          <w:rFonts w:hint="eastAsia" w:eastAsia="仿宋_GB2312"/>
          <w:sz w:val="32"/>
          <w:szCs w:val="32"/>
        </w:rPr>
        <w:fldChar w:fldCharType="end"/>
      </w:r>
    </w:p>
    <w:p w14:paraId="3EB56B5C">
      <w:pPr>
        <w:pStyle w:val="12"/>
        <w:spacing w:line="560" w:lineRule="exact"/>
        <w:ind w:left="0" w:leftChars="0" w:firstLine="400" w:firstLineChars="200"/>
        <w:rPr>
          <w:rFonts w:eastAsia="仿宋_GB2312"/>
          <w:sz w:val="32"/>
          <w:szCs w:val="32"/>
        </w:rPr>
      </w:pPr>
      <w:r>
        <w:fldChar w:fldCharType="begin"/>
      </w:r>
      <w:r>
        <w:instrText xml:space="preserve"> HYPERLINK \l "_Toc15396612" </w:instrText>
      </w:r>
      <w:r>
        <w:fldChar w:fldCharType="separate"/>
      </w:r>
      <w:r>
        <w:rPr>
          <w:rStyle w:val="17"/>
          <w:rFonts w:eastAsia="仿宋_GB2312"/>
          <w:sz w:val="32"/>
          <w:szCs w:val="32"/>
        </w:rPr>
        <w:t>十一、其他重要事项的情况说明</w:t>
      </w:r>
      <w:r>
        <w:rPr>
          <w:rFonts w:eastAsia="仿宋_GB2312"/>
          <w:sz w:val="32"/>
          <w:szCs w:val="32"/>
        </w:rPr>
        <w:tab/>
      </w:r>
      <w:r>
        <w:rPr>
          <w:rFonts w:eastAsia="仿宋_GB2312"/>
          <w:sz w:val="32"/>
          <w:szCs w:val="32"/>
        </w:rPr>
        <w:t>2</w:t>
      </w:r>
      <w:r>
        <w:rPr>
          <w:rFonts w:hint="eastAsia" w:eastAsia="仿宋_GB2312"/>
          <w:sz w:val="32"/>
          <w:szCs w:val="32"/>
        </w:rPr>
        <w:t>4</w:t>
      </w:r>
      <w:r>
        <w:rPr>
          <w:rFonts w:hint="eastAsia" w:eastAsia="仿宋_GB2312"/>
          <w:sz w:val="32"/>
          <w:szCs w:val="32"/>
        </w:rPr>
        <w:fldChar w:fldCharType="end"/>
      </w:r>
    </w:p>
    <w:p w14:paraId="0B7D6D92">
      <w:pPr>
        <w:pStyle w:val="11"/>
        <w:spacing w:before="0" w:line="560" w:lineRule="exact"/>
        <w:ind w:firstLine="560" w:firstLineChars="200"/>
        <w:jc w:val="both"/>
        <w:rPr>
          <w:rFonts w:ascii="Times New Roman" w:hAnsi="Times New Roman" w:eastAsia="仿宋_GB2312" w:cs="Times New Roman"/>
          <w:sz w:val="32"/>
          <w:szCs w:val="32"/>
        </w:rPr>
      </w:pPr>
      <w:r>
        <w:fldChar w:fldCharType="begin"/>
      </w:r>
      <w:r>
        <w:instrText xml:space="preserve"> HYPERLINK \l "_Toc15396613" </w:instrText>
      </w:r>
      <w:r>
        <w:fldChar w:fldCharType="separate"/>
      </w:r>
      <w:r>
        <w:rPr>
          <w:rStyle w:val="17"/>
          <w:rFonts w:ascii="Times New Roman" w:hAnsi="Times New Roman" w:eastAsia="仿宋_GB2312" w:cs="Times New Roman"/>
          <w:kern w:val="44"/>
          <w:sz w:val="32"/>
          <w:szCs w:val="32"/>
        </w:rPr>
        <w:t>第三部分</w:t>
      </w:r>
      <w:r>
        <w:rPr>
          <w:rStyle w:val="17"/>
          <w:rFonts w:ascii="Times New Roman" w:hAnsi="Times New Roman" w:eastAsia="仿宋_GB2312" w:cs="Times New Roman"/>
          <w:sz w:val="32"/>
          <w:szCs w:val="32"/>
        </w:rPr>
        <w:t xml:space="preserve"> 名</w:t>
      </w:r>
      <w:r>
        <w:rPr>
          <w:rStyle w:val="17"/>
          <w:rFonts w:ascii="Times New Roman" w:hAnsi="Times New Roman" w:eastAsia="仿宋_GB2312" w:cs="Times New Roman"/>
          <w:kern w:val="44"/>
          <w:sz w:val="32"/>
          <w:szCs w:val="32"/>
        </w:rPr>
        <w:t>词解释</w:t>
      </w:r>
      <w:r>
        <w:rPr>
          <w:rFonts w:ascii="Times New Roman" w:hAnsi="Times New Roman" w:eastAsia="仿宋_GB2312" w:cs="Times New Roman"/>
          <w:sz w:val="32"/>
          <w:szCs w:val="32"/>
        </w:rPr>
        <w:tab/>
      </w:r>
      <w:r>
        <w:rPr>
          <w:rFonts w:ascii="Times New Roman" w:hAnsi="Times New Roman" w:eastAsia="仿宋_GB2312" w:cs="Times New Roman"/>
          <w:sz w:val="32"/>
          <w:szCs w:val="32"/>
        </w:rPr>
        <w:t>26</w:t>
      </w:r>
      <w:r>
        <w:rPr>
          <w:rFonts w:ascii="Times New Roman" w:hAnsi="Times New Roman" w:eastAsia="仿宋_GB2312" w:cs="Times New Roman"/>
          <w:sz w:val="32"/>
          <w:szCs w:val="32"/>
        </w:rPr>
        <w:fldChar w:fldCharType="end"/>
      </w:r>
    </w:p>
    <w:p w14:paraId="376D026A">
      <w:pPr>
        <w:pStyle w:val="11"/>
        <w:spacing w:before="0" w:line="560" w:lineRule="exact"/>
        <w:ind w:firstLine="560" w:firstLineChars="200"/>
        <w:jc w:val="both"/>
        <w:rPr>
          <w:rFonts w:ascii="Times New Roman" w:hAnsi="Times New Roman" w:eastAsia="仿宋_GB2312" w:cs="Times New Roman"/>
          <w:sz w:val="32"/>
          <w:szCs w:val="32"/>
        </w:rPr>
      </w:pPr>
      <w:r>
        <w:fldChar w:fldCharType="begin"/>
      </w:r>
      <w:r>
        <w:instrText xml:space="preserve"> HYPERLINK \l "_Toc15396614" </w:instrText>
      </w:r>
      <w:r>
        <w:fldChar w:fldCharType="separate"/>
      </w:r>
      <w:r>
        <w:rPr>
          <w:rStyle w:val="17"/>
          <w:rFonts w:ascii="Times New Roman" w:hAnsi="Times New Roman" w:eastAsia="仿宋_GB2312" w:cs="Times New Roman"/>
          <w:sz w:val="32"/>
          <w:szCs w:val="32"/>
        </w:rPr>
        <w:t>第</w:t>
      </w:r>
      <w:r>
        <w:rPr>
          <w:rStyle w:val="17"/>
          <w:rFonts w:ascii="Times New Roman" w:hAnsi="Times New Roman" w:eastAsia="仿宋_GB2312" w:cs="Times New Roman"/>
          <w:kern w:val="44"/>
          <w:sz w:val="32"/>
          <w:szCs w:val="32"/>
        </w:rPr>
        <w:t>四部分 附件</w:t>
      </w: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9</w:t>
      </w:r>
    </w:p>
    <w:p w14:paraId="68A2C10A">
      <w:pPr>
        <w:pStyle w:val="12"/>
        <w:spacing w:line="560" w:lineRule="exact"/>
        <w:ind w:left="0" w:leftChars="0" w:firstLine="400" w:firstLineChars="200"/>
        <w:rPr>
          <w:rFonts w:eastAsia="仿宋_GB2312"/>
          <w:sz w:val="32"/>
          <w:szCs w:val="32"/>
        </w:rPr>
      </w:pPr>
      <w:r>
        <w:fldChar w:fldCharType="begin"/>
      </w:r>
      <w:r>
        <w:instrText xml:space="preserve"> HYPERLINK \l "_Toc15396615" </w:instrText>
      </w:r>
      <w:r>
        <w:fldChar w:fldCharType="separate"/>
      </w:r>
      <w:r>
        <w:rPr>
          <w:rStyle w:val="17"/>
          <w:rFonts w:eastAsia="仿宋_GB2312"/>
          <w:kern w:val="44"/>
          <w:sz w:val="32"/>
          <w:szCs w:val="32"/>
        </w:rPr>
        <w:t>附件1</w:t>
      </w:r>
      <w:r>
        <w:rPr>
          <w:rFonts w:eastAsia="仿宋_GB2312"/>
          <w:sz w:val="32"/>
          <w:szCs w:val="32"/>
        </w:rPr>
        <w:tab/>
      </w:r>
      <w:r>
        <w:rPr>
          <w:rFonts w:hint="eastAsia" w:eastAsia="仿宋_GB2312"/>
          <w:sz w:val="32"/>
          <w:szCs w:val="32"/>
        </w:rPr>
        <w:t>2</w:t>
      </w:r>
      <w:r>
        <w:rPr>
          <w:rFonts w:hint="eastAsia" w:eastAsia="仿宋_GB2312"/>
          <w:sz w:val="32"/>
          <w:szCs w:val="32"/>
        </w:rPr>
        <w:fldChar w:fldCharType="end"/>
      </w:r>
      <w:r>
        <w:rPr>
          <w:rFonts w:hint="eastAsia" w:eastAsia="仿宋_GB2312"/>
          <w:sz w:val="32"/>
          <w:szCs w:val="32"/>
        </w:rPr>
        <w:t>9</w:t>
      </w:r>
    </w:p>
    <w:p w14:paraId="4D9DD6CB">
      <w:pPr>
        <w:pStyle w:val="12"/>
        <w:spacing w:line="560" w:lineRule="exact"/>
        <w:ind w:left="0" w:leftChars="0" w:firstLine="400" w:firstLineChars="200"/>
        <w:rPr>
          <w:rFonts w:eastAsia="仿宋_GB2312"/>
          <w:sz w:val="32"/>
          <w:szCs w:val="32"/>
        </w:rPr>
      </w:pPr>
      <w:r>
        <w:fldChar w:fldCharType="begin"/>
      </w:r>
      <w:r>
        <w:instrText xml:space="preserve"> HYPERLINK \l "_Toc15396617" </w:instrText>
      </w:r>
      <w:r>
        <w:fldChar w:fldCharType="separate"/>
      </w:r>
      <w:r>
        <w:rPr>
          <w:rStyle w:val="17"/>
          <w:rFonts w:eastAsia="仿宋_GB2312"/>
          <w:kern w:val="44"/>
          <w:sz w:val="32"/>
          <w:szCs w:val="32"/>
        </w:rPr>
        <w:t>附件2</w:t>
      </w:r>
      <w:r>
        <w:rPr>
          <w:rFonts w:eastAsia="仿宋_GB2312"/>
          <w:sz w:val="32"/>
          <w:szCs w:val="32"/>
        </w:rPr>
        <w:tab/>
      </w:r>
      <w:r>
        <w:rPr>
          <w:rFonts w:hint="eastAsia" w:eastAsia="仿宋_GB2312"/>
          <w:sz w:val="32"/>
          <w:szCs w:val="32"/>
        </w:rPr>
        <w:t>3</w:t>
      </w:r>
      <w:r>
        <w:rPr>
          <w:rFonts w:hint="eastAsia" w:eastAsia="仿宋_GB2312"/>
          <w:sz w:val="32"/>
          <w:szCs w:val="32"/>
        </w:rPr>
        <w:fldChar w:fldCharType="end"/>
      </w:r>
      <w:r>
        <w:rPr>
          <w:rFonts w:hint="eastAsia" w:eastAsia="仿宋_GB2312"/>
          <w:sz w:val="32"/>
          <w:szCs w:val="32"/>
        </w:rPr>
        <w:t>5</w:t>
      </w:r>
    </w:p>
    <w:p w14:paraId="7F0C15B9">
      <w:pPr>
        <w:pStyle w:val="12"/>
        <w:spacing w:line="560" w:lineRule="exact"/>
        <w:ind w:left="0" w:leftChars="0" w:firstLine="400" w:firstLineChars="200"/>
        <w:rPr>
          <w:rFonts w:eastAsia="仿宋_GB2312"/>
          <w:sz w:val="32"/>
          <w:szCs w:val="32"/>
        </w:rPr>
      </w:pPr>
      <w:r>
        <w:fldChar w:fldCharType="begin"/>
      </w:r>
      <w:r>
        <w:instrText xml:space="preserve"> HYPERLINK \l "_Toc15396617" </w:instrText>
      </w:r>
      <w:r>
        <w:fldChar w:fldCharType="separate"/>
      </w:r>
      <w:r>
        <w:rPr>
          <w:rStyle w:val="17"/>
          <w:rFonts w:eastAsia="仿宋_GB2312"/>
          <w:kern w:val="44"/>
          <w:sz w:val="32"/>
          <w:szCs w:val="32"/>
        </w:rPr>
        <w:t>附件3</w:t>
      </w:r>
      <w:r>
        <w:rPr>
          <w:rFonts w:eastAsia="仿宋_GB2312"/>
          <w:sz w:val="32"/>
          <w:szCs w:val="32"/>
        </w:rPr>
        <w:tab/>
      </w:r>
      <w:r>
        <w:rPr>
          <w:rFonts w:eastAsia="仿宋_GB2312"/>
          <w:sz w:val="32"/>
          <w:szCs w:val="32"/>
        </w:rPr>
        <w:t>4</w:t>
      </w:r>
      <w:r>
        <w:rPr>
          <w:rFonts w:hint="eastAsia" w:eastAsia="仿宋_GB2312"/>
          <w:sz w:val="32"/>
          <w:szCs w:val="32"/>
        </w:rPr>
        <w:t>6</w:t>
      </w:r>
      <w:r>
        <w:rPr>
          <w:rFonts w:hint="eastAsia" w:eastAsia="仿宋_GB2312"/>
          <w:sz w:val="32"/>
          <w:szCs w:val="32"/>
        </w:rPr>
        <w:fldChar w:fldCharType="end"/>
      </w:r>
    </w:p>
    <w:p w14:paraId="716FEDC4">
      <w:pPr>
        <w:pStyle w:val="12"/>
        <w:spacing w:line="560" w:lineRule="exact"/>
        <w:ind w:left="0" w:leftChars="0" w:firstLine="400" w:firstLineChars="200"/>
        <w:rPr>
          <w:rFonts w:eastAsia="仿宋_GB2312"/>
          <w:sz w:val="32"/>
          <w:szCs w:val="32"/>
        </w:rPr>
      </w:pPr>
      <w:r>
        <w:fldChar w:fldCharType="begin"/>
      </w:r>
      <w:r>
        <w:instrText xml:space="preserve"> HYPERLINK \l "_Toc15396617" </w:instrText>
      </w:r>
      <w:r>
        <w:fldChar w:fldCharType="separate"/>
      </w:r>
      <w:r>
        <w:rPr>
          <w:rStyle w:val="17"/>
          <w:rFonts w:eastAsia="仿宋_GB2312"/>
          <w:kern w:val="44"/>
          <w:sz w:val="32"/>
          <w:szCs w:val="32"/>
        </w:rPr>
        <w:t>附件4</w:t>
      </w:r>
      <w:r>
        <w:rPr>
          <w:rFonts w:eastAsia="仿宋_GB2312"/>
          <w:sz w:val="32"/>
          <w:szCs w:val="32"/>
        </w:rPr>
        <w:tab/>
      </w:r>
      <w:r>
        <w:rPr>
          <w:rFonts w:eastAsia="仿宋_GB2312"/>
          <w:sz w:val="32"/>
          <w:szCs w:val="32"/>
        </w:rPr>
        <w:t>5</w:t>
      </w:r>
      <w:r>
        <w:rPr>
          <w:rFonts w:hint="eastAsia" w:eastAsia="仿宋_GB2312"/>
          <w:sz w:val="32"/>
          <w:szCs w:val="32"/>
        </w:rPr>
        <w:t>2</w:t>
      </w:r>
      <w:r>
        <w:rPr>
          <w:rFonts w:hint="eastAsia" w:eastAsia="仿宋_GB2312"/>
          <w:sz w:val="32"/>
          <w:szCs w:val="32"/>
        </w:rPr>
        <w:fldChar w:fldCharType="end"/>
      </w:r>
    </w:p>
    <w:p w14:paraId="4B6ED9A0">
      <w:pPr>
        <w:pStyle w:val="11"/>
        <w:spacing w:before="0" w:line="560" w:lineRule="exact"/>
        <w:ind w:firstLine="560" w:firstLineChars="200"/>
        <w:jc w:val="both"/>
        <w:rPr>
          <w:rFonts w:ascii="Times New Roman" w:hAnsi="Times New Roman" w:eastAsia="仿宋_GB2312" w:cs="Times New Roman"/>
          <w:sz w:val="32"/>
          <w:szCs w:val="32"/>
        </w:rPr>
      </w:pPr>
      <w:r>
        <w:fldChar w:fldCharType="begin"/>
      </w:r>
      <w:r>
        <w:instrText xml:space="preserve"> HYPERLINK \l "_Toc15396618" </w:instrText>
      </w:r>
      <w:r>
        <w:fldChar w:fldCharType="separate"/>
      </w:r>
      <w:r>
        <w:rPr>
          <w:rFonts w:ascii="Times New Roman" w:hAnsi="Times New Roman" w:eastAsia="仿宋_GB2312" w:cs="Times New Roman"/>
          <w:sz w:val="32"/>
          <w:szCs w:val="32"/>
        </w:rPr>
        <w:t>第五部分 附表</w:t>
      </w: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5</w:t>
      </w:r>
      <w:r>
        <w:rPr>
          <w:rFonts w:hint="eastAsia"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7</w:t>
      </w:r>
    </w:p>
    <w:p w14:paraId="4BE872FC">
      <w:pPr>
        <w:pStyle w:val="12"/>
        <w:spacing w:line="560" w:lineRule="exact"/>
        <w:ind w:left="0" w:leftChars="0" w:firstLine="640" w:firstLineChars="200"/>
        <w:rPr>
          <w:rFonts w:eastAsia="仿宋_GB2312"/>
          <w:sz w:val="32"/>
          <w:szCs w:val="32"/>
        </w:rPr>
      </w:pPr>
      <w:r>
        <w:rPr>
          <w:rFonts w:eastAsia="仿宋_GB2312"/>
          <w:sz w:val="32"/>
          <w:szCs w:val="32"/>
        </w:rPr>
        <w:t>一、</w:t>
      </w:r>
      <w:r>
        <w:fldChar w:fldCharType="begin"/>
      </w:r>
      <w:r>
        <w:instrText xml:space="preserve"> HYPERLINK \l "_Toc15396619" </w:instrText>
      </w:r>
      <w:r>
        <w:fldChar w:fldCharType="separate"/>
      </w:r>
      <w:r>
        <w:rPr>
          <w:rFonts w:eastAsia="仿宋_GB2312"/>
          <w:sz w:val="32"/>
          <w:szCs w:val="32"/>
        </w:rPr>
        <w:t>收入支出决算总表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781011E4">
      <w:pPr>
        <w:pStyle w:val="12"/>
        <w:spacing w:line="560" w:lineRule="exact"/>
        <w:ind w:left="0" w:leftChars="0" w:firstLine="640" w:firstLineChars="200"/>
        <w:rPr>
          <w:rFonts w:eastAsia="仿宋_GB2312"/>
          <w:sz w:val="32"/>
          <w:szCs w:val="32"/>
        </w:rPr>
      </w:pPr>
      <w:r>
        <w:rPr>
          <w:rFonts w:eastAsia="仿宋_GB2312"/>
          <w:sz w:val="32"/>
          <w:szCs w:val="32"/>
        </w:rPr>
        <w:t>二、</w:t>
      </w:r>
      <w:r>
        <w:fldChar w:fldCharType="begin"/>
      </w:r>
      <w:r>
        <w:instrText xml:space="preserve"> HYPERLINK \l "_Toc15396620" </w:instrText>
      </w:r>
      <w:r>
        <w:fldChar w:fldCharType="separate"/>
      </w:r>
      <w:r>
        <w:rPr>
          <w:rFonts w:eastAsia="仿宋_GB2312"/>
          <w:sz w:val="32"/>
          <w:szCs w:val="32"/>
        </w:rPr>
        <w:t>收入总表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74B1A799">
      <w:pPr>
        <w:pStyle w:val="12"/>
        <w:spacing w:line="560" w:lineRule="exact"/>
        <w:ind w:left="0" w:leftChars="0" w:firstLine="640" w:firstLineChars="200"/>
        <w:rPr>
          <w:rFonts w:eastAsia="仿宋_GB2312"/>
          <w:sz w:val="32"/>
          <w:szCs w:val="32"/>
        </w:rPr>
      </w:pPr>
      <w:r>
        <w:rPr>
          <w:rFonts w:eastAsia="仿宋_GB2312"/>
          <w:sz w:val="32"/>
          <w:szCs w:val="32"/>
        </w:rPr>
        <w:t>三、</w:t>
      </w:r>
      <w:r>
        <w:fldChar w:fldCharType="begin"/>
      </w:r>
      <w:r>
        <w:instrText xml:space="preserve"> HYPERLINK \l "_Toc15396621" </w:instrText>
      </w:r>
      <w:r>
        <w:fldChar w:fldCharType="separate"/>
      </w:r>
      <w:r>
        <w:rPr>
          <w:rFonts w:eastAsia="仿宋_GB2312"/>
          <w:sz w:val="32"/>
          <w:szCs w:val="32"/>
        </w:rPr>
        <w:t>支出总表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2DF1EEAE">
      <w:pPr>
        <w:pStyle w:val="12"/>
        <w:spacing w:line="560" w:lineRule="exact"/>
        <w:ind w:left="0" w:leftChars="0" w:firstLine="640" w:firstLineChars="200"/>
        <w:rPr>
          <w:rFonts w:eastAsia="仿宋_GB2312"/>
          <w:sz w:val="32"/>
          <w:szCs w:val="32"/>
        </w:rPr>
      </w:pPr>
      <w:r>
        <w:rPr>
          <w:rFonts w:eastAsia="仿宋_GB2312"/>
          <w:sz w:val="32"/>
          <w:szCs w:val="32"/>
        </w:rPr>
        <w:t>四、</w:t>
      </w:r>
      <w:r>
        <w:fldChar w:fldCharType="begin"/>
      </w:r>
      <w:r>
        <w:instrText xml:space="preserve"> HYPERLINK \l "_Toc15396622" </w:instrText>
      </w:r>
      <w:r>
        <w:fldChar w:fldCharType="separate"/>
      </w:r>
      <w:r>
        <w:rPr>
          <w:rFonts w:eastAsia="仿宋_GB2312"/>
          <w:sz w:val="32"/>
          <w:szCs w:val="32"/>
        </w:rPr>
        <w:t>财政拨款收入支出决算总表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7EE0F05C">
      <w:pPr>
        <w:pStyle w:val="12"/>
        <w:spacing w:line="560" w:lineRule="exact"/>
        <w:ind w:left="0" w:leftChars="0" w:firstLine="640" w:firstLineChars="200"/>
        <w:rPr>
          <w:rFonts w:eastAsia="仿宋_GB2312"/>
          <w:sz w:val="32"/>
          <w:szCs w:val="32"/>
        </w:rPr>
      </w:pPr>
      <w:r>
        <w:rPr>
          <w:rFonts w:eastAsia="仿宋_GB2312"/>
          <w:sz w:val="32"/>
          <w:szCs w:val="32"/>
        </w:rPr>
        <w:t>五、</w:t>
      </w:r>
      <w:r>
        <w:fldChar w:fldCharType="begin"/>
      </w:r>
      <w:r>
        <w:instrText xml:space="preserve"> HYPERLINK \l "_Toc15396623" </w:instrText>
      </w:r>
      <w:r>
        <w:fldChar w:fldCharType="separate"/>
      </w:r>
      <w:r>
        <w:rPr>
          <w:rFonts w:eastAsia="仿宋_GB2312"/>
          <w:sz w:val="32"/>
          <w:szCs w:val="32"/>
        </w:rPr>
        <w:t>财政拨款支出决算明细表（政府经济分类科目）</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4F8B85DC">
      <w:pPr>
        <w:pStyle w:val="12"/>
        <w:spacing w:line="560" w:lineRule="exact"/>
        <w:ind w:left="0" w:leftChars="0" w:firstLine="640" w:firstLineChars="200"/>
        <w:rPr>
          <w:rFonts w:eastAsia="仿宋_GB2312"/>
          <w:sz w:val="32"/>
          <w:szCs w:val="32"/>
        </w:rPr>
      </w:pPr>
      <w:r>
        <w:rPr>
          <w:rFonts w:eastAsia="仿宋_GB2312"/>
          <w:sz w:val="32"/>
          <w:szCs w:val="32"/>
        </w:rPr>
        <w:t>六、</w:t>
      </w:r>
      <w:r>
        <w:fldChar w:fldCharType="begin"/>
      </w:r>
      <w:r>
        <w:instrText xml:space="preserve"> HYPERLINK \l "_Toc15396624" </w:instrText>
      </w:r>
      <w:r>
        <w:fldChar w:fldCharType="separate"/>
      </w:r>
      <w:r>
        <w:rPr>
          <w:rFonts w:eastAsia="仿宋_GB2312"/>
          <w:sz w:val="32"/>
          <w:szCs w:val="32"/>
        </w:rPr>
        <w:t>一般公共预算财政拨款支出决算表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75A74036">
      <w:pPr>
        <w:pStyle w:val="12"/>
        <w:spacing w:line="560" w:lineRule="exact"/>
        <w:ind w:left="0" w:leftChars="0" w:firstLine="640" w:firstLineChars="200"/>
        <w:rPr>
          <w:rFonts w:eastAsia="仿宋_GB2312"/>
          <w:sz w:val="32"/>
          <w:szCs w:val="32"/>
        </w:rPr>
      </w:pPr>
      <w:r>
        <w:rPr>
          <w:rFonts w:eastAsia="仿宋_GB2312"/>
          <w:sz w:val="32"/>
          <w:szCs w:val="32"/>
        </w:rPr>
        <w:t>七、</w:t>
      </w:r>
      <w:r>
        <w:fldChar w:fldCharType="begin"/>
      </w:r>
      <w:r>
        <w:instrText xml:space="preserve"> HYPERLINK \l "_Toc15396625" </w:instrText>
      </w:r>
      <w:r>
        <w:fldChar w:fldCharType="separate"/>
      </w:r>
      <w:r>
        <w:rPr>
          <w:rFonts w:eastAsia="仿宋_GB2312"/>
          <w:sz w:val="32"/>
          <w:szCs w:val="32"/>
        </w:rPr>
        <w:t>一般公共预算财政拨款支出决算明细表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59A21A45">
      <w:pPr>
        <w:pStyle w:val="12"/>
        <w:spacing w:line="560" w:lineRule="exact"/>
        <w:ind w:left="0" w:leftChars="0" w:firstLine="640" w:firstLineChars="200"/>
        <w:rPr>
          <w:rFonts w:eastAsia="仿宋_GB2312"/>
          <w:sz w:val="32"/>
          <w:szCs w:val="32"/>
        </w:rPr>
      </w:pPr>
      <w:r>
        <w:rPr>
          <w:rFonts w:eastAsia="仿宋_GB2312"/>
          <w:sz w:val="32"/>
          <w:szCs w:val="32"/>
        </w:rPr>
        <w:t>八、</w:t>
      </w:r>
      <w:r>
        <w:fldChar w:fldCharType="begin"/>
      </w:r>
      <w:r>
        <w:instrText xml:space="preserve"> HYPERLINK \l "_Toc15396626" </w:instrText>
      </w:r>
      <w:r>
        <w:fldChar w:fldCharType="separate"/>
      </w:r>
      <w:r>
        <w:rPr>
          <w:rFonts w:eastAsia="仿宋_GB2312"/>
          <w:sz w:val="32"/>
          <w:szCs w:val="32"/>
        </w:rPr>
        <w:t>一般公共预算财政拨款基本支出决算表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5D8750C2">
      <w:pPr>
        <w:pStyle w:val="12"/>
        <w:spacing w:line="560" w:lineRule="exact"/>
        <w:ind w:left="0" w:leftChars="0" w:firstLine="640" w:firstLineChars="200"/>
        <w:rPr>
          <w:rFonts w:eastAsia="仿宋_GB2312"/>
          <w:sz w:val="32"/>
          <w:szCs w:val="32"/>
        </w:rPr>
      </w:pPr>
      <w:r>
        <w:rPr>
          <w:rFonts w:eastAsia="仿宋_GB2312"/>
          <w:sz w:val="32"/>
          <w:szCs w:val="32"/>
        </w:rPr>
        <w:t>九、</w:t>
      </w:r>
      <w:r>
        <w:fldChar w:fldCharType="begin"/>
      </w:r>
      <w:r>
        <w:instrText xml:space="preserve"> HYPERLINK \l "_Toc15396627" </w:instrText>
      </w:r>
      <w:r>
        <w:fldChar w:fldCharType="separate"/>
      </w:r>
      <w:r>
        <w:rPr>
          <w:rStyle w:val="17"/>
          <w:rFonts w:eastAsia="仿宋_GB2312"/>
          <w:sz w:val="32"/>
          <w:szCs w:val="32"/>
        </w:rPr>
        <w:t>一般公共预算财政拨款项目支出决算表</w:t>
      </w:r>
      <w:r>
        <w:rPr>
          <w:rFonts w:eastAsia="仿宋_GB2312"/>
          <w:sz w:val="32"/>
          <w:szCs w:val="32"/>
        </w:rPr>
        <w:tab/>
      </w:r>
      <w:r>
        <w:rPr>
          <w:rFonts w:hint="eastAsia" w:eastAsia="仿宋_GB2312"/>
          <w:sz w:val="32"/>
          <w:szCs w:val="32"/>
        </w:rPr>
        <w:t>5</w:t>
      </w:r>
      <w:r>
        <w:rPr>
          <w:rFonts w:hint="eastAsia" w:eastAsia="仿宋_GB2312"/>
          <w:sz w:val="32"/>
          <w:szCs w:val="32"/>
        </w:rPr>
        <w:fldChar w:fldCharType="end"/>
      </w:r>
      <w:r>
        <w:rPr>
          <w:rFonts w:hint="eastAsia" w:eastAsia="仿宋_GB2312"/>
          <w:sz w:val="32"/>
          <w:szCs w:val="32"/>
        </w:rPr>
        <w:t>7</w:t>
      </w:r>
    </w:p>
    <w:p w14:paraId="6F9C9762">
      <w:pPr>
        <w:pStyle w:val="12"/>
        <w:spacing w:line="560" w:lineRule="exact"/>
        <w:ind w:left="0" w:leftChars="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十、</w:t>
      </w:r>
      <w:r>
        <w:fldChar w:fldCharType="begin"/>
      </w:r>
      <w:r>
        <w:instrText xml:space="preserve"> HYPERLINK \l "_Toc15396628" </w:instrText>
      </w:r>
      <w:r>
        <w:fldChar w:fldCharType="separate"/>
      </w:r>
      <w:r>
        <w:rPr>
          <w:rFonts w:eastAsia="仿宋_GB2312"/>
          <w:color w:val="000000" w:themeColor="text1"/>
          <w:sz w:val="32"/>
          <w:szCs w:val="32"/>
          <w14:textFill>
            <w14:solidFill>
              <w14:schemeClr w14:val="tx1"/>
            </w14:solidFill>
          </w14:textFill>
        </w:rPr>
        <w:t>一般公共预算财政拨款“三公”经费支出决算表</w:t>
      </w:r>
      <w:r>
        <w:rPr>
          <w:rFonts w:hint="eastAsia"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7</w:t>
      </w:r>
    </w:p>
    <w:p w14:paraId="11E3820D">
      <w:pPr>
        <w:pStyle w:val="12"/>
        <w:spacing w:line="560" w:lineRule="exact"/>
        <w:ind w:left="0" w:leftChars="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十一、</w:t>
      </w:r>
      <w:r>
        <w:fldChar w:fldCharType="begin"/>
      </w:r>
      <w:r>
        <w:instrText xml:space="preserve"> HYPERLINK \l "_Toc15396629" </w:instrText>
      </w:r>
      <w:r>
        <w:fldChar w:fldCharType="separate"/>
      </w:r>
      <w:r>
        <w:rPr>
          <w:rFonts w:eastAsia="仿宋_GB2312"/>
          <w:color w:val="000000" w:themeColor="text1"/>
          <w:sz w:val="32"/>
          <w:szCs w:val="32"/>
          <w14:textFill>
            <w14:solidFill>
              <w14:schemeClr w14:val="tx1"/>
            </w14:solidFill>
          </w14:textFill>
        </w:rPr>
        <w:t>政府性基金预算财政拨款收入支出决算表</w:t>
      </w:r>
      <w:r>
        <w:rPr>
          <w:rFonts w:eastAsia="仿宋_GB2312"/>
          <w:color w:val="000000" w:themeColor="text1"/>
          <w:sz w:val="32"/>
          <w:szCs w:val="32"/>
          <w14:textFill>
            <w14:solidFill>
              <w14:schemeClr w14:val="tx1"/>
            </w14:solidFill>
          </w14:textFill>
        </w:rPr>
        <w:tab/>
      </w:r>
      <w:r>
        <w:rPr>
          <w:rFonts w:hint="eastAsia"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7</w:t>
      </w:r>
    </w:p>
    <w:p w14:paraId="01601544">
      <w:pPr>
        <w:pStyle w:val="12"/>
        <w:spacing w:line="560" w:lineRule="exact"/>
        <w:ind w:left="0" w:leftChars="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十二、</w:t>
      </w:r>
      <w:r>
        <w:fldChar w:fldCharType="begin"/>
      </w:r>
      <w:r>
        <w:instrText xml:space="preserve"> HYPERLINK \l "_Toc15396630" </w:instrText>
      </w:r>
      <w:r>
        <w:fldChar w:fldCharType="separate"/>
      </w:r>
      <w:r>
        <w:rPr>
          <w:rFonts w:eastAsia="仿宋_GB2312"/>
          <w:color w:val="000000" w:themeColor="text1"/>
          <w:sz w:val="32"/>
          <w:szCs w:val="32"/>
          <w14:textFill>
            <w14:solidFill>
              <w14:schemeClr w14:val="tx1"/>
            </w14:solidFill>
          </w14:textFill>
        </w:rPr>
        <w:t>政府性基金预算财政拨款“三公”经费支出决算表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_Toc15396630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57</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46EA7BF0">
      <w:pPr>
        <w:pStyle w:val="12"/>
        <w:spacing w:line="560" w:lineRule="exact"/>
        <w:ind w:left="0" w:leftChars="0" w:firstLine="640" w:firstLineChars="200"/>
        <w:rPr>
          <w:rFonts w:eastAsia="仿宋_GB2312"/>
          <w:sz w:val="32"/>
          <w:szCs w:val="32"/>
        </w:rPr>
      </w:pPr>
      <w:r>
        <w:rPr>
          <w:rFonts w:eastAsia="仿宋_GB2312"/>
          <w:color w:val="000000" w:themeColor="text1"/>
          <w:sz w:val="32"/>
          <w:szCs w:val="32"/>
          <w14:textFill>
            <w14:solidFill>
              <w14:schemeClr w14:val="tx1"/>
            </w14:solidFill>
          </w14:textFill>
        </w:rPr>
        <w:t>十三、</w:t>
      </w:r>
      <w:r>
        <w:fldChar w:fldCharType="begin"/>
      </w:r>
      <w:r>
        <w:instrText xml:space="preserve"> HYPERLINK \l "_Toc15396631" </w:instrText>
      </w:r>
      <w:r>
        <w:fldChar w:fldCharType="separate"/>
      </w:r>
      <w:r>
        <w:rPr>
          <w:rFonts w:eastAsia="仿宋_GB2312"/>
          <w:color w:val="000000" w:themeColor="text1"/>
          <w:sz w:val="32"/>
          <w:szCs w:val="32"/>
          <w14:textFill>
            <w14:solidFill>
              <w14:schemeClr w14:val="tx1"/>
            </w14:solidFill>
          </w14:textFill>
        </w:rPr>
        <w:t>国有资本经营预算支出决算表</w:t>
      </w:r>
      <w:r>
        <w:rPr>
          <w:rFonts w:eastAsia="仿宋_GB2312"/>
          <w:color w:val="000000" w:themeColor="text1"/>
          <w:sz w:val="32"/>
          <w:szCs w:val="32"/>
          <w14:textFill>
            <w14:solidFill>
              <w14:schemeClr w14:val="tx1"/>
            </w14:solidFill>
          </w14:textFill>
        </w:rPr>
        <w:tab/>
      </w:r>
      <w:r>
        <w:rPr>
          <w:rFonts w:hint="eastAsia"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7</w:t>
      </w:r>
    </w:p>
    <w:p w14:paraId="1BCFA41E">
      <w:pPr>
        <w:pStyle w:val="12"/>
        <w:spacing w:line="560" w:lineRule="exact"/>
        <w:ind w:left="0" w:leftChars="0" w:firstLine="640" w:firstLineChars="200"/>
        <w:rPr>
          <w:rFonts w:eastAsia="仿宋_GB2312"/>
          <w:color w:val="000000" w:themeColor="text1"/>
          <w:sz w:val="32"/>
          <w:szCs w:val="32"/>
          <w14:textFill>
            <w14:solidFill>
              <w14:schemeClr w14:val="tx1"/>
            </w14:solidFill>
          </w14:textFill>
        </w:rPr>
      </w:pPr>
      <w:r>
        <w:rPr>
          <w:rFonts w:eastAsia="仿宋_GB2312"/>
          <w:color w:val="000000"/>
          <w:sz w:val="32"/>
          <w:szCs w:val="32"/>
        </w:rPr>
        <w:fldChar w:fldCharType="end"/>
      </w:r>
      <w:r>
        <w:rPr>
          <w:rFonts w:eastAsia="仿宋_GB2312"/>
          <w:color w:val="000000" w:themeColor="text1"/>
          <w:sz w:val="32"/>
          <w:szCs w:val="32"/>
          <w14:textFill>
            <w14:solidFill>
              <w14:schemeClr w14:val="tx1"/>
            </w14:solidFill>
          </w14:textFill>
        </w:rPr>
        <w:t>十四、</w:t>
      </w:r>
      <w:r>
        <w:fldChar w:fldCharType="begin"/>
      </w:r>
      <w:r>
        <w:instrText xml:space="preserve"> HYPERLINK \l "_Toc15396630" </w:instrText>
      </w:r>
      <w:r>
        <w:fldChar w:fldCharType="separate"/>
      </w:r>
      <w:r>
        <w:rPr>
          <w:rFonts w:eastAsia="仿宋_GB2312"/>
          <w:color w:val="000000" w:themeColor="text1"/>
          <w:sz w:val="32"/>
          <w:szCs w:val="32"/>
          <w14:textFill>
            <w14:solidFill>
              <w14:schemeClr w14:val="tx1"/>
            </w14:solidFill>
          </w14:textFill>
        </w:rPr>
        <w:t>政府采购执行情况表</w:t>
      </w:r>
      <w:r>
        <w:rPr>
          <w:rFonts w:eastAsia="仿宋_GB2312"/>
          <w:color w:val="000000" w:themeColor="text1"/>
          <w:sz w:val="32"/>
          <w:szCs w:val="32"/>
          <w14:textFill>
            <w14:solidFill>
              <w14:schemeClr w14:val="tx1"/>
            </w14:solidFill>
          </w14:textFill>
        </w:rPr>
        <w:tab/>
      </w:r>
      <w:r>
        <w:rPr>
          <w:rFonts w:hint="eastAsia"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7</w:t>
      </w:r>
    </w:p>
    <w:p w14:paraId="31B69403">
      <w:pPr>
        <w:pStyle w:val="12"/>
        <w:spacing w:line="560" w:lineRule="exact"/>
        <w:ind w:left="0" w:leftChars="0" w:firstLine="640" w:firstLineChars="200"/>
        <w:rPr>
          <w:rFonts w:eastAsia="仿宋_GB2312"/>
          <w:color w:val="000000" w:themeColor="text1"/>
          <w:sz w:val="32"/>
          <w:szCs w:val="32"/>
          <w14:textFill>
            <w14:solidFill>
              <w14:schemeClr w14:val="tx1"/>
            </w14:solidFill>
          </w14:textFill>
        </w:rPr>
      </w:pPr>
      <w:bookmarkStart w:id="1" w:name="_Toc15377196"/>
      <w:bookmarkStart w:id="2" w:name="_Toc15396599"/>
      <w:r>
        <w:rPr>
          <w:rFonts w:eastAsia="仿宋_GB2312"/>
          <w:color w:val="000000" w:themeColor="text1"/>
          <w:sz w:val="32"/>
          <w:szCs w:val="32"/>
          <w14:textFill>
            <w14:solidFill>
              <w14:schemeClr w14:val="tx1"/>
            </w14:solidFill>
          </w14:textFill>
        </w:rPr>
        <w:t>十五、</w:t>
      </w:r>
      <w:r>
        <w:fldChar w:fldCharType="begin"/>
      </w:r>
      <w:r>
        <w:instrText xml:space="preserve"> HYPERLINK \l "_Toc15396630" </w:instrText>
      </w:r>
      <w:r>
        <w:fldChar w:fldCharType="separate"/>
      </w:r>
      <w:r>
        <w:rPr>
          <w:rFonts w:eastAsia="仿宋_GB2312"/>
          <w:color w:val="000000" w:themeColor="text1"/>
          <w:sz w:val="32"/>
          <w:szCs w:val="32"/>
          <w14:textFill>
            <w14:solidFill>
              <w14:schemeClr w14:val="tx1"/>
            </w14:solidFill>
          </w14:textFill>
        </w:rPr>
        <w:t>机关运行经费及国有资产占用情况表</w:t>
      </w:r>
      <w:r>
        <w:rPr>
          <w:rFonts w:eastAsia="仿宋_GB2312"/>
          <w:color w:val="000000" w:themeColor="text1"/>
          <w:sz w:val="32"/>
          <w:szCs w:val="32"/>
          <w14:textFill>
            <w14:solidFill>
              <w14:schemeClr w14:val="tx1"/>
            </w14:solidFill>
          </w14:textFill>
        </w:rPr>
        <w:tab/>
      </w:r>
      <w:r>
        <w:rPr>
          <w:rFonts w:hint="eastAsia"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7</w:t>
      </w:r>
    </w:p>
    <w:p w14:paraId="4FCF9972">
      <w:pPr>
        <w:widowControl/>
        <w:ind w:firstLine="321" w:firstLineChars="100"/>
        <w:jc w:val="left"/>
        <w:rPr>
          <w:rFonts w:eastAsia="仿宋_GB2312"/>
          <w:kern w:val="44"/>
          <w:sz w:val="32"/>
          <w:szCs w:val="32"/>
        </w:rPr>
      </w:pPr>
      <w:r>
        <w:rPr>
          <w:rFonts w:eastAsia="仿宋_GB2312"/>
          <w:b/>
          <w:bCs/>
          <w:sz w:val="32"/>
          <w:szCs w:val="32"/>
        </w:rPr>
        <w:br w:type="page"/>
      </w:r>
    </w:p>
    <w:p w14:paraId="61540A09">
      <w:pPr>
        <w:pStyle w:val="2"/>
        <w:numPr>
          <w:ilvl w:val="0"/>
          <w:numId w:val="1"/>
        </w:numPr>
        <w:spacing w:before="0" w:after="0" w:line="560" w:lineRule="exact"/>
        <w:jc w:val="center"/>
        <w:rPr>
          <w:rStyle w:val="18"/>
          <w:rFonts w:eastAsia="黑体"/>
          <w:b w:val="0"/>
          <w:bCs w:val="0"/>
        </w:rPr>
      </w:pPr>
      <w:r>
        <w:rPr>
          <w:rStyle w:val="18"/>
          <w:rFonts w:eastAsia="黑体"/>
          <w:b w:val="0"/>
          <w:bCs w:val="0"/>
        </w:rPr>
        <w:t>部门概况</w:t>
      </w:r>
      <w:bookmarkEnd w:id="1"/>
      <w:bookmarkEnd w:id="2"/>
      <w:bookmarkStart w:id="3" w:name="_Toc15377197"/>
      <w:bookmarkStart w:id="4" w:name="_Toc15396600"/>
    </w:p>
    <w:p w14:paraId="5D037995"/>
    <w:p w14:paraId="63B9171F">
      <w:pPr>
        <w:pStyle w:val="3"/>
        <w:spacing w:before="0" w:after="0" w:line="560" w:lineRule="exact"/>
        <w:ind w:firstLine="640" w:firstLineChars="200"/>
        <w:rPr>
          <w:rFonts w:ascii="Times New Roman" w:hAnsi="Times New Roman" w:eastAsia="黑体" w:cs="Times New Roman"/>
          <w:b w:val="0"/>
          <w:bCs w:val="0"/>
          <w:color w:val="000000"/>
        </w:rPr>
      </w:pPr>
      <w:r>
        <w:rPr>
          <w:rFonts w:ascii="Times New Roman" w:hAnsi="Times New Roman" w:eastAsia="黑体" w:cs="Times New Roman"/>
          <w:b w:val="0"/>
          <w:bCs w:val="0"/>
          <w:color w:val="000000"/>
        </w:rPr>
        <w:t>一、基本职能及主要工作</w:t>
      </w:r>
      <w:bookmarkEnd w:id="3"/>
      <w:bookmarkEnd w:id="4"/>
    </w:p>
    <w:p w14:paraId="4C7B1F7D">
      <w:pPr>
        <w:spacing w:line="560" w:lineRule="exact"/>
        <w:ind w:firstLine="640" w:firstLineChars="200"/>
        <w:rPr>
          <w:rFonts w:eastAsia="仿宋_GB2312"/>
          <w:sz w:val="32"/>
          <w:szCs w:val="32"/>
        </w:rPr>
      </w:pPr>
      <w:bookmarkStart w:id="5" w:name="_Toc15377198"/>
      <w:bookmarkStart w:id="6" w:name="_Toc15378445"/>
      <w:r>
        <w:rPr>
          <w:rFonts w:eastAsia="仿宋_GB2312"/>
          <w:color w:val="000000"/>
          <w:sz w:val="32"/>
          <w:szCs w:val="32"/>
        </w:rPr>
        <w:t>（一）主要职能。</w:t>
      </w:r>
      <w:r>
        <w:rPr>
          <w:rFonts w:eastAsia="仿宋_GB2312"/>
          <w:sz w:val="32"/>
          <w:szCs w:val="32"/>
        </w:rPr>
        <w:t>米易县城市管理局是承担城市管理的县政府直属参公管理事业单位，2006年4月成立，2009年确定为参公管理事业单位，核定编制数27名（含工勤人员1名）。</w:t>
      </w:r>
    </w:p>
    <w:bookmarkEnd w:id="5"/>
    <w:bookmarkEnd w:id="6"/>
    <w:p w14:paraId="2AE5E48D">
      <w:pPr>
        <w:spacing w:line="560" w:lineRule="exact"/>
        <w:ind w:firstLine="640" w:firstLineChars="200"/>
        <w:rPr>
          <w:rFonts w:eastAsia="仿宋_GB2312"/>
          <w:sz w:val="32"/>
          <w:szCs w:val="32"/>
        </w:rPr>
      </w:pPr>
      <w:bookmarkStart w:id="7" w:name="_Toc15377199"/>
      <w:bookmarkStart w:id="8" w:name="_Toc15378446"/>
      <w:r>
        <w:rPr>
          <w:rFonts w:eastAsia="仿宋_GB2312"/>
          <w:color w:val="000000"/>
          <w:sz w:val="32"/>
          <w:szCs w:val="32"/>
        </w:rPr>
        <w:t>（二）2018年重点工作完成情况。</w:t>
      </w:r>
      <w:bookmarkEnd w:id="7"/>
      <w:bookmarkEnd w:id="8"/>
      <w:r>
        <w:rPr>
          <w:rFonts w:eastAsia="仿宋_GB2312"/>
          <w:sz w:val="32"/>
          <w:szCs w:val="32"/>
        </w:rPr>
        <w:t>完成固定资产投资1.39亿元，生活垃圾无害化处理率达100%，密闭清运率达100%，垃圾日处理量107吨，城区道路机械化清扫程度达90%以上，城市生活污水集中处理率达到86.3%，路灯亮化率达98%，市政设施完好率达97%。</w:t>
      </w:r>
    </w:p>
    <w:p w14:paraId="648DD363">
      <w:pPr>
        <w:spacing w:line="560" w:lineRule="exact"/>
        <w:ind w:firstLine="640" w:firstLineChars="200"/>
        <w:rPr>
          <w:rFonts w:eastAsia="仿宋_GB2312"/>
          <w:sz w:val="32"/>
          <w:szCs w:val="32"/>
        </w:rPr>
      </w:pPr>
      <w:r>
        <w:rPr>
          <w:rFonts w:eastAsia="仿宋_GB2312"/>
          <w:sz w:val="32"/>
          <w:szCs w:val="32"/>
        </w:rPr>
        <w:t>完成睿龙花园西侧边坡治理、亮化三期工程、公共自行车第二轮运行维护采购项目、龙桥维护项目、交通岛改造等重点项目和领导交办事项，按计划实施全市污水处理PPP项目、旅游公厕建设项目、宜居城市建设项目、垃圾中转站建设项目、米易县生活垃圾填埋场封场项目、居民生活垃圾处理场建设项目、2018旧城区合流制雨污管网改造项目等。</w:t>
      </w:r>
    </w:p>
    <w:p w14:paraId="25473A4F">
      <w:pPr>
        <w:pStyle w:val="3"/>
        <w:spacing w:before="0" w:after="0" w:line="560" w:lineRule="exact"/>
        <w:ind w:firstLine="640" w:firstLineChars="200"/>
        <w:rPr>
          <w:rStyle w:val="19"/>
          <w:rFonts w:ascii="Times New Roman" w:hAnsi="Times New Roman" w:eastAsia="黑体" w:cs="Times New Roman"/>
          <w:b w:val="0"/>
          <w:bCs w:val="0"/>
        </w:rPr>
      </w:pPr>
      <w:bookmarkStart w:id="9" w:name="_Toc15377200"/>
      <w:bookmarkStart w:id="10" w:name="_Toc15396601"/>
      <w:r>
        <w:rPr>
          <w:rFonts w:ascii="Times New Roman" w:hAnsi="Times New Roman" w:eastAsia="黑体" w:cs="Times New Roman"/>
          <w:b w:val="0"/>
          <w:bCs w:val="0"/>
          <w:color w:val="000000"/>
        </w:rPr>
        <w:t>二、机</w:t>
      </w:r>
      <w:r>
        <w:rPr>
          <w:rStyle w:val="19"/>
          <w:rFonts w:ascii="Times New Roman" w:hAnsi="Times New Roman" w:eastAsia="黑体" w:cs="Times New Roman"/>
          <w:b w:val="0"/>
          <w:bCs w:val="0"/>
        </w:rPr>
        <w:t>构设置</w:t>
      </w:r>
      <w:bookmarkEnd w:id="9"/>
      <w:bookmarkEnd w:id="10"/>
    </w:p>
    <w:p w14:paraId="5657510B">
      <w:pPr>
        <w:spacing w:line="560" w:lineRule="exact"/>
        <w:ind w:firstLine="640" w:firstLineChars="200"/>
        <w:rPr>
          <w:rFonts w:eastAsia="仿宋_GB2312"/>
          <w:sz w:val="32"/>
          <w:szCs w:val="32"/>
        </w:rPr>
      </w:pPr>
      <w:r>
        <w:rPr>
          <w:rFonts w:eastAsia="仿宋_GB2312"/>
          <w:sz w:val="32"/>
          <w:szCs w:val="32"/>
        </w:rPr>
        <w:t>米易县城市管理局无下属二级单位，内设办公室、城市监察股、环卫股、绿化股、市政设施维护管理股五个职能股室。</w:t>
      </w:r>
    </w:p>
    <w:p w14:paraId="2567F209">
      <w:pPr>
        <w:spacing w:line="560" w:lineRule="exact"/>
        <w:ind w:firstLine="640" w:firstLineChars="200"/>
        <w:rPr>
          <w:rFonts w:eastAsia="仿宋_GB2312"/>
          <w:sz w:val="32"/>
          <w:szCs w:val="32"/>
        </w:rPr>
      </w:pPr>
    </w:p>
    <w:p w14:paraId="6CD883D8">
      <w:pPr>
        <w:pStyle w:val="2"/>
        <w:ind w:right="880"/>
        <w:jc w:val="right"/>
        <w:rPr>
          <w:rStyle w:val="18"/>
          <w:rFonts w:eastAsia="黑体"/>
          <w:b w:val="0"/>
          <w:bCs w:val="0"/>
        </w:rPr>
      </w:pPr>
      <w:bookmarkStart w:id="11" w:name="_Toc15377204"/>
      <w:bookmarkStart w:id="12" w:name="_Toc15396602"/>
      <w:r>
        <w:rPr>
          <w:rFonts w:eastAsia="黑体"/>
          <w:b w:val="0"/>
          <w:bCs w:val="0"/>
          <w:color w:val="000000"/>
        </w:rPr>
        <w:t>第二部分</w:t>
      </w:r>
      <w:r>
        <w:rPr>
          <w:rFonts w:eastAsia="黑体"/>
          <w:color w:val="000000"/>
        </w:rPr>
        <w:t xml:space="preserve"> </w:t>
      </w:r>
      <w:r>
        <w:rPr>
          <w:rStyle w:val="18"/>
          <w:rFonts w:eastAsia="黑体"/>
          <w:b w:val="0"/>
          <w:bCs w:val="0"/>
        </w:rPr>
        <w:t>2018年度部门决算情况说明</w:t>
      </w:r>
      <w:bookmarkEnd w:id="11"/>
      <w:bookmarkEnd w:id="12"/>
    </w:p>
    <w:p w14:paraId="4436754E">
      <w:pPr>
        <w:rPr>
          <w:sz w:val="44"/>
          <w:szCs w:val="44"/>
        </w:rPr>
      </w:pPr>
    </w:p>
    <w:p w14:paraId="2C46AE9A">
      <w:pPr>
        <w:pStyle w:val="28"/>
        <w:spacing w:line="600" w:lineRule="exact"/>
        <w:ind w:firstLine="640"/>
        <w:outlineLvl w:val="1"/>
        <w:rPr>
          <w:rStyle w:val="19"/>
          <w:rFonts w:ascii="Times New Roman" w:hAnsi="Times New Roman" w:eastAsia="黑体" w:cs="Times New Roman"/>
          <w:b w:val="0"/>
          <w:bCs w:val="0"/>
        </w:rPr>
      </w:pPr>
      <w:bookmarkStart w:id="13" w:name="_Toc15377205"/>
      <w:bookmarkStart w:id="14" w:name="_Toc15396603"/>
      <w:r>
        <w:rPr>
          <w:rFonts w:eastAsia="黑体"/>
          <w:color w:val="000000"/>
          <w:sz w:val="32"/>
          <w:szCs w:val="32"/>
        </w:rPr>
        <w:t>一、收</w:t>
      </w:r>
      <w:r>
        <w:rPr>
          <w:rStyle w:val="19"/>
          <w:rFonts w:ascii="Times New Roman" w:hAnsi="Times New Roman" w:eastAsia="黑体" w:cs="Times New Roman"/>
          <w:b w:val="0"/>
          <w:bCs w:val="0"/>
        </w:rPr>
        <w:t>入支出决算总体情况说明</w:t>
      </w:r>
      <w:bookmarkEnd w:id="13"/>
      <w:bookmarkEnd w:id="14"/>
    </w:p>
    <w:p w14:paraId="3C680BCE">
      <w:pPr>
        <w:snapToGrid w:val="0"/>
        <w:spacing w:line="520" w:lineRule="exact"/>
        <w:ind w:firstLine="640" w:firstLineChars="200"/>
        <w:rPr>
          <w:rFonts w:eastAsia="仿宋_GB2312"/>
          <w:sz w:val="32"/>
          <w:szCs w:val="32"/>
        </w:rPr>
      </w:pPr>
    </w:p>
    <w:p w14:paraId="2704DD2B">
      <w:pPr>
        <w:snapToGrid w:val="0"/>
        <w:spacing w:line="560" w:lineRule="exact"/>
        <w:ind w:firstLine="640" w:firstLineChars="200"/>
        <w:rPr>
          <w:rFonts w:eastAsia="仿宋_GB2312"/>
          <w:sz w:val="32"/>
          <w:szCs w:val="32"/>
        </w:rPr>
      </w:pPr>
      <w:r>
        <w:rPr>
          <w:rFonts w:eastAsia="仿宋_GB2312"/>
          <w:sz w:val="32"/>
          <w:szCs w:val="32"/>
        </w:rPr>
        <w:t>2018年收入决算总额10596.00万元，比2017年4821.06万元增加5774.94万元，增长119.79%，主要原因是原由财政直接支付的工程项目款本年全部由财政下达我局支付，支出总额6408.30万元，比2017年4761.06万元增加1647.24元，增长34.60%，原因同上。</w:t>
      </w:r>
    </w:p>
    <w:p w14:paraId="66BB70EB">
      <w:pPr>
        <w:spacing w:line="600" w:lineRule="exact"/>
        <w:rPr>
          <w:rFonts w:eastAsia="仿宋"/>
          <w:color w:val="000000"/>
          <w:sz w:val="32"/>
          <w:szCs w:val="32"/>
        </w:rPr>
      </w:pPr>
      <w:r>
        <w:rPr>
          <w:rFonts w:eastAsia="仿宋"/>
          <w:color w:val="000000"/>
          <w:sz w:val="32"/>
          <w:szCs w:val="32"/>
        </w:rPr>
        <w:t>（图1：收、支决算总计变动情况图）（柱状图）</w:t>
      </w:r>
    </w:p>
    <w:p w14:paraId="17395E94">
      <w:pPr>
        <w:spacing w:line="600" w:lineRule="exact"/>
        <w:rPr>
          <w:rFonts w:eastAsia="仿宋"/>
          <w:color w:val="000000"/>
          <w:sz w:val="32"/>
          <w:szCs w:val="32"/>
        </w:rPr>
      </w:pPr>
    </w:p>
    <w:p w14:paraId="0C9948D5">
      <w:pPr>
        <w:spacing w:line="1740" w:lineRule="auto"/>
        <w:jc w:val="left"/>
        <w:rPr>
          <w:rFonts w:eastAsia="仿宋_GB2312"/>
          <w:color w:val="000000"/>
          <w:sz w:val="44"/>
          <w:szCs w:val="44"/>
        </w:rPr>
      </w:pPr>
      <w:r>
        <w:rPr>
          <w:rFonts w:eastAsia="仿宋_GB2312"/>
          <w:color w:val="000000"/>
          <w:sz w:val="44"/>
          <w:szCs w:val="44"/>
        </w:rPr>
        <w:drawing>
          <wp:inline distT="0" distB="0" distL="0" distR="0">
            <wp:extent cx="4250055" cy="2683510"/>
            <wp:effectExtent l="0" t="0" r="17145" b="215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6BFA836">
      <w:pPr>
        <w:spacing w:line="1740" w:lineRule="auto"/>
        <w:jc w:val="left"/>
        <w:rPr>
          <w:rFonts w:eastAsia="仿宋_GB2312"/>
          <w:color w:val="000000"/>
          <w:sz w:val="44"/>
          <w:szCs w:val="44"/>
        </w:rPr>
      </w:pPr>
    </w:p>
    <w:p w14:paraId="08585DB3">
      <w:pPr>
        <w:spacing w:line="600" w:lineRule="exact"/>
        <w:outlineLvl w:val="1"/>
        <w:rPr>
          <w:rFonts w:eastAsia="黑体"/>
          <w:color w:val="000000"/>
          <w:sz w:val="44"/>
          <w:szCs w:val="44"/>
        </w:rPr>
      </w:pPr>
      <w:bookmarkStart w:id="15" w:name="_Toc15396604"/>
      <w:bookmarkStart w:id="16" w:name="_Toc15377206"/>
    </w:p>
    <w:p w14:paraId="7433F44C">
      <w:pPr>
        <w:pStyle w:val="28"/>
        <w:spacing w:line="600" w:lineRule="exact"/>
        <w:ind w:firstLine="640"/>
        <w:outlineLvl w:val="1"/>
        <w:rPr>
          <w:rFonts w:eastAsia="黑体"/>
          <w:color w:val="000000"/>
          <w:sz w:val="32"/>
          <w:szCs w:val="32"/>
        </w:rPr>
      </w:pPr>
      <w:r>
        <w:rPr>
          <w:rFonts w:eastAsia="黑体"/>
          <w:color w:val="000000"/>
          <w:sz w:val="32"/>
          <w:szCs w:val="32"/>
        </w:rPr>
        <w:t>二、收入决算情况说明</w:t>
      </w:r>
      <w:bookmarkEnd w:id="15"/>
      <w:bookmarkEnd w:id="16"/>
    </w:p>
    <w:p w14:paraId="76C5F1A7">
      <w:pPr>
        <w:pStyle w:val="28"/>
        <w:spacing w:line="560" w:lineRule="exact"/>
        <w:ind w:firstLine="482" w:firstLineChars="150"/>
        <w:rPr>
          <w:rFonts w:eastAsia="仿宋_GB2312"/>
          <w:b/>
          <w:bCs/>
          <w:sz w:val="32"/>
          <w:szCs w:val="32"/>
        </w:rPr>
      </w:pPr>
    </w:p>
    <w:p w14:paraId="4A9E3A84">
      <w:pPr>
        <w:pStyle w:val="28"/>
        <w:spacing w:line="560" w:lineRule="exact"/>
        <w:ind w:firstLine="640"/>
        <w:rPr>
          <w:rFonts w:eastAsia="仿宋_GB2312"/>
          <w:sz w:val="32"/>
          <w:szCs w:val="32"/>
        </w:rPr>
      </w:pPr>
      <w:r>
        <w:rPr>
          <w:rFonts w:eastAsia="仿宋_GB2312"/>
          <w:bCs/>
          <w:sz w:val="32"/>
          <w:szCs w:val="32"/>
        </w:rPr>
        <w:t>2018年收入决算数</w:t>
      </w:r>
      <w:r>
        <w:rPr>
          <w:rFonts w:eastAsia="仿宋_GB2312"/>
          <w:sz w:val="32"/>
          <w:szCs w:val="32"/>
        </w:rPr>
        <w:t>10596.00万元，其中：一般公共预算财政拨款收入5292.01万元，占49.94%，政府性基金预算拨款收入5303.99万元，占50.06%。</w:t>
      </w:r>
    </w:p>
    <w:p w14:paraId="43D4F0C6">
      <w:pPr>
        <w:spacing w:line="600" w:lineRule="exact"/>
        <w:ind w:firstLine="640" w:firstLineChars="200"/>
        <w:rPr>
          <w:rFonts w:eastAsia="仿宋"/>
          <w:color w:val="000000"/>
          <w:sz w:val="32"/>
          <w:szCs w:val="32"/>
        </w:rPr>
      </w:pPr>
    </w:p>
    <w:p w14:paraId="7A8E8535">
      <w:pPr>
        <w:spacing w:line="600" w:lineRule="exact"/>
        <w:ind w:firstLine="640" w:firstLineChars="200"/>
        <w:rPr>
          <w:rFonts w:eastAsia="仿宋"/>
          <w:color w:val="000000"/>
          <w:sz w:val="32"/>
          <w:szCs w:val="32"/>
        </w:rPr>
      </w:pPr>
      <w:r>
        <w:rPr>
          <w:rFonts w:eastAsia="仿宋"/>
          <w:color w:val="000000"/>
          <w:sz w:val="32"/>
          <w:szCs w:val="32"/>
        </w:rPr>
        <w:t>（图2：收入决算结构图）（饼状图）</w:t>
      </w:r>
    </w:p>
    <w:p w14:paraId="34DB9833">
      <w:pPr>
        <w:spacing w:line="1620" w:lineRule="auto"/>
        <w:ind w:firstLine="880" w:firstLineChars="200"/>
        <w:rPr>
          <w:rFonts w:eastAsia="仿宋_GB2312"/>
          <w:color w:val="FF0000"/>
          <w:sz w:val="44"/>
          <w:szCs w:val="44"/>
        </w:rPr>
      </w:pPr>
      <w:r>
        <w:rPr>
          <w:rFonts w:eastAsia="仿宋_GB2312"/>
          <w:color w:val="FF0000"/>
          <w:sz w:val="44"/>
          <w:szCs w:val="44"/>
        </w:rPr>
        <w:drawing>
          <wp:inline distT="0" distB="0" distL="0" distR="0">
            <wp:extent cx="4486910" cy="2768600"/>
            <wp:effectExtent l="0" t="0" r="27940" b="1270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179740">
      <w:pPr>
        <w:pStyle w:val="28"/>
        <w:spacing w:line="600" w:lineRule="exact"/>
        <w:ind w:firstLine="0" w:firstLineChars="0"/>
        <w:outlineLvl w:val="1"/>
        <w:rPr>
          <w:rFonts w:eastAsia="黑体"/>
          <w:color w:val="000000"/>
          <w:sz w:val="44"/>
          <w:szCs w:val="44"/>
        </w:rPr>
      </w:pPr>
      <w:bookmarkStart w:id="17" w:name="_Toc15396605"/>
      <w:bookmarkStart w:id="18" w:name="_Toc15377207"/>
    </w:p>
    <w:p w14:paraId="0339AD41">
      <w:pPr>
        <w:pStyle w:val="28"/>
        <w:spacing w:line="600" w:lineRule="exact"/>
        <w:ind w:firstLine="640"/>
        <w:outlineLvl w:val="1"/>
        <w:rPr>
          <w:rFonts w:eastAsia="黑体"/>
          <w:color w:val="000000"/>
          <w:sz w:val="32"/>
          <w:szCs w:val="32"/>
        </w:rPr>
      </w:pPr>
      <w:r>
        <w:rPr>
          <w:rFonts w:eastAsia="黑体"/>
          <w:color w:val="000000"/>
          <w:sz w:val="32"/>
          <w:szCs w:val="32"/>
        </w:rPr>
        <w:t>三、支出决算情况说明</w:t>
      </w:r>
      <w:bookmarkEnd w:id="17"/>
      <w:bookmarkEnd w:id="18"/>
    </w:p>
    <w:p w14:paraId="6FFB5883">
      <w:pPr>
        <w:snapToGrid w:val="0"/>
        <w:spacing w:line="520" w:lineRule="exact"/>
        <w:ind w:firstLine="640" w:firstLineChars="200"/>
        <w:rPr>
          <w:rFonts w:eastAsia="仿宋_GB2312"/>
          <w:sz w:val="32"/>
          <w:szCs w:val="32"/>
        </w:rPr>
      </w:pPr>
    </w:p>
    <w:p w14:paraId="662F47B5">
      <w:pPr>
        <w:snapToGrid w:val="0"/>
        <w:spacing w:line="560" w:lineRule="exact"/>
        <w:ind w:firstLine="640" w:firstLineChars="200"/>
        <w:rPr>
          <w:rFonts w:eastAsia="仿宋_GB2312"/>
          <w:sz w:val="32"/>
          <w:szCs w:val="32"/>
        </w:rPr>
      </w:pPr>
      <w:r>
        <w:rPr>
          <w:rFonts w:eastAsia="仿宋_GB2312"/>
          <w:sz w:val="32"/>
          <w:szCs w:val="32"/>
        </w:rPr>
        <w:t>2018年支出合计6408.30万元，其中:基本支出2366.64万元,占全部支出的36.93%,项目支出4041.66万元。占全部支出的63.07%。</w:t>
      </w:r>
    </w:p>
    <w:p w14:paraId="469D5423">
      <w:pPr>
        <w:spacing w:line="600" w:lineRule="exact"/>
        <w:ind w:firstLine="640" w:firstLineChars="200"/>
        <w:rPr>
          <w:rFonts w:eastAsia="仿宋_GB2312"/>
          <w:color w:val="000000"/>
          <w:sz w:val="32"/>
          <w:szCs w:val="32"/>
        </w:rPr>
      </w:pPr>
    </w:p>
    <w:p w14:paraId="32A0FDD9">
      <w:pPr>
        <w:spacing w:line="600" w:lineRule="exact"/>
        <w:ind w:firstLine="640" w:firstLineChars="200"/>
        <w:rPr>
          <w:rFonts w:eastAsia="仿宋_GB2312"/>
          <w:color w:val="000000"/>
          <w:sz w:val="32"/>
          <w:szCs w:val="32"/>
        </w:rPr>
      </w:pPr>
      <w:r>
        <w:rPr>
          <w:rFonts w:eastAsia="仿宋_GB2312"/>
          <w:color w:val="000000"/>
          <w:sz w:val="32"/>
          <w:szCs w:val="32"/>
        </w:rPr>
        <w:t>（图3：支出决算结构图）（饼状图）</w:t>
      </w:r>
    </w:p>
    <w:p w14:paraId="142CDEF5">
      <w:pPr>
        <w:tabs>
          <w:tab w:val="left" w:pos="4093"/>
        </w:tabs>
        <w:spacing w:line="720" w:lineRule="auto"/>
        <w:ind w:firstLine="640" w:firstLineChars="200"/>
        <w:rPr>
          <w:rFonts w:eastAsia="仿宋_GB2312"/>
          <w:color w:val="000000"/>
          <w:sz w:val="32"/>
          <w:szCs w:val="32"/>
        </w:rPr>
      </w:pPr>
      <w:r>
        <w:rPr>
          <w:rFonts w:eastAsia="仿宋_GB2312"/>
          <w:color w:val="000000"/>
          <w:sz w:val="32"/>
          <w:szCs w:val="32"/>
        </w:rPr>
        <w:drawing>
          <wp:inline distT="0" distB="0" distL="0" distR="0">
            <wp:extent cx="3686175" cy="2190750"/>
            <wp:effectExtent l="0" t="0" r="9525" b="1905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117143">
      <w:pPr>
        <w:pStyle w:val="28"/>
        <w:spacing w:line="560" w:lineRule="exact"/>
        <w:ind w:firstLine="640"/>
        <w:outlineLvl w:val="1"/>
        <w:rPr>
          <w:rStyle w:val="19"/>
          <w:rFonts w:ascii="Times New Roman" w:hAnsi="Times New Roman" w:eastAsia="黑体" w:cs="Times New Roman"/>
          <w:b w:val="0"/>
          <w:bCs w:val="0"/>
        </w:rPr>
      </w:pPr>
      <w:bookmarkStart w:id="19" w:name="_Toc15396606"/>
      <w:bookmarkStart w:id="20" w:name="_Toc15377208"/>
      <w:r>
        <w:rPr>
          <w:rFonts w:eastAsia="黑体"/>
          <w:color w:val="000000"/>
          <w:sz w:val="32"/>
          <w:szCs w:val="32"/>
        </w:rPr>
        <w:t>四、财</w:t>
      </w:r>
      <w:r>
        <w:rPr>
          <w:rStyle w:val="19"/>
          <w:rFonts w:ascii="Times New Roman" w:hAnsi="Times New Roman" w:eastAsia="黑体" w:cs="Times New Roman"/>
          <w:b w:val="0"/>
          <w:bCs w:val="0"/>
        </w:rPr>
        <w:t>政拨款收入支出决算总体情况说明</w:t>
      </w:r>
      <w:bookmarkEnd w:id="19"/>
      <w:bookmarkEnd w:id="20"/>
    </w:p>
    <w:p w14:paraId="5B4BDCA2">
      <w:pPr>
        <w:snapToGrid w:val="0"/>
        <w:spacing w:line="560" w:lineRule="exact"/>
        <w:ind w:firstLine="640" w:firstLineChars="200"/>
        <w:rPr>
          <w:rStyle w:val="19"/>
          <w:rFonts w:ascii="Times New Roman" w:hAnsi="Times New Roman" w:eastAsia="楷体_GB2312" w:cs="Times New Roman"/>
          <w:b w:val="0"/>
          <w:bCs w:val="0"/>
        </w:rPr>
      </w:pPr>
      <w:r>
        <w:rPr>
          <w:rFonts w:eastAsia="仿宋_GB2312"/>
          <w:sz w:val="32"/>
          <w:szCs w:val="32"/>
        </w:rPr>
        <w:t>2018年财政拨款收入决算总</w:t>
      </w:r>
      <w:r>
        <w:rPr>
          <w:rFonts w:eastAsia="楷体_GB2312"/>
          <w:sz w:val="32"/>
          <w:szCs w:val="32"/>
        </w:rPr>
        <w:t>额10596万元，比2017年4821.06万元增加5774.94万元，增长119.79%，主要原因是原由财政直接支付的工程项目款全部由财政下达我局支付，支出总数6408.30万元，比2017年4761.06万元增加1647.24万元，增长34.6%，原因同上。</w:t>
      </w:r>
    </w:p>
    <w:p w14:paraId="1E809AB1">
      <w:pPr>
        <w:spacing w:line="600" w:lineRule="exact"/>
        <w:ind w:firstLine="640" w:firstLineChars="200"/>
        <w:rPr>
          <w:rFonts w:eastAsia="仿宋"/>
          <w:color w:val="000000"/>
          <w:sz w:val="32"/>
          <w:szCs w:val="32"/>
        </w:rPr>
      </w:pPr>
      <w:r>
        <w:rPr>
          <w:rFonts w:eastAsia="仿宋"/>
          <w:color w:val="000000"/>
          <w:sz w:val="32"/>
          <w:szCs w:val="32"/>
        </w:rPr>
        <w:t>（图4：财政拨款收、支决算总计变动情况）（柱状图）</w:t>
      </w:r>
      <w:bookmarkStart w:id="21" w:name="_Toc15396607"/>
      <w:bookmarkStart w:id="22" w:name="_Toc15377209"/>
    </w:p>
    <w:p w14:paraId="7A295834">
      <w:pPr>
        <w:spacing w:line="600" w:lineRule="exact"/>
        <w:ind w:firstLine="640" w:firstLineChars="200"/>
        <w:rPr>
          <w:rFonts w:eastAsia="仿宋"/>
          <w:color w:val="000000"/>
          <w:sz w:val="32"/>
          <w:szCs w:val="32"/>
        </w:rPr>
      </w:pPr>
    </w:p>
    <w:p w14:paraId="309868CA">
      <w:pPr>
        <w:spacing w:line="600" w:lineRule="exact"/>
        <w:ind w:firstLine="640" w:firstLineChars="200"/>
        <w:rPr>
          <w:rFonts w:eastAsia="仿宋"/>
          <w:color w:val="000000"/>
          <w:sz w:val="32"/>
          <w:szCs w:val="32"/>
        </w:rPr>
      </w:pPr>
    </w:p>
    <w:p w14:paraId="6B0F399D">
      <w:pPr>
        <w:spacing w:line="600" w:lineRule="exact"/>
        <w:ind w:firstLine="640" w:firstLineChars="200"/>
        <w:rPr>
          <w:rFonts w:eastAsia="仿宋"/>
          <w:color w:val="000000"/>
          <w:sz w:val="32"/>
          <w:szCs w:val="32"/>
        </w:rPr>
      </w:pPr>
    </w:p>
    <w:p w14:paraId="0FB785C8">
      <w:pPr>
        <w:spacing w:line="600" w:lineRule="exact"/>
        <w:ind w:firstLine="640" w:firstLineChars="200"/>
        <w:rPr>
          <w:rFonts w:eastAsia="仿宋"/>
          <w:color w:val="000000"/>
          <w:sz w:val="32"/>
          <w:szCs w:val="32"/>
        </w:rPr>
      </w:pPr>
    </w:p>
    <w:p w14:paraId="14F405B1">
      <w:pPr>
        <w:spacing w:line="600" w:lineRule="exact"/>
        <w:ind w:firstLine="640" w:firstLineChars="200"/>
        <w:rPr>
          <w:rFonts w:eastAsia="仿宋"/>
          <w:color w:val="000000"/>
          <w:sz w:val="32"/>
          <w:szCs w:val="32"/>
        </w:rPr>
      </w:pPr>
    </w:p>
    <w:p w14:paraId="22B95471">
      <w:pPr>
        <w:spacing w:line="600" w:lineRule="exact"/>
        <w:ind w:firstLine="640" w:firstLineChars="200"/>
        <w:rPr>
          <w:rFonts w:eastAsia="仿宋"/>
          <w:color w:val="000000"/>
          <w:sz w:val="32"/>
          <w:szCs w:val="32"/>
        </w:rPr>
      </w:pPr>
    </w:p>
    <w:p w14:paraId="01ECF37A">
      <w:pPr>
        <w:spacing w:line="600" w:lineRule="exact"/>
        <w:rPr>
          <w:rFonts w:eastAsia="仿宋"/>
          <w:color w:val="000000"/>
          <w:sz w:val="32"/>
          <w:szCs w:val="32"/>
        </w:rPr>
      </w:pPr>
    </w:p>
    <w:p w14:paraId="47BF2E92">
      <w:pPr>
        <w:spacing w:line="600" w:lineRule="exact"/>
        <w:rPr>
          <w:rFonts w:eastAsia="仿宋"/>
          <w:color w:val="000000"/>
          <w:sz w:val="32"/>
          <w:szCs w:val="32"/>
        </w:rPr>
      </w:pPr>
    </w:p>
    <w:p w14:paraId="76FEC8E9">
      <w:pPr>
        <w:spacing w:before="3744" w:beforeLines="1200" w:line="600" w:lineRule="exact"/>
        <w:ind w:firstLine="640" w:firstLineChars="200"/>
        <w:rPr>
          <w:rFonts w:eastAsia="黑体"/>
          <w:color w:val="000000"/>
          <w:sz w:val="44"/>
          <w:szCs w:val="44"/>
        </w:rPr>
      </w:pPr>
      <w:r>
        <w:rPr>
          <w:rFonts w:eastAsia="仿宋"/>
          <w:color w:val="000000"/>
          <w:sz w:val="32"/>
          <w:szCs w:val="32"/>
        </w:rPr>
        <w:drawing>
          <wp:inline distT="0" distB="0" distL="0" distR="0">
            <wp:extent cx="4010025" cy="2914650"/>
            <wp:effectExtent l="0" t="0" r="9525"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5179B3">
      <w:pPr>
        <w:spacing w:line="480" w:lineRule="exact"/>
        <w:ind w:firstLine="640" w:firstLineChars="200"/>
        <w:outlineLvl w:val="1"/>
        <w:rPr>
          <w:rFonts w:eastAsia="仿宋"/>
          <w:b/>
          <w:bCs/>
          <w:color w:val="000000"/>
          <w:sz w:val="32"/>
          <w:szCs w:val="32"/>
        </w:rPr>
      </w:pPr>
      <w:r>
        <w:rPr>
          <w:rFonts w:eastAsia="黑体"/>
          <w:color w:val="000000"/>
          <w:sz w:val="32"/>
          <w:szCs w:val="32"/>
        </w:rPr>
        <w:t>五、</w:t>
      </w:r>
      <w:r>
        <w:rPr>
          <w:rFonts w:eastAsia="黑体"/>
          <w:b/>
          <w:bCs/>
          <w:color w:val="000000"/>
          <w:sz w:val="32"/>
          <w:szCs w:val="32"/>
        </w:rPr>
        <w:t>一</w:t>
      </w:r>
      <w:r>
        <w:rPr>
          <w:rStyle w:val="19"/>
          <w:rFonts w:ascii="Times New Roman" w:hAnsi="Times New Roman" w:eastAsia="黑体" w:cs="Times New Roman"/>
          <w:b w:val="0"/>
          <w:bCs w:val="0"/>
        </w:rPr>
        <w:t>般公共预算财政拨款支出决算情况说明</w:t>
      </w:r>
      <w:bookmarkEnd w:id="21"/>
      <w:bookmarkEnd w:id="22"/>
      <w:bookmarkStart w:id="23" w:name="_Toc15377210"/>
    </w:p>
    <w:p w14:paraId="282EAF1F">
      <w:pPr>
        <w:spacing w:line="480" w:lineRule="exact"/>
        <w:ind w:firstLine="643" w:firstLineChars="200"/>
        <w:outlineLvl w:val="2"/>
        <w:rPr>
          <w:rFonts w:eastAsia="仿宋"/>
          <w:color w:val="000000"/>
          <w:sz w:val="32"/>
          <w:szCs w:val="32"/>
        </w:rPr>
      </w:pPr>
      <w:r>
        <w:rPr>
          <w:rFonts w:eastAsia="仿宋"/>
          <w:b/>
          <w:bCs/>
          <w:color w:val="000000"/>
          <w:sz w:val="32"/>
          <w:szCs w:val="32"/>
        </w:rPr>
        <w:t>（一）一般公共预算财政拨款支出决算总体情况</w:t>
      </w:r>
      <w:bookmarkEnd w:id="23"/>
    </w:p>
    <w:p w14:paraId="36952188">
      <w:pPr>
        <w:spacing w:line="480" w:lineRule="exact"/>
        <w:ind w:firstLine="640" w:firstLineChars="200"/>
        <w:rPr>
          <w:rFonts w:eastAsia="仿宋_GB2312"/>
          <w:color w:val="000000"/>
          <w:sz w:val="32"/>
          <w:szCs w:val="32"/>
        </w:rPr>
      </w:pPr>
      <w:r>
        <w:rPr>
          <w:rFonts w:eastAsia="仿宋_GB2312"/>
          <w:color w:val="000000"/>
          <w:sz w:val="32"/>
          <w:szCs w:val="32"/>
        </w:rPr>
        <w:t>2018年一般公共预算财政拨款支出</w:t>
      </w:r>
      <w:r>
        <w:rPr>
          <w:rFonts w:eastAsia="仿宋_GB2312"/>
          <w:sz w:val="32"/>
          <w:szCs w:val="32"/>
        </w:rPr>
        <w:t>1048.30</w:t>
      </w:r>
      <w:r>
        <w:rPr>
          <w:rFonts w:eastAsia="仿宋_GB2312"/>
          <w:color w:val="000000"/>
          <w:sz w:val="32"/>
          <w:szCs w:val="32"/>
        </w:rPr>
        <w:t>万元，占本年支出合计的16.36%。与2017年978.03万元相比增加70.27万元，增长7.18%。其中：社会保障和就业支出增加20.75万元，增长2.12%，主要原因是退休人员经费比上年增加9.13万元，一名职工死亡增加抚恤费7.07万元及因保险基数变动致使基本养老保险及职业年金缴费上升4.55万元所致；城乡社区支出增加41.29万元，增长4.22%，主要原因是其他城乡社区公共设施支出（主要为绿化改造等零星工程项目）增加636.16万元，行政运行经费增加31.45万元，而一般行政管理事务及城乡社区环境卫生因调整账务等原因比上年减少626.32万元，住房保障支出（主要是住房公积金）因基数调整及人员变动等原因增加8.23万元，增长0.84%。</w:t>
      </w:r>
    </w:p>
    <w:p w14:paraId="4818014D">
      <w:pPr>
        <w:spacing w:line="480" w:lineRule="exact"/>
        <w:ind w:firstLine="640" w:firstLineChars="200"/>
        <w:rPr>
          <w:rFonts w:eastAsia="仿宋"/>
          <w:color w:val="000000"/>
          <w:sz w:val="32"/>
          <w:szCs w:val="32"/>
        </w:rPr>
      </w:pPr>
    </w:p>
    <w:p w14:paraId="71BF48D8">
      <w:pPr>
        <w:spacing w:line="480" w:lineRule="exact"/>
        <w:ind w:firstLine="640" w:firstLineChars="200"/>
        <w:rPr>
          <w:rFonts w:eastAsia="仿宋"/>
          <w:color w:val="000000"/>
          <w:sz w:val="32"/>
          <w:szCs w:val="32"/>
        </w:rPr>
      </w:pPr>
      <w:r>
        <w:rPr>
          <w:rFonts w:eastAsia="仿宋"/>
          <w:color w:val="000000"/>
          <w:sz w:val="32"/>
          <w:szCs w:val="32"/>
        </w:rPr>
        <w:t>（图5：一般公共预算财政拨款支出决算变动情况）（柱状图）</w:t>
      </w:r>
    </w:p>
    <w:p w14:paraId="40DDFE95">
      <w:pPr>
        <w:spacing w:before="1872" w:beforeLines="600" w:line="600" w:lineRule="exact"/>
        <w:rPr>
          <w:rFonts w:eastAsia="仿宋"/>
          <w:color w:val="000000"/>
          <w:sz w:val="32"/>
          <w:szCs w:val="32"/>
        </w:rPr>
      </w:pPr>
    </w:p>
    <w:p w14:paraId="5AE9201E">
      <w:pPr>
        <w:spacing w:before="1872" w:beforeLines="600" w:line="600" w:lineRule="exact"/>
        <w:rPr>
          <w:rFonts w:eastAsia="仿宋"/>
          <w:color w:val="000000"/>
          <w:sz w:val="32"/>
          <w:szCs w:val="32"/>
        </w:rPr>
      </w:pPr>
    </w:p>
    <w:p w14:paraId="74B9AA29">
      <w:pPr>
        <w:spacing w:before="4056" w:beforeLines="1300" w:line="600" w:lineRule="exact"/>
        <w:ind w:firstLine="640" w:firstLineChars="200"/>
        <w:rPr>
          <w:rFonts w:eastAsia="仿宋"/>
          <w:color w:val="000000"/>
          <w:sz w:val="32"/>
          <w:szCs w:val="32"/>
        </w:rPr>
      </w:pPr>
      <w:r>
        <w:rPr>
          <w:rFonts w:eastAsia="仿宋"/>
          <w:color w:val="000000"/>
          <w:sz w:val="32"/>
          <w:szCs w:val="32"/>
        </w:rPr>
        <w:drawing>
          <wp:inline distT="0" distB="0" distL="0" distR="0">
            <wp:extent cx="4686300" cy="3143250"/>
            <wp:effectExtent l="0" t="0" r="1905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24" w:name="_Toc15377211"/>
    </w:p>
    <w:p w14:paraId="0E2E6B9F">
      <w:pPr>
        <w:spacing w:line="560" w:lineRule="exact"/>
        <w:ind w:firstLine="643" w:firstLineChars="200"/>
        <w:outlineLvl w:val="2"/>
        <w:rPr>
          <w:rFonts w:eastAsia="仿宋"/>
          <w:b/>
          <w:bCs/>
          <w:color w:val="000000"/>
          <w:sz w:val="32"/>
          <w:szCs w:val="32"/>
        </w:rPr>
      </w:pPr>
      <w:r>
        <w:rPr>
          <w:rFonts w:eastAsia="仿宋"/>
          <w:b/>
          <w:bCs/>
          <w:color w:val="000000"/>
          <w:sz w:val="32"/>
          <w:szCs w:val="32"/>
        </w:rPr>
        <w:t>（二）一般公共预算财政拨款支出决算结构情况</w:t>
      </w:r>
      <w:bookmarkEnd w:id="24"/>
    </w:p>
    <w:p w14:paraId="33453D10">
      <w:pPr>
        <w:spacing w:line="560" w:lineRule="exact"/>
        <w:ind w:firstLine="640" w:firstLineChars="200"/>
        <w:rPr>
          <w:rFonts w:eastAsia="仿宋"/>
          <w:color w:val="000000"/>
          <w:sz w:val="32"/>
          <w:szCs w:val="32"/>
        </w:rPr>
      </w:pPr>
      <w:r>
        <w:rPr>
          <w:rFonts w:eastAsia="仿宋"/>
          <w:color w:val="000000"/>
          <w:sz w:val="32"/>
          <w:szCs w:val="32"/>
        </w:rPr>
        <w:t>2018年一般公共预算财政拨款支出1048.30万元，主要用于以下方面:社会保障和就业（类）支出45.30万元，占4.32%；住房保障支出28.09万元，占2.68%，城乡社区支出974.91万元，占93.00%。</w:t>
      </w:r>
    </w:p>
    <w:p w14:paraId="6CC92F0C">
      <w:pPr>
        <w:spacing w:line="560" w:lineRule="exact"/>
        <w:ind w:firstLine="640" w:firstLineChars="200"/>
        <w:rPr>
          <w:rFonts w:eastAsia="仿宋"/>
          <w:color w:val="000000"/>
          <w:sz w:val="32"/>
          <w:szCs w:val="32"/>
        </w:rPr>
      </w:pPr>
      <w:r>
        <w:rPr>
          <w:rFonts w:eastAsia="仿宋"/>
          <w:color w:val="000000"/>
          <w:sz w:val="32"/>
          <w:szCs w:val="32"/>
        </w:rPr>
        <w:t>（图6：一般公共预算财政拨款支出决算结构）（饼状图）</w:t>
      </w:r>
      <w:bookmarkStart w:id="25" w:name="_Toc15377212"/>
    </w:p>
    <w:p w14:paraId="609D6A50">
      <w:pPr>
        <w:spacing w:line="560" w:lineRule="exact"/>
        <w:ind w:firstLine="640" w:firstLineChars="200"/>
        <w:rPr>
          <w:rFonts w:eastAsia="仿宋"/>
          <w:color w:val="000000"/>
          <w:sz w:val="32"/>
          <w:szCs w:val="32"/>
        </w:rPr>
      </w:pPr>
    </w:p>
    <w:p w14:paraId="06291124">
      <w:pPr>
        <w:spacing w:line="560" w:lineRule="exact"/>
        <w:ind w:firstLine="640" w:firstLineChars="200"/>
        <w:rPr>
          <w:rFonts w:eastAsia="仿宋"/>
          <w:color w:val="000000"/>
          <w:sz w:val="32"/>
          <w:szCs w:val="32"/>
        </w:rPr>
      </w:pPr>
    </w:p>
    <w:p w14:paraId="3277E408">
      <w:pPr>
        <w:spacing w:line="560" w:lineRule="exact"/>
        <w:ind w:firstLine="640" w:firstLineChars="200"/>
        <w:rPr>
          <w:rFonts w:eastAsia="仿宋"/>
          <w:color w:val="000000"/>
          <w:sz w:val="32"/>
          <w:szCs w:val="32"/>
        </w:rPr>
      </w:pPr>
    </w:p>
    <w:p w14:paraId="51B06519">
      <w:pPr>
        <w:spacing w:line="560" w:lineRule="exact"/>
        <w:ind w:firstLine="640" w:firstLineChars="200"/>
        <w:rPr>
          <w:rFonts w:eastAsia="仿宋"/>
          <w:color w:val="000000"/>
          <w:sz w:val="32"/>
          <w:szCs w:val="32"/>
        </w:rPr>
      </w:pPr>
    </w:p>
    <w:p w14:paraId="4114005A">
      <w:pPr>
        <w:spacing w:before="2964" w:beforeLines="950" w:line="600" w:lineRule="exact"/>
        <w:rPr>
          <w:rFonts w:eastAsia="仿宋"/>
          <w:color w:val="000000"/>
          <w:sz w:val="32"/>
          <w:szCs w:val="32"/>
        </w:rPr>
      </w:pPr>
      <w:r>
        <w:rPr>
          <w:rFonts w:eastAsia="仿宋"/>
          <w:color w:val="000000"/>
          <w:sz w:val="32"/>
          <w:szCs w:val="32"/>
        </w:rPr>
        <w:drawing>
          <wp:inline distT="0" distB="0" distL="0" distR="0">
            <wp:extent cx="5572125" cy="2143125"/>
            <wp:effectExtent l="0" t="0" r="9525" b="95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925BC6">
      <w:pPr>
        <w:spacing w:line="560" w:lineRule="exact"/>
        <w:ind w:firstLine="643" w:firstLineChars="200"/>
        <w:outlineLvl w:val="2"/>
        <w:rPr>
          <w:rFonts w:eastAsia="仿宋"/>
          <w:b/>
          <w:bCs/>
          <w:color w:val="000000"/>
          <w:sz w:val="32"/>
          <w:szCs w:val="32"/>
        </w:rPr>
      </w:pPr>
      <w:r>
        <w:rPr>
          <w:rFonts w:eastAsia="仿宋"/>
          <w:b/>
          <w:bCs/>
          <w:color w:val="000000"/>
          <w:sz w:val="32"/>
          <w:szCs w:val="32"/>
        </w:rPr>
        <w:t>（三）一般公共预算财政拨款支出决算具体情况</w:t>
      </w:r>
      <w:bookmarkEnd w:id="25"/>
    </w:p>
    <w:p w14:paraId="62D69043">
      <w:pPr>
        <w:spacing w:line="560" w:lineRule="exact"/>
        <w:ind w:firstLine="640" w:firstLineChars="200"/>
        <w:outlineLvl w:val="2"/>
        <w:rPr>
          <w:rFonts w:eastAsia="仿宋"/>
          <w:color w:val="FF0000"/>
          <w:sz w:val="32"/>
          <w:szCs w:val="32"/>
        </w:rPr>
      </w:pPr>
      <w:bookmarkStart w:id="26" w:name="_Toc15378460"/>
      <w:bookmarkStart w:id="27" w:name="_Toc15377213"/>
      <w:bookmarkStart w:id="28" w:name="_Toc15377444"/>
      <w:r>
        <w:rPr>
          <w:rFonts w:eastAsia="仿宋"/>
          <w:bCs/>
          <w:color w:val="000000"/>
          <w:sz w:val="32"/>
          <w:szCs w:val="32"/>
        </w:rPr>
        <w:t>2018年一般公共预算支出决算数为1048.30万元</w:t>
      </w:r>
      <w:r>
        <w:rPr>
          <w:rFonts w:eastAsia="仿宋"/>
          <w:color w:val="000000"/>
          <w:sz w:val="32"/>
          <w:szCs w:val="32"/>
        </w:rPr>
        <w:t>，</w:t>
      </w:r>
      <w:r>
        <w:rPr>
          <w:rStyle w:val="15"/>
          <w:rFonts w:eastAsia="仿宋"/>
          <w:b w:val="0"/>
          <w:color w:val="000000"/>
          <w:sz w:val="32"/>
          <w:szCs w:val="32"/>
        </w:rPr>
        <w:t>完成预算17.82%。其中：</w:t>
      </w:r>
      <w:bookmarkEnd w:id="26"/>
      <w:bookmarkEnd w:id="27"/>
      <w:bookmarkEnd w:id="28"/>
    </w:p>
    <w:p w14:paraId="10409938">
      <w:pPr>
        <w:pStyle w:val="28"/>
        <w:spacing w:line="560" w:lineRule="exact"/>
        <w:ind w:firstLine="640"/>
        <w:rPr>
          <w:rStyle w:val="15"/>
          <w:rFonts w:eastAsia="仿宋_GB2312"/>
          <w:b w:val="0"/>
          <w:bCs w:val="0"/>
          <w:color w:val="000000"/>
          <w:sz w:val="32"/>
          <w:szCs w:val="32"/>
        </w:rPr>
      </w:pPr>
      <w:r>
        <w:rPr>
          <w:rStyle w:val="15"/>
          <w:rFonts w:eastAsia="仿宋_GB2312"/>
          <w:b w:val="0"/>
          <w:bCs w:val="0"/>
          <w:color w:val="000000"/>
          <w:sz w:val="32"/>
          <w:szCs w:val="32"/>
        </w:rPr>
        <w:t>1.社会保障和就业45.30万元，完成预算100%。其中：未归口管理的行政单位离退休（2080504）支出决算数为9.13万元；机关事业单位基本养老保险缴费支出（2080505）决算数为27.57万元；机关事业单位职业年金缴费（2080506）支出决算数为1.53万元；死亡抚恤（2080801）支出决算数为7.07万元，以上支出均与预算数持平。</w:t>
      </w:r>
    </w:p>
    <w:p w14:paraId="5FFAA7B8">
      <w:pPr>
        <w:pStyle w:val="28"/>
        <w:spacing w:line="560" w:lineRule="exact"/>
        <w:ind w:firstLine="640"/>
        <w:rPr>
          <w:rStyle w:val="15"/>
          <w:rFonts w:eastAsia="仿宋_GB2312"/>
          <w:b w:val="0"/>
          <w:bCs w:val="0"/>
          <w:color w:val="000000"/>
          <w:sz w:val="32"/>
          <w:szCs w:val="32"/>
        </w:rPr>
      </w:pPr>
      <w:r>
        <w:rPr>
          <w:rStyle w:val="15"/>
          <w:rFonts w:eastAsia="仿宋_GB2312"/>
          <w:b w:val="0"/>
          <w:bCs w:val="0"/>
          <w:color w:val="000000"/>
          <w:sz w:val="32"/>
          <w:szCs w:val="32"/>
        </w:rPr>
        <w:t>2.城乡社区支出974.91万元，完成预算36.40%。其中：行政运行（2120101），支出决算数276.32万元，完成预算100%；其他城乡社区公共设施支出（2120399）决算数636.16万元，完成预算29.91%；主要原因是部分工程项目还处于筹建准备阶段，工程资金暂时还无法支付所致。城乡社区环境卫生（2120501）支出决算数62.43万元，完成预算94.98%，其余5.02%因尚未完成支付手续而结转下年支付。</w:t>
      </w:r>
    </w:p>
    <w:p w14:paraId="690895FC">
      <w:pPr>
        <w:pStyle w:val="28"/>
        <w:spacing w:line="560" w:lineRule="exact"/>
        <w:ind w:firstLine="640"/>
        <w:rPr>
          <w:rFonts w:eastAsia="仿宋_GB2312"/>
          <w:color w:val="000000"/>
          <w:sz w:val="32"/>
          <w:szCs w:val="32"/>
        </w:rPr>
      </w:pPr>
      <w:r>
        <w:rPr>
          <w:rFonts w:eastAsia="仿宋_GB2312"/>
          <w:color w:val="000000"/>
          <w:sz w:val="32"/>
          <w:szCs w:val="32"/>
        </w:rPr>
        <w:t>3.住房保障支出28.09万元，完成预算100%。</w:t>
      </w:r>
    </w:p>
    <w:p w14:paraId="2CC8BF9B">
      <w:pPr>
        <w:pStyle w:val="28"/>
        <w:spacing w:line="560" w:lineRule="exact"/>
        <w:ind w:firstLine="640"/>
        <w:rPr>
          <w:rFonts w:eastAsia="仿宋_GB2312"/>
          <w:color w:val="000000"/>
          <w:sz w:val="32"/>
          <w:szCs w:val="32"/>
        </w:rPr>
      </w:pPr>
      <w:r>
        <w:rPr>
          <w:rFonts w:eastAsia="仿宋_GB2312"/>
          <w:color w:val="000000"/>
          <w:sz w:val="32"/>
          <w:szCs w:val="32"/>
        </w:rPr>
        <w:t>4.节能环保支出及其它支出因部分工程项目处于筹备阶段，因而未完成预算。</w:t>
      </w:r>
      <w:bookmarkStart w:id="29" w:name="_Toc15396608"/>
      <w:bookmarkStart w:id="30" w:name="_Toc15377214"/>
    </w:p>
    <w:p w14:paraId="2C61CC0B">
      <w:pPr>
        <w:pStyle w:val="28"/>
        <w:spacing w:line="560" w:lineRule="exact"/>
        <w:ind w:firstLine="640"/>
        <w:rPr>
          <w:rStyle w:val="19"/>
          <w:rFonts w:ascii="Times New Roman" w:hAnsi="Times New Roman" w:cs="Times New Roman"/>
          <w:sz w:val="44"/>
          <w:szCs w:val="44"/>
        </w:rPr>
      </w:pPr>
      <w:r>
        <w:rPr>
          <w:rFonts w:eastAsia="黑体"/>
          <w:color w:val="000000"/>
          <w:sz w:val="32"/>
          <w:szCs w:val="32"/>
        </w:rPr>
        <w:t>六</w:t>
      </w:r>
      <w:r>
        <w:rPr>
          <w:rFonts w:eastAsia="黑体"/>
          <w:b/>
          <w:bCs/>
          <w:color w:val="000000"/>
          <w:sz w:val="32"/>
          <w:szCs w:val="32"/>
        </w:rPr>
        <w:t>、一</w:t>
      </w:r>
      <w:r>
        <w:rPr>
          <w:rStyle w:val="19"/>
          <w:rFonts w:ascii="Times New Roman" w:hAnsi="Times New Roman" w:eastAsia="黑体" w:cs="Times New Roman"/>
          <w:b w:val="0"/>
          <w:bCs w:val="0"/>
        </w:rPr>
        <w:t>般公共预算财政拨款基本支出决算情况说明</w:t>
      </w:r>
      <w:bookmarkEnd w:id="29"/>
      <w:bookmarkEnd w:id="30"/>
      <w:r>
        <w:rPr>
          <w:rStyle w:val="19"/>
          <w:rFonts w:ascii="Times New Roman" w:hAnsi="Times New Roman" w:eastAsia="黑体" w:cs="Times New Roman"/>
          <w:b w:val="0"/>
          <w:bCs w:val="0"/>
          <w:sz w:val="44"/>
          <w:szCs w:val="44"/>
        </w:rPr>
        <w:tab/>
      </w:r>
    </w:p>
    <w:p w14:paraId="7ED96AAC">
      <w:pPr>
        <w:spacing w:line="560" w:lineRule="exact"/>
        <w:ind w:firstLine="640" w:firstLineChars="200"/>
        <w:rPr>
          <w:rFonts w:eastAsia="仿宋_GB2312"/>
          <w:color w:val="000000"/>
          <w:sz w:val="32"/>
          <w:szCs w:val="32"/>
        </w:rPr>
      </w:pPr>
      <w:r>
        <w:rPr>
          <w:rFonts w:eastAsia="仿宋_GB2312"/>
          <w:color w:val="000000"/>
          <w:sz w:val="32"/>
          <w:szCs w:val="32"/>
        </w:rPr>
        <w:t>2018年一般公共预算财政拨款基本支出412.14万元，其中：</w:t>
      </w:r>
    </w:p>
    <w:p w14:paraId="19832C1A">
      <w:pPr>
        <w:spacing w:line="560" w:lineRule="exact"/>
        <w:ind w:firstLine="640" w:firstLineChars="200"/>
        <w:rPr>
          <w:rFonts w:eastAsia="仿宋_GB2312"/>
          <w:color w:val="000000"/>
          <w:sz w:val="32"/>
          <w:szCs w:val="32"/>
        </w:rPr>
      </w:pPr>
      <w:r>
        <w:rPr>
          <w:rFonts w:eastAsia="仿宋_GB2312"/>
          <w:color w:val="000000"/>
          <w:sz w:val="32"/>
          <w:szCs w:val="32"/>
        </w:rPr>
        <w:t>人员经费368.36万元，主要包括：基本工资134万元、津贴补贴74.57万元、奖金4.55万元、机关事业单位基本养老保险缴费27.57万元、职业年金缴费1.53万元、职工基本医疗保险缴费0.71万元、公务员医疗补助缴费1.52万元、其他社会保障缴费9.67万元、其他工资福利支出2.29万元、退休费9.13万元、抚恤金7.07万元、生活补助2.34万元、奖励金65.32万元、住房公积金28.09万元。</w:t>
      </w:r>
      <w:r>
        <w:rPr>
          <w:rFonts w:eastAsia="仿宋_GB2312"/>
          <w:color w:val="000000"/>
          <w:sz w:val="32"/>
          <w:szCs w:val="32"/>
        </w:rPr>
        <w:br w:type="textWrapping"/>
      </w:r>
      <w:r>
        <w:rPr>
          <w:rFonts w:eastAsia="仿宋_GB2312"/>
          <w:color w:val="000000"/>
          <w:sz w:val="32"/>
          <w:szCs w:val="32"/>
        </w:rPr>
        <w:t>　　公用经费43.78万元，主要包括：办公费6.34万元、咨询费1.00万元、电费0.91万元、邮电费1.77万元、差旅费8.98万元、租赁费0.38万元、会议费0.10万元、培训费1.00万元、公务接待费0.84万元、福利费1.52万元、其他交通费14.58万元、税金及附加费用0.04万元、其他商品和服务支出6.32万元。</w:t>
      </w:r>
    </w:p>
    <w:p w14:paraId="24000702">
      <w:pPr>
        <w:spacing w:line="560" w:lineRule="exact"/>
        <w:ind w:firstLine="640" w:firstLineChars="200"/>
        <w:outlineLvl w:val="1"/>
        <w:rPr>
          <w:rStyle w:val="19"/>
          <w:rFonts w:ascii="Times New Roman" w:hAnsi="Times New Roman" w:eastAsia="黑体" w:cs="Times New Roman"/>
          <w:b w:val="0"/>
          <w:bCs w:val="0"/>
        </w:rPr>
      </w:pPr>
      <w:bookmarkStart w:id="31" w:name="_Toc15396609"/>
      <w:bookmarkStart w:id="32" w:name="_Toc15377215"/>
      <w:r>
        <w:rPr>
          <w:rFonts w:eastAsia="黑体"/>
          <w:color w:val="000000"/>
          <w:sz w:val="32"/>
          <w:szCs w:val="32"/>
        </w:rPr>
        <w:t>七、</w:t>
      </w:r>
      <w:r>
        <w:rPr>
          <w:rStyle w:val="19"/>
          <w:rFonts w:ascii="Times New Roman" w:hAnsi="Times New Roman" w:eastAsia="黑体" w:cs="Times New Roman"/>
        </w:rPr>
        <w:t>“</w:t>
      </w:r>
      <w:r>
        <w:rPr>
          <w:rStyle w:val="19"/>
          <w:rFonts w:ascii="Times New Roman" w:hAnsi="Times New Roman" w:eastAsia="黑体" w:cs="Times New Roman"/>
          <w:b w:val="0"/>
          <w:bCs w:val="0"/>
        </w:rPr>
        <w:t>三公”经费财政拨款支出决算情况说明</w:t>
      </w:r>
      <w:bookmarkEnd w:id="31"/>
      <w:bookmarkEnd w:id="32"/>
    </w:p>
    <w:p w14:paraId="4313F45B">
      <w:pPr>
        <w:spacing w:line="560" w:lineRule="exact"/>
        <w:ind w:firstLine="643" w:firstLineChars="200"/>
        <w:outlineLvl w:val="2"/>
        <w:rPr>
          <w:rFonts w:eastAsia="仿宋"/>
          <w:b/>
          <w:bCs/>
          <w:color w:val="000000"/>
          <w:sz w:val="32"/>
          <w:szCs w:val="32"/>
        </w:rPr>
      </w:pPr>
      <w:bookmarkStart w:id="33" w:name="_Toc15377216"/>
      <w:r>
        <w:rPr>
          <w:rFonts w:eastAsia="仿宋"/>
          <w:b/>
          <w:bCs/>
          <w:color w:val="000000"/>
          <w:sz w:val="32"/>
          <w:szCs w:val="32"/>
        </w:rPr>
        <w:t>（一）“三公”经费财政拨款支出决算总体情况说明</w:t>
      </w:r>
      <w:bookmarkEnd w:id="33"/>
    </w:p>
    <w:p w14:paraId="5E3DD0C1">
      <w:pPr>
        <w:spacing w:line="560" w:lineRule="exact"/>
        <w:ind w:firstLine="640" w:firstLineChars="200"/>
        <w:rPr>
          <w:rFonts w:eastAsia="仿宋"/>
          <w:color w:val="000000"/>
          <w:sz w:val="32"/>
          <w:szCs w:val="32"/>
        </w:rPr>
      </w:pPr>
      <w:r>
        <w:rPr>
          <w:rFonts w:eastAsia="仿宋"/>
          <w:color w:val="000000"/>
          <w:sz w:val="32"/>
          <w:szCs w:val="32"/>
        </w:rPr>
        <w:t>2018年“三公”经费财政拨款支出决算为0.84万元，与预算数持平。</w:t>
      </w:r>
      <w:bookmarkStart w:id="34" w:name="_Toc15377217"/>
    </w:p>
    <w:p w14:paraId="1465C9FD">
      <w:pPr>
        <w:spacing w:line="560" w:lineRule="exact"/>
        <w:ind w:firstLine="643" w:firstLineChars="200"/>
        <w:outlineLvl w:val="2"/>
        <w:rPr>
          <w:rFonts w:eastAsia="仿宋"/>
          <w:b/>
          <w:bCs/>
          <w:color w:val="000000"/>
          <w:sz w:val="32"/>
          <w:szCs w:val="32"/>
        </w:rPr>
      </w:pPr>
      <w:r>
        <w:rPr>
          <w:rFonts w:eastAsia="仿宋"/>
          <w:b/>
          <w:bCs/>
          <w:color w:val="000000"/>
          <w:sz w:val="32"/>
          <w:szCs w:val="32"/>
        </w:rPr>
        <w:t>（二）“三公”经费财政拨款支出决算具体情况说明</w:t>
      </w:r>
      <w:bookmarkEnd w:id="34"/>
    </w:p>
    <w:p w14:paraId="266C7BDD">
      <w:pPr>
        <w:spacing w:line="560" w:lineRule="exact"/>
        <w:ind w:firstLine="640" w:firstLineChars="200"/>
        <w:rPr>
          <w:rFonts w:eastAsia="仿宋"/>
          <w:color w:val="000000"/>
          <w:sz w:val="32"/>
          <w:szCs w:val="32"/>
        </w:rPr>
      </w:pPr>
      <w:r>
        <w:rPr>
          <w:rFonts w:eastAsia="仿宋"/>
          <w:color w:val="000000"/>
          <w:sz w:val="32"/>
          <w:szCs w:val="32"/>
        </w:rPr>
        <w:t>2018年“三公”经费财政拨款支出决算中，因公出国（境）费支出决算0万元；公务用车购置及运行维护费支出决算0万元；公务接待费支出决算0.84万元，占100%。具体情况如下：</w:t>
      </w:r>
    </w:p>
    <w:p w14:paraId="5FDCC888">
      <w:pPr>
        <w:spacing w:line="560" w:lineRule="exact"/>
        <w:ind w:firstLine="640"/>
        <w:rPr>
          <w:rFonts w:eastAsia="仿宋"/>
          <w:color w:val="000000"/>
          <w:sz w:val="32"/>
          <w:szCs w:val="32"/>
        </w:rPr>
      </w:pPr>
      <w:r>
        <w:rPr>
          <w:rFonts w:eastAsia="仿宋"/>
          <w:color w:val="000000"/>
          <w:sz w:val="32"/>
          <w:szCs w:val="32"/>
        </w:rPr>
        <w:t>（图8：“三公”经费财政拨款支出结构）（饼状图）</w:t>
      </w:r>
    </w:p>
    <w:p w14:paraId="20B9C93B">
      <w:pPr>
        <w:spacing w:line="560" w:lineRule="exact"/>
        <w:ind w:firstLine="640"/>
        <w:rPr>
          <w:rFonts w:eastAsia="仿宋"/>
          <w:color w:val="000000"/>
          <w:sz w:val="32"/>
          <w:szCs w:val="32"/>
        </w:rPr>
      </w:pPr>
    </w:p>
    <w:p w14:paraId="43E88D46">
      <w:pPr>
        <w:spacing w:line="600" w:lineRule="exact"/>
        <w:ind w:firstLine="640"/>
        <w:rPr>
          <w:rFonts w:eastAsia="仿宋"/>
          <w:color w:val="000000"/>
          <w:sz w:val="32"/>
          <w:szCs w:val="32"/>
        </w:rPr>
      </w:pPr>
    </w:p>
    <w:p w14:paraId="4E8C645F">
      <w:pPr>
        <w:spacing w:line="600" w:lineRule="exact"/>
        <w:ind w:firstLine="640"/>
        <w:rPr>
          <w:rFonts w:eastAsia="仿宋"/>
          <w:color w:val="000000"/>
          <w:sz w:val="32"/>
          <w:szCs w:val="32"/>
        </w:rPr>
      </w:pPr>
    </w:p>
    <w:p w14:paraId="5DF39892">
      <w:pPr>
        <w:spacing w:line="600" w:lineRule="exact"/>
        <w:ind w:firstLine="640"/>
        <w:rPr>
          <w:rFonts w:eastAsia="仿宋"/>
          <w:color w:val="000000"/>
          <w:sz w:val="32"/>
          <w:szCs w:val="32"/>
        </w:rPr>
      </w:pPr>
    </w:p>
    <w:p w14:paraId="0D65CDAB">
      <w:pPr>
        <w:spacing w:line="600" w:lineRule="exact"/>
        <w:ind w:firstLine="640"/>
        <w:rPr>
          <w:rFonts w:eastAsia="仿宋"/>
          <w:color w:val="000000"/>
          <w:sz w:val="32"/>
          <w:szCs w:val="32"/>
        </w:rPr>
      </w:pPr>
    </w:p>
    <w:p w14:paraId="2284E79F">
      <w:pPr>
        <w:spacing w:before="4524" w:beforeLines="1450" w:line="600" w:lineRule="exact"/>
        <w:ind w:firstLine="640"/>
        <w:rPr>
          <w:rFonts w:eastAsia="仿宋"/>
          <w:color w:val="000000"/>
          <w:sz w:val="32"/>
          <w:szCs w:val="32"/>
        </w:rPr>
      </w:pPr>
      <w:r>
        <w:rPr>
          <w:rFonts w:eastAsia="仿宋"/>
          <w:color w:val="000000"/>
          <w:sz w:val="32"/>
          <w:szCs w:val="32"/>
        </w:rPr>
        <w:drawing>
          <wp:inline distT="0" distB="0" distL="0" distR="0">
            <wp:extent cx="4667250" cy="3181350"/>
            <wp:effectExtent l="0" t="0" r="19050" b="190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C5BFCE">
      <w:pPr>
        <w:spacing w:line="560" w:lineRule="exact"/>
        <w:ind w:firstLine="640" w:firstLineChars="200"/>
        <w:rPr>
          <w:rFonts w:eastAsia="仿宋_GB2312"/>
          <w:color w:val="000000"/>
          <w:sz w:val="32"/>
          <w:szCs w:val="32"/>
        </w:rPr>
      </w:pPr>
      <w:r>
        <w:rPr>
          <w:rFonts w:eastAsia="仿宋_GB2312"/>
          <w:color w:val="000000"/>
          <w:sz w:val="32"/>
          <w:szCs w:val="32"/>
        </w:rPr>
        <w:t xml:space="preserve">1.因公出国（境）经费支出0万元， </w:t>
      </w:r>
    </w:p>
    <w:p w14:paraId="71037DD9">
      <w:pPr>
        <w:spacing w:line="560" w:lineRule="exact"/>
        <w:ind w:firstLine="640" w:firstLineChars="200"/>
        <w:rPr>
          <w:rFonts w:eastAsia="仿宋_GB2312"/>
          <w:color w:val="000000"/>
          <w:sz w:val="32"/>
          <w:szCs w:val="32"/>
        </w:rPr>
      </w:pPr>
      <w:r>
        <w:rPr>
          <w:rFonts w:eastAsia="仿宋_GB2312"/>
          <w:color w:val="000000"/>
          <w:sz w:val="32"/>
          <w:szCs w:val="32"/>
        </w:rPr>
        <w:t xml:space="preserve">2.公务用车购置及运行维护费支出0万元, </w:t>
      </w:r>
    </w:p>
    <w:p w14:paraId="69F9CFB9">
      <w:pPr>
        <w:spacing w:line="560" w:lineRule="exact"/>
        <w:ind w:firstLine="640" w:firstLineChars="200"/>
        <w:rPr>
          <w:rFonts w:eastAsia="仿宋_GB2312"/>
          <w:color w:val="000000"/>
          <w:sz w:val="32"/>
          <w:szCs w:val="32"/>
        </w:rPr>
      </w:pPr>
      <w:r>
        <w:rPr>
          <w:rFonts w:eastAsia="仿宋_GB2312"/>
          <w:color w:val="000000"/>
          <w:sz w:val="32"/>
          <w:szCs w:val="32"/>
        </w:rPr>
        <w:t>3.公务接待费支出0.84万元，</w:t>
      </w:r>
      <w:r>
        <w:rPr>
          <w:rStyle w:val="15"/>
          <w:rFonts w:eastAsia="仿宋_GB2312"/>
          <w:b w:val="0"/>
          <w:bCs w:val="0"/>
          <w:color w:val="000000"/>
          <w:sz w:val="32"/>
          <w:szCs w:val="32"/>
        </w:rPr>
        <w:t>完成预算100%。</w:t>
      </w:r>
      <w:r>
        <w:rPr>
          <w:rFonts w:eastAsia="仿宋_GB2312"/>
          <w:color w:val="000000"/>
          <w:sz w:val="32"/>
          <w:szCs w:val="32"/>
        </w:rPr>
        <w:t>公务接待费支出决算比2017年0.90万元，减少0.06万元，下降6.67%。主要原因是本年接待批次及接待人次均有所下降。</w:t>
      </w:r>
    </w:p>
    <w:p w14:paraId="63ED8BCC">
      <w:pPr>
        <w:spacing w:line="560" w:lineRule="exact"/>
        <w:ind w:firstLine="640" w:firstLineChars="200"/>
        <w:rPr>
          <w:rFonts w:eastAsia="仿宋_GB2312"/>
          <w:color w:val="000000"/>
          <w:sz w:val="32"/>
          <w:szCs w:val="32"/>
        </w:rPr>
      </w:pPr>
      <w:r>
        <w:rPr>
          <w:rFonts w:eastAsia="仿宋_GB2312"/>
          <w:color w:val="000000"/>
          <w:sz w:val="32"/>
          <w:szCs w:val="32"/>
        </w:rPr>
        <w:t>主要用于执行公务、开展业务活动开支的用餐费。国内公务接待5批次，48人次（不包括陪同人员），共计支出0.84万元，具体内容包括：</w:t>
      </w:r>
    </w:p>
    <w:p w14:paraId="50859957">
      <w:pPr>
        <w:spacing w:line="560" w:lineRule="exact"/>
        <w:ind w:firstLine="640" w:firstLineChars="200"/>
        <w:jc w:val="left"/>
        <w:rPr>
          <w:rFonts w:eastAsia="仿宋_GB2312"/>
          <w:i/>
          <w:color w:val="000000"/>
          <w:sz w:val="32"/>
          <w:szCs w:val="32"/>
        </w:rPr>
      </w:pPr>
      <w:r>
        <w:rPr>
          <w:rFonts w:eastAsia="仿宋_GB2312"/>
          <w:color w:val="000000"/>
          <w:sz w:val="32"/>
          <w:szCs w:val="32"/>
        </w:rPr>
        <w:t>接待木里县城乡规划建设和住房保障局学习城乡规划编制及管理工作、城市管理工作以及城乡污水、垃圾规划编制及管理工作支出0.24万元；接待南部县城市管理执法局考察城市管理工作支出0.19万元；接待遂宁市城市管理行政执法局开展扫黑除恶专项斗争交叉检查工作支出0.085万元；接待旺苍县林业和园林局开展城市园林绿化管护机制及创园工作经验考察学习工作支出0.13万元；接待广安市城市管理行政执法局考察学习城市管理执法体制机制等工作支出0.19万元。</w:t>
      </w:r>
    </w:p>
    <w:p w14:paraId="7945BE3F">
      <w:pPr>
        <w:spacing w:line="560" w:lineRule="exact"/>
        <w:ind w:firstLine="640" w:firstLineChars="200"/>
        <w:outlineLvl w:val="1"/>
        <w:rPr>
          <w:rStyle w:val="19"/>
          <w:rFonts w:ascii="Times New Roman" w:hAnsi="Times New Roman" w:eastAsia="黑体" w:cs="Times New Roman"/>
        </w:rPr>
      </w:pPr>
      <w:bookmarkStart w:id="35" w:name="_Toc15396610"/>
      <w:bookmarkStart w:id="36" w:name="_Toc15377218"/>
      <w:r>
        <w:rPr>
          <w:rFonts w:eastAsia="黑体"/>
          <w:color w:val="000000"/>
          <w:sz w:val="32"/>
          <w:szCs w:val="32"/>
        </w:rPr>
        <w:t>八、</w:t>
      </w:r>
      <w:r>
        <w:rPr>
          <w:rStyle w:val="19"/>
          <w:rFonts w:ascii="Times New Roman" w:hAnsi="Times New Roman" w:eastAsia="黑体" w:cs="Times New Roman"/>
          <w:b w:val="0"/>
          <w:bCs w:val="0"/>
        </w:rPr>
        <w:t>政府性基金预算支出决算情况说明</w:t>
      </w:r>
      <w:bookmarkEnd w:id="35"/>
      <w:bookmarkEnd w:id="36"/>
    </w:p>
    <w:p w14:paraId="6B7090F4">
      <w:pPr>
        <w:spacing w:line="560" w:lineRule="exact"/>
        <w:ind w:firstLine="640" w:firstLineChars="200"/>
        <w:rPr>
          <w:rFonts w:eastAsia="仿宋_GB2312"/>
          <w:color w:val="000000"/>
          <w:sz w:val="32"/>
          <w:szCs w:val="32"/>
        </w:rPr>
      </w:pPr>
      <w:r>
        <w:rPr>
          <w:rFonts w:eastAsia="仿宋_GB2312"/>
          <w:color w:val="000000"/>
          <w:sz w:val="32"/>
          <w:szCs w:val="32"/>
        </w:rPr>
        <w:t>2018年政府性基金预算拨款支出5360.00万元。</w:t>
      </w:r>
    </w:p>
    <w:p w14:paraId="3A1F5CC8">
      <w:pPr>
        <w:spacing w:line="560" w:lineRule="exact"/>
        <w:ind w:firstLine="640" w:firstLineChars="200"/>
        <w:outlineLvl w:val="1"/>
        <w:rPr>
          <w:rStyle w:val="19"/>
          <w:rFonts w:ascii="Times New Roman" w:hAnsi="Times New Roman" w:eastAsia="黑体" w:cs="Times New Roman"/>
          <w:b w:val="0"/>
          <w:bCs w:val="0"/>
          <w:sz w:val="44"/>
          <w:szCs w:val="44"/>
        </w:rPr>
      </w:pPr>
      <w:bookmarkStart w:id="37" w:name="_Toc15377219"/>
      <w:bookmarkStart w:id="38" w:name="_Toc15396611"/>
      <w:r>
        <w:rPr>
          <w:rFonts w:hint="eastAsia" w:eastAsia="黑体"/>
          <w:color w:val="000000"/>
          <w:sz w:val="32"/>
          <w:szCs w:val="32"/>
        </w:rPr>
        <w:t>九、</w:t>
      </w:r>
      <w:r>
        <w:rPr>
          <w:rFonts w:eastAsia="黑体"/>
          <w:color w:val="000000"/>
          <w:sz w:val="32"/>
          <w:szCs w:val="32"/>
        </w:rPr>
        <w:t>国有资本经营预算支出决算情况说明</w:t>
      </w:r>
      <w:bookmarkEnd w:id="37"/>
      <w:bookmarkEnd w:id="38"/>
    </w:p>
    <w:p w14:paraId="53408614">
      <w:pPr>
        <w:spacing w:line="560" w:lineRule="exact"/>
        <w:ind w:firstLine="640" w:firstLineChars="200"/>
        <w:rPr>
          <w:rFonts w:eastAsia="仿宋_GB2312"/>
          <w:color w:val="000000"/>
          <w:sz w:val="32"/>
          <w:szCs w:val="32"/>
        </w:rPr>
      </w:pPr>
      <w:r>
        <w:rPr>
          <w:rFonts w:eastAsia="仿宋_GB2312"/>
          <w:color w:val="000000"/>
          <w:sz w:val="32"/>
          <w:szCs w:val="32"/>
        </w:rPr>
        <w:t>我单位2018年无国有资本经营预算拨款支出。</w:t>
      </w:r>
    </w:p>
    <w:p w14:paraId="263E2D48">
      <w:pPr>
        <w:pStyle w:val="28"/>
        <w:spacing w:line="560" w:lineRule="exact"/>
        <w:ind w:firstLine="640"/>
        <w:rPr>
          <w:rStyle w:val="19"/>
          <w:rFonts w:ascii="Times New Roman" w:hAnsi="Times New Roman" w:eastAsia="黑体" w:cs="Times New Roman"/>
          <w:b w:val="0"/>
          <w:bCs w:val="0"/>
          <w:sz w:val="44"/>
          <w:szCs w:val="44"/>
        </w:rPr>
      </w:pPr>
      <w:r>
        <w:rPr>
          <w:rStyle w:val="19"/>
          <w:rFonts w:ascii="Times New Roman" w:hAnsi="Times New Roman" w:eastAsia="黑体" w:cs="Times New Roman"/>
          <w:b w:val="0"/>
          <w:bCs w:val="0"/>
        </w:rPr>
        <w:t>十、预算绩效情况说明</w:t>
      </w:r>
    </w:p>
    <w:p w14:paraId="5611D098">
      <w:pPr>
        <w:numPr>
          <w:ilvl w:val="0"/>
          <w:numId w:val="2"/>
        </w:numPr>
        <w:spacing w:line="560" w:lineRule="exact"/>
        <w:ind w:firstLine="643" w:firstLineChars="200"/>
        <w:rPr>
          <w:rFonts w:eastAsia="仿宋"/>
          <w:b/>
          <w:bCs/>
          <w:sz w:val="32"/>
          <w:szCs w:val="32"/>
        </w:rPr>
      </w:pPr>
      <w:r>
        <w:rPr>
          <w:rFonts w:eastAsia="仿宋"/>
          <w:b/>
          <w:bCs/>
          <w:sz w:val="32"/>
          <w:szCs w:val="32"/>
        </w:rPr>
        <w:t>预算绩效管理工作开展情况。</w:t>
      </w:r>
    </w:p>
    <w:p w14:paraId="5D2DB3A4">
      <w:pPr>
        <w:spacing w:line="560" w:lineRule="exact"/>
        <w:ind w:firstLine="640" w:firstLineChars="200"/>
        <w:rPr>
          <w:rFonts w:eastAsia="仿宋_GB2312"/>
          <w:sz w:val="32"/>
          <w:szCs w:val="32"/>
        </w:rPr>
      </w:pPr>
      <w:r>
        <w:rPr>
          <w:rFonts w:eastAsia="仿宋_GB2312"/>
          <w:sz w:val="32"/>
          <w:szCs w:val="32"/>
        </w:rPr>
        <w:t>根据预算绩效管理要求，本部门（单位）在年初预算编制阶段，组织对“环卫清运人员经费”及“协管员经费”两个项目开展了预算事前绩效评估，对2个项目编制了绩效目标，预算执行过程中，选取2个项目开展绩效监控，年终执行完毕后，对2个项目开展了绩效目标完成情况梳理填报。</w:t>
      </w:r>
    </w:p>
    <w:p w14:paraId="44BBD5D1">
      <w:pPr>
        <w:snapToGrid w:val="0"/>
        <w:spacing w:line="560" w:lineRule="exact"/>
        <w:ind w:firstLine="640" w:firstLineChars="200"/>
        <w:rPr>
          <w:rFonts w:eastAsia="仿宋_GB2312"/>
          <w:sz w:val="32"/>
          <w:szCs w:val="32"/>
        </w:rPr>
      </w:pPr>
      <w:r>
        <w:rPr>
          <w:rFonts w:eastAsia="仿宋_GB2312"/>
          <w:sz w:val="32"/>
          <w:szCs w:val="32"/>
        </w:rPr>
        <w:t>本部门按要求对2018年部门整体支出开展绩效自评，从评价情况来看：</w:t>
      </w:r>
    </w:p>
    <w:p w14:paraId="73E18C90">
      <w:pPr>
        <w:snapToGrid w:val="0"/>
        <w:spacing w:line="560" w:lineRule="exact"/>
        <w:ind w:firstLine="640" w:firstLineChars="200"/>
        <w:rPr>
          <w:rFonts w:eastAsia="仿宋_GB2312"/>
          <w:sz w:val="32"/>
          <w:szCs w:val="32"/>
        </w:rPr>
      </w:pPr>
      <w:r>
        <w:rPr>
          <w:rFonts w:eastAsia="仿宋_GB2312"/>
          <w:sz w:val="32"/>
          <w:szCs w:val="32"/>
        </w:rPr>
        <w:t>一是重要指标完成情况。</w:t>
      </w:r>
    </w:p>
    <w:p w14:paraId="43710FF2">
      <w:pPr>
        <w:snapToGrid w:val="0"/>
        <w:spacing w:line="560" w:lineRule="exact"/>
        <w:ind w:firstLine="640" w:firstLineChars="200"/>
        <w:rPr>
          <w:rFonts w:eastAsia="仿宋_GB2312"/>
          <w:sz w:val="32"/>
          <w:szCs w:val="32"/>
        </w:rPr>
      </w:pPr>
      <w:r>
        <w:rPr>
          <w:rFonts w:eastAsia="仿宋_GB2312"/>
          <w:sz w:val="32"/>
          <w:szCs w:val="32"/>
        </w:rPr>
        <w:t>完成固定资产投资1.39亿元，生活垃圾无害化处理率达100%，密闭清运率达100%，垃圾日处理量107吨，城区道路机械化清扫程度达90%以上，城市生活污水集中处理率达到86.3%，路灯亮化率达98%，市政设施完好率达97%。</w:t>
      </w:r>
    </w:p>
    <w:p w14:paraId="32A21491">
      <w:pPr>
        <w:snapToGrid w:val="0"/>
        <w:spacing w:line="560" w:lineRule="exact"/>
        <w:ind w:firstLine="640" w:firstLineChars="200"/>
        <w:rPr>
          <w:rFonts w:eastAsia="仿宋_GB2312"/>
          <w:sz w:val="32"/>
          <w:szCs w:val="32"/>
        </w:rPr>
      </w:pPr>
      <w:r>
        <w:rPr>
          <w:rFonts w:eastAsia="仿宋_GB2312"/>
          <w:sz w:val="32"/>
          <w:szCs w:val="32"/>
        </w:rPr>
        <w:t>二是重点项目建设情况。完成睿龙花园西侧边坡治理、亮化三期工程、公共自行车第二轮运行维护采购项目、龙桥维护项目、交通岛改造等重点项目和领导交办事项，按计划实施全市污水处理PPP项目、旅游公厕建设项目、宜居城市建设项目、垃圾中转站建设项目、米易县生活垃圾填埋场封场项目、居民生活垃圾处理场建设项目、2018旧城区合流制雨污管网改造项目等。</w:t>
      </w:r>
    </w:p>
    <w:p w14:paraId="23ECB5C6">
      <w:pPr>
        <w:snapToGrid w:val="0"/>
        <w:spacing w:line="560" w:lineRule="exact"/>
        <w:ind w:firstLine="640" w:firstLineChars="200"/>
        <w:rPr>
          <w:rFonts w:eastAsia="仿宋_GB2312"/>
          <w:sz w:val="32"/>
          <w:szCs w:val="32"/>
        </w:rPr>
      </w:pPr>
      <w:r>
        <w:rPr>
          <w:rFonts w:eastAsia="仿宋_GB2312"/>
          <w:sz w:val="32"/>
          <w:szCs w:val="32"/>
        </w:rPr>
        <w:t>三是城市管理和城乡环境综合治理工作情况。制定下发了《米易县2018年城乡环境综合治理考核细则》《2018年城市管理工作考核细则》；开展了乡镇非正规垃圾堆放点排查；为各乡镇争取城乡垃圾和污水处理费用170余万元；开展城乡环境综合整治29次，严格落实市城管委下发整改；将垃圾中转站建设、垃圾场封场治理项目、白马镇污水管网建设等城乡污水处理建设和城乡垃圾处理建设项目纳入全省三推项目和全市污水处理PPP项目同步实施；在全市城市管理月考核中3次位居全市首位。</w:t>
      </w:r>
    </w:p>
    <w:p w14:paraId="5F21A5A8">
      <w:pPr>
        <w:spacing w:line="560" w:lineRule="exact"/>
        <w:ind w:firstLine="643" w:firstLineChars="200"/>
        <w:rPr>
          <w:rFonts w:eastAsia="仿宋_GB2312"/>
          <w:sz w:val="32"/>
          <w:szCs w:val="32"/>
        </w:rPr>
      </w:pPr>
      <w:r>
        <w:rPr>
          <w:rFonts w:eastAsia="仿宋"/>
          <w:b/>
          <w:bCs/>
          <w:sz w:val="32"/>
          <w:szCs w:val="32"/>
        </w:rPr>
        <w:t>（二）项目绩效目标完成情况。</w:t>
      </w:r>
      <w:r>
        <w:rPr>
          <w:rFonts w:eastAsia="楷体_GB2312"/>
          <w:b/>
          <w:bCs/>
          <w:sz w:val="44"/>
          <w:szCs w:val="44"/>
        </w:rPr>
        <w:br w:type="textWrapping"/>
      </w:r>
      <w:r>
        <w:rPr>
          <w:rFonts w:eastAsia="仿宋_GB2312"/>
          <w:sz w:val="44"/>
          <w:szCs w:val="44"/>
        </w:rPr>
        <w:t xml:space="preserve">    </w:t>
      </w:r>
      <w:r>
        <w:rPr>
          <w:rFonts w:eastAsia="仿宋_GB2312"/>
          <w:sz w:val="32"/>
          <w:szCs w:val="32"/>
        </w:rPr>
        <w:t>本部门在2018年度部门决算中反映“环卫清扫保洁市场化”“米易县城市亮化工程（三期）采购”“米易县旧城区雨污管网分流改造”等3个项目绩效目标实际完成情况。</w:t>
      </w:r>
    </w:p>
    <w:p w14:paraId="31AD15B6">
      <w:pPr>
        <w:spacing w:line="560" w:lineRule="exact"/>
        <w:ind w:firstLine="643" w:firstLineChars="200"/>
        <w:rPr>
          <w:rFonts w:eastAsia="仿宋_GB2312"/>
          <w:b/>
          <w:bCs/>
          <w:sz w:val="32"/>
          <w:szCs w:val="32"/>
        </w:rPr>
      </w:pPr>
      <w:r>
        <w:rPr>
          <w:rFonts w:eastAsia="仿宋_GB2312"/>
          <w:b/>
          <w:bCs/>
          <w:sz w:val="32"/>
          <w:szCs w:val="32"/>
        </w:rPr>
        <w:t>1.“环卫清扫保洁市场化”项目绩效目标完成情况综述。</w:t>
      </w:r>
    </w:p>
    <w:p w14:paraId="77B1A2A1">
      <w:pPr>
        <w:spacing w:line="560" w:lineRule="exact"/>
        <w:ind w:firstLine="640" w:firstLineChars="200"/>
        <w:rPr>
          <w:rFonts w:eastAsia="仿宋_GB2312"/>
          <w:sz w:val="32"/>
          <w:szCs w:val="32"/>
        </w:rPr>
      </w:pPr>
      <w:r>
        <w:rPr>
          <w:rFonts w:eastAsia="仿宋_GB2312"/>
          <w:sz w:val="32"/>
          <w:szCs w:val="32"/>
        </w:rPr>
        <w:t>该项目全年预算数1330.42万元，执行数为1178.12万元，完成预算的88.55%。通过项目实施，充分保障了生活垃圾无害化处理率，城区道路机械化清扫程度，该项目绩效评价自评分99分。该项目为创建文明城市，打造宜居城市，提高市民生活质量和幸福指数，促进社会经济的综合发展，进一步提升米易形象打下了坚实的基础。</w:t>
      </w:r>
    </w:p>
    <w:p w14:paraId="606D1AB4">
      <w:pPr>
        <w:spacing w:line="560" w:lineRule="exact"/>
        <w:ind w:firstLine="640" w:firstLineChars="200"/>
        <w:rPr>
          <w:rFonts w:eastAsia="仿宋_GB2312"/>
          <w:sz w:val="32"/>
          <w:szCs w:val="32"/>
        </w:rPr>
      </w:pPr>
      <w:r>
        <w:rPr>
          <w:rFonts w:eastAsia="仿宋_GB2312"/>
          <w:sz w:val="32"/>
          <w:szCs w:val="32"/>
        </w:rPr>
        <w:t>发现的主要问题：新一轮的环卫作业市场化虽完善了诸多原环卫清扫保洁市场化的不足之处，但仍然存在清扫保洁与垃圾清运、绿化管护的一些问题。</w:t>
      </w:r>
    </w:p>
    <w:p w14:paraId="4A42DDA1">
      <w:pPr>
        <w:spacing w:line="560" w:lineRule="exact"/>
        <w:ind w:firstLine="640" w:firstLineChars="200"/>
        <w:rPr>
          <w:rFonts w:eastAsia="仿宋_GB2312"/>
          <w:sz w:val="32"/>
          <w:szCs w:val="32"/>
        </w:rPr>
      </w:pPr>
      <w:r>
        <w:rPr>
          <w:rFonts w:eastAsia="仿宋_GB2312"/>
          <w:sz w:val="32"/>
          <w:szCs w:val="32"/>
        </w:rPr>
        <w:t>进一步改进措施：在改革过程中采用环卫清扫保洁、垃圾清运一体市场化，绿化区域清扫保洁划归绿化管护市场化等工作措施并在新一轮市场化运营中予以完善。</w:t>
      </w:r>
    </w:p>
    <w:tbl>
      <w:tblPr>
        <w:tblStyle w:val="13"/>
        <w:tblpPr w:leftFromText="180" w:rightFromText="180" w:vertAnchor="text" w:horzAnchor="page" w:tblpXSpec="center" w:tblpY="423"/>
        <w:tblOverlap w:val="never"/>
        <w:tblW w:w="11028" w:type="dxa"/>
        <w:tblInd w:w="0" w:type="dxa"/>
        <w:tblLayout w:type="fixed"/>
        <w:tblCellMar>
          <w:top w:w="0" w:type="dxa"/>
          <w:left w:w="0" w:type="dxa"/>
          <w:bottom w:w="0" w:type="dxa"/>
          <w:right w:w="0" w:type="dxa"/>
        </w:tblCellMar>
      </w:tblPr>
      <w:tblGrid>
        <w:gridCol w:w="1291"/>
        <w:gridCol w:w="2552"/>
        <w:gridCol w:w="992"/>
        <w:gridCol w:w="1022"/>
        <w:gridCol w:w="112"/>
        <w:gridCol w:w="1306"/>
        <w:gridCol w:w="253"/>
        <w:gridCol w:w="2552"/>
        <w:gridCol w:w="948"/>
      </w:tblGrid>
      <w:tr w14:paraId="37326D9C">
        <w:tblPrEx>
          <w:tblCellMar>
            <w:top w:w="0" w:type="dxa"/>
            <w:left w:w="0" w:type="dxa"/>
            <w:bottom w:w="0" w:type="dxa"/>
            <w:right w:w="0" w:type="dxa"/>
          </w:tblCellMar>
        </w:tblPrEx>
        <w:trPr>
          <w:trHeight w:val="1034" w:hRule="atLeast"/>
        </w:trPr>
        <w:tc>
          <w:tcPr>
            <w:tcW w:w="11028" w:type="dxa"/>
            <w:gridSpan w:val="9"/>
            <w:tcMar>
              <w:top w:w="15" w:type="dxa"/>
              <w:left w:w="15" w:type="dxa"/>
              <w:bottom w:w="0" w:type="dxa"/>
              <w:right w:w="15" w:type="dxa"/>
            </w:tcMar>
            <w:vAlign w:val="center"/>
          </w:tcPr>
          <w:p w14:paraId="2DF7D8B5">
            <w:pPr>
              <w:pStyle w:val="28"/>
              <w:widowControl/>
              <w:ind w:left="1604" w:leftChars="802" w:firstLine="0" w:firstLineChars="0"/>
              <w:textAlignment w:val="center"/>
              <w:rPr>
                <w:rFonts w:eastAsia="黑体"/>
                <w:color w:val="000000"/>
                <w:sz w:val="44"/>
                <w:szCs w:val="44"/>
              </w:rPr>
            </w:pPr>
            <w:r>
              <w:rPr>
                <w:rFonts w:eastAsia="黑体"/>
                <w:color w:val="000000"/>
                <w:sz w:val="44"/>
                <w:szCs w:val="44"/>
              </w:rPr>
              <w:t>项目支出绩效目标完成情况表</w:t>
            </w:r>
            <w:r>
              <w:rPr>
                <w:rFonts w:eastAsia="黑体"/>
                <w:b/>
                <w:bCs/>
                <w:color w:val="000000"/>
                <w:sz w:val="44"/>
                <w:szCs w:val="44"/>
              </w:rPr>
              <w:br w:type="textWrapping"/>
            </w:r>
            <w:r>
              <w:rPr>
                <w:rFonts w:eastAsia="黑体"/>
                <w:color w:val="000000"/>
                <w:sz w:val="44"/>
                <w:szCs w:val="44"/>
              </w:rPr>
              <w:t>(2018 年度)</w:t>
            </w:r>
          </w:p>
        </w:tc>
      </w:tr>
      <w:tr w14:paraId="68B74710">
        <w:tblPrEx>
          <w:tblCellMar>
            <w:top w:w="0" w:type="dxa"/>
            <w:left w:w="0" w:type="dxa"/>
            <w:bottom w:w="0" w:type="dxa"/>
            <w:right w:w="0" w:type="dxa"/>
          </w:tblCellMar>
        </w:tblPrEx>
        <w:trPr>
          <w:gridAfter w:val="1"/>
          <w:wAfter w:w="948" w:type="dxa"/>
          <w:trHeight w:val="412" w:hRule="atLeast"/>
        </w:trPr>
        <w:tc>
          <w:tcPr>
            <w:tcW w:w="3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1E62A4">
            <w:pPr>
              <w:widowControl/>
              <w:jc w:val="center"/>
              <w:textAlignment w:val="center"/>
              <w:rPr>
                <w:rFonts w:eastAsia="仿宋_GB2312"/>
                <w:color w:val="000000"/>
                <w:sz w:val="32"/>
                <w:szCs w:val="32"/>
              </w:rPr>
            </w:pPr>
            <w:r>
              <w:rPr>
                <w:rFonts w:eastAsia="仿宋_GB2312"/>
                <w:color w:val="000000"/>
                <w:sz w:val="32"/>
                <w:szCs w:val="32"/>
              </w:rPr>
              <w:t>项目名称</w:t>
            </w:r>
          </w:p>
        </w:tc>
        <w:tc>
          <w:tcPr>
            <w:tcW w:w="623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F568F9">
            <w:pPr>
              <w:widowControl/>
              <w:jc w:val="center"/>
              <w:textAlignment w:val="center"/>
              <w:rPr>
                <w:rFonts w:eastAsia="仿宋_GB2312"/>
                <w:color w:val="000000"/>
                <w:sz w:val="32"/>
                <w:szCs w:val="32"/>
              </w:rPr>
            </w:pPr>
            <w:r>
              <w:rPr>
                <w:rFonts w:eastAsia="仿宋_GB2312"/>
                <w:color w:val="000000"/>
                <w:sz w:val="32"/>
                <w:szCs w:val="32"/>
              </w:rPr>
              <w:t>环卫清扫保洁项目</w:t>
            </w:r>
          </w:p>
        </w:tc>
      </w:tr>
      <w:tr w14:paraId="47F04318">
        <w:tblPrEx>
          <w:tblCellMar>
            <w:top w:w="0" w:type="dxa"/>
            <w:left w:w="0" w:type="dxa"/>
            <w:bottom w:w="0" w:type="dxa"/>
            <w:right w:w="0" w:type="dxa"/>
          </w:tblCellMar>
        </w:tblPrEx>
        <w:trPr>
          <w:gridAfter w:val="1"/>
          <w:wAfter w:w="948" w:type="dxa"/>
          <w:trHeight w:val="479" w:hRule="atLeast"/>
        </w:trPr>
        <w:tc>
          <w:tcPr>
            <w:tcW w:w="3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143A06">
            <w:pPr>
              <w:widowControl/>
              <w:jc w:val="center"/>
              <w:textAlignment w:val="center"/>
              <w:rPr>
                <w:rFonts w:eastAsia="仿宋_GB2312"/>
                <w:color w:val="000000"/>
                <w:sz w:val="32"/>
                <w:szCs w:val="32"/>
              </w:rPr>
            </w:pPr>
            <w:r>
              <w:rPr>
                <w:rFonts w:eastAsia="仿宋_GB2312"/>
                <w:color w:val="000000"/>
                <w:sz w:val="32"/>
                <w:szCs w:val="32"/>
              </w:rPr>
              <w:t>预算单位</w:t>
            </w:r>
          </w:p>
        </w:tc>
        <w:tc>
          <w:tcPr>
            <w:tcW w:w="623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4BB6FA">
            <w:pPr>
              <w:widowControl/>
              <w:jc w:val="center"/>
              <w:textAlignment w:val="center"/>
              <w:rPr>
                <w:rFonts w:eastAsia="仿宋_GB2312"/>
                <w:color w:val="000000"/>
                <w:sz w:val="32"/>
                <w:szCs w:val="32"/>
              </w:rPr>
            </w:pPr>
            <w:r>
              <w:rPr>
                <w:rFonts w:eastAsia="仿宋_GB2312"/>
                <w:color w:val="000000"/>
                <w:sz w:val="32"/>
                <w:szCs w:val="32"/>
              </w:rPr>
              <w:t>米易县城市管理局</w:t>
            </w:r>
          </w:p>
        </w:tc>
      </w:tr>
      <w:tr w14:paraId="5CA80238">
        <w:tblPrEx>
          <w:tblCellMar>
            <w:top w:w="0" w:type="dxa"/>
            <w:left w:w="0" w:type="dxa"/>
            <w:bottom w:w="0" w:type="dxa"/>
            <w:right w:w="0" w:type="dxa"/>
          </w:tblCellMar>
        </w:tblPrEx>
        <w:trPr>
          <w:gridAfter w:val="1"/>
          <w:wAfter w:w="948" w:type="dxa"/>
          <w:trHeight w:val="686"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7DF145">
            <w:pPr>
              <w:widowControl/>
              <w:jc w:val="center"/>
              <w:textAlignment w:val="center"/>
              <w:rPr>
                <w:rFonts w:eastAsia="仿宋_GB2312"/>
                <w:color w:val="000000"/>
                <w:sz w:val="32"/>
                <w:szCs w:val="32"/>
              </w:rPr>
            </w:pPr>
            <w:r>
              <w:rPr>
                <w:rFonts w:eastAsia="仿宋_GB2312"/>
                <w:color w:val="000000"/>
                <w:sz w:val="32"/>
                <w:szCs w:val="32"/>
              </w:rPr>
              <w:t>预算执行情况(万元)</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FFBE65">
            <w:pPr>
              <w:widowControl/>
              <w:jc w:val="center"/>
              <w:textAlignment w:val="center"/>
              <w:rPr>
                <w:rFonts w:eastAsia="仿宋_GB2312"/>
                <w:color w:val="000000"/>
                <w:sz w:val="32"/>
                <w:szCs w:val="32"/>
              </w:rPr>
            </w:pPr>
            <w:r>
              <w:rPr>
                <w:rFonts w:eastAsia="仿宋_GB2312"/>
                <w:color w:val="000000"/>
                <w:sz w:val="32"/>
                <w:szCs w:val="32"/>
              </w:rPr>
              <w:t>预算数:</w:t>
            </w:r>
          </w:p>
        </w:tc>
        <w:tc>
          <w:tcPr>
            <w:tcW w:w="21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BEA6AA">
            <w:pPr>
              <w:widowControl/>
              <w:jc w:val="center"/>
              <w:textAlignment w:val="center"/>
              <w:rPr>
                <w:rFonts w:eastAsia="仿宋_GB2312"/>
                <w:color w:val="000000"/>
                <w:sz w:val="32"/>
                <w:szCs w:val="32"/>
              </w:rPr>
            </w:pPr>
            <w:r>
              <w:rPr>
                <w:rFonts w:eastAsia="仿宋_GB2312"/>
                <w:color w:val="000000"/>
                <w:sz w:val="32"/>
                <w:szCs w:val="32"/>
              </w:rPr>
              <w:t>1330.42</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623C62">
            <w:pPr>
              <w:widowControl/>
              <w:jc w:val="center"/>
              <w:textAlignment w:val="center"/>
              <w:rPr>
                <w:rFonts w:eastAsia="仿宋_GB2312"/>
                <w:color w:val="000000"/>
                <w:sz w:val="32"/>
                <w:szCs w:val="32"/>
              </w:rPr>
            </w:pPr>
            <w:r>
              <w:rPr>
                <w:rFonts w:eastAsia="仿宋_GB2312"/>
                <w:color w:val="000000"/>
                <w:sz w:val="32"/>
                <w:szCs w:val="32"/>
              </w:rPr>
              <w:t>执行数:</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8FA29">
            <w:pPr>
              <w:widowControl/>
              <w:jc w:val="center"/>
              <w:textAlignment w:val="center"/>
              <w:rPr>
                <w:rFonts w:eastAsia="仿宋_GB2312"/>
                <w:color w:val="000000"/>
                <w:sz w:val="32"/>
                <w:szCs w:val="32"/>
              </w:rPr>
            </w:pPr>
            <w:r>
              <w:rPr>
                <w:rFonts w:eastAsia="仿宋_GB2312"/>
                <w:color w:val="000000"/>
                <w:sz w:val="32"/>
                <w:szCs w:val="32"/>
              </w:rPr>
              <w:t>1178.12</w:t>
            </w:r>
          </w:p>
        </w:tc>
      </w:tr>
      <w:tr w14:paraId="627C4EEE">
        <w:tblPrEx>
          <w:tblCellMar>
            <w:top w:w="0" w:type="dxa"/>
            <w:left w:w="0" w:type="dxa"/>
            <w:bottom w:w="0" w:type="dxa"/>
            <w:right w:w="0" w:type="dxa"/>
          </w:tblCellMar>
        </w:tblPrEx>
        <w:trPr>
          <w:gridAfter w:val="1"/>
          <w:wAfter w:w="948" w:type="dxa"/>
          <w:trHeight w:val="809"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7059D44F">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9068F5">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21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EE7A28">
            <w:pPr>
              <w:widowControl/>
              <w:jc w:val="center"/>
              <w:textAlignment w:val="center"/>
              <w:rPr>
                <w:rFonts w:eastAsia="仿宋_GB2312"/>
                <w:color w:val="000000"/>
                <w:sz w:val="32"/>
                <w:szCs w:val="32"/>
              </w:rPr>
            </w:pPr>
            <w:r>
              <w:rPr>
                <w:rFonts w:eastAsia="仿宋_GB2312"/>
                <w:color w:val="000000"/>
                <w:sz w:val="32"/>
                <w:szCs w:val="32"/>
              </w:rPr>
              <w:t>1330.42</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37B3B5">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2B5930">
            <w:pPr>
              <w:widowControl/>
              <w:jc w:val="center"/>
              <w:textAlignment w:val="center"/>
              <w:rPr>
                <w:rFonts w:eastAsia="仿宋_GB2312"/>
                <w:color w:val="000000"/>
                <w:sz w:val="32"/>
                <w:szCs w:val="32"/>
              </w:rPr>
            </w:pPr>
            <w:r>
              <w:rPr>
                <w:rFonts w:eastAsia="仿宋_GB2312"/>
                <w:color w:val="000000"/>
                <w:sz w:val="32"/>
                <w:szCs w:val="32"/>
              </w:rPr>
              <w:t>1178.12</w:t>
            </w:r>
          </w:p>
        </w:tc>
      </w:tr>
      <w:tr w14:paraId="3587DD43">
        <w:tblPrEx>
          <w:tblCellMar>
            <w:top w:w="0" w:type="dxa"/>
            <w:left w:w="0" w:type="dxa"/>
            <w:bottom w:w="0" w:type="dxa"/>
            <w:right w:w="0" w:type="dxa"/>
          </w:tblCellMar>
        </w:tblPrEx>
        <w:trPr>
          <w:gridAfter w:val="1"/>
          <w:wAfter w:w="948" w:type="dxa"/>
          <w:trHeight w:val="529"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318D5E5A">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28CD65">
            <w:pPr>
              <w:widowControl/>
              <w:jc w:val="center"/>
              <w:textAlignment w:val="center"/>
              <w:rPr>
                <w:rFonts w:eastAsia="仿宋_GB2312"/>
                <w:color w:val="000000"/>
                <w:sz w:val="32"/>
                <w:szCs w:val="32"/>
              </w:rPr>
            </w:pPr>
            <w:r>
              <w:rPr>
                <w:rFonts w:eastAsia="仿宋_GB2312"/>
                <w:color w:val="000000"/>
                <w:sz w:val="32"/>
                <w:szCs w:val="32"/>
              </w:rPr>
              <w:t>其它资金:</w:t>
            </w:r>
          </w:p>
        </w:tc>
        <w:tc>
          <w:tcPr>
            <w:tcW w:w="21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AF1D39">
            <w:pPr>
              <w:widowControl/>
              <w:jc w:val="center"/>
              <w:textAlignment w:val="center"/>
              <w:rPr>
                <w:rFonts w:eastAsia="仿宋_GB2312"/>
                <w:color w:val="000000"/>
                <w:sz w:val="32"/>
                <w:szCs w:val="32"/>
              </w:rPr>
            </w:pPr>
            <w:r>
              <w:rPr>
                <w:rFonts w:eastAsia="仿宋_GB2312"/>
                <w:color w:val="000000"/>
                <w:sz w:val="32"/>
                <w:szCs w:val="32"/>
              </w:rPr>
              <w:t>0</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461424">
            <w:pPr>
              <w:widowControl/>
              <w:jc w:val="center"/>
              <w:textAlignment w:val="center"/>
              <w:rPr>
                <w:rFonts w:eastAsia="仿宋_GB2312"/>
                <w:color w:val="000000"/>
                <w:sz w:val="32"/>
                <w:szCs w:val="32"/>
              </w:rPr>
            </w:pPr>
            <w:r>
              <w:rPr>
                <w:rFonts w:eastAsia="仿宋_GB2312"/>
                <w:color w:val="000000"/>
                <w:sz w:val="32"/>
                <w:szCs w:val="32"/>
              </w:rPr>
              <w:t>其它资金:</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EE61DF">
            <w:pPr>
              <w:jc w:val="center"/>
              <w:rPr>
                <w:rFonts w:eastAsia="仿宋_GB2312"/>
                <w:color w:val="000000"/>
                <w:sz w:val="32"/>
                <w:szCs w:val="32"/>
              </w:rPr>
            </w:pPr>
          </w:p>
        </w:tc>
      </w:tr>
      <w:tr w14:paraId="433D2D24">
        <w:tblPrEx>
          <w:tblCellMar>
            <w:top w:w="0" w:type="dxa"/>
            <w:left w:w="0" w:type="dxa"/>
            <w:bottom w:w="0" w:type="dxa"/>
            <w:right w:w="0" w:type="dxa"/>
          </w:tblCellMar>
        </w:tblPrEx>
        <w:trPr>
          <w:gridAfter w:val="1"/>
          <w:wAfter w:w="948" w:type="dxa"/>
          <w:trHeight w:val="276"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0BFD0B">
            <w:pPr>
              <w:widowControl/>
              <w:jc w:val="center"/>
              <w:textAlignment w:val="center"/>
              <w:rPr>
                <w:rFonts w:eastAsia="仿宋_GB2312"/>
                <w:color w:val="000000"/>
                <w:sz w:val="32"/>
                <w:szCs w:val="32"/>
              </w:rPr>
            </w:pPr>
            <w:r>
              <w:rPr>
                <w:rFonts w:eastAsia="仿宋_GB2312"/>
                <w:color w:val="000000"/>
                <w:sz w:val="32"/>
                <w:szCs w:val="32"/>
              </w:rPr>
              <w:t>年度目标完成情况</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DEC2FA">
            <w:pPr>
              <w:widowControl/>
              <w:jc w:val="center"/>
              <w:textAlignment w:val="center"/>
              <w:rPr>
                <w:rFonts w:eastAsia="仿宋_GB2312"/>
                <w:color w:val="000000"/>
                <w:sz w:val="32"/>
                <w:szCs w:val="32"/>
              </w:rPr>
            </w:pPr>
            <w:r>
              <w:rPr>
                <w:rFonts w:eastAsia="仿宋_GB2312"/>
                <w:color w:val="000000"/>
                <w:sz w:val="32"/>
                <w:szCs w:val="32"/>
              </w:rPr>
              <w:t>预期目标</w:t>
            </w:r>
          </w:p>
        </w:tc>
        <w:tc>
          <w:tcPr>
            <w:tcW w:w="623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FA2053">
            <w:pPr>
              <w:widowControl/>
              <w:jc w:val="center"/>
              <w:textAlignment w:val="center"/>
              <w:rPr>
                <w:rFonts w:eastAsia="仿宋_GB2312"/>
                <w:color w:val="000000"/>
                <w:sz w:val="32"/>
                <w:szCs w:val="32"/>
              </w:rPr>
            </w:pPr>
            <w:r>
              <w:rPr>
                <w:rFonts w:eastAsia="仿宋_GB2312"/>
                <w:color w:val="000000"/>
                <w:sz w:val="32"/>
                <w:szCs w:val="32"/>
              </w:rPr>
              <w:t>实际完成目标</w:t>
            </w:r>
          </w:p>
        </w:tc>
      </w:tr>
      <w:tr w14:paraId="1100B9F7">
        <w:tblPrEx>
          <w:tblCellMar>
            <w:top w:w="0" w:type="dxa"/>
            <w:left w:w="0" w:type="dxa"/>
            <w:bottom w:w="0" w:type="dxa"/>
            <w:right w:w="0" w:type="dxa"/>
          </w:tblCellMar>
        </w:tblPrEx>
        <w:trPr>
          <w:gridAfter w:val="1"/>
          <w:wAfter w:w="948" w:type="dxa"/>
          <w:trHeight w:val="4475"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531482DB">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F46A36">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为创建文明城市，打造宜居城市，提高市民生活质量和幸福指数，促进社会经济的综合发展，进一步提升米易形象打下了坚实的基础。</w:t>
            </w:r>
          </w:p>
        </w:tc>
        <w:tc>
          <w:tcPr>
            <w:tcW w:w="623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E9FFC7">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2018年环卫清扫保洁市场化项目，均按照合同相关规定完成并通过验收，项目充分保障了生活垃圾无害化处理率，城区道路机械化清扫程度，该项目绩效评价自评分99分。</w:t>
            </w:r>
          </w:p>
          <w:p w14:paraId="01AC69C9">
            <w:pPr>
              <w:widowControl/>
              <w:jc w:val="center"/>
              <w:textAlignment w:val="center"/>
              <w:rPr>
                <w:rFonts w:eastAsia="仿宋_GB2312"/>
                <w:color w:val="000000"/>
                <w:sz w:val="32"/>
                <w:szCs w:val="32"/>
              </w:rPr>
            </w:pPr>
          </w:p>
        </w:tc>
      </w:tr>
      <w:tr w14:paraId="45B4E400">
        <w:tblPrEx>
          <w:tblCellMar>
            <w:top w:w="0" w:type="dxa"/>
            <w:left w:w="0" w:type="dxa"/>
            <w:bottom w:w="0" w:type="dxa"/>
            <w:right w:w="0" w:type="dxa"/>
          </w:tblCellMar>
        </w:tblPrEx>
        <w:trPr>
          <w:gridAfter w:val="1"/>
          <w:wAfter w:w="948" w:type="dxa"/>
          <w:trHeight w:val="543"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E3A2CE">
            <w:pPr>
              <w:widowControl/>
              <w:jc w:val="center"/>
              <w:textAlignment w:val="center"/>
              <w:rPr>
                <w:rFonts w:eastAsia="仿宋_GB2312"/>
                <w:color w:val="000000"/>
                <w:sz w:val="32"/>
                <w:szCs w:val="32"/>
              </w:rPr>
            </w:pPr>
            <w:r>
              <w:rPr>
                <w:rFonts w:eastAsia="仿宋_GB2312"/>
                <w:color w:val="000000"/>
                <w:sz w:val="32"/>
                <w:szCs w:val="32"/>
              </w:rPr>
              <w:t>绩效指标完成情况</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6F5A26">
            <w:pPr>
              <w:widowControl/>
              <w:jc w:val="center"/>
              <w:textAlignment w:val="center"/>
              <w:rPr>
                <w:rFonts w:eastAsia="仿宋_GB2312"/>
                <w:color w:val="000000"/>
                <w:sz w:val="32"/>
                <w:szCs w:val="32"/>
              </w:rPr>
            </w:pPr>
            <w:r>
              <w:rPr>
                <w:rFonts w:eastAsia="仿宋_GB2312"/>
                <w:color w:val="000000"/>
                <w:sz w:val="32"/>
                <w:szCs w:val="32"/>
              </w:rPr>
              <w:t>一级指标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777528">
            <w:pPr>
              <w:widowControl/>
              <w:jc w:val="center"/>
              <w:textAlignment w:val="center"/>
              <w:rPr>
                <w:rFonts w:eastAsia="仿宋_GB2312"/>
                <w:color w:val="000000"/>
                <w:sz w:val="32"/>
                <w:szCs w:val="32"/>
              </w:rPr>
            </w:pPr>
            <w:r>
              <w:rPr>
                <w:rFonts w:eastAsia="仿宋_GB2312"/>
                <w:color w:val="000000"/>
                <w:sz w:val="32"/>
                <w:szCs w:val="32"/>
              </w:rPr>
              <w:t>二级指标</w:t>
            </w: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CEAB6E">
            <w:pPr>
              <w:widowControl/>
              <w:jc w:val="center"/>
              <w:textAlignment w:val="center"/>
              <w:rPr>
                <w:rFonts w:eastAsia="仿宋_GB2312"/>
                <w:color w:val="000000"/>
                <w:sz w:val="32"/>
                <w:szCs w:val="32"/>
              </w:rPr>
            </w:pPr>
            <w:r>
              <w:rPr>
                <w:rFonts w:eastAsia="仿宋_GB2312"/>
                <w:color w:val="000000"/>
                <w:sz w:val="32"/>
                <w:szCs w:val="32"/>
              </w:rPr>
              <w:t>三级指标</w:t>
            </w: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97236F">
            <w:pPr>
              <w:widowControl/>
              <w:jc w:val="center"/>
              <w:textAlignment w:val="center"/>
              <w:rPr>
                <w:rFonts w:eastAsia="仿宋_GB2312"/>
                <w:color w:val="000000"/>
                <w:sz w:val="32"/>
                <w:szCs w:val="32"/>
              </w:rPr>
            </w:pPr>
            <w:r>
              <w:rPr>
                <w:rFonts w:eastAsia="仿宋_GB2312"/>
                <w:color w:val="000000"/>
                <w:sz w:val="32"/>
                <w:szCs w:val="32"/>
              </w:rPr>
              <w:t>预期指标值(包含数字及文字描述)</w:t>
            </w: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150B5C">
            <w:pPr>
              <w:widowControl/>
              <w:jc w:val="center"/>
              <w:textAlignment w:val="center"/>
              <w:rPr>
                <w:rFonts w:eastAsia="仿宋_GB2312"/>
                <w:color w:val="000000"/>
                <w:sz w:val="32"/>
                <w:szCs w:val="32"/>
              </w:rPr>
            </w:pPr>
            <w:r>
              <w:rPr>
                <w:rFonts w:eastAsia="仿宋_GB2312"/>
                <w:color w:val="000000"/>
                <w:sz w:val="32"/>
                <w:szCs w:val="32"/>
              </w:rPr>
              <w:t>实际完成指标值(包含数字及文字描述)</w:t>
            </w:r>
          </w:p>
        </w:tc>
      </w:tr>
      <w:tr w14:paraId="1B8A34C7">
        <w:tblPrEx>
          <w:tblCellMar>
            <w:top w:w="0" w:type="dxa"/>
            <w:left w:w="0" w:type="dxa"/>
            <w:bottom w:w="0" w:type="dxa"/>
            <w:right w:w="0" w:type="dxa"/>
          </w:tblCellMar>
        </w:tblPrEx>
        <w:trPr>
          <w:gridAfter w:val="1"/>
          <w:wAfter w:w="948" w:type="dxa"/>
          <w:trHeight w:val="2389"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1161AE89">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3B34DD">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F16EF4">
            <w:pPr>
              <w:widowControl/>
              <w:jc w:val="center"/>
              <w:textAlignment w:val="center"/>
              <w:rPr>
                <w:rFonts w:eastAsia="仿宋_GB2312"/>
                <w:color w:val="000000"/>
                <w:sz w:val="32"/>
                <w:szCs w:val="32"/>
              </w:rPr>
            </w:pP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F14402">
            <w:pPr>
              <w:widowControl/>
              <w:jc w:val="center"/>
              <w:textAlignment w:val="center"/>
              <w:rPr>
                <w:rFonts w:eastAsia="仿宋_GB2312"/>
                <w:color w:val="000000"/>
                <w:sz w:val="32"/>
                <w:szCs w:val="32"/>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6AE94E">
            <w:pPr>
              <w:widowControl/>
              <w:jc w:val="center"/>
              <w:textAlignment w:val="center"/>
              <w:rPr>
                <w:rFonts w:eastAsia="仿宋_GB2312"/>
                <w:color w:val="000000"/>
                <w:sz w:val="32"/>
                <w:szCs w:val="32"/>
              </w:rPr>
            </w:pPr>
            <w:r>
              <w:rPr>
                <w:rFonts w:eastAsia="仿宋_GB2312"/>
                <w:sz w:val="32"/>
                <w:szCs w:val="32"/>
              </w:rPr>
              <w:t>米易县城建成区生活垃圾无害化处理率100%</w:t>
            </w: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991A5B">
            <w:pPr>
              <w:widowControl/>
              <w:jc w:val="center"/>
              <w:textAlignment w:val="center"/>
              <w:rPr>
                <w:rFonts w:eastAsia="仿宋_GB2312"/>
                <w:color w:val="000000"/>
                <w:sz w:val="32"/>
                <w:szCs w:val="32"/>
              </w:rPr>
            </w:pPr>
            <w:r>
              <w:rPr>
                <w:rFonts w:eastAsia="仿宋_GB2312"/>
                <w:sz w:val="32"/>
                <w:szCs w:val="32"/>
              </w:rPr>
              <w:t>米易县城建成区生活垃圾无害化处理率100%</w:t>
            </w:r>
          </w:p>
        </w:tc>
      </w:tr>
      <w:tr w14:paraId="3DDA78F2">
        <w:tblPrEx>
          <w:tblCellMar>
            <w:top w:w="0" w:type="dxa"/>
            <w:left w:w="0" w:type="dxa"/>
            <w:bottom w:w="0" w:type="dxa"/>
            <w:right w:w="0" w:type="dxa"/>
          </w:tblCellMar>
        </w:tblPrEx>
        <w:trPr>
          <w:gridAfter w:val="1"/>
          <w:wAfter w:w="948" w:type="dxa"/>
          <w:trHeight w:val="1297"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46199851">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17FC9A">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BB516B">
            <w:pPr>
              <w:widowControl/>
              <w:jc w:val="center"/>
              <w:textAlignment w:val="center"/>
              <w:rPr>
                <w:rFonts w:eastAsia="仿宋_GB2312"/>
                <w:color w:val="000000"/>
                <w:sz w:val="32"/>
                <w:szCs w:val="32"/>
              </w:rPr>
            </w:pP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CFEEFF">
            <w:pPr>
              <w:widowControl/>
              <w:jc w:val="center"/>
              <w:textAlignment w:val="center"/>
              <w:rPr>
                <w:rFonts w:eastAsia="仿宋_GB2312"/>
                <w:color w:val="000000"/>
                <w:sz w:val="32"/>
                <w:szCs w:val="32"/>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82D395">
            <w:pPr>
              <w:widowControl/>
              <w:jc w:val="center"/>
              <w:textAlignment w:val="center"/>
              <w:rPr>
                <w:rFonts w:eastAsia="仿宋_GB2312"/>
                <w:color w:val="000000"/>
                <w:sz w:val="32"/>
                <w:szCs w:val="32"/>
              </w:rPr>
            </w:pPr>
            <w:r>
              <w:rPr>
                <w:rFonts w:eastAsia="仿宋_GB2312"/>
                <w:sz w:val="32"/>
                <w:szCs w:val="32"/>
              </w:rPr>
              <w:t>密闭清运率达100%</w:t>
            </w: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EF9CC2">
            <w:pPr>
              <w:widowControl/>
              <w:jc w:val="center"/>
              <w:textAlignment w:val="center"/>
              <w:rPr>
                <w:rFonts w:eastAsia="仿宋_GB2312"/>
                <w:color w:val="000000"/>
                <w:sz w:val="32"/>
                <w:szCs w:val="32"/>
              </w:rPr>
            </w:pPr>
            <w:r>
              <w:rPr>
                <w:rFonts w:eastAsia="仿宋_GB2312"/>
                <w:sz w:val="32"/>
                <w:szCs w:val="32"/>
              </w:rPr>
              <w:t>密闭清运率达100%</w:t>
            </w:r>
          </w:p>
        </w:tc>
      </w:tr>
      <w:tr w14:paraId="47E8AD87">
        <w:tblPrEx>
          <w:tblCellMar>
            <w:top w:w="0" w:type="dxa"/>
            <w:left w:w="0" w:type="dxa"/>
            <w:bottom w:w="0" w:type="dxa"/>
            <w:right w:w="0" w:type="dxa"/>
          </w:tblCellMar>
        </w:tblPrEx>
        <w:trPr>
          <w:gridAfter w:val="1"/>
          <w:wAfter w:w="948" w:type="dxa"/>
          <w:trHeight w:val="2320"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7959B99C">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3C8A2B">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5C3289">
            <w:pPr>
              <w:widowControl/>
              <w:jc w:val="center"/>
              <w:textAlignment w:val="center"/>
              <w:rPr>
                <w:rFonts w:eastAsia="仿宋_GB2312"/>
                <w:color w:val="000000"/>
                <w:sz w:val="32"/>
                <w:szCs w:val="32"/>
              </w:rPr>
            </w:pP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9F5E5E">
            <w:pPr>
              <w:widowControl/>
              <w:jc w:val="center"/>
              <w:textAlignment w:val="center"/>
              <w:rPr>
                <w:rFonts w:eastAsia="仿宋_GB2312"/>
                <w:color w:val="000000"/>
                <w:sz w:val="32"/>
                <w:szCs w:val="32"/>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E67F43">
            <w:pPr>
              <w:widowControl/>
              <w:jc w:val="center"/>
              <w:textAlignment w:val="center"/>
              <w:rPr>
                <w:rFonts w:eastAsia="仿宋_GB2312"/>
                <w:color w:val="000000"/>
                <w:sz w:val="32"/>
                <w:szCs w:val="32"/>
              </w:rPr>
            </w:pPr>
            <w:r>
              <w:rPr>
                <w:rFonts w:eastAsia="仿宋_GB2312"/>
                <w:sz w:val="32"/>
                <w:szCs w:val="32"/>
              </w:rPr>
              <w:t>城区道路机械化清扫程度90%</w:t>
            </w: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FECF18">
            <w:pPr>
              <w:widowControl/>
              <w:jc w:val="center"/>
              <w:textAlignment w:val="center"/>
              <w:rPr>
                <w:rFonts w:eastAsia="仿宋_GB2312"/>
                <w:color w:val="000000"/>
                <w:sz w:val="32"/>
                <w:szCs w:val="32"/>
              </w:rPr>
            </w:pPr>
            <w:r>
              <w:rPr>
                <w:rFonts w:eastAsia="仿宋_GB2312"/>
                <w:sz w:val="32"/>
                <w:szCs w:val="32"/>
              </w:rPr>
              <w:t>城区道路机械化清扫程度90%</w:t>
            </w:r>
          </w:p>
        </w:tc>
      </w:tr>
      <w:tr w14:paraId="3352EC47">
        <w:tblPrEx>
          <w:tblCellMar>
            <w:top w:w="0" w:type="dxa"/>
            <w:left w:w="0" w:type="dxa"/>
            <w:bottom w:w="0" w:type="dxa"/>
            <w:right w:w="0" w:type="dxa"/>
          </w:tblCellMar>
        </w:tblPrEx>
        <w:trPr>
          <w:gridAfter w:val="1"/>
          <w:wAfter w:w="948" w:type="dxa"/>
          <w:trHeight w:val="788"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786C10C1">
            <w:pPr>
              <w:widowControl/>
              <w:jc w:val="left"/>
              <w:rPr>
                <w:rFonts w:eastAsia="仿宋_GB2312"/>
                <w:color w:val="000000"/>
                <w:sz w:val="32"/>
                <w:szCs w:val="32"/>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6902C">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8046AD">
            <w:pPr>
              <w:widowControl/>
              <w:jc w:val="center"/>
              <w:textAlignment w:val="center"/>
              <w:rPr>
                <w:rFonts w:eastAsia="仿宋_GB2312"/>
                <w:color w:val="000000"/>
                <w:sz w:val="32"/>
                <w:szCs w:val="32"/>
              </w:rPr>
            </w:pP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940C3">
            <w:pPr>
              <w:widowControl/>
              <w:jc w:val="center"/>
              <w:textAlignment w:val="center"/>
              <w:rPr>
                <w:rFonts w:eastAsia="仿宋_GB2312"/>
                <w:color w:val="000000"/>
                <w:sz w:val="32"/>
                <w:szCs w:val="32"/>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CD2C3D">
            <w:pPr>
              <w:widowControl/>
              <w:jc w:val="center"/>
              <w:textAlignment w:val="center"/>
              <w:rPr>
                <w:rFonts w:eastAsia="仿宋_GB2312"/>
                <w:color w:val="000000"/>
                <w:sz w:val="32"/>
                <w:szCs w:val="32"/>
              </w:rPr>
            </w:pP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334193">
            <w:pPr>
              <w:widowControl/>
              <w:jc w:val="center"/>
              <w:textAlignment w:val="center"/>
              <w:rPr>
                <w:rFonts w:eastAsia="仿宋_GB2312"/>
                <w:color w:val="000000"/>
                <w:sz w:val="32"/>
                <w:szCs w:val="32"/>
              </w:rPr>
            </w:pPr>
          </w:p>
        </w:tc>
      </w:tr>
      <w:tr w14:paraId="6B9CF2AA">
        <w:tblPrEx>
          <w:tblCellMar>
            <w:top w:w="0" w:type="dxa"/>
            <w:left w:w="0" w:type="dxa"/>
            <w:bottom w:w="0" w:type="dxa"/>
            <w:right w:w="0" w:type="dxa"/>
          </w:tblCellMar>
        </w:tblPrEx>
        <w:trPr>
          <w:gridAfter w:val="1"/>
          <w:wAfter w:w="948" w:type="dxa"/>
          <w:trHeight w:val="827" w:hRule="atLeast"/>
        </w:trPr>
        <w:tc>
          <w:tcPr>
            <w:tcW w:w="1291" w:type="dxa"/>
            <w:vMerge w:val="continue"/>
            <w:tcBorders>
              <w:top w:val="single" w:color="000000" w:sz="4" w:space="0"/>
              <w:left w:val="single" w:color="000000" w:sz="4" w:space="0"/>
              <w:bottom w:val="single" w:color="000000" w:sz="4" w:space="0"/>
              <w:right w:val="single" w:color="000000" w:sz="4" w:space="0"/>
            </w:tcBorders>
            <w:vAlign w:val="center"/>
          </w:tcPr>
          <w:p w14:paraId="20E2A582">
            <w:pPr>
              <w:widowControl/>
              <w:jc w:val="left"/>
              <w:rPr>
                <w:color w:val="000000"/>
                <w:sz w:val="44"/>
                <w:szCs w:val="44"/>
              </w:rPr>
            </w:pP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0E9124">
            <w:pPr>
              <w:widowControl/>
              <w:jc w:val="center"/>
              <w:textAlignment w:val="center"/>
              <w:rPr>
                <w:color w:val="000000"/>
                <w:sz w:val="44"/>
                <w:szCs w:val="44"/>
              </w:rPr>
            </w:pPr>
            <w:r>
              <w:rPr>
                <w:rFonts w:eastAsia="仿宋_GB2312"/>
                <w:color w:val="000000"/>
                <w:sz w:val="32"/>
                <w:szCs w:val="32"/>
              </w:rPr>
              <w:t>满意度指标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DB2E5">
            <w:pPr>
              <w:widowControl/>
              <w:jc w:val="center"/>
              <w:textAlignment w:val="center"/>
              <w:rPr>
                <w:color w:val="000000"/>
                <w:sz w:val="44"/>
                <w:szCs w:val="44"/>
              </w:rPr>
            </w:pPr>
          </w:p>
        </w:tc>
        <w:tc>
          <w:tcPr>
            <w:tcW w:w="102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98733F">
            <w:pPr>
              <w:widowControl/>
              <w:jc w:val="center"/>
              <w:textAlignment w:val="center"/>
              <w:rPr>
                <w:color w:val="000000"/>
                <w:sz w:val="44"/>
                <w:szCs w:val="44"/>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A8A5B6">
            <w:pPr>
              <w:widowControl/>
              <w:jc w:val="center"/>
              <w:textAlignment w:val="center"/>
              <w:rPr>
                <w:color w:val="000000"/>
                <w:sz w:val="44"/>
                <w:szCs w:val="44"/>
              </w:rPr>
            </w:pPr>
          </w:p>
        </w:tc>
        <w:tc>
          <w:tcPr>
            <w:tcW w:w="28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5A47D">
            <w:pPr>
              <w:widowControl/>
              <w:jc w:val="center"/>
              <w:textAlignment w:val="center"/>
              <w:rPr>
                <w:color w:val="000000"/>
                <w:sz w:val="44"/>
                <w:szCs w:val="44"/>
              </w:rPr>
            </w:pPr>
          </w:p>
        </w:tc>
      </w:tr>
    </w:tbl>
    <w:p w14:paraId="5AF7182C">
      <w:pPr>
        <w:spacing w:line="560" w:lineRule="exact"/>
        <w:ind w:firstLine="640" w:firstLineChars="200"/>
        <w:rPr>
          <w:rFonts w:eastAsia="黑体"/>
          <w:sz w:val="32"/>
          <w:szCs w:val="32"/>
        </w:rPr>
      </w:pPr>
      <w:r>
        <w:rPr>
          <w:rFonts w:eastAsia="黑体"/>
          <w:sz w:val="32"/>
          <w:szCs w:val="32"/>
        </w:rPr>
        <w:t>2.米易县城市亮化（三期）采购项目</w:t>
      </w:r>
      <w:r>
        <w:rPr>
          <w:rFonts w:eastAsia="仿宋_GB2312"/>
          <w:b/>
          <w:bCs/>
          <w:sz w:val="32"/>
          <w:szCs w:val="32"/>
        </w:rPr>
        <w:t>绩效目标完成情况综述</w:t>
      </w:r>
      <w:r>
        <w:rPr>
          <w:rFonts w:eastAsia="仿宋_GB2312"/>
          <w:sz w:val="32"/>
          <w:szCs w:val="32"/>
        </w:rPr>
        <w:t>。</w:t>
      </w:r>
    </w:p>
    <w:p w14:paraId="1E76CCDD">
      <w:pPr>
        <w:spacing w:line="560" w:lineRule="exact"/>
        <w:ind w:firstLine="640" w:firstLineChars="200"/>
        <w:rPr>
          <w:rFonts w:eastAsia="仿宋_GB2312"/>
          <w:sz w:val="32"/>
          <w:szCs w:val="32"/>
        </w:rPr>
      </w:pPr>
      <w:r>
        <w:rPr>
          <w:rFonts w:eastAsia="仿宋_GB2312"/>
          <w:sz w:val="32"/>
          <w:szCs w:val="32"/>
        </w:rPr>
        <w:t>城市亮化工程建设是改善和美化城市环境的重要举措，同时为进一步提升一桥至三桥安宁河两侧楼体及园林景观亮化，补强节点灯光，并向安宁河东西两侧进行延伸，切实提升城区亮化层次感，结合我县实际，2017年启动实施米易县城市亮化工程（三期）采购项目。项目总体包括德福苑、公安局、农牧局、图书馆、游泳馆、中学宿舍楼、广电中心、创业孵化园、迷阳水岸、河滨公园后建筑、宏坤中央公园、船型建筑、草场河公厕、河滨公园、易园、儿童游乐区、人民法院及武装部、边坡及草场河栈道、皮划艇训练基地河堤、米易县二小等建筑和场所亮化美化工程。该项目资金分材料采购及监理采购两部分，其中：材料采购计划2190.54万元，亮化监理采购计划33.72万元截止评价时点，该项目材料采购资金扣除取消的广电中心和待完善资料的以外，已安装调试且运行正常部分按合同约定应支付的款项已全部到位，共1267.87万元。监理采购按合同已安排资金12.96万元。以上两项资金共计1280.83万元，到位率100%。米易县城市亮化工程（三期）采购项目是为了更好地展示米易县“白天花园 夜晚光都”的城市魅力，为创建文明城市，打造宜居城市，改善民生，促进社会和谐，优化发展，进一步提升米易形象打下了坚实的基础。评价结论：米易县城市亮化工程（三期）采购项目是更好地改善民生，促进社会和谐，优化发展，进一步提升米易县城市容市貌，为创建文明城市，打造宜居城市提供有力的支撑。</w:t>
      </w:r>
    </w:p>
    <w:p w14:paraId="5088A4F0">
      <w:pPr>
        <w:spacing w:line="560" w:lineRule="exact"/>
        <w:ind w:firstLine="640" w:firstLineChars="200"/>
        <w:rPr>
          <w:rFonts w:eastAsia="仿宋_GB2312"/>
          <w:sz w:val="32"/>
          <w:szCs w:val="32"/>
        </w:rPr>
      </w:pPr>
      <w:r>
        <w:rPr>
          <w:rFonts w:eastAsia="仿宋_GB2312"/>
          <w:sz w:val="32"/>
          <w:szCs w:val="32"/>
        </w:rPr>
        <w:t>存在问题：</w:t>
      </w:r>
      <w:r>
        <w:rPr>
          <w:rFonts w:eastAsia="仿宋_GB2312"/>
          <w:b/>
          <w:bCs/>
          <w:sz w:val="32"/>
          <w:szCs w:val="32"/>
        </w:rPr>
        <w:t>一是</w:t>
      </w:r>
      <w:r>
        <w:rPr>
          <w:rFonts w:eastAsia="仿宋_GB2312"/>
          <w:sz w:val="32"/>
          <w:szCs w:val="32"/>
        </w:rPr>
        <w:t>施工人员作业阶段忽视自身安全，违规操作引发的安全隐患；</w:t>
      </w:r>
      <w:r>
        <w:rPr>
          <w:rFonts w:eastAsia="仿宋_GB2312"/>
          <w:b/>
          <w:bCs/>
          <w:sz w:val="32"/>
          <w:szCs w:val="32"/>
        </w:rPr>
        <w:t>二是</w:t>
      </w:r>
      <w:r>
        <w:rPr>
          <w:rFonts w:eastAsia="仿宋_GB2312"/>
          <w:sz w:val="32"/>
          <w:szCs w:val="32"/>
        </w:rPr>
        <w:t>项目整体实施中忽视质量问题引发的质量安全。</w:t>
      </w:r>
    </w:p>
    <w:p w14:paraId="0845EE63">
      <w:pPr>
        <w:spacing w:line="560" w:lineRule="exact"/>
        <w:ind w:firstLine="640" w:firstLineChars="200"/>
        <w:rPr>
          <w:rFonts w:eastAsia="仿宋_GB2312"/>
          <w:sz w:val="32"/>
          <w:szCs w:val="32"/>
        </w:rPr>
      </w:pPr>
      <w:r>
        <w:rPr>
          <w:rFonts w:eastAsia="仿宋_GB2312"/>
          <w:sz w:val="32"/>
          <w:szCs w:val="32"/>
        </w:rPr>
        <w:t>进一步改进措施：1.城管局工作人员要加强对施工方安全教育宣传，在作业阶段必须按照要求穿戴安全帽、挂安全绳，避免发生人身安全事故；2.安排工作人员不定期的前往施工现场进行考核监督，加强与监理方的联系与沟通，发现安全隐患及时要求施工方进行整改；3.我局要牢牢把控工程质量，保证工期的前提下高质量完工。</w:t>
      </w:r>
    </w:p>
    <w:tbl>
      <w:tblPr>
        <w:tblStyle w:val="13"/>
        <w:tblpPr w:leftFromText="180" w:rightFromText="180" w:vertAnchor="text" w:horzAnchor="page" w:tblpXSpec="center" w:tblpY="423"/>
        <w:tblOverlap w:val="never"/>
        <w:tblW w:w="10779" w:type="dxa"/>
        <w:tblInd w:w="0" w:type="dxa"/>
        <w:tblLayout w:type="fixed"/>
        <w:tblCellMar>
          <w:top w:w="0" w:type="dxa"/>
          <w:left w:w="0" w:type="dxa"/>
          <w:bottom w:w="0" w:type="dxa"/>
          <w:right w:w="0" w:type="dxa"/>
        </w:tblCellMar>
      </w:tblPr>
      <w:tblGrid>
        <w:gridCol w:w="2000"/>
        <w:gridCol w:w="1134"/>
        <w:gridCol w:w="567"/>
        <w:gridCol w:w="709"/>
        <w:gridCol w:w="708"/>
        <w:gridCol w:w="284"/>
        <w:gridCol w:w="992"/>
        <w:gridCol w:w="2713"/>
        <w:gridCol w:w="1672"/>
      </w:tblGrid>
      <w:tr w14:paraId="40EADA70">
        <w:tblPrEx>
          <w:tblCellMar>
            <w:top w:w="0" w:type="dxa"/>
            <w:left w:w="0" w:type="dxa"/>
            <w:bottom w:w="0" w:type="dxa"/>
            <w:right w:w="0" w:type="dxa"/>
          </w:tblCellMar>
        </w:tblPrEx>
        <w:trPr>
          <w:trHeight w:val="1034" w:hRule="atLeast"/>
        </w:trPr>
        <w:tc>
          <w:tcPr>
            <w:tcW w:w="10779" w:type="dxa"/>
            <w:gridSpan w:val="9"/>
            <w:tcMar>
              <w:top w:w="15" w:type="dxa"/>
              <w:left w:w="15" w:type="dxa"/>
              <w:bottom w:w="0" w:type="dxa"/>
              <w:right w:w="15" w:type="dxa"/>
            </w:tcMar>
            <w:vAlign w:val="center"/>
          </w:tcPr>
          <w:p w14:paraId="5D2DF66A">
            <w:pPr>
              <w:pStyle w:val="28"/>
              <w:widowControl/>
              <w:ind w:left="4358" w:leftChars="1310" w:hanging="1738" w:hangingChars="395"/>
              <w:textAlignment w:val="center"/>
              <w:rPr>
                <w:rFonts w:eastAsia="黑体"/>
                <w:color w:val="000000"/>
                <w:sz w:val="44"/>
                <w:szCs w:val="44"/>
              </w:rPr>
            </w:pPr>
            <w:r>
              <w:rPr>
                <w:rFonts w:eastAsia="黑体"/>
                <w:color w:val="000000"/>
                <w:sz w:val="44"/>
                <w:szCs w:val="44"/>
              </w:rPr>
              <w:t>项目支出绩效目标完成情况表</w:t>
            </w:r>
            <w:r>
              <w:rPr>
                <w:rFonts w:eastAsia="黑体"/>
                <w:b/>
                <w:bCs/>
                <w:color w:val="000000"/>
                <w:sz w:val="44"/>
                <w:szCs w:val="44"/>
              </w:rPr>
              <w:br w:type="textWrapping"/>
            </w:r>
            <w:r>
              <w:rPr>
                <w:rFonts w:eastAsia="黑体"/>
                <w:color w:val="000000"/>
                <w:sz w:val="44"/>
                <w:szCs w:val="44"/>
              </w:rPr>
              <w:t>(2018 年度)</w:t>
            </w:r>
          </w:p>
        </w:tc>
      </w:tr>
      <w:tr w14:paraId="5799E2B9">
        <w:tblPrEx>
          <w:tblCellMar>
            <w:top w:w="0" w:type="dxa"/>
            <w:left w:w="0" w:type="dxa"/>
            <w:bottom w:w="0" w:type="dxa"/>
            <w:right w:w="0" w:type="dxa"/>
          </w:tblCellMar>
        </w:tblPrEx>
        <w:trPr>
          <w:gridAfter w:val="1"/>
          <w:wAfter w:w="1672" w:type="dxa"/>
          <w:trHeight w:val="276" w:hRule="atLeast"/>
        </w:trPr>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BA746">
            <w:pPr>
              <w:widowControl/>
              <w:jc w:val="center"/>
              <w:textAlignment w:val="center"/>
              <w:rPr>
                <w:rFonts w:eastAsia="仿宋_GB2312"/>
                <w:color w:val="000000"/>
                <w:sz w:val="32"/>
                <w:szCs w:val="32"/>
              </w:rPr>
            </w:pPr>
            <w:r>
              <w:rPr>
                <w:rFonts w:eastAsia="仿宋_GB2312"/>
                <w:color w:val="000000"/>
                <w:sz w:val="32"/>
                <w:szCs w:val="32"/>
              </w:rPr>
              <w:t>项目名称</w:t>
            </w:r>
          </w:p>
        </w:tc>
        <w:tc>
          <w:tcPr>
            <w:tcW w:w="540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739049">
            <w:pPr>
              <w:widowControl/>
              <w:jc w:val="center"/>
              <w:textAlignment w:val="center"/>
              <w:rPr>
                <w:rFonts w:eastAsia="仿宋_GB2312"/>
                <w:color w:val="000000"/>
                <w:sz w:val="32"/>
                <w:szCs w:val="32"/>
              </w:rPr>
            </w:pPr>
            <w:r>
              <w:rPr>
                <w:rFonts w:eastAsia="仿宋_GB2312"/>
                <w:sz w:val="32"/>
                <w:szCs w:val="32"/>
              </w:rPr>
              <w:t>米易县城市亮化工程（三期）采购项目</w:t>
            </w:r>
          </w:p>
        </w:tc>
      </w:tr>
      <w:tr w14:paraId="0AEFED1D">
        <w:tblPrEx>
          <w:tblCellMar>
            <w:top w:w="0" w:type="dxa"/>
            <w:left w:w="0" w:type="dxa"/>
            <w:bottom w:w="0" w:type="dxa"/>
            <w:right w:w="0" w:type="dxa"/>
          </w:tblCellMar>
        </w:tblPrEx>
        <w:trPr>
          <w:gridAfter w:val="1"/>
          <w:wAfter w:w="1672" w:type="dxa"/>
          <w:trHeight w:val="276" w:hRule="atLeast"/>
        </w:trPr>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46E57">
            <w:pPr>
              <w:widowControl/>
              <w:jc w:val="center"/>
              <w:textAlignment w:val="center"/>
              <w:rPr>
                <w:rFonts w:eastAsia="仿宋_GB2312"/>
                <w:color w:val="000000"/>
                <w:sz w:val="32"/>
                <w:szCs w:val="32"/>
              </w:rPr>
            </w:pPr>
            <w:r>
              <w:rPr>
                <w:rFonts w:eastAsia="仿宋_GB2312"/>
                <w:color w:val="000000"/>
                <w:sz w:val="32"/>
                <w:szCs w:val="32"/>
              </w:rPr>
              <w:t>0预算单位</w:t>
            </w:r>
          </w:p>
        </w:tc>
        <w:tc>
          <w:tcPr>
            <w:tcW w:w="540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2ECEC4">
            <w:pPr>
              <w:widowControl/>
              <w:jc w:val="center"/>
              <w:textAlignment w:val="center"/>
              <w:rPr>
                <w:rFonts w:eastAsia="仿宋_GB2312"/>
                <w:color w:val="000000"/>
                <w:sz w:val="32"/>
                <w:szCs w:val="32"/>
              </w:rPr>
            </w:pPr>
            <w:r>
              <w:rPr>
                <w:rFonts w:eastAsia="仿宋_GB2312"/>
                <w:color w:val="000000"/>
                <w:sz w:val="32"/>
                <w:szCs w:val="32"/>
              </w:rPr>
              <w:t>米易县城市管理局</w:t>
            </w:r>
          </w:p>
        </w:tc>
      </w:tr>
      <w:tr w14:paraId="3419C68D">
        <w:tblPrEx>
          <w:tblCellMar>
            <w:top w:w="0" w:type="dxa"/>
            <w:left w:w="0" w:type="dxa"/>
            <w:bottom w:w="0" w:type="dxa"/>
            <w:right w:w="0" w:type="dxa"/>
          </w:tblCellMar>
        </w:tblPrEx>
        <w:trPr>
          <w:gridAfter w:val="1"/>
          <w:wAfter w:w="1672" w:type="dxa"/>
          <w:trHeight w:val="276" w:hRule="atLeast"/>
        </w:trPr>
        <w:tc>
          <w:tcPr>
            <w:tcW w:w="200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0C5F6B">
            <w:pPr>
              <w:widowControl/>
              <w:jc w:val="center"/>
              <w:textAlignment w:val="center"/>
              <w:rPr>
                <w:rFonts w:eastAsia="仿宋_GB2312"/>
                <w:color w:val="000000"/>
                <w:sz w:val="32"/>
                <w:szCs w:val="32"/>
              </w:rPr>
            </w:pPr>
            <w:r>
              <w:rPr>
                <w:rFonts w:eastAsia="仿宋_GB2312"/>
                <w:color w:val="000000"/>
                <w:sz w:val="32"/>
                <w:szCs w:val="32"/>
              </w:rPr>
              <w:t>预算执行情况(万元)</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481764">
            <w:pPr>
              <w:widowControl/>
              <w:jc w:val="center"/>
              <w:textAlignment w:val="center"/>
              <w:rPr>
                <w:rFonts w:eastAsia="仿宋_GB2312"/>
                <w:color w:val="000000"/>
                <w:sz w:val="32"/>
                <w:szCs w:val="32"/>
              </w:rPr>
            </w:pPr>
            <w:r>
              <w:rPr>
                <w:rFonts w:eastAsia="仿宋_GB2312"/>
                <w:color w:val="000000"/>
                <w:sz w:val="32"/>
                <w:szCs w:val="32"/>
              </w:rPr>
              <w:t>预算数:</w:t>
            </w:r>
          </w:p>
        </w:tc>
        <w:tc>
          <w:tcPr>
            <w:tcW w:w="141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CBBF8A">
            <w:pPr>
              <w:widowControl/>
              <w:jc w:val="center"/>
              <w:textAlignment w:val="center"/>
              <w:rPr>
                <w:rFonts w:eastAsia="仿宋_GB2312"/>
                <w:color w:val="000000"/>
                <w:sz w:val="32"/>
                <w:szCs w:val="32"/>
              </w:rPr>
            </w:pPr>
            <w:r>
              <w:rPr>
                <w:rFonts w:eastAsia="仿宋_GB2312"/>
                <w:sz w:val="32"/>
                <w:szCs w:val="32"/>
              </w:rPr>
              <w:t>225.00</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0E4807">
            <w:pPr>
              <w:widowControl/>
              <w:jc w:val="center"/>
              <w:textAlignment w:val="center"/>
              <w:rPr>
                <w:rFonts w:eastAsia="仿宋_GB2312"/>
                <w:color w:val="000000"/>
                <w:sz w:val="32"/>
                <w:szCs w:val="32"/>
              </w:rPr>
            </w:pPr>
            <w:r>
              <w:rPr>
                <w:rFonts w:eastAsia="仿宋_GB2312"/>
                <w:color w:val="000000"/>
                <w:sz w:val="32"/>
                <w:szCs w:val="32"/>
              </w:rPr>
              <w:t>执行数: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0903C9">
            <w:pPr>
              <w:widowControl/>
              <w:jc w:val="center"/>
              <w:textAlignment w:val="center"/>
              <w:rPr>
                <w:rFonts w:eastAsia="仿宋_GB2312"/>
                <w:color w:val="000000"/>
                <w:sz w:val="32"/>
                <w:szCs w:val="32"/>
              </w:rPr>
            </w:pPr>
            <w:r>
              <w:rPr>
                <w:rFonts w:eastAsia="仿宋_GB2312"/>
                <w:color w:val="000000"/>
                <w:sz w:val="32"/>
                <w:szCs w:val="32"/>
              </w:rPr>
              <w:t>225.00</w:t>
            </w:r>
          </w:p>
        </w:tc>
      </w:tr>
      <w:tr w14:paraId="3649FD4F">
        <w:tblPrEx>
          <w:tblCellMar>
            <w:top w:w="0" w:type="dxa"/>
            <w:left w:w="0" w:type="dxa"/>
            <w:bottom w:w="0" w:type="dxa"/>
            <w:right w:w="0" w:type="dxa"/>
          </w:tblCellMar>
        </w:tblPrEx>
        <w:trPr>
          <w:gridAfter w:val="1"/>
          <w:wAfter w:w="1672" w:type="dxa"/>
          <w:trHeight w:val="276" w:hRule="atLeast"/>
        </w:trPr>
        <w:tc>
          <w:tcPr>
            <w:tcW w:w="2000" w:type="dxa"/>
            <w:vMerge w:val="continue"/>
            <w:tcBorders>
              <w:top w:val="single" w:color="000000" w:sz="4" w:space="0"/>
              <w:left w:val="single" w:color="000000" w:sz="4" w:space="0"/>
              <w:bottom w:val="single" w:color="000000" w:sz="4" w:space="0"/>
              <w:right w:val="single" w:color="000000" w:sz="4" w:space="0"/>
            </w:tcBorders>
            <w:vAlign w:val="center"/>
          </w:tcPr>
          <w:p w14:paraId="61337C6A">
            <w:pPr>
              <w:widowControl/>
              <w:jc w:val="left"/>
              <w:rPr>
                <w:rFonts w:eastAsia="仿宋_GB2312"/>
                <w:color w:val="000000"/>
                <w:sz w:val="32"/>
                <w:szCs w:val="32"/>
              </w:rPr>
            </w:pP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6BAF51">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141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3E146C">
            <w:pPr>
              <w:widowControl/>
              <w:jc w:val="center"/>
              <w:textAlignment w:val="center"/>
              <w:rPr>
                <w:rFonts w:eastAsia="仿宋_GB2312"/>
                <w:color w:val="000000"/>
                <w:sz w:val="32"/>
                <w:szCs w:val="32"/>
              </w:rPr>
            </w:pPr>
            <w:r>
              <w:rPr>
                <w:rFonts w:eastAsia="仿宋_GB2312"/>
                <w:sz w:val="32"/>
                <w:szCs w:val="32"/>
              </w:rPr>
              <w:t>225.00</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6590C0">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3067F">
            <w:pPr>
              <w:widowControl/>
              <w:jc w:val="center"/>
              <w:textAlignment w:val="center"/>
              <w:rPr>
                <w:rFonts w:eastAsia="仿宋_GB2312"/>
                <w:color w:val="000000"/>
                <w:sz w:val="32"/>
                <w:szCs w:val="32"/>
              </w:rPr>
            </w:pPr>
            <w:r>
              <w:rPr>
                <w:rFonts w:eastAsia="仿宋_GB2312"/>
                <w:color w:val="000000"/>
                <w:sz w:val="32"/>
                <w:szCs w:val="32"/>
              </w:rPr>
              <w:t>225.00</w:t>
            </w:r>
          </w:p>
        </w:tc>
      </w:tr>
      <w:tr w14:paraId="3B1AEE3D">
        <w:tblPrEx>
          <w:tblCellMar>
            <w:top w:w="0" w:type="dxa"/>
            <w:left w:w="0" w:type="dxa"/>
            <w:bottom w:w="0" w:type="dxa"/>
            <w:right w:w="0" w:type="dxa"/>
          </w:tblCellMar>
        </w:tblPrEx>
        <w:trPr>
          <w:gridAfter w:val="1"/>
          <w:wAfter w:w="1672" w:type="dxa"/>
          <w:trHeight w:val="1511" w:hRule="atLeast"/>
        </w:trPr>
        <w:tc>
          <w:tcPr>
            <w:tcW w:w="2000" w:type="dxa"/>
            <w:vMerge w:val="continue"/>
            <w:tcBorders>
              <w:top w:val="single" w:color="000000" w:sz="4" w:space="0"/>
              <w:left w:val="single" w:color="000000" w:sz="4" w:space="0"/>
              <w:bottom w:val="single" w:color="000000" w:sz="4" w:space="0"/>
              <w:right w:val="single" w:color="000000" w:sz="4" w:space="0"/>
            </w:tcBorders>
            <w:vAlign w:val="center"/>
          </w:tcPr>
          <w:p w14:paraId="674B7F40">
            <w:pPr>
              <w:widowControl/>
              <w:jc w:val="left"/>
              <w:rPr>
                <w:rFonts w:eastAsia="仿宋_GB2312"/>
                <w:color w:val="000000"/>
                <w:sz w:val="32"/>
                <w:szCs w:val="32"/>
              </w:rPr>
            </w:pP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EC4C3F">
            <w:pPr>
              <w:widowControl/>
              <w:jc w:val="center"/>
              <w:textAlignment w:val="center"/>
              <w:rPr>
                <w:rFonts w:eastAsia="仿宋_GB2312"/>
                <w:color w:val="000000"/>
                <w:sz w:val="32"/>
                <w:szCs w:val="32"/>
              </w:rPr>
            </w:pPr>
            <w:r>
              <w:rPr>
                <w:rFonts w:eastAsia="仿宋_GB2312"/>
                <w:color w:val="000000"/>
                <w:sz w:val="32"/>
                <w:szCs w:val="32"/>
              </w:rPr>
              <w:t>其它资金:</w:t>
            </w:r>
          </w:p>
        </w:tc>
        <w:tc>
          <w:tcPr>
            <w:tcW w:w="141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7DBD58">
            <w:pPr>
              <w:widowControl/>
              <w:jc w:val="center"/>
              <w:textAlignment w:val="center"/>
              <w:rPr>
                <w:rFonts w:eastAsia="仿宋_GB2312"/>
                <w:color w:val="000000"/>
                <w:sz w:val="32"/>
                <w:szCs w:val="32"/>
              </w:rPr>
            </w:pPr>
            <w:r>
              <w:rPr>
                <w:rFonts w:eastAsia="仿宋_GB2312"/>
                <w:color w:val="000000"/>
                <w:sz w:val="32"/>
                <w:szCs w:val="32"/>
              </w:rPr>
              <w:t>0</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750D46">
            <w:pPr>
              <w:widowControl/>
              <w:jc w:val="center"/>
              <w:textAlignment w:val="center"/>
              <w:rPr>
                <w:rFonts w:eastAsia="仿宋_GB2312"/>
                <w:color w:val="000000"/>
                <w:sz w:val="32"/>
                <w:szCs w:val="32"/>
              </w:rPr>
            </w:pPr>
            <w:r>
              <w:rPr>
                <w:rFonts w:eastAsia="仿宋_GB2312"/>
                <w:color w:val="000000"/>
                <w:sz w:val="32"/>
                <w:szCs w:val="32"/>
              </w:rPr>
              <w:t>其它资金:</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3E88FA">
            <w:pPr>
              <w:jc w:val="center"/>
              <w:rPr>
                <w:rFonts w:eastAsia="仿宋_GB2312"/>
                <w:color w:val="000000"/>
                <w:sz w:val="32"/>
                <w:szCs w:val="32"/>
              </w:rPr>
            </w:pPr>
          </w:p>
        </w:tc>
      </w:tr>
      <w:tr w14:paraId="3F1689DA">
        <w:tblPrEx>
          <w:tblCellMar>
            <w:top w:w="0" w:type="dxa"/>
            <w:left w:w="0" w:type="dxa"/>
            <w:bottom w:w="0" w:type="dxa"/>
            <w:right w:w="0" w:type="dxa"/>
          </w:tblCellMar>
        </w:tblPrEx>
        <w:trPr>
          <w:gridAfter w:val="1"/>
          <w:wAfter w:w="1672" w:type="dxa"/>
          <w:trHeight w:val="276" w:hRule="atLeast"/>
        </w:trPr>
        <w:tc>
          <w:tcPr>
            <w:tcW w:w="200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ECB40E">
            <w:pPr>
              <w:widowControl/>
              <w:jc w:val="center"/>
              <w:textAlignment w:val="center"/>
              <w:rPr>
                <w:rFonts w:eastAsia="仿宋_GB2312"/>
                <w:color w:val="000000"/>
                <w:sz w:val="32"/>
                <w:szCs w:val="32"/>
              </w:rPr>
            </w:pPr>
            <w:r>
              <w:rPr>
                <w:rFonts w:eastAsia="仿宋_GB2312"/>
                <w:color w:val="000000"/>
                <w:sz w:val="32"/>
                <w:szCs w:val="32"/>
              </w:rPr>
              <w:t>年度目标完成情况</w:t>
            </w:r>
          </w:p>
        </w:tc>
        <w:tc>
          <w:tcPr>
            <w:tcW w:w="241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F5CC0F">
            <w:pPr>
              <w:widowControl/>
              <w:jc w:val="center"/>
              <w:textAlignment w:val="center"/>
              <w:rPr>
                <w:rFonts w:eastAsia="仿宋_GB2312"/>
                <w:color w:val="000000"/>
                <w:sz w:val="32"/>
                <w:szCs w:val="32"/>
              </w:rPr>
            </w:pPr>
            <w:r>
              <w:rPr>
                <w:rFonts w:eastAsia="仿宋_GB2312"/>
                <w:color w:val="000000"/>
                <w:sz w:val="32"/>
                <w:szCs w:val="32"/>
              </w:rPr>
              <w:t>预期目标</w:t>
            </w:r>
          </w:p>
        </w:tc>
        <w:tc>
          <w:tcPr>
            <w:tcW w:w="469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108F35">
            <w:pPr>
              <w:widowControl/>
              <w:jc w:val="center"/>
              <w:textAlignment w:val="center"/>
              <w:rPr>
                <w:rFonts w:eastAsia="仿宋_GB2312"/>
                <w:color w:val="000000"/>
                <w:sz w:val="32"/>
                <w:szCs w:val="32"/>
              </w:rPr>
            </w:pPr>
            <w:r>
              <w:rPr>
                <w:rFonts w:eastAsia="仿宋_GB2312"/>
                <w:color w:val="000000"/>
                <w:sz w:val="32"/>
                <w:szCs w:val="32"/>
              </w:rPr>
              <w:t>实际完成目标</w:t>
            </w:r>
          </w:p>
        </w:tc>
      </w:tr>
      <w:tr w14:paraId="4BB2383C">
        <w:tblPrEx>
          <w:tblCellMar>
            <w:top w:w="0" w:type="dxa"/>
            <w:left w:w="0" w:type="dxa"/>
            <w:bottom w:w="0" w:type="dxa"/>
            <w:right w:w="0" w:type="dxa"/>
          </w:tblCellMar>
        </w:tblPrEx>
        <w:trPr>
          <w:gridAfter w:val="1"/>
          <w:wAfter w:w="1672" w:type="dxa"/>
          <w:trHeight w:val="1159" w:hRule="atLeast"/>
        </w:trPr>
        <w:tc>
          <w:tcPr>
            <w:tcW w:w="2000" w:type="dxa"/>
            <w:vMerge w:val="continue"/>
            <w:tcBorders>
              <w:top w:val="single" w:color="000000" w:sz="4" w:space="0"/>
              <w:left w:val="single" w:color="000000" w:sz="4" w:space="0"/>
              <w:bottom w:val="single" w:color="000000" w:sz="4" w:space="0"/>
              <w:right w:val="single" w:color="000000" w:sz="4" w:space="0"/>
            </w:tcBorders>
            <w:vAlign w:val="center"/>
          </w:tcPr>
          <w:p w14:paraId="5DC8C785">
            <w:pPr>
              <w:widowControl/>
              <w:jc w:val="left"/>
              <w:rPr>
                <w:rFonts w:eastAsia="仿宋_GB2312"/>
                <w:color w:val="000000"/>
                <w:sz w:val="32"/>
                <w:szCs w:val="32"/>
              </w:rPr>
            </w:pPr>
          </w:p>
        </w:tc>
        <w:tc>
          <w:tcPr>
            <w:tcW w:w="241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8BC479">
            <w:pPr>
              <w:autoSpaceDE w:val="0"/>
              <w:autoSpaceDN w:val="0"/>
              <w:adjustRightInd w:val="0"/>
              <w:spacing w:line="600" w:lineRule="exact"/>
              <w:ind w:firstLine="640" w:firstLineChars="200"/>
              <w:jc w:val="left"/>
              <w:rPr>
                <w:rFonts w:eastAsia="仿宋_GB2312"/>
                <w:color w:val="000000"/>
                <w:sz w:val="32"/>
                <w:szCs w:val="32"/>
              </w:rPr>
            </w:pPr>
            <w:r>
              <w:rPr>
                <w:rFonts w:eastAsia="仿宋_GB2312"/>
                <w:sz w:val="32"/>
                <w:szCs w:val="32"/>
              </w:rPr>
              <w:t>材料采购计划2190.54万元，亮化监理采购计划33.72万元</w:t>
            </w:r>
          </w:p>
        </w:tc>
        <w:tc>
          <w:tcPr>
            <w:tcW w:w="469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479D09">
            <w:pPr>
              <w:autoSpaceDE w:val="0"/>
              <w:autoSpaceDN w:val="0"/>
              <w:adjustRightInd w:val="0"/>
              <w:spacing w:line="600" w:lineRule="exact"/>
              <w:ind w:firstLine="640" w:firstLineChars="200"/>
              <w:jc w:val="left"/>
              <w:rPr>
                <w:rFonts w:eastAsia="仿宋_GB2312"/>
                <w:color w:val="000000"/>
                <w:sz w:val="32"/>
                <w:szCs w:val="32"/>
              </w:rPr>
            </w:pPr>
            <w:r>
              <w:rPr>
                <w:rFonts w:eastAsia="仿宋_GB2312"/>
                <w:sz w:val="32"/>
                <w:szCs w:val="32"/>
              </w:rPr>
              <w:t>该项目材料采购资金扣除取消的广电中心和待完善资料的以外，已安装调试且运行正常部分按合同约定应支付的款项已全部到位，共1267.87万元。监理采购按合同已安排资金12.96万元。以上两项资金共计1280.83万元，到位率100%</w:t>
            </w:r>
          </w:p>
        </w:tc>
      </w:tr>
      <w:tr w14:paraId="4385E20A">
        <w:tblPrEx>
          <w:tblCellMar>
            <w:top w:w="0" w:type="dxa"/>
            <w:left w:w="0" w:type="dxa"/>
            <w:bottom w:w="0" w:type="dxa"/>
            <w:right w:w="0" w:type="dxa"/>
          </w:tblCellMar>
        </w:tblPrEx>
        <w:trPr>
          <w:gridAfter w:val="1"/>
          <w:wAfter w:w="1672" w:type="dxa"/>
          <w:trHeight w:val="1042" w:hRule="atLeast"/>
        </w:trPr>
        <w:tc>
          <w:tcPr>
            <w:tcW w:w="200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4A7E84">
            <w:pPr>
              <w:widowControl/>
              <w:jc w:val="center"/>
              <w:textAlignment w:val="center"/>
              <w:rPr>
                <w:rFonts w:eastAsia="仿宋_GB2312"/>
                <w:color w:val="000000"/>
                <w:sz w:val="32"/>
                <w:szCs w:val="32"/>
              </w:rPr>
            </w:pPr>
            <w:r>
              <w:rPr>
                <w:rFonts w:eastAsia="仿宋_GB2312"/>
                <w:color w:val="000000"/>
                <w:sz w:val="32"/>
                <w:szCs w:val="32"/>
              </w:rPr>
              <w:t>绩效指标完成情况</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7C8A5F">
            <w:pPr>
              <w:widowControl/>
              <w:jc w:val="center"/>
              <w:textAlignment w:val="center"/>
              <w:rPr>
                <w:rFonts w:eastAsia="仿宋_GB2312"/>
                <w:color w:val="000000"/>
                <w:sz w:val="32"/>
                <w:szCs w:val="32"/>
              </w:rPr>
            </w:pPr>
            <w:r>
              <w:rPr>
                <w:rFonts w:eastAsia="仿宋_GB2312"/>
                <w:color w:val="000000"/>
                <w:sz w:val="32"/>
                <w:szCs w:val="32"/>
              </w:rPr>
              <w:t>一级指标</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FE9BB">
            <w:pPr>
              <w:widowControl/>
              <w:jc w:val="center"/>
              <w:textAlignment w:val="center"/>
              <w:rPr>
                <w:rFonts w:eastAsia="仿宋_GB2312"/>
                <w:color w:val="000000"/>
                <w:sz w:val="32"/>
                <w:szCs w:val="32"/>
              </w:rPr>
            </w:pPr>
            <w:r>
              <w:rPr>
                <w:rFonts w:eastAsia="仿宋_GB2312"/>
                <w:color w:val="000000"/>
                <w:sz w:val="32"/>
                <w:szCs w:val="32"/>
              </w:rPr>
              <w:t>二级指标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72C040">
            <w:pPr>
              <w:widowControl/>
              <w:jc w:val="center"/>
              <w:textAlignment w:val="center"/>
              <w:rPr>
                <w:rFonts w:eastAsia="仿宋_GB2312"/>
                <w:color w:val="000000"/>
                <w:sz w:val="32"/>
                <w:szCs w:val="32"/>
              </w:rPr>
            </w:pPr>
            <w:r>
              <w:rPr>
                <w:rFonts w:eastAsia="仿宋_GB2312"/>
                <w:color w:val="000000"/>
                <w:sz w:val="32"/>
                <w:szCs w:val="32"/>
              </w:rPr>
              <w:t>三级指标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6DD87F">
            <w:pPr>
              <w:widowControl/>
              <w:jc w:val="center"/>
              <w:textAlignment w:val="center"/>
              <w:rPr>
                <w:rFonts w:eastAsia="仿宋_GB2312"/>
                <w:color w:val="000000"/>
                <w:sz w:val="32"/>
                <w:szCs w:val="32"/>
              </w:rPr>
            </w:pPr>
            <w:r>
              <w:rPr>
                <w:rFonts w:eastAsia="仿宋_GB2312"/>
                <w:color w:val="000000"/>
                <w:sz w:val="32"/>
                <w:szCs w:val="32"/>
              </w:rPr>
              <w:t>预期指标值(包含数字及文字描述)</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03E7E3">
            <w:pPr>
              <w:widowControl/>
              <w:jc w:val="center"/>
              <w:textAlignment w:val="center"/>
              <w:rPr>
                <w:rFonts w:eastAsia="仿宋_GB2312"/>
                <w:color w:val="000000"/>
                <w:sz w:val="32"/>
                <w:szCs w:val="32"/>
              </w:rPr>
            </w:pPr>
            <w:r>
              <w:rPr>
                <w:rFonts w:eastAsia="仿宋_GB2312"/>
                <w:color w:val="000000"/>
                <w:sz w:val="32"/>
                <w:szCs w:val="32"/>
              </w:rPr>
              <w:t>实际完成指标值(包含数字及文字描述)</w:t>
            </w:r>
          </w:p>
        </w:tc>
      </w:tr>
      <w:tr w14:paraId="5AFA20B1">
        <w:tblPrEx>
          <w:tblCellMar>
            <w:top w:w="0" w:type="dxa"/>
            <w:left w:w="0" w:type="dxa"/>
            <w:bottom w:w="0" w:type="dxa"/>
            <w:right w:w="0" w:type="dxa"/>
          </w:tblCellMar>
        </w:tblPrEx>
        <w:trPr>
          <w:gridAfter w:val="1"/>
          <w:wAfter w:w="1672" w:type="dxa"/>
          <w:trHeight w:val="953" w:hRule="atLeast"/>
        </w:trPr>
        <w:tc>
          <w:tcPr>
            <w:tcW w:w="2000" w:type="dxa"/>
            <w:vMerge w:val="continue"/>
            <w:tcBorders>
              <w:top w:val="single" w:color="000000" w:sz="4" w:space="0"/>
              <w:left w:val="single" w:color="000000" w:sz="4" w:space="0"/>
              <w:bottom w:val="single" w:color="000000" w:sz="4" w:space="0"/>
              <w:right w:val="single" w:color="000000" w:sz="4" w:space="0"/>
            </w:tcBorders>
            <w:vAlign w:val="center"/>
          </w:tcPr>
          <w:p w14:paraId="4658D2A8">
            <w:pPr>
              <w:widowControl/>
              <w:jc w:val="left"/>
              <w:rPr>
                <w:rFonts w:eastAsia="仿宋_GB2312"/>
                <w:color w:val="000000"/>
                <w:sz w:val="32"/>
                <w:szCs w:val="32"/>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E58BE1">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35055C">
            <w:pPr>
              <w:widowControl/>
              <w:jc w:val="center"/>
              <w:textAlignment w:val="center"/>
              <w:rPr>
                <w:rFonts w:eastAsia="仿宋_GB2312"/>
                <w:color w:val="000000"/>
                <w:sz w:val="32"/>
                <w:szCs w:val="32"/>
              </w:rPr>
            </w:pP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00C420">
            <w:pPr>
              <w:widowControl/>
              <w:jc w:val="center"/>
              <w:textAlignment w:val="center"/>
              <w:rPr>
                <w:rFonts w:eastAsia="仿宋_GB2312"/>
                <w:color w:val="000000"/>
                <w:sz w:val="32"/>
                <w:szCs w:val="32"/>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F63851">
            <w:pPr>
              <w:widowControl/>
              <w:jc w:val="center"/>
              <w:textAlignment w:val="center"/>
              <w:rPr>
                <w:rFonts w:eastAsia="仿宋_GB2312"/>
                <w:color w:val="000000"/>
                <w:sz w:val="32"/>
                <w:szCs w:val="32"/>
              </w:rPr>
            </w:pP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0A4629">
            <w:pPr>
              <w:widowControl/>
              <w:jc w:val="center"/>
              <w:textAlignment w:val="center"/>
              <w:rPr>
                <w:rFonts w:eastAsia="仿宋_GB2312"/>
                <w:color w:val="000000"/>
                <w:sz w:val="32"/>
                <w:szCs w:val="32"/>
              </w:rPr>
            </w:pPr>
          </w:p>
        </w:tc>
      </w:tr>
      <w:tr w14:paraId="71029834">
        <w:tblPrEx>
          <w:tblCellMar>
            <w:top w:w="0" w:type="dxa"/>
            <w:left w:w="0" w:type="dxa"/>
            <w:bottom w:w="0" w:type="dxa"/>
            <w:right w:w="0" w:type="dxa"/>
          </w:tblCellMar>
        </w:tblPrEx>
        <w:trPr>
          <w:gridAfter w:val="1"/>
          <w:wAfter w:w="1672" w:type="dxa"/>
          <w:trHeight w:val="1050" w:hRule="atLeast"/>
        </w:trPr>
        <w:tc>
          <w:tcPr>
            <w:tcW w:w="2000" w:type="dxa"/>
            <w:vMerge w:val="continue"/>
            <w:tcBorders>
              <w:top w:val="single" w:color="000000" w:sz="4" w:space="0"/>
              <w:left w:val="single" w:color="000000" w:sz="4" w:space="0"/>
              <w:bottom w:val="single" w:color="000000" w:sz="4" w:space="0"/>
              <w:right w:val="single" w:color="000000" w:sz="4" w:space="0"/>
            </w:tcBorders>
            <w:vAlign w:val="center"/>
          </w:tcPr>
          <w:p w14:paraId="49B7B4FE">
            <w:pPr>
              <w:widowControl/>
              <w:jc w:val="left"/>
              <w:rPr>
                <w:color w:val="000000"/>
                <w:sz w:val="44"/>
                <w:szCs w:val="4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71F814">
            <w:pPr>
              <w:widowControl/>
              <w:jc w:val="center"/>
              <w:textAlignment w:val="center"/>
              <w:rPr>
                <w:color w:val="000000"/>
                <w:sz w:val="44"/>
                <w:szCs w:val="44"/>
              </w:rPr>
            </w:pPr>
            <w:r>
              <w:rPr>
                <w:rFonts w:eastAsia="仿宋_GB2312"/>
                <w:color w:val="000000"/>
                <w:sz w:val="32"/>
                <w:szCs w:val="32"/>
              </w:rPr>
              <w:t>满意度指标</w:t>
            </w:r>
          </w:p>
        </w:tc>
        <w:tc>
          <w:tcPr>
            <w:tcW w:w="1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5847DA">
            <w:pPr>
              <w:widowControl/>
              <w:jc w:val="center"/>
              <w:textAlignment w:val="center"/>
              <w:rPr>
                <w:color w:val="000000"/>
                <w:sz w:val="44"/>
                <w:szCs w:val="44"/>
              </w:rPr>
            </w:pP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801EA0">
            <w:pPr>
              <w:widowControl/>
              <w:jc w:val="center"/>
              <w:textAlignment w:val="center"/>
              <w:rPr>
                <w:color w:val="000000"/>
                <w:sz w:val="44"/>
                <w:szCs w:val="44"/>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D4C9AF">
            <w:pPr>
              <w:widowControl/>
              <w:jc w:val="center"/>
              <w:textAlignment w:val="center"/>
              <w:rPr>
                <w:color w:val="000000"/>
                <w:sz w:val="44"/>
                <w:szCs w:val="44"/>
              </w:rPr>
            </w:pP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E738F9">
            <w:pPr>
              <w:widowControl/>
              <w:jc w:val="center"/>
              <w:textAlignment w:val="center"/>
              <w:rPr>
                <w:color w:val="000000"/>
                <w:sz w:val="44"/>
                <w:szCs w:val="44"/>
              </w:rPr>
            </w:pPr>
          </w:p>
        </w:tc>
      </w:tr>
    </w:tbl>
    <w:p w14:paraId="5686489E">
      <w:pPr>
        <w:autoSpaceDE w:val="0"/>
        <w:autoSpaceDN w:val="0"/>
        <w:adjustRightInd w:val="0"/>
        <w:spacing w:line="600" w:lineRule="exact"/>
        <w:ind w:firstLine="640" w:firstLineChars="200"/>
        <w:jc w:val="left"/>
        <w:rPr>
          <w:rFonts w:eastAsia="黑体"/>
          <w:sz w:val="32"/>
          <w:szCs w:val="32"/>
        </w:rPr>
      </w:pPr>
    </w:p>
    <w:p w14:paraId="1556BA42">
      <w:pPr>
        <w:autoSpaceDE w:val="0"/>
        <w:autoSpaceDN w:val="0"/>
        <w:adjustRightInd w:val="0"/>
        <w:spacing w:line="600" w:lineRule="exact"/>
        <w:ind w:firstLine="640" w:firstLineChars="200"/>
        <w:jc w:val="left"/>
        <w:rPr>
          <w:rFonts w:eastAsia="黑体"/>
          <w:sz w:val="32"/>
          <w:szCs w:val="32"/>
        </w:rPr>
      </w:pPr>
    </w:p>
    <w:p w14:paraId="1B8E7561">
      <w:pPr>
        <w:autoSpaceDE w:val="0"/>
        <w:autoSpaceDN w:val="0"/>
        <w:adjustRightInd w:val="0"/>
        <w:spacing w:line="600" w:lineRule="exact"/>
        <w:ind w:firstLine="640" w:firstLineChars="200"/>
        <w:jc w:val="left"/>
        <w:rPr>
          <w:rFonts w:eastAsia="黑体"/>
          <w:sz w:val="32"/>
          <w:szCs w:val="32"/>
        </w:rPr>
      </w:pPr>
    </w:p>
    <w:p w14:paraId="561955DE">
      <w:pPr>
        <w:autoSpaceDE w:val="0"/>
        <w:autoSpaceDN w:val="0"/>
        <w:adjustRightInd w:val="0"/>
        <w:spacing w:line="600" w:lineRule="exact"/>
        <w:ind w:firstLine="640" w:firstLineChars="200"/>
        <w:jc w:val="left"/>
        <w:rPr>
          <w:rFonts w:eastAsia="黑体"/>
          <w:sz w:val="32"/>
          <w:szCs w:val="32"/>
        </w:rPr>
      </w:pPr>
    </w:p>
    <w:p w14:paraId="730E7905">
      <w:pPr>
        <w:autoSpaceDE w:val="0"/>
        <w:autoSpaceDN w:val="0"/>
        <w:adjustRightInd w:val="0"/>
        <w:spacing w:line="600" w:lineRule="exact"/>
        <w:ind w:firstLine="640" w:firstLineChars="200"/>
        <w:jc w:val="left"/>
        <w:rPr>
          <w:rFonts w:eastAsia="黑体"/>
          <w:sz w:val="32"/>
          <w:szCs w:val="32"/>
        </w:rPr>
      </w:pPr>
    </w:p>
    <w:p w14:paraId="26FCE34E">
      <w:pPr>
        <w:autoSpaceDE w:val="0"/>
        <w:autoSpaceDN w:val="0"/>
        <w:adjustRightInd w:val="0"/>
        <w:spacing w:line="560" w:lineRule="exact"/>
        <w:ind w:firstLine="640" w:firstLineChars="200"/>
        <w:jc w:val="left"/>
        <w:rPr>
          <w:rFonts w:eastAsia="黑体"/>
          <w:sz w:val="32"/>
          <w:szCs w:val="32"/>
        </w:rPr>
      </w:pPr>
      <w:r>
        <w:rPr>
          <w:rFonts w:eastAsia="黑体"/>
          <w:sz w:val="32"/>
          <w:szCs w:val="32"/>
        </w:rPr>
        <w:t>3. “米易县旧城区雨污管网分流改造工程“项目绩效目标完成情况综述。</w:t>
      </w:r>
    </w:p>
    <w:p w14:paraId="5DF82762">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为解决部分小区雨污未分流及堵塞问题，保障污水处理厂的正常运行，经县政府研究决定，由我局实施米易县旧城区雨污管网分流改造工程。项目内容及规模：安宁路东侧人民路至府城路段、育才路东段铺设雨水管网1.45千米，原管网作为污水管网；绿阳生活广场靠214省道侧的利民路至铁路桥段铺设雨、污管网各0.35千米，并与米易县贤家新区柳溪河道路改造工程连接。项目总投资：540万元；资金来源为宜居城市建设资金（上级资金）；建设地点：米易县城区；建设时间：2017年9月-2018年1月。</w:t>
      </w:r>
    </w:p>
    <w:p w14:paraId="1C9F7938">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该项目计划总投资540万元，合同总价为363.0439万元。</w:t>
      </w:r>
    </w:p>
    <w:p w14:paraId="1FBE2A65">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截止评价时点，按照合同约定应支付该项目工程进度款225万元已全部到位（川财投[2017]9号“宜居县城建设资金”，资金到位率100%，到位及时。</w:t>
      </w:r>
    </w:p>
    <w:p w14:paraId="74FE6422">
      <w:pPr>
        <w:spacing w:line="560" w:lineRule="exact"/>
        <w:ind w:firstLine="640" w:firstLineChars="200"/>
        <w:rPr>
          <w:rFonts w:eastAsia="仿宋_GB2312"/>
          <w:sz w:val="32"/>
          <w:szCs w:val="32"/>
        </w:rPr>
      </w:pPr>
      <w:r>
        <w:rPr>
          <w:rFonts w:eastAsia="仿宋_GB2312"/>
          <w:sz w:val="32"/>
          <w:szCs w:val="32"/>
        </w:rPr>
        <w:t>项目合同总价为363.0439万元，由于绿阳生活广场段外侧居民自建房存在安全隐患，所以项目完成80%，即实际完成投资281.28万元，本项目按照合同约定时间节点完成工期要求。</w:t>
      </w:r>
    </w:p>
    <w:p w14:paraId="2E75C1DD">
      <w:pPr>
        <w:autoSpaceDE w:val="0"/>
        <w:autoSpaceDN w:val="0"/>
        <w:adjustRightInd w:val="0"/>
        <w:spacing w:line="560" w:lineRule="exact"/>
        <w:ind w:firstLine="640" w:firstLineChars="200"/>
        <w:rPr>
          <w:rFonts w:eastAsia="仿宋_GB2312"/>
          <w:sz w:val="32"/>
          <w:szCs w:val="32"/>
        </w:rPr>
      </w:pPr>
      <w:r>
        <w:rPr>
          <w:rFonts w:eastAsia="仿宋_GB2312"/>
          <w:sz w:val="32"/>
          <w:szCs w:val="32"/>
        </w:rPr>
        <w:t>从项目经济效益、社会效益、生态效益、可持续效益以及服务对象满意度等方面对项目效益进行全面分析评价</w:t>
      </w:r>
      <w:r>
        <w:rPr>
          <w:rFonts w:hint="eastAsia" w:eastAsia="仿宋_GB2312"/>
          <w:sz w:val="32"/>
          <w:szCs w:val="32"/>
        </w:rPr>
        <w:t>。</w:t>
      </w:r>
    </w:p>
    <w:p w14:paraId="265C3DFC">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评价结论：保障污水处理厂的正常运行，解决部分小区雨污未分流及堵塞问题，改善民生，促进社会和谐，优化城市发展打下基础</w:t>
      </w:r>
      <w:r>
        <w:rPr>
          <w:rFonts w:hint="eastAsia" w:eastAsia="仿宋_GB2312"/>
          <w:sz w:val="32"/>
          <w:szCs w:val="32"/>
        </w:rPr>
        <w:t>。</w:t>
      </w:r>
    </w:p>
    <w:p w14:paraId="2182421F">
      <w:pPr>
        <w:autoSpaceDE w:val="0"/>
        <w:autoSpaceDN w:val="0"/>
        <w:adjustRightInd w:val="0"/>
        <w:spacing w:line="560" w:lineRule="exact"/>
        <w:ind w:firstLine="643" w:firstLineChars="200"/>
        <w:jc w:val="left"/>
        <w:rPr>
          <w:rFonts w:eastAsia="仿宋_GB2312"/>
          <w:sz w:val="32"/>
          <w:szCs w:val="32"/>
        </w:rPr>
      </w:pPr>
      <w:r>
        <w:rPr>
          <w:rFonts w:eastAsia="仿宋_GB2312"/>
          <w:b/>
          <w:bCs/>
          <w:sz w:val="32"/>
          <w:szCs w:val="32"/>
        </w:rPr>
        <w:t>存在问题：一是</w:t>
      </w:r>
      <w:r>
        <w:rPr>
          <w:rFonts w:eastAsia="仿宋_GB2312"/>
          <w:sz w:val="32"/>
          <w:szCs w:val="32"/>
        </w:rPr>
        <w:t>施工人员作业阶段忽视自身安全，违规操作引发的安全隐患；</w:t>
      </w:r>
      <w:r>
        <w:rPr>
          <w:rFonts w:eastAsia="仿宋_GB2312"/>
          <w:b/>
          <w:bCs/>
          <w:sz w:val="32"/>
          <w:szCs w:val="32"/>
        </w:rPr>
        <w:t>二是</w:t>
      </w:r>
      <w:r>
        <w:rPr>
          <w:rFonts w:eastAsia="仿宋_GB2312"/>
          <w:sz w:val="32"/>
          <w:szCs w:val="32"/>
        </w:rPr>
        <w:t>项目整体实施中忽视质量问题引发的质量安全;</w:t>
      </w:r>
      <w:r>
        <w:rPr>
          <w:rFonts w:eastAsia="仿宋_GB2312"/>
          <w:b/>
          <w:bCs/>
          <w:sz w:val="32"/>
          <w:szCs w:val="32"/>
        </w:rPr>
        <w:t>三是</w:t>
      </w:r>
      <w:r>
        <w:rPr>
          <w:rFonts w:eastAsia="仿宋_GB2312"/>
          <w:sz w:val="32"/>
          <w:szCs w:val="32"/>
        </w:rPr>
        <w:t>农民自建房房屋基础与省道距离过近，我局无法与房屋所有人协商一致，导致项目进度缓慢。</w:t>
      </w:r>
    </w:p>
    <w:p w14:paraId="1ECB44C7">
      <w:pPr>
        <w:spacing w:line="560" w:lineRule="exact"/>
        <w:ind w:firstLine="640" w:firstLineChars="200"/>
        <w:rPr>
          <w:rFonts w:eastAsia="仿宋_GB2312"/>
          <w:sz w:val="32"/>
          <w:szCs w:val="32"/>
        </w:rPr>
      </w:pPr>
      <w:r>
        <w:rPr>
          <w:rFonts w:eastAsia="仿宋_GB2312"/>
          <w:sz w:val="32"/>
          <w:szCs w:val="32"/>
        </w:rPr>
        <w:t>进一步改进措施：1.城管局工作人员要加强对施工方安全教育宣传，在作业阶段必须按照要求穿戴安全帽、穿反光背心，避免发生人身安全事故；2.安排工作人员不定期的前往施工现场进行考核监督，加强与监理方的联系与沟通，发现安全隐患及时要求施工方进行整改；3.我局要牢牢把控工程质量，保证工期的前提下高质量完工；4.对于工程涉及占用施工道路无法协调的问题，建议相关部门进行协调。</w:t>
      </w:r>
    </w:p>
    <w:tbl>
      <w:tblPr>
        <w:tblStyle w:val="13"/>
        <w:tblpPr w:leftFromText="180" w:rightFromText="180" w:vertAnchor="text" w:horzAnchor="page" w:tblpXSpec="center" w:tblpY="423"/>
        <w:tblOverlap w:val="never"/>
        <w:tblW w:w="10207" w:type="dxa"/>
        <w:tblInd w:w="0" w:type="dxa"/>
        <w:tblLayout w:type="fixed"/>
        <w:tblCellMar>
          <w:top w:w="0" w:type="dxa"/>
          <w:left w:w="0" w:type="dxa"/>
          <w:bottom w:w="0" w:type="dxa"/>
          <w:right w:w="0" w:type="dxa"/>
        </w:tblCellMar>
      </w:tblPr>
      <w:tblGrid>
        <w:gridCol w:w="1778"/>
        <w:gridCol w:w="1367"/>
        <w:gridCol w:w="1025"/>
        <w:gridCol w:w="2392"/>
        <w:gridCol w:w="2394"/>
        <w:gridCol w:w="1251"/>
      </w:tblGrid>
      <w:tr w14:paraId="49B6DD50">
        <w:tblPrEx>
          <w:tblCellMar>
            <w:top w:w="0" w:type="dxa"/>
            <w:left w:w="0" w:type="dxa"/>
            <w:bottom w:w="0" w:type="dxa"/>
            <w:right w:w="0" w:type="dxa"/>
          </w:tblCellMar>
        </w:tblPrEx>
        <w:trPr>
          <w:trHeight w:val="1034" w:hRule="atLeast"/>
        </w:trPr>
        <w:tc>
          <w:tcPr>
            <w:tcW w:w="10207" w:type="dxa"/>
            <w:gridSpan w:val="6"/>
            <w:tcMar>
              <w:top w:w="15" w:type="dxa"/>
              <w:left w:w="15" w:type="dxa"/>
              <w:bottom w:w="0" w:type="dxa"/>
              <w:right w:w="15" w:type="dxa"/>
            </w:tcMar>
            <w:vAlign w:val="center"/>
          </w:tcPr>
          <w:p w14:paraId="35ACCE51">
            <w:pPr>
              <w:pStyle w:val="28"/>
              <w:widowControl/>
              <w:ind w:left="4358" w:leftChars="1310" w:hanging="1738" w:hangingChars="395"/>
              <w:textAlignment w:val="center"/>
              <w:rPr>
                <w:rFonts w:eastAsia="黑体"/>
                <w:color w:val="000000"/>
                <w:sz w:val="44"/>
                <w:szCs w:val="44"/>
              </w:rPr>
            </w:pPr>
            <w:r>
              <w:rPr>
                <w:rFonts w:eastAsia="黑体"/>
                <w:color w:val="000000"/>
                <w:sz w:val="44"/>
                <w:szCs w:val="44"/>
              </w:rPr>
              <w:t>项目支出绩效目标完成情况表</w:t>
            </w:r>
            <w:r>
              <w:rPr>
                <w:rFonts w:eastAsia="黑体"/>
                <w:b/>
                <w:bCs/>
                <w:color w:val="000000"/>
                <w:sz w:val="44"/>
                <w:szCs w:val="44"/>
              </w:rPr>
              <w:br w:type="textWrapping"/>
            </w:r>
            <w:r>
              <w:rPr>
                <w:rFonts w:eastAsia="黑体"/>
                <w:color w:val="000000"/>
                <w:sz w:val="44"/>
                <w:szCs w:val="44"/>
              </w:rPr>
              <w:t>(2018 年度)</w:t>
            </w:r>
          </w:p>
        </w:tc>
      </w:tr>
      <w:tr w14:paraId="1DEED445">
        <w:tblPrEx>
          <w:tblCellMar>
            <w:top w:w="0" w:type="dxa"/>
            <w:left w:w="0" w:type="dxa"/>
            <w:bottom w:w="0" w:type="dxa"/>
            <w:right w:w="0" w:type="dxa"/>
          </w:tblCellMar>
        </w:tblPrEx>
        <w:trPr>
          <w:trHeight w:val="276" w:hRule="atLeast"/>
        </w:trPr>
        <w:tc>
          <w:tcPr>
            <w:tcW w:w="417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0C708B">
            <w:pPr>
              <w:widowControl/>
              <w:jc w:val="center"/>
              <w:textAlignment w:val="center"/>
              <w:rPr>
                <w:rFonts w:eastAsia="仿宋_GB2312"/>
                <w:color w:val="000000"/>
                <w:sz w:val="32"/>
                <w:szCs w:val="32"/>
              </w:rPr>
            </w:pPr>
            <w:r>
              <w:rPr>
                <w:rFonts w:eastAsia="仿宋_GB2312"/>
                <w:color w:val="000000"/>
                <w:sz w:val="32"/>
                <w:szCs w:val="32"/>
              </w:rPr>
              <w:t>项目名称</w:t>
            </w:r>
          </w:p>
        </w:tc>
        <w:tc>
          <w:tcPr>
            <w:tcW w:w="60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55DDB">
            <w:pPr>
              <w:widowControl/>
              <w:jc w:val="center"/>
              <w:textAlignment w:val="center"/>
              <w:rPr>
                <w:rFonts w:eastAsia="仿宋_GB2312"/>
                <w:color w:val="000000"/>
                <w:sz w:val="32"/>
                <w:szCs w:val="32"/>
              </w:rPr>
            </w:pPr>
            <w:r>
              <w:rPr>
                <w:rFonts w:eastAsia="仿宋_GB2312"/>
                <w:sz w:val="32"/>
                <w:szCs w:val="32"/>
              </w:rPr>
              <w:t>米易县旧城区雨污管网分流改造工程</w:t>
            </w:r>
          </w:p>
        </w:tc>
      </w:tr>
      <w:tr w14:paraId="1B7D0FEC">
        <w:tblPrEx>
          <w:tblCellMar>
            <w:top w:w="0" w:type="dxa"/>
            <w:left w:w="0" w:type="dxa"/>
            <w:bottom w:w="0" w:type="dxa"/>
            <w:right w:w="0" w:type="dxa"/>
          </w:tblCellMar>
        </w:tblPrEx>
        <w:trPr>
          <w:trHeight w:val="276" w:hRule="atLeast"/>
        </w:trPr>
        <w:tc>
          <w:tcPr>
            <w:tcW w:w="417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7BE82">
            <w:pPr>
              <w:widowControl/>
              <w:jc w:val="center"/>
              <w:textAlignment w:val="center"/>
              <w:rPr>
                <w:rFonts w:eastAsia="仿宋_GB2312"/>
                <w:color w:val="000000"/>
                <w:sz w:val="32"/>
                <w:szCs w:val="32"/>
              </w:rPr>
            </w:pPr>
            <w:r>
              <w:rPr>
                <w:rFonts w:eastAsia="仿宋_GB2312"/>
                <w:color w:val="000000"/>
                <w:sz w:val="32"/>
                <w:szCs w:val="32"/>
              </w:rPr>
              <w:t>预算单位</w:t>
            </w:r>
          </w:p>
        </w:tc>
        <w:tc>
          <w:tcPr>
            <w:tcW w:w="60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E75AC8">
            <w:pPr>
              <w:widowControl/>
              <w:jc w:val="center"/>
              <w:textAlignment w:val="center"/>
              <w:rPr>
                <w:rFonts w:eastAsia="仿宋_GB2312"/>
                <w:color w:val="000000"/>
                <w:sz w:val="32"/>
                <w:szCs w:val="32"/>
              </w:rPr>
            </w:pPr>
            <w:r>
              <w:rPr>
                <w:rFonts w:eastAsia="仿宋_GB2312"/>
                <w:color w:val="000000"/>
                <w:sz w:val="32"/>
                <w:szCs w:val="32"/>
              </w:rPr>
              <w:t>米易县城市管理局</w:t>
            </w:r>
          </w:p>
        </w:tc>
      </w:tr>
      <w:tr w14:paraId="7F4D5905">
        <w:tblPrEx>
          <w:tblCellMar>
            <w:top w:w="0" w:type="dxa"/>
            <w:left w:w="0" w:type="dxa"/>
            <w:bottom w:w="0" w:type="dxa"/>
            <w:right w:w="0" w:type="dxa"/>
          </w:tblCellMar>
        </w:tblPrEx>
        <w:trPr>
          <w:trHeight w:val="276" w:hRule="atLeast"/>
        </w:trPr>
        <w:tc>
          <w:tcPr>
            <w:tcW w:w="17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849859">
            <w:pPr>
              <w:widowControl/>
              <w:jc w:val="center"/>
              <w:textAlignment w:val="center"/>
              <w:rPr>
                <w:rFonts w:eastAsia="仿宋_GB2312"/>
                <w:color w:val="000000"/>
                <w:sz w:val="32"/>
                <w:szCs w:val="32"/>
              </w:rPr>
            </w:pPr>
            <w:r>
              <w:rPr>
                <w:rFonts w:eastAsia="仿宋_GB2312"/>
                <w:color w:val="000000"/>
                <w:sz w:val="32"/>
                <w:szCs w:val="32"/>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712E88">
            <w:pPr>
              <w:widowControl/>
              <w:jc w:val="center"/>
              <w:textAlignment w:val="center"/>
              <w:rPr>
                <w:rFonts w:eastAsia="仿宋_GB2312"/>
                <w:color w:val="000000"/>
                <w:sz w:val="32"/>
                <w:szCs w:val="32"/>
              </w:rPr>
            </w:pPr>
            <w:r>
              <w:rPr>
                <w:rFonts w:eastAsia="仿宋_GB2312"/>
                <w:color w:val="00000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B889D7">
            <w:pPr>
              <w:widowControl/>
              <w:jc w:val="center"/>
              <w:textAlignment w:val="center"/>
              <w:rPr>
                <w:rFonts w:eastAsia="仿宋_GB2312"/>
                <w:color w:val="000000"/>
                <w:sz w:val="32"/>
                <w:szCs w:val="32"/>
              </w:rPr>
            </w:pPr>
            <w:r>
              <w:rPr>
                <w:rFonts w:eastAsia="仿宋_GB2312"/>
                <w:sz w:val="32"/>
                <w:szCs w:val="32"/>
              </w:rPr>
              <w:t>225.00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F0CA72">
            <w:pPr>
              <w:widowControl/>
              <w:jc w:val="center"/>
              <w:textAlignment w:val="center"/>
              <w:rPr>
                <w:rFonts w:eastAsia="仿宋_GB2312"/>
                <w:color w:val="000000"/>
                <w:sz w:val="32"/>
                <w:szCs w:val="32"/>
              </w:rPr>
            </w:pPr>
            <w:r>
              <w:rPr>
                <w:rFonts w:eastAsia="仿宋_GB2312"/>
                <w:color w:val="000000"/>
                <w:sz w:val="32"/>
                <w:szCs w:val="32"/>
              </w:rPr>
              <w:t>执行数:</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4B455C">
            <w:pPr>
              <w:widowControl/>
              <w:jc w:val="center"/>
              <w:textAlignment w:val="center"/>
              <w:rPr>
                <w:rFonts w:eastAsia="仿宋_GB2312"/>
                <w:color w:val="000000"/>
                <w:sz w:val="32"/>
                <w:szCs w:val="32"/>
              </w:rPr>
            </w:pPr>
            <w:r>
              <w:rPr>
                <w:rFonts w:eastAsia="仿宋_GB2312"/>
                <w:color w:val="000000"/>
                <w:sz w:val="32"/>
                <w:szCs w:val="32"/>
              </w:rPr>
              <w:t>225.00</w:t>
            </w:r>
          </w:p>
        </w:tc>
      </w:tr>
      <w:tr w14:paraId="4A71290C">
        <w:tblPrEx>
          <w:tblCellMar>
            <w:top w:w="0" w:type="dxa"/>
            <w:left w:w="0" w:type="dxa"/>
            <w:bottom w:w="0" w:type="dxa"/>
            <w:right w:w="0" w:type="dxa"/>
          </w:tblCellMar>
        </w:tblPrEx>
        <w:trPr>
          <w:trHeight w:val="276"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5BB8D173">
            <w:pPr>
              <w:widowControl/>
              <w:jc w:val="left"/>
              <w:rPr>
                <w:rFonts w:eastAsia="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613100">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49BD9">
            <w:pPr>
              <w:widowControl/>
              <w:jc w:val="center"/>
              <w:textAlignment w:val="center"/>
              <w:rPr>
                <w:rFonts w:eastAsia="仿宋_GB2312"/>
                <w:color w:val="000000"/>
                <w:sz w:val="32"/>
                <w:szCs w:val="32"/>
              </w:rPr>
            </w:pPr>
            <w:r>
              <w:rPr>
                <w:rFonts w:eastAsia="仿宋_GB2312"/>
                <w:sz w:val="32"/>
                <w:szCs w:val="32"/>
              </w:rPr>
              <w:t>225.00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E21D6">
            <w:pPr>
              <w:widowControl/>
              <w:jc w:val="center"/>
              <w:textAlignment w:val="center"/>
              <w:rPr>
                <w:rFonts w:eastAsia="仿宋_GB2312"/>
                <w:color w:val="000000"/>
                <w:sz w:val="32"/>
                <w:szCs w:val="32"/>
              </w:rPr>
            </w:pPr>
            <w:r>
              <w:rPr>
                <w:rFonts w:eastAsia="仿宋_GB2312"/>
                <w:color w:val="000000"/>
                <w:sz w:val="32"/>
                <w:szCs w:val="32"/>
              </w:rPr>
              <w:t>其中-财政拨款:</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58BAE2">
            <w:pPr>
              <w:widowControl/>
              <w:jc w:val="center"/>
              <w:textAlignment w:val="center"/>
              <w:rPr>
                <w:rFonts w:eastAsia="仿宋_GB2312"/>
                <w:color w:val="000000"/>
                <w:sz w:val="32"/>
                <w:szCs w:val="32"/>
              </w:rPr>
            </w:pPr>
            <w:r>
              <w:rPr>
                <w:rFonts w:eastAsia="仿宋_GB2312"/>
                <w:color w:val="000000"/>
                <w:sz w:val="32"/>
                <w:szCs w:val="32"/>
              </w:rPr>
              <w:t>225.00</w:t>
            </w:r>
          </w:p>
        </w:tc>
      </w:tr>
      <w:tr w14:paraId="4DA9F9A0">
        <w:tblPrEx>
          <w:tblCellMar>
            <w:top w:w="0" w:type="dxa"/>
            <w:left w:w="0" w:type="dxa"/>
            <w:bottom w:w="0" w:type="dxa"/>
            <w:right w:w="0" w:type="dxa"/>
          </w:tblCellMar>
        </w:tblPrEx>
        <w:trPr>
          <w:trHeight w:val="1511"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631D6B19">
            <w:pPr>
              <w:widowControl/>
              <w:jc w:val="left"/>
              <w:rPr>
                <w:rFonts w:eastAsia="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EDB31">
            <w:pPr>
              <w:widowControl/>
              <w:jc w:val="center"/>
              <w:textAlignment w:val="center"/>
              <w:rPr>
                <w:rFonts w:eastAsia="仿宋_GB2312"/>
                <w:color w:val="000000"/>
                <w:sz w:val="32"/>
                <w:szCs w:val="32"/>
              </w:rPr>
            </w:pPr>
            <w:r>
              <w:rPr>
                <w:rFonts w:eastAsia="仿宋_GB2312"/>
                <w:color w:val="00000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C3BF23">
            <w:pPr>
              <w:widowControl/>
              <w:jc w:val="center"/>
              <w:textAlignment w:val="center"/>
              <w:rPr>
                <w:rFonts w:eastAsia="仿宋_GB2312"/>
                <w:color w:val="000000"/>
                <w:sz w:val="32"/>
                <w:szCs w:val="32"/>
              </w:rPr>
            </w:pPr>
            <w:r>
              <w:rPr>
                <w:rFonts w:eastAsia="仿宋_GB2312"/>
                <w:color w:val="00000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5AC8AE">
            <w:pPr>
              <w:widowControl/>
              <w:jc w:val="center"/>
              <w:textAlignment w:val="center"/>
              <w:rPr>
                <w:rFonts w:eastAsia="仿宋_GB2312"/>
                <w:color w:val="000000"/>
                <w:sz w:val="32"/>
                <w:szCs w:val="32"/>
              </w:rPr>
            </w:pPr>
            <w:r>
              <w:rPr>
                <w:rFonts w:eastAsia="仿宋_GB2312"/>
                <w:color w:val="000000"/>
                <w:sz w:val="32"/>
                <w:szCs w:val="32"/>
              </w:rPr>
              <w:t>其它资金:</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F32622">
            <w:pPr>
              <w:jc w:val="center"/>
              <w:rPr>
                <w:rFonts w:eastAsia="仿宋_GB2312"/>
                <w:color w:val="000000"/>
                <w:sz w:val="32"/>
                <w:szCs w:val="32"/>
              </w:rPr>
            </w:pPr>
          </w:p>
        </w:tc>
      </w:tr>
      <w:tr w14:paraId="58307100">
        <w:tblPrEx>
          <w:tblCellMar>
            <w:top w:w="0" w:type="dxa"/>
            <w:left w:w="0" w:type="dxa"/>
            <w:bottom w:w="0" w:type="dxa"/>
            <w:right w:w="0" w:type="dxa"/>
          </w:tblCellMar>
        </w:tblPrEx>
        <w:trPr>
          <w:trHeight w:val="276" w:hRule="atLeast"/>
        </w:trPr>
        <w:tc>
          <w:tcPr>
            <w:tcW w:w="17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8A2926">
            <w:pPr>
              <w:widowControl/>
              <w:jc w:val="center"/>
              <w:textAlignment w:val="center"/>
              <w:rPr>
                <w:rFonts w:eastAsia="仿宋_GB2312"/>
                <w:color w:val="000000"/>
                <w:sz w:val="32"/>
                <w:szCs w:val="32"/>
              </w:rPr>
            </w:pPr>
            <w:r>
              <w:rPr>
                <w:rFonts w:eastAsia="仿宋_GB2312"/>
                <w:color w:val="000000"/>
                <w:sz w:val="32"/>
                <w:szCs w:val="32"/>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04C4F9">
            <w:pPr>
              <w:widowControl/>
              <w:jc w:val="center"/>
              <w:textAlignment w:val="center"/>
              <w:rPr>
                <w:rFonts w:eastAsia="仿宋_GB2312"/>
                <w:color w:val="000000"/>
                <w:sz w:val="32"/>
                <w:szCs w:val="32"/>
              </w:rPr>
            </w:pPr>
            <w:r>
              <w:rPr>
                <w:rFonts w:eastAsia="仿宋_GB2312"/>
                <w:color w:val="000000"/>
                <w:sz w:val="32"/>
                <w:szCs w:val="32"/>
              </w:rPr>
              <w:t>预期目标</w:t>
            </w:r>
          </w:p>
        </w:tc>
        <w:tc>
          <w:tcPr>
            <w:tcW w:w="3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4DC047">
            <w:pPr>
              <w:widowControl/>
              <w:jc w:val="center"/>
              <w:textAlignment w:val="center"/>
              <w:rPr>
                <w:rFonts w:eastAsia="仿宋_GB2312"/>
                <w:color w:val="000000"/>
                <w:sz w:val="32"/>
                <w:szCs w:val="32"/>
              </w:rPr>
            </w:pPr>
            <w:r>
              <w:rPr>
                <w:rFonts w:eastAsia="仿宋_GB2312"/>
                <w:color w:val="000000"/>
                <w:sz w:val="32"/>
                <w:szCs w:val="32"/>
              </w:rPr>
              <w:t>实际完成目标</w:t>
            </w:r>
          </w:p>
        </w:tc>
      </w:tr>
      <w:tr w14:paraId="524FFB6A">
        <w:tblPrEx>
          <w:tblCellMar>
            <w:top w:w="0" w:type="dxa"/>
            <w:left w:w="0" w:type="dxa"/>
            <w:bottom w:w="0" w:type="dxa"/>
            <w:right w:w="0" w:type="dxa"/>
          </w:tblCellMar>
        </w:tblPrEx>
        <w:trPr>
          <w:trHeight w:val="1159"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16E0E5F1">
            <w:pPr>
              <w:widowControl/>
              <w:jc w:val="left"/>
              <w:rPr>
                <w:rFonts w:eastAsia="仿宋_GB2312"/>
                <w:color w:val="000000"/>
                <w:sz w:val="32"/>
                <w:szCs w:val="3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DF901">
            <w:pPr>
              <w:autoSpaceDE w:val="0"/>
              <w:autoSpaceDN w:val="0"/>
              <w:adjustRightInd w:val="0"/>
              <w:spacing w:line="600" w:lineRule="exact"/>
              <w:ind w:firstLine="640" w:firstLineChars="200"/>
              <w:jc w:val="left"/>
              <w:rPr>
                <w:rFonts w:eastAsia="仿宋_GB2312"/>
                <w:color w:val="000000"/>
                <w:sz w:val="32"/>
                <w:szCs w:val="32"/>
              </w:rPr>
            </w:pPr>
            <w:r>
              <w:rPr>
                <w:rFonts w:eastAsia="仿宋_GB2312"/>
                <w:sz w:val="32"/>
                <w:szCs w:val="32"/>
              </w:rPr>
              <w:t>安宁路东侧人民路至府城路段、育才路东段铺设雨水管网1.45千米；绿阳生活广场靠214省道侧的利民路至铁路桥段铺设雨、污管网各0.35千米，并与米易县贤家新区柳溪河道路改造工程连接</w:t>
            </w:r>
          </w:p>
        </w:tc>
        <w:tc>
          <w:tcPr>
            <w:tcW w:w="3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22CA32">
            <w:pPr>
              <w:autoSpaceDE w:val="0"/>
              <w:autoSpaceDN w:val="0"/>
              <w:adjustRightInd w:val="0"/>
              <w:spacing w:line="600" w:lineRule="exact"/>
              <w:ind w:firstLine="640" w:firstLineChars="200"/>
              <w:jc w:val="left"/>
              <w:rPr>
                <w:rFonts w:eastAsia="仿宋_GB2312"/>
                <w:color w:val="000000"/>
                <w:sz w:val="32"/>
                <w:szCs w:val="32"/>
              </w:rPr>
            </w:pPr>
            <w:r>
              <w:rPr>
                <w:rFonts w:eastAsia="仿宋_GB2312"/>
                <w:sz w:val="32"/>
                <w:szCs w:val="32"/>
              </w:rPr>
              <w:t>安宁路东侧人民路至府城路段、育才路东段铺设雨水管网1.45千米；绿阳生活广场靠214省道侧的利民路至铁路桥段铺设雨、污管网各0.35千米，并与米易县贤家新区柳溪河道路改造工程连接</w:t>
            </w:r>
          </w:p>
        </w:tc>
      </w:tr>
      <w:tr w14:paraId="58DFD1B8">
        <w:tblPrEx>
          <w:tblCellMar>
            <w:top w:w="0" w:type="dxa"/>
            <w:left w:w="0" w:type="dxa"/>
            <w:bottom w:w="0" w:type="dxa"/>
            <w:right w:w="0" w:type="dxa"/>
          </w:tblCellMar>
        </w:tblPrEx>
        <w:trPr>
          <w:trHeight w:val="1042" w:hRule="atLeast"/>
        </w:trPr>
        <w:tc>
          <w:tcPr>
            <w:tcW w:w="177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7D6D32">
            <w:pPr>
              <w:widowControl/>
              <w:jc w:val="center"/>
              <w:textAlignment w:val="center"/>
              <w:rPr>
                <w:rFonts w:eastAsia="仿宋_GB2312"/>
                <w:color w:val="000000"/>
                <w:sz w:val="32"/>
                <w:szCs w:val="32"/>
              </w:rPr>
            </w:pPr>
            <w:r>
              <w:rPr>
                <w:rFonts w:eastAsia="仿宋_GB2312"/>
                <w:color w:val="000000"/>
                <w:sz w:val="32"/>
                <w:szCs w:val="32"/>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300E11">
            <w:pPr>
              <w:widowControl/>
              <w:jc w:val="center"/>
              <w:textAlignment w:val="center"/>
              <w:rPr>
                <w:rFonts w:eastAsia="仿宋_GB2312"/>
                <w:color w:val="000000"/>
                <w:sz w:val="32"/>
                <w:szCs w:val="32"/>
              </w:rPr>
            </w:pPr>
            <w:r>
              <w:rPr>
                <w:rFonts w:eastAsia="仿宋_GB2312"/>
                <w:color w:val="00000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DF316D">
            <w:pPr>
              <w:widowControl/>
              <w:jc w:val="center"/>
              <w:textAlignment w:val="center"/>
              <w:rPr>
                <w:rFonts w:eastAsia="仿宋_GB2312"/>
                <w:color w:val="000000"/>
                <w:sz w:val="32"/>
                <w:szCs w:val="32"/>
              </w:rPr>
            </w:pPr>
            <w:r>
              <w:rPr>
                <w:rFonts w:eastAsia="仿宋_GB2312"/>
                <w:color w:val="00000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BDF6E6">
            <w:pPr>
              <w:widowControl/>
              <w:jc w:val="center"/>
              <w:textAlignment w:val="center"/>
              <w:rPr>
                <w:rFonts w:eastAsia="仿宋_GB2312"/>
                <w:color w:val="000000"/>
                <w:sz w:val="32"/>
                <w:szCs w:val="32"/>
              </w:rPr>
            </w:pPr>
            <w:r>
              <w:rPr>
                <w:rFonts w:eastAsia="仿宋_GB2312"/>
                <w:color w:val="00000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10B56D">
            <w:pPr>
              <w:widowControl/>
              <w:jc w:val="center"/>
              <w:textAlignment w:val="center"/>
              <w:rPr>
                <w:rFonts w:eastAsia="仿宋_GB2312"/>
                <w:color w:val="000000"/>
                <w:sz w:val="32"/>
                <w:szCs w:val="32"/>
              </w:rPr>
            </w:pPr>
            <w:r>
              <w:rPr>
                <w:rFonts w:eastAsia="仿宋_GB2312"/>
                <w:color w:val="000000"/>
                <w:sz w:val="32"/>
                <w:szCs w:val="32"/>
              </w:rPr>
              <w:t>预期指标值(包含数字及文字描述)</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9E5C0C">
            <w:pPr>
              <w:widowControl/>
              <w:jc w:val="center"/>
              <w:textAlignment w:val="center"/>
              <w:rPr>
                <w:rFonts w:eastAsia="仿宋_GB2312"/>
                <w:color w:val="000000"/>
                <w:sz w:val="32"/>
                <w:szCs w:val="32"/>
              </w:rPr>
            </w:pPr>
            <w:r>
              <w:rPr>
                <w:rFonts w:eastAsia="仿宋_GB2312"/>
                <w:color w:val="000000"/>
                <w:sz w:val="32"/>
                <w:szCs w:val="32"/>
              </w:rPr>
              <w:t>实际完成指标值(包含数字及文字描述)</w:t>
            </w:r>
          </w:p>
        </w:tc>
      </w:tr>
      <w:tr w14:paraId="0887C2F7">
        <w:tblPrEx>
          <w:tblCellMar>
            <w:top w:w="0" w:type="dxa"/>
            <w:left w:w="0" w:type="dxa"/>
            <w:bottom w:w="0" w:type="dxa"/>
            <w:right w:w="0" w:type="dxa"/>
          </w:tblCellMar>
        </w:tblPrEx>
        <w:trPr>
          <w:trHeight w:val="953"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2CE26629">
            <w:pPr>
              <w:widowControl/>
              <w:jc w:val="left"/>
              <w:rPr>
                <w:rFonts w:eastAsia="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807960">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5EA687">
            <w:pPr>
              <w:widowControl/>
              <w:jc w:val="center"/>
              <w:textAlignment w:val="center"/>
              <w:rPr>
                <w:rFonts w:eastAsia="仿宋_GB2312"/>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9A8782">
            <w:pPr>
              <w:widowControl/>
              <w:jc w:val="center"/>
              <w:textAlignment w:val="center"/>
              <w:rPr>
                <w:rFonts w:eastAsia="仿宋_GB2312"/>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24D5C4">
            <w:pPr>
              <w:widowControl/>
              <w:jc w:val="center"/>
              <w:textAlignment w:val="center"/>
              <w:rPr>
                <w:rFonts w:eastAsia="仿宋_GB2312"/>
                <w:color w:val="000000"/>
                <w:sz w:val="32"/>
                <w:szCs w:val="32"/>
              </w:rPr>
            </w:pPr>
            <w:r>
              <w:rPr>
                <w:rFonts w:eastAsia="仿宋_GB2312"/>
                <w:sz w:val="32"/>
                <w:szCs w:val="32"/>
              </w:rPr>
              <w:t>安宁路东侧人民路至府城路段、育才路东段铺设雨水管网1.45千米</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530D94">
            <w:pPr>
              <w:widowControl/>
              <w:jc w:val="center"/>
              <w:textAlignment w:val="center"/>
              <w:rPr>
                <w:rFonts w:eastAsia="仿宋_GB2312"/>
                <w:color w:val="000000"/>
                <w:sz w:val="32"/>
                <w:szCs w:val="32"/>
              </w:rPr>
            </w:pPr>
            <w:r>
              <w:rPr>
                <w:rFonts w:eastAsia="仿宋_GB2312"/>
                <w:sz w:val="32"/>
                <w:szCs w:val="32"/>
              </w:rPr>
              <w:t>安宁路东侧人民路至府城路段、育才路东段铺设雨水管网1.45千米</w:t>
            </w:r>
          </w:p>
        </w:tc>
      </w:tr>
      <w:tr w14:paraId="415CD424">
        <w:tblPrEx>
          <w:tblCellMar>
            <w:top w:w="0" w:type="dxa"/>
            <w:left w:w="0" w:type="dxa"/>
            <w:bottom w:w="0" w:type="dxa"/>
            <w:right w:w="0" w:type="dxa"/>
          </w:tblCellMar>
        </w:tblPrEx>
        <w:trPr>
          <w:trHeight w:val="1297"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6281A1D5">
            <w:pPr>
              <w:widowControl/>
              <w:jc w:val="left"/>
              <w:rPr>
                <w:rFonts w:eastAsia="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4BD42">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561A49">
            <w:pPr>
              <w:widowControl/>
              <w:jc w:val="center"/>
              <w:textAlignment w:val="center"/>
              <w:rPr>
                <w:rFonts w:eastAsia="仿宋_GB2312"/>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443CB5">
            <w:pPr>
              <w:widowControl/>
              <w:jc w:val="center"/>
              <w:textAlignment w:val="center"/>
              <w:rPr>
                <w:rFonts w:eastAsia="仿宋_GB2312"/>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014EAE">
            <w:pPr>
              <w:widowControl/>
              <w:jc w:val="center"/>
              <w:textAlignment w:val="center"/>
              <w:rPr>
                <w:rFonts w:eastAsia="仿宋_GB2312"/>
                <w:color w:val="000000"/>
                <w:sz w:val="32"/>
                <w:szCs w:val="32"/>
              </w:rPr>
            </w:pPr>
            <w:r>
              <w:rPr>
                <w:rFonts w:eastAsia="仿宋_GB2312"/>
                <w:sz w:val="32"/>
                <w:szCs w:val="32"/>
              </w:rPr>
              <w:t>绿阳生活广场靠214省道侧的利民路至铁路桥段铺设雨、污管网各0.35千米，并与米易县贤家新区柳溪河道路改造工程连接</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F2424C">
            <w:pPr>
              <w:widowControl/>
              <w:jc w:val="center"/>
              <w:textAlignment w:val="center"/>
              <w:rPr>
                <w:rFonts w:eastAsia="仿宋_GB2312"/>
                <w:color w:val="000000"/>
                <w:sz w:val="32"/>
                <w:szCs w:val="32"/>
              </w:rPr>
            </w:pPr>
            <w:r>
              <w:rPr>
                <w:rFonts w:eastAsia="仿宋_GB2312"/>
                <w:sz w:val="32"/>
                <w:szCs w:val="32"/>
              </w:rPr>
              <w:t>绿阳生活广场靠214省道侧的利民路至铁路桥段铺设雨、污管网各0.35千米，并与米易县贤家新区柳溪河道路改造工程连接</w:t>
            </w:r>
          </w:p>
        </w:tc>
      </w:tr>
      <w:tr w14:paraId="43351110">
        <w:tblPrEx>
          <w:tblCellMar>
            <w:top w:w="0" w:type="dxa"/>
            <w:left w:w="0" w:type="dxa"/>
            <w:bottom w:w="0" w:type="dxa"/>
            <w:right w:w="0" w:type="dxa"/>
          </w:tblCellMar>
        </w:tblPrEx>
        <w:trPr>
          <w:trHeight w:val="1042"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0B8936E0">
            <w:pPr>
              <w:widowControl/>
              <w:jc w:val="left"/>
              <w:rPr>
                <w:rFonts w:eastAsia="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A5C9E5">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FEB98B">
            <w:pPr>
              <w:widowControl/>
              <w:jc w:val="center"/>
              <w:textAlignment w:val="center"/>
              <w:rPr>
                <w:rFonts w:eastAsia="仿宋_GB2312"/>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8BAA6E">
            <w:pPr>
              <w:widowControl/>
              <w:jc w:val="center"/>
              <w:textAlignment w:val="center"/>
              <w:rPr>
                <w:rFonts w:eastAsia="仿宋_GB2312"/>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D55819">
            <w:pPr>
              <w:widowControl/>
              <w:jc w:val="center"/>
              <w:textAlignment w:val="center"/>
              <w:rPr>
                <w:rFonts w:eastAsia="仿宋_GB2312"/>
                <w:color w:val="000000"/>
                <w:sz w:val="32"/>
                <w:szCs w:val="32"/>
              </w:rPr>
            </w:pP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325C1E">
            <w:pPr>
              <w:widowControl/>
              <w:jc w:val="center"/>
              <w:textAlignment w:val="center"/>
              <w:rPr>
                <w:rFonts w:eastAsia="仿宋_GB2312"/>
                <w:color w:val="000000"/>
                <w:sz w:val="32"/>
                <w:szCs w:val="32"/>
              </w:rPr>
            </w:pPr>
          </w:p>
        </w:tc>
      </w:tr>
      <w:tr w14:paraId="39D5E450">
        <w:tblPrEx>
          <w:tblCellMar>
            <w:top w:w="0" w:type="dxa"/>
            <w:left w:w="0" w:type="dxa"/>
            <w:bottom w:w="0" w:type="dxa"/>
            <w:right w:w="0" w:type="dxa"/>
          </w:tblCellMar>
        </w:tblPrEx>
        <w:trPr>
          <w:trHeight w:val="1042"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6841B156">
            <w:pPr>
              <w:widowControl/>
              <w:jc w:val="left"/>
              <w:rPr>
                <w:rFonts w:eastAsia="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DD7C2">
            <w:pPr>
              <w:widowControl/>
              <w:jc w:val="center"/>
              <w:textAlignment w:val="center"/>
              <w:rPr>
                <w:rFonts w:eastAsia="仿宋_GB2312"/>
                <w:color w:val="000000"/>
                <w:sz w:val="32"/>
                <w:szCs w:val="32"/>
              </w:rPr>
            </w:pPr>
            <w:r>
              <w:rPr>
                <w:rFonts w:eastAsia="仿宋_GB2312"/>
                <w:color w:val="00000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190F69">
            <w:pPr>
              <w:widowControl/>
              <w:jc w:val="center"/>
              <w:textAlignment w:val="center"/>
              <w:rPr>
                <w:rFonts w:eastAsia="仿宋_GB2312"/>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7BA3BC">
            <w:pPr>
              <w:widowControl/>
              <w:jc w:val="center"/>
              <w:textAlignment w:val="center"/>
              <w:rPr>
                <w:rFonts w:eastAsia="仿宋_GB2312"/>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D0DB33">
            <w:pPr>
              <w:widowControl/>
              <w:jc w:val="center"/>
              <w:textAlignment w:val="center"/>
              <w:rPr>
                <w:rFonts w:eastAsia="仿宋_GB2312"/>
                <w:color w:val="000000"/>
                <w:sz w:val="32"/>
                <w:szCs w:val="32"/>
              </w:rPr>
            </w:pP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34F673">
            <w:pPr>
              <w:widowControl/>
              <w:jc w:val="center"/>
              <w:textAlignment w:val="center"/>
              <w:rPr>
                <w:rFonts w:eastAsia="仿宋_GB2312"/>
                <w:color w:val="000000"/>
                <w:sz w:val="32"/>
                <w:szCs w:val="32"/>
              </w:rPr>
            </w:pPr>
          </w:p>
        </w:tc>
      </w:tr>
      <w:tr w14:paraId="5A18C51C">
        <w:tblPrEx>
          <w:tblCellMar>
            <w:top w:w="0" w:type="dxa"/>
            <w:left w:w="0" w:type="dxa"/>
            <w:bottom w:w="0" w:type="dxa"/>
            <w:right w:w="0" w:type="dxa"/>
          </w:tblCellMar>
        </w:tblPrEx>
        <w:trPr>
          <w:trHeight w:val="1050" w:hRule="atLeast"/>
        </w:trPr>
        <w:tc>
          <w:tcPr>
            <w:tcW w:w="1778" w:type="dxa"/>
            <w:vMerge w:val="continue"/>
            <w:tcBorders>
              <w:top w:val="single" w:color="000000" w:sz="4" w:space="0"/>
              <w:left w:val="single" w:color="000000" w:sz="4" w:space="0"/>
              <w:bottom w:val="single" w:color="000000" w:sz="4" w:space="0"/>
              <w:right w:val="single" w:color="000000" w:sz="4" w:space="0"/>
            </w:tcBorders>
            <w:vAlign w:val="center"/>
          </w:tcPr>
          <w:p w14:paraId="06870DA8">
            <w:pPr>
              <w:widowControl/>
              <w:jc w:val="left"/>
              <w:rPr>
                <w:color w:val="000000"/>
                <w:sz w:val="44"/>
                <w:szCs w:val="4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4097C5">
            <w:pPr>
              <w:widowControl/>
              <w:jc w:val="center"/>
              <w:textAlignment w:val="center"/>
              <w:rPr>
                <w:color w:val="000000"/>
                <w:sz w:val="44"/>
                <w:szCs w:val="44"/>
              </w:rPr>
            </w:pPr>
            <w:r>
              <w:rPr>
                <w:rFonts w:eastAsia="仿宋_GB2312"/>
                <w:color w:val="00000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74852F">
            <w:pPr>
              <w:widowControl/>
              <w:jc w:val="center"/>
              <w:textAlignment w:val="center"/>
              <w:rPr>
                <w:color w:val="000000"/>
                <w:sz w:val="44"/>
                <w:szCs w:val="4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F3DC8B">
            <w:pPr>
              <w:widowControl/>
              <w:jc w:val="center"/>
              <w:textAlignment w:val="center"/>
              <w:rPr>
                <w:color w:val="000000"/>
                <w:sz w:val="44"/>
                <w:szCs w:val="4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D4A0CE">
            <w:pPr>
              <w:widowControl/>
              <w:jc w:val="center"/>
              <w:textAlignment w:val="center"/>
              <w:rPr>
                <w:color w:val="000000"/>
                <w:sz w:val="44"/>
                <w:szCs w:val="44"/>
              </w:rPr>
            </w:pP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412751">
            <w:pPr>
              <w:widowControl/>
              <w:jc w:val="center"/>
              <w:textAlignment w:val="center"/>
              <w:rPr>
                <w:color w:val="000000"/>
                <w:sz w:val="44"/>
                <w:szCs w:val="44"/>
              </w:rPr>
            </w:pPr>
          </w:p>
        </w:tc>
      </w:tr>
    </w:tbl>
    <w:p w14:paraId="36985277">
      <w:pPr>
        <w:spacing w:line="560" w:lineRule="exact"/>
        <w:ind w:firstLine="640" w:firstLineChars="200"/>
        <w:rPr>
          <w:rFonts w:eastAsia="仿宋_GB2312"/>
          <w:sz w:val="32"/>
          <w:szCs w:val="32"/>
        </w:rPr>
      </w:pPr>
    </w:p>
    <w:p w14:paraId="5E5B2799">
      <w:pPr>
        <w:spacing w:line="560" w:lineRule="exact"/>
        <w:ind w:firstLine="643" w:firstLineChars="200"/>
        <w:rPr>
          <w:rFonts w:eastAsia="仿宋"/>
          <w:sz w:val="32"/>
          <w:szCs w:val="32"/>
        </w:rPr>
      </w:pPr>
      <w:r>
        <w:rPr>
          <w:rFonts w:eastAsia="仿宋"/>
          <w:b/>
          <w:bCs/>
          <w:sz w:val="32"/>
          <w:szCs w:val="32"/>
        </w:rPr>
        <w:t>（三）部门开展绩效评价结果。</w:t>
      </w:r>
    </w:p>
    <w:p w14:paraId="4D705C85">
      <w:pPr>
        <w:spacing w:line="560" w:lineRule="exact"/>
        <w:ind w:firstLine="640" w:firstLineChars="200"/>
        <w:rPr>
          <w:rFonts w:eastAsia="仿宋_GB2312"/>
          <w:sz w:val="32"/>
          <w:szCs w:val="32"/>
        </w:rPr>
      </w:pPr>
      <w:r>
        <w:rPr>
          <w:rFonts w:eastAsia="仿宋_GB2312"/>
          <w:sz w:val="32"/>
          <w:szCs w:val="32"/>
        </w:rPr>
        <w:t>本部门按要求对2018年部门整体支出绩效评价情况开展自评，《米易县城市管理局部门2018年部门整体支出绩效评价报告》见附件。</w:t>
      </w:r>
    </w:p>
    <w:p w14:paraId="74D41D57">
      <w:pPr>
        <w:spacing w:line="560" w:lineRule="exact"/>
        <w:ind w:firstLine="640" w:firstLineChars="200"/>
        <w:outlineLvl w:val="1"/>
        <w:rPr>
          <w:rStyle w:val="19"/>
          <w:rFonts w:ascii="Times New Roman" w:hAnsi="Times New Roman" w:eastAsia="黑体" w:cs="Times New Roman"/>
        </w:rPr>
      </w:pPr>
      <w:bookmarkStart w:id="39" w:name="_Toc15396612"/>
      <w:bookmarkStart w:id="40" w:name="_Toc15377221"/>
      <w:r>
        <w:rPr>
          <w:rFonts w:eastAsia="黑体"/>
          <w:color w:val="000000"/>
          <w:sz w:val="32"/>
          <w:szCs w:val="32"/>
        </w:rPr>
        <w:t>十</w:t>
      </w:r>
      <w:r>
        <w:rPr>
          <w:rStyle w:val="19"/>
          <w:rFonts w:ascii="Times New Roman" w:hAnsi="Times New Roman" w:eastAsia="黑体" w:cs="Times New Roman"/>
        </w:rPr>
        <w:t>一、</w:t>
      </w:r>
      <w:r>
        <w:rPr>
          <w:rStyle w:val="19"/>
          <w:rFonts w:ascii="Times New Roman" w:hAnsi="Times New Roman" w:eastAsia="黑体" w:cs="Times New Roman"/>
          <w:b w:val="0"/>
          <w:bCs w:val="0"/>
        </w:rPr>
        <w:t>其他重要事项的情况说明</w:t>
      </w:r>
      <w:bookmarkEnd w:id="39"/>
      <w:bookmarkEnd w:id="40"/>
    </w:p>
    <w:p w14:paraId="44A67173">
      <w:pPr>
        <w:spacing w:line="560" w:lineRule="exact"/>
        <w:ind w:firstLine="643" w:firstLineChars="200"/>
        <w:outlineLvl w:val="2"/>
        <w:rPr>
          <w:rFonts w:eastAsia="仿宋"/>
          <w:color w:val="000000"/>
          <w:sz w:val="32"/>
          <w:szCs w:val="32"/>
        </w:rPr>
      </w:pPr>
      <w:bookmarkStart w:id="41" w:name="_Toc15377222"/>
      <w:r>
        <w:rPr>
          <w:rFonts w:eastAsia="仿宋"/>
          <w:b/>
          <w:bCs/>
          <w:color w:val="000000"/>
          <w:sz w:val="32"/>
          <w:szCs w:val="32"/>
        </w:rPr>
        <w:t>（一）机关运行经费支出情况</w:t>
      </w:r>
      <w:bookmarkEnd w:id="41"/>
    </w:p>
    <w:p w14:paraId="50C05A82">
      <w:pPr>
        <w:spacing w:line="560" w:lineRule="exact"/>
        <w:ind w:firstLine="640" w:firstLineChars="200"/>
        <w:rPr>
          <w:rFonts w:eastAsia="仿宋_GB2312"/>
          <w:color w:val="000000"/>
          <w:sz w:val="32"/>
          <w:szCs w:val="32"/>
        </w:rPr>
      </w:pPr>
      <w:r>
        <w:rPr>
          <w:rFonts w:eastAsia="仿宋_GB2312"/>
          <w:color w:val="000000"/>
          <w:sz w:val="32"/>
          <w:szCs w:val="32"/>
        </w:rPr>
        <w:t>2018年，米易县管理局机关运行经费支出43.78万元，比2017年27.99万元增加15.79万元，增长56.41%，主要原因是2018年业务量及公务外出增加，使办公费及差旅费等相应增加。</w:t>
      </w:r>
    </w:p>
    <w:p w14:paraId="67E7B748">
      <w:pPr>
        <w:autoSpaceDE w:val="0"/>
        <w:autoSpaceDN w:val="0"/>
        <w:adjustRightInd w:val="0"/>
        <w:spacing w:line="560" w:lineRule="exact"/>
        <w:ind w:firstLine="643" w:firstLineChars="200"/>
        <w:jc w:val="left"/>
        <w:outlineLvl w:val="2"/>
        <w:rPr>
          <w:rFonts w:eastAsia="仿宋"/>
          <w:b/>
          <w:bCs/>
          <w:color w:val="000000"/>
          <w:sz w:val="32"/>
          <w:szCs w:val="32"/>
        </w:rPr>
      </w:pPr>
      <w:bookmarkStart w:id="42" w:name="_Toc15377223"/>
      <w:r>
        <w:rPr>
          <w:rFonts w:eastAsia="仿宋"/>
          <w:b/>
          <w:bCs/>
          <w:color w:val="000000"/>
          <w:sz w:val="32"/>
          <w:szCs w:val="32"/>
        </w:rPr>
        <w:t>（二）政府采购支出情况</w:t>
      </w:r>
      <w:bookmarkEnd w:id="42"/>
    </w:p>
    <w:p w14:paraId="0E890885">
      <w:pPr>
        <w:spacing w:line="560" w:lineRule="exact"/>
        <w:ind w:firstLine="640" w:firstLineChars="200"/>
        <w:rPr>
          <w:rFonts w:eastAsia="仿宋_GB2312"/>
          <w:color w:val="000000"/>
          <w:sz w:val="32"/>
          <w:szCs w:val="32"/>
        </w:rPr>
      </w:pPr>
      <w:r>
        <w:rPr>
          <w:rFonts w:eastAsia="仿宋_GB2312"/>
          <w:color w:val="000000"/>
          <w:sz w:val="32"/>
          <w:szCs w:val="32"/>
        </w:rPr>
        <w:t>2018年，米易县城市管理局政府采购支出总额723.12万元，其中：政府采购货物支出94.39万元（其中：城市管理执法服装购置15.7914万元，公共自行车交通系统第二轮运行安装调试采购78.60万元）、政府采购工程支出363.04万元（米易县旧城区雨污管网分流改造工程项目）、政府采购服务支出265.68万元（其中：公共自行车交通系统三年运营管理维护费249.48万元，米易县城市亮化工程（三期）监理16.20万元）。授予中小企业合同金额723.12万元，占政府采购支出总额的100%，其中：授予小微企业合同金额723.12万元，占政府采购支出总额的100%。</w:t>
      </w:r>
    </w:p>
    <w:p w14:paraId="0A9EA6DE">
      <w:pPr>
        <w:autoSpaceDE w:val="0"/>
        <w:autoSpaceDN w:val="0"/>
        <w:adjustRightInd w:val="0"/>
        <w:spacing w:line="560" w:lineRule="exact"/>
        <w:ind w:firstLine="643" w:firstLineChars="200"/>
        <w:jc w:val="left"/>
        <w:outlineLvl w:val="2"/>
        <w:rPr>
          <w:rFonts w:eastAsia="仿宋"/>
          <w:b/>
          <w:bCs/>
          <w:color w:val="000000"/>
          <w:sz w:val="32"/>
          <w:szCs w:val="32"/>
        </w:rPr>
      </w:pPr>
      <w:bookmarkStart w:id="43" w:name="_Toc15377224"/>
      <w:r>
        <w:rPr>
          <w:rFonts w:eastAsia="仿宋"/>
          <w:b/>
          <w:bCs/>
          <w:color w:val="000000"/>
          <w:sz w:val="32"/>
          <w:szCs w:val="32"/>
        </w:rPr>
        <w:t>（三）国有资产占有使用情况</w:t>
      </w:r>
      <w:bookmarkEnd w:id="43"/>
    </w:p>
    <w:p w14:paraId="64D02F03">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截至2018年12月31日，米易县城市管理局共有车辆35辆，全部为特种专业技术用车。</w:t>
      </w:r>
    </w:p>
    <w:p w14:paraId="28C9C590">
      <w:pPr>
        <w:autoSpaceDE w:val="0"/>
        <w:autoSpaceDN w:val="0"/>
        <w:adjustRightInd w:val="0"/>
        <w:spacing w:line="560" w:lineRule="exact"/>
        <w:ind w:firstLine="640" w:firstLineChars="200"/>
        <w:jc w:val="left"/>
        <w:rPr>
          <w:rFonts w:eastAsia="仿宋_GB2312"/>
          <w:color w:val="000000"/>
          <w:sz w:val="32"/>
          <w:szCs w:val="32"/>
        </w:rPr>
      </w:pPr>
    </w:p>
    <w:p w14:paraId="042898B9">
      <w:pPr>
        <w:autoSpaceDE w:val="0"/>
        <w:autoSpaceDN w:val="0"/>
        <w:adjustRightInd w:val="0"/>
        <w:spacing w:line="560" w:lineRule="exact"/>
        <w:ind w:firstLine="640" w:firstLineChars="200"/>
        <w:jc w:val="left"/>
        <w:rPr>
          <w:rFonts w:eastAsia="仿宋_GB2312"/>
          <w:color w:val="000000"/>
          <w:sz w:val="32"/>
          <w:szCs w:val="32"/>
        </w:rPr>
      </w:pPr>
    </w:p>
    <w:p w14:paraId="5CFA5025">
      <w:pPr>
        <w:autoSpaceDE w:val="0"/>
        <w:autoSpaceDN w:val="0"/>
        <w:adjustRightInd w:val="0"/>
        <w:spacing w:line="560" w:lineRule="exact"/>
        <w:ind w:firstLine="640" w:firstLineChars="200"/>
        <w:jc w:val="left"/>
        <w:rPr>
          <w:rFonts w:eastAsia="仿宋_GB2312"/>
          <w:color w:val="000000"/>
          <w:sz w:val="32"/>
          <w:szCs w:val="32"/>
        </w:rPr>
      </w:pPr>
    </w:p>
    <w:p w14:paraId="3BB56549">
      <w:pPr>
        <w:autoSpaceDE w:val="0"/>
        <w:autoSpaceDN w:val="0"/>
        <w:adjustRightInd w:val="0"/>
        <w:spacing w:line="560" w:lineRule="exact"/>
        <w:ind w:firstLine="640" w:firstLineChars="200"/>
        <w:jc w:val="left"/>
        <w:rPr>
          <w:rFonts w:eastAsia="仿宋_GB2312"/>
          <w:color w:val="000000"/>
          <w:sz w:val="32"/>
          <w:szCs w:val="32"/>
        </w:rPr>
      </w:pPr>
    </w:p>
    <w:p w14:paraId="6CFB2F36">
      <w:pPr>
        <w:autoSpaceDE w:val="0"/>
        <w:autoSpaceDN w:val="0"/>
        <w:adjustRightInd w:val="0"/>
        <w:spacing w:line="560" w:lineRule="exact"/>
        <w:ind w:firstLine="640" w:firstLineChars="200"/>
        <w:jc w:val="left"/>
        <w:rPr>
          <w:rFonts w:eastAsia="仿宋_GB2312"/>
          <w:color w:val="000000"/>
          <w:sz w:val="32"/>
          <w:szCs w:val="32"/>
        </w:rPr>
      </w:pPr>
    </w:p>
    <w:p w14:paraId="08CC25C9">
      <w:pPr>
        <w:autoSpaceDE w:val="0"/>
        <w:autoSpaceDN w:val="0"/>
        <w:adjustRightInd w:val="0"/>
        <w:spacing w:line="560" w:lineRule="exact"/>
        <w:ind w:firstLine="640" w:firstLineChars="200"/>
        <w:jc w:val="left"/>
        <w:rPr>
          <w:rFonts w:eastAsia="仿宋_GB2312"/>
          <w:color w:val="000000"/>
          <w:sz w:val="32"/>
          <w:szCs w:val="32"/>
        </w:rPr>
      </w:pPr>
    </w:p>
    <w:p w14:paraId="4A1EF287">
      <w:pPr>
        <w:autoSpaceDE w:val="0"/>
        <w:autoSpaceDN w:val="0"/>
        <w:adjustRightInd w:val="0"/>
        <w:spacing w:line="560" w:lineRule="exact"/>
        <w:ind w:firstLine="640" w:firstLineChars="200"/>
        <w:jc w:val="left"/>
        <w:rPr>
          <w:rFonts w:eastAsia="仿宋_GB2312"/>
          <w:color w:val="000000"/>
          <w:sz w:val="32"/>
          <w:szCs w:val="32"/>
        </w:rPr>
      </w:pPr>
    </w:p>
    <w:p w14:paraId="2CCF69D8">
      <w:pPr>
        <w:autoSpaceDE w:val="0"/>
        <w:autoSpaceDN w:val="0"/>
        <w:adjustRightInd w:val="0"/>
        <w:spacing w:line="560" w:lineRule="exact"/>
        <w:ind w:firstLine="640" w:firstLineChars="200"/>
        <w:jc w:val="left"/>
        <w:rPr>
          <w:rFonts w:eastAsia="仿宋_GB2312"/>
          <w:color w:val="000000"/>
          <w:sz w:val="32"/>
          <w:szCs w:val="32"/>
        </w:rPr>
      </w:pPr>
    </w:p>
    <w:p w14:paraId="228F530A">
      <w:pPr>
        <w:autoSpaceDE w:val="0"/>
        <w:autoSpaceDN w:val="0"/>
        <w:adjustRightInd w:val="0"/>
        <w:spacing w:line="560" w:lineRule="exact"/>
        <w:ind w:firstLine="640" w:firstLineChars="200"/>
        <w:jc w:val="left"/>
        <w:rPr>
          <w:rFonts w:eastAsia="仿宋_GB2312"/>
          <w:color w:val="000000"/>
          <w:sz w:val="32"/>
          <w:szCs w:val="32"/>
        </w:rPr>
      </w:pPr>
    </w:p>
    <w:p w14:paraId="2D5215AC">
      <w:pPr>
        <w:autoSpaceDE w:val="0"/>
        <w:autoSpaceDN w:val="0"/>
        <w:adjustRightInd w:val="0"/>
        <w:spacing w:line="560" w:lineRule="exact"/>
        <w:ind w:firstLine="640" w:firstLineChars="200"/>
        <w:jc w:val="left"/>
        <w:rPr>
          <w:rFonts w:eastAsia="仿宋_GB2312"/>
          <w:color w:val="000000"/>
          <w:sz w:val="32"/>
          <w:szCs w:val="32"/>
        </w:rPr>
      </w:pPr>
    </w:p>
    <w:p w14:paraId="0FD88DA9">
      <w:pPr>
        <w:autoSpaceDE w:val="0"/>
        <w:autoSpaceDN w:val="0"/>
        <w:adjustRightInd w:val="0"/>
        <w:spacing w:line="560" w:lineRule="exact"/>
        <w:ind w:firstLine="640" w:firstLineChars="200"/>
        <w:jc w:val="left"/>
        <w:rPr>
          <w:rFonts w:eastAsia="仿宋_GB2312"/>
          <w:color w:val="000000"/>
          <w:sz w:val="32"/>
          <w:szCs w:val="32"/>
        </w:rPr>
      </w:pPr>
    </w:p>
    <w:p w14:paraId="124843B2">
      <w:pPr>
        <w:widowControl/>
        <w:jc w:val="left"/>
        <w:rPr>
          <w:rFonts w:eastAsia="仿宋_GB2312"/>
          <w:b/>
          <w:bCs/>
          <w:color w:val="000000"/>
          <w:sz w:val="44"/>
          <w:szCs w:val="44"/>
        </w:rPr>
      </w:pPr>
    </w:p>
    <w:p w14:paraId="1D73964D">
      <w:pPr>
        <w:numPr>
          <w:ilvl w:val="0"/>
          <w:numId w:val="3"/>
        </w:numPr>
        <w:spacing w:line="560" w:lineRule="exact"/>
        <w:ind w:firstLine="663" w:firstLineChars="150"/>
        <w:jc w:val="center"/>
        <w:outlineLvl w:val="0"/>
        <w:rPr>
          <w:rStyle w:val="18"/>
          <w:rFonts w:eastAsia="黑体"/>
          <w:b w:val="0"/>
          <w:bCs w:val="0"/>
        </w:rPr>
      </w:pPr>
      <w:bookmarkStart w:id="44" w:name="_Toc15377225"/>
      <w:bookmarkStart w:id="45" w:name="_Toc15396613"/>
      <w:r>
        <w:rPr>
          <w:rFonts w:eastAsia="黑体"/>
          <w:b/>
          <w:bCs/>
          <w:color w:val="000000"/>
          <w:sz w:val="44"/>
          <w:szCs w:val="44"/>
        </w:rPr>
        <w:t>名</w:t>
      </w:r>
      <w:r>
        <w:rPr>
          <w:rStyle w:val="18"/>
          <w:rFonts w:eastAsia="黑体"/>
          <w:b w:val="0"/>
          <w:bCs w:val="0"/>
        </w:rPr>
        <w:t>词解释</w:t>
      </w:r>
      <w:bookmarkEnd w:id="44"/>
      <w:bookmarkEnd w:id="45"/>
    </w:p>
    <w:p w14:paraId="60683915">
      <w:pPr>
        <w:spacing w:line="560" w:lineRule="exact"/>
        <w:jc w:val="left"/>
        <w:rPr>
          <w:b/>
          <w:bCs/>
          <w:color w:val="000000"/>
          <w:sz w:val="44"/>
          <w:szCs w:val="44"/>
        </w:rPr>
      </w:pPr>
      <w:r>
        <w:rPr>
          <w:b/>
          <w:bCs/>
          <w:color w:val="000000"/>
          <w:sz w:val="44"/>
          <w:szCs w:val="44"/>
        </w:rPr>
        <w:t xml:space="preserve">             </w:t>
      </w:r>
    </w:p>
    <w:p w14:paraId="248C1102">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1.财政拨款收入：指单位从同级财政部门取得的财政预算资金。</w:t>
      </w:r>
    </w:p>
    <w:p w14:paraId="55099E13">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2.事业收入：指事业单位开展专业业务活动及辅助活动取得的收入。如…（二级预算单位事业收入情况）等。</w:t>
      </w:r>
    </w:p>
    <w:p w14:paraId="14E83B9B">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3.经营收入：指事业单位在专业业务活动及其辅助活动之外开展非独立核算经营活动取得的收入。如…（二级预算单位经营收入情况）等。</w:t>
      </w:r>
    </w:p>
    <w:p w14:paraId="04A444BB">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4.其他收入：指单位取得的除上述收入以外的各项收入。主要是…（收入类型）等。 </w:t>
      </w:r>
    </w:p>
    <w:p w14:paraId="1F78338B">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45D004D3">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6.年初结转和结余：指以前年度尚未完成、结转到本年按有关规定继续使用的资金。 </w:t>
      </w:r>
    </w:p>
    <w:p w14:paraId="148AD439">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14:paraId="01504D87">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14:paraId="5CC96BE0">
      <w:pPr>
        <w:spacing w:line="560" w:lineRule="exact"/>
        <w:ind w:firstLine="640" w:firstLineChars="200"/>
        <w:rPr>
          <w:rFonts w:eastAsia="仿宋_GB2312"/>
          <w:color w:val="000000"/>
          <w:sz w:val="32"/>
          <w:szCs w:val="32"/>
        </w:rPr>
      </w:pPr>
      <w:r>
        <w:rPr>
          <w:rFonts w:eastAsia="仿宋_GB2312"/>
          <w:color w:val="000000"/>
          <w:sz w:val="32"/>
          <w:szCs w:val="32"/>
        </w:rPr>
        <w:t>9．社会保障和就业支出：2080504“未归口管理的行政单位离退休”反映未实行归口管理的行政单位（包括实行公务员管理的事业单位）开支的离退休支出；2080505“机关事业单位基本养老保险缴费支出”反映机关事业单位实施养老保险制度由单位缴纳的基本养老保险费支出；2080506“机关事业单位职业年金缴费支出”反映机关事业单位实施养老保险制度由单位缴纳的职业年金支出；2080801“死亡抚恤”反映按规定用于烈士和牺牲、病故人员家属一次性和定期抚恤金以及丧葬补助费。</w:t>
      </w:r>
    </w:p>
    <w:p w14:paraId="72343B0D">
      <w:pPr>
        <w:spacing w:line="560" w:lineRule="exact"/>
        <w:ind w:firstLine="640" w:firstLineChars="200"/>
        <w:rPr>
          <w:rFonts w:eastAsia="仿宋_GB2312"/>
          <w:color w:val="000000"/>
          <w:sz w:val="32"/>
          <w:szCs w:val="32"/>
        </w:rPr>
      </w:pPr>
      <w:r>
        <w:rPr>
          <w:rFonts w:eastAsia="仿宋_GB2312"/>
          <w:color w:val="000000"/>
          <w:sz w:val="32"/>
          <w:szCs w:val="32"/>
        </w:rPr>
        <w:t xml:space="preserve">10．城乡社区支出：2120101“行政运行”反映行政单位(包括参照公务员管理的事业单位)的基本支出；2120102“一般行政管理事务”反映行政单位(包括参照公务员管理的事业单位)未单独设置项级科目的其它项目支出；2120399“其它城乡社区公共设施支出”反映其它用于城乡社区公共设施方面的支出；2120501“城乡社区环境卫生”反映城乡社区道路清扫、垃圾法运与处理、公厕建设与维护、园林绿化等方面的支出。 </w:t>
      </w:r>
    </w:p>
    <w:p w14:paraId="5BA34CB4">
      <w:pPr>
        <w:spacing w:line="560" w:lineRule="exact"/>
        <w:ind w:firstLine="640" w:firstLineChars="200"/>
        <w:rPr>
          <w:rFonts w:eastAsia="仿宋_GB2312"/>
          <w:color w:val="000000"/>
          <w:sz w:val="32"/>
          <w:szCs w:val="32"/>
        </w:rPr>
      </w:pPr>
      <w:r>
        <w:rPr>
          <w:rFonts w:eastAsia="仿宋_GB2312"/>
          <w:color w:val="000000"/>
          <w:sz w:val="32"/>
          <w:szCs w:val="32"/>
        </w:rPr>
        <w:t>11.住房保障支出：2210201“住房公积金”反映行政事业单位按人力资源和社会保障部、财政部规定的基本工资和津贴补贴以及按规定比例为职工缴纳的住房公积金。</w:t>
      </w:r>
    </w:p>
    <w:p w14:paraId="7A35FB5E">
      <w:pPr>
        <w:spacing w:line="560" w:lineRule="exact"/>
        <w:ind w:firstLine="640" w:firstLineChars="200"/>
        <w:rPr>
          <w:rFonts w:eastAsia="仿宋_GB2312"/>
          <w:color w:val="000000"/>
          <w:sz w:val="32"/>
          <w:szCs w:val="32"/>
        </w:rPr>
      </w:pPr>
      <w:r>
        <w:rPr>
          <w:rFonts w:eastAsia="仿宋_GB2312"/>
          <w:color w:val="000000"/>
          <w:sz w:val="32"/>
          <w:szCs w:val="32"/>
        </w:rPr>
        <w:t>12.基本支出：指为保障机构正常运转、完成日常工作任务而发生的人员支出和公用支出。</w:t>
      </w:r>
    </w:p>
    <w:p w14:paraId="087C4FB7">
      <w:pPr>
        <w:spacing w:line="560" w:lineRule="exact"/>
        <w:ind w:firstLine="640" w:firstLineChars="200"/>
        <w:rPr>
          <w:rFonts w:eastAsia="仿宋_GB2312"/>
          <w:color w:val="000000"/>
          <w:sz w:val="32"/>
          <w:szCs w:val="32"/>
        </w:rPr>
      </w:pPr>
      <w:r>
        <w:rPr>
          <w:rFonts w:eastAsia="仿宋_GB2312"/>
          <w:color w:val="000000"/>
          <w:sz w:val="32"/>
          <w:szCs w:val="32"/>
        </w:rPr>
        <w:t xml:space="preserve">13.项目支出：指在基本支出之外为完成特定行政任务和事业发展目标所发生的支出。 </w:t>
      </w:r>
    </w:p>
    <w:p w14:paraId="2674EDB9">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2439E0">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A69E41">
      <w:pPr>
        <w:spacing w:line="560" w:lineRule="exact"/>
        <w:jc w:val="center"/>
        <w:outlineLvl w:val="0"/>
        <w:rPr>
          <w:rStyle w:val="18"/>
          <w:rFonts w:eastAsia="黑体"/>
          <w:b w:val="0"/>
          <w:bCs w:val="0"/>
        </w:rPr>
      </w:pPr>
      <w:bookmarkStart w:id="46" w:name="_Toc15377226"/>
      <w:r>
        <w:rPr>
          <w:b/>
          <w:bCs/>
          <w:color w:val="000000"/>
          <w:sz w:val="44"/>
          <w:szCs w:val="44"/>
        </w:rPr>
        <w:br w:type="page"/>
      </w:r>
      <w:bookmarkStart w:id="47" w:name="_Toc15396614"/>
      <w:r>
        <w:rPr>
          <w:rFonts w:eastAsia="黑体"/>
          <w:color w:val="000000"/>
          <w:sz w:val="44"/>
          <w:szCs w:val="44"/>
        </w:rPr>
        <w:t>第</w:t>
      </w:r>
      <w:r>
        <w:rPr>
          <w:rStyle w:val="18"/>
          <w:rFonts w:eastAsia="黑体"/>
          <w:b w:val="0"/>
          <w:bCs w:val="0"/>
        </w:rPr>
        <w:t>四部分 附件</w:t>
      </w:r>
      <w:bookmarkEnd w:id="47"/>
    </w:p>
    <w:p w14:paraId="7118F6C7">
      <w:pPr>
        <w:spacing w:line="560" w:lineRule="exact"/>
        <w:jc w:val="center"/>
        <w:outlineLvl w:val="0"/>
        <w:rPr>
          <w:rStyle w:val="18"/>
        </w:rPr>
      </w:pPr>
    </w:p>
    <w:p w14:paraId="1562E0F3">
      <w:pPr>
        <w:pStyle w:val="3"/>
        <w:spacing w:before="0" w:after="0" w:line="560" w:lineRule="exact"/>
        <w:rPr>
          <w:rFonts w:ascii="Times New Roman" w:hAnsi="Times New Roman" w:eastAsia="仿宋_GB2312" w:cs="Times New Roman"/>
          <w:b w:val="0"/>
          <w:bCs w:val="0"/>
        </w:rPr>
      </w:pPr>
      <w:bookmarkStart w:id="48" w:name="_Toc15396615"/>
      <w:r>
        <w:rPr>
          <w:rFonts w:ascii="Times New Roman" w:hAnsi="Times New Roman" w:eastAsia="仿宋_GB2312" w:cs="Times New Roman"/>
          <w:b w:val="0"/>
          <w:bCs w:val="0"/>
        </w:rPr>
        <w:t>附件1</w:t>
      </w:r>
      <w:bookmarkEnd w:id="48"/>
    </w:p>
    <w:p w14:paraId="12E9DA84">
      <w:pPr>
        <w:spacing w:line="560" w:lineRule="exact"/>
        <w:jc w:val="center"/>
        <w:outlineLvl w:val="0"/>
        <w:rPr>
          <w:rFonts w:eastAsia="黑体"/>
          <w:sz w:val="44"/>
          <w:szCs w:val="44"/>
        </w:rPr>
      </w:pPr>
      <w:bookmarkStart w:id="49" w:name="_Toc15396616"/>
      <w:r>
        <w:rPr>
          <w:rFonts w:eastAsia="黑体"/>
          <w:sz w:val="44"/>
          <w:szCs w:val="44"/>
        </w:rPr>
        <w:t>米易县城市管理局2018年部门整体支出绩效自评报告</w:t>
      </w:r>
      <w:bookmarkEnd w:id="49"/>
    </w:p>
    <w:p w14:paraId="74BA09F5">
      <w:pPr>
        <w:adjustRightInd w:val="0"/>
        <w:snapToGrid w:val="0"/>
        <w:spacing w:line="560" w:lineRule="exact"/>
        <w:ind w:firstLine="720"/>
        <w:rPr>
          <w:rFonts w:eastAsia="黑体"/>
          <w:sz w:val="32"/>
          <w:szCs w:val="32"/>
          <w:lang w:val="zh-CN"/>
        </w:rPr>
      </w:pPr>
      <w:r>
        <w:rPr>
          <w:rFonts w:eastAsia="黑体"/>
          <w:sz w:val="32"/>
          <w:szCs w:val="32"/>
        </w:rPr>
        <w:t>一、</w:t>
      </w:r>
      <w:r>
        <w:rPr>
          <w:rFonts w:eastAsia="黑体"/>
          <w:sz w:val="32"/>
          <w:szCs w:val="32"/>
          <w:lang w:val="zh-CN"/>
        </w:rPr>
        <w:t>部门概况</w:t>
      </w:r>
    </w:p>
    <w:p w14:paraId="080862AF">
      <w:pPr>
        <w:adjustRightInd w:val="0"/>
        <w:snapToGrid w:val="0"/>
        <w:spacing w:line="560" w:lineRule="exact"/>
        <w:ind w:firstLine="720"/>
        <w:rPr>
          <w:rFonts w:eastAsia="仿宋_GB2312"/>
          <w:sz w:val="32"/>
          <w:szCs w:val="32"/>
          <w:lang w:val="zh-CN"/>
        </w:rPr>
      </w:pPr>
      <w:r>
        <w:rPr>
          <w:rFonts w:eastAsia="仿宋_GB2312"/>
          <w:sz w:val="32"/>
          <w:szCs w:val="32"/>
          <w:lang w:val="zh-CN"/>
        </w:rPr>
        <w:t>按照 2006 年 4 月 7 日米易县机构编制委员会《关于成立米易县城市管理局的通知》（米编发【2006】1 号文件要求，将城市管理职能从规划和建设管理局划出，组建米易县城市管理局，承担城市管理职能，为县府直属正科级全额拨款事业单位，内设办公室、城市监察股、绿化股、环卫股、市政设施维护管理股五个职能股室。主要负责城市市容市貌监察、城市环境卫生管理、园林绿化管护、城市公共设施维护管理及供水、供气等城市公用事业监管。我局经县办编办核定事业编制 27 名，其中全额拨款事业编制 26 名、工勤人员编制 1 名。内设机构为 5 个股所级机构。领导职数：局长 1名，副局长 2 名，股级领导 6 名。2009 年转为参照公务员管理事业单位。我局现实有人数 163人，其中：参照公务员法管理人员 27 人(含新聘工勤人员4人)，财补助人员 136 人（</w:t>
      </w:r>
      <w:r>
        <w:rPr>
          <w:rFonts w:eastAsia="仿宋_GB2312"/>
          <w:color w:val="000000"/>
          <w:sz w:val="32"/>
          <w:szCs w:val="32"/>
        </w:rPr>
        <w:t>临时聘用城监协管员、环卫清运人员及电工等）</w:t>
      </w:r>
      <w:r>
        <w:rPr>
          <w:rFonts w:eastAsia="仿宋_GB2312"/>
          <w:sz w:val="32"/>
          <w:szCs w:val="32"/>
          <w:lang w:val="zh-CN"/>
        </w:rPr>
        <w:t>，退休人员 9人。</w:t>
      </w:r>
    </w:p>
    <w:p w14:paraId="5E5B0D8C">
      <w:pPr>
        <w:snapToGrid w:val="0"/>
        <w:spacing w:line="560" w:lineRule="exact"/>
        <w:ind w:firstLine="640" w:firstLineChars="200"/>
        <w:rPr>
          <w:rFonts w:eastAsia="仿宋_GB2312"/>
          <w:sz w:val="32"/>
          <w:szCs w:val="32"/>
        </w:rPr>
      </w:pPr>
      <w:r>
        <w:rPr>
          <w:rFonts w:eastAsia="仿宋_GB2312"/>
          <w:sz w:val="32"/>
          <w:szCs w:val="32"/>
        </w:rPr>
        <w:t>2018年末资产总计6441.42万元，负债总计657.81万元,占全部资产总额的10.21%，净资产5783.61万元，占全部资产总额的89.79%。</w:t>
      </w:r>
    </w:p>
    <w:p w14:paraId="68B4DF92">
      <w:pPr>
        <w:adjustRightInd w:val="0"/>
        <w:snapToGrid w:val="0"/>
        <w:spacing w:line="560" w:lineRule="exact"/>
        <w:ind w:firstLine="720"/>
        <w:rPr>
          <w:rFonts w:eastAsia="黑体"/>
          <w:sz w:val="32"/>
          <w:szCs w:val="32"/>
        </w:rPr>
      </w:pPr>
      <w:r>
        <w:rPr>
          <w:rFonts w:eastAsia="黑体"/>
          <w:sz w:val="32"/>
          <w:szCs w:val="32"/>
        </w:rPr>
        <w:t>二、部门财政资金收支情况</w:t>
      </w:r>
    </w:p>
    <w:p w14:paraId="1E992A40">
      <w:pPr>
        <w:adjustRightInd w:val="0"/>
        <w:snapToGrid w:val="0"/>
        <w:spacing w:line="560" w:lineRule="exact"/>
        <w:ind w:firstLine="720"/>
        <w:rPr>
          <w:rFonts w:eastAsia="仿宋_GB2312"/>
          <w:sz w:val="32"/>
          <w:szCs w:val="32"/>
          <w:lang w:val="zh-CN"/>
        </w:rPr>
      </w:pPr>
      <w:r>
        <w:rPr>
          <w:rFonts w:eastAsia="仿宋_GB2312"/>
          <w:sz w:val="32"/>
          <w:szCs w:val="32"/>
          <w:lang w:val="zh-CN"/>
        </w:rPr>
        <w:t>（一）部门财政资金收入情况。</w:t>
      </w:r>
    </w:p>
    <w:p w14:paraId="4A7004A6">
      <w:pPr>
        <w:adjustRightInd w:val="0"/>
        <w:snapToGrid w:val="0"/>
        <w:spacing w:line="560" w:lineRule="exact"/>
        <w:ind w:firstLine="720"/>
        <w:rPr>
          <w:rFonts w:eastAsia="仿宋_GB2312"/>
          <w:sz w:val="32"/>
          <w:szCs w:val="32"/>
          <w:lang w:val="zh-CN"/>
        </w:rPr>
      </w:pPr>
      <w:r>
        <w:rPr>
          <w:rFonts w:eastAsia="仿宋_GB2312"/>
          <w:sz w:val="32"/>
          <w:szCs w:val="32"/>
          <w:lang w:val="zh-CN"/>
        </w:rPr>
        <w:t>2018年收入合计10596.00万元，其中：一般公共财政拨款收入5292.01万元，政府性基金预算拨款收入5303.99万元。</w:t>
      </w:r>
    </w:p>
    <w:p w14:paraId="2EDED2F1">
      <w:pPr>
        <w:adjustRightInd w:val="0"/>
        <w:snapToGrid w:val="0"/>
        <w:spacing w:line="560" w:lineRule="exact"/>
        <w:ind w:firstLine="720"/>
        <w:rPr>
          <w:rFonts w:eastAsia="仿宋_GB2312"/>
          <w:sz w:val="32"/>
          <w:szCs w:val="32"/>
          <w:lang w:val="zh-CN"/>
        </w:rPr>
      </w:pPr>
      <w:r>
        <w:rPr>
          <w:rFonts w:eastAsia="仿宋_GB2312"/>
          <w:sz w:val="32"/>
          <w:szCs w:val="32"/>
          <w:lang w:val="zh-CN"/>
        </w:rPr>
        <w:t>（二）部门财政资金支出情况。</w:t>
      </w:r>
    </w:p>
    <w:p w14:paraId="073995D2">
      <w:pPr>
        <w:adjustRightInd w:val="0"/>
        <w:snapToGrid w:val="0"/>
        <w:spacing w:line="560" w:lineRule="exact"/>
        <w:ind w:firstLine="720"/>
        <w:rPr>
          <w:rFonts w:eastAsia="仿宋_GB2312"/>
          <w:sz w:val="32"/>
          <w:szCs w:val="32"/>
          <w:lang w:val="zh-CN"/>
        </w:rPr>
      </w:pPr>
      <w:r>
        <w:rPr>
          <w:rFonts w:eastAsia="仿宋_GB2312"/>
          <w:sz w:val="32"/>
          <w:szCs w:val="32"/>
          <w:lang w:val="zh-CN"/>
        </w:rPr>
        <w:t>2018年支出合计6408.30万元，按支出功能分类构成为：社会保障和就业支出45.30万元,占支出总额的0.71%；城乡社区支出6334.91万元,占支出总额的98.85%；住房保障支出28.09万元，占支出总额的0.44%。</w:t>
      </w:r>
    </w:p>
    <w:p w14:paraId="256FA6A5">
      <w:pPr>
        <w:adjustRightInd w:val="0"/>
        <w:snapToGrid w:val="0"/>
        <w:spacing w:line="560" w:lineRule="exact"/>
        <w:ind w:firstLine="720"/>
        <w:rPr>
          <w:rFonts w:eastAsia="黑体"/>
          <w:sz w:val="32"/>
          <w:szCs w:val="32"/>
        </w:rPr>
      </w:pPr>
      <w:r>
        <w:rPr>
          <w:rFonts w:eastAsia="黑体"/>
          <w:sz w:val="32"/>
          <w:szCs w:val="32"/>
        </w:rPr>
        <w:t>三、部门财政支出管理情况</w:t>
      </w:r>
    </w:p>
    <w:p w14:paraId="2AD4FD66">
      <w:pPr>
        <w:snapToGrid w:val="0"/>
        <w:spacing w:line="560" w:lineRule="exact"/>
        <w:ind w:firstLine="640" w:firstLineChars="200"/>
        <w:rPr>
          <w:rFonts w:eastAsia="仿宋_GB2312"/>
          <w:sz w:val="32"/>
          <w:szCs w:val="32"/>
        </w:rPr>
      </w:pPr>
      <w:r>
        <w:rPr>
          <w:rFonts w:eastAsia="仿宋_GB2312"/>
          <w:sz w:val="32"/>
          <w:szCs w:val="32"/>
        </w:rPr>
        <w:t>（一）预算编制情况。</w:t>
      </w:r>
    </w:p>
    <w:p w14:paraId="453CCCB6">
      <w:pPr>
        <w:snapToGrid w:val="0"/>
        <w:spacing w:line="560" w:lineRule="exact"/>
        <w:ind w:firstLine="640" w:firstLineChars="200"/>
        <w:rPr>
          <w:rFonts w:eastAsia="仿宋_GB2312"/>
          <w:sz w:val="32"/>
          <w:szCs w:val="32"/>
        </w:rPr>
      </w:pPr>
      <w:r>
        <w:rPr>
          <w:rFonts w:eastAsia="仿宋_GB2312"/>
          <w:sz w:val="32"/>
          <w:szCs w:val="32"/>
        </w:rPr>
        <w:t>2018年财政安排年初预算拨款收入893.78万元,预算拨款支出893.78万元。预算拨款支出按支出功能分类构成为：社会保障和就业支出33.98万元,城乡社区支出832.98万元,住房保障支出26.82万元；按经济分类构成为：工资福利支出268.77万元,商品和服务支出618.41万元(其中项目支出583.42万元),对个人和家庭的补助支出6.60万元。</w:t>
      </w:r>
    </w:p>
    <w:p w14:paraId="70F269B8">
      <w:pPr>
        <w:snapToGrid w:val="0"/>
        <w:spacing w:line="560" w:lineRule="exact"/>
        <w:ind w:firstLine="640" w:firstLineChars="200"/>
        <w:rPr>
          <w:rFonts w:eastAsia="仿宋_GB2312"/>
          <w:sz w:val="32"/>
          <w:szCs w:val="32"/>
        </w:rPr>
      </w:pPr>
      <w:r>
        <w:rPr>
          <w:rFonts w:eastAsia="仿宋_GB2312"/>
          <w:sz w:val="32"/>
          <w:szCs w:val="32"/>
        </w:rPr>
        <w:t>2018年财政调整年初结转结余资金650万元，追加预算资金9702.22万元。</w:t>
      </w:r>
    </w:p>
    <w:p w14:paraId="5A4CF0DD">
      <w:pPr>
        <w:adjustRightInd w:val="0"/>
        <w:snapToGrid w:val="0"/>
        <w:spacing w:line="560" w:lineRule="exact"/>
        <w:ind w:firstLine="720"/>
        <w:rPr>
          <w:rFonts w:eastAsia="仿宋_GB2312"/>
          <w:sz w:val="32"/>
          <w:szCs w:val="32"/>
          <w:lang w:val="zh-CN"/>
        </w:rPr>
      </w:pPr>
      <w:r>
        <w:rPr>
          <w:rFonts w:eastAsia="仿宋_GB2312"/>
          <w:sz w:val="32"/>
          <w:szCs w:val="32"/>
          <w:lang w:val="zh-CN"/>
        </w:rPr>
        <w:t>（二）执行管理情况。</w:t>
      </w:r>
    </w:p>
    <w:p w14:paraId="7087974E">
      <w:pPr>
        <w:snapToGrid w:val="0"/>
        <w:spacing w:line="560" w:lineRule="exact"/>
        <w:ind w:firstLine="640" w:firstLineChars="200"/>
        <w:rPr>
          <w:rFonts w:eastAsia="仿宋_GB2312"/>
          <w:sz w:val="32"/>
          <w:szCs w:val="32"/>
        </w:rPr>
      </w:pPr>
      <w:r>
        <w:rPr>
          <w:rFonts w:eastAsia="仿宋_GB2312"/>
          <w:sz w:val="32"/>
          <w:szCs w:val="32"/>
        </w:rPr>
        <w:t>2018年财政调整年初结转结余资金650万元，本年收入决算数10596.00万元，支出决算数6408.30万元，年末结转结余资金4837.70万元。</w:t>
      </w:r>
    </w:p>
    <w:p w14:paraId="757022A2">
      <w:pPr>
        <w:snapToGrid w:val="0"/>
        <w:spacing w:line="560" w:lineRule="exact"/>
        <w:ind w:firstLine="640" w:firstLineChars="200"/>
        <w:rPr>
          <w:rFonts w:eastAsia="仿宋_GB2312"/>
          <w:sz w:val="32"/>
          <w:szCs w:val="32"/>
        </w:rPr>
      </w:pPr>
      <w:r>
        <w:rPr>
          <w:rFonts w:eastAsia="仿宋_GB2312"/>
          <w:sz w:val="32"/>
          <w:szCs w:val="32"/>
        </w:rPr>
        <w:t>本单位预算安排支出主要用于保障该部门机构正常运转、完成日常工作任务以及本单位承担的其它相关工作。</w:t>
      </w:r>
    </w:p>
    <w:p w14:paraId="61B3B17E">
      <w:pPr>
        <w:snapToGrid w:val="0"/>
        <w:spacing w:line="560" w:lineRule="exact"/>
        <w:ind w:firstLine="640" w:firstLineChars="200"/>
        <w:rPr>
          <w:rFonts w:eastAsia="仿宋_GB2312"/>
          <w:sz w:val="32"/>
          <w:szCs w:val="32"/>
        </w:rPr>
      </w:pPr>
      <w:r>
        <w:rPr>
          <w:rFonts w:eastAsia="仿宋_GB2312"/>
          <w:sz w:val="32"/>
          <w:szCs w:val="32"/>
        </w:rPr>
        <w:t>基本支出，是用于保障本单位内部等机构正常运转的日常支出，包括基本工资、津贴补贴、离退休费、住房公积金和日常公用经费等。</w:t>
      </w:r>
    </w:p>
    <w:p w14:paraId="32C33DBA">
      <w:pPr>
        <w:snapToGrid w:val="0"/>
        <w:spacing w:line="560" w:lineRule="exact"/>
        <w:ind w:firstLine="640" w:firstLineChars="200"/>
        <w:rPr>
          <w:rFonts w:eastAsia="仿宋_GB2312"/>
          <w:sz w:val="32"/>
          <w:szCs w:val="32"/>
        </w:rPr>
      </w:pPr>
      <w:r>
        <w:rPr>
          <w:rFonts w:eastAsia="仿宋_GB2312"/>
          <w:sz w:val="32"/>
          <w:szCs w:val="32"/>
        </w:rPr>
        <w:t>项目支出，是用于保障环卫、绿化、市政及城市监察等机构为完成特定的行政工作任务或事业发展目标，用于专项业务工作的经费支出。</w:t>
      </w:r>
    </w:p>
    <w:p w14:paraId="3A71BAE5">
      <w:pPr>
        <w:snapToGrid w:val="0"/>
        <w:spacing w:line="560" w:lineRule="exact"/>
        <w:ind w:firstLine="640" w:firstLineChars="200"/>
        <w:rPr>
          <w:rFonts w:eastAsia="仿宋_GB2312"/>
          <w:sz w:val="32"/>
          <w:szCs w:val="32"/>
        </w:rPr>
      </w:pPr>
      <w:r>
        <w:rPr>
          <w:rFonts w:eastAsia="仿宋_GB2312"/>
          <w:sz w:val="32"/>
          <w:szCs w:val="32"/>
        </w:rPr>
        <w:t>按支出功能分类主要用于以下方面：</w:t>
      </w:r>
    </w:p>
    <w:p w14:paraId="1066C2E9">
      <w:pPr>
        <w:snapToGrid w:val="0"/>
        <w:spacing w:line="560" w:lineRule="exact"/>
        <w:ind w:firstLine="640" w:firstLineChars="200"/>
        <w:rPr>
          <w:rFonts w:eastAsia="仿宋_GB2312"/>
          <w:sz w:val="32"/>
          <w:szCs w:val="32"/>
        </w:rPr>
      </w:pPr>
      <w:r>
        <w:rPr>
          <w:rFonts w:eastAsia="仿宋_GB2312"/>
          <w:sz w:val="32"/>
          <w:szCs w:val="32"/>
        </w:rPr>
        <w:t>1、一般公共服务支出0万元。</w:t>
      </w:r>
    </w:p>
    <w:p w14:paraId="33988E7E">
      <w:pPr>
        <w:snapToGrid w:val="0"/>
        <w:spacing w:line="560" w:lineRule="exact"/>
        <w:ind w:firstLine="640" w:firstLineChars="200"/>
        <w:rPr>
          <w:rFonts w:eastAsia="仿宋_GB2312"/>
          <w:sz w:val="32"/>
          <w:szCs w:val="32"/>
        </w:rPr>
      </w:pPr>
      <w:r>
        <w:rPr>
          <w:rFonts w:eastAsia="仿宋_GB2312"/>
          <w:sz w:val="32"/>
          <w:szCs w:val="32"/>
        </w:rPr>
        <w:t>2、社会保障和就业支出33.98万元，主要用于机关及下属事业单位离退休人员支出以及养老保险单位缴费等支出。</w:t>
      </w:r>
    </w:p>
    <w:p w14:paraId="7004006A">
      <w:pPr>
        <w:snapToGrid w:val="0"/>
        <w:spacing w:line="560" w:lineRule="exact"/>
        <w:ind w:firstLine="640" w:firstLineChars="200"/>
        <w:rPr>
          <w:rFonts w:eastAsia="仿宋_GB2312"/>
          <w:sz w:val="32"/>
          <w:szCs w:val="32"/>
        </w:rPr>
      </w:pPr>
      <w:r>
        <w:rPr>
          <w:rFonts w:eastAsia="仿宋_GB2312"/>
          <w:sz w:val="32"/>
          <w:szCs w:val="32"/>
        </w:rPr>
        <w:t>3、医疗卫生与计划生育支出0万元。</w:t>
      </w:r>
    </w:p>
    <w:p w14:paraId="1B359671">
      <w:pPr>
        <w:snapToGrid w:val="0"/>
        <w:spacing w:line="560" w:lineRule="exact"/>
        <w:ind w:firstLine="640" w:firstLineChars="200"/>
        <w:rPr>
          <w:rFonts w:eastAsia="仿宋_GB2312"/>
          <w:sz w:val="32"/>
          <w:szCs w:val="32"/>
        </w:rPr>
      </w:pPr>
      <w:r>
        <w:rPr>
          <w:rFonts w:eastAsia="仿宋_GB2312"/>
          <w:sz w:val="32"/>
          <w:szCs w:val="32"/>
        </w:rPr>
        <w:t>4、住房保障支出26.82万元，用于机关及下属事业单位按照规定标准为职工缴纳住房公积金等支出。</w:t>
      </w:r>
    </w:p>
    <w:p w14:paraId="584857F5">
      <w:pPr>
        <w:snapToGrid w:val="0"/>
        <w:spacing w:line="560" w:lineRule="exact"/>
        <w:ind w:firstLine="640" w:firstLineChars="200"/>
        <w:rPr>
          <w:rFonts w:eastAsia="仿宋_GB2312"/>
          <w:sz w:val="32"/>
          <w:szCs w:val="32"/>
        </w:rPr>
      </w:pPr>
      <w:r>
        <w:rPr>
          <w:rFonts w:eastAsia="仿宋_GB2312"/>
          <w:sz w:val="32"/>
          <w:szCs w:val="32"/>
        </w:rPr>
        <w:t>5、城乡社区支出832.98万元，主要用于人员工资、日常运转以及为完成特定工作任务而安排的年度项目支出等。</w:t>
      </w:r>
    </w:p>
    <w:p w14:paraId="1EB445BA">
      <w:pPr>
        <w:snapToGrid w:val="0"/>
        <w:spacing w:line="560" w:lineRule="exact"/>
        <w:ind w:firstLine="640" w:firstLineChars="200"/>
        <w:rPr>
          <w:rFonts w:eastAsia="仿宋_GB2312"/>
          <w:sz w:val="32"/>
          <w:szCs w:val="32"/>
        </w:rPr>
      </w:pPr>
      <w:r>
        <w:rPr>
          <w:rFonts w:eastAsia="仿宋_GB2312"/>
          <w:sz w:val="32"/>
          <w:szCs w:val="32"/>
        </w:rPr>
        <w:t>（三）决算编制情况。</w:t>
      </w:r>
    </w:p>
    <w:p w14:paraId="325D11F9">
      <w:pPr>
        <w:snapToGrid w:val="0"/>
        <w:spacing w:line="560" w:lineRule="exact"/>
        <w:ind w:firstLine="640" w:firstLineChars="200"/>
        <w:rPr>
          <w:rFonts w:eastAsia="仿宋_GB2312"/>
          <w:sz w:val="32"/>
          <w:szCs w:val="32"/>
        </w:rPr>
      </w:pPr>
      <w:r>
        <w:rPr>
          <w:rFonts w:eastAsia="仿宋_GB2312"/>
          <w:sz w:val="32"/>
          <w:szCs w:val="32"/>
        </w:rPr>
        <w:t>2018年财政调整年初结转结余资金650万元，本年收入决算数10596.00万元，支出决算数6408.30万元，年末结转结余资金4837.70万元。</w:t>
      </w:r>
    </w:p>
    <w:p w14:paraId="16E22D09">
      <w:pPr>
        <w:snapToGrid w:val="0"/>
        <w:spacing w:line="560" w:lineRule="exact"/>
        <w:ind w:firstLine="640" w:firstLineChars="200"/>
        <w:rPr>
          <w:rFonts w:eastAsia="仿宋_GB2312"/>
          <w:sz w:val="32"/>
          <w:szCs w:val="32"/>
        </w:rPr>
      </w:pPr>
      <w:r>
        <w:rPr>
          <w:rFonts w:eastAsia="仿宋_GB2312"/>
          <w:sz w:val="32"/>
          <w:szCs w:val="32"/>
        </w:rPr>
        <w:t>本年支出按支出功能分类构成为：社会保障和就业支出45.30万元,占支出总额的0.71%,城乡社区支出6334.91万元,占支出总额的98.85%,住房保障支出28.09万元,占总支出的0.44%；按经济分类构成为：工资福利支出284.50万元,占支出总额的4.44%,商品和服务支出4164.91万元,占支出总额的64.99%,对个人和家庭的补助支出83.86万元,占支出总额的1.31%，资本性支出1875.03万元，占支出总额的29.26%。</w:t>
      </w:r>
    </w:p>
    <w:p w14:paraId="2F6EB289">
      <w:pPr>
        <w:snapToGrid w:val="0"/>
        <w:spacing w:line="560" w:lineRule="exact"/>
        <w:ind w:firstLine="640" w:firstLineChars="200"/>
        <w:rPr>
          <w:rFonts w:eastAsia="仿宋_GB2312"/>
          <w:sz w:val="32"/>
          <w:szCs w:val="32"/>
        </w:rPr>
      </w:pPr>
      <w:r>
        <w:rPr>
          <w:rFonts w:eastAsia="仿宋_GB2312"/>
          <w:sz w:val="32"/>
          <w:szCs w:val="32"/>
        </w:rPr>
        <w:t>财政拨款“三公”经费情况。</w:t>
      </w:r>
    </w:p>
    <w:p w14:paraId="2CB666DB">
      <w:pPr>
        <w:snapToGrid w:val="0"/>
        <w:spacing w:line="560" w:lineRule="exact"/>
        <w:ind w:firstLine="640" w:firstLineChars="200"/>
        <w:rPr>
          <w:rFonts w:eastAsia="仿宋_GB2312"/>
          <w:sz w:val="32"/>
          <w:szCs w:val="32"/>
        </w:rPr>
      </w:pPr>
      <w:r>
        <w:rPr>
          <w:rFonts w:eastAsia="仿宋_GB2312"/>
          <w:sz w:val="32"/>
          <w:szCs w:val="32"/>
        </w:rPr>
        <w:t>1、“三公”经费支出情况：2018年全年“三公”经费支出合计0.84万元,主要是公务接待费0.84万元，无出国（境）经费及公务用车购置及运行维护费。</w:t>
      </w:r>
    </w:p>
    <w:p w14:paraId="189FFD0A">
      <w:pPr>
        <w:snapToGrid w:val="0"/>
        <w:spacing w:line="560" w:lineRule="exact"/>
        <w:ind w:firstLine="640" w:firstLineChars="200"/>
        <w:rPr>
          <w:rFonts w:eastAsia="仿宋_GB2312"/>
          <w:sz w:val="32"/>
          <w:szCs w:val="32"/>
        </w:rPr>
      </w:pPr>
      <w:r>
        <w:rPr>
          <w:rFonts w:eastAsia="仿宋_GB2312"/>
          <w:sz w:val="32"/>
          <w:szCs w:val="32"/>
        </w:rPr>
        <w:t>2、会议费支出情况：2018年全年会议费支出0.10万元，与上年3.66万元相比，减少3.56万元，减少97.27%。</w:t>
      </w:r>
    </w:p>
    <w:p w14:paraId="3F21C3FF">
      <w:pPr>
        <w:snapToGrid w:val="0"/>
        <w:spacing w:line="560" w:lineRule="exact"/>
        <w:ind w:firstLine="640" w:firstLineChars="200"/>
        <w:rPr>
          <w:rFonts w:eastAsia="仿宋_GB2312"/>
          <w:sz w:val="32"/>
          <w:szCs w:val="32"/>
        </w:rPr>
      </w:pPr>
      <w:r>
        <w:rPr>
          <w:rFonts w:eastAsia="仿宋_GB2312"/>
          <w:sz w:val="32"/>
          <w:szCs w:val="32"/>
        </w:rPr>
        <w:t xml:space="preserve"> 3、培训费支出情况：2018年培训费支出合计1.00万元,比上年同期培训费支出0.52万元增加0.48万元,增加92.31%。</w:t>
      </w:r>
    </w:p>
    <w:p w14:paraId="6613C399">
      <w:pPr>
        <w:snapToGrid w:val="0"/>
        <w:spacing w:line="560" w:lineRule="exact"/>
        <w:ind w:firstLine="640" w:firstLineChars="200"/>
        <w:rPr>
          <w:rFonts w:eastAsia="仿宋_GB2312"/>
          <w:sz w:val="32"/>
          <w:szCs w:val="32"/>
        </w:rPr>
      </w:pPr>
      <w:r>
        <w:rPr>
          <w:rFonts w:eastAsia="仿宋_GB2312"/>
          <w:sz w:val="32"/>
          <w:szCs w:val="32"/>
        </w:rPr>
        <w:t>（四）支出绩效情况。</w:t>
      </w:r>
    </w:p>
    <w:p w14:paraId="08AD4AD7">
      <w:pPr>
        <w:snapToGrid w:val="0"/>
        <w:spacing w:line="560" w:lineRule="exact"/>
        <w:ind w:firstLine="640" w:firstLineChars="200"/>
        <w:rPr>
          <w:rFonts w:eastAsia="仿宋_GB2312"/>
          <w:sz w:val="32"/>
          <w:szCs w:val="32"/>
        </w:rPr>
      </w:pPr>
      <w:r>
        <w:rPr>
          <w:rFonts w:eastAsia="仿宋_GB2312"/>
          <w:sz w:val="32"/>
          <w:szCs w:val="32"/>
        </w:rPr>
        <w:t>一是重要指标。目前完成固定资产投资1.39亿元（预计12月底完成2.3亿元项目入库），生活垃圾无害化处理率达100%，密闭清运率达100%，垃圾日处理量107吨，城区道路机械化清扫程度达90%以上，城市生活污水集中处理率达到86.3%，路灯亮化率达98%，市政设施完好率达97%。</w:t>
      </w:r>
    </w:p>
    <w:p w14:paraId="7043AC8C">
      <w:pPr>
        <w:snapToGrid w:val="0"/>
        <w:spacing w:line="560" w:lineRule="exact"/>
        <w:ind w:firstLine="640" w:firstLineChars="200"/>
        <w:rPr>
          <w:rFonts w:eastAsia="仿宋_GB2312"/>
          <w:sz w:val="32"/>
          <w:szCs w:val="32"/>
        </w:rPr>
      </w:pPr>
      <w:r>
        <w:rPr>
          <w:rFonts w:eastAsia="仿宋_GB2312"/>
          <w:sz w:val="32"/>
          <w:szCs w:val="32"/>
        </w:rPr>
        <w:t>二是重点项目建设。完成睿龙花园西侧边坡治理、亮化三期工程、公共自行车第二轮运行维护采购项目、龙桥维护项目、交通岛改造等重点项目和领导交办事项，按计划实施全市污水处理PPP项目、旅游公厕建设项目、宜居城市建设项目、垃圾中转站建设项目、米易县生活垃圾填埋场封场项目、居民生活垃圾处理场建设项目、2018旧城区合流制雨污管网改造项目等。</w:t>
      </w:r>
    </w:p>
    <w:p w14:paraId="6DC4DE4A">
      <w:pPr>
        <w:snapToGrid w:val="0"/>
        <w:spacing w:line="560" w:lineRule="exact"/>
        <w:ind w:firstLine="640" w:firstLineChars="200"/>
        <w:rPr>
          <w:rFonts w:eastAsia="仿宋_GB2312"/>
          <w:sz w:val="32"/>
          <w:szCs w:val="32"/>
        </w:rPr>
      </w:pPr>
      <w:r>
        <w:rPr>
          <w:rFonts w:eastAsia="仿宋_GB2312"/>
          <w:sz w:val="32"/>
          <w:szCs w:val="32"/>
        </w:rPr>
        <w:t>三是城市管理和城乡环境综合治理工作。制定下发了《米易县2018年城乡环境综合治理考核细则》《2018年城市管理工作考核细则》；开展了乡镇非正规垃圾堆放点排查；为各乡镇争取城乡垃圾和污水处理费用170余万元；开展城乡环境综合整治29次，严格落实市城管委下发整改；将垃圾中转站建设、垃圾场封场治理项目、白马镇污水管网建设等城乡污水处理建设和城乡垃圾处理建设项目纳入全省三推项目和全市污水处理PPP项目同步实施；在全市城市管理月考核中3次位居全市首位。</w:t>
      </w:r>
    </w:p>
    <w:p w14:paraId="46A031FA">
      <w:pPr>
        <w:adjustRightInd w:val="0"/>
        <w:snapToGrid w:val="0"/>
        <w:spacing w:line="560" w:lineRule="exact"/>
        <w:ind w:firstLine="720"/>
        <w:rPr>
          <w:rFonts w:eastAsia="黑体"/>
          <w:sz w:val="32"/>
          <w:szCs w:val="32"/>
        </w:rPr>
      </w:pPr>
      <w:r>
        <w:rPr>
          <w:rFonts w:eastAsia="黑体"/>
          <w:sz w:val="32"/>
          <w:szCs w:val="32"/>
        </w:rPr>
        <w:t>四、评价结论及建议</w:t>
      </w:r>
    </w:p>
    <w:p w14:paraId="7E410297">
      <w:pPr>
        <w:snapToGrid w:val="0"/>
        <w:spacing w:line="560" w:lineRule="exact"/>
        <w:ind w:firstLine="640" w:firstLineChars="200"/>
        <w:rPr>
          <w:rFonts w:eastAsia="仿宋_GB2312"/>
          <w:sz w:val="32"/>
          <w:szCs w:val="32"/>
        </w:rPr>
      </w:pPr>
      <w:r>
        <w:rPr>
          <w:rFonts w:eastAsia="仿宋_GB2312"/>
          <w:sz w:val="32"/>
          <w:szCs w:val="32"/>
        </w:rPr>
        <w:t>（一）评价结论。</w:t>
      </w:r>
    </w:p>
    <w:p w14:paraId="3DAB28B1">
      <w:pPr>
        <w:snapToGrid w:val="0"/>
        <w:spacing w:line="560" w:lineRule="exact"/>
        <w:ind w:firstLine="640" w:firstLineChars="200"/>
        <w:rPr>
          <w:rFonts w:eastAsia="仿宋_GB2312"/>
          <w:sz w:val="32"/>
          <w:szCs w:val="32"/>
        </w:rPr>
      </w:pPr>
      <w:r>
        <w:rPr>
          <w:rFonts w:eastAsia="仿宋_GB2312"/>
          <w:sz w:val="32"/>
          <w:szCs w:val="32"/>
        </w:rPr>
        <w:t>随着我县城市建设不断加快，城区面积不断扩展，城市内涵不断丰富，城市承载功能不断增强，城市管理所面对的部件也在质和量上发生深刻变化，再加上广大群众日益增长的物资文化和精神文化的需求，需要政府进一步加大重视程度，希望财政</w:t>
      </w:r>
      <w:r>
        <w:rPr>
          <w:rFonts w:hint="eastAsia" w:eastAsia="仿宋_GB2312"/>
          <w:sz w:val="32"/>
          <w:szCs w:val="32"/>
        </w:rPr>
        <w:t>一如既</w:t>
      </w:r>
      <w:r>
        <w:rPr>
          <w:rFonts w:eastAsia="仿宋_GB2312"/>
          <w:sz w:val="32"/>
          <w:szCs w:val="32"/>
        </w:rPr>
        <w:t>往加强资金保障。</w:t>
      </w:r>
    </w:p>
    <w:p w14:paraId="64DDAAD1">
      <w:pPr>
        <w:snapToGrid w:val="0"/>
        <w:spacing w:line="560" w:lineRule="exact"/>
        <w:ind w:firstLine="640" w:firstLineChars="200"/>
        <w:rPr>
          <w:rFonts w:eastAsia="仿宋_GB2312"/>
          <w:sz w:val="32"/>
          <w:szCs w:val="32"/>
        </w:rPr>
      </w:pPr>
      <w:r>
        <w:rPr>
          <w:rFonts w:eastAsia="仿宋_GB2312"/>
          <w:sz w:val="32"/>
          <w:szCs w:val="32"/>
        </w:rPr>
        <w:t>（二）存在问题。</w:t>
      </w:r>
    </w:p>
    <w:p w14:paraId="5DCC02D9">
      <w:pPr>
        <w:snapToGrid w:val="0"/>
        <w:spacing w:line="560" w:lineRule="exact"/>
        <w:ind w:firstLine="640" w:firstLineChars="200"/>
        <w:rPr>
          <w:rFonts w:eastAsia="仿宋_GB2312"/>
          <w:sz w:val="32"/>
          <w:szCs w:val="32"/>
        </w:rPr>
      </w:pPr>
      <w:r>
        <w:rPr>
          <w:rFonts w:eastAsia="仿宋_GB2312"/>
          <w:sz w:val="32"/>
          <w:szCs w:val="32"/>
        </w:rPr>
        <w:t>各股室对绩效评价工作的重要性认识有待进一步提高。</w:t>
      </w:r>
    </w:p>
    <w:p w14:paraId="5503D1E4">
      <w:pPr>
        <w:snapToGrid w:val="0"/>
        <w:spacing w:line="560" w:lineRule="exact"/>
        <w:ind w:firstLine="640" w:firstLineChars="200"/>
        <w:rPr>
          <w:rFonts w:eastAsia="仿宋_GB2312"/>
          <w:sz w:val="32"/>
          <w:szCs w:val="32"/>
        </w:rPr>
      </w:pPr>
      <w:r>
        <w:rPr>
          <w:rFonts w:eastAsia="仿宋_GB2312"/>
          <w:sz w:val="32"/>
          <w:szCs w:val="32"/>
        </w:rPr>
        <w:t>（三）改进建议。</w:t>
      </w:r>
    </w:p>
    <w:p w14:paraId="6493E714">
      <w:pPr>
        <w:snapToGrid w:val="0"/>
        <w:spacing w:line="560" w:lineRule="exact"/>
        <w:ind w:firstLine="640" w:firstLineChars="200"/>
        <w:rPr>
          <w:rFonts w:eastAsia="仿宋_GB2312"/>
          <w:sz w:val="32"/>
          <w:szCs w:val="32"/>
        </w:rPr>
      </w:pPr>
      <w:r>
        <w:rPr>
          <w:rFonts w:eastAsia="仿宋_GB2312"/>
          <w:sz w:val="32"/>
          <w:szCs w:val="32"/>
        </w:rPr>
        <w:t>1、细化预算编制工作，认真做好预算的编制。进一步加强单位内部机构各股室的预算管理意识，严格按照预算编制的相关制度和要求进行预算编制。</w:t>
      </w:r>
    </w:p>
    <w:p w14:paraId="2A31CDCB">
      <w:pPr>
        <w:snapToGrid w:val="0"/>
        <w:spacing w:line="560" w:lineRule="exact"/>
        <w:ind w:firstLine="640" w:firstLineChars="200"/>
        <w:rPr>
          <w:rFonts w:eastAsia="仿宋_GB2312"/>
          <w:sz w:val="32"/>
          <w:szCs w:val="32"/>
        </w:rPr>
      </w:pPr>
      <w:r>
        <w:rPr>
          <w:rFonts w:eastAsia="仿宋_GB2312"/>
          <w:sz w:val="32"/>
          <w:szCs w:val="32"/>
        </w:rPr>
        <w:t>2、完善资产管理，抓好“三公”经费控制。</w:t>
      </w:r>
    </w:p>
    <w:p w14:paraId="216DB9B8">
      <w:pPr>
        <w:snapToGrid w:val="0"/>
        <w:spacing w:line="560" w:lineRule="exact"/>
        <w:ind w:firstLine="640" w:firstLineChars="200"/>
        <w:rPr>
          <w:rFonts w:eastAsia="仿宋_GB2312"/>
          <w:sz w:val="32"/>
          <w:szCs w:val="32"/>
        </w:rPr>
      </w:pPr>
      <w:r>
        <w:rPr>
          <w:rFonts w:eastAsia="仿宋_GB2312"/>
          <w:sz w:val="32"/>
          <w:szCs w:val="32"/>
        </w:rPr>
        <w:t>3、加强对相关人员的理论业务培训、提高相关人员专业技能，特别是针对《预算法》、《行政事业单位会计制度》等学习培训，规范部门预算收支核算，切实提高部门预算收支管理水平。</w:t>
      </w:r>
    </w:p>
    <w:p w14:paraId="66DF988C">
      <w:pPr>
        <w:spacing w:line="580" w:lineRule="exact"/>
        <w:ind w:firstLine="640" w:firstLineChars="200"/>
        <w:rPr>
          <w:rFonts w:eastAsia="仿宋_GB2312"/>
          <w:sz w:val="32"/>
          <w:szCs w:val="32"/>
        </w:rPr>
      </w:pPr>
    </w:p>
    <w:p w14:paraId="24EAFEFE">
      <w:pPr>
        <w:widowControl/>
        <w:jc w:val="left"/>
        <w:rPr>
          <w:rStyle w:val="18"/>
          <w:rFonts w:eastAsia="仿宋"/>
        </w:rPr>
      </w:pPr>
      <w:r>
        <w:rPr>
          <w:rFonts w:eastAsia="仿宋_GB2312"/>
          <w:sz w:val="32"/>
          <w:szCs w:val="32"/>
        </w:rPr>
        <w:br w:type="page"/>
      </w:r>
      <w:bookmarkStart w:id="50" w:name="_Toc15396617"/>
      <w:r>
        <w:rPr>
          <w:rFonts w:eastAsia="仿宋_GB2312"/>
          <w:sz w:val="32"/>
          <w:szCs w:val="32"/>
        </w:rPr>
        <w:t>附件2</w:t>
      </w:r>
      <w:bookmarkEnd w:id="50"/>
    </w:p>
    <w:p w14:paraId="7E177D60">
      <w:pPr>
        <w:spacing w:line="580" w:lineRule="exact"/>
        <w:jc w:val="center"/>
        <w:rPr>
          <w:rFonts w:eastAsia="黑体"/>
          <w:sz w:val="44"/>
          <w:szCs w:val="44"/>
        </w:rPr>
      </w:pPr>
      <w:r>
        <w:rPr>
          <w:rFonts w:eastAsia="黑体"/>
          <w:sz w:val="44"/>
          <w:szCs w:val="44"/>
        </w:rPr>
        <w:t>2018年环卫市场化项目支出绩效评价报告</w:t>
      </w:r>
    </w:p>
    <w:p w14:paraId="5C9059AF">
      <w:pPr>
        <w:autoSpaceDE w:val="0"/>
        <w:autoSpaceDN w:val="0"/>
        <w:adjustRightInd w:val="0"/>
        <w:spacing w:line="600" w:lineRule="exact"/>
        <w:ind w:firstLine="640" w:firstLineChars="200"/>
        <w:jc w:val="left"/>
        <w:rPr>
          <w:rFonts w:ascii="Times New Roman" w:eastAsia="仿宋_GB2312"/>
          <w:sz w:val="32"/>
          <w:szCs w:val="32"/>
          <w:rPrChange w:id="0" w:author="Unknown" w:date="1901-01-01T00:00:00Z">
            <w:rPr>
              <w:rFonts w:ascii="黑体" w:eastAsia="黑体"/>
              <w:sz w:val="32"/>
              <w:szCs w:val="32"/>
            </w:rPr>
          </w:rPrChange>
        </w:rPr>
      </w:pPr>
      <w:r>
        <w:rPr>
          <w:rFonts w:hint="eastAsia" w:ascii="Times New Roman" w:eastAsia="仿宋_GB2312" w:cs="Times New Roman"/>
          <w:sz w:val="32"/>
          <w:szCs w:val="32"/>
          <w:rPrChange w:id="1" w:author="舒燕" w:date="2019-03-20T09:18:00Z">
            <w:rPr>
              <w:rFonts w:hint="eastAsia" w:ascii="黑体" w:eastAsia="黑体" w:cs="仿宋_GB2312"/>
              <w:sz w:val="32"/>
              <w:szCs w:val="32"/>
            </w:rPr>
          </w:rPrChange>
        </w:rPr>
        <w:t>一、项目概况</w:t>
      </w:r>
    </w:p>
    <w:p w14:paraId="55441857">
      <w:pPr>
        <w:autoSpaceDE w:val="0"/>
        <w:autoSpaceDN w:val="0"/>
        <w:adjustRightInd w:val="0"/>
        <w:spacing w:line="600" w:lineRule="exact"/>
        <w:ind w:firstLine="640" w:firstLineChars="200"/>
        <w:jc w:val="left"/>
        <w:rPr>
          <w:rFonts w:eastAsia="仿宋_GB2312"/>
          <w:sz w:val="32"/>
          <w:szCs w:val="32"/>
        </w:rPr>
      </w:pPr>
      <w:r>
        <w:rPr>
          <w:rFonts w:hint="eastAsia" w:ascii="Times New Roman" w:eastAsia="仿宋_GB2312" w:cs="Times New Roman"/>
          <w:sz w:val="32"/>
          <w:szCs w:val="32"/>
          <w:rPrChange w:id="2" w:author="舒燕" w:date="2019-03-20T09:18:00Z">
            <w:rPr>
              <w:rFonts w:hint="eastAsia" w:ascii="楷体_GB2312" w:eastAsia="楷体_GB2312" w:cs="仿宋_GB2312"/>
              <w:sz w:val="32"/>
              <w:szCs w:val="32"/>
            </w:rPr>
          </w:rPrChange>
        </w:rPr>
        <w:t>（一）项目基本情况。</w:t>
      </w:r>
    </w:p>
    <w:p w14:paraId="76F67BE2">
      <w:pPr>
        <w:spacing w:line="560" w:lineRule="exact"/>
        <w:ind w:firstLine="640" w:firstLineChars="200"/>
        <w:rPr>
          <w:rFonts w:eastAsia="仿宋_GB2312"/>
          <w:sz w:val="32"/>
          <w:szCs w:val="32"/>
        </w:rPr>
      </w:pPr>
      <w:r>
        <w:rPr>
          <w:rFonts w:eastAsia="仿宋_GB2312"/>
          <w:sz w:val="32"/>
          <w:szCs w:val="32"/>
        </w:rPr>
        <w:t>米易县城区2016—2020年环卫清扫保洁市场化招标工作已于2016年7月正式签订5年服务合同，其中，一标段（城南片区）由成都高建环境卫生服务有限公司米易分公司承包，二标段（河西片区）由成都和佳物业管理有限公司米易分公司承包，三标段（城北片区）由成都黄大姐保洁服务有限公司米易分公司承包。此轮环卫清扫保洁市场化从以下几个方面进行了优化完善：</w:t>
      </w:r>
    </w:p>
    <w:p w14:paraId="39573959">
      <w:pPr>
        <w:spacing w:line="560" w:lineRule="exact"/>
        <w:ind w:firstLine="643" w:firstLineChars="200"/>
        <w:rPr>
          <w:rFonts w:eastAsia="仿宋_GB2312"/>
          <w:sz w:val="32"/>
          <w:szCs w:val="32"/>
        </w:rPr>
      </w:pPr>
      <w:r>
        <w:rPr>
          <w:rFonts w:eastAsia="仿宋_GB2312"/>
          <w:b/>
          <w:bCs/>
          <w:sz w:val="32"/>
          <w:szCs w:val="32"/>
        </w:rPr>
        <w:t>1．延长承包期限：</w:t>
      </w:r>
      <w:r>
        <w:rPr>
          <w:rFonts w:eastAsia="仿宋_GB2312"/>
          <w:sz w:val="32"/>
          <w:szCs w:val="32"/>
        </w:rPr>
        <w:t>为了鼓励中标企业加大作业设施设备投资，增强机械清扫力度，提高保洁效率，提升保洁水平，本次承包期限由之前的3年延长至5年，具体时间从2016年7月1日起至2021年6月30日止。</w:t>
      </w:r>
    </w:p>
    <w:p w14:paraId="18FC52D8">
      <w:pPr>
        <w:spacing w:line="560" w:lineRule="exact"/>
        <w:ind w:firstLine="643" w:firstLineChars="200"/>
        <w:rPr>
          <w:rFonts w:eastAsia="仿宋_GB2312"/>
          <w:color w:val="000000"/>
          <w:sz w:val="32"/>
          <w:szCs w:val="32"/>
        </w:rPr>
      </w:pPr>
      <w:r>
        <w:rPr>
          <w:rFonts w:eastAsia="仿宋_GB2312"/>
          <w:b/>
          <w:bCs/>
          <w:sz w:val="32"/>
          <w:szCs w:val="32"/>
        </w:rPr>
        <w:t>2．扩大作业区域：</w:t>
      </w:r>
      <w:r>
        <w:rPr>
          <w:rFonts w:eastAsia="仿宋_GB2312"/>
          <w:sz w:val="32"/>
          <w:szCs w:val="32"/>
        </w:rPr>
        <w:t>随着城区面积不断扩大，</w:t>
      </w:r>
      <w:r>
        <w:rPr>
          <w:rFonts w:eastAsia="仿宋_GB2312"/>
          <w:color w:val="000000"/>
          <w:sz w:val="32"/>
          <w:szCs w:val="32"/>
        </w:rPr>
        <w:t>绿化管护面积</w:t>
      </w:r>
      <w:r>
        <w:rPr>
          <w:rFonts w:eastAsia="仿宋_GB2312"/>
          <w:sz w:val="32"/>
          <w:szCs w:val="32"/>
        </w:rPr>
        <w:t>已由2013年1月的</w:t>
      </w:r>
      <w:r>
        <w:rPr>
          <w:rFonts w:eastAsia="仿宋_GB2312"/>
          <w:color w:val="000000"/>
          <w:sz w:val="32"/>
          <w:szCs w:val="32"/>
        </w:rPr>
        <w:t>780416.78平方米（不含湖面面积）增加到了</w:t>
      </w:r>
      <w:r>
        <w:rPr>
          <w:rFonts w:eastAsia="仿宋_GB2312"/>
          <w:color w:val="000000"/>
          <w:sz w:val="33"/>
          <w:szCs w:val="33"/>
        </w:rPr>
        <w:t>960757.23平方米（不含湖面面积149500平方米）</w:t>
      </w:r>
      <w:r>
        <w:rPr>
          <w:rFonts w:eastAsia="仿宋_GB2312"/>
          <w:color w:val="000000"/>
          <w:sz w:val="32"/>
          <w:szCs w:val="32"/>
        </w:rPr>
        <w:t>，增加了180340.45平方米。</w:t>
      </w:r>
    </w:p>
    <w:p w14:paraId="3917030B">
      <w:pPr>
        <w:spacing w:line="560" w:lineRule="exact"/>
        <w:ind w:firstLine="643" w:firstLineChars="200"/>
        <w:rPr>
          <w:rFonts w:eastAsia="仿宋_GB2312"/>
          <w:color w:val="000000"/>
          <w:sz w:val="32"/>
          <w:szCs w:val="32"/>
        </w:rPr>
      </w:pPr>
      <w:r>
        <w:rPr>
          <w:rFonts w:eastAsia="仿宋_GB2312"/>
          <w:b/>
          <w:bCs/>
          <w:sz w:val="32"/>
          <w:szCs w:val="32"/>
        </w:rPr>
        <w:t>3．调整标段划分：</w:t>
      </w:r>
      <w:r>
        <w:rPr>
          <w:rFonts w:eastAsia="仿宋_GB2312"/>
          <w:color w:val="000000"/>
          <w:sz w:val="32"/>
          <w:szCs w:val="32"/>
        </w:rPr>
        <w:t>由于作业区域的扩大，兼顾标段作业类型等情况和新增区域的保洁面积，为达到精细化保洁标准，重新划分之前的两个管护标段区域，分为城南、城北和河西三个环卫清扫保洁标段。</w:t>
      </w:r>
    </w:p>
    <w:p w14:paraId="64A568D4">
      <w:pPr>
        <w:spacing w:line="560" w:lineRule="exact"/>
        <w:ind w:firstLine="643" w:firstLineChars="200"/>
        <w:rPr>
          <w:rFonts w:eastAsia="仿宋_GB2312"/>
          <w:color w:val="000000"/>
          <w:sz w:val="32"/>
          <w:szCs w:val="32"/>
        </w:rPr>
      </w:pPr>
      <w:r>
        <w:rPr>
          <w:rFonts w:eastAsia="仿宋_GB2312"/>
          <w:b/>
          <w:bCs/>
          <w:sz w:val="32"/>
          <w:szCs w:val="32"/>
        </w:rPr>
        <w:t>4．提高养护单价：</w:t>
      </w:r>
      <w:r>
        <w:rPr>
          <w:rFonts w:eastAsia="仿宋_GB2312"/>
          <w:color w:val="000000"/>
          <w:sz w:val="32"/>
          <w:szCs w:val="32"/>
        </w:rPr>
        <w:t>随着国家最低工资标准上调，考虑物价上涨等因素，为保障我县保洁水平不断提升，适当提高保洁服务单价，由2013年招标的每年每平方米6.18元(不含湖面及公厕管理费用)提高到2016年的8.25元（不含湖面及公厕管理费用）。同时考虑国家最低工资标准上调等因素，为保障我县环卫作业水平不断提升，适当提高环卫作业单价，每年定额递增0.4元/</w:t>
      </w:r>
      <w:r>
        <w:rPr>
          <w:color w:val="000000"/>
          <w:sz w:val="32"/>
          <w:szCs w:val="32"/>
        </w:rPr>
        <w:t>㎡</w:t>
      </w:r>
      <w:r>
        <w:rPr>
          <w:rFonts w:eastAsia="仿宋_GB2312"/>
          <w:color w:val="000000"/>
          <w:sz w:val="32"/>
          <w:szCs w:val="32"/>
        </w:rPr>
        <w:t>，且合同期内不再因国家最低工资标准变动等增加企业运行经费（不含单位缴纳五险部分）。</w:t>
      </w:r>
    </w:p>
    <w:p w14:paraId="572BFE4E">
      <w:pPr>
        <w:spacing w:line="560" w:lineRule="exact"/>
        <w:ind w:firstLine="643" w:firstLineChars="200"/>
        <w:rPr>
          <w:rFonts w:eastAsia="仿宋_GB2312"/>
          <w:color w:val="000000"/>
          <w:sz w:val="32"/>
          <w:szCs w:val="32"/>
        </w:rPr>
      </w:pPr>
      <w:r>
        <w:rPr>
          <w:rFonts w:eastAsia="仿宋_GB2312"/>
          <w:b/>
          <w:bCs/>
          <w:sz w:val="32"/>
          <w:szCs w:val="32"/>
        </w:rPr>
        <w:t>5．细化作业标准：</w:t>
      </w:r>
      <w:r>
        <w:rPr>
          <w:rFonts w:eastAsia="仿宋_GB2312"/>
          <w:color w:val="000000"/>
          <w:sz w:val="32"/>
          <w:szCs w:val="32"/>
        </w:rPr>
        <w:t>为确保我县环卫保洁标准精细化提高，在充分考虑旅游、迎检、人流量等难易程度的基础上，将各保洁标段作业面积划分为一级路面（广场、公园及人流量较大区域）、二级路面（车行道及人流量较小区域）、三级路面（城乡结合部、城中村、小区）及绿化区域四个标准，对应执行不同的作业标准。</w:t>
      </w:r>
    </w:p>
    <w:p w14:paraId="7DC2542E">
      <w:pPr>
        <w:spacing w:line="560" w:lineRule="exact"/>
        <w:ind w:firstLine="643" w:firstLineChars="200"/>
        <w:rPr>
          <w:rFonts w:eastAsia="仿宋_GB2312"/>
          <w:color w:val="000000"/>
          <w:sz w:val="32"/>
          <w:szCs w:val="32"/>
        </w:rPr>
      </w:pPr>
      <w:r>
        <w:rPr>
          <w:rFonts w:eastAsia="仿宋_GB2312"/>
          <w:b/>
          <w:bCs/>
          <w:sz w:val="32"/>
          <w:szCs w:val="32"/>
        </w:rPr>
        <w:t>6．修订作业考核标准：</w:t>
      </w:r>
      <w:r>
        <w:rPr>
          <w:rFonts w:eastAsia="仿宋_GB2312"/>
          <w:color w:val="000000"/>
          <w:sz w:val="32"/>
          <w:szCs w:val="32"/>
        </w:rPr>
        <w:t>根据县城区域清扫保洁市场化实际情况和三年管理中发现的问题，新修订《米易县清扫保洁市场化作业质量标准（试行）》和《米易县城区清扫保洁市场化作业考核细则（试行）》。</w:t>
      </w:r>
    </w:p>
    <w:tbl>
      <w:tblPr>
        <w:tblStyle w:val="13"/>
        <w:tblW w:w="8804" w:type="dxa"/>
        <w:tblInd w:w="-13" w:type="dxa"/>
        <w:tblLayout w:type="fixed"/>
        <w:tblCellMar>
          <w:top w:w="15" w:type="dxa"/>
          <w:left w:w="15" w:type="dxa"/>
          <w:bottom w:w="15" w:type="dxa"/>
          <w:right w:w="15" w:type="dxa"/>
        </w:tblCellMar>
      </w:tblPr>
      <w:tblGrid>
        <w:gridCol w:w="582"/>
        <w:gridCol w:w="7938"/>
        <w:gridCol w:w="284"/>
      </w:tblGrid>
      <w:tr w14:paraId="0587E28A">
        <w:tblPrEx>
          <w:tblCellMar>
            <w:top w:w="15" w:type="dxa"/>
            <w:left w:w="15" w:type="dxa"/>
            <w:bottom w:w="15" w:type="dxa"/>
            <w:right w:w="15" w:type="dxa"/>
          </w:tblCellMar>
        </w:tblPrEx>
        <w:trPr>
          <w:trHeight w:val="510" w:hRule="atLeast"/>
        </w:trPr>
        <w:tc>
          <w:tcPr>
            <w:tcW w:w="8804" w:type="dxa"/>
            <w:gridSpan w:val="3"/>
            <w:vAlign w:val="center"/>
          </w:tcPr>
          <w:p w14:paraId="73A51F9E">
            <w:pPr>
              <w:widowControl/>
              <w:jc w:val="center"/>
              <w:textAlignment w:val="center"/>
              <w:rPr>
                <w:rFonts w:eastAsia="仿宋_GB2312"/>
                <w:b/>
                <w:bCs/>
                <w:color w:val="000000"/>
                <w:sz w:val="24"/>
                <w:szCs w:val="24"/>
              </w:rPr>
            </w:pPr>
            <w:r>
              <w:rPr>
                <w:rFonts w:eastAsia="仿宋_GB2312"/>
                <w:b/>
                <w:bCs/>
                <w:color w:val="000000"/>
                <w:sz w:val="24"/>
                <w:szCs w:val="24"/>
              </w:rPr>
              <w:t>米易县城区清扫保洁市场化作业考核细则（试行）</w:t>
            </w:r>
          </w:p>
        </w:tc>
      </w:tr>
      <w:tr w14:paraId="3EE777DC">
        <w:tblPrEx>
          <w:tblCellMar>
            <w:top w:w="15" w:type="dxa"/>
            <w:left w:w="15" w:type="dxa"/>
            <w:bottom w:w="15" w:type="dxa"/>
            <w:right w:w="15" w:type="dxa"/>
          </w:tblCellMar>
        </w:tblPrEx>
        <w:trPr>
          <w:trHeight w:val="285" w:hRule="atLeast"/>
        </w:trPr>
        <w:tc>
          <w:tcPr>
            <w:tcW w:w="8804" w:type="dxa"/>
            <w:gridSpan w:val="3"/>
            <w:tcBorders>
              <w:bottom w:val="single" w:color="000000" w:sz="4" w:space="0"/>
            </w:tcBorders>
            <w:vAlign w:val="center"/>
          </w:tcPr>
          <w:p w14:paraId="498140D8">
            <w:pPr>
              <w:jc w:val="center"/>
              <w:rPr>
                <w:rFonts w:eastAsia="仿宋_GB2312"/>
                <w:b/>
                <w:bCs/>
                <w:color w:val="000000"/>
                <w:sz w:val="24"/>
                <w:szCs w:val="24"/>
              </w:rPr>
            </w:pPr>
          </w:p>
        </w:tc>
      </w:tr>
      <w:tr w14:paraId="5390C8C1">
        <w:tblPrEx>
          <w:tblCellMar>
            <w:top w:w="15" w:type="dxa"/>
            <w:left w:w="15" w:type="dxa"/>
            <w:bottom w:w="15" w:type="dxa"/>
            <w:right w:w="15" w:type="dxa"/>
          </w:tblCellMar>
        </w:tblPrEx>
        <w:trPr>
          <w:trHeight w:val="72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04F4E8DC">
            <w:pPr>
              <w:widowControl/>
              <w:jc w:val="center"/>
              <w:textAlignment w:val="center"/>
              <w:rPr>
                <w:rFonts w:eastAsia="仿宋_GB2312"/>
                <w:b/>
                <w:bCs/>
                <w:color w:val="000000"/>
                <w:sz w:val="24"/>
                <w:szCs w:val="24"/>
              </w:rPr>
            </w:pPr>
            <w:r>
              <w:rPr>
                <w:rFonts w:eastAsia="仿宋_GB2312"/>
                <w:b/>
                <w:bCs/>
                <w:color w:val="000000"/>
                <w:sz w:val="24"/>
                <w:szCs w:val="24"/>
              </w:rPr>
              <w:t>序号</w:t>
            </w:r>
          </w:p>
        </w:tc>
        <w:tc>
          <w:tcPr>
            <w:tcW w:w="7938" w:type="dxa"/>
            <w:tcBorders>
              <w:top w:val="single" w:color="000000" w:sz="4" w:space="0"/>
              <w:left w:val="single" w:color="000000" w:sz="4" w:space="0"/>
              <w:bottom w:val="single" w:color="000000" w:sz="4" w:space="0"/>
              <w:right w:val="single" w:color="000000" w:sz="4" w:space="0"/>
            </w:tcBorders>
            <w:vAlign w:val="center"/>
          </w:tcPr>
          <w:p w14:paraId="04883DDF">
            <w:pPr>
              <w:widowControl/>
              <w:jc w:val="left"/>
              <w:textAlignment w:val="center"/>
              <w:rPr>
                <w:rFonts w:eastAsia="仿宋_GB2312"/>
                <w:b/>
                <w:bCs/>
                <w:color w:val="000000"/>
                <w:sz w:val="24"/>
                <w:szCs w:val="24"/>
              </w:rPr>
            </w:pPr>
            <w:r>
              <w:rPr>
                <w:rFonts w:eastAsia="仿宋_GB2312"/>
                <w:b/>
                <w:bCs/>
                <w:color w:val="000000"/>
                <w:sz w:val="24"/>
                <w:szCs w:val="24"/>
              </w:rPr>
              <w:t>考核内容及标准</w:t>
            </w:r>
          </w:p>
        </w:tc>
        <w:tc>
          <w:tcPr>
            <w:tcW w:w="284" w:type="dxa"/>
            <w:tcBorders>
              <w:top w:val="single" w:color="000000" w:sz="4" w:space="0"/>
              <w:left w:val="single" w:color="000000" w:sz="4" w:space="0"/>
              <w:bottom w:val="single" w:color="000000" w:sz="4" w:space="0"/>
              <w:right w:val="single" w:color="000000" w:sz="4" w:space="0"/>
            </w:tcBorders>
            <w:vAlign w:val="center"/>
          </w:tcPr>
          <w:p w14:paraId="600440EF">
            <w:pPr>
              <w:widowControl/>
              <w:jc w:val="center"/>
              <w:textAlignment w:val="center"/>
              <w:rPr>
                <w:rFonts w:eastAsia="仿宋_GB2312"/>
                <w:b/>
                <w:bCs/>
                <w:color w:val="000000"/>
                <w:sz w:val="24"/>
                <w:szCs w:val="24"/>
              </w:rPr>
            </w:pPr>
            <w:r>
              <w:rPr>
                <w:rFonts w:eastAsia="仿宋_GB2312"/>
                <w:b/>
                <w:bCs/>
                <w:color w:val="000000"/>
                <w:sz w:val="24"/>
                <w:szCs w:val="24"/>
              </w:rPr>
              <w:t>备注</w:t>
            </w:r>
          </w:p>
        </w:tc>
      </w:tr>
      <w:tr w14:paraId="7D804EE8">
        <w:tblPrEx>
          <w:tblCellMar>
            <w:top w:w="15" w:type="dxa"/>
            <w:left w:w="15" w:type="dxa"/>
            <w:bottom w:w="15" w:type="dxa"/>
            <w:right w:w="15" w:type="dxa"/>
          </w:tblCellMar>
        </w:tblPrEx>
        <w:trPr>
          <w:trHeight w:val="690"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71D9236E">
            <w:pPr>
              <w:widowControl/>
              <w:jc w:val="center"/>
              <w:textAlignment w:val="center"/>
              <w:rPr>
                <w:rFonts w:eastAsia="仿宋_GB2312"/>
                <w:b/>
                <w:bCs/>
                <w:color w:val="000000"/>
                <w:sz w:val="24"/>
                <w:szCs w:val="24"/>
              </w:rPr>
            </w:pPr>
            <w:r>
              <w:rPr>
                <w:rFonts w:eastAsia="仿宋_GB2312"/>
                <w:b/>
                <w:bCs/>
                <w:color w:val="000000"/>
                <w:sz w:val="24"/>
                <w:szCs w:val="24"/>
              </w:rPr>
              <w:t xml:space="preserve"> 道路清扫保洁考核 </w:t>
            </w:r>
          </w:p>
        </w:tc>
      </w:tr>
      <w:tr w14:paraId="5FFD38BC">
        <w:tblPrEx>
          <w:tblCellMar>
            <w:top w:w="15" w:type="dxa"/>
            <w:left w:w="15" w:type="dxa"/>
            <w:bottom w:w="15" w:type="dxa"/>
            <w:right w:w="15" w:type="dxa"/>
          </w:tblCellMar>
        </w:tblPrEx>
        <w:trPr>
          <w:trHeight w:val="205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199B012E">
            <w:pPr>
              <w:widowControl/>
              <w:jc w:val="center"/>
              <w:textAlignment w:val="center"/>
              <w:rPr>
                <w:rFonts w:eastAsia="仿宋_GB2312"/>
                <w:color w:val="000000"/>
                <w:sz w:val="24"/>
                <w:szCs w:val="24"/>
              </w:rPr>
            </w:pPr>
            <w:r>
              <w:rPr>
                <w:rFonts w:eastAsia="仿宋_GB2312"/>
                <w:color w:val="000000"/>
                <w:sz w:val="24"/>
                <w:szCs w:val="24"/>
              </w:rPr>
              <w:t>1</w:t>
            </w:r>
          </w:p>
        </w:tc>
        <w:tc>
          <w:tcPr>
            <w:tcW w:w="7938" w:type="dxa"/>
            <w:tcBorders>
              <w:top w:val="single" w:color="000000" w:sz="4" w:space="0"/>
              <w:left w:val="single" w:color="000000" w:sz="4" w:space="0"/>
              <w:bottom w:val="single" w:color="000000" w:sz="4" w:space="0"/>
              <w:right w:val="single" w:color="000000" w:sz="4" w:space="0"/>
            </w:tcBorders>
            <w:vAlign w:val="center"/>
          </w:tcPr>
          <w:p w14:paraId="44A3A590">
            <w:pPr>
              <w:widowControl/>
              <w:jc w:val="left"/>
              <w:textAlignment w:val="center"/>
              <w:rPr>
                <w:rFonts w:eastAsia="仿宋_GB2312"/>
                <w:color w:val="000000"/>
                <w:sz w:val="24"/>
                <w:szCs w:val="24"/>
              </w:rPr>
            </w:pPr>
            <w:r>
              <w:rPr>
                <w:rFonts w:eastAsia="仿宋_GB2312"/>
                <w:color w:val="000000"/>
                <w:sz w:val="24"/>
                <w:szCs w:val="24"/>
              </w:rPr>
              <w:t>夏季早上在6：30,冬季早上7：00前全面清扫完毕，一级、二级路面清扫保洁时间不低于16小时,三级路面保洁时间不低于12小时，出现漏扫、花扫，每100平方米以内扣1分；每300平方米以内扣2分；超过300平方米的扣3分，未按规定时间清扫完毕的扣4分。</w:t>
            </w:r>
          </w:p>
        </w:tc>
        <w:tc>
          <w:tcPr>
            <w:tcW w:w="284" w:type="dxa"/>
            <w:tcBorders>
              <w:top w:val="single" w:color="000000" w:sz="4" w:space="0"/>
              <w:left w:val="single" w:color="000000" w:sz="4" w:space="0"/>
              <w:bottom w:val="single" w:color="000000" w:sz="4" w:space="0"/>
              <w:right w:val="single" w:color="000000" w:sz="4" w:space="0"/>
            </w:tcBorders>
            <w:vAlign w:val="center"/>
          </w:tcPr>
          <w:p w14:paraId="5A7D7B60">
            <w:pPr>
              <w:jc w:val="center"/>
              <w:rPr>
                <w:rFonts w:eastAsia="仿宋_GB2312"/>
                <w:color w:val="000000"/>
                <w:sz w:val="24"/>
                <w:szCs w:val="24"/>
              </w:rPr>
            </w:pPr>
          </w:p>
        </w:tc>
      </w:tr>
      <w:tr w14:paraId="22C04B99">
        <w:tblPrEx>
          <w:tblCellMar>
            <w:top w:w="15" w:type="dxa"/>
            <w:left w:w="15" w:type="dxa"/>
            <w:bottom w:w="15" w:type="dxa"/>
            <w:right w:w="15" w:type="dxa"/>
          </w:tblCellMar>
        </w:tblPrEx>
        <w:trPr>
          <w:trHeight w:val="288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22ADF2BE">
            <w:pPr>
              <w:widowControl/>
              <w:jc w:val="center"/>
              <w:textAlignment w:val="center"/>
              <w:rPr>
                <w:rFonts w:eastAsia="仿宋_GB2312"/>
                <w:color w:val="000000"/>
                <w:sz w:val="24"/>
                <w:szCs w:val="24"/>
              </w:rPr>
            </w:pPr>
            <w:r>
              <w:rPr>
                <w:rFonts w:eastAsia="仿宋_GB2312"/>
                <w:color w:val="000000"/>
                <w:sz w:val="24"/>
                <w:szCs w:val="24"/>
              </w:rPr>
              <w:t>2</w:t>
            </w:r>
          </w:p>
        </w:tc>
        <w:tc>
          <w:tcPr>
            <w:tcW w:w="7938" w:type="dxa"/>
            <w:tcBorders>
              <w:top w:val="single" w:color="000000" w:sz="4" w:space="0"/>
              <w:left w:val="single" w:color="000000" w:sz="4" w:space="0"/>
              <w:bottom w:val="single" w:color="000000" w:sz="4" w:space="0"/>
              <w:right w:val="single" w:color="000000" w:sz="4" w:space="0"/>
            </w:tcBorders>
            <w:vAlign w:val="center"/>
          </w:tcPr>
          <w:p w14:paraId="0B695288">
            <w:pPr>
              <w:widowControl/>
              <w:jc w:val="left"/>
              <w:textAlignment w:val="center"/>
              <w:rPr>
                <w:rFonts w:eastAsia="仿宋_GB2312"/>
                <w:color w:val="000000"/>
                <w:sz w:val="24"/>
                <w:szCs w:val="24"/>
              </w:rPr>
            </w:pPr>
            <w:r>
              <w:rPr>
                <w:rFonts w:eastAsia="仿宋_GB2312"/>
                <w:color w:val="000000"/>
                <w:sz w:val="24"/>
                <w:szCs w:val="24"/>
              </w:rPr>
              <w:t>一、二级路面做到道路无垃圾、无杂物、无积泥、无积水、无污迹；路面干净，绿地和树池干净，边角侧石干净，雨水井沟畅通干净，果皮箱、垃圾收集箱等环卫设施及护栏、交通隔离栏干净。三级路面做到三无四净，绿化区域质量标准参照对应路段或区域等级指标。未达标准要求每一处对应扣除0.5-2分，5平方米以下的扣0.5分，5-10平方米扣1分，10平方米以上扣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50B70381">
            <w:pPr>
              <w:jc w:val="center"/>
              <w:rPr>
                <w:rFonts w:eastAsia="仿宋_GB2312"/>
                <w:color w:val="000000"/>
                <w:sz w:val="24"/>
                <w:szCs w:val="24"/>
              </w:rPr>
            </w:pPr>
          </w:p>
        </w:tc>
      </w:tr>
      <w:tr w14:paraId="6D52D8F6">
        <w:tblPrEx>
          <w:tblCellMar>
            <w:top w:w="15" w:type="dxa"/>
            <w:left w:w="15" w:type="dxa"/>
            <w:bottom w:w="15" w:type="dxa"/>
            <w:right w:w="15" w:type="dxa"/>
          </w:tblCellMar>
        </w:tblPrEx>
        <w:trPr>
          <w:trHeight w:val="153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76978507">
            <w:pPr>
              <w:widowControl/>
              <w:jc w:val="center"/>
              <w:textAlignment w:val="center"/>
              <w:rPr>
                <w:rFonts w:eastAsia="仿宋_GB2312"/>
                <w:color w:val="000000"/>
                <w:sz w:val="24"/>
                <w:szCs w:val="24"/>
              </w:rPr>
            </w:pPr>
            <w:r>
              <w:rPr>
                <w:rFonts w:eastAsia="仿宋_GB2312"/>
                <w:color w:val="000000"/>
                <w:sz w:val="24"/>
                <w:szCs w:val="24"/>
              </w:rPr>
              <w:t>3</w:t>
            </w:r>
          </w:p>
        </w:tc>
        <w:tc>
          <w:tcPr>
            <w:tcW w:w="7938" w:type="dxa"/>
            <w:tcBorders>
              <w:top w:val="single" w:color="000000" w:sz="4" w:space="0"/>
              <w:left w:val="single" w:color="000000" w:sz="4" w:space="0"/>
              <w:bottom w:val="single" w:color="000000" w:sz="4" w:space="0"/>
              <w:right w:val="single" w:color="000000" w:sz="4" w:space="0"/>
            </w:tcBorders>
            <w:vAlign w:val="center"/>
          </w:tcPr>
          <w:p w14:paraId="01B00F47">
            <w:pPr>
              <w:widowControl/>
              <w:jc w:val="left"/>
              <w:textAlignment w:val="center"/>
              <w:rPr>
                <w:rFonts w:eastAsia="仿宋_GB2312"/>
                <w:color w:val="000000"/>
                <w:sz w:val="24"/>
                <w:szCs w:val="24"/>
              </w:rPr>
            </w:pPr>
            <w:r>
              <w:rPr>
                <w:rFonts w:eastAsia="仿宋_GB2312"/>
                <w:color w:val="000000"/>
                <w:sz w:val="24"/>
                <w:szCs w:val="24"/>
              </w:rPr>
              <w:t>人行道、树坑、花池、花台及绿化带等责任区内有烟头，每个扣0.1分；有白色垃圾的扣0.2分，清扫路段（含边坡、沟内、边坎、视野范围内）有卫生死角的扣2分。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102E275D">
            <w:pPr>
              <w:jc w:val="center"/>
              <w:rPr>
                <w:rFonts w:eastAsia="仿宋_GB2312"/>
                <w:color w:val="000000"/>
                <w:sz w:val="24"/>
                <w:szCs w:val="24"/>
              </w:rPr>
            </w:pPr>
          </w:p>
        </w:tc>
      </w:tr>
      <w:tr w14:paraId="4C6E5086">
        <w:tblPrEx>
          <w:tblCellMar>
            <w:top w:w="15" w:type="dxa"/>
            <w:left w:w="15" w:type="dxa"/>
            <w:bottom w:w="15" w:type="dxa"/>
            <w:right w:w="15" w:type="dxa"/>
          </w:tblCellMar>
        </w:tblPrEx>
        <w:trPr>
          <w:trHeight w:val="510"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01005B99">
            <w:pPr>
              <w:widowControl/>
              <w:jc w:val="center"/>
              <w:textAlignment w:val="center"/>
              <w:rPr>
                <w:rFonts w:eastAsia="仿宋_GB2312"/>
                <w:b/>
                <w:bCs/>
                <w:color w:val="000000"/>
                <w:sz w:val="24"/>
                <w:szCs w:val="24"/>
              </w:rPr>
            </w:pPr>
            <w:r>
              <w:rPr>
                <w:rFonts w:eastAsia="仿宋_GB2312"/>
                <w:b/>
                <w:bCs/>
                <w:color w:val="000000"/>
                <w:sz w:val="24"/>
                <w:szCs w:val="24"/>
              </w:rPr>
              <w:t xml:space="preserve"> 作业规范考核 </w:t>
            </w:r>
          </w:p>
        </w:tc>
      </w:tr>
      <w:tr w14:paraId="1B272CBD">
        <w:tblPrEx>
          <w:tblCellMar>
            <w:top w:w="15" w:type="dxa"/>
            <w:left w:w="15" w:type="dxa"/>
            <w:bottom w:w="15" w:type="dxa"/>
            <w:right w:w="15"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3A3D4362">
            <w:pPr>
              <w:widowControl/>
              <w:jc w:val="center"/>
              <w:textAlignment w:val="center"/>
              <w:rPr>
                <w:rFonts w:eastAsia="仿宋_GB2312"/>
                <w:color w:val="000000"/>
                <w:sz w:val="24"/>
                <w:szCs w:val="24"/>
              </w:rPr>
            </w:pPr>
            <w:r>
              <w:rPr>
                <w:rFonts w:eastAsia="仿宋_GB2312"/>
                <w:color w:val="000000"/>
                <w:sz w:val="24"/>
                <w:szCs w:val="24"/>
              </w:rPr>
              <w:t>4</w:t>
            </w:r>
          </w:p>
        </w:tc>
        <w:tc>
          <w:tcPr>
            <w:tcW w:w="7938" w:type="dxa"/>
            <w:tcBorders>
              <w:top w:val="single" w:color="000000" w:sz="4" w:space="0"/>
              <w:left w:val="single" w:color="000000" w:sz="4" w:space="0"/>
              <w:bottom w:val="single" w:color="000000" w:sz="4" w:space="0"/>
              <w:right w:val="single" w:color="000000" w:sz="4" w:space="0"/>
            </w:tcBorders>
            <w:vAlign w:val="center"/>
          </w:tcPr>
          <w:p w14:paraId="16692D42">
            <w:pPr>
              <w:widowControl/>
              <w:jc w:val="left"/>
              <w:textAlignment w:val="center"/>
              <w:rPr>
                <w:rFonts w:eastAsia="仿宋_GB2312"/>
                <w:color w:val="000000"/>
                <w:sz w:val="24"/>
                <w:szCs w:val="24"/>
              </w:rPr>
            </w:pPr>
            <w:r>
              <w:rPr>
                <w:rFonts w:eastAsia="仿宋_GB2312"/>
                <w:color w:val="000000"/>
                <w:sz w:val="24"/>
                <w:szCs w:val="24"/>
              </w:rPr>
              <w:t>及时更换影响清扫质量的扫帚，并将清扫的垃圾收运至垃圾收集容器倾倒，不得扫入窨井、雨篦子、河道、绿化带和空地内，不得焚烧垃圾。每次每处扣0.2-2分。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6D0C0DBB">
            <w:pPr>
              <w:jc w:val="center"/>
              <w:rPr>
                <w:rFonts w:eastAsia="仿宋_GB2312"/>
                <w:color w:val="000000"/>
                <w:sz w:val="24"/>
                <w:szCs w:val="24"/>
              </w:rPr>
            </w:pPr>
          </w:p>
        </w:tc>
      </w:tr>
      <w:tr w14:paraId="3205C95C">
        <w:tblPrEx>
          <w:tblCellMar>
            <w:top w:w="15" w:type="dxa"/>
            <w:left w:w="15" w:type="dxa"/>
            <w:bottom w:w="15" w:type="dxa"/>
            <w:right w:w="15" w:type="dxa"/>
          </w:tblCellMar>
        </w:tblPrEx>
        <w:trPr>
          <w:trHeight w:val="133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4CB733D">
            <w:pPr>
              <w:widowControl/>
              <w:jc w:val="center"/>
              <w:textAlignment w:val="center"/>
              <w:rPr>
                <w:rFonts w:eastAsia="仿宋_GB2312"/>
                <w:color w:val="000000"/>
                <w:sz w:val="24"/>
                <w:szCs w:val="24"/>
              </w:rPr>
            </w:pPr>
            <w:r>
              <w:rPr>
                <w:rFonts w:eastAsia="仿宋_GB2312"/>
                <w:color w:val="000000"/>
                <w:sz w:val="24"/>
                <w:szCs w:val="24"/>
              </w:rPr>
              <w:t>5</w:t>
            </w:r>
          </w:p>
        </w:tc>
        <w:tc>
          <w:tcPr>
            <w:tcW w:w="7938" w:type="dxa"/>
            <w:tcBorders>
              <w:top w:val="single" w:color="000000" w:sz="4" w:space="0"/>
              <w:left w:val="single" w:color="000000" w:sz="4" w:space="0"/>
              <w:bottom w:val="single" w:color="000000" w:sz="4" w:space="0"/>
              <w:right w:val="single" w:color="000000" w:sz="4" w:space="0"/>
            </w:tcBorders>
            <w:vAlign w:val="center"/>
          </w:tcPr>
          <w:p w14:paraId="2892C175">
            <w:pPr>
              <w:widowControl/>
              <w:jc w:val="left"/>
              <w:textAlignment w:val="center"/>
              <w:rPr>
                <w:rFonts w:eastAsia="仿宋_GB2312"/>
                <w:color w:val="000000"/>
                <w:sz w:val="24"/>
                <w:szCs w:val="24"/>
              </w:rPr>
            </w:pPr>
            <w:r>
              <w:rPr>
                <w:rFonts w:eastAsia="仿宋_GB2312"/>
                <w:color w:val="000000"/>
                <w:sz w:val="24"/>
                <w:szCs w:val="24"/>
              </w:rPr>
              <w:t>在规定时间内，承包范围内未留有保洁人员，工作时间内出现保洁不及时（垃圾出现30分钟以上未清理），发现一次/一处扣0.5分。</w:t>
            </w:r>
          </w:p>
        </w:tc>
        <w:tc>
          <w:tcPr>
            <w:tcW w:w="284" w:type="dxa"/>
            <w:tcBorders>
              <w:top w:val="single" w:color="000000" w:sz="4" w:space="0"/>
              <w:left w:val="single" w:color="000000" w:sz="4" w:space="0"/>
              <w:bottom w:val="single" w:color="000000" w:sz="4" w:space="0"/>
              <w:right w:val="single" w:color="000000" w:sz="4" w:space="0"/>
            </w:tcBorders>
            <w:vAlign w:val="center"/>
          </w:tcPr>
          <w:p w14:paraId="0BAFCA94">
            <w:pPr>
              <w:jc w:val="center"/>
              <w:rPr>
                <w:rFonts w:eastAsia="仿宋_GB2312"/>
                <w:color w:val="000000"/>
                <w:sz w:val="24"/>
                <w:szCs w:val="24"/>
              </w:rPr>
            </w:pPr>
          </w:p>
        </w:tc>
      </w:tr>
      <w:tr w14:paraId="678511C7">
        <w:tblPrEx>
          <w:tblCellMar>
            <w:top w:w="15" w:type="dxa"/>
            <w:left w:w="15" w:type="dxa"/>
            <w:bottom w:w="15" w:type="dxa"/>
            <w:right w:w="15" w:type="dxa"/>
          </w:tblCellMar>
        </w:tblPrEx>
        <w:trPr>
          <w:trHeight w:val="216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11A3368D">
            <w:pPr>
              <w:widowControl/>
              <w:jc w:val="center"/>
              <w:textAlignment w:val="center"/>
              <w:rPr>
                <w:rFonts w:eastAsia="仿宋_GB2312"/>
                <w:color w:val="000000"/>
                <w:sz w:val="24"/>
                <w:szCs w:val="24"/>
              </w:rPr>
            </w:pPr>
            <w:r>
              <w:rPr>
                <w:rFonts w:eastAsia="仿宋_GB2312"/>
                <w:color w:val="000000"/>
                <w:sz w:val="24"/>
                <w:szCs w:val="24"/>
              </w:rPr>
              <w:t>6</w:t>
            </w:r>
          </w:p>
        </w:tc>
        <w:tc>
          <w:tcPr>
            <w:tcW w:w="7938" w:type="dxa"/>
            <w:tcBorders>
              <w:top w:val="single" w:color="000000" w:sz="4" w:space="0"/>
              <w:left w:val="single" w:color="000000" w:sz="4" w:space="0"/>
              <w:bottom w:val="single" w:color="000000" w:sz="4" w:space="0"/>
              <w:right w:val="single" w:color="000000" w:sz="4" w:space="0"/>
            </w:tcBorders>
            <w:vAlign w:val="center"/>
          </w:tcPr>
          <w:p w14:paraId="6C4E1076">
            <w:pPr>
              <w:widowControl/>
              <w:jc w:val="left"/>
              <w:textAlignment w:val="center"/>
              <w:rPr>
                <w:rFonts w:eastAsia="仿宋_GB2312"/>
                <w:color w:val="000000"/>
                <w:sz w:val="24"/>
                <w:szCs w:val="24"/>
              </w:rPr>
            </w:pPr>
            <w:r>
              <w:rPr>
                <w:rFonts w:eastAsia="仿宋_GB2312"/>
                <w:color w:val="000000"/>
                <w:sz w:val="24"/>
                <w:szCs w:val="24"/>
              </w:rPr>
              <w:t>定期对果皮箱、垃圾收集箱、垃圾房进行清洗，果壳箱每天清理两次以上、擦洗一次，保持箱体洁净，箱内垃圾不满溢,及时关好箱门,箱内必须置放垃圾袋。座椅、康体娱乐设施、雕塑、步行景观桥梯、扶手、栏杆每天擦拭，未达要求的，每次每处扣0.2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6BE3B317">
            <w:pPr>
              <w:rPr>
                <w:rFonts w:eastAsia="仿宋_GB2312"/>
                <w:color w:val="000000"/>
                <w:sz w:val="24"/>
                <w:szCs w:val="24"/>
              </w:rPr>
            </w:pPr>
          </w:p>
        </w:tc>
      </w:tr>
      <w:tr w14:paraId="55EDEBE1">
        <w:tblPrEx>
          <w:tblCellMar>
            <w:top w:w="15" w:type="dxa"/>
            <w:left w:w="15" w:type="dxa"/>
            <w:bottom w:w="15" w:type="dxa"/>
            <w:right w:w="15" w:type="dxa"/>
          </w:tblCellMar>
        </w:tblPrEx>
        <w:trPr>
          <w:trHeight w:val="111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59C64C2C">
            <w:pPr>
              <w:widowControl/>
              <w:jc w:val="center"/>
              <w:textAlignment w:val="center"/>
              <w:rPr>
                <w:rFonts w:eastAsia="仿宋_GB2312"/>
                <w:color w:val="000000"/>
                <w:sz w:val="24"/>
                <w:szCs w:val="24"/>
              </w:rPr>
            </w:pPr>
            <w:r>
              <w:rPr>
                <w:rFonts w:eastAsia="仿宋_GB2312"/>
                <w:color w:val="000000"/>
                <w:sz w:val="24"/>
                <w:szCs w:val="24"/>
              </w:rPr>
              <w:t>7</w:t>
            </w:r>
          </w:p>
        </w:tc>
        <w:tc>
          <w:tcPr>
            <w:tcW w:w="7938" w:type="dxa"/>
            <w:tcBorders>
              <w:top w:val="single" w:color="000000" w:sz="4" w:space="0"/>
              <w:left w:val="single" w:color="000000" w:sz="4" w:space="0"/>
              <w:bottom w:val="single" w:color="000000" w:sz="4" w:space="0"/>
              <w:right w:val="single" w:color="000000" w:sz="4" w:space="0"/>
            </w:tcBorders>
            <w:vAlign w:val="center"/>
          </w:tcPr>
          <w:p w14:paraId="070DA1AC">
            <w:pPr>
              <w:widowControl/>
              <w:jc w:val="left"/>
              <w:textAlignment w:val="center"/>
              <w:rPr>
                <w:rFonts w:eastAsia="仿宋_GB2312"/>
                <w:color w:val="000000"/>
                <w:sz w:val="24"/>
                <w:szCs w:val="24"/>
              </w:rPr>
            </w:pPr>
            <w:r>
              <w:rPr>
                <w:rFonts w:eastAsia="仿宋_GB2312"/>
                <w:color w:val="000000"/>
                <w:sz w:val="24"/>
                <w:szCs w:val="24"/>
              </w:rPr>
              <w:t>作业时间不穿工作服或标志服、穿高跟鞋或拖鞋、衣冠不整等，发现一次扣0.2分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09091CDC">
            <w:pPr>
              <w:jc w:val="center"/>
              <w:rPr>
                <w:rFonts w:eastAsia="仿宋_GB2312"/>
                <w:color w:val="000000"/>
                <w:sz w:val="24"/>
                <w:szCs w:val="24"/>
              </w:rPr>
            </w:pPr>
          </w:p>
        </w:tc>
      </w:tr>
      <w:tr w14:paraId="53A67CD1">
        <w:tblPrEx>
          <w:tblCellMar>
            <w:top w:w="15" w:type="dxa"/>
            <w:left w:w="15" w:type="dxa"/>
            <w:bottom w:w="15" w:type="dxa"/>
            <w:right w:w="15" w:type="dxa"/>
          </w:tblCellMar>
        </w:tblPrEx>
        <w:trPr>
          <w:trHeight w:val="115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378BF621">
            <w:pPr>
              <w:widowControl/>
              <w:jc w:val="center"/>
              <w:textAlignment w:val="center"/>
              <w:rPr>
                <w:rFonts w:eastAsia="仿宋_GB2312"/>
                <w:color w:val="000000"/>
                <w:sz w:val="24"/>
                <w:szCs w:val="24"/>
              </w:rPr>
            </w:pPr>
            <w:r>
              <w:rPr>
                <w:rFonts w:eastAsia="仿宋_GB2312"/>
                <w:color w:val="000000"/>
                <w:sz w:val="24"/>
                <w:szCs w:val="24"/>
              </w:rPr>
              <w:t>8</w:t>
            </w:r>
          </w:p>
        </w:tc>
        <w:tc>
          <w:tcPr>
            <w:tcW w:w="7938" w:type="dxa"/>
            <w:tcBorders>
              <w:top w:val="single" w:color="000000" w:sz="4" w:space="0"/>
              <w:left w:val="single" w:color="000000" w:sz="4" w:space="0"/>
              <w:bottom w:val="single" w:color="000000" w:sz="4" w:space="0"/>
              <w:right w:val="single" w:color="000000" w:sz="4" w:space="0"/>
            </w:tcBorders>
            <w:vAlign w:val="center"/>
          </w:tcPr>
          <w:p w14:paraId="43942B70">
            <w:pPr>
              <w:widowControl/>
              <w:jc w:val="left"/>
              <w:textAlignment w:val="center"/>
              <w:rPr>
                <w:rFonts w:eastAsia="仿宋_GB2312"/>
                <w:color w:val="000000"/>
                <w:sz w:val="24"/>
                <w:szCs w:val="24"/>
              </w:rPr>
            </w:pPr>
            <w:r>
              <w:rPr>
                <w:rFonts w:eastAsia="仿宋_GB2312"/>
                <w:color w:val="000000"/>
                <w:sz w:val="24"/>
                <w:szCs w:val="24"/>
              </w:rPr>
              <w:t>清扫时段内作业时未设立安全警示桩、未采取互保措施的，每次每处扣1分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6B58AC70">
            <w:pPr>
              <w:jc w:val="center"/>
              <w:rPr>
                <w:rFonts w:eastAsia="仿宋_GB2312"/>
                <w:color w:val="000000"/>
                <w:sz w:val="24"/>
                <w:szCs w:val="24"/>
              </w:rPr>
            </w:pPr>
          </w:p>
        </w:tc>
      </w:tr>
      <w:tr w14:paraId="25D875C7">
        <w:tblPrEx>
          <w:tblCellMar>
            <w:top w:w="15" w:type="dxa"/>
            <w:left w:w="15" w:type="dxa"/>
            <w:bottom w:w="15" w:type="dxa"/>
            <w:right w:w="15" w:type="dxa"/>
          </w:tblCellMar>
        </w:tblPrEx>
        <w:trPr>
          <w:trHeight w:val="157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339365D9">
            <w:pPr>
              <w:widowControl/>
              <w:jc w:val="center"/>
              <w:textAlignment w:val="center"/>
              <w:rPr>
                <w:rFonts w:eastAsia="仿宋_GB2312"/>
                <w:color w:val="000000"/>
                <w:sz w:val="24"/>
                <w:szCs w:val="24"/>
              </w:rPr>
            </w:pPr>
            <w:r>
              <w:rPr>
                <w:rFonts w:eastAsia="仿宋_GB2312"/>
                <w:color w:val="000000"/>
                <w:sz w:val="24"/>
                <w:szCs w:val="24"/>
              </w:rPr>
              <w:t>9</w:t>
            </w:r>
          </w:p>
        </w:tc>
        <w:tc>
          <w:tcPr>
            <w:tcW w:w="7938" w:type="dxa"/>
            <w:tcBorders>
              <w:top w:val="single" w:color="000000" w:sz="4" w:space="0"/>
              <w:left w:val="single" w:color="000000" w:sz="4" w:space="0"/>
              <w:bottom w:val="single" w:color="000000" w:sz="4" w:space="0"/>
              <w:right w:val="single" w:color="000000" w:sz="4" w:space="0"/>
            </w:tcBorders>
            <w:vAlign w:val="center"/>
          </w:tcPr>
          <w:p w14:paraId="5D4EB059">
            <w:pPr>
              <w:widowControl/>
              <w:jc w:val="left"/>
              <w:textAlignment w:val="center"/>
              <w:rPr>
                <w:rFonts w:eastAsia="仿宋_GB2312"/>
                <w:color w:val="000000"/>
                <w:sz w:val="24"/>
                <w:szCs w:val="24"/>
              </w:rPr>
            </w:pPr>
            <w:r>
              <w:rPr>
                <w:rFonts w:eastAsia="仿宋_GB2312"/>
                <w:color w:val="000000"/>
                <w:sz w:val="24"/>
                <w:szCs w:val="24"/>
              </w:rPr>
              <w:t>乱张贴的广告标语须在24小时内清除，道路两侧的建筑物外墙、广告牌、路牌、邮筒、读报栏、树干、电杆、灯杆、电力电信分配箱、桥护栏、墙壁等市政设施等发现小广告每次每张（处）扣0.1分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409AD930">
            <w:pPr>
              <w:jc w:val="center"/>
              <w:rPr>
                <w:rFonts w:eastAsia="仿宋_GB2312"/>
                <w:color w:val="000000"/>
                <w:sz w:val="24"/>
                <w:szCs w:val="24"/>
              </w:rPr>
            </w:pPr>
          </w:p>
        </w:tc>
      </w:tr>
      <w:tr w14:paraId="0FFFCB43">
        <w:tblPrEx>
          <w:tblCellMar>
            <w:top w:w="15" w:type="dxa"/>
            <w:left w:w="15" w:type="dxa"/>
            <w:bottom w:w="15" w:type="dxa"/>
            <w:right w:w="15" w:type="dxa"/>
          </w:tblCellMar>
        </w:tblPrEx>
        <w:trPr>
          <w:trHeight w:val="168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641298CE">
            <w:pPr>
              <w:widowControl/>
              <w:jc w:val="center"/>
              <w:textAlignment w:val="center"/>
              <w:rPr>
                <w:rFonts w:eastAsia="仿宋_GB2312"/>
                <w:color w:val="000000"/>
                <w:sz w:val="24"/>
                <w:szCs w:val="24"/>
              </w:rPr>
            </w:pPr>
            <w:r>
              <w:rPr>
                <w:rFonts w:eastAsia="仿宋_GB2312"/>
                <w:color w:val="000000"/>
                <w:sz w:val="24"/>
                <w:szCs w:val="24"/>
              </w:rPr>
              <w:t>10</w:t>
            </w:r>
          </w:p>
        </w:tc>
        <w:tc>
          <w:tcPr>
            <w:tcW w:w="7938" w:type="dxa"/>
            <w:tcBorders>
              <w:top w:val="single" w:color="000000" w:sz="4" w:space="0"/>
              <w:left w:val="single" w:color="000000" w:sz="4" w:space="0"/>
              <w:bottom w:val="single" w:color="000000" w:sz="4" w:space="0"/>
              <w:right w:val="single" w:color="000000" w:sz="4" w:space="0"/>
            </w:tcBorders>
            <w:vAlign w:val="center"/>
          </w:tcPr>
          <w:p w14:paraId="6E679F09">
            <w:pPr>
              <w:widowControl/>
              <w:jc w:val="left"/>
              <w:textAlignment w:val="center"/>
              <w:rPr>
                <w:rFonts w:eastAsia="仿宋_GB2312"/>
                <w:color w:val="000000"/>
                <w:sz w:val="24"/>
                <w:szCs w:val="24"/>
              </w:rPr>
            </w:pPr>
            <w:r>
              <w:rPr>
                <w:rFonts w:eastAsia="仿宋_GB2312"/>
                <w:color w:val="000000"/>
                <w:sz w:val="24"/>
                <w:szCs w:val="24"/>
              </w:rPr>
              <w:t>作业车辆车容整洁，文明作业，标志清晰。机扫作业应按规定车速作业，作业过程中应随时观察路面及监视仪表，机械清扫车速在10公里/小时内，未达要求的，每次扣1分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06EA07BB">
            <w:pPr>
              <w:jc w:val="center"/>
              <w:rPr>
                <w:rFonts w:eastAsia="仿宋_GB2312"/>
                <w:color w:val="000000"/>
                <w:sz w:val="24"/>
                <w:szCs w:val="24"/>
              </w:rPr>
            </w:pPr>
          </w:p>
        </w:tc>
      </w:tr>
      <w:tr w14:paraId="6910821F">
        <w:tblPrEx>
          <w:tblCellMar>
            <w:top w:w="15" w:type="dxa"/>
            <w:left w:w="15" w:type="dxa"/>
            <w:bottom w:w="15" w:type="dxa"/>
            <w:right w:w="15" w:type="dxa"/>
          </w:tblCellMar>
        </w:tblPrEx>
        <w:trPr>
          <w:trHeight w:val="705"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634DE6AC">
            <w:pPr>
              <w:widowControl/>
              <w:jc w:val="center"/>
              <w:textAlignment w:val="center"/>
              <w:rPr>
                <w:rFonts w:eastAsia="仿宋_GB2312"/>
                <w:b/>
                <w:bCs/>
                <w:color w:val="000000"/>
                <w:sz w:val="24"/>
                <w:szCs w:val="24"/>
              </w:rPr>
            </w:pPr>
            <w:r>
              <w:rPr>
                <w:rFonts w:eastAsia="仿宋_GB2312"/>
                <w:b/>
                <w:bCs/>
                <w:color w:val="000000"/>
                <w:sz w:val="24"/>
                <w:szCs w:val="24"/>
              </w:rPr>
              <w:t>免费公厕考核及其它</w:t>
            </w:r>
          </w:p>
        </w:tc>
      </w:tr>
      <w:tr w14:paraId="1AAC2C1F">
        <w:tblPrEx>
          <w:tblCellMar>
            <w:top w:w="15" w:type="dxa"/>
            <w:left w:w="15" w:type="dxa"/>
            <w:bottom w:w="15" w:type="dxa"/>
            <w:right w:w="15" w:type="dxa"/>
          </w:tblCellMar>
        </w:tblPrEx>
        <w:trPr>
          <w:trHeight w:val="72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61E22752">
            <w:pPr>
              <w:widowControl/>
              <w:jc w:val="center"/>
              <w:textAlignment w:val="center"/>
              <w:rPr>
                <w:rFonts w:eastAsia="仿宋_GB2312"/>
                <w:color w:val="000000"/>
                <w:sz w:val="24"/>
                <w:szCs w:val="24"/>
              </w:rPr>
            </w:pPr>
            <w:r>
              <w:rPr>
                <w:rFonts w:eastAsia="仿宋_GB2312"/>
                <w:color w:val="000000"/>
                <w:sz w:val="24"/>
                <w:szCs w:val="24"/>
              </w:rPr>
              <w:t>11</w:t>
            </w:r>
          </w:p>
        </w:tc>
        <w:tc>
          <w:tcPr>
            <w:tcW w:w="7938" w:type="dxa"/>
            <w:tcBorders>
              <w:top w:val="single" w:color="000000" w:sz="4" w:space="0"/>
              <w:left w:val="single" w:color="000000" w:sz="4" w:space="0"/>
              <w:bottom w:val="single" w:color="000000" w:sz="4" w:space="0"/>
              <w:right w:val="single" w:color="000000" w:sz="4" w:space="0"/>
            </w:tcBorders>
            <w:vAlign w:val="center"/>
          </w:tcPr>
          <w:p w14:paraId="3BA3E678">
            <w:pPr>
              <w:widowControl/>
              <w:jc w:val="left"/>
              <w:textAlignment w:val="center"/>
              <w:rPr>
                <w:rFonts w:eastAsia="仿宋_GB2312"/>
                <w:color w:val="000000"/>
                <w:sz w:val="24"/>
                <w:szCs w:val="24"/>
              </w:rPr>
            </w:pPr>
            <w:r>
              <w:rPr>
                <w:rFonts w:eastAsia="仿宋_GB2312"/>
                <w:color w:val="000000"/>
                <w:sz w:val="24"/>
                <w:szCs w:val="24"/>
              </w:rPr>
              <w:t>未按要求悬挂标示规则制度等，缺少一处扣0.5分。</w:t>
            </w:r>
          </w:p>
        </w:tc>
        <w:tc>
          <w:tcPr>
            <w:tcW w:w="284" w:type="dxa"/>
            <w:tcBorders>
              <w:top w:val="single" w:color="000000" w:sz="4" w:space="0"/>
              <w:left w:val="single" w:color="000000" w:sz="4" w:space="0"/>
              <w:bottom w:val="single" w:color="000000" w:sz="4" w:space="0"/>
              <w:right w:val="single" w:color="000000" w:sz="4" w:space="0"/>
            </w:tcBorders>
            <w:vAlign w:val="center"/>
          </w:tcPr>
          <w:p w14:paraId="6F2088CC">
            <w:pPr>
              <w:jc w:val="center"/>
              <w:rPr>
                <w:rFonts w:eastAsia="仿宋_GB2312"/>
                <w:color w:val="000000"/>
                <w:sz w:val="24"/>
                <w:szCs w:val="24"/>
              </w:rPr>
            </w:pPr>
          </w:p>
        </w:tc>
      </w:tr>
      <w:tr w14:paraId="655781ED">
        <w:tblPrEx>
          <w:tblCellMar>
            <w:top w:w="15" w:type="dxa"/>
            <w:left w:w="15" w:type="dxa"/>
            <w:bottom w:w="15" w:type="dxa"/>
            <w:right w:w="15" w:type="dxa"/>
          </w:tblCellMar>
        </w:tblPrEx>
        <w:trPr>
          <w:trHeight w:val="136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E6960A5">
            <w:pPr>
              <w:widowControl/>
              <w:jc w:val="center"/>
              <w:textAlignment w:val="center"/>
              <w:rPr>
                <w:rFonts w:eastAsia="仿宋_GB2312"/>
                <w:color w:val="000000"/>
                <w:sz w:val="24"/>
                <w:szCs w:val="24"/>
              </w:rPr>
            </w:pPr>
            <w:r>
              <w:rPr>
                <w:rFonts w:eastAsia="仿宋_GB2312"/>
                <w:color w:val="000000"/>
                <w:sz w:val="24"/>
                <w:szCs w:val="24"/>
              </w:rPr>
              <w:t>12</w:t>
            </w:r>
          </w:p>
        </w:tc>
        <w:tc>
          <w:tcPr>
            <w:tcW w:w="7938" w:type="dxa"/>
            <w:tcBorders>
              <w:top w:val="single" w:color="000000" w:sz="4" w:space="0"/>
              <w:left w:val="single" w:color="000000" w:sz="4" w:space="0"/>
              <w:bottom w:val="single" w:color="000000" w:sz="4" w:space="0"/>
              <w:right w:val="single" w:color="000000" w:sz="4" w:space="0"/>
            </w:tcBorders>
            <w:vAlign w:val="center"/>
          </w:tcPr>
          <w:p w14:paraId="394F1239">
            <w:pPr>
              <w:widowControl/>
              <w:jc w:val="left"/>
              <w:textAlignment w:val="center"/>
              <w:rPr>
                <w:rFonts w:eastAsia="仿宋_GB2312"/>
                <w:color w:val="000000"/>
                <w:sz w:val="24"/>
                <w:szCs w:val="24"/>
              </w:rPr>
            </w:pPr>
            <w:r>
              <w:rPr>
                <w:rFonts w:eastAsia="仿宋_GB2312"/>
                <w:color w:val="000000"/>
                <w:sz w:val="24"/>
                <w:szCs w:val="24"/>
              </w:rPr>
              <w:t>免费公厕地面、墙壁、窗户、便池、尿池、蹲位、隔板、洗手池一处不净，扣0.1分；乱贴、乱画一处扣0.1分，有臭味，蜘蛛网一处扣0.1分，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5C98D350">
            <w:pPr>
              <w:jc w:val="center"/>
              <w:rPr>
                <w:rFonts w:eastAsia="仿宋_GB2312"/>
                <w:color w:val="000000"/>
                <w:sz w:val="24"/>
                <w:szCs w:val="24"/>
              </w:rPr>
            </w:pPr>
          </w:p>
        </w:tc>
      </w:tr>
      <w:tr w14:paraId="2D5C9F02">
        <w:tblPrEx>
          <w:tblCellMar>
            <w:top w:w="15" w:type="dxa"/>
            <w:left w:w="15" w:type="dxa"/>
            <w:bottom w:w="15" w:type="dxa"/>
            <w:right w:w="15" w:type="dxa"/>
          </w:tblCellMar>
        </w:tblPrEx>
        <w:trPr>
          <w:trHeight w:val="76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3C160EA">
            <w:pPr>
              <w:widowControl/>
              <w:jc w:val="center"/>
              <w:textAlignment w:val="center"/>
              <w:rPr>
                <w:rFonts w:eastAsia="仿宋_GB2312"/>
                <w:color w:val="000000"/>
                <w:sz w:val="24"/>
                <w:szCs w:val="24"/>
              </w:rPr>
            </w:pPr>
            <w:r>
              <w:rPr>
                <w:rFonts w:eastAsia="仿宋_GB2312"/>
                <w:color w:val="000000"/>
                <w:sz w:val="24"/>
                <w:szCs w:val="24"/>
              </w:rPr>
              <w:t>13</w:t>
            </w:r>
          </w:p>
        </w:tc>
        <w:tc>
          <w:tcPr>
            <w:tcW w:w="7938" w:type="dxa"/>
            <w:tcBorders>
              <w:top w:val="single" w:color="000000" w:sz="4" w:space="0"/>
              <w:left w:val="single" w:color="000000" w:sz="4" w:space="0"/>
              <w:bottom w:val="single" w:color="000000" w:sz="4" w:space="0"/>
              <w:right w:val="single" w:color="000000" w:sz="4" w:space="0"/>
            </w:tcBorders>
            <w:vAlign w:val="center"/>
          </w:tcPr>
          <w:p w14:paraId="44BD6060">
            <w:pPr>
              <w:widowControl/>
              <w:jc w:val="left"/>
              <w:textAlignment w:val="center"/>
              <w:rPr>
                <w:rFonts w:eastAsia="仿宋_GB2312"/>
                <w:color w:val="000000"/>
                <w:sz w:val="24"/>
                <w:szCs w:val="24"/>
              </w:rPr>
            </w:pPr>
            <w:r>
              <w:rPr>
                <w:rFonts w:eastAsia="仿宋_GB2312"/>
                <w:color w:val="000000"/>
                <w:sz w:val="24"/>
                <w:szCs w:val="24"/>
              </w:rPr>
              <w:t>免费公厕不整洁，存在粪便、污水、杂物一处扣0.2分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2D3AC4D6">
            <w:pPr>
              <w:jc w:val="center"/>
              <w:rPr>
                <w:rFonts w:eastAsia="仿宋_GB2312"/>
                <w:color w:val="000000"/>
                <w:sz w:val="24"/>
                <w:szCs w:val="24"/>
              </w:rPr>
            </w:pPr>
          </w:p>
        </w:tc>
      </w:tr>
      <w:tr w14:paraId="00361760">
        <w:tblPrEx>
          <w:tblCellMar>
            <w:top w:w="15" w:type="dxa"/>
            <w:left w:w="15" w:type="dxa"/>
            <w:bottom w:w="15" w:type="dxa"/>
            <w:right w:w="15" w:type="dxa"/>
          </w:tblCellMar>
        </w:tblPrEx>
        <w:trPr>
          <w:trHeight w:val="99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193C673">
            <w:pPr>
              <w:widowControl/>
              <w:jc w:val="center"/>
              <w:textAlignment w:val="center"/>
              <w:rPr>
                <w:rFonts w:eastAsia="仿宋_GB2312"/>
                <w:color w:val="000000"/>
                <w:sz w:val="24"/>
                <w:szCs w:val="24"/>
              </w:rPr>
            </w:pPr>
            <w:r>
              <w:rPr>
                <w:rFonts w:eastAsia="仿宋_GB2312"/>
                <w:color w:val="000000"/>
                <w:sz w:val="24"/>
                <w:szCs w:val="24"/>
              </w:rPr>
              <w:t>14</w:t>
            </w:r>
          </w:p>
        </w:tc>
        <w:tc>
          <w:tcPr>
            <w:tcW w:w="7938" w:type="dxa"/>
            <w:tcBorders>
              <w:top w:val="single" w:color="000000" w:sz="4" w:space="0"/>
              <w:left w:val="single" w:color="000000" w:sz="4" w:space="0"/>
              <w:bottom w:val="single" w:color="000000" w:sz="4" w:space="0"/>
              <w:right w:val="single" w:color="000000" w:sz="4" w:space="0"/>
            </w:tcBorders>
            <w:vAlign w:val="center"/>
          </w:tcPr>
          <w:p w14:paraId="05CA7497">
            <w:pPr>
              <w:widowControl/>
              <w:jc w:val="left"/>
              <w:textAlignment w:val="center"/>
              <w:rPr>
                <w:rFonts w:eastAsia="仿宋_GB2312"/>
                <w:color w:val="000000"/>
                <w:sz w:val="24"/>
                <w:szCs w:val="24"/>
              </w:rPr>
            </w:pPr>
            <w:r>
              <w:rPr>
                <w:rFonts w:eastAsia="仿宋_GB2312"/>
                <w:color w:val="000000"/>
                <w:sz w:val="24"/>
                <w:szCs w:val="24"/>
              </w:rPr>
              <w:t>公共厕的通风、冲水、洗手、照明、门板、便器、地面等设施完好，否则一处扣0.2分。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04528B9F">
            <w:pPr>
              <w:jc w:val="center"/>
              <w:rPr>
                <w:rFonts w:eastAsia="仿宋_GB2312"/>
                <w:color w:val="000000"/>
                <w:sz w:val="24"/>
                <w:szCs w:val="24"/>
              </w:rPr>
            </w:pPr>
          </w:p>
        </w:tc>
      </w:tr>
      <w:tr w14:paraId="57C64FA7">
        <w:tblPrEx>
          <w:tblCellMar>
            <w:top w:w="15" w:type="dxa"/>
            <w:left w:w="15" w:type="dxa"/>
            <w:bottom w:w="15" w:type="dxa"/>
            <w:right w:w="15" w:type="dxa"/>
          </w:tblCellMar>
        </w:tblPrEx>
        <w:trPr>
          <w:trHeight w:val="99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0A2DA7BF">
            <w:pPr>
              <w:widowControl/>
              <w:jc w:val="center"/>
              <w:textAlignment w:val="center"/>
              <w:rPr>
                <w:rFonts w:eastAsia="仿宋_GB2312"/>
                <w:color w:val="000000"/>
                <w:sz w:val="24"/>
                <w:szCs w:val="24"/>
              </w:rPr>
            </w:pPr>
            <w:r>
              <w:rPr>
                <w:rFonts w:eastAsia="仿宋_GB2312"/>
                <w:color w:val="000000"/>
                <w:sz w:val="24"/>
                <w:szCs w:val="24"/>
              </w:rPr>
              <w:t>15</w:t>
            </w:r>
          </w:p>
        </w:tc>
        <w:tc>
          <w:tcPr>
            <w:tcW w:w="7938" w:type="dxa"/>
            <w:tcBorders>
              <w:top w:val="single" w:color="000000" w:sz="4" w:space="0"/>
              <w:left w:val="single" w:color="000000" w:sz="4" w:space="0"/>
              <w:bottom w:val="single" w:color="000000" w:sz="4" w:space="0"/>
              <w:right w:val="single" w:color="000000" w:sz="4" w:space="0"/>
            </w:tcBorders>
            <w:vAlign w:val="center"/>
          </w:tcPr>
          <w:p w14:paraId="7951928D">
            <w:pPr>
              <w:widowControl/>
              <w:jc w:val="left"/>
              <w:textAlignment w:val="center"/>
              <w:rPr>
                <w:rFonts w:eastAsia="仿宋_GB2312"/>
                <w:color w:val="000000"/>
                <w:sz w:val="24"/>
                <w:szCs w:val="24"/>
              </w:rPr>
            </w:pPr>
            <w:r>
              <w:rPr>
                <w:rFonts w:eastAsia="仿宋_GB2312"/>
                <w:color w:val="000000"/>
                <w:sz w:val="24"/>
                <w:szCs w:val="24"/>
              </w:rPr>
              <w:t>环卫工人休息屋内外的不整洁，存在白色垃圾、设施破损，一处扣0.2分</w:t>
            </w:r>
          </w:p>
        </w:tc>
        <w:tc>
          <w:tcPr>
            <w:tcW w:w="284" w:type="dxa"/>
            <w:tcBorders>
              <w:top w:val="single" w:color="000000" w:sz="4" w:space="0"/>
              <w:left w:val="single" w:color="000000" w:sz="4" w:space="0"/>
              <w:bottom w:val="single" w:color="000000" w:sz="4" w:space="0"/>
              <w:right w:val="single" w:color="000000" w:sz="4" w:space="0"/>
            </w:tcBorders>
            <w:vAlign w:val="center"/>
          </w:tcPr>
          <w:p w14:paraId="13FE7400">
            <w:pPr>
              <w:jc w:val="center"/>
              <w:rPr>
                <w:rFonts w:eastAsia="仿宋_GB2312"/>
                <w:color w:val="000000"/>
                <w:sz w:val="24"/>
                <w:szCs w:val="24"/>
              </w:rPr>
            </w:pPr>
          </w:p>
        </w:tc>
      </w:tr>
      <w:tr w14:paraId="16A6893D">
        <w:tblPrEx>
          <w:tblCellMar>
            <w:top w:w="15" w:type="dxa"/>
            <w:left w:w="15" w:type="dxa"/>
            <w:bottom w:w="15" w:type="dxa"/>
            <w:right w:w="15" w:type="dxa"/>
          </w:tblCellMar>
        </w:tblPrEx>
        <w:trPr>
          <w:trHeight w:val="645"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52212E35">
            <w:pPr>
              <w:widowControl/>
              <w:jc w:val="center"/>
              <w:textAlignment w:val="center"/>
              <w:rPr>
                <w:rFonts w:eastAsia="仿宋_GB2312"/>
                <w:b/>
                <w:bCs/>
                <w:color w:val="000000"/>
                <w:sz w:val="24"/>
                <w:szCs w:val="24"/>
              </w:rPr>
            </w:pPr>
            <w:r>
              <w:rPr>
                <w:rFonts w:eastAsia="仿宋_GB2312"/>
                <w:b/>
                <w:bCs/>
                <w:color w:val="000000"/>
                <w:sz w:val="24"/>
                <w:szCs w:val="24"/>
              </w:rPr>
              <w:t>内部管理考核</w:t>
            </w:r>
          </w:p>
        </w:tc>
      </w:tr>
      <w:tr w14:paraId="61B6F807">
        <w:tblPrEx>
          <w:tblCellMar>
            <w:top w:w="15" w:type="dxa"/>
            <w:left w:w="15" w:type="dxa"/>
            <w:bottom w:w="15" w:type="dxa"/>
            <w:right w:w="15" w:type="dxa"/>
          </w:tblCellMar>
        </w:tblPrEx>
        <w:trPr>
          <w:trHeight w:val="262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25FFC3E7">
            <w:pPr>
              <w:widowControl/>
              <w:jc w:val="center"/>
              <w:textAlignment w:val="center"/>
              <w:rPr>
                <w:rFonts w:eastAsia="仿宋_GB2312"/>
                <w:color w:val="000000"/>
                <w:sz w:val="24"/>
                <w:szCs w:val="24"/>
              </w:rPr>
            </w:pPr>
            <w:r>
              <w:rPr>
                <w:rFonts w:eastAsia="仿宋_GB2312"/>
                <w:color w:val="000000"/>
                <w:sz w:val="24"/>
                <w:szCs w:val="24"/>
              </w:rPr>
              <w:t>16</w:t>
            </w:r>
          </w:p>
        </w:tc>
        <w:tc>
          <w:tcPr>
            <w:tcW w:w="7938" w:type="dxa"/>
            <w:tcBorders>
              <w:top w:val="single" w:color="000000" w:sz="4" w:space="0"/>
              <w:left w:val="single" w:color="000000" w:sz="4" w:space="0"/>
              <w:bottom w:val="single" w:color="000000" w:sz="4" w:space="0"/>
              <w:right w:val="single" w:color="000000" w:sz="4" w:space="0"/>
            </w:tcBorders>
            <w:vAlign w:val="center"/>
          </w:tcPr>
          <w:p w14:paraId="77A02166">
            <w:pPr>
              <w:widowControl/>
              <w:jc w:val="left"/>
              <w:textAlignment w:val="center"/>
              <w:rPr>
                <w:rFonts w:eastAsia="仿宋_GB2312"/>
                <w:color w:val="000000"/>
                <w:sz w:val="24"/>
                <w:szCs w:val="24"/>
              </w:rPr>
            </w:pPr>
            <w:r>
              <w:rPr>
                <w:rFonts w:eastAsia="仿宋_GB2312"/>
                <w:color w:val="000000"/>
                <w:sz w:val="24"/>
                <w:szCs w:val="24"/>
              </w:rPr>
              <w:t>承包单位要建立内部考核机制，完善管理制度。 承包单位管理人员要随清扫、清运保洁时间实行错时管理，检查必须有记录。 机动车辆管理要有管理档案、有安全教育培训记录、有运行记录、有维修保养记录。 公司要配足管理人员和保洁人员，每月月初把上月的管理人员、一线保洁人员的花名册（包括姓名、工作路段、身份证号码、保险情况等）上报至县城管局。 未达要求的，每项每次扣1分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7E0D8C87">
            <w:pPr>
              <w:jc w:val="center"/>
              <w:rPr>
                <w:rFonts w:eastAsia="仿宋_GB2312"/>
                <w:color w:val="000000"/>
                <w:sz w:val="24"/>
                <w:szCs w:val="24"/>
              </w:rPr>
            </w:pPr>
          </w:p>
        </w:tc>
      </w:tr>
      <w:tr w14:paraId="1D20F5AA">
        <w:tblPrEx>
          <w:tblCellMar>
            <w:top w:w="15" w:type="dxa"/>
            <w:left w:w="15" w:type="dxa"/>
            <w:bottom w:w="15" w:type="dxa"/>
            <w:right w:w="15" w:type="dxa"/>
          </w:tblCellMar>
        </w:tblPrEx>
        <w:trPr>
          <w:trHeight w:val="585"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474BE252">
            <w:pPr>
              <w:widowControl/>
              <w:jc w:val="center"/>
              <w:textAlignment w:val="center"/>
              <w:rPr>
                <w:rFonts w:eastAsia="仿宋_GB2312"/>
                <w:b/>
                <w:bCs/>
                <w:color w:val="000000"/>
                <w:sz w:val="24"/>
                <w:szCs w:val="24"/>
              </w:rPr>
            </w:pPr>
            <w:r>
              <w:rPr>
                <w:rFonts w:eastAsia="仿宋_GB2312"/>
                <w:b/>
                <w:bCs/>
                <w:color w:val="000000"/>
                <w:sz w:val="24"/>
                <w:szCs w:val="24"/>
              </w:rPr>
              <w:t>其他</w:t>
            </w:r>
          </w:p>
        </w:tc>
      </w:tr>
      <w:tr w14:paraId="4A976160">
        <w:tblPrEx>
          <w:tblCellMar>
            <w:top w:w="15" w:type="dxa"/>
            <w:left w:w="15" w:type="dxa"/>
            <w:bottom w:w="15" w:type="dxa"/>
            <w:right w:w="15" w:type="dxa"/>
          </w:tblCellMar>
        </w:tblPrEx>
        <w:trPr>
          <w:trHeight w:val="114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212BADD4">
            <w:pPr>
              <w:widowControl/>
              <w:jc w:val="center"/>
              <w:textAlignment w:val="center"/>
              <w:rPr>
                <w:rFonts w:eastAsia="仿宋_GB2312"/>
                <w:color w:val="000000"/>
                <w:sz w:val="24"/>
                <w:szCs w:val="24"/>
              </w:rPr>
            </w:pPr>
            <w:r>
              <w:rPr>
                <w:rFonts w:eastAsia="仿宋_GB2312"/>
                <w:color w:val="000000"/>
                <w:sz w:val="24"/>
                <w:szCs w:val="24"/>
              </w:rPr>
              <w:t>17</w:t>
            </w:r>
          </w:p>
        </w:tc>
        <w:tc>
          <w:tcPr>
            <w:tcW w:w="7938" w:type="dxa"/>
            <w:tcBorders>
              <w:top w:val="single" w:color="000000" w:sz="4" w:space="0"/>
              <w:left w:val="single" w:color="000000" w:sz="4" w:space="0"/>
              <w:bottom w:val="single" w:color="000000" w:sz="4" w:space="0"/>
              <w:right w:val="single" w:color="000000" w:sz="4" w:space="0"/>
            </w:tcBorders>
            <w:vAlign w:val="center"/>
          </w:tcPr>
          <w:p w14:paraId="131C60DB">
            <w:pPr>
              <w:widowControl/>
              <w:jc w:val="left"/>
              <w:textAlignment w:val="center"/>
              <w:rPr>
                <w:rFonts w:eastAsia="仿宋_GB2312"/>
                <w:color w:val="000000"/>
                <w:sz w:val="24"/>
                <w:szCs w:val="24"/>
              </w:rPr>
            </w:pPr>
            <w:r>
              <w:rPr>
                <w:rFonts w:eastAsia="仿宋_GB2312"/>
                <w:color w:val="000000"/>
                <w:sz w:val="24"/>
                <w:szCs w:val="24"/>
              </w:rPr>
              <w:t>遇到上级检查或有临时突击任务时，应服从县城管局安排管理，按规定及时完成下达的任务。根据实际情况，每次扣1-10分。</w:t>
            </w:r>
          </w:p>
        </w:tc>
        <w:tc>
          <w:tcPr>
            <w:tcW w:w="284" w:type="dxa"/>
            <w:tcBorders>
              <w:top w:val="single" w:color="000000" w:sz="4" w:space="0"/>
              <w:left w:val="single" w:color="000000" w:sz="4" w:space="0"/>
              <w:bottom w:val="single" w:color="000000" w:sz="4" w:space="0"/>
              <w:right w:val="single" w:color="000000" w:sz="4" w:space="0"/>
            </w:tcBorders>
            <w:vAlign w:val="center"/>
          </w:tcPr>
          <w:p w14:paraId="36FCFBAE">
            <w:pPr>
              <w:jc w:val="center"/>
              <w:rPr>
                <w:rFonts w:eastAsia="仿宋_GB2312"/>
                <w:color w:val="000000"/>
                <w:sz w:val="24"/>
                <w:szCs w:val="24"/>
              </w:rPr>
            </w:pPr>
          </w:p>
        </w:tc>
      </w:tr>
      <w:tr w14:paraId="5793040D">
        <w:tblPrEx>
          <w:tblCellMar>
            <w:top w:w="15" w:type="dxa"/>
            <w:left w:w="15" w:type="dxa"/>
            <w:bottom w:w="15" w:type="dxa"/>
            <w:right w:w="15" w:type="dxa"/>
          </w:tblCellMar>
        </w:tblPrEx>
        <w:trPr>
          <w:trHeight w:val="139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62FAF97E">
            <w:pPr>
              <w:widowControl/>
              <w:jc w:val="center"/>
              <w:textAlignment w:val="center"/>
              <w:rPr>
                <w:rFonts w:eastAsia="仿宋_GB2312"/>
                <w:color w:val="000000"/>
                <w:sz w:val="24"/>
                <w:szCs w:val="24"/>
              </w:rPr>
            </w:pPr>
            <w:r>
              <w:rPr>
                <w:rFonts w:eastAsia="仿宋_GB2312"/>
                <w:color w:val="000000"/>
                <w:sz w:val="24"/>
                <w:szCs w:val="24"/>
              </w:rPr>
              <w:t>18</w:t>
            </w:r>
          </w:p>
        </w:tc>
        <w:tc>
          <w:tcPr>
            <w:tcW w:w="7938" w:type="dxa"/>
            <w:tcBorders>
              <w:top w:val="single" w:color="000000" w:sz="4" w:space="0"/>
              <w:left w:val="single" w:color="000000" w:sz="4" w:space="0"/>
              <w:bottom w:val="single" w:color="000000" w:sz="4" w:space="0"/>
              <w:right w:val="single" w:color="000000" w:sz="4" w:space="0"/>
            </w:tcBorders>
            <w:vAlign w:val="center"/>
          </w:tcPr>
          <w:p w14:paraId="1DE999F2">
            <w:pPr>
              <w:widowControl/>
              <w:jc w:val="left"/>
              <w:textAlignment w:val="center"/>
              <w:rPr>
                <w:rFonts w:eastAsia="仿宋_GB2312"/>
                <w:color w:val="000000"/>
                <w:sz w:val="24"/>
                <w:szCs w:val="24"/>
              </w:rPr>
            </w:pPr>
            <w:r>
              <w:rPr>
                <w:rFonts w:eastAsia="仿宋_GB2312"/>
                <w:color w:val="000000"/>
                <w:sz w:val="24"/>
                <w:szCs w:val="24"/>
              </w:rPr>
              <w:t>被省级（以上）新闻媒体曝光的每次每处扣10分；市级新闻媒体曝光或市、县级领导点名批评的每次每处扣4分；局领导点名批评的每次每处扣2分；市民投诉确有问题每次每处扣1分</w:t>
            </w:r>
          </w:p>
        </w:tc>
        <w:tc>
          <w:tcPr>
            <w:tcW w:w="284" w:type="dxa"/>
            <w:tcBorders>
              <w:top w:val="single" w:color="000000" w:sz="4" w:space="0"/>
              <w:left w:val="single" w:color="000000" w:sz="4" w:space="0"/>
              <w:bottom w:val="single" w:color="000000" w:sz="4" w:space="0"/>
              <w:right w:val="single" w:color="000000" w:sz="4" w:space="0"/>
            </w:tcBorders>
            <w:vAlign w:val="center"/>
          </w:tcPr>
          <w:p w14:paraId="1BCA0FA9">
            <w:pPr>
              <w:jc w:val="center"/>
              <w:rPr>
                <w:rFonts w:eastAsia="仿宋_GB2312"/>
                <w:color w:val="000000"/>
                <w:sz w:val="24"/>
                <w:szCs w:val="24"/>
              </w:rPr>
            </w:pPr>
          </w:p>
        </w:tc>
      </w:tr>
      <w:tr w14:paraId="5C8DEC36">
        <w:tblPrEx>
          <w:tblCellMar>
            <w:top w:w="15" w:type="dxa"/>
            <w:left w:w="15" w:type="dxa"/>
            <w:bottom w:w="15" w:type="dxa"/>
            <w:right w:w="15" w:type="dxa"/>
          </w:tblCellMar>
        </w:tblPrEx>
        <w:trPr>
          <w:trHeight w:val="117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3008D58">
            <w:pPr>
              <w:widowControl/>
              <w:jc w:val="center"/>
              <w:textAlignment w:val="center"/>
              <w:rPr>
                <w:rFonts w:eastAsia="仿宋_GB2312"/>
                <w:color w:val="000000"/>
                <w:sz w:val="24"/>
                <w:szCs w:val="24"/>
              </w:rPr>
            </w:pPr>
            <w:r>
              <w:rPr>
                <w:rFonts w:eastAsia="仿宋_GB2312"/>
                <w:color w:val="000000"/>
                <w:sz w:val="24"/>
                <w:szCs w:val="24"/>
              </w:rPr>
              <w:t>19</w:t>
            </w:r>
          </w:p>
        </w:tc>
        <w:tc>
          <w:tcPr>
            <w:tcW w:w="7938" w:type="dxa"/>
            <w:tcBorders>
              <w:top w:val="single" w:color="000000" w:sz="4" w:space="0"/>
              <w:left w:val="single" w:color="000000" w:sz="4" w:space="0"/>
              <w:bottom w:val="single" w:color="000000" w:sz="4" w:space="0"/>
              <w:right w:val="single" w:color="000000" w:sz="4" w:space="0"/>
            </w:tcBorders>
            <w:vAlign w:val="center"/>
          </w:tcPr>
          <w:p w14:paraId="13C054F0">
            <w:pPr>
              <w:widowControl/>
              <w:jc w:val="left"/>
              <w:textAlignment w:val="center"/>
              <w:rPr>
                <w:rFonts w:eastAsia="仿宋_GB2312"/>
                <w:color w:val="000000"/>
                <w:sz w:val="24"/>
                <w:szCs w:val="24"/>
              </w:rPr>
            </w:pPr>
            <w:r>
              <w:rPr>
                <w:rFonts w:eastAsia="仿宋_GB2312"/>
                <w:color w:val="000000"/>
                <w:sz w:val="24"/>
                <w:szCs w:val="24"/>
              </w:rPr>
              <w:t>接到投诉电话和新闻舆论等举报投诉后，应在12小时内处理完毕，并作好信息反馈。投诉不处理的或未完成整改任务的，每次扣2-5分；处理后无反馈的，每次扣0.5分。</w:t>
            </w:r>
          </w:p>
        </w:tc>
        <w:tc>
          <w:tcPr>
            <w:tcW w:w="284" w:type="dxa"/>
            <w:tcBorders>
              <w:top w:val="single" w:color="000000" w:sz="4" w:space="0"/>
              <w:left w:val="single" w:color="000000" w:sz="4" w:space="0"/>
              <w:bottom w:val="single" w:color="000000" w:sz="4" w:space="0"/>
              <w:right w:val="single" w:color="000000" w:sz="4" w:space="0"/>
            </w:tcBorders>
            <w:vAlign w:val="center"/>
          </w:tcPr>
          <w:p w14:paraId="0B4AFDD4">
            <w:pPr>
              <w:jc w:val="center"/>
              <w:rPr>
                <w:rFonts w:eastAsia="仿宋_GB2312"/>
                <w:color w:val="000000"/>
                <w:sz w:val="24"/>
                <w:szCs w:val="24"/>
              </w:rPr>
            </w:pPr>
          </w:p>
        </w:tc>
      </w:tr>
      <w:tr w14:paraId="5F5DD774">
        <w:tblPrEx>
          <w:tblCellMar>
            <w:top w:w="15" w:type="dxa"/>
            <w:left w:w="15" w:type="dxa"/>
            <w:bottom w:w="15" w:type="dxa"/>
            <w:right w:w="15" w:type="dxa"/>
          </w:tblCellMar>
        </w:tblPrEx>
        <w:trPr>
          <w:trHeight w:val="103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A76200C">
            <w:pPr>
              <w:widowControl/>
              <w:jc w:val="center"/>
              <w:textAlignment w:val="center"/>
              <w:rPr>
                <w:rFonts w:eastAsia="仿宋_GB2312"/>
                <w:color w:val="000000"/>
                <w:sz w:val="24"/>
                <w:szCs w:val="24"/>
              </w:rPr>
            </w:pPr>
            <w:r>
              <w:rPr>
                <w:rFonts w:eastAsia="仿宋_GB2312"/>
                <w:color w:val="000000"/>
                <w:sz w:val="24"/>
                <w:szCs w:val="24"/>
              </w:rPr>
              <w:t>20</w:t>
            </w:r>
          </w:p>
        </w:tc>
        <w:tc>
          <w:tcPr>
            <w:tcW w:w="7938" w:type="dxa"/>
            <w:tcBorders>
              <w:top w:val="single" w:color="000000" w:sz="4" w:space="0"/>
              <w:left w:val="single" w:color="000000" w:sz="4" w:space="0"/>
              <w:bottom w:val="single" w:color="000000" w:sz="4" w:space="0"/>
              <w:right w:val="single" w:color="000000" w:sz="4" w:space="0"/>
            </w:tcBorders>
            <w:vAlign w:val="center"/>
          </w:tcPr>
          <w:p w14:paraId="4DC35186">
            <w:pPr>
              <w:widowControl/>
              <w:jc w:val="left"/>
              <w:textAlignment w:val="center"/>
              <w:rPr>
                <w:rFonts w:eastAsia="仿宋_GB2312"/>
                <w:color w:val="000000"/>
                <w:sz w:val="24"/>
                <w:szCs w:val="24"/>
              </w:rPr>
            </w:pPr>
            <w:r>
              <w:rPr>
                <w:rFonts w:eastAsia="仿宋_GB2312"/>
                <w:color w:val="000000"/>
                <w:sz w:val="24"/>
                <w:szCs w:val="24"/>
              </w:rPr>
              <w:t>对已检查出的问题未及时按要求整改的按此项目原分值加倍扣分。</w:t>
            </w:r>
          </w:p>
        </w:tc>
        <w:tc>
          <w:tcPr>
            <w:tcW w:w="284" w:type="dxa"/>
            <w:tcBorders>
              <w:top w:val="single" w:color="000000" w:sz="4" w:space="0"/>
              <w:left w:val="single" w:color="000000" w:sz="4" w:space="0"/>
              <w:bottom w:val="single" w:color="000000" w:sz="4" w:space="0"/>
              <w:right w:val="single" w:color="000000" w:sz="4" w:space="0"/>
            </w:tcBorders>
            <w:vAlign w:val="center"/>
          </w:tcPr>
          <w:p w14:paraId="1D146248">
            <w:pPr>
              <w:jc w:val="center"/>
              <w:rPr>
                <w:rFonts w:eastAsia="仿宋_GB2312"/>
                <w:color w:val="000000"/>
                <w:sz w:val="24"/>
                <w:szCs w:val="24"/>
              </w:rPr>
            </w:pPr>
          </w:p>
        </w:tc>
      </w:tr>
      <w:tr w14:paraId="0CB9ECA9">
        <w:tblPrEx>
          <w:tblCellMar>
            <w:top w:w="15" w:type="dxa"/>
            <w:left w:w="15" w:type="dxa"/>
            <w:bottom w:w="15" w:type="dxa"/>
            <w:right w:w="15" w:type="dxa"/>
          </w:tblCellMar>
        </w:tblPrEx>
        <w:trPr>
          <w:trHeight w:val="630" w:hRule="atLeast"/>
        </w:trPr>
        <w:tc>
          <w:tcPr>
            <w:tcW w:w="8804" w:type="dxa"/>
            <w:gridSpan w:val="3"/>
            <w:tcBorders>
              <w:top w:val="single" w:color="000000" w:sz="4" w:space="0"/>
              <w:left w:val="single" w:color="000000" w:sz="4" w:space="0"/>
              <w:bottom w:val="single" w:color="000000" w:sz="4" w:space="0"/>
              <w:right w:val="single" w:color="000000" w:sz="4" w:space="0"/>
            </w:tcBorders>
            <w:vAlign w:val="center"/>
          </w:tcPr>
          <w:p w14:paraId="2D858FB4">
            <w:pPr>
              <w:widowControl/>
              <w:jc w:val="center"/>
              <w:textAlignment w:val="center"/>
              <w:rPr>
                <w:rFonts w:eastAsia="仿宋_GB2312"/>
                <w:b/>
                <w:bCs/>
                <w:color w:val="000000"/>
                <w:sz w:val="24"/>
                <w:szCs w:val="24"/>
              </w:rPr>
            </w:pPr>
            <w:r>
              <w:rPr>
                <w:rFonts w:eastAsia="仿宋_GB2312"/>
                <w:b/>
                <w:bCs/>
                <w:color w:val="000000"/>
                <w:sz w:val="24"/>
                <w:szCs w:val="24"/>
              </w:rPr>
              <w:t xml:space="preserve">奖励措施 </w:t>
            </w:r>
          </w:p>
        </w:tc>
      </w:tr>
      <w:tr w14:paraId="698F53A2">
        <w:tblPrEx>
          <w:tblCellMar>
            <w:top w:w="15" w:type="dxa"/>
            <w:left w:w="15" w:type="dxa"/>
            <w:bottom w:w="15" w:type="dxa"/>
            <w:right w:w="15" w:type="dxa"/>
          </w:tblCellMar>
        </w:tblPrEx>
        <w:trPr>
          <w:trHeight w:val="1110"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661FC2CF">
            <w:pPr>
              <w:widowControl/>
              <w:jc w:val="center"/>
              <w:textAlignment w:val="center"/>
              <w:rPr>
                <w:rFonts w:eastAsia="仿宋_GB2312"/>
                <w:color w:val="000000"/>
                <w:sz w:val="24"/>
                <w:szCs w:val="24"/>
              </w:rPr>
            </w:pPr>
            <w:r>
              <w:rPr>
                <w:rFonts w:eastAsia="仿宋_GB2312"/>
                <w:color w:val="000000"/>
                <w:sz w:val="24"/>
                <w:szCs w:val="24"/>
              </w:rPr>
              <w:t>21</w:t>
            </w:r>
          </w:p>
        </w:tc>
        <w:tc>
          <w:tcPr>
            <w:tcW w:w="7938" w:type="dxa"/>
            <w:tcBorders>
              <w:top w:val="single" w:color="000000" w:sz="4" w:space="0"/>
              <w:left w:val="single" w:color="000000" w:sz="4" w:space="0"/>
              <w:bottom w:val="single" w:color="000000" w:sz="4" w:space="0"/>
              <w:right w:val="single" w:color="000000" w:sz="4" w:space="0"/>
            </w:tcBorders>
            <w:vAlign w:val="center"/>
          </w:tcPr>
          <w:p w14:paraId="4331399F">
            <w:pPr>
              <w:widowControl/>
              <w:jc w:val="left"/>
              <w:textAlignment w:val="center"/>
              <w:rPr>
                <w:rFonts w:eastAsia="仿宋_GB2312"/>
                <w:color w:val="000000"/>
                <w:sz w:val="24"/>
                <w:szCs w:val="24"/>
              </w:rPr>
            </w:pPr>
            <w:r>
              <w:rPr>
                <w:rFonts w:eastAsia="仿宋_GB2312"/>
                <w:color w:val="000000"/>
                <w:sz w:val="24"/>
                <w:szCs w:val="24"/>
              </w:rPr>
              <w:t>当月检查合格率在95%以上，且位居第一名的，从当月所有标段扣款总额中抽出一定比例奖励给第一名；所有标段均未达95%以上的，不予奖励.</w:t>
            </w:r>
          </w:p>
        </w:tc>
        <w:tc>
          <w:tcPr>
            <w:tcW w:w="284" w:type="dxa"/>
            <w:tcBorders>
              <w:top w:val="single" w:color="000000" w:sz="4" w:space="0"/>
              <w:left w:val="single" w:color="000000" w:sz="4" w:space="0"/>
              <w:bottom w:val="single" w:color="000000" w:sz="4" w:space="0"/>
              <w:right w:val="single" w:color="000000" w:sz="4" w:space="0"/>
            </w:tcBorders>
            <w:vAlign w:val="center"/>
          </w:tcPr>
          <w:p w14:paraId="200D400A">
            <w:pPr>
              <w:jc w:val="center"/>
              <w:rPr>
                <w:rFonts w:eastAsia="仿宋_GB2312"/>
                <w:color w:val="000000"/>
                <w:sz w:val="24"/>
                <w:szCs w:val="24"/>
              </w:rPr>
            </w:pPr>
          </w:p>
        </w:tc>
      </w:tr>
      <w:tr w14:paraId="1A3174BF">
        <w:tblPrEx>
          <w:tblCellMar>
            <w:top w:w="15" w:type="dxa"/>
            <w:left w:w="15" w:type="dxa"/>
            <w:bottom w:w="15" w:type="dxa"/>
            <w:right w:w="15" w:type="dxa"/>
          </w:tblCellMar>
        </w:tblPrEx>
        <w:trPr>
          <w:trHeight w:val="88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2F6DBF6A">
            <w:pPr>
              <w:widowControl/>
              <w:jc w:val="center"/>
              <w:textAlignment w:val="center"/>
              <w:rPr>
                <w:rFonts w:eastAsia="仿宋_GB2312"/>
                <w:color w:val="000000"/>
                <w:sz w:val="24"/>
                <w:szCs w:val="24"/>
              </w:rPr>
            </w:pPr>
            <w:r>
              <w:rPr>
                <w:rFonts w:eastAsia="仿宋_GB2312"/>
                <w:color w:val="000000"/>
                <w:sz w:val="24"/>
                <w:szCs w:val="24"/>
              </w:rPr>
              <w:t>22</w:t>
            </w:r>
          </w:p>
        </w:tc>
        <w:tc>
          <w:tcPr>
            <w:tcW w:w="7938" w:type="dxa"/>
            <w:tcBorders>
              <w:top w:val="single" w:color="000000" w:sz="4" w:space="0"/>
              <w:left w:val="single" w:color="000000" w:sz="4" w:space="0"/>
              <w:bottom w:val="single" w:color="000000" w:sz="4" w:space="0"/>
              <w:right w:val="single" w:color="000000" w:sz="4" w:space="0"/>
            </w:tcBorders>
            <w:vAlign w:val="center"/>
          </w:tcPr>
          <w:p w14:paraId="2DB0B8DE">
            <w:pPr>
              <w:widowControl/>
              <w:jc w:val="left"/>
              <w:textAlignment w:val="center"/>
              <w:rPr>
                <w:rFonts w:eastAsia="仿宋_GB2312"/>
                <w:color w:val="000000"/>
                <w:sz w:val="24"/>
                <w:szCs w:val="24"/>
              </w:rPr>
            </w:pPr>
            <w:r>
              <w:rPr>
                <w:rFonts w:eastAsia="仿宋_GB2312"/>
                <w:color w:val="000000"/>
                <w:sz w:val="24"/>
                <w:szCs w:val="24"/>
              </w:rPr>
              <w:t>在年终评比位居第一的；或在县委、县政府布置的各项任务时，成绩特别优秀的，给予一定奖励。</w:t>
            </w:r>
          </w:p>
        </w:tc>
        <w:tc>
          <w:tcPr>
            <w:tcW w:w="284" w:type="dxa"/>
            <w:tcBorders>
              <w:top w:val="single" w:color="000000" w:sz="4" w:space="0"/>
              <w:left w:val="single" w:color="000000" w:sz="4" w:space="0"/>
              <w:bottom w:val="single" w:color="000000" w:sz="4" w:space="0"/>
              <w:right w:val="single" w:color="000000" w:sz="4" w:space="0"/>
            </w:tcBorders>
            <w:vAlign w:val="center"/>
          </w:tcPr>
          <w:p w14:paraId="7AACCBED">
            <w:pPr>
              <w:jc w:val="center"/>
              <w:rPr>
                <w:rFonts w:eastAsia="仿宋_GB2312"/>
                <w:color w:val="000000"/>
                <w:sz w:val="24"/>
                <w:szCs w:val="24"/>
              </w:rPr>
            </w:pPr>
          </w:p>
        </w:tc>
      </w:tr>
      <w:tr w14:paraId="2D32BB3E">
        <w:tblPrEx>
          <w:tblCellMar>
            <w:top w:w="15" w:type="dxa"/>
            <w:left w:w="15" w:type="dxa"/>
            <w:bottom w:w="15" w:type="dxa"/>
            <w:right w:w="15" w:type="dxa"/>
          </w:tblCellMar>
        </w:tblPrEx>
        <w:trPr>
          <w:trHeight w:val="112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9517FEE">
            <w:pPr>
              <w:widowControl/>
              <w:jc w:val="center"/>
              <w:textAlignment w:val="center"/>
              <w:rPr>
                <w:rFonts w:eastAsia="仿宋_GB2312"/>
                <w:color w:val="000000"/>
                <w:sz w:val="24"/>
                <w:szCs w:val="24"/>
              </w:rPr>
            </w:pPr>
            <w:r>
              <w:rPr>
                <w:rFonts w:eastAsia="仿宋_GB2312"/>
                <w:color w:val="000000"/>
                <w:sz w:val="24"/>
                <w:szCs w:val="24"/>
              </w:rPr>
              <w:t>23</w:t>
            </w:r>
          </w:p>
        </w:tc>
        <w:tc>
          <w:tcPr>
            <w:tcW w:w="7938" w:type="dxa"/>
            <w:tcBorders>
              <w:top w:val="single" w:color="000000" w:sz="4" w:space="0"/>
              <w:left w:val="single" w:color="000000" w:sz="4" w:space="0"/>
              <w:bottom w:val="single" w:color="000000" w:sz="4" w:space="0"/>
              <w:right w:val="single" w:color="000000" w:sz="4" w:space="0"/>
            </w:tcBorders>
            <w:vAlign w:val="center"/>
          </w:tcPr>
          <w:p w14:paraId="50814D5C">
            <w:pPr>
              <w:widowControl/>
              <w:jc w:val="left"/>
              <w:textAlignment w:val="center"/>
              <w:rPr>
                <w:rFonts w:eastAsia="仿宋_GB2312"/>
                <w:color w:val="000000"/>
                <w:sz w:val="24"/>
                <w:szCs w:val="24"/>
              </w:rPr>
            </w:pPr>
            <w:r>
              <w:rPr>
                <w:rFonts w:eastAsia="仿宋_GB2312"/>
                <w:color w:val="000000"/>
                <w:sz w:val="24"/>
                <w:szCs w:val="24"/>
              </w:rPr>
              <w:t>得到市级（含市级）以上新闻媒体报道，为我县环境卫生事业取得荣誉，每次加1-10分。</w:t>
            </w:r>
          </w:p>
        </w:tc>
        <w:tc>
          <w:tcPr>
            <w:tcW w:w="284" w:type="dxa"/>
            <w:tcBorders>
              <w:top w:val="single" w:color="000000" w:sz="4" w:space="0"/>
              <w:left w:val="single" w:color="000000" w:sz="4" w:space="0"/>
              <w:bottom w:val="single" w:color="000000" w:sz="4" w:space="0"/>
              <w:right w:val="single" w:color="000000" w:sz="4" w:space="0"/>
            </w:tcBorders>
            <w:vAlign w:val="center"/>
          </w:tcPr>
          <w:p w14:paraId="587CBE79">
            <w:pPr>
              <w:jc w:val="center"/>
              <w:rPr>
                <w:rFonts w:eastAsia="仿宋_GB2312"/>
                <w:color w:val="000000"/>
                <w:sz w:val="24"/>
                <w:szCs w:val="24"/>
              </w:rPr>
            </w:pPr>
          </w:p>
        </w:tc>
      </w:tr>
      <w:tr w14:paraId="6365B7A6">
        <w:tblPrEx>
          <w:tblCellMar>
            <w:top w:w="15" w:type="dxa"/>
            <w:left w:w="15" w:type="dxa"/>
            <w:bottom w:w="15" w:type="dxa"/>
            <w:right w:w="15" w:type="dxa"/>
          </w:tblCellMar>
        </w:tblPrEx>
        <w:trPr>
          <w:trHeight w:val="118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4B10A37E">
            <w:pPr>
              <w:widowControl/>
              <w:jc w:val="center"/>
              <w:textAlignment w:val="center"/>
              <w:rPr>
                <w:rFonts w:eastAsia="仿宋_GB2312"/>
                <w:color w:val="000000"/>
                <w:sz w:val="24"/>
                <w:szCs w:val="24"/>
              </w:rPr>
            </w:pPr>
            <w:r>
              <w:rPr>
                <w:rFonts w:eastAsia="仿宋_GB2312"/>
                <w:color w:val="000000"/>
                <w:sz w:val="24"/>
                <w:szCs w:val="24"/>
              </w:rPr>
              <w:t>24</w:t>
            </w:r>
          </w:p>
        </w:tc>
        <w:tc>
          <w:tcPr>
            <w:tcW w:w="7938" w:type="dxa"/>
            <w:tcBorders>
              <w:top w:val="single" w:color="000000" w:sz="4" w:space="0"/>
              <w:left w:val="single" w:color="000000" w:sz="4" w:space="0"/>
              <w:bottom w:val="single" w:color="000000" w:sz="4" w:space="0"/>
              <w:right w:val="single" w:color="000000" w:sz="4" w:space="0"/>
            </w:tcBorders>
            <w:vAlign w:val="center"/>
          </w:tcPr>
          <w:p w14:paraId="39887815">
            <w:pPr>
              <w:widowControl/>
              <w:jc w:val="left"/>
              <w:textAlignment w:val="center"/>
              <w:rPr>
                <w:rFonts w:eastAsia="仿宋_GB2312"/>
                <w:color w:val="000000"/>
                <w:sz w:val="24"/>
                <w:szCs w:val="24"/>
              </w:rPr>
            </w:pPr>
            <w:r>
              <w:rPr>
                <w:rFonts w:eastAsia="仿宋_GB2312"/>
                <w:color w:val="000000"/>
                <w:sz w:val="24"/>
                <w:szCs w:val="24"/>
              </w:rPr>
              <w:t>积极配合城市管理工作，积极参与违法行为规劝，及时上报作业区域城市管理不足和问题，每次加0.1分。每次获得加分项分值纳入当月考核，不超过月承包费用。</w:t>
            </w:r>
          </w:p>
        </w:tc>
        <w:tc>
          <w:tcPr>
            <w:tcW w:w="284" w:type="dxa"/>
            <w:tcBorders>
              <w:top w:val="single" w:color="000000" w:sz="4" w:space="0"/>
              <w:left w:val="single" w:color="000000" w:sz="4" w:space="0"/>
              <w:bottom w:val="single" w:color="000000" w:sz="4" w:space="0"/>
              <w:right w:val="single" w:color="000000" w:sz="4" w:space="0"/>
            </w:tcBorders>
            <w:vAlign w:val="center"/>
          </w:tcPr>
          <w:p w14:paraId="2DB07D2F">
            <w:pPr>
              <w:jc w:val="center"/>
              <w:rPr>
                <w:rFonts w:eastAsia="仿宋_GB2312"/>
                <w:color w:val="000000"/>
                <w:sz w:val="24"/>
                <w:szCs w:val="24"/>
              </w:rPr>
            </w:pPr>
          </w:p>
        </w:tc>
      </w:tr>
    </w:tbl>
    <w:p w14:paraId="7125E253">
      <w:pPr>
        <w:spacing w:line="560" w:lineRule="exact"/>
        <w:rPr>
          <w:rFonts w:eastAsia="仿宋_GB2312"/>
          <w:color w:val="000000"/>
          <w:sz w:val="32"/>
          <w:szCs w:val="32"/>
        </w:rPr>
      </w:pPr>
    </w:p>
    <w:p w14:paraId="615E149A">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2．项目资金申报的依据为项目合同。</w:t>
      </w:r>
    </w:p>
    <w:p w14:paraId="76932404">
      <w:pPr>
        <w:autoSpaceDE w:val="0"/>
        <w:autoSpaceDN w:val="0"/>
        <w:adjustRightInd w:val="0"/>
        <w:spacing w:line="560" w:lineRule="exact"/>
        <w:ind w:firstLine="640" w:firstLineChars="200"/>
        <w:jc w:val="left"/>
        <w:rPr>
          <w:rFonts w:ascii="Times New Roman" w:eastAsia="仿宋_GB2312"/>
          <w:sz w:val="32"/>
          <w:szCs w:val="32"/>
          <w:rPrChange w:id="3" w:author="Unknown" w:date="1901-01-01T00:00:00Z">
            <w:rPr>
              <w:rFonts w:ascii="楷体_GB2312" w:eastAsia="楷体_GB2312"/>
              <w:sz w:val="32"/>
              <w:szCs w:val="32"/>
            </w:rPr>
          </w:rPrChange>
        </w:rPr>
      </w:pPr>
      <w:r>
        <w:rPr>
          <w:rFonts w:hint="eastAsia" w:ascii="Times New Roman" w:eastAsia="仿宋_GB2312" w:cs="Times New Roman"/>
          <w:sz w:val="32"/>
          <w:szCs w:val="32"/>
          <w:rPrChange w:id="4" w:author="舒燕" w:date="2019-03-20T09:18:00Z">
            <w:rPr>
              <w:rFonts w:hint="eastAsia" w:ascii="楷体_GB2312" w:eastAsia="楷体_GB2312" w:cs="仿宋_GB2312"/>
              <w:sz w:val="32"/>
              <w:szCs w:val="32"/>
            </w:rPr>
          </w:rPrChange>
        </w:rPr>
        <w:t>（二）项目绩效目标。</w:t>
      </w:r>
    </w:p>
    <w:p w14:paraId="09E0DF26">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1．项目主要内容:对米易县城区主次干道、人行道、绿化带、广场、城南安宁河湖面、垃圾收集房1座，城区星级公厕13座环境卫生进行清扫保洁。</w:t>
      </w:r>
    </w:p>
    <w:p w14:paraId="5763DBAC">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2．项目应实现的具体绩效目标为：米易县城建成区生活垃圾无害化处理率100%，密闭清运率达100%，城区道路机械化清扫程度达90%。</w:t>
      </w:r>
    </w:p>
    <w:p w14:paraId="51295A59">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3．项目申报内容主要为环卫清扫保洁市场化，在项目中对米易县建成区道路清扫保洁的保障与项目申报内容相符，为创建文明城市，打造宜居城市，提高市民生活质量和幸福指数，促进社会经济的综合发展，进一步提升米易形象打下了坚实的基础。</w:t>
      </w:r>
    </w:p>
    <w:p w14:paraId="6C4498EE">
      <w:pPr>
        <w:autoSpaceDE w:val="0"/>
        <w:autoSpaceDN w:val="0"/>
        <w:adjustRightInd w:val="0"/>
        <w:spacing w:line="560" w:lineRule="exact"/>
        <w:ind w:firstLine="640" w:firstLineChars="200"/>
        <w:jc w:val="left"/>
        <w:rPr>
          <w:rFonts w:ascii="Times New Roman" w:eastAsia="仿宋_GB2312"/>
          <w:sz w:val="32"/>
          <w:szCs w:val="32"/>
          <w:rPrChange w:id="5" w:author="Unknown" w:date="1901-01-01T00:00:00Z">
            <w:rPr>
              <w:rFonts w:ascii="黑体" w:eastAsia="黑体"/>
              <w:sz w:val="32"/>
              <w:szCs w:val="32"/>
            </w:rPr>
          </w:rPrChange>
        </w:rPr>
      </w:pPr>
      <w:r>
        <w:rPr>
          <w:rFonts w:hint="eastAsia" w:ascii="Times New Roman" w:eastAsia="仿宋_GB2312" w:cs="Times New Roman"/>
          <w:sz w:val="32"/>
          <w:szCs w:val="32"/>
          <w:rPrChange w:id="6" w:author="舒燕" w:date="2019-03-20T09:18:00Z">
            <w:rPr>
              <w:rFonts w:hint="eastAsia" w:ascii="黑体" w:eastAsia="黑体" w:cs="仿宋_GB2312"/>
              <w:sz w:val="32"/>
              <w:szCs w:val="32"/>
            </w:rPr>
          </w:rPrChange>
        </w:rPr>
        <w:t>二、项目资金申报及使用情况</w:t>
      </w:r>
    </w:p>
    <w:p w14:paraId="125DBAEF">
      <w:pPr>
        <w:autoSpaceDE w:val="0"/>
        <w:autoSpaceDN w:val="0"/>
        <w:adjustRightInd w:val="0"/>
        <w:spacing w:line="560" w:lineRule="exact"/>
        <w:ind w:firstLine="640" w:firstLineChars="200"/>
        <w:jc w:val="left"/>
        <w:rPr>
          <w:rFonts w:eastAsia="仿宋_GB2312"/>
          <w:sz w:val="32"/>
          <w:szCs w:val="32"/>
        </w:rPr>
      </w:pPr>
      <w:r>
        <w:rPr>
          <w:rFonts w:hint="eastAsia" w:ascii="Times New Roman" w:eastAsia="仿宋_GB2312" w:cs="Times New Roman"/>
          <w:sz w:val="32"/>
          <w:szCs w:val="32"/>
          <w:rPrChange w:id="7" w:author="舒燕" w:date="2019-03-20T09:18:00Z">
            <w:rPr>
              <w:rFonts w:hint="eastAsia" w:ascii="楷体_GB2312" w:eastAsia="楷体_GB2312" w:cs="仿宋_GB2312"/>
              <w:sz w:val="32"/>
              <w:szCs w:val="32"/>
            </w:rPr>
          </w:rPrChange>
        </w:rPr>
        <w:t>（一）项目资金申报及批复情况。</w:t>
      </w:r>
    </w:p>
    <w:p w14:paraId="7C2A034F">
      <w:pPr>
        <w:spacing w:line="560" w:lineRule="exact"/>
        <w:ind w:firstLine="640" w:firstLineChars="200"/>
        <w:rPr>
          <w:rFonts w:eastAsia="仿宋_GB2312"/>
          <w:sz w:val="32"/>
          <w:szCs w:val="32"/>
        </w:rPr>
      </w:pPr>
      <w:r>
        <w:rPr>
          <w:rFonts w:eastAsia="仿宋_GB2312"/>
          <w:sz w:val="32"/>
          <w:szCs w:val="32"/>
        </w:rPr>
        <w:t>我县新一轮五年环卫清扫保洁市场化三个作业区域保洁经费五年合计4602.06万元，其中第一年保洁经费843.55万元，第二年保洁经费881.98万元，第三年保洁经费920.42万元，第四年保洁经费958.84万元，第五年保洁经费997.27万元。人员保险费用五年预计1959.00万元。</w:t>
      </w:r>
    </w:p>
    <w:p w14:paraId="72246112">
      <w:pPr>
        <w:autoSpaceDE w:val="0"/>
        <w:autoSpaceDN w:val="0"/>
        <w:adjustRightInd w:val="0"/>
        <w:spacing w:line="560" w:lineRule="exact"/>
        <w:ind w:firstLine="640" w:firstLineChars="200"/>
        <w:jc w:val="left"/>
        <w:rPr>
          <w:rFonts w:ascii="Times New Roman" w:eastAsia="仿宋_GB2312"/>
          <w:sz w:val="32"/>
          <w:szCs w:val="32"/>
          <w:rPrChange w:id="8" w:author="Unknown" w:date="1901-01-01T00:00:00Z">
            <w:rPr>
              <w:rFonts w:ascii="楷体_GB2312" w:eastAsia="楷体_GB2312"/>
              <w:sz w:val="32"/>
              <w:szCs w:val="32"/>
            </w:rPr>
          </w:rPrChange>
        </w:rPr>
      </w:pPr>
      <w:r>
        <w:rPr>
          <w:rFonts w:eastAsia="仿宋_GB2312"/>
          <w:sz w:val="32"/>
          <w:szCs w:val="32"/>
        </w:rPr>
        <w:t>本项目资金由我局根据项目合同及每年清扫保洁面积增减变化情况编制年度项目预算,在实际运行中，每年管护经费按12个月平均分摊，每月按考核结果由我局向县财政局申请并拨付实际费用。人员保险费用由中标企业每月缴纳后凭社保局出具正式发票经我局审核后一并向县财政局申请经费。县财政审核后按月予以核拨。</w:t>
      </w:r>
    </w:p>
    <w:p w14:paraId="39CCA611">
      <w:pPr>
        <w:autoSpaceDE w:val="0"/>
        <w:autoSpaceDN w:val="0"/>
        <w:adjustRightInd w:val="0"/>
        <w:spacing w:line="560" w:lineRule="exact"/>
        <w:ind w:firstLine="640" w:firstLineChars="200"/>
        <w:jc w:val="left"/>
        <w:rPr>
          <w:rFonts w:ascii="Times New Roman" w:eastAsia="仿宋_GB2312"/>
          <w:sz w:val="32"/>
          <w:szCs w:val="32"/>
          <w:rPrChange w:id="9" w:author="Unknown" w:date="1901-01-01T00:00:00Z">
            <w:rPr>
              <w:rFonts w:ascii="楷体_GB2312" w:eastAsia="楷体_GB2312"/>
              <w:sz w:val="32"/>
              <w:szCs w:val="32"/>
            </w:rPr>
          </w:rPrChange>
        </w:rPr>
      </w:pPr>
      <w:r>
        <w:rPr>
          <w:rFonts w:hint="eastAsia" w:ascii="Times New Roman" w:eastAsia="仿宋_GB2312" w:cs="Times New Roman"/>
          <w:sz w:val="32"/>
          <w:szCs w:val="32"/>
          <w:rPrChange w:id="10" w:author="舒燕" w:date="2019-03-20T09:18:00Z">
            <w:rPr>
              <w:rFonts w:hint="eastAsia" w:ascii="楷体_GB2312" w:eastAsia="楷体_GB2312" w:cs="仿宋_GB2312"/>
              <w:sz w:val="32"/>
              <w:szCs w:val="32"/>
            </w:rPr>
          </w:rPrChange>
        </w:rPr>
        <w:t>（二）资金计划、到位及使用情况。</w:t>
      </w:r>
    </w:p>
    <w:p w14:paraId="61DB4B30">
      <w:pPr>
        <w:autoSpaceDE w:val="0"/>
        <w:autoSpaceDN w:val="0"/>
        <w:adjustRightInd w:val="0"/>
        <w:spacing w:line="560" w:lineRule="exact"/>
        <w:ind w:firstLine="640" w:firstLineChars="200"/>
        <w:jc w:val="left"/>
        <w:rPr>
          <w:rFonts w:ascii="Times New Roman" w:eastAsia="仿宋_GB2312"/>
          <w:sz w:val="32"/>
          <w:szCs w:val="32"/>
          <w:rPrChange w:id="11" w:author="Unknown" w:date="1901-01-01T00:00:00Z">
            <w:rPr>
              <w:rFonts w:ascii="楷体_GB2312" w:eastAsia="楷体_GB2312"/>
              <w:sz w:val="32"/>
              <w:szCs w:val="32"/>
            </w:rPr>
          </w:rPrChange>
        </w:rPr>
      </w:pPr>
      <w:r>
        <w:rPr>
          <w:rFonts w:ascii="Times New Roman" w:eastAsia="仿宋_GB2312" w:cs="Times New Roman"/>
          <w:sz w:val="32"/>
          <w:szCs w:val="32"/>
          <w:rPrChange w:id="12" w:author="舒燕" w:date="2019-03-20T09:18:00Z">
            <w:rPr>
              <w:rFonts w:ascii="楷体_GB2312" w:eastAsia="楷体_GB2312" w:cs="仿宋_GB2312"/>
              <w:sz w:val="32"/>
              <w:szCs w:val="32"/>
            </w:rPr>
          </w:rPrChange>
        </w:rPr>
        <w:t>1</w:t>
      </w:r>
      <w:r>
        <w:rPr>
          <w:rFonts w:hint="eastAsia" w:ascii="Times New Roman" w:eastAsia="仿宋_GB2312" w:cs="Times New Roman"/>
          <w:sz w:val="32"/>
          <w:szCs w:val="32"/>
          <w:rPrChange w:id="13" w:author="舒燕" w:date="2019-03-20T09:18:00Z">
            <w:rPr>
              <w:rFonts w:hint="eastAsia" w:ascii="楷体_GB2312" w:eastAsia="楷体_GB2312" w:cs="仿宋_GB2312"/>
              <w:sz w:val="32"/>
              <w:szCs w:val="32"/>
            </w:rPr>
          </w:rPrChange>
        </w:rPr>
        <w:t>．资金计划。</w:t>
      </w:r>
    </w:p>
    <w:p w14:paraId="2F1E27F0">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2018年环卫市场化经费计划1330.42万元（含清扫人员保险费），全部由县级财政资金安排。</w:t>
      </w:r>
    </w:p>
    <w:p w14:paraId="44D78D09">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 xml:space="preserve"> </w:t>
      </w:r>
      <w:r>
        <w:rPr>
          <w:rFonts w:ascii="Times New Roman" w:eastAsia="仿宋_GB2312" w:cs="Times New Roman"/>
          <w:sz w:val="32"/>
          <w:szCs w:val="32"/>
          <w:rPrChange w:id="14" w:author="舒燕" w:date="2019-03-20T09:18:00Z">
            <w:rPr>
              <w:rFonts w:ascii="楷体_GB2312" w:eastAsia="楷体_GB2312" w:cs="仿宋_GB2312"/>
              <w:sz w:val="32"/>
              <w:szCs w:val="32"/>
            </w:rPr>
          </w:rPrChange>
        </w:rPr>
        <w:t>2</w:t>
      </w:r>
      <w:r>
        <w:rPr>
          <w:rFonts w:hint="eastAsia" w:ascii="Times New Roman" w:eastAsia="仿宋_GB2312" w:cs="Times New Roman"/>
          <w:sz w:val="32"/>
          <w:szCs w:val="32"/>
          <w:rPrChange w:id="15" w:author="舒燕" w:date="2019-03-20T09:18:00Z">
            <w:rPr>
              <w:rFonts w:hint="eastAsia" w:ascii="楷体_GB2312" w:eastAsia="楷体_GB2312" w:cs="仿宋_GB2312"/>
              <w:sz w:val="32"/>
              <w:szCs w:val="32"/>
            </w:rPr>
          </w:rPrChange>
        </w:rPr>
        <w:t>．资金到位。</w:t>
      </w:r>
    </w:p>
    <w:p w14:paraId="2607CA54">
      <w:pPr>
        <w:autoSpaceDE w:val="0"/>
        <w:autoSpaceDN w:val="0"/>
        <w:adjustRightInd w:val="0"/>
        <w:spacing w:line="560" w:lineRule="exact"/>
        <w:ind w:firstLine="640" w:firstLineChars="200"/>
        <w:jc w:val="left"/>
        <w:rPr>
          <w:rFonts w:ascii="Times New Roman" w:eastAsia="仿宋_GB2312"/>
          <w:sz w:val="32"/>
          <w:szCs w:val="32"/>
          <w:rPrChange w:id="16" w:author="Unknown" w:date="1901-01-01T00:00:00Z">
            <w:rPr>
              <w:rFonts w:ascii="楷体_GB2312" w:eastAsia="楷体_GB2312"/>
              <w:sz w:val="32"/>
              <w:szCs w:val="32"/>
            </w:rPr>
          </w:rPrChange>
        </w:rPr>
      </w:pPr>
      <w:r>
        <w:rPr>
          <w:rFonts w:eastAsia="仿宋_GB2312"/>
          <w:sz w:val="32"/>
          <w:szCs w:val="32"/>
        </w:rPr>
        <w:t>该项目资金全年实际支出1178.12万元（已扣除考核扣款0.71万元），已全部到位，到位率100%。</w:t>
      </w:r>
    </w:p>
    <w:p w14:paraId="769B0450">
      <w:pPr>
        <w:autoSpaceDE w:val="0"/>
        <w:autoSpaceDN w:val="0"/>
        <w:adjustRightInd w:val="0"/>
        <w:spacing w:line="560" w:lineRule="exact"/>
        <w:ind w:firstLine="640" w:firstLineChars="200"/>
        <w:jc w:val="left"/>
        <w:rPr>
          <w:rFonts w:ascii="Times New Roman" w:eastAsia="仿宋_GB2312"/>
          <w:sz w:val="32"/>
          <w:szCs w:val="32"/>
          <w:rPrChange w:id="17" w:author="Unknown" w:date="1901-01-01T00:00:00Z">
            <w:rPr>
              <w:rFonts w:ascii="楷体_GB2312" w:eastAsia="楷体_GB2312"/>
              <w:sz w:val="32"/>
              <w:szCs w:val="32"/>
            </w:rPr>
          </w:rPrChange>
        </w:rPr>
      </w:pPr>
      <w:r>
        <w:rPr>
          <w:rFonts w:ascii="Times New Roman" w:eastAsia="仿宋_GB2312" w:cs="Times New Roman"/>
          <w:sz w:val="32"/>
          <w:szCs w:val="32"/>
          <w:rPrChange w:id="18" w:author="舒燕" w:date="2019-03-20T09:18:00Z">
            <w:rPr>
              <w:rFonts w:ascii="楷体_GB2312" w:eastAsia="楷体_GB2312" w:cs="仿宋_GB2312"/>
              <w:sz w:val="32"/>
              <w:szCs w:val="32"/>
            </w:rPr>
          </w:rPrChange>
        </w:rPr>
        <w:t>3</w:t>
      </w:r>
      <w:r>
        <w:rPr>
          <w:rFonts w:hint="eastAsia" w:ascii="Times New Roman" w:eastAsia="仿宋_GB2312" w:cs="Times New Roman"/>
          <w:sz w:val="32"/>
          <w:szCs w:val="32"/>
          <w:rPrChange w:id="19" w:author="舒燕" w:date="2019-03-20T09:18:00Z">
            <w:rPr>
              <w:rFonts w:hint="eastAsia" w:ascii="楷体_GB2312" w:eastAsia="楷体_GB2312" w:cs="仿宋_GB2312"/>
              <w:sz w:val="32"/>
              <w:szCs w:val="32"/>
            </w:rPr>
          </w:rPrChange>
        </w:rPr>
        <w:t>．资金使用。</w:t>
      </w:r>
    </w:p>
    <w:p w14:paraId="5E2174B1">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2018年全年环卫市场化资金支出1178.12万元，其中：清扫费893.79万元，清扫人员保险费284.33万元。详见：2018年环卫市场化经费支出明细账。</w:t>
      </w:r>
    </w:p>
    <w:tbl>
      <w:tblPr>
        <w:tblStyle w:val="13"/>
        <w:tblW w:w="8277" w:type="dxa"/>
        <w:tblInd w:w="2" w:type="dxa"/>
        <w:tblLayout w:type="fixed"/>
        <w:tblCellMar>
          <w:top w:w="0" w:type="dxa"/>
          <w:left w:w="108" w:type="dxa"/>
          <w:bottom w:w="0" w:type="dxa"/>
          <w:right w:w="108" w:type="dxa"/>
        </w:tblCellMar>
      </w:tblPr>
      <w:tblGrid>
        <w:gridCol w:w="416"/>
        <w:gridCol w:w="416"/>
        <w:gridCol w:w="660"/>
        <w:gridCol w:w="2881"/>
        <w:gridCol w:w="1386"/>
        <w:gridCol w:w="448"/>
        <w:gridCol w:w="554"/>
        <w:gridCol w:w="1516"/>
      </w:tblGrid>
      <w:tr w14:paraId="34C32962">
        <w:tblPrEx>
          <w:tblCellMar>
            <w:top w:w="0" w:type="dxa"/>
            <w:left w:w="108" w:type="dxa"/>
            <w:bottom w:w="0" w:type="dxa"/>
            <w:right w:w="108" w:type="dxa"/>
          </w:tblCellMar>
        </w:tblPrEx>
        <w:trPr>
          <w:trHeight w:val="405" w:hRule="atLeast"/>
        </w:trPr>
        <w:tc>
          <w:tcPr>
            <w:tcW w:w="8277" w:type="dxa"/>
            <w:gridSpan w:val="8"/>
            <w:tcBorders>
              <w:top w:val="nil"/>
              <w:left w:val="nil"/>
              <w:bottom w:val="nil"/>
              <w:right w:val="nil"/>
            </w:tcBorders>
            <w:noWrap/>
            <w:vAlign w:val="center"/>
          </w:tcPr>
          <w:p w14:paraId="484F8BA5">
            <w:pPr>
              <w:widowControl/>
              <w:jc w:val="center"/>
              <w:rPr>
                <w:rFonts w:eastAsia="仿宋_GB2312"/>
                <w:b/>
                <w:bCs/>
                <w:sz w:val="36"/>
                <w:szCs w:val="36"/>
              </w:rPr>
            </w:pPr>
            <w:r>
              <w:rPr>
                <w:rFonts w:eastAsia="仿宋_GB2312"/>
                <w:b/>
                <w:bCs/>
                <w:sz w:val="36"/>
                <w:szCs w:val="36"/>
              </w:rPr>
              <w:t>2018年环卫市场化经费明细账</w:t>
            </w:r>
          </w:p>
        </w:tc>
      </w:tr>
      <w:tr w14:paraId="7692FF3A">
        <w:tblPrEx>
          <w:tblCellMar>
            <w:top w:w="0" w:type="dxa"/>
            <w:left w:w="108" w:type="dxa"/>
            <w:bottom w:w="0" w:type="dxa"/>
            <w:right w:w="108" w:type="dxa"/>
          </w:tblCellMar>
        </w:tblPrEx>
        <w:trPr>
          <w:trHeight w:val="240" w:hRule="atLeast"/>
        </w:trPr>
        <w:tc>
          <w:tcPr>
            <w:tcW w:w="416" w:type="dxa"/>
            <w:tcBorders>
              <w:top w:val="nil"/>
              <w:left w:val="nil"/>
              <w:bottom w:val="nil"/>
              <w:right w:val="nil"/>
            </w:tcBorders>
            <w:noWrap/>
            <w:vAlign w:val="center"/>
          </w:tcPr>
          <w:p w14:paraId="0D11B606">
            <w:pPr>
              <w:widowControl/>
              <w:jc w:val="left"/>
              <w:rPr>
                <w:rFonts w:eastAsia="仿宋_GB2312"/>
                <w:szCs w:val="20"/>
              </w:rPr>
            </w:pPr>
          </w:p>
        </w:tc>
        <w:tc>
          <w:tcPr>
            <w:tcW w:w="416" w:type="dxa"/>
            <w:tcBorders>
              <w:top w:val="nil"/>
              <w:left w:val="nil"/>
              <w:bottom w:val="nil"/>
              <w:right w:val="nil"/>
            </w:tcBorders>
            <w:noWrap/>
            <w:vAlign w:val="center"/>
          </w:tcPr>
          <w:p w14:paraId="31CB0E7E">
            <w:pPr>
              <w:widowControl/>
              <w:jc w:val="left"/>
              <w:rPr>
                <w:rFonts w:eastAsia="仿宋_GB2312"/>
                <w:szCs w:val="20"/>
              </w:rPr>
            </w:pPr>
          </w:p>
        </w:tc>
        <w:tc>
          <w:tcPr>
            <w:tcW w:w="660" w:type="dxa"/>
            <w:tcBorders>
              <w:top w:val="nil"/>
              <w:left w:val="nil"/>
              <w:bottom w:val="nil"/>
              <w:right w:val="nil"/>
            </w:tcBorders>
            <w:noWrap/>
            <w:vAlign w:val="center"/>
          </w:tcPr>
          <w:p w14:paraId="1DEBF4E8">
            <w:pPr>
              <w:widowControl/>
              <w:jc w:val="left"/>
              <w:rPr>
                <w:rFonts w:eastAsia="仿宋_GB2312"/>
                <w:szCs w:val="20"/>
              </w:rPr>
            </w:pPr>
          </w:p>
        </w:tc>
        <w:tc>
          <w:tcPr>
            <w:tcW w:w="2881" w:type="dxa"/>
            <w:tcBorders>
              <w:top w:val="nil"/>
              <w:left w:val="nil"/>
              <w:bottom w:val="nil"/>
              <w:right w:val="nil"/>
            </w:tcBorders>
            <w:noWrap/>
            <w:vAlign w:val="center"/>
          </w:tcPr>
          <w:p w14:paraId="5C303316">
            <w:pPr>
              <w:widowControl/>
              <w:jc w:val="left"/>
              <w:rPr>
                <w:rFonts w:eastAsia="仿宋_GB2312"/>
                <w:sz w:val="18"/>
                <w:szCs w:val="18"/>
              </w:rPr>
            </w:pPr>
          </w:p>
        </w:tc>
        <w:tc>
          <w:tcPr>
            <w:tcW w:w="1386" w:type="dxa"/>
            <w:tcBorders>
              <w:top w:val="nil"/>
              <w:left w:val="nil"/>
              <w:bottom w:val="nil"/>
              <w:right w:val="nil"/>
            </w:tcBorders>
            <w:noWrap/>
            <w:vAlign w:val="center"/>
          </w:tcPr>
          <w:p w14:paraId="450D7675">
            <w:pPr>
              <w:widowControl/>
              <w:jc w:val="left"/>
              <w:rPr>
                <w:rFonts w:eastAsia="仿宋_GB2312"/>
                <w:szCs w:val="20"/>
              </w:rPr>
            </w:pPr>
          </w:p>
        </w:tc>
        <w:tc>
          <w:tcPr>
            <w:tcW w:w="448" w:type="dxa"/>
            <w:tcBorders>
              <w:top w:val="nil"/>
              <w:left w:val="nil"/>
              <w:bottom w:val="nil"/>
              <w:right w:val="nil"/>
            </w:tcBorders>
            <w:noWrap/>
            <w:vAlign w:val="center"/>
          </w:tcPr>
          <w:p w14:paraId="1FE0B961">
            <w:pPr>
              <w:widowControl/>
              <w:jc w:val="left"/>
              <w:rPr>
                <w:rFonts w:eastAsia="仿宋_GB2312"/>
                <w:szCs w:val="20"/>
              </w:rPr>
            </w:pPr>
          </w:p>
        </w:tc>
        <w:tc>
          <w:tcPr>
            <w:tcW w:w="554" w:type="dxa"/>
            <w:tcBorders>
              <w:top w:val="nil"/>
              <w:left w:val="nil"/>
              <w:bottom w:val="nil"/>
              <w:right w:val="nil"/>
            </w:tcBorders>
            <w:noWrap/>
            <w:vAlign w:val="center"/>
          </w:tcPr>
          <w:p w14:paraId="45EC6C1B">
            <w:pPr>
              <w:widowControl/>
              <w:jc w:val="left"/>
              <w:rPr>
                <w:rFonts w:eastAsia="仿宋_GB2312"/>
                <w:szCs w:val="20"/>
              </w:rPr>
            </w:pPr>
          </w:p>
        </w:tc>
        <w:tc>
          <w:tcPr>
            <w:tcW w:w="1516" w:type="dxa"/>
            <w:tcBorders>
              <w:top w:val="nil"/>
              <w:left w:val="nil"/>
              <w:bottom w:val="nil"/>
              <w:right w:val="nil"/>
            </w:tcBorders>
            <w:noWrap/>
            <w:vAlign w:val="center"/>
          </w:tcPr>
          <w:p w14:paraId="3A5D8C16">
            <w:pPr>
              <w:widowControl/>
              <w:jc w:val="left"/>
              <w:rPr>
                <w:rFonts w:eastAsia="仿宋_GB2312"/>
                <w:szCs w:val="20"/>
              </w:rPr>
            </w:pPr>
            <w:r>
              <w:rPr>
                <w:rFonts w:eastAsia="仿宋_GB2312"/>
                <w:szCs w:val="20"/>
              </w:rPr>
              <w:t>金额单位：元</w:t>
            </w:r>
          </w:p>
        </w:tc>
      </w:tr>
      <w:tr w14:paraId="01840902">
        <w:tblPrEx>
          <w:tblCellMar>
            <w:top w:w="0" w:type="dxa"/>
            <w:left w:w="108" w:type="dxa"/>
            <w:bottom w:w="0" w:type="dxa"/>
            <w:right w:w="108" w:type="dxa"/>
          </w:tblCellMar>
        </w:tblPrEx>
        <w:trPr>
          <w:trHeight w:val="270" w:hRule="atLeast"/>
        </w:trPr>
        <w:tc>
          <w:tcPr>
            <w:tcW w:w="416" w:type="dxa"/>
            <w:tcBorders>
              <w:top w:val="single" w:color="auto" w:sz="4" w:space="0"/>
              <w:left w:val="single" w:color="auto" w:sz="4" w:space="0"/>
              <w:bottom w:val="single" w:color="auto" w:sz="4" w:space="0"/>
              <w:right w:val="single" w:color="auto" w:sz="4" w:space="0"/>
            </w:tcBorders>
            <w:noWrap/>
            <w:vAlign w:val="center"/>
          </w:tcPr>
          <w:p w14:paraId="5817A73C">
            <w:pPr>
              <w:widowControl/>
              <w:jc w:val="left"/>
              <w:rPr>
                <w:rFonts w:eastAsia="仿宋_GB2312"/>
                <w:szCs w:val="20"/>
              </w:rPr>
            </w:pPr>
            <w:r>
              <w:rPr>
                <w:rFonts w:eastAsia="仿宋_GB2312"/>
                <w:szCs w:val="20"/>
              </w:rPr>
              <w:t>月</w:t>
            </w:r>
          </w:p>
        </w:tc>
        <w:tc>
          <w:tcPr>
            <w:tcW w:w="416" w:type="dxa"/>
            <w:tcBorders>
              <w:top w:val="single" w:color="auto" w:sz="4" w:space="0"/>
              <w:left w:val="nil"/>
              <w:bottom w:val="single" w:color="auto" w:sz="4" w:space="0"/>
              <w:right w:val="single" w:color="auto" w:sz="4" w:space="0"/>
            </w:tcBorders>
            <w:noWrap/>
            <w:vAlign w:val="center"/>
          </w:tcPr>
          <w:p w14:paraId="6D81F33C">
            <w:pPr>
              <w:widowControl/>
              <w:jc w:val="left"/>
              <w:rPr>
                <w:rFonts w:eastAsia="仿宋_GB2312"/>
                <w:szCs w:val="20"/>
              </w:rPr>
            </w:pPr>
            <w:r>
              <w:rPr>
                <w:rFonts w:eastAsia="仿宋_GB2312"/>
                <w:szCs w:val="20"/>
              </w:rPr>
              <w:t>日</w:t>
            </w:r>
          </w:p>
        </w:tc>
        <w:tc>
          <w:tcPr>
            <w:tcW w:w="660" w:type="dxa"/>
            <w:tcBorders>
              <w:top w:val="single" w:color="auto" w:sz="4" w:space="0"/>
              <w:left w:val="nil"/>
              <w:bottom w:val="single" w:color="auto" w:sz="4" w:space="0"/>
              <w:right w:val="single" w:color="auto" w:sz="4" w:space="0"/>
            </w:tcBorders>
            <w:noWrap/>
            <w:vAlign w:val="center"/>
          </w:tcPr>
          <w:p w14:paraId="35C93EF3">
            <w:pPr>
              <w:widowControl/>
              <w:jc w:val="left"/>
              <w:rPr>
                <w:rFonts w:eastAsia="仿宋_GB2312"/>
                <w:szCs w:val="20"/>
              </w:rPr>
            </w:pPr>
            <w:r>
              <w:rPr>
                <w:rFonts w:eastAsia="仿宋_GB2312"/>
                <w:szCs w:val="20"/>
              </w:rPr>
              <w:t>凭证号</w:t>
            </w:r>
          </w:p>
        </w:tc>
        <w:tc>
          <w:tcPr>
            <w:tcW w:w="2881" w:type="dxa"/>
            <w:tcBorders>
              <w:top w:val="single" w:color="auto" w:sz="4" w:space="0"/>
              <w:left w:val="nil"/>
              <w:bottom w:val="single" w:color="auto" w:sz="4" w:space="0"/>
              <w:right w:val="single" w:color="auto" w:sz="4" w:space="0"/>
            </w:tcBorders>
            <w:noWrap/>
            <w:vAlign w:val="center"/>
          </w:tcPr>
          <w:p w14:paraId="2C25F8F9">
            <w:pPr>
              <w:widowControl/>
              <w:jc w:val="left"/>
              <w:rPr>
                <w:rFonts w:eastAsia="仿宋_GB2312"/>
                <w:sz w:val="18"/>
                <w:szCs w:val="18"/>
              </w:rPr>
            </w:pPr>
            <w:r>
              <w:rPr>
                <w:rFonts w:eastAsia="仿宋_GB2312"/>
                <w:sz w:val="18"/>
                <w:szCs w:val="18"/>
              </w:rPr>
              <w:t>摘  要</w:t>
            </w:r>
          </w:p>
        </w:tc>
        <w:tc>
          <w:tcPr>
            <w:tcW w:w="1386" w:type="dxa"/>
            <w:tcBorders>
              <w:top w:val="single" w:color="auto" w:sz="4" w:space="0"/>
              <w:left w:val="nil"/>
              <w:bottom w:val="single" w:color="auto" w:sz="4" w:space="0"/>
              <w:right w:val="single" w:color="auto" w:sz="4" w:space="0"/>
            </w:tcBorders>
            <w:noWrap/>
            <w:vAlign w:val="center"/>
          </w:tcPr>
          <w:p w14:paraId="7993C5CC">
            <w:pPr>
              <w:widowControl/>
              <w:jc w:val="left"/>
              <w:rPr>
                <w:rFonts w:eastAsia="仿宋_GB2312"/>
                <w:szCs w:val="20"/>
              </w:rPr>
            </w:pPr>
            <w:r>
              <w:rPr>
                <w:rFonts w:eastAsia="仿宋_GB2312"/>
                <w:szCs w:val="20"/>
              </w:rPr>
              <w:t>借  方</w:t>
            </w:r>
          </w:p>
        </w:tc>
        <w:tc>
          <w:tcPr>
            <w:tcW w:w="448" w:type="dxa"/>
            <w:tcBorders>
              <w:top w:val="single" w:color="auto" w:sz="4" w:space="0"/>
              <w:left w:val="nil"/>
              <w:bottom w:val="single" w:color="auto" w:sz="4" w:space="0"/>
              <w:right w:val="single" w:color="auto" w:sz="4" w:space="0"/>
            </w:tcBorders>
            <w:noWrap/>
            <w:vAlign w:val="center"/>
          </w:tcPr>
          <w:p w14:paraId="0B3E89B4">
            <w:pPr>
              <w:widowControl/>
              <w:jc w:val="left"/>
              <w:rPr>
                <w:rFonts w:eastAsia="仿宋_GB2312"/>
                <w:szCs w:val="20"/>
              </w:rPr>
            </w:pPr>
            <w:r>
              <w:rPr>
                <w:rFonts w:eastAsia="仿宋_GB2312"/>
                <w:szCs w:val="20"/>
              </w:rPr>
              <w:t>贷方</w:t>
            </w:r>
          </w:p>
        </w:tc>
        <w:tc>
          <w:tcPr>
            <w:tcW w:w="554" w:type="dxa"/>
            <w:tcBorders>
              <w:top w:val="single" w:color="auto" w:sz="4" w:space="0"/>
              <w:left w:val="nil"/>
              <w:bottom w:val="single" w:color="auto" w:sz="4" w:space="0"/>
              <w:right w:val="single" w:color="auto" w:sz="4" w:space="0"/>
            </w:tcBorders>
            <w:noWrap/>
            <w:vAlign w:val="center"/>
          </w:tcPr>
          <w:p w14:paraId="2FA1BA53">
            <w:pPr>
              <w:widowControl/>
              <w:jc w:val="left"/>
              <w:rPr>
                <w:rFonts w:eastAsia="仿宋_GB2312"/>
                <w:szCs w:val="20"/>
              </w:rPr>
            </w:pPr>
            <w:r>
              <w:rPr>
                <w:rFonts w:eastAsia="仿宋_GB2312"/>
                <w:szCs w:val="20"/>
              </w:rPr>
              <w:t>借/贷</w:t>
            </w:r>
          </w:p>
        </w:tc>
        <w:tc>
          <w:tcPr>
            <w:tcW w:w="1516" w:type="dxa"/>
            <w:tcBorders>
              <w:top w:val="single" w:color="auto" w:sz="4" w:space="0"/>
              <w:left w:val="nil"/>
              <w:bottom w:val="single" w:color="auto" w:sz="4" w:space="0"/>
              <w:right w:val="single" w:color="auto" w:sz="4" w:space="0"/>
            </w:tcBorders>
            <w:noWrap/>
            <w:vAlign w:val="center"/>
          </w:tcPr>
          <w:p w14:paraId="6EA312DC">
            <w:pPr>
              <w:widowControl/>
              <w:jc w:val="left"/>
              <w:rPr>
                <w:rFonts w:eastAsia="仿宋_GB2312"/>
                <w:szCs w:val="20"/>
              </w:rPr>
            </w:pPr>
            <w:r>
              <w:rPr>
                <w:rFonts w:eastAsia="仿宋_GB2312"/>
                <w:szCs w:val="20"/>
              </w:rPr>
              <w:t>余  额</w:t>
            </w:r>
          </w:p>
        </w:tc>
      </w:tr>
      <w:tr w14:paraId="7E8448F9">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6421153">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67F132E5">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0F8510CD">
            <w:pPr>
              <w:widowControl/>
              <w:jc w:val="left"/>
              <w:rPr>
                <w:rFonts w:eastAsia="仿宋_GB2312"/>
                <w:szCs w:val="20"/>
              </w:rPr>
            </w:pPr>
            <w:r>
              <w:rPr>
                <w:rFonts w:eastAsia="仿宋_GB2312"/>
                <w:szCs w:val="20"/>
              </w:rPr>
              <w:t>0009</w:t>
            </w:r>
          </w:p>
        </w:tc>
        <w:tc>
          <w:tcPr>
            <w:tcW w:w="2881" w:type="dxa"/>
            <w:tcBorders>
              <w:top w:val="nil"/>
              <w:left w:val="nil"/>
              <w:bottom w:val="single" w:color="auto" w:sz="4" w:space="0"/>
              <w:right w:val="single" w:color="auto" w:sz="4" w:space="0"/>
            </w:tcBorders>
            <w:noWrap/>
            <w:vAlign w:val="center"/>
          </w:tcPr>
          <w:p w14:paraId="54A87F67">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3CF13DC8">
            <w:pPr>
              <w:widowControl/>
              <w:jc w:val="right"/>
              <w:rPr>
                <w:rFonts w:eastAsia="仿宋_GB2312"/>
                <w:szCs w:val="20"/>
              </w:rPr>
            </w:pPr>
            <w:r>
              <w:rPr>
                <w:rFonts w:eastAsia="仿宋_GB2312"/>
                <w:szCs w:val="20"/>
              </w:rPr>
              <w:t>240,366.67</w:t>
            </w:r>
          </w:p>
        </w:tc>
        <w:tc>
          <w:tcPr>
            <w:tcW w:w="448" w:type="dxa"/>
            <w:tcBorders>
              <w:top w:val="nil"/>
              <w:left w:val="nil"/>
              <w:bottom w:val="single" w:color="auto" w:sz="4" w:space="0"/>
              <w:right w:val="single" w:color="auto" w:sz="4" w:space="0"/>
            </w:tcBorders>
            <w:noWrap/>
            <w:vAlign w:val="center"/>
          </w:tcPr>
          <w:p w14:paraId="22969FB2">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337E307">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F3E2183">
            <w:pPr>
              <w:widowControl/>
              <w:jc w:val="right"/>
              <w:rPr>
                <w:rFonts w:eastAsia="仿宋_GB2312"/>
                <w:szCs w:val="20"/>
              </w:rPr>
            </w:pPr>
            <w:r>
              <w:rPr>
                <w:rFonts w:eastAsia="仿宋_GB2312"/>
                <w:szCs w:val="20"/>
              </w:rPr>
              <w:t>0</w:t>
            </w:r>
          </w:p>
        </w:tc>
      </w:tr>
      <w:tr w14:paraId="0A10BD6E">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A0045A1">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0200D39F">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0105E198">
            <w:pPr>
              <w:widowControl/>
              <w:jc w:val="left"/>
              <w:rPr>
                <w:rFonts w:eastAsia="仿宋_GB2312"/>
                <w:szCs w:val="20"/>
              </w:rPr>
            </w:pPr>
            <w:r>
              <w:rPr>
                <w:rFonts w:eastAsia="仿宋_GB2312"/>
                <w:szCs w:val="20"/>
              </w:rPr>
              <w:t>0009</w:t>
            </w:r>
          </w:p>
        </w:tc>
        <w:tc>
          <w:tcPr>
            <w:tcW w:w="2881" w:type="dxa"/>
            <w:tcBorders>
              <w:top w:val="nil"/>
              <w:left w:val="nil"/>
              <w:bottom w:val="single" w:color="auto" w:sz="4" w:space="0"/>
              <w:right w:val="single" w:color="auto" w:sz="4" w:space="0"/>
            </w:tcBorders>
            <w:noWrap/>
            <w:vAlign w:val="center"/>
          </w:tcPr>
          <w:p w14:paraId="4047755B">
            <w:pPr>
              <w:widowControl/>
              <w:jc w:val="left"/>
              <w:rPr>
                <w:rFonts w:eastAsia="仿宋_GB2312"/>
                <w:sz w:val="18"/>
                <w:szCs w:val="18"/>
              </w:rPr>
            </w:pPr>
            <w:r>
              <w:rPr>
                <w:rFonts w:eastAsia="仿宋_GB2312"/>
                <w:sz w:val="18"/>
                <w:szCs w:val="18"/>
              </w:rPr>
              <w:t>转付高建公司清扫人员保险费</w:t>
            </w:r>
          </w:p>
        </w:tc>
        <w:tc>
          <w:tcPr>
            <w:tcW w:w="1386" w:type="dxa"/>
            <w:tcBorders>
              <w:top w:val="nil"/>
              <w:left w:val="nil"/>
              <w:bottom w:val="single" w:color="auto" w:sz="4" w:space="0"/>
              <w:right w:val="single" w:color="auto" w:sz="4" w:space="0"/>
            </w:tcBorders>
            <w:noWrap/>
            <w:vAlign w:val="center"/>
          </w:tcPr>
          <w:p w14:paraId="49AD1512">
            <w:pPr>
              <w:widowControl/>
              <w:jc w:val="right"/>
              <w:rPr>
                <w:rFonts w:eastAsia="仿宋_GB2312"/>
                <w:szCs w:val="20"/>
              </w:rPr>
            </w:pPr>
            <w:r>
              <w:rPr>
                <w:rFonts w:eastAsia="仿宋_GB2312"/>
                <w:szCs w:val="20"/>
              </w:rPr>
              <w:t>66,744.32</w:t>
            </w:r>
          </w:p>
        </w:tc>
        <w:tc>
          <w:tcPr>
            <w:tcW w:w="448" w:type="dxa"/>
            <w:tcBorders>
              <w:top w:val="nil"/>
              <w:left w:val="nil"/>
              <w:bottom w:val="single" w:color="auto" w:sz="4" w:space="0"/>
              <w:right w:val="single" w:color="auto" w:sz="4" w:space="0"/>
            </w:tcBorders>
            <w:noWrap/>
            <w:vAlign w:val="center"/>
          </w:tcPr>
          <w:p w14:paraId="583211B6">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970184E">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15138A2">
            <w:pPr>
              <w:widowControl/>
              <w:jc w:val="right"/>
              <w:rPr>
                <w:rFonts w:eastAsia="仿宋_GB2312"/>
                <w:szCs w:val="20"/>
              </w:rPr>
            </w:pPr>
            <w:r>
              <w:rPr>
                <w:rFonts w:eastAsia="仿宋_GB2312"/>
                <w:szCs w:val="20"/>
              </w:rPr>
              <w:t>0</w:t>
            </w:r>
          </w:p>
        </w:tc>
      </w:tr>
      <w:tr w14:paraId="2615ECA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A849C07">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31C95675">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1499B002">
            <w:pPr>
              <w:widowControl/>
              <w:jc w:val="left"/>
              <w:rPr>
                <w:rFonts w:eastAsia="仿宋_GB2312"/>
                <w:szCs w:val="20"/>
              </w:rPr>
            </w:pPr>
            <w:r>
              <w:rPr>
                <w:rFonts w:eastAsia="仿宋_GB2312"/>
                <w:szCs w:val="20"/>
              </w:rPr>
              <w:t>0010</w:t>
            </w:r>
          </w:p>
        </w:tc>
        <w:tc>
          <w:tcPr>
            <w:tcW w:w="2881" w:type="dxa"/>
            <w:tcBorders>
              <w:top w:val="nil"/>
              <w:left w:val="nil"/>
              <w:bottom w:val="single" w:color="auto" w:sz="4" w:space="0"/>
              <w:right w:val="single" w:color="auto" w:sz="4" w:space="0"/>
            </w:tcBorders>
            <w:noWrap/>
            <w:vAlign w:val="center"/>
          </w:tcPr>
          <w:p w14:paraId="5C85097E">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05A97655">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5307355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98D97A1">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15F5C9B">
            <w:pPr>
              <w:widowControl/>
              <w:jc w:val="right"/>
              <w:rPr>
                <w:rFonts w:eastAsia="仿宋_GB2312"/>
                <w:szCs w:val="20"/>
              </w:rPr>
            </w:pPr>
            <w:r>
              <w:rPr>
                <w:rFonts w:eastAsia="仿宋_GB2312"/>
                <w:szCs w:val="20"/>
              </w:rPr>
              <w:t>0</w:t>
            </w:r>
          </w:p>
        </w:tc>
      </w:tr>
      <w:tr w14:paraId="72B50EE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FA23EA8">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32BD0F97">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7D1ADCFE">
            <w:pPr>
              <w:widowControl/>
              <w:jc w:val="left"/>
              <w:rPr>
                <w:rFonts w:eastAsia="仿宋_GB2312"/>
                <w:szCs w:val="20"/>
              </w:rPr>
            </w:pPr>
            <w:r>
              <w:rPr>
                <w:rFonts w:eastAsia="仿宋_GB2312"/>
                <w:szCs w:val="20"/>
              </w:rPr>
              <w:t>0010</w:t>
            </w:r>
          </w:p>
        </w:tc>
        <w:tc>
          <w:tcPr>
            <w:tcW w:w="2881" w:type="dxa"/>
            <w:tcBorders>
              <w:top w:val="nil"/>
              <w:left w:val="nil"/>
              <w:bottom w:val="single" w:color="auto" w:sz="4" w:space="0"/>
              <w:right w:val="single" w:color="auto" w:sz="4" w:space="0"/>
            </w:tcBorders>
            <w:noWrap/>
            <w:vAlign w:val="center"/>
          </w:tcPr>
          <w:p w14:paraId="4155C935">
            <w:pPr>
              <w:widowControl/>
              <w:jc w:val="left"/>
              <w:rPr>
                <w:rFonts w:eastAsia="仿宋_GB2312"/>
                <w:sz w:val="18"/>
                <w:szCs w:val="18"/>
              </w:rPr>
            </w:pPr>
            <w:r>
              <w:rPr>
                <w:rFonts w:eastAsia="仿宋_GB2312"/>
                <w:sz w:val="18"/>
                <w:szCs w:val="18"/>
              </w:rPr>
              <w:t>转付和佳公司清扫人员保险费</w:t>
            </w:r>
          </w:p>
        </w:tc>
        <w:tc>
          <w:tcPr>
            <w:tcW w:w="1386" w:type="dxa"/>
            <w:tcBorders>
              <w:top w:val="nil"/>
              <w:left w:val="nil"/>
              <w:bottom w:val="single" w:color="auto" w:sz="4" w:space="0"/>
              <w:right w:val="single" w:color="auto" w:sz="4" w:space="0"/>
            </w:tcBorders>
            <w:noWrap/>
            <w:vAlign w:val="center"/>
          </w:tcPr>
          <w:p w14:paraId="0811630C">
            <w:pPr>
              <w:widowControl/>
              <w:jc w:val="right"/>
              <w:rPr>
                <w:rFonts w:eastAsia="仿宋_GB2312"/>
                <w:szCs w:val="20"/>
              </w:rPr>
            </w:pPr>
            <w:r>
              <w:rPr>
                <w:rFonts w:eastAsia="仿宋_GB2312"/>
                <w:szCs w:val="20"/>
              </w:rPr>
              <w:t>65,905.42</w:t>
            </w:r>
          </w:p>
        </w:tc>
        <w:tc>
          <w:tcPr>
            <w:tcW w:w="448" w:type="dxa"/>
            <w:tcBorders>
              <w:top w:val="nil"/>
              <w:left w:val="nil"/>
              <w:bottom w:val="single" w:color="auto" w:sz="4" w:space="0"/>
              <w:right w:val="single" w:color="auto" w:sz="4" w:space="0"/>
            </w:tcBorders>
            <w:noWrap/>
            <w:vAlign w:val="center"/>
          </w:tcPr>
          <w:p w14:paraId="50A6BF0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6369B8C">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0D0E300">
            <w:pPr>
              <w:widowControl/>
              <w:jc w:val="right"/>
              <w:rPr>
                <w:rFonts w:eastAsia="仿宋_GB2312"/>
                <w:szCs w:val="20"/>
              </w:rPr>
            </w:pPr>
            <w:r>
              <w:rPr>
                <w:rFonts w:eastAsia="仿宋_GB2312"/>
                <w:szCs w:val="20"/>
              </w:rPr>
              <w:t>0</w:t>
            </w:r>
          </w:p>
        </w:tc>
      </w:tr>
      <w:tr w14:paraId="564D685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DB16C56">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7E6B099C">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5D1FDC40">
            <w:pPr>
              <w:widowControl/>
              <w:jc w:val="left"/>
              <w:rPr>
                <w:rFonts w:eastAsia="仿宋_GB2312"/>
                <w:szCs w:val="20"/>
              </w:rPr>
            </w:pPr>
            <w:r>
              <w:rPr>
                <w:rFonts w:eastAsia="仿宋_GB2312"/>
                <w:szCs w:val="20"/>
              </w:rPr>
              <w:t>0011</w:t>
            </w:r>
          </w:p>
        </w:tc>
        <w:tc>
          <w:tcPr>
            <w:tcW w:w="2881" w:type="dxa"/>
            <w:tcBorders>
              <w:top w:val="nil"/>
              <w:left w:val="nil"/>
              <w:bottom w:val="single" w:color="auto" w:sz="4" w:space="0"/>
              <w:right w:val="single" w:color="auto" w:sz="4" w:space="0"/>
            </w:tcBorders>
            <w:noWrap/>
            <w:vAlign w:val="center"/>
          </w:tcPr>
          <w:p w14:paraId="1CEADDDD">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4B2731B9">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7198541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8381301">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1F73F46">
            <w:pPr>
              <w:widowControl/>
              <w:jc w:val="right"/>
              <w:rPr>
                <w:rFonts w:eastAsia="仿宋_GB2312"/>
                <w:szCs w:val="20"/>
              </w:rPr>
            </w:pPr>
            <w:r>
              <w:rPr>
                <w:rFonts w:eastAsia="仿宋_GB2312"/>
                <w:szCs w:val="20"/>
              </w:rPr>
              <w:t>0</w:t>
            </w:r>
          </w:p>
        </w:tc>
      </w:tr>
      <w:tr w14:paraId="792C36FA">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141403A">
            <w:pPr>
              <w:widowControl/>
              <w:jc w:val="left"/>
              <w:rPr>
                <w:rFonts w:eastAsia="仿宋_GB2312"/>
                <w:szCs w:val="20"/>
              </w:rPr>
            </w:pPr>
            <w:r>
              <w:rPr>
                <w:rFonts w:eastAsia="仿宋_GB2312"/>
                <w:szCs w:val="20"/>
              </w:rPr>
              <w:t>02</w:t>
            </w:r>
          </w:p>
        </w:tc>
        <w:tc>
          <w:tcPr>
            <w:tcW w:w="416" w:type="dxa"/>
            <w:tcBorders>
              <w:top w:val="nil"/>
              <w:left w:val="nil"/>
              <w:bottom w:val="single" w:color="auto" w:sz="4" w:space="0"/>
              <w:right w:val="single" w:color="auto" w:sz="4" w:space="0"/>
            </w:tcBorders>
            <w:noWrap/>
            <w:vAlign w:val="center"/>
          </w:tcPr>
          <w:p w14:paraId="73E0A251">
            <w:pPr>
              <w:widowControl/>
              <w:jc w:val="left"/>
              <w:rPr>
                <w:rFonts w:eastAsia="仿宋_GB2312"/>
                <w:szCs w:val="20"/>
              </w:rPr>
            </w:pPr>
            <w:r>
              <w:rPr>
                <w:rFonts w:eastAsia="仿宋_GB2312"/>
                <w:szCs w:val="20"/>
              </w:rPr>
              <w:t>06</w:t>
            </w:r>
          </w:p>
        </w:tc>
        <w:tc>
          <w:tcPr>
            <w:tcW w:w="660" w:type="dxa"/>
            <w:tcBorders>
              <w:top w:val="nil"/>
              <w:left w:val="nil"/>
              <w:bottom w:val="single" w:color="auto" w:sz="4" w:space="0"/>
              <w:right w:val="single" w:color="auto" w:sz="4" w:space="0"/>
            </w:tcBorders>
            <w:noWrap/>
            <w:vAlign w:val="center"/>
          </w:tcPr>
          <w:p w14:paraId="6B7C350B">
            <w:pPr>
              <w:widowControl/>
              <w:jc w:val="left"/>
              <w:rPr>
                <w:rFonts w:eastAsia="仿宋_GB2312"/>
                <w:szCs w:val="20"/>
              </w:rPr>
            </w:pPr>
            <w:r>
              <w:rPr>
                <w:rFonts w:eastAsia="仿宋_GB2312"/>
                <w:szCs w:val="20"/>
              </w:rPr>
              <w:t>0011</w:t>
            </w:r>
          </w:p>
        </w:tc>
        <w:tc>
          <w:tcPr>
            <w:tcW w:w="2881" w:type="dxa"/>
            <w:tcBorders>
              <w:top w:val="nil"/>
              <w:left w:val="nil"/>
              <w:bottom w:val="single" w:color="auto" w:sz="4" w:space="0"/>
              <w:right w:val="single" w:color="auto" w:sz="4" w:space="0"/>
            </w:tcBorders>
            <w:noWrap/>
            <w:vAlign w:val="center"/>
          </w:tcPr>
          <w:p w14:paraId="28691687">
            <w:pPr>
              <w:widowControl/>
              <w:jc w:val="left"/>
              <w:rPr>
                <w:rFonts w:eastAsia="仿宋_GB2312"/>
                <w:sz w:val="18"/>
                <w:szCs w:val="18"/>
              </w:rPr>
            </w:pPr>
            <w:r>
              <w:rPr>
                <w:rFonts w:eastAsia="仿宋_GB2312"/>
                <w:sz w:val="18"/>
                <w:szCs w:val="18"/>
              </w:rPr>
              <w:t>转付黄大姐公司清扫人员保险费</w:t>
            </w:r>
          </w:p>
        </w:tc>
        <w:tc>
          <w:tcPr>
            <w:tcW w:w="1386" w:type="dxa"/>
            <w:tcBorders>
              <w:top w:val="nil"/>
              <w:left w:val="nil"/>
              <w:bottom w:val="single" w:color="auto" w:sz="4" w:space="0"/>
              <w:right w:val="single" w:color="auto" w:sz="4" w:space="0"/>
            </w:tcBorders>
            <w:noWrap/>
            <w:vAlign w:val="center"/>
          </w:tcPr>
          <w:p w14:paraId="2F7536F2">
            <w:pPr>
              <w:widowControl/>
              <w:jc w:val="right"/>
              <w:rPr>
                <w:rFonts w:eastAsia="仿宋_GB2312"/>
                <w:szCs w:val="20"/>
              </w:rPr>
            </w:pPr>
            <w:r>
              <w:rPr>
                <w:rFonts w:eastAsia="仿宋_GB2312"/>
                <w:szCs w:val="20"/>
              </w:rPr>
              <w:t>94,951.20</w:t>
            </w:r>
          </w:p>
        </w:tc>
        <w:tc>
          <w:tcPr>
            <w:tcW w:w="448" w:type="dxa"/>
            <w:tcBorders>
              <w:top w:val="nil"/>
              <w:left w:val="nil"/>
              <w:bottom w:val="single" w:color="auto" w:sz="4" w:space="0"/>
              <w:right w:val="single" w:color="auto" w:sz="4" w:space="0"/>
            </w:tcBorders>
            <w:noWrap/>
            <w:vAlign w:val="center"/>
          </w:tcPr>
          <w:p w14:paraId="0F2EC69E">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045D223">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21F92552">
            <w:pPr>
              <w:widowControl/>
              <w:jc w:val="right"/>
              <w:rPr>
                <w:rFonts w:eastAsia="仿宋_GB2312"/>
                <w:szCs w:val="20"/>
              </w:rPr>
            </w:pPr>
            <w:r>
              <w:rPr>
                <w:rFonts w:eastAsia="仿宋_GB2312"/>
                <w:szCs w:val="20"/>
              </w:rPr>
              <w:t>957,744.77</w:t>
            </w:r>
          </w:p>
        </w:tc>
      </w:tr>
      <w:tr w14:paraId="6A0089FB">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CD035D9">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6C00141B">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7D47782E">
            <w:pPr>
              <w:widowControl/>
              <w:jc w:val="left"/>
              <w:rPr>
                <w:rFonts w:eastAsia="仿宋_GB2312"/>
                <w:szCs w:val="20"/>
              </w:rPr>
            </w:pPr>
            <w:r>
              <w:rPr>
                <w:rFonts w:eastAsia="仿宋_GB2312"/>
                <w:szCs w:val="20"/>
              </w:rPr>
              <w:t>0015</w:t>
            </w:r>
          </w:p>
        </w:tc>
        <w:tc>
          <w:tcPr>
            <w:tcW w:w="2881" w:type="dxa"/>
            <w:tcBorders>
              <w:top w:val="nil"/>
              <w:left w:val="nil"/>
              <w:bottom w:val="single" w:color="auto" w:sz="4" w:space="0"/>
              <w:right w:val="single" w:color="auto" w:sz="4" w:space="0"/>
            </w:tcBorders>
            <w:noWrap/>
            <w:vAlign w:val="center"/>
          </w:tcPr>
          <w:p w14:paraId="4F6CFD3B">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30E2E2E9">
            <w:pPr>
              <w:widowControl/>
              <w:jc w:val="right"/>
              <w:rPr>
                <w:rFonts w:eastAsia="仿宋_GB2312"/>
                <w:szCs w:val="20"/>
              </w:rPr>
            </w:pPr>
            <w:r>
              <w:rPr>
                <w:rFonts w:eastAsia="仿宋_GB2312"/>
                <w:szCs w:val="20"/>
              </w:rPr>
              <w:t>242,291.67</w:t>
            </w:r>
          </w:p>
        </w:tc>
        <w:tc>
          <w:tcPr>
            <w:tcW w:w="448" w:type="dxa"/>
            <w:tcBorders>
              <w:top w:val="nil"/>
              <w:left w:val="nil"/>
              <w:bottom w:val="single" w:color="auto" w:sz="4" w:space="0"/>
              <w:right w:val="single" w:color="auto" w:sz="4" w:space="0"/>
            </w:tcBorders>
            <w:noWrap/>
            <w:vAlign w:val="center"/>
          </w:tcPr>
          <w:p w14:paraId="622CED6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4784E3D">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E8B4DC6">
            <w:pPr>
              <w:widowControl/>
              <w:jc w:val="right"/>
              <w:rPr>
                <w:rFonts w:eastAsia="仿宋_GB2312"/>
                <w:szCs w:val="20"/>
              </w:rPr>
            </w:pPr>
            <w:r>
              <w:rPr>
                <w:rFonts w:eastAsia="仿宋_GB2312"/>
                <w:szCs w:val="20"/>
              </w:rPr>
              <w:t>0</w:t>
            </w:r>
          </w:p>
        </w:tc>
      </w:tr>
      <w:tr w14:paraId="1DCB5551">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1CF0911">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705FBC4D">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6124F1C7">
            <w:pPr>
              <w:widowControl/>
              <w:jc w:val="left"/>
              <w:rPr>
                <w:rFonts w:eastAsia="仿宋_GB2312"/>
                <w:szCs w:val="20"/>
              </w:rPr>
            </w:pPr>
            <w:r>
              <w:rPr>
                <w:rFonts w:eastAsia="仿宋_GB2312"/>
                <w:szCs w:val="20"/>
              </w:rPr>
              <w:t>0015</w:t>
            </w:r>
          </w:p>
        </w:tc>
        <w:tc>
          <w:tcPr>
            <w:tcW w:w="2881" w:type="dxa"/>
            <w:tcBorders>
              <w:top w:val="nil"/>
              <w:left w:val="nil"/>
              <w:bottom w:val="single" w:color="auto" w:sz="4" w:space="0"/>
              <w:right w:val="single" w:color="auto" w:sz="4" w:space="0"/>
            </w:tcBorders>
            <w:noWrap/>
            <w:vAlign w:val="center"/>
          </w:tcPr>
          <w:p w14:paraId="6AF2779C">
            <w:pPr>
              <w:widowControl/>
              <w:jc w:val="left"/>
              <w:rPr>
                <w:rFonts w:eastAsia="仿宋_GB2312"/>
                <w:sz w:val="18"/>
                <w:szCs w:val="18"/>
              </w:rPr>
            </w:pPr>
            <w:r>
              <w:rPr>
                <w:rFonts w:eastAsia="仿宋_GB2312"/>
                <w:sz w:val="18"/>
                <w:szCs w:val="18"/>
              </w:rPr>
              <w:t>转付高建公司清扫人员保险费</w:t>
            </w:r>
          </w:p>
        </w:tc>
        <w:tc>
          <w:tcPr>
            <w:tcW w:w="1386" w:type="dxa"/>
            <w:tcBorders>
              <w:top w:val="nil"/>
              <w:left w:val="nil"/>
              <w:bottom w:val="single" w:color="auto" w:sz="4" w:space="0"/>
              <w:right w:val="single" w:color="auto" w:sz="4" w:space="0"/>
            </w:tcBorders>
            <w:noWrap/>
            <w:vAlign w:val="center"/>
          </w:tcPr>
          <w:p w14:paraId="3ADAB14B">
            <w:pPr>
              <w:widowControl/>
              <w:jc w:val="right"/>
              <w:rPr>
                <w:rFonts w:eastAsia="仿宋_GB2312"/>
                <w:szCs w:val="20"/>
              </w:rPr>
            </w:pPr>
            <w:r>
              <w:rPr>
                <w:rFonts w:eastAsia="仿宋_GB2312"/>
                <w:szCs w:val="20"/>
              </w:rPr>
              <w:t>66,744.32</w:t>
            </w:r>
          </w:p>
        </w:tc>
        <w:tc>
          <w:tcPr>
            <w:tcW w:w="448" w:type="dxa"/>
            <w:tcBorders>
              <w:top w:val="nil"/>
              <w:left w:val="nil"/>
              <w:bottom w:val="single" w:color="auto" w:sz="4" w:space="0"/>
              <w:right w:val="single" w:color="auto" w:sz="4" w:space="0"/>
            </w:tcBorders>
            <w:noWrap/>
            <w:vAlign w:val="center"/>
          </w:tcPr>
          <w:p w14:paraId="21459E9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8A4FCAE">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6205A6F">
            <w:pPr>
              <w:widowControl/>
              <w:jc w:val="right"/>
              <w:rPr>
                <w:rFonts w:eastAsia="仿宋_GB2312"/>
                <w:szCs w:val="20"/>
              </w:rPr>
            </w:pPr>
            <w:r>
              <w:rPr>
                <w:rFonts w:eastAsia="仿宋_GB2312"/>
                <w:szCs w:val="20"/>
              </w:rPr>
              <w:t>0</w:t>
            </w:r>
          </w:p>
        </w:tc>
      </w:tr>
      <w:tr w14:paraId="3874A1D1">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892B009">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7B6BCF3C">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2553369F">
            <w:pPr>
              <w:widowControl/>
              <w:jc w:val="left"/>
              <w:rPr>
                <w:rFonts w:eastAsia="仿宋_GB2312"/>
                <w:szCs w:val="20"/>
              </w:rPr>
            </w:pPr>
            <w:r>
              <w:rPr>
                <w:rFonts w:eastAsia="仿宋_GB2312"/>
                <w:szCs w:val="20"/>
              </w:rPr>
              <w:t>0016</w:t>
            </w:r>
          </w:p>
        </w:tc>
        <w:tc>
          <w:tcPr>
            <w:tcW w:w="2881" w:type="dxa"/>
            <w:tcBorders>
              <w:top w:val="nil"/>
              <w:left w:val="nil"/>
              <w:bottom w:val="single" w:color="auto" w:sz="4" w:space="0"/>
              <w:right w:val="single" w:color="auto" w:sz="4" w:space="0"/>
            </w:tcBorders>
            <w:noWrap/>
            <w:vAlign w:val="center"/>
          </w:tcPr>
          <w:p w14:paraId="6BBBDD74">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3C3F5925">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13684D16">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BC9584F">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57EC6D2">
            <w:pPr>
              <w:widowControl/>
              <w:jc w:val="right"/>
              <w:rPr>
                <w:rFonts w:eastAsia="仿宋_GB2312"/>
                <w:szCs w:val="20"/>
              </w:rPr>
            </w:pPr>
            <w:r>
              <w:rPr>
                <w:rFonts w:eastAsia="仿宋_GB2312"/>
                <w:szCs w:val="20"/>
              </w:rPr>
              <w:t>0</w:t>
            </w:r>
          </w:p>
        </w:tc>
      </w:tr>
      <w:tr w14:paraId="7CA5DE5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769C4544">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36797679">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0EE30953">
            <w:pPr>
              <w:widowControl/>
              <w:jc w:val="left"/>
              <w:rPr>
                <w:rFonts w:eastAsia="仿宋_GB2312"/>
                <w:szCs w:val="20"/>
              </w:rPr>
            </w:pPr>
            <w:r>
              <w:rPr>
                <w:rFonts w:eastAsia="仿宋_GB2312"/>
                <w:szCs w:val="20"/>
              </w:rPr>
              <w:t>0016</w:t>
            </w:r>
          </w:p>
        </w:tc>
        <w:tc>
          <w:tcPr>
            <w:tcW w:w="2881" w:type="dxa"/>
            <w:tcBorders>
              <w:top w:val="nil"/>
              <w:left w:val="nil"/>
              <w:bottom w:val="single" w:color="auto" w:sz="4" w:space="0"/>
              <w:right w:val="single" w:color="auto" w:sz="4" w:space="0"/>
            </w:tcBorders>
            <w:noWrap/>
            <w:vAlign w:val="center"/>
          </w:tcPr>
          <w:p w14:paraId="13E9C37E">
            <w:pPr>
              <w:widowControl/>
              <w:jc w:val="left"/>
              <w:rPr>
                <w:rFonts w:eastAsia="仿宋_GB2312"/>
                <w:sz w:val="18"/>
                <w:szCs w:val="18"/>
              </w:rPr>
            </w:pPr>
            <w:r>
              <w:rPr>
                <w:rFonts w:eastAsia="仿宋_GB2312"/>
                <w:sz w:val="18"/>
                <w:szCs w:val="18"/>
              </w:rPr>
              <w:t>转付黄大姐公司清扫人员保险费</w:t>
            </w:r>
          </w:p>
        </w:tc>
        <w:tc>
          <w:tcPr>
            <w:tcW w:w="1386" w:type="dxa"/>
            <w:tcBorders>
              <w:top w:val="nil"/>
              <w:left w:val="nil"/>
              <w:bottom w:val="single" w:color="auto" w:sz="4" w:space="0"/>
              <w:right w:val="single" w:color="auto" w:sz="4" w:space="0"/>
            </w:tcBorders>
            <w:noWrap/>
            <w:vAlign w:val="center"/>
          </w:tcPr>
          <w:p w14:paraId="52E267B2">
            <w:pPr>
              <w:widowControl/>
              <w:jc w:val="right"/>
              <w:rPr>
                <w:rFonts w:eastAsia="仿宋_GB2312"/>
                <w:szCs w:val="20"/>
              </w:rPr>
            </w:pPr>
            <w:r>
              <w:rPr>
                <w:rFonts w:eastAsia="仿宋_GB2312"/>
                <w:szCs w:val="20"/>
              </w:rPr>
              <w:t>91,743.60</w:t>
            </w:r>
          </w:p>
        </w:tc>
        <w:tc>
          <w:tcPr>
            <w:tcW w:w="448" w:type="dxa"/>
            <w:tcBorders>
              <w:top w:val="nil"/>
              <w:left w:val="nil"/>
              <w:bottom w:val="single" w:color="auto" w:sz="4" w:space="0"/>
              <w:right w:val="single" w:color="auto" w:sz="4" w:space="0"/>
            </w:tcBorders>
            <w:noWrap/>
            <w:vAlign w:val="center"/>
          </w:tcPr>
          <w:p w14:paraId="13C74B4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7AA0158">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E211FD9">
            <w:pPr>
              <w:widowControl/>
              <w:jc w:val="right"/>
              <w:rPr>
                <w:rFonts w:eastAsia="仿宋_GB2312"/>
                <w:szCs w:val="20"/>
              </w:rPr>
            </w:pPr>
            <w:r>
              <w:rPr>
                <w:rFonts w:eastAsia="仿宋_GB2312"/>
                <w:szCs w:val="20"/>
              </w:rPr>
              <w:t>0</w:t>
            </w:r>
          </w:p>
        </w:tc>
      </w:tr>
      <w:tr w14:paraId="096F41C6">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8999A91">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45D633BF">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58846201">
            <w:pPr>
              <w:widowControl/>
              <w:jc w:val="left"/>
              <w:rPr>
                <w:rFonts w:eastAsia="仿宋_GB2312"/>
                <w:szCs w:val="20"/>
              </w:rPr>
            </w:pPr>
            <w:r>
              <w:rPr>
                <w:rFonts w:eastAsia="仿宋_GB2312"/>
                <w:szCs w:val="20"/>
              </w:rPr>
              <w:t>0017</w:t>
            </w:r>
          </w:p>
        </w:tc>
        <w:tc>
          <w:tcPr>
            <w:tcW w:w="2881" w:type="dxa"/>
            <w:tcBorders>
              <w:top w:val="nil"/>
              <w:left w:val="nil"/>
              <w:bottom w:val="single" w:color="auto" w:sz="4" w:space="0"/>
              <w:right w:val="single" w:color="auto" w:sz="4" w:space="0"/>
            </w:tcBorders>
            <w:noWrap/>
            <w:vAlign w:val="center"/>
          </w:tcPr>
          <w:p w14:paraId="1CB26C39">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7A130817">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4E91FFE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06B116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BF270F1">
            <w:pPr>
              <w:widowControl/>
              <w:jc w:val="right"/>
              <w:rPr>
                <w:rFonts w:eastAsia="仿宋_GB2312"/>
                <w:szCs w:val="20"/>
              </w:rPr>
            </w:pPr>
            <w:r>
              <w:rPr>
                <w:rFonts w:eastAsia="仿宋_GB2312"/>
                <w:szCs w:val="20"/>
              </w:rPr>
              <w:t>0</w:t>
            </w:r>
          </w:p>
        </w:tc>
      </w:tr>
      <w:tr w14:paraId="6DF220D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07EC8B8">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7DA7632D">
            <w:pPr>
              <w:widowControl/>
              <w:jc w:val="left"/>
              <w:rPr>
                <w:rFonts w:eastAsia="仿宋_GB2312"/>
                <w:szCs w:val="20"/>
              </w:rPr>
            </w:pPr>
            <w:r>
              <w:rPr>
                <w:rFonts w:eastAsia="仿宋_GB2312"/>
                <w:szCs w:val="20"/>
              </w:rPr>
              <w:t>02</w:t>
            </w:r>
          </w:p>
        </w:tc>
        <w:tc>
          <w:tcPr>
            <w:tcW w:w="660" w:type="dxa"/>
            <w:tcBorders>
              <w:top w:val="nil"/>
              <w:left w:val="nil"/>
              <w:bottom w:val="single" w:color="auto" w:sz="4" w:space="0"/>
              <w:right w:val="single" w:color="auto" w:sz="4" w:space="0"/>
            </w:tcBorders>
            <w:noWrap/>
            <w:vAlign w:val="center"/>
          </w:tcPr>
          <w:p w14:paraId="30C57825">
            <w:pPr>
              <w:widowControl/>
              <w:jc w:val="left"/>
              <w:rPr>
                <w:rFonts w:eastAsia="仿宋_GB2312"/>
                <w:szCs w:val="20"/>
              </w:rPr>
            </w:pPr>
            <w:r>
              <w:rPr>
                <w:rFonts w:eastAsia="仿宋_GB2312"/>
                <w:szCs w:val="20"/>
              </w:rPr>
              <w:t>0017</w:t>
            </w:r>
          </w:p>
        </w:tc>
        <w:tc>
          <w:tcPr>
            <w:tcW w:w="2881" w:type="dxa"/>
            <w:tcBorders>
              <w:top w:val="nil"/>
              <w:left w:val="nil"/>
              <w:bottom w:val="single" w:color="auto" w:sz="4" w:space="0"/>
              <w:right w:val="single" w:color="auto" w:sz="4" w:space="0"/>
            </w:tcBorders>
            <w:noWrap/>
            <w:vAlign w:val="center"/>
          </w:tcPr>
          <w:p w14:paraId="5E16AFB5">
            <w:pPr>
              <w:widowControl/>
              <w:jc w:val="left"/>
              <w:rPr>
                <w:rFonts w:eastAsia="仿宋_GB2312"/>
                <w:sz w:val="18"/>
                <w:szCs w:val="18"/>
              </w:rPr>
            </w:pPr>
            <w:r>
              <w:rPr>
                <w:rFonts w:eastAsia="仿宋_GB2312"/>
                <w:sz w:val="18"/>
                <w:szCs w:val="18"/>
              </w:rPr>
              <w:t>转付和佳公司清扫人员保险费</w:t>
            </w:r>
          </w:p>
        </w:tc>
        <w:tc>
          <w:tcPr>
            <w:tcW w:w="1386" w:type="dxa"/>
            <w:tcBorders>
              <w:top w:val="nil"/>
              <w:left w:val="nil"/>
              <w:bottom w:val="single" w:color="auto" w:sz="4" w:space="0"/>
              <w:right w:val="single" w:color="auto" w:sz="4" w:space="0"/>
            </w:tcBorders>
            <w:noWrap/>
            <w:vAlign w:val="center"/>
          </w:tcPr>
          <w:p w14:paraId="3C9D7A3E">
            <w:pPr>
              <w:widowControl/>
              <w:jc w:val="right"/>
              <w:rPr>
                <w:rFonts w:eastAsia="仿宋_GB2312"/>
                <w:szCs w:val="20"/>
              </w:rPr>
            </w:pPr>
            <w:r>
              <w:rPr>
                <w:rFonts w:eastAsia="仿宋_GB2312"/>
                <w:szCs w:val="20"/>
              </w:rPr>
              <w:t>63,691.35</w:t>
            </w:r>
          </w:p>
        </w:tc>
        <w:tc>
          <w:tcPr>
            <w:tcW w:w="448" w:type="dxa"/>
            <w:tcBorders>
              <w:top w:val="nil"/>
              <w:left w:val="nil"/>
              <w:bottom w:val="single" w:color="auto" w:sz="4" w:space="0"/>
              <w:right w:val="single" w:color="auto" w:sz="4" w:space="0"/>
            </w:tcBorders>
            <w:noWrap/>
            <w:vAlign w:val="center"/>
          </w:tcPr>
          <w:p w14:paraId="065DDD1B">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E38C0D1">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350853A9">
            <w:pPr>
              <w:widowControl/>
              <w:jc w:val="right"/>
              <w:rPr>
                <w:rFonts w:eastAsia="仿宋_GB2312"/>
                <w:szCs w:val="20"/>
              </w:rPr>
            </w:pPr>
            <w:r>
              <w:rPr>
                <w:rFonts w:eastAsia="仿宋_GB2312"/>
                <w:szCs w:val="20"/>
              </w:rPr>
              <w:t>1,911,992.87</w:t>
            </w:r>
          </w:p>
        </w:tc>
      </w:tr>
      <w:tr w14:paraId="138DAB46">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D96A5DA">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46BDD440">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494F83A1">
            <w:pPr>
              <w:widowControl/>
              <w:jc w:val="left"/>
              <w:rPr>
                <w:rFonts w:eastAsia="仿宋_GB2312"/>
                <w:szCs w:val="20"/>
              </w:rPr>
            </w:pPr>
            <w:r>
              <w:rPr>
                <w:rFonts w:eastAsia="仿宋_GB2312"/>
                <w:szCs w:val="20"/>
              </w:rPr>
              <w:t>0045</w:t>
            </w:r>
          </w:p>
        </w:tc>
        <w:tc>
          <w:tcPr>
            <w:tcW w:w="2881" w:type="dxa"/>
            <w:tcBorders>
              <w:top w:val="nil"/>
              <w:left w:val="nil"/>
              <w:bottom w:val="single" w:color="auto" w:sz="4" w:space="0"/>
              <w:right w:val="single" w:color="auto" w:sz="4" w:space="0"/>
            </w:tcBorders>
            <w:noWrap/>
            <w:vAlign w:val="center"/>
          </w:tcPr>
          <w:p w14:paraId="5C7FD845">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3AF8A6DD">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10461B68">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C69D613">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8B23606">
            <w:pPr>
              <w:widowControl/>
              <w:jc w:val="right"/>
              <w:rPr>
                <w:rFonts w:eastAsia="仿宋_GB2312"/>
                <w:szCs w:val="20"/>
              </w:rPr>
            </w:pPr>
            <w:r>
              <w:rPr>
                <w:rFonts w:eastAsia="仿宋_GB2312"/>
                <w:szCs w:val="20"/>
              </w:rPr>
              <w:t>0</w:t>
            </w:r>
          </w:p>
        </w:tc>
      </w:tr>
      <w:tr w14:paraId="0198DA9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1C345BD">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11B3CEE6">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6FB652AF">
            <w:pPr>
              <w:widowControl/>
              <w:jc w:val="left"/>
              <w:rPr>
                <w:rFonts w:eastAsia="仿宋_GB2312"/>
                <w:szCs w:val="20"/>
              </w:rPr>
            </w:pPr>
            <w:r>
              <w:rPr>
                <w:rFonts w:eastAsia="仿宋_GB2312"/>
                <w:szCs w:val="20"/>
              </w:rPr>
              <w:t>0045</w:t>
            </w:r>
          </w:p>
        </w:tc>
        <w:tc>
          <w:tcPr>
            <w:tcW w:w="2881" w:type="dxa"/>
            <w:tcBorders>
              <w:top w:val="nil"/>
              <w:left w:val="nil"/>
              <w:bottom w:val="single" w:color="auto" w:sz="4" w:space="0"/>
              <w:right w:val="single" w:color="auto" w:sz="4" w:space="0"/>
            </w:tcBorders>
            <w:noWrap/>
            <w:vAlign w:val="center"/>
          </w:tcPr>
          <w:p w14:paraId="1123B061">
            <w:pPr>
              <w:widowControl/>
              <w:jc w:val="left"/>
              <w:rPr>
                <w:rFonts w:eastAsia="仿宋_GB2312"/>
                <w:sz w:val="18"/>
                <w:szCs w:val="18"/>
              </w:rPr>
            </w:pPr>
            <w:r>
              <w:rPr>
                <w:rFonts w:eastAsia="仿宋_GB2312"/>
                <w:sz w:val="18"/>
                <w:szCs w:val="18"/>
              </w:rPr>
              <w:t>转付黄大姐公司清扫人员保险费</w:t>
            </w:r>
          </w:p>
        </w:tc>
        <w:tc>
          <w:tcPr>
            <w:tcW w:w="1386" w:type="dxa"/>
            <w:tcBorders>
              <w:top w:val="nil"/>
              <w:left w:val="nil"/>
              <w:bottom w:val="single" w:color="auto" w:sz="4" w:space="0"/>
              <w:right w:val="single" w:color="auto" w:sz="4" w:space="0"/>
            </w:tcBorders>
            <w:noWrap/>
            <w:vAlign w:val="center"/>
          </w:tcPr>
          <w:p w14:paraId="6EE697FF">
            <w:pPr>
              <w:widowControl/>
              <w:jc w:val="right"/>
              <w:rPr>
                <w:rFonts w:eastAsia="仿宋_GB2312"/>
                <w:szCs w:val="20"/>
              </w:rPr>
            </w:pPr>
            <w:r>
              <w:rPr>
                <w:rFonts w:eastAsia="仿宋_GB2312"/>
                <w:szCs w:val="20"/>
              </w:rPr>
              <w:t>91,743.60</w:t>
            </w:r>
          </w:p>
        </w:tc>
        <w:tc>
          <w:tcPr>
            <w:tcW w:w="448" w:type="dxa"/>
            <w:tcBorders>
              <w:top w:val="nil"/>
              <w:left w:val="nil"/>
              <w:bottom w:val="single" w:color="auto" w:sz="4" w:space="0"/>
              <w:right w:val="single" w:color="auto" w:sz="4" w:space="0"/>
            </w:tcBorders>
            <w:noWrap/>
            <w:vAlign w:val="center"/>
          </w:tcPr>
          <w:p w14:paraId="26E06E9B">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06EDA14">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A8E98A0">
            <w:pPr>
              <w:widowControl/>
              <w:jc w:val="right"/>
              <w:rPr>
                <w:rFonts w:eastAsia="仿宋_GB2312"/>
                <w:szCs w:val="20"/>
              </w:rPr>
            </w:pPr>
            <w:r>
              <w:rPr>
                <w:rFonts w:eastAsia="仿宋_GB2312"/>
                <w:szCs w:val="20"/>
              </w:rPr>
              <w:t>0</w:t>
            </w:r>
          </w:p>
        </w:tc>
      </w:tr>
      <w:tr w14:paraId="3277E2C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3DAF597">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11E872D1">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24B3E30F">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074717E3">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0110CFEE">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4D449B75">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D3489ED">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16ACB9E">
            <w:pPr>
              <w:widowControl/>
              <w:jc w:val="right"/>
              <w:rPr>
                <w:rFonts w:eastAsia="仿宋_GB2312"/>
                <w:szCs w:val="20"/>
              </w:rPr>
            </w:pPr>
            <w:r>
              <w:rPr>
                <w:rFonts w:eastAsia="仿宋_GB2312"/>
                <w:szCs w:val="20"/>
              </w:rPr>
              <w:t>0</w:t>
            </w:r>
          </w:p>
        </w:tc>
      </w:tr>
      <w:tr w14:paraId="0D608FF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15DD67A">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73090808">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19544F2F">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75AE04AC">
            <w:pPr>
              <w:widowControl/>
              <w:jc w:val="left"/>
              <w:rPr>
                <w:rFonts w:eastAsia="仿宋_GB2312"/>
                <w:sz w:val="18"/>
                <w:szCs w:val="18"/>
              </w:rPr>
            </w:pPr>
            <w:r>
              <w:rPr>
                <w:rFonts w:eastAsia="仿宋_GB2312"/>
                <w:sz w:val="18"/>
                <w:szCs w:val="18"/>
              </w:rPr>
              <w:t>转付和佳公司清扫人员保险费</w:t>
            </w:r>
          </w:p>
        </w:tc>
        <w:tc>
          <w:tcPr>
            <w:tcW w:w="1386" w:type="dxa"/>
            <w:tcBorders>
              <w:top w:val="nil"/>
              <w:left w:val="nil"/>
              <w:bottom w:val="single" w:color="auto" w:sz="4" w:space="0"/>
              <w:right w:val="single" w:color="auto" w:sz="4" w:space="0"/>
            </w:tcBorders>
            <w:noWrap/>
            <w:vAlign w:val="center"/>
          </w:tcPr>
          <w:p w14:paraId="1BDF6692">
            <w:pPr>
              <w:widowControl/>
              <w:jc w:val="right"/>
              <w:rPr>
                <w:rFonts w:eastAsia="仿宋_GB2312"/>
                <w:szCs w:val="20"/>
              </w:rPr>
            </w:pPr>
            <w:r>
              <w:rPr>
                <w:rFonts w:eastAsia="仿宋_GB2312"/>
                <w:szCs w:val="20"/>
              </w:rPr>
              <w:t>69,728.12</w:t>
            </w:r>
          </w:p>
        </w:tc>
        <w:tc>
          <w:tcPr>
            <w:tcW w:w="448" w:type="dxa"/>
            <w:tcBorders>
              <w:top w:val="nil"/>
              <w:left w:val="nil"/>
              <w:bottom w:val="single" w:color="auto" w:sz="4" w:space="0"/>
              <w:right w:val="single" w:color="auto" w:sz="4" w:space="0"/>
            </w:tcBorders>
            <w:noWrap/>
            <w:vAlign w:val="center"/>
          </w:tcPr>
          <w:p w14:paraId="63A69B2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18B98CB">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C0BD1E0">
            <w:pPr>
              <w:widowControl/>
              <w:jc w:val="right"/>
              <w:rPr>
                <w:rFonts w:eastAsia="仿宋_GB2312"/>
                <w:szCs w:val="20"/>
              </w:rPr>
            </w:pPr>
            <w:r>
              <w:rPr>
                <w:rFonts w:eastAsia="仿宋_GB2312"/>
                <w:szCs w:val="20"/>
              </w:rPr>
              <w:t>0</w:t>
            </w:r>
          </w:p>
        </w:tc>
      </w:tr>
      <w:tr w14:paraId="70380CA0">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7A87BF5">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6B106275">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49C1AF05">
            <w:pPr>
              <w:widowControl/>
              <w:jc w:val="left"/>
              <w:rPr>
                <w:rFonts w:eastAsia="仿宋_GB2312"/>
                <w:szCs w:val="20"/>
              </w:rPr>
            </w:pPr>
            <w:r>
              <w:rPr>
                <w:rFonts w:eastAsia="仿宋_GB2312"/>
                <w:szCs w:val="20"/>
              </w:rPr>
              <w:t>0047</w:t>
            </w:r>
          </w:p>
        </w:tc>
        <w:tc>
          <w:tcPr>
            <w:tcW w:w="2881" w:type="dxa"/>
            <w:tcBorders>
              <w:top w:val="nil"/>
              <w:left w:val="nil"/>
              <w:bottom w:val="single" w:color="auto" w:sz="4" w:space="0"/>
              <w:right w:val="single" w:color="auto" w:sz="4" w:space="0"/>
            </w:tcBorders>
            <w:noWrap/>
            <w:vAlign w:val="center"/>
          </w:tcPr>
          <w:p w14:paraId="182E5C0A">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0171301F">
            <w:pPr>
              <w:widowControl/>
              <w:jc w:val="right"/>
              <w:rPr>
                <w:rFonts w:eastAsia="仿宋_GB2312"/>
                <w:szCs w:val="20"/>
              </w:rPr>
            </w:pPr>
            <w:r>
              <w:rPr>
                <w:rFonts w:eastAsia="仿宋_GB2312"/>
                <w:szCs w:val="20"/>
              </w:rPr>
              <w:t>242,291.67</w:t>
            </w:r>
          </w:p>
        </w:tc>
        <w:tc>
          <w:tcPr>
            <w:tcW w:w="448" w:type="dxa"/>
            <w:tcBorders>
              <w:top w:val="nil"/>
              <w:left w:val="nil"/>
              <w:bottom w:val="single" w:color="auto" w:sz="4" w:space="0"/>
              <w:right w:val="single" w:color="auto" w:sz="4" w:space="0"/>
            </w:tcBorders>
            <w:noWrap/>
            <w:vAlign w:val="center"/>
          </w:tcPr>
          <w:p w14:paraId="7938BB6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40251B6">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0554E940">
            <w:pPr>
              <w:widowControl/>
              <w:jc w:val="right"/>
              <w:rPr>
                <w:rFonts w:eastAsia="仿宋_GB2312"/>
                <w:szCs w:val="20"/>
              </w:rPr>
            </w:pPr>
            <w:r>
              <w:rPr>
                <w:rFonts w:eastAsia="仿宋_GB2312"/>
                <w:szCs w:val="20"/>
              </w:rPr>
              <w:t>0</w:t>
            </w:r>
          </w:p>
        </w:tc>
      </w:tr>
      <w:tr w14:paraId="2F22D74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ED7C4A8">
            <w:pPr>
              <w:widowControl/>
              <w:jc w:val="left"/>
              <w:rPr>
                <w:rFonts w:eastAsia="仿宋_GB2312"/>
                <w:szCs w:val="20"/>
              </w:rPr>
            </w:pPr>
            <w:r>
              <w:rPr>
                <w:rFonts w:eastAsia="仿宋_GB2312"/>
                <w:szCs w:val="20"/>
              </w:rPr>
              <w:t>03</w:t>
            </w:r>
          </w:p>
        </w:tc>
        <w:tc>
          <w:tcPr>
            <w:tcW w:w="416" w:type="dxa"/>
            <w:tcBorders>
              <w:top w:val="nil"/>
              <w:left w:val="nil"/>
              <w:bottom w:val="single" w:color="auto" w:sz="4" w:space="0"/>
              <w:right w:val="single" w:color="auto" w:sz="4" w:space="0"/>
            </w:tcBorders>
            <w:noWrap/>
            <w:vAlign w:val="center"/>
          </w:tcPr>
          <w:p w14:paraId="33582CF1">
            <w:pPr>
              <w:widowControl/>
              <w:jc w:val="left"/>
              <w:rPr>
                <w:rFonts w:eastAsia="仿宋_GB2312"/>
                <w:szCs w:val="20"/>
              </w:rPr>
            </w:pPr>
            <w:r>
              <w:rPr>
                <w:rFonts w:eastAsia="仿宋_GB2312"/>
                <w:szCs w:val="20"/>
              </w:rPr>
              <w:t>28</w:t>
            </w:r>
          </w:p>
        </w:tc>
        <w:tc>
          <w:tcPr>
            <w:tcW w:w="660" w:type="dxa"/>
            <w:tcBorders>
              <w:top w:val="nil"/>
              <w:left w:val="nil"/>
              <w:bottom w:val="single" w:color="auto" w:sz="4" w:space="0"/>
              <w:right w:val="single" w:color="auto" w:sz="4" w:space="0"/>
            </w:tcBorders>
            <w:noWrap/>
            <w:vAlign w:val="center"/>
          </w:tcPr>
          <w:p w14:paraId="791A0DC4">
            <w:pPr>
              <w:widowControl/>
              <w:jc w:val="left"/>
              <w:rPr>
                <w:rFonts w:eastAsia="仿宋_GB2312"/>
                <w:szCs w:val="20"/>
              </w:rPr>
            </w:pPr>
            <w:r>
              <w:rPr>
                <w:rFonts w:eastAsia="仿宋_GB2312"/>
                <w:szCs w:val="20"/>
              </w:rPr>
              <w:t>0047</w:t>
            </w:r>
          </w:p>
        </w:tc>
        <w:tc>
          <w:tcPr>
            <w:tcW w:w="2881" w:type="dxa"/>
            <w:tcBorders>
              <w:top w:val="nil"/>
              <w:left w:val="nil"/>
              <w:bottom w:val="single" w:color="auto" w:sz="4" w:space="0"/>
              <w:right w:val="single" w:color="auto" w:sz="4" w:space="0"/>
            </w:tcBorders>
            <w:noWrap/>
            <w:vAlign w:val="center"/>
          </w:tcPr>
          <w:p w14:paraId="7B456B8E">
            <w:pPr>
              <w:widowControl/>
              <w:jc w:val="left"/>
              <w:rPr>
                <w:rFonts w:eastAsia="仿宋_GB2312"/>
                <w:sz w:val="18"/>
                <w:szCs w:val="18"/>
              </w:rPr>
            </w:pPr>
            <w:r>
              <w:rPr>
                <w:rFonts w:eastAsia="仿宋_GB2312"/>
                <w:sz w:val="18"/>
                <w:szCs w:val="18"/>
              </w:rPr>
              <w:t>转付高建公司清扫人员保险费</w:t>
            </w:r>
          </w:p>
        </w:tc>
        <w:tc>
          <w:tcPr>
            <w:tcW w:w="1386" w:type="dxa"/>
            <w:tcBorders>
              <w:top w:val="nil"/>
              <w:left w:val="nil"/>
              <w:bottom w:val="single" w:color="auto" w:sz="4" w:space="0"/>
              <w:right w:val="single" w:color="auto" w:sz="4" w:space="0"/>
            </w:tcBorders>
            <w:noWrap/>
            <w:vAlign w:val="center"/>
          </w:tcPr>
          <w:p w14:paraId="6C57E116">
            <w:pPr>
              <w:widowControl/>
              <w:jc w:val="right"/>
              <w:rPr>
                <w:rFonts w:eastAsia="仿宋_GB2312"/>
                <w:szCs w:val="20"/>
              </w:rPr>
            </w:pPr>
            <w:r>
              <w:rPr>
                <w:rFonts w:eastAsia="仿宋_GB2312"/>
                <w:szCs w:val="20"/>
              </w:rPr>
              <w:t>64,658.56</w:t>
            </w:r>
          </w:p>
        </w:tc>
        <w:tc>
          <w:tcPr>
            <w:tcW w:w="448" w:type="dxa"/>
            <w:tcBorders>
              <w:top w:val="nil"/>
              <w:left w:val="nil"/>
              <w:bottom w:val="single" w:color="auto" w:sz="4" w:space="0"/>
              <w:right w:val="single" w:color="auto" w:sz="4" w:space="0"/>
            </w:tcBorders>
            <w:noWrap/>
            <w:vAlign w:val="center"/>
          </w:tcPr>
          <w:p w14:paraId="6A66FD78">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1A3149B">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116C7C47">
            <w:pPr>
              <w:widowControl/>
              <w:jc w:val="right"/>
              <w:rPr>
                <w:rFonts w:eastAsia="仿宋_GB2312"/>
                <w:szCs w:val="20"/>
              </w:rPr>
            </w:pPr>
            <w:r>
              <w:rPr>
                <w:rFonts w:eastAsia="仿宋_GB2312"/>
                <w:szCs w:val="20"/>
              </w:rPr>
              <w:t>2,870,191.98</w:t>
            </w:r>
          </w:p>
        </w:tc>
      </w:tr>
      <w:tr w14:paraId="1138CB3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C14A553">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027B6E09">
            <w:pPr>
              <w:widowControl/>
              <w:jc w:val="left"/>
              <w:rPr>
                <w:rFonts w:eastAsia="仿宋_GB2312"/>
                <w:szCs w:val="20"/>
              </w:rPr>
            </w:pPr>
            <w:r>
              <w:rPr>
                <w:rFonts w:eastAsia="仿宋_GB2312"/>
                <w:szCs w:val="20"/>
              </w:rPr>
              <w:t>03</w:t>
            </w:r>
          </w:p>
        </w:tc>
        <w:tc>
          <w:tcPr>
            <w:tcW w:w="660" w:type="dxa"/>
            <w:tcBorders>
              <w:top w:val="nil"/>
              <w:left w:val="nil"/>
              <w:bottom w:val="single" w:color="auto" w:sz="4" w:space="0"/>
              <w:right w:val="single" w:color="auto" w:sz="4" w:space="0"/>
            </w:tcBorders>
            <w:noWrap/>
            <w:vAlign w:val="center"/>
          </w:tcPr>
          <w:p w14:paraId="41CC5D12">
            <w:pPr>
              <w:widowControl/>
              <w:jc w:val="left"/>
              <w:rPr>
                <w:rFonts w:eastAsia="仿宋_GB2312"/>
                <w:szCs w:val="20"/>
              </w:rPr>
            </w:pPr>
            <w:r>
              <w:rPr>
                <w:rFonts w:eastAsia="仿宋_GB2312"/>
                <w:szCs w:val="20"/>
              </w:rPr>
              <w:t>0011</w:t>
            </w:r>
          </w:p>
        </w:tc>
        <w:tc>
          <w:tcPr>
            <w:tcW w:w="2881" w:type="dxa"/>
            <w:tcBorders>
              <w:top w:val="nil"/>
              <w:left w:val="nil"/>
              <w:bottom w:val="single" w:color="auto" w:sz="4" w:space="0"/>
              <w:right w:val="single" w:color="auto" w:sz="4" w:space="0"/>
            </w:tcBorders>
            <w:noWrap/>
            <w:vAlign w:val="center"/>
          </w:tcPr>
          <w:p w14:paraId="336F6DF1">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1D2E2A32">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7F28E81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54ABB93">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A984270">
            <w:pPr>
              <w:widowControl/>
              <w:jc w:val="right"/>
              <w:rPr>
                <w:rFonts w:eastAsia="仿宋_GB2312"/>
                <w:szCs w:val="20"/>
              </w:rPr>
            </w:pPr>
            <w:r>
              <w:rPr>
                <w:rFonts w:eastAsia="仿宋_GB2312"/>
                <w:szCs w:val="20"/>
              </w:rPr>
              <w:t>0</w:t>
            </w:r>
          </w:p>
        </w:tc>
      </w:tr>
      <w:tr w14:paraId="1601A19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2EE0AD6">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2F8AEA52">
            <w:pPr>
              <w:widowControl/>
              <w:jc w:val="left"/>
              <w:rPr>
                <w:rFonts w:eastAsia="仿宋_GB2312"/>
                <w:szCs w:val="20"/>
              </w:rPr>
            </w:pPr>
            <w:r>
              <w:rPr>
                <w:rFonts w:eastAsia="仿宋_GB2312"/>
                <w:szCs w:val="20"/>
              </w:rPr>
              <w:t>03</w:t>
            </w:r>
          </w:p>
        </w:tc>
        <w:tc>
          <w:tcPr>
            <w:tcW w:w="660" w:type="dxa"/>
            <w:tcBorders>
              <w:top w:val="nil"/>
              <w:left w:val="nil"/>
              <w:bottom w:val="single" w:color="auto" w:sz="4" w:space="0"/>
              <w:right w:val="single" w:color="auto" w:sz="4" w:space="0"/>
            </w:tcBorders>
            <w:noWrap/>
            <w:vAlign w:val="center"/>
          </w:tcPr>
          <w:p w14:paraId="239C15BA">
            <w:pPr>
              <w:widowControl/>
              <w:jc w:val="left"/>
              <w:rPr>
                <w:rFonts w:eastAsia="仿宋_GB2312"/>
                <w:szCs w:val="20"/>
              </w:rPr>
            </w:pPr>
            <w:r>
              <w:rPr>
                <w:rFonts w:eastAsia="仿宋_GB2312"/>
                <w:szCs w:val="20"/>
              </w:rPr>
              <w:t>0011</w:t>
            </w:r>
          </w:p>
        </w:tc>
        <w:tc>
          <w:tcPr>
            <w:tcW w:w="2881" w:type="dxa"/>
            <w:tcBorders>
              <w:top w:val="nil"/>
              <w:left w:val="nil"/>
              <w:bottom w:val="single" w:color="auto" w:sz="4" w:space="0"/>
              <w:right w:val="single" w:color="auto" w:sz="4" w:space="0"/>
            </w:tcBorders>
            <w:noWrap/>
            <w:vAlign w:val="center"/>
          </w:tcPr>
          <w:p w14:paraId="711676DC">
            <w:pPr>
              <w:widowControl/>
              <w:jc w:val="left"/>
              <w:rPr>
                <w:rFonts w:eastAsia="仿宋_GB2312"/>
                <w:sz w:val="18"/>
                <w:szCs w:val="18"/>
              </w:rPr>
            </w:pPr>
            <w:r>
              <w:rPr>
                <w:rFonts w:eastAsia="仿宋_GB2312"/>
                <w:sz w:val="18"/>
                <w:szCs w:val="18"/>
              </w:rPr>
              <w:t>转付黄大姐公司人员保险费</w:t>
            </w:r>
          </w:p>
        </w:tc>
        <w:tc>
          <w:tcPr>
            <w:tcW w:w="1386" w:type="dxa"/>
            <w:tcBorders>
              <w:top w:val="nil"/>
              <w:left w:val="nil"/>
              <w:bottom w:val="single" w:color="auto" w:sz="4" w:space="0"/>
              <w:right w:val="single" w:color="auto" w:sz="4" w:space="0"/>
            </w:tcBorders>
            <w:noWrap/>
            <w:vAlign w:val="center"/>
          </w:tcPr>
          <w:p w14:paraId="1225B776">
            <w:pPr>
              <w:widowControl/>
              <w:jc w:val="right"/>
              <w:rPr>
                <w:rFonts w:eastAsia="仿宋_GB2312"/>
                <w:szCs w:val="20"/>
              </w:rPr>
            </w:pPr>
            <w:r>
              <w:rPr>
                <w:rFonts w:eastAsia="仿宋_GB2312"/>
                <w:szCs w:val="20"/>
              </w:rPr>
              <w:t>91,743.60</w:t>
            </w:r>
          </w:p>
        </w:tc>
        <w:tc>
          <w:tcPr>
            <w:tcW w:w="448" w:type="dxa"/>
            <w:tcBorders>
              <w:top w:val="nil"/>
              <w:left w:val="nil"/>
              <w:bottom w:val="single" w:color="auto" w:sz="4" w:space="0"/>
              <w:right w:val="single" w:color="auto" w:sz="4" w:space="0"/>
            </w:tcBorders>
            <w:noWrap/>
            <w:vAlign w:val="center"/>
          </w:tcPr>
          <w:p w14:paraId="46FD0578">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45B016F">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693452C7">
            <w:pPr>
              <w:widowControl/>
              <w:jc w:val="right"/>
              <w:rPr>
                <w:rFonts w:eastAsia="仿宋_GB2312"/>
                <w:szCs w:val="20"/>
              </w:rPr>
            </w:pPr>
            <w:r>
              <w:rPr>
                <w:rFonts w:eastAsia="仿宋_GB2312"/>
                <w:szCs w:val="20"/>
              </w:rPr>
              <w:t>3,231,131.17</w:t>
            </w:r>
          </w:p>
        </w:tc>
      </w:tr>
      <w:tr w14:paraId="68B9F14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7EF1D33">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26C7175F">
            <w:pPr>
              <w:widowControl/>
              <w:jc w:val="left"/>
              <w:rPr>
                <w:rFonts w:eastAsia="仿宋_GB2312"/>
                <w:szCs w:val="20"/>
              </w:rPr>
            </w:pPr>
            <w:r>
              <w:rPr>
                <w:rFonts w:eastAsia="仿宋_GB2312"/>
                <w:szCs w:val="20"/>
              </w:rPr>
              <w:t>04</w:t>
            </w:r>
          </w:p>
        </w:tc>
        <w:tc>
          <w:tcPr>
            <w:tcW w:w="660" w:type="dxa"/>
            <w:tcBorders>
              <w:top w:val="nil"/>
              <w:left w:val="nil"/>
              <w:bottom w:val="single" w:color="auto" w:sz="4" w:space="0"/>
              <w:right w:val="single" w:color="auto" w:sz="4" w:space="0"/>
            </w:tcBorders>
            <w:noWrap/>
            <w:vAlign w:val="center"/>
          </w:tcPr>
          <w:p w14:paraId="508AE250">
            <w:pPr>
              <w:widowControl/>
              <w:jc w:val="left"/>
              <w:rPr>
                <w:rFonts w:eastAsia="仿宋_GB2312"/>
                <w:szCs w:val="20"/>
              </w:rPr>
            </w:pPr>
            <w:r>
              <w:rPr>
                <w:rFonts w:eastAsia="仿宋_GB2312"/>
                <w:szCs w:val="20"/>
              </w:rPr>
              <w:t>0012</w:t>
            </w:r>
          </w:p>
        </w:tc>
        <w:tc>
          <w:tcPr>
            <w:tcW w:w="2881" w:type="dxa"/>
            <w:tcBorders>
              <w:top w:val="nil"/>
              <w:left w:val="nil"/>
              <w:bottom w:val="single" w:color="auto" w:sz="4" w:space="0"/>
              <w:right w:val="single" w:color="auto" w:sz="4" w:space="0"/>
            </w:tcBorders>
            <w:noWrap/>
            <w:vAlign w:val="center"/>
          </w:tcPr>
          <w:p w14:paraId="01D22AF2">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4B92BE76">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4FBD019E">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7020B7B">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86C974C">
            <w:pPr>
              <w:widowControl/>
              <w:jc w:val="right"/>
              <w:rPr>
                <w:rFonts w:eastAsia="仿宋_GB2312"/>
                <w:szCs w:val="20"/>
              </w:rPr>
            </w:pPr>
            <w:r>
              <w:rPr>
                <w:rFonts w:eastAsia="仿宋_GB2312"/>
                <w:szCs w:val="20"/>
              </w:rPr>
              <w:t>0</w:t>
            </w:r>
          </w:p>
        </w:tc>
      </w:tr>
      <w:tr w14:paraId="11819CE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821AFBB">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007925FA">
            <w:pPr>
              <w:widowControl/>
              <w:jc w:val="left"/>
              <w:rPr>
                <w:rFonts w:eastAsia="仿宋_GB2312"/>
                <w:szCs w:val="20"/>
              </w:rPr>
            </w:pPr>
            <w:r>
              <w:rPr>
                <w:rFonts w:eastAsia="仿宋_GB2312"/>
                <w:szCs w:val="20"/>
              </w:rPr>
              <w:t>04</w:t>
            </w:r>
          </w:p>
        </w:tc>
        <w:tc>
          <w:tcPr>
            <w:tcW w:w="660" w:type="dxa"/>
            <w:tcBorders>
              <w:top w:val="nil"/>
              <w:left w:val="nil"/>
              <w:bottom w:val="single" w:color="auto" w:sz="4" w:space="0"/>
              <w:right w:val="single" w:color="auto" w:sz="4" w:space="0"/>
            </w:tcBorders>
            <w:noWrap/>
            <w:vAlign w:val="center"/>
          </w:tcPr>
          <w:p w14:paraId="0D2B6E4D">
            <w:pPr>
              <w:widowControl/>
              <w:jc w:val="left"/>
              <w:rPr>
                <w:rFonts w:eastAsia="仿宋_GB2312"/>
                <w:szCs w:val="20"/>
              </w:rPr>
            </w:pPr>
            <w:r>
              <w:rPr>
                <w:rFonts w:eastAsia="仿宋_GB2312"/>
                <w:szCs w:val="20"/>
              </w:rPr>
              <w:t>0012</w:t>
            </w:r>
          </w:p>
        </w:tc>
        <w:tc>
          <w:tcPr>
            <w:tcW w:w="2881" w:type="dxa"/>
            <w:tcBorders>
              <w:top w:val="nil"/>
              <w:left w:val="nil"/>
              <w:bottom w:val="single" w:color="auto" w:sz="4" w:space="0"/>
              <w:right w:val="single" w:color="auto" w:sz="4" w:space="0"/>
            </w:tcBorders>
            <w:noWrap/>
            <w:vAlign w:val="center"/>
          </w:tcPr>
          <w:p w14:paraId="5CF2A82B">
            <w:pPr>
              <w:widowControl/>
              <w:jc w:val="left"/>
              <w:rPr>
                <w:rFonts w:eastAsia="仿宋_GB2312"/>
                <w:sz w:val="18"/>
                <w:szCs w:val="18"/>
              </w:rPr>
            </w:pPr>
            <w:r>
              <w:rPr>
                <w:rFonts w:eastAsia="仿宋_GB2312"/>
                <w:sz w:val="18"/>
                <w:szCs w:val="18"/>
              </w:rPr>
              <w:t>转付和佳公司保险费</w:t>
            </w:r>
          </w:p>
        </w:tc>
        <w:tc>
          <w:tcPr>
            <w:tcW w:w="1386" w:type="dxa"/>
            <w:tcBorders>
              <w:top w:val="nil"/>
              <w:left w:val="nil"/>
              <w:bottom w:val="single" w:color="auto" w:sz="4" w:space="0"/>
              <w:right w:val="single" w:color="auto" w:sz="4" w:space="0"/>
            </w:tcBorders>
            <w:noWrap/>
            <w:vAlign w:val="center"/>
          </w:tcPr>
          <w:p w14:paraId="63840341">
            <w:pPr>
              <w:widowControl/>
              <w:jc w:val="right"/>
              <w:rPr>
                <w:rFonts w:eastAsia="仿宋_GB2312"/>
                <w:szCs w:val="20"/>
              </w:rPr>
            </w:pPr>
            <w:r>
              <w:rPr>
                <w:rFonts w:eastAsia="仿宋_GB2312"/>
                <w:szCs w:val="20"/>
              </w:rPr>
              <w:t>66,242.24</w:t>
            </w:r>
          </w:p>
        </w:tc>
        <w:tc>
          <w:tcPr>
            <w:tcW w:w="448" w:type="dxa"/>
            <w:tcBorders>
              <w:top w:val="nil"/>
              <w:left w:val="nil"/>
              <w:bottom w:val="single" w:color="auto" w:sz="4" w:space="0"/>
              <w:right w:val="single" w:color="auto" w:sz="4" w:space="0"/>
            </w:tcBorders>
            <w:noWrap/>
            <w:vAlign w:val="center"/>
          </w:tcPr>
          <w:p w14:paraId="3367FCE1">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CBF42CE">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280A351">
            <w:pPr>
              <w:widowControl/>
              <w:jc w:val="right"/>
              <w:rPr>
                <w:rFonts w:eastAsia="仿宋_GB2312"/>
                <w:szCs w:val="20"/>
              </w:rPr>
            </w:pPr>
            <w:r>
              <w:rPr>
                <w:rFonts w:eastAsia="仿宋_GB2312"/>
                <w:szCs w:val="20"/>
              </w:rPr>
              <w:t>0</w:t>
            </w:r>
          </w:p>
        </w:tc>
      </w:tr>
      <w:tr w14:paraId="735FE79C">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718044A3">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6CA86359">
            <w:pPr>
              <w:widowControl/>
              <w:jc w:val="left"/>
              <w:rPr>
                <w:rFonts w:eastAsia="仿宋_GB2312"/>
                <w:szCs w:val="20"/>
              </w:rPr>
            </w:pPr>
            <w:r>
              <w:rPr>
                <w:rFonts w:eastAsia="仿宋_GB2312"/>
                <w:szCs w:val="20"/>
              </w:rPr>
              <w:t>04</w:t>
            </w:r>
          </w:p>
        </w:tc>
        <w:tc>
          <w:tcPr>
            <w:tcW w:w="660" w:type="dxa"/>
            <w:tcBorders>
              <w:top w:val="nil"/>
              <w:left w:val="nil"/>
              <w:bottom w:val="single" w:color="auto" w:sz="4" w:space="0"/>
              <w:right w:val="single" w:color="auto" w:sz="4" w:space="0"/>
            </w:tcBorders>
            <w:noWrap/>
            <w:vAlign w:val="center"/>
          </w:tcPr>
          <w:p w14:paraId="530DCDD1">
            <w:pPr>
              <w:widowControl/>
              <w:jc w:val="left"/>
              <w:rPr>
                <w:rFonts w:eastAsia="仿宋_GB2312"/>
                <w:szCs w:val="20"/>
              </w:rPr>
            </w:pPr>
            <w:r>
              <w:rPr>
                <w:rFonts w:eastAsia="仿宋_GB2312"/>
                <w:szCs w:val="20"/>
              </w:rPr>
              <w:t>0013</w:t>
            </w:r>
          </w:p>
        </w:tc>
        <w:tc>
          <w:tcPr>
            <w:tcW w:w="2881" w:type="dxa"/>
            <w:tcBorders>
              <w:top w:val="nil"/>
              <w:left w:val="nil"/>
              <w:bottom w:val="single" w:color="auto" w:sz="4" w:space="0"/>
              <w:right w:val="single" w:color="auto" w:sz="4" w:space="0"/>
            </w:tcBorders>
            <w:noWrap/>
            <w:vAlign w:val="center"/>
          </w:tcPr>
          <w:p w14:paraId="058FDE00">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4F5AE409">
            <w:pPr>
              <w:widowControl/>
              <w:jc w:val="right"/>
              <w:rPr>
                <w:rFonts w:eastAsia="仿宋_GB2312"/>
                <w:szCs w:val="20"/>
              </w:rPr>
            </w:pPr>
            <w:r>
              <w:rPr>
                <w:rFonts w:eastAsia="仿宋_GB2312"/>
                <w:szCs w:val="20"/>
              </w:rPr>
              <w:t>241,756.67</w:t>
            </w:r>
          </w:p>
        </w:tc>
        <w:tc>
          <w:tcPr>
            <w:tcW w:w="448" w:type="dxa"/>
            <w:tcBorders>
              <w:top w:val="nil"/>
              <w:left w:val="nil"/>
              <w:bottom w:val="single" w:color="auto" w:sz="4" w:space="0"/>
              <w:right w:val="single" w:color="auto" w:sz="4" w:space="0"/>
            </w:tcBorders>
            <w:noWrap/>
            <w:vAlign w:val="center"/>
          </w:tcPr>
          <w:p w14:paraId="5A703657">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197C1C9">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0105F06F">
            <w:pPr>
              <w:widowControl/>
              <w:jc w:val="right"/>
              <w:rPr>
                <w:rFonts w:eastAsia="仿宋_GB2312"/>
                <w:szCs w:val="20"/>
              </w:rPr>
            </w:pPr>
            <w:r>
              <w:rPr>
                <w:rFonts w:eastAsia="仿宋_GB2312"/>
                <w:szCs w:val="20"/>
              </w:rPr>
              <w:t>0</w:t>
            </w:r>
          </w:p>
        </w:tc>
      </w:tr>
      <w:tr w14:paraId="62526C52">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5DFEF0A">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1376CE80">
            <w:pPr>
              <w:widowControl/>
              <w:jc w:val="left"/>
              <w:rPr>
                <w:rFonts w:eastAsia="仿宋_GB2312"/>
                <w:szCs w:val="20"/>
              </w:rPr>
            </w:pPr>
            <w:r>
              <w:rPr>
                <w:rFonts w:eastAsia="仿宋_GB2312"/>
                <w:szCs w:val="20"/>
              </w:rPr>
              <w:t>04</w:t>
            </w:r>
          </w:p>
        </w:tc>
        <w:tc>
          <w:tcPr>
            <w:tcW w:w="660" w:type="dxa"/>
            <w:tcBorders>
              <w:top w:val="nil"/>
              <w:left w:val="nil"/>
              <w:bottom w:val="single" w:color="auto" w:sz="4" w:space="0"/>
              <w:right w:val="single" w:color="auto" w:sz="4" w:space="0"/>
            </w:tcBorders>
            <w:noWrap/>
            <w:vAlign w:val="center"/>
          </w:tcPr>
          <w:p w14:paraId="79B40E81">
            <w:pPr>
              <w:widowControl/>
              <w:jc w:val="left"/>
              <w:rPr>
                <w:rFonts w:eastAsia="仿宋_GB2312"/>
                <w:szCs w:val="20"/>
              </w:rPr>
            </w:pPr>
            <w:r>
              <w:rPr>
                <w:rFonts w:eastAsia="仿宋_GB2312"/>
                <w:szCs w:val="20"/>
              </w:rPr>
              <w:t>0013</w:t>
            </w:r>
          </w:p>
        </w:tc>
        <w:tc>
          <w:tcPr>
            <w:tcW w:w="2881" w:type="dxa"/>
            <w:tcBorders>
              <w:top w:val="nil"/>
              <w:left w:val="nil"/>
              <w:bottom w:val="single" w:color="auto" w:sz="4" w:space="0"/>
              <w:right w:val="single" w:color="auto" w:sz="4" w:space="0"/>
            </w:tcBorders>
            <w:noWrap/>
            <w:vAlign w:val="center"/>
          </w:tcPr>
          <w:p w14:paraId="27135A0D">
            <w:pPr>
              <w:widowControl/>
              <w:jc w:val="left"/>
              <w:rPr>
                <w:rFonts w:eastAsia="仿宋_GB2312"/>
                <w:sz w:val="18"/>
                <w:szCs w:val="18"/>
              </w:rPr>
            </w:pPr>
            <w:r>
              <w:rPr>
                <w:rFonts w:eastAsia="仿宋_GB2312"/>
                <w:sz w:val="18"/>
                <w:szCs w:val="18"/>
              </w:rPr>
              <w:t>转付高建公司保险费</w:t>
            </w:r>
          </w:p>
        </w:tc>
        <w:tc>
          <w:tcPr>
            <w:tcW w:w="1386" w:type="dxa"/>
            <w:tcBorders>
              <w:top w:val="nil"/>
              <w:left w:val="nil"/>
              <w:bottom w:val="single" w:color="auto" w:sz="4" w:space="0"/>
              <w:right w:val="single" w:color="auto" w:sz="4" w:space="0"/>
            </w:tcBorders>
            <w:noWrap/>
            <w:vAlign w:val="center"/>
          </w:tcPr>
          <w:p w14:paraId="62682F43">
            <w:pPr>
              <w:widowControl/>
              <w:jc w:val="right"/>
              <w:rPr>
                <w:rFonts w:eastAsia="仿宋_GB2312"/>
                <w:szCs w:val="20"/>
              </w:rPr>
            </w:pPr>
            <w:r>
              <w:rPr>
                <w:rFonts w:eastAsia="仿宋_GB2312"/>
                <w:szCs w:val="20"/>
              </w:rPr>
              <w:t>64,658.56</w:t>
            </w:r>
          </w:p>
        </w:tc>
        <w:tc>
          <w:tcPr>
            <w:tcW w:w="448" w:type="dxa"/>
            <w:tcBorders>
              <w:top w:val="nil"/>
              <w:left w:val="nil"/>
              <w:bottom w:val="single" w:color="auto" w:sz="4" w:space="0"/>
              <w:right w:val="single" w:color="auto" w:sz="4" w:space="0"/>
            </w:tcBorders>
            <w:noWrap/>
            <w:vAlign w:val="center"/>
          </w:tcPr>
          <w:p w14:paraId="1DC4F1B2">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47A1A00">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00410F17">
            <w:pPr>
              <w:widowControl/>
              <w:jc w:val="right"/>
              <w:rPr>
                <w:rFonts w:eastAsia="仿宋_GB2312"/>
                <w:szCs w:val="20"/>
              </w:rPr>
            </w:pPr>
            <w:r>
              <w:rPr>
                <w:rFonts w:eastAsia="仿宋_GB2312"/>
                <w:szCs w:val="20"/>
              </w:rPr>
              <w:t>3,824,370.21</w:t>
            </w:r>
          </w:p>
        </w:tc>
      </w:tr>
      <w:tr w14:paraId="5207F3A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88892A1">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1885C947">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49DEDCF4">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53BB5BDE">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3B94840D">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7FC419D0">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9E7CF86">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D9CA264">
            <w:pPr>
              <w:widowControl/>
              <w:jc w:val="right"/>
              <w:rPr>
                <w:rFonts w:eastAsia="仿宋_GB2312"/>
                <w:szCs w:val="20"/>
              </w:rPr>
            </w:pPr>
            <w:r>
              <w:rPr>
                <w:rFonts w:eastAsia="仿宋_GB2312"/>
                <w:szCs w:val="20"/>
              </w:rPr>
              <w:t>0</w:t>
            </w:r>
          </w:p>
        </w:tc>
      </w:tr>
      <w:tr w14:paraId="7947DFE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DFD9AC2">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6530ABBE">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00685144">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36EC8537">
            <w:pPr>
              <w:widowControl/>
              <w:jc w:val="left"/>
              <w:rPr>
                <w:rFonts w:eastAsia="仿宋_GB2312"/>
                <w:sz w:val="18"/>
                <w:szCs w:val="18"/>
              </w:rPr>
            </w:pPr>
            <w:r>
              <w:rPr>
                <w:rFonts w:eastAsia="仿宋_GB2312"/>
                <w:sz w:val="18"/>
                <w:szCs w:val="18"/>
              </w:rPr>
              <w:t>转付黄大姐公司保险费</w:t>
            </w:r>
          </w:p>
        </w:tc>
        <w:tc>
          <w:tcPr>
            <w:tcW w:w="1386" w:type="dxa"/>
            <w:tcBorders>
              <w:top w:val="nil"/>
              <w:left w:val="nil"/>
              <w:bottom w:val="single" w:color="auto" w:sz="4" w:space="0"/>
              <w:right w:val="single" w:color="auto" w:sz="4" w:space="0"/>
            </w:tcBorders>
            <w:noWrap/>
            <w:vAlign w:val="center"/>
          </w:tcPr>
          <w:p w14:paraId="7770D090">
            <w:pPr>
              <w:widowControl/>
              <w:jc w:val="right"/>
              <w:rPr>
                <w:rFonts w:eastAsia="仿宋_GB2312"/>
                <w:szCs w:val="20"/>
              </w:rPr>
            </w:pPr>
            <w:r>
              <w:rPr>
                <w:rFonts w:eastAsia="仿宋_GB2312"/>
                <w:szCs w:val="20"/>
              </w:rPr>
              <w:t>90,674.40</w:t>
            </w:r>
          </w:p>
        </w:tc>
        <w:tc>
          <w:tcPr>
            <w:tcW w:w="448" w:type="dxa"/>
            <w:tcBorders>
              <w:top w:val="nil"/>
              <w:left w:val="nil"/>
              <w:bottom w:val="single" w:color="auto" w:sz="4" w:space="0"/>
              <w:right w:val="single" w:color="auto" w:sz="4" w:space="0"/>
            </w:tcBorders>
            <w:noWrap/>
            <w:vAlign w:val="center"/>
          </w:tcPr>
          <w:p w14:paraId="2092084F">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8515581">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113BBE7">
            <w:pPr>
              <w:widowControl/>
              <w:jc w:val="right"/>
              <w:rPr>
                <w:rFonts w:eastAsia="仿宋_GB2312"/>
                <w:szCs w:val="20"/>
              </w:rPr>
            </w:pPr>
            <w:r>
              <w:rPr>
                <w:rFonts w:eastAsia="仿宋_GB2312"/>
                <w:szCs w:val="20"/>
              </w:rPr>
              <w:t>0</w:t>
            </w:r>
          </w:p>
        </w:tc>
      </w:tr>
      <w:tr w14:paraId="0405E852">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44D59EC">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33EB121B">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53C7908A">
            <w:pPr>
              <w:widowControl/>
              <w:jc w:val="left"/>
              <w:rPr>
                <w:rFonts w:eastAsia="仿宋_GB2312"/>
                <w:szCs w:val="20"/>
              </w:rPr>
            </w:pPr>
            <w:r>
              <w:rPr>
                <w:rFonts w:eastAsia="仿宋_GB2312"/>
                <w:szCs w:val="20"/>
              </w:rPr>
              <w:t>0048</w:t>
            </w:r>
          </w:p>
        </w:tc>
        <w:tc>
          <w:tcPr>
            <w:tcW w:w="2881" w:type="dxa"/>
            <w:tcBorders>
              <w:top w:val="nil"/>
              <w:left w:val="nil"/>
              <w:bottom w:val="single" w:color="auto" w:sz="4" w:space="0"/>
              <w:right w:val="single" w:color="auto" w:sz="4" w:space="0"/>
            </w:tcBorders>
            <w:noWrap/>
            <w:vAlign w:val="center"/>
          </w:tcPr>
          <w:p w14:paraId="0564B9A1">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4164AAD3">
            <w:pPr>
              <w:widowControl/>
              <w:jc w:val="right"/>
              <w:rPr>
                <w:rFonts w:eastAsia="仿宋_GB2312"/>
                <w:szCs w:val="20"/>
              </w:rPr>
            </w:pPr>
            <w:r>
              <w:rPr>
                <w:rFonts w:eastAsia="仿宋_GB2312"/>
                <w:szCs w:val="20"/>
              </w:rPr>
              <w:t>242,291.67</w:t>
            </w:r>
          </w:p>
        </w:tc>
        <w:tc>
          <w:tcPr>
            <w:tcW w:w="448" w:type="dxa"/>
            <w:tcBorders>
              <w:top w:val="nil"/>
              <w:left w:val="nil"/>
              <w:bottom w:val="single" w:color="auto" w:sz="4" w:space="0"/>
              <w:right w:val="single" w:color="auto" w:sz="4" w:space="0"/>
            </w:tcBorders>
            <w:noWrap/>
            <w:vAlign w:val="center"/>
          </w:tcPr>
          <w:p w14:paraId="0A78F66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EBC01AF">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8688413">
            <w:pPr>
              <w:widowControl/>
              <w:jc w:val="right"/>
              <w:rPr>
                <w:rFonts w:eastAsia="仿宋_GB2312"/>
                <w:szCs w:val="20"/>
              </w:rPr>
            </w:pPr>
            <w:r>
              <w:rPr>
                <w:rFonts w:eastAsia="仿宋_GB2312"/>
                <w:szCs w:val="20"/>
              </w:rPr>
              <w:t>0</w:t>
            </w:r>
          </w:p>
        </w:tc>
      </w:tr>
      <w:tr w14:paraId="07A97D4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73AA8FC">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2AA68DEF">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55F01535">
            <w:pPr>
              <w:widowControl/>
              <w:jc w:val="left"/>
              <w:rPr>
                <w:rFonts w:eastAsia="仿宋_GB2312"/>
                <w:szCs w:val="20"/>
              </w:rPr>
            </w:pPr>
            <w:r>
              <w:rPr>
                <w:rFonts w:eastAsia="仿宋_GB2312"/>
                <w:szCs w:val="20"/>
              </w:rPr>
              <w:t>0048</w:t>
            </w:r>
          </w:p>
        </w:tc>
        <w:tc>
          <w:tcPr>
            <w:tcW w:w="2881" w:type="dxa"/>
            <w:tcBorders>
              <w:top w:val="nil"/>
              <w:left w:val="nil"/>
              <w:bottom w:val="single" w:color="auto" w:sz="4" w:space="0"/>
              <w:right w:val="single" w:color="auto" w:sz="4" w:space="0"/>
            </w:tcBorders>
            <w:noWrap/>
            <w:vAlign w:val="center"/>
          </w:tcPr>
          <w:p w14:paraId="29D00C10">
            <w:pPr>
              <w:widowControl/>
              <w:jc w:val="left"/>
              <w:rPr>
                <w:rFonts w:eastAsia="仿宋_GB2312"/>
                <w:sz w:val="18"/>
                <w:szCs w:val="18"/>
              </w:rPr>
            </w:pPr>
            <w:r>
              <w:rPr>
                <w:rFonts w:eastAsia="仿宋_GB2312"/>
                <w:sz w:val="18"/>
                <w:szCs w:val="18"/>
              </w:rPr>
              <w:t>转付高建公司保险费</w:t>
            </w:r>
          </w:p>
        </w:tc>
        <w:tc>
          <w:tcPr>
            <w:tcW w:w="1386" w:type="dxa"/>
            <w:tcBorders>
              <w:top w:val="nil"/>
              <w:left w:val="nil"/>
              <w:bottom w:val="single" w:color="auto" w:sz="4" w:space="0"/>
              <w:right w:val="single" w:color="auto" w:sz="4" w:space="0"/>
            </w:tcBorders>
            <w:noWrap/>
            <w:vAlign w:val="center"/>
          </w:tcPr>
          <w:p w14:paraId="05AECD30">
            <w:pPr>
              <w:widowControl/>
              <w:jc w:val="right"/>
              <w:rPr>
                <w:rFonts w:eastAsia="仿宋_GB2312"/>
                <w:szCs w:val="20"/>
              </w:rPr>
            </w:pPr>
            <w:r>
              <w:rPr>
                <w:rFonts w:eastAsia="仿宋_GB2312"/>
                <w:szCs w:val="20"/>
              </w:rPr>
              <w:t>64,658.56</w:t>
            </w:r>
          </w:p>
        </w:tc>
        <w:tc>
          <w:tcPr>
            <w:tcW w:w="448" w:type="dxa"/>
            <w:tcBorders>
              <w:top w:val="nil"/>
              <w:left w:val="nil"/>
              <w:bottom w:val="single" w:color="auto" w:sz="4" w:space="0"/>
              <w:right w:val="single" w:color="auto" w:sz="4" w:space="0"/>
            </w:tcBorders>
            <w:noWrap/>
            <w:vAlign w:val="center"/>
          </w:tcPr>
          <w:p w14:paraId="20577E80">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A47184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BE13418">
            <w:pPr>
              <w:widowControl/>
              <w:jc w:val="right"/>
              <w:rPr>
                <w:rFonts w:eastAsia="仿宋_GB2312"/>
                <w:szCs w:val="20"/>
              </w:rPr>
            </w:pPr>
            <w:r>
              <w:rPr>
                <w:rFonts w:eastAsia="仿宋_GB2312"/>
                <w:szCs w:val="20"/>
              </w:rPr>
              <w:t>0</w:t>
            </w:r>
          </w:p>
        </w:tc>
      </w:tr>
      <w:tr w14:paraId="41EFB0A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C1A857E">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6042CE1F">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74C378DF">
            <w:pPr>
              <w:widowControl/>
              <w:jc w:val="left"/>
              <w:rPr>
                <w:rFonts w:eastAsia="仿宋_GB2312"/>
                <w:szCs w:val="20"/>
              </w:rPr>
            </w:pPr>
            <w:r>
              <w:rPr>
                <w:rFonts w:eastAsia="仿宋_GB2312"/>
                <w:szCs w:val="20"/>
              </w:rPr>
              <w:t>0049</w:t>
            </w:r>
          </w:p>
        </w:tc>
        <w:tc>
          <w:tcPr>
            <w:tcW w:w="2881" w:type="dxa"/>
            <w:tcBorders>
              <w:top w:val="nil"/>
              <w:left w:val="nil"/>
              <w:bottom w:val="single" w:color="auto" w:sz="4" w:space="0"/>
              <w:right w:val="single" w:color="auto" w:sz="4" w:space="0"/>
            </w:tcBorders>
            <w:noWrap/>
            <w:vAlign w:val="center"/>
          </w:tcPr>
          <w:p w14:paraId="459D0EF4">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73FCF60A">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53D9A0D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849490D">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53C5BAF">
            <w:pPr>
              <w:widowControl/>
              <w:jc w:val="right"/>
              <w:rPr>
                <w:rFonts w:eastAsia="仿宋_GB2312"/>
                <w:szCs w:val="20"/>
              </w:rPr>
            </w:pPr>
            <w:r>
              <w:rPr>
                <w:rFonts w:eastAsia="仿宋_GB2312"/>
                <w:szCs w:val="20"/>
              </w:rPr>
              <w:t>0</w:t>
            </w:r>
          </w:p>
        </w:tc>
      </w:tr>
      <w:tr w14:paraId="29FCE35B">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36A3CFD">
            <w:pPr>
              <w:widowControl/>
              <w:jc w:val="left"/>
              <w:rPr>
                <w:rFonts w:eastAsia="仿宋_GB2312"/>
                <w:szCs w:val="20"/>
              </w:rPr>
            </w:pPr>
            <w:r>
              <w:rPr>
                <w:rFonts w:eastAsia="仿宋_GB2312"/>
                <w:szCs w:val="20"/>
              </w:rPr>
              <w:t>05</w:t>
            </w:r>
          </w:p>
        </w:tc>
        <w:tc>
          <w:tcPr>
            <w:tcW w:w="416" w:type="dxa"/>
            <w:tcBorders>
              <w:top w:val="nil"/>
              <w:left w:val="nil"/>
              <w:bottom w:val="single" w:color="auto" w:sz="4" w:space="0"/>
              <w:right w:val="single" w:color="auto" w:sz="4" w:space="0"/>
            </w:tcBorders>
            <w:noWrap/>
            <w:vAlign w:val="center"/>
          </w:tcPr>
          <w:p w14:paraId="0E7C8E70">
            <w:pPr>
              <w:widowControl/>
              <w:jc w:val="left"/>
              <w:rPr>
                <w:rFonts w:eastAsia="仿宋_GB2312"/>
                <w:szCs w:val="20"/>
              </w:rPr>
            </w:pPr>
            <w:r>
              <w:rPr>
                <w:rFonts w:eastAsia="仿宋_GB2312"/>
                <w:szCs w:val="20"/>
              </w:rPr>
              <w:t>23</w:t>
            </w:r>
          </w:p>
        </w:tc>
        <w:tc>
          <w:tcPr>
            <w:tcW w:w="660" w:type="dxa"/>
            <w:tcBorders>
              <w:top w:val="nil"/>
              <w:left w:val="nil"/>
              <w:bottom w:val="single" w:color="auto" w:sz="4" w:space="0"/>
              <w:right w:val="single" w:color="auto" w:sz="4" w:space="0"/>
            </w:tcBorders>
            <w:noWrap/>
            <w:vAlign w:val="center"/>
          </w:tcPr>
          <w:p w14:paraId="663962F7">
            <w:pPr>
              <w:widowControl/>
              <w:jc w:val="left"/>
              <w:rPr>
                <w:rFonts w:eastAsia="仿宋_GB2312"/>
                <w:szCs w:val="20"/>
              </w:rPr>
            </w:pPr>
            <w:r>
              <w:rPr>
                <w:rFonts w:eastAsia="仿宋_GB2312"/>
                <w:szCs w:val="20"/>
              </w:rPr>
              <w:t>0049</w:t>
            </w:r>
          </w:p>
        </w:tc>
        <w:tc>
          <w:tcPr>
            <w:tcW w:w="2881" w:type="dxa"/>
            <w:tcBorders>
              <w:top w:val="nil"/>
              <w:left w:val="nil"/>
              <w:bottom w:val="single" w:color="auto" w:sz="4" w:space="0"/>
              <w:right w:val="single" w:color="auto" w:sz="4" w:space="0"/>
            </w:tcBorders>
            <w:noWrap/>
            <w:vAlign w:val="center"/>
          </w:tcPr>
          <w:p w14:paraId="4A5A652C">
            <w:pPr>
              <w:widowControl/>
              <w:jc w:val="left"/>
              <w:rPr>
                <w:rFonts w:eastAsia="仿宋_GB2312"/>
                <w:sz w:val="18"/>
                <w:szCs w:val="18"/>
              </w:rPr>
            </w:pPr>
            <w:r>
              <w:rPr>
                <w:rFonts w:eastAsia="仿宋_GB2312"/>
                <w:sz w:val="18"/>
                <w:szCs w:val="18"/>
              </w:rPr>
              <w:t>转付和佳公司保险费</w:t>
            </w:r>
          </w:p>
        </w:tc>
        <w:tc>
          <w:tcPr>
            <w:tcW w:w="1386" w:type="dxa"/>
            <w:tcBorders>
              <w:top w:val="nil"/>
              <w:left w:val="nil"/>
              <w:bottom w:val="single" w:color="auto" w:sz="4" w:space="0"/>
              <w:right w:val="single" w:color="auto" w:sz="4" w:space="0"/>
            </w:tcBorders>
            <w:noWrap/>
            <w:vAlign w:val="center"/>
          </w:tcPr>
          <w:p w14:paraId="16A1B6CF">
            <w:pPr>
              <w:widowControl/>
              <w:jc w:val="right"/>
              <w:rPr>
                <w:rFonts w:eastAsia="仿宋_GB2312"/>
                <w:szCs w:val="20"/>
              </w:rPr>
            </w:pPr>
            <w:r>
              <w:rPr>
                <w:rFonts w:eastAsia="仿宋_GB2312"/>
                <w:szCs w:val="20"/>
              </w:rPr>
              <w:t>63,074.12</w:t>
            </w:r>
          </w:p>
        </w:tc>
        <w:tc>
          <w:tcPr>
            <w:tcW w:w="448" w:type="dxa"/>
            <w:tcBorders>
              <w:top w:val="nil"/>
              <w:left w:val="nil"/>
              <w:bottom w:val="single" w:color="auto" w:sz="4" w:space="0"/>
              <w:right w:val="single" w:color="auto" w:sz="4" w:space="0"/>
            </w:tcBorders>
            <w:noWrap/>
            <w:vAlign w:val="center"/>
          </w:tcPr>
          <w:p w14:paraId="22A20F6D">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6335114">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603E02B6">
            <w:pPr>
              <w:widowControl/>
              <w:jc w:val="right"/>
              <w:rPr>
                <w:rFonts w:eastAsia="仿宋_GB2312"/>
                <w:szCs w:val="20"/>
              </w:rPr>
            </w:pPr>
            <w:r>
              <w:rPr>
                <w:rFonts w:eastAsia="仿宋_GB2312"/>
                <w:szCs w:val="20"/>
              </w:rPr>
              <w:t>4,774,846.12</w:t>
            </w:r>
          </w:p>
        </w:tc>
      </w:tr>
      <w:tr w14:paraId="5B38A5C6">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D71806E">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7DC4855A">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461F388C">
            <w:pPr>
              <w:widowControl/>
              <w:jc w:val="left"/>
              <w:rPr>
                <w:rFonts w:eastAsia="仿宋_GB2312"/>
                <w:szCs w:val="20"/>
              </w:rPr>
            </w:pPr>
            <w:r>
              <w:rPr>
                <w:rFonts w:eastAsia="仿宋_GB2312"/>
                <w:szCs w:val="20"/>
              </w:rPr>
              <w:t>0012</w:t>
            </w:r>
          </w:p>
        </w:tc>
        <w:tc>
          <w:tcPr>
            <w:tcW w:w="2881" w:type="dxa"/>
            <w:tcBorders>
              <w:top w:val="nil"/>
              <w:left w:val="nil"/>
              <w:bottom w:val="single" w:color="auto" w:sz="4" w:space="0"/>
              <w:right w:val="single" w:color="auto" w:sz="4" w:space="0"/>
            </w:tcBorders>
            <w:noWrap/>
            <w:vAlign w:val="center"/>
          </w:tcPr>
          <w:p w14:paraId="46286B2B">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2DECF7A6">
            <w:pPr>
              <w:widowControl/>
              <w:jc w:val="right"/>
              <w:rPr>
                <w:rFonts w:eastAsia="仿宋_GB2312"/>
                <w:szCs w:val="20"/>
              </w:rPr>
            </w:pPr>
            <w:r>
              <w:rPr>
                <w:rFonts w:eastAsia="仿宋_GB2312"/>
                <w:szCs w:val="20"/>
              </w:rPr>
              <w:t>242,281.67</w:t>
            </w:r>
          </w:p>
        </w:tc>
        <w:tc>
          <w:tcPr>
            <w:tcW w:w="448" w:type="dxa"/>
            <w:tcBorders>
              <w:top w:val="nil"/>
              <w:left w:val="nil"/>
              <w:bottom w:val="single" w:color="auto" w:sz="4" w:space="0"/>
              <w:right w:val="single" w:color="auto" w:sz="4" w:space="0"/>
            </w:tcBorders>
            <w:noWrap/>
            <w:vAlign w:val="center"/>
          </w:tcPr>
          <w:p w14:paraId="70C31718">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0ED9119">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6C8C98E">
            <w:pPr>
              <w:widowControl/>
              <w:jc w:val="right"/>
              <w:rPr>
                <w:rFonts w:eastAsia="仿宋_GB2312"/>
                <w:szCs w:val="20"/>
              </w:rPr>
            </w:pPr>
            <w:r>
              <w:rPr>
                <w:rFonts w:eastAsia="仿宋_GB2312"/>
                <w:szCs w:val="20"/>
              </w:rPr>
              <w:t>0</w:t>
            </w:r>
          </w:p>
        </w:tc>
      </w:tr>
      <w:tr w14:paraId="2787DAC1">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D32138F">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31CFCE89">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0F2EFBCC">
            <w:pPr>
              <w:widowControl/>
              <w:jc w:val="left"/>
              <w:rPr>
                <w:rFonts w:eastAsia="仿宋_GB2312"/>
                <w:szCs w:val="20"/>
              </w:rPr>
            </w:pPr>
            <w:r>
              <w:rPr>
                <w:rFonts w:eastAsia="仿宋_GB2312"/>
                <w:szCs w:val="20"/>
              </w:rPr>
              <w:t>0012</w:t>
            </w:r>
          </w:p>
        </w:tc>
        <w:tc>
          <w:tcPr>
            <w:tcW w:w="2881" w:type="dxa"/>
            <w:tcBorders>
              <w:top w:val="nil"/>
              <w:left w:val="nil"/>
              <w:bottom w:val="single" w:color="auto" w:sz="4" w:space="0"/>
              <w:right w:val="single" w:color="auto" w:sz="4" w:space="0"/>
            </w:tcBorders>
            <w:noWrap/>
            <w:vAlign w:val="center"/>
          </w:tcPr>
          <w:p w14:paraId="071F6780">
            <w:pPr>
              <w:widowControl/>
              <w:jc w:val="left"/>
              <w:rPr>
                <w:rFonts w:eastAsia="仿宋_GB2312"/>
                <w:sz w:val="18"/>
                <w:szCs w:val="18"/>
              </w:rPr>
            </w:pPr>
            <w:r>
              <w:rPr>
                <w:rFonts w:eastAsia="仿宋_GB2312"/>
                <w:sz w:val="18"/>
                <w:szCs w:val="18"/>
              </w:rPr>
              <w:t>转付高建公司人员保险费</w:t>
            </w:r>
          </w:p>
        </w:tc>
        <w:tc>
          <w:tcPr>
            <w:tcW w:w="1386" w:type="dxa"/>
            <w:tcBorders>
              <w:top w:val="nil"/>
              <w:left w:val="nil"/>
              <w:bottom w:val="single" w:color="auto" w:sz="4" w:space="0"/>
              <w:right w:val="single" w:color="auto" w:sz="4" w:space="0"/>
            </w:tcBorders>
            <w:noWrap/>
            <w:vAlign w:val="center"/>
          </w:tcPr>
          <w:p w14:paraId="5C2C8812">
            <w:pPr>
              <w:widowControl/>
              <w:jc w:val="right"/>
              <w:rPr>
                <w:rFonts w:eastAsia="仿宋_GB2312"/>
                <w:szCs w:val="20"/>
              </w:rPr>
            </w:pPr>
            <w:r>
              <w:rPr>
                <w:rFonts w:eastAsia="仿宋_GB2312"/>
                <w:szCs w:val="20"/>
              </w:rPr>
              <w:t>64,658.56</w:t>
            </w:r>
          </w:p>
        </w:tc>
        <w:tc>
          <w:tcPr>
            <w:tcW w:w="448" w:type="dxa"/>
            <w:tcBorders>
              <w:top w:val="nil"/>
              <w:left w:val="nil"/>
              <w:bottom w:val="single" w:color="auto" w:sz="4" w:space="0"/>
              <w:right w:val="single" w:color="auto" w:sz="4" w:space="0"/>
            </w:tcBorders>
            <w:noWrap/>
            <w:vAlign w:val="center"/>
          </w:tcPr>
          <w:p w14:paraId="713B11C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CADCC55">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E71A802">
            <w:pPr>
              <w:widowControl/>
              <w:jc w:val="right"/>
              <w:rPr>
                <w:rFonts w:eastAsia="仿宋_GB2312"/>
                <w:szCs w:val="20"/>
              </w:rPr>
            </w:pPr>
            <w:r>
              <w:rPr>
                <w:rFonts w:eastAsia="仿宋_GB2312"/>
                <w:szCs w:val="20"/>
              </w:rPr>
              <w:t>0</w:t>
            </w:r>
          </w:p>
        </w:tc>
      </w:tr>
      <w:tr w14:paraId="15351DC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3E2D125">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0D258E21">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4636E141">
            <w:pPr>
              <w:widowControl/>
              <w:jc w:val="left"/>
              <w:rPr>
                <w:rFonts w:eastAsia="仿宋_GB2312"/>
                <w:szCs w:val="20"/>
              </w:rPr>
            </w:pPr>
            <w:r>
              <w:rPr>
                <w:rFonts w:eastAsia="仿宋_GB2312"/>
                <w:szCs w:val="20"/>
              </w:rPr>
              <w:t>0013</w:t>
            </w:r>
          </w:p>
        </w:tc>
        <w:tc>
          <w:tcPr>
            <w:tcW w:w="2881" w:type="dxa"/>
            <w:tcBorders>
              <w:top w:val="nil"/>
              <w:left w:val="nil"/>
              <w:bottom w:val="single" w:color="auto" w:sz="4" w:space="0"/>
              <w:right w:val="single" w:color="auto" w:sz="4" w:space="0"/>
            </w:tcBorders>
            <w:noWrap/>
            <w:vAlign w:val="center"/>
          </w:tcPr>
          <w:p w14:paraId="386466C2">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21B2BE92">
            <w:pPr>
              <w:widowControl/>
              <w:jc w:val="right"/>
              <w:rPr>
                <w:rFonts w:eastAsia="仿宋_GB2312"/>
                <w:szCs w:val="20"/>
              </w:rPr>
            </w:pPr>
            <w:r>
              <w:rPr>
                <w:rFonts w:eastAsia="仿宋_GB2312"/>
                <w:szCs w:val="20"/>
              </w:rPr>
              <w:t>269,195.59</w:t>
            </w:r>
          </w:p>
        </w:tc>
        <w:tc>
          <w:tcPr>
            <w:tcW w:w="448" w:type="dxa"/>
            <w:tcBorders>
              <w:top w:val="nil"/>
              <w:left w:val="nil"/>
              <w:bottom w:val="single" w:color="auto" w:sz="4" w:space="0"/>
              <w:right w:val="single" w:color="auto" w:sz="4" w:space="0"/>
            </w:tcBorders>
            <w:noWrap/>
            <w:vAlign w:val="center"/>
          </w:tcPr>
          <w:p w14:paraId="76DEF327">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42915F4">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B394B92">
            <w:pPr>
              <w:widowControl/>
              <w:jc w:val="right"/>
              <w:rPr>
                <w:rFonts w:eastAsia="仿宋_GB2312"/>
                <w:szCs w:val="20"/>
              </w:rPr>
            </w:pPr>
            <w:r>
              <w:rPr>
                <w:rFonts w:eastAsia="仿宋_GB2312"/>
                <w:szCs w:val="20"/>
              </w:rPr>
              <w:t>0</w:t>
            </w:r>
          </w:p>
        </w:tc>
      </w:tr>
      <w:tr w14:paraId="6FB55BD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22AFB5A">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3FD06DD4">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76EB7310">
            <w:pPr>
              <w:widowControl/>
              <w:jc w:val="left"/>
              <w:rPr>
                <w:rFonts w:eastAsia="仿宋_GB2312"/>
                <w:szCs w:val="20"/>
              </w:rPr>
            </w:pPr>
            <w:r>
              <w:rPr>
                <w:rFonts w:eastAsia="仿宋_GB2312"/>
                <w:szCs w:val="20"/>
              </w:rPr>
              <w:t>0013</w:t>
            </w:r>
          </w:p>
        </w:tc>
        <w:tc>
          <w:tcPr>
            <w:tcW w:w="2881" w:type="dxa"/>
            <w:tcBorders>
              <w:top w:val="nil"/>
              <w:left w:val="nil"/>
              <w:bottom w:val="single" w:color="auto" w:sz="4" w:space="0"/>
              <w:right w:val="single" w:color="auto" w:sz="4" w:space="0"/>
            </w:tcBorders>
            <w:noWrap/>
            <w:vAlign w:val="center"/>
          </w:tcPr>
          <w:p w14:paraId="351EC01D">
            <w:pPr>
              <w:widowControl/>
              <w:jc w:val="left"/>
              <w:rPr>
                <w:rFonts w:eastAsia="仿宋_GB2312"/>
                <w:sz w:val="18"/>
                <w:szCs w:val="18"/>
              </w:rPr>
            </w:pPr>
            <w:r>
              <w:rPr>
                <w:rFonts w:eastAsia="仿宋_GB2312"/>
                <w:sz w:val="18"/>
                <w:szCs w:val="18"/>
              </w:rPr>
              <w:t>转付黄大姐公司人员保险费</w:t>
            </w:r>
          </w:p>
        </w:tc>
        <w:tc>
          <w:tcPr>
            <w:tcW w:w="1386" w:type="dxa"/>
            <w:tcBorders>
              <w:top w:val="nil"/>
              <w:left w:val="nil"/>
              <w:bottom w:val="single" w:color="auto" w:sz="4" w:space="0"/>
              <w:right w:val="single" w:color="auto" w:sz="4" w:space="0"/>
            </w:tcBorders>
            <w:noWrap/>
            <w:vAlign w:val="center"/>
          </w:tcPr>
          <w:p w14:paraId="452B277F">
            <w:pPr>
              <w:widowControl/>
              <w:jc w:val="right"/>
              <w:rPr>
                <w:rFonts w:eastAsia="仿宋_GB2312"/>
                <w:szCs w:val="20"/>
              </w:rPr>
            </w:pPr>
            <w:r>
              <w:rPr>
                <w:rFonts w:eastAsia="仿宋_GB2312"/>
                <w:szCs w:val="20"/>
              </w:rPr>
              <w:t>90,674.40</w:t>
            </w:r>
          </w:p>
        </w:tc>
        <w:tc>
          <w:tcPr>
            <w:tcW w:w="448" w:type="dxa"/>
            <w:tcBorders>
              <w:top w:val="nil"/>
              <w:left w:val="nil"/>
              <w:bottom w:val="single" w:color="auto" w:sz="4" w:space="0"/>
              <w:right w:val="single" w:color="auto" w:sz="4" w:space="0"/>
            </w:tcBorders>
            <w:noWrap/>
            <w:vAlign w:val="center"/>
          </w:tcPr>
          <w:p w14:paraId="191E63B6">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CF4B5F4">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A0B9803">
            <w:pPr>
              <w:widowControl/>
              <w:jc w:val="right"/>
              <w:rPr>
                <w:rFonts w:eastAsia="仿宋_GB2312"/>
                <w:szCs w:val="20"/>
              </w:rPr>
            </w:pPr>
            <w:r>
              <w:rPr>
                <w:rFonts w:eastAsia="仿宋_GB2312"/>
                <w:szCs w:val="20"/>
              </w:rPr>
              <w:t>0</w:t>
            </w:r>
          </w:p>
        </w:tc>
      </w:tr>
      <w:tr w14:paraId="54B9501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DD43EB1">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3F2ABFC8">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1FDFF25D">
            <w:pPr>
              <w:widowControl/>
              <w:jc w:val="left"/>
              <w:rPr>
                <w:rFonts w:eastAsia="仿宋_GB2312"/>
                <w:szCs w:val="20"/>
              </w:rPr>
            </w:pPr>
            <w:r>
              <w:rPr>
                <w:rFonts w:eastAsia="仿宋_GB2312"/>
                <w:szCs w:val="20"/>
              </w:rPr>
              <w:t>0014</w:t>
            </w:r>
          </w:p>
        </w:tc>
        <w:tc>
          <w:tcPr>
            <w:tcW w:w="2881" w:type="dxa"/>
            <w:tcBorders>
              <w:top w:val="nil"/>
              <w:left w:val="nil"/>
              <w:bottom w:val="single" w:color="auto" w:sz="4" w:space="0"/>
              <w:right w:val="single" w:color="auto" w:sz="4" w:space="0"/>
            </w:tcBorders>
            <w:noWrap/>
            <w:vAlign w:val="center"/>
          </w:tcPr>
          <w:p w14:paraId="684F2C81">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3E347F2A">
            <w:pPr>
              <w:widowControl/>
              <w:jc w:val="right"/>
              <w:rPr>
                <w:rFonts w:eastAsia="仿宋_GB2312"/>
                <w:szCs w:val="20"/>
              </w:rPr>
            </w:pPr>
            <w:r>
              <w:rPr>
                <w:rFonts w:eastAsia="仿宋_GB2312"/>
                <w:szCs w:val="20"/>
              </w:rPr>
              <w:t>220,581.57</w:t>
            </w:r>
          </w:p>
        </w:tc>
        <w:tc>
          <w:tcPr>
            <w:tcW w:w="448" w:type="dxa"/>
            <w:tcBorders>
              <w:top w:val="nil"/>
              <w:left w:val="nil"/>
              <w:bottom w:val="single" w:color="auto" w:sz="4" w:space="0"/>
              <w:right w:val="single" w:color="auto" w:sz="4" w:space="0"/>
            </w:tcBorders>
            <w:noWrap/>
            <w:vAlign w:val="center"/>
          </w:tcPr>
          <w:p w14:paraId="557EC390">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D001AA9">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CA92DA1">
            <w:pPr>
              <w:widowControl/>
              <w:jc w:val="right"/>
              <w:rPr>
                <w:rFonts w:eastAsia="仿宋_GB2312"/>
                <w:szCs w:val="20"/>
              </w:rPr>
            </w:pPr>
            <w:r>
              <w:rPr>
                <w:rFonts w:eastAsia="仿宋_GB2312"/>
                <w:szCs w:val="20"/>
              </w:rPr>
              <w:t>0</w:t>
            </w:r>
          </w:p>
        </w:tc>
      </w:tr>
      <w:tr w14:paraId="794554D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1714819">
            <w:pPr>
              <w:widowControl/>
              <w:jc w:val="left"/>
              <w:rPr>
                <w:rFonts w:eastAsia="仿宋_GB2312"/>
                <w:szCs w:val="20"/>
              </w:rPr>
            </w:pPr>
            <w:r>
              <w:rPr>
                <w:rFonts w:eastAsia="仿宋_GB2312"/>
                <w:szCs w:val="20"/>
              </w:rPr>
              <w:t>06</w:t>
            </w:r>
          </w:p>
        </w:tc>
        <w:tc>
          <w:tcPr>
            <w:tcW w:w="416" w:type="dxa"/>
            <w:tcBorders>
              <w:top w:val="nil"/>
              <w:left w:val="nil"/>
              <w:bottom w:val="single" w:color="auto" w:sz="4" w:space="0"/>
              <w:right w:val="single" w:color="auto" w:sz="4" w:space="0"/>
            </w:tcBorders>
            <w:noWrap/>
            <w:vAlign w:val="center"/>
          </w:tcPr>
          <w:p w14:paraId="68219BC6">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3090BB7E">
            <w:pPr>
              <w:widowControl/>
              <w:jc w:val="left"/>
              <w:rPr>
                <w:rFonts w:eastAsia="仿宋_GB2312"/>
                <w:szCs w:val="20"/>
              </w:rPr>
            </w:pPr>
            <w:r>
              <w:rPr>
                <w:rFonts w:eastAsia="仿宋_GB2312"/>
                <w:szCs w:val="20"/>
              </w:rPr>
              <w:t>0014</w:t>
            </w:r>
          </w:p>
        </w:tc>
        <w:tc>
          <w:tcPr>
            <w:tcW w:w="2881" w:type="dxa"/>
            <w:tcBorders>
              <w:top w:val="nil"/>
              <w:left w:val="nil"/>
              <w:bottom w:val="single" w:color="auto" w:sz="4" w:space="0"/>
              <w:right w:val="single" w:color="auto" w:sz="4" w:space="0"/>
            </w:tcBorders>
            <w:noWrap/>
            <w:vAlign w:val="center"/>
          </w:tcPr>
          <w:p w14:paraId="69B513B0">
            <w:pPr>
              <w:widowControl/>
              <w:jc w:val="left"/>
              <w:rPr>
                <w:rFonts w:eastAsia="仿宋_GB2312"/>
                <w:sz w:val="18"/>
                <w:szCs w:val="18"/>
              </w:rPr>
            </w:pPr>
            <w:r>
              <w:rPr>
                <w:rFonts w:eastAsia="仿宋_GB2312"/>
                <w:sz w:val="18"/>
                <w:szCs w:val="18"/>
              </w:rPr>
              <w:t>转付和佳公司人员保险费</w:t>
            </w:r>
          </w:p>
        </w:tc>
        <w:tc>
          <w:tcPr>
            <w:tcW w:w="1386" w:type="dxa"/>
            <w:tcBorders>
              <w:top w:val="nil"/>
              <w:left w:val="nil"/>
              <w:bottom w:val="single" w:color="auto" w:sz="4" w:space="0"/>
              <w:right w:val="single" w:color="auto" w:sz="4" w:space="0"/>
            </w:tcBorders>
            <w:noWrap/>
            <w:vAlign w:val="center"/>
          </w:tcPr>
          <w:p w14:paraId="017696B2">
            <w:pPr>
              <w:widowControl/>
              <w:jc w:val="right"/>
              <w:rPr>
                <w:rFonts w:eastAsia="仿宋_GB2312"/>
                <w:szCs w:val="20"/>
              </w:rPr>
            </w:pPr>
            <w:r>
              <w:rPr>
                <w:rFonts w:eastAsia="仿宋_GB2312"/>
                <w:szCs w:val="20"/>
              </w:rPr>
              <w:t>64,130.16</w:t>
            </w:r>
          </w:p>
        </w:tc>
        <w:tc>
          <w:tcPr>
            <w:tcW w:w="448" w:type="dxa"/>
            <w:tcBorders>
              <w:top w:val="nil"/>
              <w:left w:val="nil"/>
              <w:bottom w:val="single" w:color="auto" w:sz="4" w:space="0"/>
              <w:right w:val="single" w:color="auto" w:sz="4" w:space="0"/>
            </w:tcBorders>
            <w:noWrap/>
            <w:vAlign w:val="center"/>
          </w:tcPr>
          <w:p w14:paraId="1677DA9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336F934">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79874A9A">
            <w:pPr>
              <w:widowControl/>
              <w:jc w:val="right"/>
              <w:rPr>
                <w:rFonts w:eastAsia="仿宋_GB2312"/>
                <w:szCs w:val="20"/>
              </w:rPr>
            </w:pPr>
            <w:r>
              <w:rPr>
                <w:rFonts w:eastAsia="仿宋_GB2312"/>
                <w:szCs w:val="20"/>
              </w:rPr>
              <w:t>5,726,368.07</w:t>
            </w:r>
          </w:p>
        </w:tc>
      </w:tr>
      <w:tr w14:paraId="14D73CD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73B6854">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169EA19F">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6EEC6429">
            <w:pPr>
              <w:widowControl/>
              <w:jc w:val="left"/>
              <w:rPr>
                <w:rFonts w:eastAsia="仿宋_GB2312"/>
                <w:szCs w:val="20"/>
              </w:rPr>
            </w:pPr>
            <w:r>
              <w:rPr>
                <w:rFonts w:eastAsia="仿宋_GB2312"/>
                <w:szCs w:val="20"/>
              </w:rPr>
              <w:t>0029</w:t>
            </w:r>
          </w:p>
        </w:tc>
        <w:tc>
          <w:tcPr>
            <w:tcW w:w="2881" w:type="dxa"/>
            <w:tcBorders>
              <w:top w:val="nil"/>
              <w:left w:val="nil"/>
              <w:bottom w:val="single" w:color="auto" w:sz="4" w:space="0"/>
              <w:right w:val="single" w:color="auto" w:sz="4" w:space="0"/>
            </w:tcBorders>
            <w:noWrap/>
            <w:vAlign w:val="center"/>
          </w:tcPr>
          <w:p w14:paraId="163E1BE1">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451ABC61">
            <w:pPr>
              <w:widowControl/>
              <w:jc w:val="right"/>
              <w:rPr>
                <w:rFonts w:eastAsia="仿宋_GB2312"/>
                <w:szCs w:val="20"/>
              </w:rPr>
            </w:pPr>
            <w:r>
              <w:rPr>
                <w:rFonts w:eastAsia="仿宋_GB2312"/>
                <w:szCs w:val="20"/>
              </w:rPr>
              <w:t>268,470.59</w:t>
            </w:r>
          </w:p>
        </w:tc>
        <w:tc>
          <w:tcPr>
            <w:tcW w:w="448" w:type="dxa"/>
            <w:tcBorders>
              <w:top w:val="nil"/>
              <w:left w:val="nil"/>
              <w:bottom w:val="single" w:color="auto" w:sz="4" w:space="0"/>
              <w:right w:val="single" w:color="auto" w:sz="4" w:space="0"/>
            </w:tcBorders>
            <w:noWrap/>
            <w:vAlign w:val="center"/>
          </w:tcPr>
          <w:p w14:paraId="7BB87D67">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1F25EDE">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9BCC015">
            <w:pPr>
              <w:widowControl/>
              <w:jc w:val="right"/>
              <w:rPr>
                <w:rFonts w:eastAsia="仿宋_GB2312"/>
                <w:szCs w:val="20"/>
              </w:rPr>
            </w:pPr>
            <w:r>
              <w:rPr>
                <w:rFonts w:eastAsia="仿宋_GB2312"/>
                <w:szCs w:val="20"/>
              </w:rPr>
              <w:t>0</w:t>
            </w:r>
          </w:p>
        </w:tc>
      </w:tr>
      <w:tr w14:paraId="42F3649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E8D0E42">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10548E29">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4FF3D12A">
            <w:pPr>
              <w:widowControl/>
              <w:jc w:val="left"/>
              <w:rPr>
                <w:rFonts w:eastAsia="仿宋_GB2312"/>
                <w:szCs w:val="20"/>
              </w:rPr>
            </w:pPr>
            <w:r>
              <w:rPr>
                <w:rFonts w:eastAsia="仿宋_GB2312"/>
                <w:szCs w:val="20"/>
              </w:rPr>
              <w:t>0029</w:t>
            </w:r>
          </w:p>
        </w:tc>
        <w:tc>
          <w:tcPr>
            <w:tcW w:w="2881" w:type="dxa"/>
            <w:tcBorders>
              <w:top w:val="nil"/>
              <w:left w:val="nil"/>
              <w:bottom w:val="single" w:color="auto" w:sz="4" w:space="0"/>
              <w:right w:val="single" w:color="auto" w:sz="4" w:space="0"/>
            </w:tcBorders>
            <w:noWrap/>
            <w:vAlign w:val="center"/>
          </w:tcPr>
          <w:p w14:paraId="40D6CBD7">
            <w:pPr>
              <w:widowControl/>
              <w:jc w:val="left"/>
              <w:rPr>
                <w:rFonts w:eastAsia="仿宋_GB2312"/>
                <w:sz w:val="18"/>
                <w:szCs w:val="18"/>
              </w:rPr>
            </w:pPr>
            <w:r>
              <w:rPr>
                <w:rFonts w:eastAsia="仿宋_GB2312"/>
                <w:sz w:val="18"/>
                <w:szCs w:val="18"/>
              </w:rPr>
              <w:t>转付黄大姐公司人员保险费</w:t>
            </w:r>
          </w:p>
        </w:tc>
        <w:tc>
          <w:tcPr>
            <w:tcW w:w="1386" w:type="dxa"/>
            <w:tcBorders>
              <w:top w:val="nil"/>
              <w:left w:val="nil"/>
              <w:bottom w:val="single" w:color="auto" w:sz="4" w:space="0"/>
              <w:right w:val="single" w:color="auto" w:sz="4" w:space="0"/>
            </w:tcBorders>
            <w:noWrap/>
            <w:vAlign w:val="center"/>
          </w:tcPr>
          <w:p w14:paraId="66FBE38A">
            <w:pPr>
              <w:widowControl/>
              <w:jc w:val="right"/>
              <w:rPr>
                <w:rFonts w:eastAsia="仿宋_GB2312"/>
                <w:szCs w:val="20"/>
              </w:rPr>
            </w:pPr>
            <w:r>
              <w:rPr>
                <w:rFonts w:eastAsia="仿宋_GB2312"/>
                <w:szCs w:val="20"/>
              </w:rPr>
              <w:t>93,882.00</w:t>
            </w:r>
          </w:p>
        </w:tc>
        <w:tc>
          <w:tcPr>
            <w:tcW w:w="448" w:type="dxa"/>
            <w:tcBorders>
              <w:top w:val="nil"/>
              <w:left w:val="nil"/>
              <w:bottom w:val="single" w:color="auto" w:sz="4" w:space="0"/>
              <w:right w:val="single" w:color="auto" w:sz="4" w:space="0"/>
            </w:tcBorders>
            <w:noWrap/>
            <w:vAlign w:val="center"/>
          </w:tcPr>
          <w:p w14:paraId="3D0F1B92">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DECE6A4">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3E30957">
            <w:pPr>
              <w:widowControl/>
              <w:jc w:val="right"/>
              <w:rPr>
                <w:rFonts w:eastAsia="仿宋_GB2312"/>
                <w:szCs w:val="20"/>
              </w:rPr>
            </w:pPr>
            <w:r>
              <w:rPr>
                <w:rFonts w:eastAsia="仿宋_GB2312"/>
                <w:szCs w:val="20"/>
              </w:rPr>
              <w:t>0</w:t>
            </w:r>
          </w:p>
        </w:tc>
      </w:tr>
      <w:tr w14:paraId="33E1B58B">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03D91CA">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5AD088B9">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761F2CA0">
            <w:pPr>
              <w:widowControl/>
              <w:jc w:val="left"/>
              <w:rPr>
                <w:rFonts w:eastAsia="仿宋_GB2312"/>
                <w:szCs w:val="20"/>
              </w:rPr>
            </w:pPr>
            <w:r>
              <w:rPr>
                <w:rFonts w:eastAsia="仿宋_GB2312"/>
                <w:szCs w:val="20"/>
              </w:rPr>
              <w:t>0030</w:t>
            </w:r>
          </w:p>
        </w:tc>
        <w:tc>
          <w:tcPr>
            <w:tcW w:w="2881" w:type="dxa"/>
            <w:tcBorders>
              <w:top w:val="nil"/>
              <w:left w:val="nil"/>
              <w:bottom w:val="single" w:color="auto" w:sz="4" w:space="0"/>
              <w:right w:val="single" w:color="auto" w:sz="4" w:space="0"/>
            </w:tcBorders>
            <w:noWrap/>
            <w:vAlign w:val="center"/>
          </w:tcPr>
          <w:p w14:paraId="3C4FF58D">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39BEC9BC">
            <w:pPr>
              <w:widowControl/>
              <w:jc w:val="right"/>
              <w:rPr>
                <w:rFonts w:eastAsia="仿宋_GB2312"/>
                <w:szCs w:val="20"/>
              </w:rPr>
            </w:pPr>
            <w:r>
              <w:rPr>
                <w:rFonts w:eastAsia="仿宋_GB2312"/>
                <w:szCs w:val="20"/>
              </w:rPr>
              <w:t>220,471.57</w:t>
            </w:r>
          </w:p>
        </w:tc>
        <w:tc>
          <w:tcPr>
            <w:tcW w:w="448" w:type="dxa"/>
            <w:tcBorders>
              <w:top w:val="nil"/>
              <w:left w:val="nil"/>
              <w:bottom w:val="single" w:color="auto" w:sz="4" w:space="0"/>
              <w:right w:val="single" w:color="auto" w:sz="4" w:space="0"/>
            </w:tcBorders>
            <w:noWrap/>
            <w:vAlign w:val="center"/>
          </w:tcPr>
          <w:p w14:paraId="5944757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C349084">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719458F">
            <w:pPr>
              <w:widowControl/>
              <w:jc w:val="right"/>
              <w:rPr>
                <w:rFonts w:eastAsia="仿宋_GB2312"/>
                <w:szCs w:val="20"/>
              </w:rPr>
            </w:pPr>
            <w:r>
              <w:rPr>
                <w:rFonts w:eastAsia="仿宋_GB2312"/>
                <w:szCs w:val="20"/>
              </w:rPr>
              <w:t>0</w:t>
            </w:r>
          </w:p>
        </w:tc>
      </w:tr>
      <w:tr w14:paraId="51B21282">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62BA8A0">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4A871B93">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508C19C9">
            <w:pPr>
              <w:widowControl/>
              <w:jc w:val="left"/>
              <w:rPr>
                <w:rFonts w:eastAsia="仿宋_GB2312"/>
                <w:szCs w:val="20"/>
              </w:rPr>
            </w:pPr>
            <w:r>
              <w:rPr>
                <w:rFonts w:eastAsia="仿宋_GB2312"/>
                <w:szCs w:val="20"/>
              </w:rPr>
              <w:t>0030</w:t>
            </w:r>
          </w:p>
        </w:tc>
        <w:tc>
          <w:tcPr>
            <w:tcW w:w="2881" w:type="dxa"/>
            <w:tcBorders>
              <w:top w:val="nil"/>
              <w:left w:val="nil"/>
              <w:bottom w:val="single" w:color="auto" w:sz="4" w:space="0"/>
              <w:right w:val="single" w:color="auto" w:sz="4" w:space="0"/>
            </w:tcBorders>
            <w:noWrap/>
            <w:vAlign w:val="center"/>
          </w:tcPr>
          <w:p w14:paraId="1FD451EF">
            <w:pPr>
              <w:widowControl/>
              <w:jc w:val="left"/>
              <w:rPr>
                <w:rFonts w:eastAsia="仿宋_GB2312"/>
                <w:sz w:val="18"/>
                <w:szCs w:val="18"/>
              </w:rPr>
            </w:pPr>
            <w:r>
              <w:rPr>
                <w:rFonts w:eastAsia="仿宋_GB2312"/>
                <w:sz w:val="18"/>
                <w:szCs w:val="18"/>
              </w:rPr>
              <w:t>转付和佳公司人员保险费</w:t>
            </w:r>
          </w:p>
        </w:tc>
        <w:tc>
          <w:tcPr>
            <w:tcW w:w="1386" w:type="dxa"/>
            <w:tcBorders>
              <w:top w:val="nil"/>
              <w:left w:val="nil"/>
              <w:bottom w:val="single" w:color="auto" w:sz="4" w:space="0"/>
              <w:right w:val="single" w:color="auto" w:sz="4" w:space="0"/>
            </w:tcBorders>
            <w:noWrap/>
            <w:vAlign w:val="center"/>
          </w:tcPr>
          <w:p w14:paraId="00D9C304">
            <w:pPr>
              <w:widowControl/>
              <w:jc w:val="right"/>
              <w:rPr>
                <w:rFonts w:eastAsia="仿宋_GB2312"/>
                <w:szCs w:val="20"/>
              </w:rPr>
            </w:pPr>
            <w:r>
              <w:rPr>
                <w:rFonts w:eastAsia="仿宋_GB2312"/>
                <w:szCs w:val="20"/>
              </w:rPr>
              <w:t>63,074.12</w:t>
            </w:r>
          </w:p>
        </w:tc>
        <w:tc>
          <w:tcPr>
            <w:tcW w:w="448" w:type="dxa"/>
            <w:tcBorders>
              <w:top w:val="nil"/>
              <w:left w:val="nil"/>
              <w:bottom w:val="single" w:color="auto" w:sz="4" w:space="0"/>
              <w:right w:val="single" w:color="auto" w:sz="4" w:space="0"/>
            </w:tcBorders>
            <w:noWrap/>
            <w:vAlign w:val="center"/>
          </w:tcPr>
          <w:p w14:paraId="75A202C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6267FC6">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441FF93">
            <w:pPr>
              <w:widowControl/>
              <w:jc w:val="right"/>
              <w:rPr>
                <w:rFonts w:eastAsia="仿宋_GB2312"/>
                <w:szCs w:val="20"/>
              </w:rPr>
            </w:pPr>
            <w:r>
              <w:rPr>
                <w:rFonts w:eastAsia="仿宋_GB2312"/>
                <w:szCs w:val="20"/>
              </w:rPr>
              <w:t>0</w:t>
            </w:r>
          </w:p>
        </w:tc>
      </w:tr>
      <w:tr w14:paraId="77FC6A2A">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CD9B949">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1D03BE8E">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442CAD55">
            <w:pPr>
              <w:widowControl/>
              <w:jc w:val="left"/>
              <w:rPr>
                <w:rFonts w:eastAsia="仿宋_GB2312"/>
                <w:szCs w:val="20"/>
              </w:rPr>
            </w:pPr>
            <w:r>
              <w:rPr>
                <w:rFonts w:eastAsia="仿宋_GB2312"/>
                <w:szCs w:val="20"/>
              </w:rPr>
              <w:t>0031</w:t>
            </w:r>
          </w:p>
        </w:tc>
        <w:tc>
          <w:tcPr>
            <w:tcW w:w="2881" w:type="dxa"/>
            <w:tcBorders>
              <w:top w:val="nil"/>
              <w:left w:val="nil"/>
              <w:bottom w:val="single" w:color="auto" w:sz="4" w:space="0"/>
              <w:right w:val="single" w:color="auto" w:sz="4" w:space="0"/>
            </w:tcBorders>
            <w:noWrap/>
            <w:vAlign w:val="center"/>
          </w:tcPr>
          <w:p w14:paraId="184A5FC5">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7E902375">
            <w:pPr>
              <w:widowControl/>
              <w:jc w:val="right"/>
              <w:rPr>
                <w:rFonts w:eastAsia="仿宋_GB2312"/>
                <w:szCs w:val="20"/>
              </w:rPr>
            </w:pPr>
            <w:r>
              <w:rPr>
                <w:rFonts w:eastAsia="仿宋_GB2312"/>
                <w:szCs w:val="20"/>
              </w:rPr>
              <w:t>242,291.67</w:t>
            </w:r>
          </w:p>
        </w:tc>
        <w:tc>
          <w:tcPr>
            <w:tcW w:w="448" w:type="dxa"/>
            <w:tcBorders>
              <w:top w:val="nil"/>
              <w:left w:val="nil"/>
              <w:bottom w:val="single" w:color="auto" w:sz="4" w:space="0"/>
              <w:right w:val="single" w:color="auto" w:sz="4" w:space="0"/>
            </w:tcBorders>
            <w:noWrap/>
            <w:vAlign w:val="center"/>
          </w:tcPr>
          <w:p w14:paraId="6111A951">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EDE8A9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BC32CD2">
            <w:pPr>
              <w:widowControl/>
              <w:jc w:val="right"/>
              <w:rPr>
                <w:rFonts w:eastAsia="仿宋_GB2312"/>
                <w:szCs w:val="20"/>
              </w:rPr>
            </w:pPr>
            <w:r>
              <w:rPr>
                <w:rFonts w:eastAsia="仿宋_GB2312"/>
                <w:szCs w:val="20"/>
              </w:rPr>
              <w:t>0</w:t>
            </w:r>
          </w:p>
        </w:tc>
      </w:tr>
      <w:tr w14:paraId="38A1B79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E721841">
            <w:pPr>
              <w:widowControl/>
              <w:jc w:val="left"/>
              <w:rPr>
                <w:rFonts w:eastAsia="仿宋_GB2312"/>
                <w:szCs w:val="20"/>
              </w:rPr>
            </w:pPr>
            <w:r>
              <w:rPr>
                <w:rFonts w:eastAsia="仿宋_GB2312"/>
                <w:szCs w:val="20"/>
              </w:rPr>
              <w:t>07</w:t>
            </w:r>
          </w:p>
        </w:tc>
        <w:tc>
          <w:tcPr>
            <w:tcW w:w="416" w:type="dxa"/>
            <w:tcBorders>
              <w:top w:val="nil"/>
              <w:left w:val="nil"/>
              <w:bottom w:val="single" w:color="auto" w:sz="4" w:space="0"/>
              <w:right w:val="single" w:color="auto" w:sz="4" w:space="0"/>
            </w:tcBorders>
            <w:noWrap/>
            <w:vAlign w:val="center"/>
          </w:tcPr>
          <w:p w14:paraId="1ECAB016">
            <w:pPr>
              <w:widowControl/>
              <w:jc w:val="left"/>
              <w:rPr>
                <w:rFonts w:eastAsia="仿宋_GB2312"/>
                <w:szCs w:val="20"/>
              </w:rPr>
            </w:pPr>
            <w:r>
              <w:rPr>
                <w:rFonts w:eastAsia="仿宋_GB2312"/>
                <w:szCs w:val="20"/>
              </w:rPr>
              <w:t>24</w:t>
            </w:r>
          </w:p>
        </w:tc>
        <w:tc>
          <w:tcPr>
            <w:tcW w:w="660" w:type="dxa"/>
            <w:tcBorders>
              <w:top w:val="nil"/>
              <w:left w:val="nil"/>
              <w:bottom w:val="single" w:color="auto" w:sz="4" w:space="0"/>
              <w:right w:val="single" w:color="auto" w:sz="4" w:space="0"/>
            </w:tcBorders>
            <w:noWrap/>
            <w:vAlign w:val="center"/>
          </w:tcPr>
          <w:p w14:paraId="7067ECE9">
            <w:pPr>
              <w:widowControl/>
              <w:jc w:val="left"/>
              <w:rPr>
                <w:rFonts w:eastAsia="仿宋_GB2312"/>
                <w:szCs w:val="20"/>
              </w:rPr>
            </w:pPr>
            <w:r>
              <w:rPr>
                <w:rFonts w:eastAsia="仿宋_GB2312"/>
                <w:szCs w:val="20"/>
              </w:rPr>
              <w:t>0031</w:t>
            </w:r>
          </w:p>
        </w:tc>
        <w:tc>
          <w:tcPr>
            <w:tcW w:w="2881" w:type="dxa"/>
            <w:tcBorders>
              <w:top w:val="nil"/>
              <w:left w:val="nil"/>
              <w:bottom w:val="single" w:color="auto" w:sz="4" w:space="0"/>
              <w:right w:val="single" w:color="auto" w:sz="4" w:space="0"/>
            </w:tcBorders>
            <w:noWrap/>
            <w:vAlign w:val="center"/>
          </w:tcPr>
          <w:p w14:paraId="080D5750">
            <w:pPr>
              <w:widowControl/>
              <w:jc w:val="left"/>
              <w:rPr>
                <w:rFonts w:eastAsia="仿宋_GB2312"/>
                <w:sz w:val="18"/>
                <w:szCs w:val="18"/>
              </w:rPr>
            </w:pPr>
            <w:r>
              <w:rPr>
                <w:rFonts w:eastAsia="仿宋_GB2312"/>
                <w:sz w:val="18"/>
                <w:szCs w:val="18"/>
              </w:rPr>
              <w:t>转付高建公司人员保险费</w:t>
            </w:r>
          </w:p>
        </w:tc>
        <w:tc>
          <w:tcPr>
            <w:tcW w:w="1386" w:type="dxa"/>
            <w:tcBorders>
              <w:top w:val="nil"/>
              <w:left w:val="nil"/>
              <w:bottom w:val="single" w:color="auto" w:sz="4" w:space="0"/>
              <w:right w:val="single" w:color="auto" w:sz="4" w:space="0"/>
            </w:tcBorders>
            <w:noWrap/>
            <w:vAlign w:val="center"/>
          </w:tcPr>
          <w:p w14:paraId="615D43DB">
            <w:pPr>
              <w:widowControl/>
              <w:jc w:val="right"/>
              <w:rPr>
                <w:rFonts w:eastAsia="仿宋_GB2312"/>
                <w:szCs w:val="20"/>
              </w:rPr>
            </w:pPr>
            <w:r>
              <w:rPr>
                <w:rFonts w:eastAsia="仿宋_GB2312"/>
                <w:szCs w:val="20"/>
              </w:rPr>
              <w:t>70,400.38</w:t>
            </w:r>
          </w:p>
        </w:tc>
        <w:tc>
          <w:tcPr>
            <w:tcW w:w="448" w:type="dxa"/>
            <w:tcBorders>
              <w:top w:val="nil"/>
              <w:left w:val="nil"/>
              <w:bottom w:val="single" w:color="auto" w:sz="4" w:space="0"/>
              <w:right w:val="single" w:color="auto" w:sz="4" w:space="0"/>
            </w:tcBorders>
            <w:noWrap/>
            <w:vAlign w:val="center"/>
          </w:tcPr>
          <w:p w14:paraId="5E8A9658">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2888DB4">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7813F274">
            <w:pPr>
              <w:widowControl/>
              <w:jc w:val="right"/>
              <w:rPr>
                <w:rFonts w:eastAsia="仿宋_GB2312"/>
                <w:szCs w:val="20"/>
              </w:rPr>
            </w:pPr>
            <w:r>
              <w:rPr>
                <w:rFonts w:eastAsia="仿宋_GB2312"/>
                <w:szCs w:val="20"/>
              </w:rPr>
              <w:t>6,684,958.40</w:t>
            </w:r>
          </w:p>
        </w:tc>
      </w:tr>
      <w:tr w14:paraId="596CEDD9">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D971CD3">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31A6A1F1">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7520E8A8">
            <w:pPr>
              <w:widowControl/>
              <w:jc w:val="left"/>
              <w:rPr>
                <w:rFonts w:eastAsia="仿宋_GB2312"/>
                <w:szCs w:val="20"/>
              </w:rPr>
            </w:pPr>
            <w:r>
              <w:rPr>
                <w:rFonts w:eastAsia="仿宋_GB2312"/>
                <w:szCs w:val="20"/>
              </w:rPr>
              <w:t>0069</w:t>
            </w:r>
          </w:p>
        </w:tc>
        <w:tc>
          <w:tcPr>
            <w:tcW w:w="2881" w:type="dxa"/>
            <w:tcBorders>
              <w:top w:val="nil"/>
              <w:left w:val="nil"/>
              <w:bottom w:val="single" w:color="auto" w:sz="4" w:space="0"/>
              <w:right w:val="single" w:color="auto" w:sz="4" w:space="0"/>
            </w:tcBorders>
            <w:noWrap/>
            <w:vAlign w:val="center"/>
          </w:tcPr>
          <w:p w14:paraId="1754A12F">
            <w:pPr>
              <w:widowControl/>
              <w:jc w:val="left"/>
              <w:rPr>
                <w:rFonts w:eastAsia="仿宋_GB2312"/>
                <w:sz w:val="18"/>
                <w:szCs w:val="18"/>
              </w:rPr>
            </w:pPr>
            <w:r>
              <w:rPr>
                <w:rFonts w:eastAsia="仿宋_GB2312"/>
                <w:sz w:val="18"/>
                <w:szCs w:val="18"/>
              </w:rPr>
              <w:t>转付高建公司环卫市场化经费</w:t>
            </w:r>
          </w:p>
        </w:tc>
        <w:tc>
          <w:tcPr>
            <w:tcW w:w="1386" w:type="dxa"/>
            <w:tcBorders>
              <w:top w:val="nil"/>
              <w:left w:val="nil"/>
              <w:bottom w:val="single" w:color="auto" w:sz="4" w:space="0"/>
              <w:right w:val="single" w:color="auto" w:sz="4" w:space="0"/>
            </w:tcBorders>
            <w:noWrap/>
            <w:vAlign w:val="center"/>
          </w:tcPr>
          <w:p w14:paraId="68104173">
            <w:pPr>
              <w:widowControl/>
              <w:jc w:val="right"/>
              <w:rPr>
                <w:rFonts w:eastAsia="仿宋_GB2312"/>
                <w:szCs w:val="20"/>
              </w:rPr>
            </w:pPr>
            <w:r>
              <w:rPr>
                <w:rFonts w:eastAsia="仿宋_GB2312"/>
                <w:szCs w:val="20"/>
              </w:rPr>
              <w:t>251,593.33</w:t>
            </w:r>
          </w:p>
        </w:tc>
        <w:tc>
          <w:tcPr>
            <w:tcW w:w="448" w:type="dxa"/>
            <w:tcBorders>
              <w:top w:val="nil"/>
              <w:left w:val="nil"/>
              <w:bottom w:val="single" w:color="auto" w:sz="4" w:space="0"/>
              <w:right w:val="single" w:color="auto" w:sz="4" w:space="0"/>
            </w:tcBorders>
            <w:noWrap/>
            <w:vAlign w:val="center"/>
          </w:tcPr>
          <w:p w14:paraId="0CA58F9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7AD42A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7BF860E">
            <w:pPr>
              <w:widowControl/>
              <w:jc w:val="right"/>
              <w:rPr>
                <w:rFonts w:eastAsia="仿宋_GB2312"/>
                <w:szCs w:val="20"/>
              </w:rPr>
            </w:pPr>
            <w:r>
              <w:rPr>
                <w:rFonts w:eastAsia="仿宋_GB2312"/>
                <w:szCs w:val="20"/>
              </w:rPr>
              <w:t>0</w:t>
            </w:r>
          </w:p>
        </w:tc>
      </w:tr>
      <w:tr w14:paraId="7578D7E8">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95AAB9E">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3476062D">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1F394EEF">
            <w:pPr>
              <w:widowControl/>
              <w:jc w:val="left"/>
              <w:rPr>
                <w:rFonts w:eastAsia="仿宋_GB2312"/>
                <w:szCs w:val="20"/>
              </w:rPr>
            </w:pPr>
            <w:r>
              <w:rPr>
                <w:rFonts w:eastAsia="仿宋_GB2312"/>
                <w:szCs w:val="20"/>
              </w:rPr>
              <w:t>0069</w:t>
            </w:r>
          </w:p>
        </w:tc>
        <w:tc>
          <w:tcPr>
            <w:tcW w:w="2881" w:type="dxa"/>
            <w:tcBorders>
              <w:top w:val="nil"/>
              <w:left w:val="nil"/>
              <w:bottom w:val="single" w:color="auto" w:sz="4" w:space="0"/>
              <w:right w:val="single" w:color="auto" w:sz="4" w:space="0"/>
            </w:tcBorders>
            <w:noWrap/>
            <w:vAlign w:val="center"/>
          </w:tcPr>
          <w:p w14:paraId="42793E61">
            <w:pPr>
              <w:widowControl/>
              <w:jc w:val="left"/>
              <w:rPr>
                <w:rFonts w:eastAsia="仿宋_GB2312"/>
                <w:sz w:val="18"/>
                <w:szCs w:val="18"/>
              </w:rPr>
            </w:pPr>
            <w:r>
              <w:rPr>
                <w:rFonts w:eastAsia="仿宋_GB2312"/>
                <w:sz w:val="18"/>
                <w:szCs w:val="18"/>
              </w:rPr>
              <w:t>转付高建公司环卫市场化保险费</w:t>
            </w:r>
          </w:p>
        </w:tc>
        <w:tc>
          <w:tcPr>
            <w:tcW w:w="1386" w:type="dxa"/>
            <w:tcBorders>
              <w:top w:val="nil"/>
              <w:left w:val="nil"/>
              <w:bottom w:val="single" w:color="auto" w:sz="4" w:space="0"/>
              <w:right w:val="single" w:color="auto" w:sz="4" w:space="0"/>
            </w:tcBorders>
            <w:noWrap/>
            <w:vAlign w:val="center"/>
          </w:tcPr>
          <w:p w14:paraId="701DA782">
            <w:pPr>
              <w:widowControl/>
              <w:jc w:val="right"/>
              <w:rPr>
                <w:rFonts w:eastAsia="仿宋_GB2312"/>
                <w:szCs w:val="20"/>
              </w:rPr>
            </w:pPr>
            <w:r>
              <w:rPr>
                <w:rFonts w:eastAsia="仿宋_GB2312"/>
                <w:szCs w:val="20"/>
              </w:rPr>
              <w:t>69,264.89</w:t>
            </w:r>
          </w:p>
        </w:tc>
        <w:tc>
          <w:tcPr>
            <w:tcW w:w="448" w:type="dxa"/>
            <w:tcBorders>
              <w:top w:val="nil"/>
              <w:left w:val="nil"/>
              <w:bottom w:val="single" w:color="auto" w:sz="4" w:space="0"/>
              <w:right w:val="single" w:color="auto" w:sz="4" w:space="0"/>
            </w:tcBorders>
            <w:noWrap/>
            <w:vAlign w:val="center"/>
          </w:tcPr>
          <w:p w14:paraId="69A951C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BA68B12">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329FDF9">
            <w:pPr>
              <w:widowControl/>
              <w:jc w:val="right"/>
              <w:rPr>
                <w:rFonts w:eastAsia="仿宋_GB2312"/>
                <w:szCs w:val="20"/>
              </w:rPr>
            </w:pPr>
            <w:r>
              <w:rPr>
                <w:rFonts w:eastAsia="仿宋_GB2312"/>
                <w:szCs w:val="20"/>
              </w:rPr>
              <w:t>0</w:t>
            </w:r>
          </w:p>
        </w:tc>
      </w:tr>
      <w:tr w14:paraId="455473E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3A8B4AC">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6CAC0E7D">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5B1D4D23">
            <w:pPr>
              <w:widowControl/>
              <w:jc w:val="left"/>
              <w:rPr>
                <w:rFonts w:eastAsia="仿宋_GB2312"/>
                <w:szCs w:val="20"/>
              </w:rPr>
            </w:pPr>
            <w:r>
              <w:rPr>
                <w:rFonts w:eastAsia="仿宋_GB2312"/>
                <w:szCs w:val="20"/>
              </w:rPr>
              <w:t>0070</w:t>
            </w:r>
          </w:p>
        </w:tc>
        <w:tc>
          <w:tcPr>
            <w:tcW w:w="2881" w:type="dxa"/>
            <w:tcBorders>
              <w:top w:val="nil"/>
              <w:left w:val="nil"/>
              <w:bottom w:val="single" w:color="auto" w:sz="4" w:space="0"/>
              <w:right w:val="single" w:color="auto" w:sz="4" w:space="0"/>
            </w:tcBorders>
            <w:noWrap/>
            <w:vAlign w:val="center"/>
          </w:tcPr>
          <w:p w14:paraId="3DB74B8E">
            <w:pPr>
              <w:widowControl/>
              <w:jc w:val="left"/>
              <w:rPr>
                <w:rFonts w:eastAsia="仿宋_GB2312"/>
                <w:sz w:val="18"/>
                <w:szCs w:val="18"/>
              </w:rPr>
            </w:pPr>
            <w:r>
              <w:rPr>
                <w:rFonts w:eastAsia="仿宋_GB2312"/>
                <w:sz w:val="18"/>
                <w:szCs w:val="18"/>
              </w:rPr>
              <w:t>转付黄大姐公司环卫市场化经费</w:t>
            </w:r>
          </w:p>
        </w:tc>
        <w:tc>
          <w:tcPr>
            <w:tcW w:w="1386" w:type="dxa"/>
            <w:tcBorders>
              <w:top w:val="nil"/>
              <w:left w:val="nil"/>
              <w:bottom w:val="single" w:color="auto" w:sz="4" w:space="0"/>
              <w:right w:val="single" w:color="auto" w:sz="4" w:space="0"/>
            </w:tcBorders>
            <w:noWrap/>
            <w:vAlign w:val="center"/>
          </w:tcPr>
          <w:p w14:paraId="701C595F">
            <w:pPr>
              <w:widowControl/>
              <w:jc w:val="right"/>
              <w:rPr>
                <w:rFonts w:eastAsia="仿宋_GB2312"/>
                <w:szCs w:val="20"/>
              </w:rPr>
            </w:pPr>
            <w:r>
              <w:rPr>
                <w:rFonts w:eastAsia="仿宋_GB2312"/>
                <w:szCs w:val="20"/>
              </w:rPr>
              <w:t>282,075.75</w:t>
            </w:r>
          </w:p>
        </w:tc>
        <w:tc>
          <w:tcPr>
            <w:tcW w:w="448" w:type="dxa"/>
            <w:tcBorders>
              <w:top w:val="nil"/>
              <w:left w:val="nil"/>
              <w:bottom w:val="single" w:color="auto" w:sz="4" w:space="0"/>
              <w:right w:val="single" w:color="auto" w:sz="4" w:space="0"/>
            </w:tcBorders>
            <w:noWrap/>
            <w:vAlign w:val="center"/>
          </w:tcPr>
          <w:p w14:paraId="6AB21CD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8D7390A">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3FB8E35">
            <w:pPr>
              <w:widowControl/>
              <w:jc w:val="right"/>
              <w:rPr>
                <w:rFonts w:eastAsia="仿宋_GB2312"/>
                <w:szCs w:val="20"/>
              </w:rPr>
            </w:pPr>
            <w:r>
              <w:rPr>
                <w:rFonts w:eastAsia="仿宋_GB2312"/>
                <w:szCs w:val="20"/>
              </w:rPr>
              <w:t>0</w:t>
            </w:r>
          </w:p>
        </w:tc>
      </w:tr>
      <w:tr w14:paraId="6EF7DF8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F05AE38">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1D897E48">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28B9F0B2">
            <w:pPr>
              <w:widowControl/>
              <w:jc w:val="left"/>
              <w:rPr>
                <w:rFonts w:eastAsia="仿宋_GB2312"/>
                <w:szCs w:val="20"/>
              </w:rPr>
            </w:pPr>
            <w:r>
              <w:rPr>
                <w:rFonts w:eastAsia="仿宋_GB2312"/>
                <w:szCs w:val="20"/>
              </w:rPr>
              <w:t>0070</w:t>
            </w:r>
          </w:p>
        </w:tc>
        <w:tc>
          <w:tcPr>
            <w:tcW w:w="2881" w:type="dxa"/>
            <w:tcBorders>
              <w:top w:val="nil"/>
              <w:left w:val="nil"/>
              <w:bottom w:val="single" w:color="auto" w:sz="4" w:space="0"/>
              <w:right w:val="single" w:color="auto" w:sz="4" w:space="0"/>
            </w:tcBorders>
            <w:noWrap/>
            <w:vAlign w:val="center"/>
          </w:tcPr>
          <w:p w14:paraId="4C15ED4B">
            <w:pPr>
              <w:widowControl/>
              <w:jc w:val="left"/>
              <w:rPr>
                <w:rFonts w:eastAsia="仿宋_GB2312"/>
                <w:sz w:val="18"/>
                <w:szCs w:val="18"/>
              </w:rPr>
            </w:pPr>
            <w:r>
              <w:rPr>
                <w:rFonts w:eastAsia="仿宋_GB2312"/>
                <w:sz w:val="18"/>
                <w:szCs w:val="18"/>
              </w:rPr>
              <w:t>转付黄大姐公司环卫市场化保险费</w:t>
            </w:r>
          </w:p>
        </w:tc>
        <w:tc>
          <w:tcPr>
            <w:tcW w:w="1386" w:type="dxa"/>
            <w:tcBorders>
              <w:top w:val="nil"/>
              <w:left w:val="nil"/>
              <w:bottom w:val="single" w:color="auto" w:sz="4" w:space="0"/>
              <w:right w:val="single" w:color="auto" w:sz="4" w:space="0"/>
            </w:tcBorders>
            <w:noWrap/>
            <w:vAlign w:val="center"/>
          </w:tcPr>
          <w:p w14:paraId="6A0055E1">
            <w:pPr>
              <w:widowControl/>
              <w:jc w:val="right"/>
              <w:rPr>
                <w:rFonts w:eastAsia="仿宋_GB2312"/>
                <w:szCs w:val="20"/>
              </w:rPr>
            </w:pPr>
            <w:r>
              <w:rPr>
                <w:rFonts w:eastAsia="仿宋_GB2312"/>
                <w:szCs w:val="20"/>
              </w:rPr>
              <w:t>148,383.30</w:t>
            </w:r>
          </w:p>
        </w:tc>
        <w:tc>
          <w:tcPr>
            <w:tcW w:w="448" w:type="dxa"/>
            <w:tcBorders>
              <w:top w:val="nil"/>
              <w:left w:val="nil"/>
              <w:bottom w:val="single" w:color="auto" w:sz="4" w:space="0"/>
              <w:right w:val="single" w:color="auto" w:sz="4" w:space="0"/>
            </w:tcBorders>
            <w:noWrap/>
            <w:vAlign w:val="center"/>
          </w:tcPr>
          <w:p w14:paraId="1FA24871">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500E6A9">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FF532CF">
            <w:pPr>
              <w:widowControl/>
              <w:jc w:val="right"/>
              <w:rPr>
                <w:rFonts w:eastAsia="仿宋_GB2312"/>
                <w:szCs w:val="20"/>
              </w:rPr>
            </w:pPr>
            <w:r>
              <w:rPr>
                <w:rFonts w:eastAsia="仿宋_GB2312"/>
                <w:szCs w:val="20"/>
              </w:rPr>
              <w:t>0</w:t>
            </w:r>
          </w:p>
        </w:tc>
      </w:tr>
      <w:tr w14:paraId="011464F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E92A39D">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26B46578">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193766AF">
            <w:pPr>
              <w:widowControl/>
              <w:jc w:val="left"/>
              <w:rPr>
                <w:rFonts w:eastAsia="仿宋_GB2312"/>
                <w:szCs w:val="20"/>
              </w:rPr>
            </w:pPr>
            <w:r>
              <w:rPr>
                <w:rFonts w:eastAsia="仿宋_GB2312"/>
                <w:szCs w:val="20"/>
              </w:rPr>
              <w:t>0071</w:t>
            </w:r>
          </w:p>
        </w:tc>
        <w:tc>
          <w:tcPr>
            <w:tcW w:w="2881" w:type="dxa"/>
            <w:tcBorders>
              <w:top w:val="nil"/>
              <w:left w:val="nil"/>
              <w:bottom w:val="single" w:color="auto" w:sz="4" w:space="0"/>
              <w:right w:val="single" w:color="auto" w:sz="4" w:space="0"/>
            </w:tcBorders>
            <w:noWrap/>
            <w:vAlign w:val="center"/>
          </w:tcPr>
          <w:p w14:paraId="3625129E">
            <w:pPr>
              <w:widowControl/>
              <w:jc w:val="left"/>
              <w:rPr>
                <w:rFonts w:eastAsia="仿宋_GB2312"/>
                <w:sz w:val="18"/>
                <w:szCs w:val="18"/>
              </w:rPr>
            </w:pPr>
            <w:r>
              <w:rPr>
                <w:rFonts w:eastAsia="仿宋_GB2312"/>
                <w:sz w:val="18"/>
                <w:szCs w:val="18"/>
              </w:rPr>
              <w:t>转付和佳公司环卫市场化经费</w:t>
            </w:r>
          </w:p>
        </w:tc>
        <w:tc>
          <w:tcPr>
            <w:tcW w:w="1386" w:type="dxa"/>
            <w:tcBorders>
              <w:top w:val="nil"/>
              <w:left w:val="nil"/>
              <w:bottom w:val="single" w:color="auto" w:sz="4" w:space="0"/>
              <w:right w:val="single" w:color="auto" w:sz="4" w:space="0"/>
            </w:tcBorders>
            <w:noWrap/>
            <w:vAlign w:val="center"/>
          </w:tcPr>
          <w:p w14:paraId="2C7AEDDC">
            <w:pPr>
              <w:widowControl/>
              <w:jc w:val="right"/>
              <w:rPr>
                <w:rFonts w:eastAsia="仿宋_GB2312"/>
                <w:szCs w:val="20"/>
              </w:rPr>
            </w:pPr>
            <w:r>
              <w:rPr>
                <w:rFonts w:eastAsia="仿宋_GB2312"/>
                <w:szCs w:val="20"/>
              </w:rPr>
              <w:t>230,015.80</w:t>
            </w:r>
          </w:p>
        </w:tc>
        <w:tc>
          <w:tcPr>
            <w:tcW w:w="448" w:type="dxa"/>
            <w:tcBorders>
              <w:top w:val="nil"/>
              <w:left w:val="nil"/>
              <w:bottom w:val="single" w:color="auto" w:sz="4" w:space="0"/>
              <w:right w:val="single" w:color="auto" w:sz="4" w:space="0"/>
            </w:tcBorders>
            <w:noWrap/>
            <w:vAlign w:val="center"/>
          </w:tcPr>
          <w:p w14:paraId="62955CF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DE2EF3A">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2BA0513">
            <w:pPr>
              <w:widowControl/>
              <w:jc w:val="right"/>
              <w:rPr>
                <w:rFonts w:eastAsia="仿宋_GB2312"/>
                <w:szCs w:val="20"/>
              </w:rPr>
            </w:pPr>
            <w:r>
              <w:rPr>
                <w:rFonts w:eastAsia="仿宋_GB2312"/>
                <w:szCs w:val="20"/>
              </w:rPr>
              <w:t>0</w:t>
            </w:r>
          </w:p>
        </w:tc>
      </w:tr>
      <w:tr w14:paraId="71AB5E2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57FCC43">
            <w:pPr>
              <w:widowControl/>
              <w:jc w:val="left"/>
              <w:rPr>
                <w:rFonts w:eastAsia="仿宋_GB2312"/>
                <w:szCs w:val="20"/>
              </w:rPr>
            </w:pPr>
            <w:r>
              <w:rPr>
                <w:rFonts w:eastAsia="仿宋_GB2312"/>
                <w:szCs w:val="20"/>
              </w:rPr>
              <w:t>08</w:t>
            </w:r>
          </w:p>
        </w:tc>
        <w:tc>
          <w:tcPr>
            <w:tcW w:w="416" w:type="dxa"/>
            <w:tcBorders>
              <w:top w:val="nil"/>
              <w:left w:val="nil"/>
              <w:bottom w:val="single" w:color="auto" w:sz="4" w:space="0"/>
              <w:right w:val="single" w:color="auto" w:sz="4" w:space="0"/>
            </w:tcBorders>
            <w:noWrap/>
            <w:vAlign w:val="center"/>
          </w:tcPr>
          <w:p w14:paraId="7B5F4DD4">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23121215">
            <w:pPr>
              <w:widowControl/>
              <w:jc w:val="left"/>
              <w:rPr>
                <w:rFonts w:eastAsia="仿宋_GB2312"/>
                <w:szCs w:val="20"/>
              </w:rPr>
            </w:pPr>
            <w:r>
              <w:rPr>
                <w:rFonts w:eastAsia="仿宋_GB2312"/>
                <w:szCs w:val="20"/>
              </w:rPr>
              <w:t>0071</w:t>
            </w:r>
          </w:p>
        </w:tc>
        <w:tc>
          <w:tcPr>
            <w:tcW w:w="2881" w:type="dxa"/>
            <w:tcBorders>
              <w:top w:val="nil"/>
              <w:left w:val="nil"/>
              <w:bottom w:val="single" w:color="auto" w:sz="4" w:space="0"/>
              <w:right w:val="single" w:color="auto" w:sz="4" w:space="0"/>
            </w:tcBorders>
            <w:noWrap/>
            <w:vAlign w:val="center"/>
          </w:tcPr>
          <w:p w14:paraId="4FF6523D">
            <w:pPr>
              <w:widowControl/>
              <w:jc w:val="left"/>
              <w:rPr>
                <w:rFonts w:eastAsia="仿宋_GB2312"/>
                <w:sz w:val="18"/>
                <w:szCs w:val="18"/>
              </w:rPr>
            </w:pPr>
            <w:r>
              <w:rPr>
                <w:rFonts w:eastAsia="仿宋_GB2312"/>
                <w:sz w:val="18"/>
                <w:szCs w:val="18"/>
              </w:rPr>
              <w:t>转付和佳公司环卫市场化保险费</w:t>
            </w:r>
          </w:p>
        </w:tc>
        <w:tc>
          <w:tcPr>
            <w:tcW w:w="1386" w:type="dxa"/>
            <w:tcBorders>
              <w:top w:val="nil"/>
              <w:left w:val="nil"/>
              <w:bottom w:val="single" w:color="auto" w:sz="4" w:space="0"/>
              <w:right w:val="single" w:color="auto" w:sz="4" w:space="0"/>
            </w:tcBorders>
            <w:noWrap/>
            <w:vAlign w:val="center"/>
          </w:tcPr>
          <w:p w14:paraId="38C33E0B">
            <w:pPr>
              <w:widowControl/>
              <w:jc w:val="right"/>
              <w:rPr>
                <w:rFonts w:eastAsia="仿宋_GB2312"/>
                <w:szCs w:val="20"/>
              </w:rPr>
            </w:pPr>
            <w:r>
              <w:rPr>
                <w:rFonts w:eastAsia="仿宋_GB2312"/>
                <w:szCs w:val="20"/>
              </w:rPr>
              <w:t>98,547.42</w:t>
            </w:r>
          </w:p>
        </w:tc>
        <w:tc>
          <w:tcPr>
            <w:tcW w:w="448" w:type="dxa"/>
            <w:tcBorders>
              <w:top w:val="nil"/>
              <w:left w:val="nil"/>
              <w:bottom w:val="single" w:color="auto" w:sz="4" w:space="0"/>
              <w:right w:val="single" w:color="auto" w:sz="4" w:space="0"/>
            </w:tcBorders>
            <w:noWrap/>
            <w:vAlign w:val="center"/>
          </w:tcPr>
          <w:p w14:paraId="3C493415">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F5628B8">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49962AC3">
            <w:pPr>
              <w:widowControl/>
              <w:jc w:val="right"/>
              <w:rPr>
                <w:rFonts w:eastAsia="仿宋_GB2312"/>
                <w:szCs w:val="20"/>
              </w:rPr>
            </w:pPr>
            <w:r>
              <w:rPr>
                <w:rFonts w:eastAsia="仿宋_GB2312"/>
                <w:szCs w:val="20"/>
              </w:rPr>
              <w:t>7,764,838.89</w:t>
            </w:r>
          </w:p>
        </w:tc>
      </w:tr>
      <w:tr w14:paraId="6232B77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4E935BB">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62B11E03">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2959444E">
            <w:pPr>
              <w:widowControl/>
              <w:jc w:val="left"/>
              <w:rPr>
                <w:rFonts w:eastAsia="仿宋_GB2312"/>
                <w:szCs w:val="20"/>
              </w:rPr>
            </w:pPr>
            <w:r>
              <w:rPr>
                <w:rFonts w:eastAsia="仿宋_GB2312"/>
                <w:szCs w:val="20"/>
              </w:rPr>
              <w:t>0027</w:t>
            </w:r>
          </w:p>
        </w:tc>
        <w:tc>
          <w:tcPr>
            <w:tcW w:w="2881" w:type="dxa"/>
            <w:tcBorders>
              <w:top w:val="nil"/>
              <w:left w:val="nil"/>
              <w:bottom w:val="single" w:color="auto" w:sz="4" w:space="0"/>
              <w:right w:val="single" w:color="auto" w:sz="4" w:space="0"/>
            </w:tcBorders>
            <w:noWrap/>
            <w:vAlign w:val="center"/>
          </w:tcPr>
          <w:p w14:paraId="3D2D0F60">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00B91782">
            <w:pPr>
              <w:widowControl/>
              <w:jc w:val="right"/>
              <w:rPr>
                <w:rFonts w:eastAsia="仿宋_GB2312"/>
                <w:szCs w:val="20"/>
              </w:rPr>
            </w:pPr>
            <w:r>
              <w:rPr>
                <w:rFonts w:eastAsia="仿宋_GB2312"/>
                <w:szCs w:val="20"/>
              </w:rPr>
              <w:t>252,008.33</w:t>
            </w:r>
          </w:p>
        </w:tc>
        <w:tc>
          <w:tcPr>
            <w:tcW w:w="448" w:type="dxa"/>
            <w:tcBorders>
              <w:top w:val="nil"/>
              <w:left w:val="nil"/>
              <w:bottom w:val="single" w:color="auto" w:sz="4" w:space="0"/>
              <w:right w:val="single" w:color="auto" w:sz="4" w:space="0"/>
            </w:tcBorders>
            <w:noWrap/>
            <w:vAlign w:val="center"/>
          </w:tcPr>
          <w:p w14:paraId="4C0EB73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CC39542">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00FEE0A">
            <w:pPr>
              <w:widowControl/>
              <w:jc w:val="right"/>
              <w:rPr>
                <w:rFonts w:eastAsia="仿宋_GB2312"/>
                <w:szCs w:val="20"/>
              </w:rPr>
            </w:pPr>
            <w:r>
              <w:rPr>
                <w:rFonts w:eastAsia="仿宋_GB2312"/>
                <w:szCs w:val="20"/>
              </w:rPr>
              <w:t>0</w:t>
            </w:r>
          </w:p>
        </w:tc>
      </w:tr>
      <w:tr w14:paraId="62D931B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5E15AF8">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7A203CF0">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5D2FC03B">
            <w:pPr>
              <w:widowControl/>
              <w:jc w:val="left"/>
              <w:rPr>
                <w:rFonts w:eastAsia="仿宋_GB2312"/>
                <w:szCs w:val="20"/>
              </w:rPr>
            </w:pPr>
            <w:r>
              <w:rPr>
                <w:rFonts w:eastAsia="仿宋_GB2312"/>
                <w:szCs w:val="20"/>
              </w:rPr>
              <w:t>0027</w:t>
            </w:r>
          </w:p>
        </w:tc>
        <w:tc>
          <w:tcPr>
            <w:tcW w:w="2881" w:type="dxa"/>
            <w:tcBorders>
              <w:top w:val="nil"/>
              <w:left w:val="nil"/>
              <w:bottom w:val="single" w:color="auto" w:sz="4" w:space="0"/>
              <w:right w:val="single" w:color="auto" w:sz="4" w:space="0"/>
            </w:tcBorders>
            <w:noWrap/>
            <w:vAlign w:val="center"/>
          </w:tcPr>
          <w:p w14:paraId="277DF434">
            <w:pPr>
              <w:widowControl/>
              <w:jc w:val="left"/>
              <w:rPr>
                <w:rFonts w:eastAsia="仿宋_GB2312"/>
                <w:sz w:val="18"/>
                <w:szCs w:val="18"/>
              </w:rPr>
            </w:pPr>
            <w:r>
              <w:rPr>
                <w:rFonts w:eastAsia="仿宋_GB2312"/>
                <w:sz w:val="18"/>
                <w:szCs w:val="18"/>
              </w:rPr>
              <w:t>转付高建公司人员保险费</w:t>
            </w:r>
          </w:p>
        </w:tc>
        <w:tc>
          <w:tcPr>
            <w:tcW w:w="1386" w:type="dxa"/>
            <w:tcBorders>
              <w:top w:val="nil"/>
              <w:left w:val="nil"/>
              <w:bottom w:val="single" w:color="auto" w:sz="4" w:space="0"/>
              <w:right w:val="single" w:color="auto" w:sz="4" w:space="0"/>
            </w:tcBorders>
            <w:noWrap/>
            <w:vAlign w:val="center"/>
          </w:tcPr>
          <w:p w14:paraId="747AD783">
            <w:pPr>
              <w:widowControl/>
              <w:jc w:val="right"/>
              <w:rPr>
                <w:rFonts w:eastAsia="仿宋_GB2312"/>
                <w:szCs w:val="20"/>
              </w:rPr>
            </w:pPr>
            <w:r>
              <w:rPr>
                <w:rFonts w:eastAsia="仿宋_GB2312"/>
                <w:szCs w:val="20"/>
              </w:rPr>
              <w:t>69,264.89</w:t>
            </w:r>
          </w:p>
        </w:tc>
        <w:tc>
          <w:tcPr>
            <w:tcW w:w="448" w:type="dxa"/>
            <w:tcBorders>
              <w:top w:val="nil"/>
              <w:left w:val="nil"/>
              <w:bottom w:val="single" w:color="auto" w:sz="4" w:space="0"/>
              <w:right w:val="single" w:color="auto" w:sz="4" w:space="0"/>
            </w:tcBorders>
            <w:noWrap/>
            <w:vAlign w:val="center"/>
          </w:tcPr>
          <w:p w14:paraId="4F6EE2BB">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9C49782">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96449F3">
            <w:pPr>
              <w:widowControl/>
              <w:jc w:val="right"/>
              <w:rPr>
                <w:rFonts w:eastAsia="仿宋_GB2312"/>
                <w:szCs w:val="20"/>
              </w:rPr>
            </w:pPr>
            <w:r>
              <w:rPr>
                <w:rFonts w:eastAsia="仿宋_GB2312"/>
                <w:szCs w:val="20"/>
              </w:rPr>
              <w:t>0</w:t>
            </w:r>
          </w:p>
        </w:tc>
      </w:tr>
      <w:tr w14:paraId="080979EC">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68C7BD0">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606828AE">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18862D85">
            <w:pPr>
              <w:widowControl/>
              <w:jc w:val="left"/>
              <w:rPr>
                <w:rFonts w:eastAsia="仿宋_GB2312"/>
                <w:szCs w:val="20"/>
              </w:rPr>
            </w:pPr>
            <w:r>
              <w:rPr>
                <w:rFonts w:eastAsia="仿宋_GB2312"/>
                <w:szCs w:val="20"/>
              </w:rPr>
              <w:t>0028</w:t>
            </w:r>
          </w:p>
        </w:tc>
        <w:tc>
          <w:tcPr>
            <w:tcW w:w="2881" w:type="dxa"/>
            <w:tcBorders>
              <w:top w:val="nil"/>
              <w:left w:val="nil"/>
              <w:bottom w:val="single" w:color="auto" w:sz="4" w:space="0"/>
              <w:right w:val="single" w:color="auto" w:sz="4" w:space="0"/>
            </w:tcBorders>
            <w:noWrap/>
            <w:vAlign w:val="center"/>
          </w:tcPr>
          <w:p w14:paraId="2F4A47B3">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64197464">
            <w:pPr>
              <w:widowControl/>
              <w:jc w:val="right"/>
              <w:rPr>
                <w:rFonts w:eastAsia="仿宋_GB2312"/>
                <w:szCs w:val="20"/>
              </w:rPr>
            </w:pPr>
            <w:r>
              <w:rPr>
                <w:rFonts w:eastAsia="仿宋_GB2312"/>
                <w:szCs w:val="20"/>
              </w:rPr>
              <w:t>230,015.80</w:t>
            </w:r>
          </w:p>
        </w:tc>
        <w:tc>
          <w:tcPr>
            <w:tcW w:w="448" w:type="dxa"/>
            <w:tcBorders>
              <w:top w:val="nil"/>
              <w:left w:val="nil"/>
              <w:bottom w:val="single" w:color="auto" w:sz="4" w:space="0"/>
              <w:right w:val="single" w:color="auto" w:sz="4" w:space="0"/>
            </w:tcBorders>
            <w:noWrap/>
            <w:vAlign w:val="center"/>
          </w:tcPr>
          <w:p w14:paraId="5C016A9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219698C">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3420CE8">
            <w:pPr>
              <w:widowControl/>
              <w:jc w:val="right"/>
              <w:rPr>
                <w:rFonts w:eastAsia="仿宋_GB2312"/>
                <w:szCs w:val="20"/>
              </w:rPr>
            </w:pPr>
            <w:r>
              <w:rPr>
                <w:rFonts w:eastAsia="仿宋_GB2312"/>
                <w:szCs w:val="20"/>
              </w:rPr>
              <w:t>0</w:t>
            </w:r>
          </w:p>
        </w:tc>
      </w:tr>
      <w:tr w14:paraId="57E6660F">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3030DF82">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7317C202">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2A13FCD0">
            <w:pPr>
              <w:widowControl/>
              <w:jc w:val="left"/>
              <w:rPr>
                <w:rFonts w:eastAsia="仿宋_GB2312"/>
                <w:szCs w:val="20"/>
              </w:rPr>
            </w:pPr>
            <w:r>
              <w:rPr>
                <w:rFonts w:eastAsia="仿宋_GB2312"/>
                <w:szCs w:val="20"/>
              </w:rPr>
              <w:t>0028</w:t>
            </w:r>
          </w:p>
        </w:tc>
        <w:tc>
          <w:tcPr>
            <w:tcW w:w="2881" w:type="dxa"/>
            <w:tcBorders>
              <w:top w:val="nil"/>
              <w:left w:val="nil"/>
              <w:bottom w:val="single" w:color="auto" w:sz="4" w:space="0"/>
              <w:right w:val="single" w:color="auto" w:sz="4" w:space="0"/>
            </w:tcBorders>
            <w:noWrap/>
            <w:vAlign w:val="center"/>
          </w:tcPr>
          <w:p w14:paraId="3E44AE82">
            <w:pPr>
              <w:widowControl/>
              <w:jc w:val="left"/>
              <w:rPr>
                <w:rFonts w:eastAsia="仿宋_GB2312"/>
                <w:sz w:val="18"/>
                <w:szCs w:val="18"/>
              </w:rPr>
            </w:pPr>
            <w:r>
              <w:rPr>
                <w:rFonts w:eastAsia="仿宋_GB2312"/>
                <w:sz w:val="18"/>
                <w:szCs w:val="18"/>
              </w:rPr>
              <w:t>转付和佳公司人员保险费</w:t>
            </w:r>
          </w:p>
        </w:tc>
        <w:tc>
          <w:tcPr>
            <w:tcW w:w="1386" w:type="dxa"/>
            <w:tcBorders>
              <w:top w:val="nil"/>
              <w:left w:val="nil"/>
              <w:bottom w:val="single" w:color="auto" w:sz="4" w:space="0"/>
              <w:right w:val="single" w:color="auto" w:sz="4" w:space="0"/>
            </w:tcBorders>
            <w:noWrap/>
            <w:vAlign w:val="center"/>
          </w:tcPr>
          <w:p w14:paraId="4EA51199">
            <w:pPr>
              <w:widowControl/>
              <w:jc w:val="right"/>
              <w:rPr>
                <w:rFonts w:eastAsia="仿宋_GB2312"/>
                <w:szCs w:val="20"/>
              </w:rPr>
            </w:pPr>
            <w:r>
              <w:rPr>
                <w:rFonts w:eastAsia="仿宋_GB2312"/>
                <w:szCs w:val="20"/>
              </w:rPr>
              <w:t>69,194.28</w:t>
            </w:r>
          </w:p>
        </w:tc>
        <w:tc>
          <w:tcPr>
            <w:tcW w:w="448" w:type="dxa"/>
            <w:tcBorders>
              <w:top w:val="nil"/>
              <w:left w:val="nil"/>
              <w:bottom w:val="single" w:color="auto" w:sz="4" w:space="0"/>
              <w:right w:val="single" w:color="auto" w:sz="4" w:space="0"/>
            </w:tcBorders>
            <w:noWrap/>
            <w:vAlign w:val="center"/>
          </w:tcPr>
          <w:p w14:paraId="3C69DFB7">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3DCE2CA">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21A78DB">
            <w:pPr>
              <w:widowControl/>
              <w:jc w:val="right"/>
              <w:rPr>
                <w:rFonts w:eastAsia="仿宋_GB2312"/>
                <w:szCs w:val="20"/>
              </w:rPr>
            </w:pPr>
            <w:r>
              <w:rPr>
                <w:rFonts w:eastAsia="仿宋_GB2312"/>
                <w:szCs w:val="20"/>
              </w:rPr>
              <w:t>0</w:t>
            </w:r>
          </w:p>
        </w:tc>
      </w:tr>
      <w:tr w14:paraId="1B01D7C3">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DCA5E22">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0F78A2BE">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3AF0EDB9">
            <w:pPr>
              <w:widowControl/>
              <w:jc w:val="left"/>
              <w:rPr>
                <w:rFonts w:eastAsia="仿宋_GB2312"/>
                <w:szCs w:val="20"/>
              </w:rPr>
            </w:pPr>
            <w:r>
              <w:rPr>
                <w:rFonts w:eastAsia="仿宋_GB2312"/>
                <w:szCs w:val="20"/>
              </w:rPr>
              <w:t>0029</w:t>
            </w:r>
          </w:p>
        </w:tc>
        <w:tc>
          <w:tcPr>
            <w:tcW w:w="2881" w:type="dxa"/>
            <w:tcBorders>
              <w:top w:val="nil"/>
              <w:left w:val="nil"/>
              <w:bottom w:val="single" w:color="auto" w:sz="4" w:space="0"/>
              <w:right w:val="single" w:color="auto" w:sz="4" w:space="0"/>
            </w:tcBorders>
            <w:noWrap/>
            <w:vAlign w:val="center"/>
          </w:tcPr>
          <w:p w14:paraId="03A63071">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52460538">
            <w:pPr>
              <w:widowControl/>
              <w:jc w:val="right"/>
              <w:rPr>
                <w:rFonts w:eastAsia="仿宋_GB2312"/>
                <w:szCs w:val="20"/>
              </w:rPr>
            </w:pPr>
            <w:r>
              <w:rPr>
                <w:rFonts w:eastAsia="仿宋_GB2312"/>
                <w:szCs w:val="20"/>
              </w:rPr>
              <w:t>282,075.75</w:t>
            </w:r>
          </w:p>
        </w:tc>
        <w:tc>
          <w:tcPr>
            <w:tcW w:w="448" w:type="dxa"/>
            <w:tcBorders>
              <w:top w:val="nil"/>
              <w:left w:val="nil"/>
              <w:bottom w:val="single" w:color="auto" w:sz="4" w:space="0"/>
              <w:right w:val="single" w:color="auto" w:sz="4" w:space="0"/>
            </w:tcBorders>
            <w:noWrap/>
            <w:vAlign w:val="center"/>
          </w:tcPr>
          <w:p w14:paraId="39B32CD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208E5D6">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7AD0FF8">
            <w:pPr>
              <w:widowControl/>
              <w:jc w:val="right"/>
              <w:rPr>
                <w:rFonts w:eastAsia="仿宋_GB2312"/>
                <w:szCs w:val="20"/>
              </w:rPr>
            </w:pPr>
            <w:r>
              <w:rPr>
                <w:rFonts w:eastAsia="仿宋_GB2312"/>
                <w:szCs w:val="20"/>
              </w:rPr>
              <w:t>0</w:t>
            </w:r>
          </w:p>
        </w:tc>
      </w:tr>
      <w:tr w14:paraId="48DF92F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D3D9741">
            <w:pPr>
              <w:widowControl/>
              <w:jc w:val="left"/>
              <w:rPr>
                <w:rFonts w:eastAsia="仿宋_GB2312"/>
                <w:szCs w:val="20"/>
              </w:rPr>
            </w:pPr>
            <w:r>
              <w:rPr>
                <w:rFonts w:eastAsia="仿宋_GB2312"/>
                <w:szCs w:val="20"/>
              </w:rPr>
              <w:t>09</w:t>
            </w:r>
          </w:p>
        </w:tc>
        <w:tc>
          <w:tcPr>
            <w:tcW w:w="416" w:type="dxa"/>
            <w:tcBorders>
              <w:top w:val="nil"/>
              <w:left w:val="nil"/>
              <w:bottom w:val="single" w:color="auto" w:sz="4" w:space="0"/>
              <w:right w:val="single" w:color="auto" w:sz="4" w:space="0"/>
            </w:tcBorders>
            <w:noWrap/>
            <w:vAlign w:val="center"/>
          </w:tcPr>
          <w:p w14:paraId="6383D1B9">
            <w:pPr>
              <w:widowControl/>
              <w:jc w:val="left"/>
              <w:rPr>
                <w:rFonts w:eastAsia="仿宋_GB2312"/>
                <w:szCs w:val="20"/>
              </w:rPr>
            </w:pPr>
            <w:r>
              <w:rPr>
                <w:rFonts w:eastAsia="仿宋_GB2312"/>
                <w:szCs w:val="20"/>
              </w:rPr>
              <w:t>25</w:t>
            </w:r>
          </w:p>
        </w:tc>
        <w:tc>
          <w:tcPr>
            <w:tcW w:w="660" w:type="dxa"/>
            <w:tcBorders>
              <w:top w:val="nil"/>
              <w:left w:val="nil"/>
              <w:bottom w:val="single" w:color="auto" w:sz="4" w:space="0"/>
              <w:right w:val="single" w:color="auto" w:sz="4" w:space="0"/>
            </w:tcBorders>
            <w:noWrap/>
            <w:vAlign w:val="center"/>
          </w:tcPr>
          <w:p w14:paraId="1E4C3B83">
            <w:pPr>
              <w:widowControl/>
              <w:jc w:val="left"/>
              <w:rPr>
                <w:rFonts w:eastAsia="仿宋_GB2312"/>
                <w:szCs w:val="20"/>
              </w:rPr>
            </w:pPr>
            <w:r>
              <w:rPr>
                <w:rFonts w:eastAsia="仿宋_GB2312"/>
                <w:szCs w:val="20"/>
              </w:rPr>
              <w:t>0029</w:t>
            </w:r>
          </w:p>
        </w:tc>
        <w:tc>
          <w:tcPr>
            <w:tcW w:w="2881" w:type="dxa"/>
            <w:tcBorders>
              <w:top w:val="nil"/>
              <w:left w:val="nil"/>
              <w:bottom w:val="single" w:color="auto" w:sz="4" w:space="0"/>
              <w:right w:val="single" w:color="auto" w:sz="4" w:space="0"/>
            </w:tcBorders>
            <w:noWrap/>
            <w:vAlign w:val="center"/>
          </w:tcPr>
          <w:p w14:paraId="28AD8C36">
            <w:pPr>
              <w:widowControl/>
              <w:jc w:val="left"/>
              <w:rPr>
                <w:rFonts w:eastAsia="仿宋_GB2312"/>
                <w:sz w:val="18"/>
                <w:szCs w:val="18"/>
              </w:rPr>
            </w:pPr>
            <w:r>
              <w:rPr>
                <w:rFonts w:eastAsia="仿宋_GB2312"/>
                <w:sz w:val="18"/>
                <w:szCs w:val="18"/>
              </w:rPr>
              <w:t>转付黄大姐公司人员保险费</w:t>
            </w:r>
          </w:p>
        </w:tc>
        <w:tc>
          <w:tcPr>
            <w:tcW w:w="1386" w:type="dxa"/>
            <w:tcBorders>
              <w:top w:val="nil"/>
              <w:left w:val="nil"/>
              <w:bottom w:val="single" w:color="auto" w:sz="4" w:space="0"/>
              <w:right w:val="single" w:color="auto" w:sz="4" w:space="0"/>
            </w:tcBorders>
            <w:noWrap/>
            <w:vAlign w:val="center"/>
          </w:tcPr>
          <w:p w14:paraId="7D1F6286">
            <w:pPr>
              <w:widowControl/>
              <w:jc w:val="right"/>
              <w:rPr>
                <w:rFonts w:eastAsia="仿宋_GB2312"/>
                <w:szCs w:val="20"/>
              </w:rPr>
            </w:pPr>
            <w:r>
              <w:rPr>
                <w:rFonts w:eastAsia="仿宋_GB2312"/>
                <w:szCs w:val="20"/>
              </w:rPr>
              <w:t>100,788.60</w:t>
            </w:r>
          </w:p>
        </w:tc>
        <w:tc>
          <w:tcPr>
            <w:tcW w:w="448" w:type="dxa"/>
            <w:tcBorders>
              <w:top w:val="nil"/>
              <w:left w:val="nil"/>
              <w:bottom w:val="single" w:color="auto" w:sz="4" w:space="0"/>
              <w:right w:val="single" w:color="auto" w:sz="4" w:space="0"/>
            </w:tcBorders>
            <w:noWrap/>
            <w:vAlign w:val="center"/>
          </w:tcPr>
          <w:p w14:paraId="0A39A31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99992E6">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14BEA6D4">
            <w:pPr>
              <w:widowControl/>
              <w:jc w:val="right"/>
              <w:rPr>
                <w:rFonts w:eastAsia="仿宋_GB2312"/>
                <w:szCs w:val="20"/>
              </w:rPr>
            </w:pPr>
            <w:r>
              <w:rPr>
                <w:rFonts w:eastAsia="仿宋_GB2312"/>
                <w:szCs w:val="20"/>
              </w:rPr>
              <w:t>8,768,186.54</w:t>
            </w:r>
          </w:p>
        </w:tc>
      </w:tr>
      <w:tr w14:paraId="401C159C">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509BB10">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6E426B9E">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63F317FD">
            <w:pPr>
              <w:widowControl/>
              <w:jc w:val="left"/>
              <w:rPr>
                <w:rFonts w:eastAsia="仿宋_GB2312"/>
                <w:szCs w:val="20"/>
              </w:rPr>
            </w:pPr>
            <w:r>
              <w:rPr>
                <w:rFonts w:eastAsia="仿宋_GB2312"/>
                <w:szCs w:val="20"/>
              </w:rPr>
              <w:t>0001</w:t>
            </w:r>
          </w:p>
        </w:tc>
        <w:tc>
          <w:tcPr>
            <w:tcW w:w="2881" w:type="dxa"/>
            <w:tcBorders>
              <w:top w:val="nil"/>
              <w:left w:val="nil"/>
              <w:bottom w:val="single" w:color="auto" w:sz="4" w:space="0"/>
              <w:right w:val="single" w:color="auto" w:sz="4" w:space="0"/>
            </w:tcBorders>
            <w:noWrap/>
            <w:vAlign w:val="center"/>
          </w:tcPr>
          <w:p w14:paraId="7256FB23">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3A41094C">
            <w:pPr>
              <w:widowControl/>
              <w:jc w:val="right"/>
              <w:rPr>
                <w:rFonts w:eastAsia="仿宋_GB2312"/>
                <w:szCs w:val="20"/>
              </w:rPr>
            </w:pPr>
            <w:r>
              <w:rPr>
                <w:rFonts w:eastAsia="仿宋_GB2312"/>
                <w:szCs w:val="20"/>
              </w:rPr>
              <w:t>249,920.83</w:t>
            </w:r>
          </w:p>
        </w:tc>
        <w:tc>
          <w:tcPr>
            <w:tcW w:w="448" w:type="dxa"/>
            <w:tcBorders>
              <w:top w:val="nil"/>
              <w:left w:val="nil"/>
              <w:bottom w:val="single" w:color="auto" w:sz="4" w:space="0"/>
              <w:right w:val="single" w:color="auto" w:sz="4" w:space="0"/>
            </w:tcBorders>
            <w:noWrap/>
            <w:vAlign w:val="center"/>
          </w:tcPr>
          <w:p w14:paraId="690EFEE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B04297B">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9A9626B">
            <w:pPr>
              <w:widowControl/>
              <w:jc w:val="right"/>
              <w:rPr>
                <w:rFonts w:eastAsia="仿宋_GB2312"/>
                <w:szCs w:val="20"/>
              </w:rPr>
            </w:pPr>
            <w:r>
              <w:rPr>
                <w:rFonts w:eastAsia="仿宋_GB2312"/>
                <w:szCs w:val="20"/>
              </w:rPr>
              <w:t>0</w:t>
            </w:r>
          </w:p>
        </w:tc>
      </w:tr>
      <w:tr w14:paraId="76830C2D">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765E8EF">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12940096">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55C44097">
            <w:pPr>
              <w:widowControl/>
              <w:jc w:val="left"/>
              <w:rPr>
                <w:rFonts w:eastAsia="仿宋_GB2312"/>
                <w:szCs w:val="20"/>
              </w:rPr>
            </w:pPr>
            <w:r>
              <w:rPr>
                <w:rFonts w:eastAsia="仿宋_GB2312"/>
                <w:szCs w:val="20"/>
              </w:rPr>
              <w:t>0001</w:t>
            </w:r>
          </w:p>
        </w:tc>
        <w:tc>
          <w:tcPr>
            <w:tcW w:w="2881" w:type="dxa"/>
            <w:tcBorders>
              <w:top w:val="nil"/>
              <w:left w:val="nil"/>
              <w:bottom w:val="single" w:color="auto" w:sz="4" w:space="0"/>
              <w:right w:val="single" w:color="auto" w:sz="4" w:space="0"/>
            </w:tcBorders>
            <w:noWrap/>
            <w:vAlign w:val="center"/>
          </w:tcPr>
          <w:p w14:paraId="169BC1EC">
            <w:pPr>
              <w:widowControl/>
              <w:jc w:val="left"/>
              <w:rPr>
                <w:rFonts w:eastAsia="仿宋_GB2312"/>
                <w:sz w:val="18"/>
                <w:szCs w:val="18"/>
              </w:rPr>
            </w:pPr>
            <w:r>
              <w:rPr>
                <w:rFonts w:eastAsia="仿宋_GB2312"/>
                <w:sz w:val="18"/>
                <w:szCs w:val="18"/>
              </w:rPr>
              <w:t>转付高建公司清扫人员保险费</w:t>
            </w:r>
          </w:p>
        </w:tc>
        <w:tc>
          <w:tcPr>
            <w:tcW w:w="1386" w:type="dxa"/>
            <w:tcBorders>
              <w:top w:val="nil"/>
              <w:left w:val="nil"/>
              <w:bottom w:val="single" w:color="auto" w:sz="4" w:space="0"/>
              <w:right w:val="single" w:color="auto" w:sz="4" w:space="0"/>
            </w:tcBorders>
            <w:noWrap/>
            <w:vAlign w:val="center"/>
          </w:tcPr>
          <w:p w14:paraId="713C5022">
            <w:pPr>
              <w:widowControl/>
              <w:jc w:val="right"/>
              <w:rPr>
                <w:rFonts w:eastAsia="仿宋_GB2312"/>
                <w:szCs w:val="20"/>
              </w:rPr>
            </w:pPr>
            <w:r>
              <w:rPr>
                <w:rFonts w:eastAsia="仿宋_GB2312"/>
                <w:szCs w:val="20"/>
              </w:rPr>
              <w:t>68,129.40</w:t>
            </w:r>
          </w:p>
        </w:tc>
        <w:tc>
          <w:tcPr>
            <w:tcW w:w="448" w:type="dxa"/>
            <w:tcBorders>
              <w:top w:val="nil"/>
              <w:left w:val="nil"/>
              <w:bottom w:val="single" w:color="auto" w:sz="4" w:space="0"/>
              <w:right w:val="single" w:color="auto" w:sz="4" w:space="0"/>
            </w:tcBorders>
            <w:noWrap/>
            <w:vAlign w:val="center"/>
          </w:tcPr>
          <w:p w14:paraId="6D04312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B711529">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04D5258A">
            <w:pPr>
              <w:widowControl/>
              <w:jc w:val="right"/>
              <w:rPr>
                <w:rFonts w:eastAsia="仿宋_GB2312"/>
                <w:szCs w:val="20"/>
              </w:rPr>
            </w:pPr>
            <w:r>
              <w:rPr>
                <w:rFonts w:eastAsia="仿宋_GB2312"/>
                <w:szCs w:val="20"/>
              </w:rPr>
              <w:t>0</w:t>
            </w:r>
          </w:p>
        </w:tc>
      </w:tr>
      <w:tr w14:paraId="778DA345">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45878DD">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192F07FD">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6D923270">
            <w:pPr>
              <w:widowControl/>
              <w:jc w:val="left"/>
              <w:rPr>
                <w:rFonts w:eastAsia="仿宋_GB2312"/>
                <w:szCs w:val="20"/>
              </w:rPr>
            </w:pPr>
            <w:r>
              <w:rPr>
                <w:rFonts w:eastAsia="仿宋_GB2312"/>
                <w:szCs w:val="20"/>
              </w:rPr>
              <w:t>0002</w:t>
            </w:r>
          </w:p>
        </w:tc>
        <w:tc>
          <w:tcPr>
            <w:tcW w:w="2881" w:type="dxa"/>
            <w:tcBorders>
              <w:top w:val="nil"/>
              <w:left w:val="nil"/>
              <w:bottom w:val="single" w:color="auto" w:sz="4" w:space="0"/>
              <w:right w:val="single" w:color="auto" w:sz="4" w:space="0"/>
            </w:tcBorders>
            <w:noWrap/>
            <w:vAlign w:val="center"/>
          </w:tcPr>
          <w:p w14:paraId="5209EFEA">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2E28BFA5">
            <w:pPr>
              <w:widowControl/>
              <w:jc w:val="right"/>
              <w:rPr>
                <w:rFonts w:eastAsia="仿宋_GB2312"/>
                <w:szCs w:val="20"/>
              </w:rPr>
            </w:pPr>
            <w:r>
              <w:rPr>
                <w:rFonts w:eastAsia="仿宋_GB2312"/>
                <w:szCs w:val="20"/>
              </w:rPr>
              <w:t>229,265.80</w:t>
            </w:r>
          </w:p>
        </w:tc>
        <w:tc>
          <w:tcPr>
            <w:tcW w:w="448" w:type="dxa"/>
            <w:tcBorders>
              <w:top w:val="nil"/>
              <w:left w:val="nil"/>
              <w:bottom w:val="single" w:color="auto" w:sz="4" w:space="0"/>
              <w:right w:val="single" w:color="auto" w:sz="4" w:space="0"/>
            </w:tcBorders>
            <w:noWrap/>
            <w:vAlign w:val="center"/>
          </w:tcPr>
          <w:p w14:paraId="0650BAD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A5D3C3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05C8174">
            <w:pPr>
              <w:widowControl/>
              <w:jc w:val="right"/>
              <w:rPr>
                <w:rFonts w:eastAsia="仿宋_GB2312"/>
                <w:szCs w:val="20"/>
              </w:rPr>
            </w:pPr>
            <w:r>
              <w:rPr>
                <w:rFonts w:eastAsia="仿宋_GB2312"/>
                <w:szCs w:val="20"/>
              </w:rPr>
              <w:t>0</w:t>
            </w:r>
          </w:p>
        </w:tc>
      </w:tr>
      <w:tr w14:paraId="5AD87E6C">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736E941">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619FD1E0">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37BA3706">
            <w:pPr>
              <w:widowControl/>
              <w:jc w:val="left"/>
              <w:rPr>
                <w:rFonts w:eastAsia="仿宋_GB2312"/>
                <w:szCs w:val="20"/>
              </w:rPr>
            </w:pPr>
            <w:r>
              <w:rPr>
                <w:rFonts w:eastAsia="仿宋_GB2312"/>
                <w:szCs w:val="20"/>
              </w:rPr>
              <w:t>0002</w:t>
            </w:r>
          </w:p>
        </w:tc>
        <w:tc>
          <w:tcPr>
            <w:tcW w:w="2881" w:type="dxa"/>
            <w:tcBorders>
              <w:top w:val="nil"/>
              <w:left w:val="nil"/>
              <w:bottom w:val="single" w:color="auto" w:sz="4" w:space="0"/>
              <w:right w:val="single" w:color="auto" w:sz="4" w:space="0"/>
            </w:tcBorders>
            <w:noWrap/>
            <w:vAlign w:val="center"/>
          </w:tcPr>
          <w:p w14:paraId="5F2D3383">
            <w:pPr>
              <w:widowControl/>
              <w:jc w:val="left"/>
              <w:rPr>
                <w:rFonts w:eastAsia="仿宋_GB2312"/>
                <w:sz w:val="18"/>
                <w:szCs w:val="18"/>
              </w:rPr>
            </w:pPr>
            <w:r>
              <w:rPr>
                <w:rFonts w:eastAsia="仿宋_GB2312"/>
                <w:sz w:val="18"/>
                <w:szCs w:val="18"/>
              </w:rPr>
              <w:t>转付和佳公司清扫人员保险费</w:t>
            </w:r>
          </w:p>
        </w:tc>
        <w:tc>
          <w:tcPr>
            <w:tcW w:w="1386" w:type="dxa"/>
            <w:tcBorders>
              <w:top w:val="nil"/>
              <w:left w:val="nil"/>
              <w:bottom w:val="single" w:color="auto" w:sz="4" w:space="0"/>
              <w:right w:val="single" w:color="auto" w:sz="4" w:space="0"/>
            </w:tcBorders>
            <w:noWrap/>
            <w:vAlign w:val="center"/>
          </w:tcPr>
          <w:p w14:paraId="672E6A38">
            <w:pPr>
              <w:widowControl/>
              <w:jc w:val="right"/>
              <w:rPr>
                <w:rFonts w:eastAsia="仿宋_GB2312"/>
                <w:szCs w:val="20"/>
              </w:rPr>
            </w:pPr>
            <w:r>
              <w:rPr>
                <w:rFonts w:eastAsia="仿宋_GB2312"/>
                <w:szCs w:val="20"/>
              </w:rPr>
              <w:t>69,194.28</w:t>
            </w:r>
          </w:p>
        </w:tc>
        <w:tc>
          <w:tcPr>
            <w:tcW w:w="448" w:type="dxa"/>
            <w:tcBorders>
              <w:top w:val="nil"/>
              <w:left w:val="nil"/>
              <w:bottom w:val="single" w:color="auto" w:sz="4" w:space="0"/>
              <w:right w:val="single" w:color="auto" w:sz="4" w:space="0"/>
            </w:tcBorders>
            <w:noWrap/>
            <w:vAlign w:val="center"/>
          </w:tcPr>
          <w:p w14:paraId="2444F93D">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0C4751A">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33B47D55">
            <w:pPr>
              <w:widowControl/>
              <w:jc w:val="right"/>
              <w:rPr>
                <w:rFonts w:eastAsia="仿宋_GB2312"/>
                <w:szCs w:val="20"/>
              </w:rPr>
            </w:pPr>
            <w:r>
              <w:rPr>
                <w:rFonts w:eastAsia="仿宋_GB2312"/>
                <w:szCs w:val="20"/>
              </w:rPr>
              <w:t>0</w:t>
            </w:r>
          </w:p>
        </w:tc>
      </w:tr>
      <w:tr w14:paraId="12C24626">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41839A1">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5CDAA10B">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534E03EA">
            <w:pPr>
              <w:widowControl/>
              <w:jc w:val="left"/>
              <w:rPr>
                <w:rFonts w:eastAsia="仿宋_GB2312"/>
                <w:szCs w:val="20"/>
              </w:rPr>
            </w:pPr>
            <w:r>
              <w:rPr>
                <w:rFonts w:eastAsia="仿宋_GB2312"/>
                <w:szCs w:val="20"/>
              </w:rPr>
              <w:t>0003</w:t>
            </w:r>
          </w:p>
        </w:tc>
        <w:tc>
          <w:tcPr>
            <w:tcW w:w="2881" w:type="dxa"/>
            <w:tcBorders>
              <w:top w:val="nil"/>
              <w:left w:val="nil"/>
              <w:bottom w:val="single" w:color="auto" w:sz="4" w:space="0"/>
              <w:right w:val="single" w:color="auto" w:sz="4" w:space="0"/>
            </w:tcBorders>
            <w:noWrap/>
            <w:vAlign w:val="center"/>
          </w:tcPr>
          <w:p w14:paraId="4A5146B2">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48DFC2CF">
            <w:pPr>
              <w:widowControl/>
              <w:jc w:val="right"/>
              <w:rPr>
                <w:rFonts w:eastAsia="仿宋_GB2312"/>
                <w:szCs w:val="20"/>
              </w:rPr>
            </w:pPr>
            <w:r>
              <w:rPr>
                <w:rFonts w:eastAsia="仿宋_GB2312"/>
                <w:szCs w:val="20"/>
              </w:rPr>
              <w:t>281,640.75</w:t>
            </w:r>
          </w:p>
        </w:tc>
        <w:tc>
          <w:tcPr>
            <w:tcW w:w="448" w:type="dxa"/>
            <w:tcBorders>
              <w:top w:val="nil"/>
              <w:left w:val="nil"/>
              <w:bottom w:val="single" w:color="auto" w:sz="4" w:space="0"/>
              <w:right w:val="single" w:color="auto" w:sz="4" w:space="0"/>
            </w:tcBorders>
            <w:noWrap/>
            <w:vAlign w:val="center"/>
          </w:tcPr>
          <w:p w14:paraId="2ABF4DE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7CA693C">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A4DC9AC">
            <w:pPr>
              <w:widowControl/>
              <w:jc w:val="right"/>
              <w:rPr>
                <w:rFonts w:eastAsia="仿宋_GB2312"/>
                <w:szCs w:val="20"/>
              </w:rPr>
            </w:pPr>
            <w:r>
              <w:rPr>
                <w:rFonts w:eastAsia="仿宋_GB2312"/>
                <w:szCs w:val="20"/>
              </w:rPr>
              <w:t>0</w:t>
            </w:r>
          </w:p>
        </w:tc>
      </w:tr>
      <w:tr w14:paraId="0563683C">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288098A">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1EB93BE4">
            <w:pPr>
              <w:widowControl/>
              <w:jc w:val="left"/>
              <w:rPr>
                <w:rFonts w:eastAsia="仿宋_GB2312"/>
                <w:szCs w:val="20"/>
              </w:rPr>
            </w:pPr>
            <w:r>
              <w:rPr>
                <w:rFonts w:eastAsia="仿宋_GB2312"/>
                <w:szCs w:val="20"/>
              </w:rPr>
              <w:t>01</w:t>
            </w:r>
          </w:p>
        </w:tc>
        <w:tc>
          <w:tcPr>
            <w:tcW w:w="660" w:type="dxa"/>
            <w:tcBorders>
              <w:top w:val="nil"/>
              <w:left w:val="nil"/>
              <w:bottom w:val="single" w:color="auto" w:sz="4" w:space="0"/>
              <w:right w:val="single" w:color="auto" w:sz="4" w:space="0"/>
            </w:tcBorders>
            <w:noWrap/>
            <w:vAlign w:val="center"/>
          </w:tcPr>
          <w:p w14:paraId="5B8A0881">
            <w:pPr>
              <w:widowControl/>
              <w:jc w:val="left"/>
              <w:rPr>
                <w:rFonts w:eastAsia="仿宋_GB2312"/>
                <w:szCs w:val="20"/>
              </w:rPr>
            </w:pPr>
            <w:r>
              <w:rPr>
                <w:rFonts w:eastAsia="仿宋_GB2312"/>
                <w:szCs w:val="20"/>
              </w:rPr>
              <w:t>0003</w:t>
            </w:r>
          </w:p>
        </w:tc>
        <w:tc>
          <w:tcPr>
            <w:tcW w:w="2881" w:type="dxa"/>
            <w:tcBorders>
              <w:top w:val="nil"/>
              <w:left w:val="nil"/>
              <w:bottom w:val="single" w:color="auto" w:sz="4" w:space="0"/>
              <w:right w:val="single" w:color="auto" w:sz="4" w:space="0"/>
            </w:tcBorders>
            <w:noWrap/>
            <w:vAlign w:val="center"/>
          </w:tcPr>
          <w:p w14:paraId="32D50459">
            <w:pPr>
              <w:widowControl/>
              <w:jc w:val="left"/>
              <w:rPr>
                <w:rFonts w:eastAsia="仿宋_GB2312"/>
                <w:sz w:val="18"/>
                <w:szCs w:val="18"/>
              </w:rPr>
            </w:pPr>
            <w:r>
              <w:rPr>
                <w:rFonts w:eastAsia="仿宋_GB2312"/>
                <w:sz w:val="18"/>
                <w:szCs w:val="18"/>
              </w:rPr>
              <w:t>转付黄大姐公司清扫人员保险费</w:t>
            </w:r>
          </w:p>
        </w:tc>
        <w:tc>
          <w:tcPr>
            <w:tcW w:w="1386" w:type="dxa"/>
            <w:tcBorders>
              <w:top w:val="nil"/>
              <w:left w:val="nil"/>
              <w:bottom w:val="single" w:color="auto" w:sz="4" w:space="0"/>
              <w:right w:val="single" w:color="auto" w:sz="4" w:space="0"/>
            </w:tcBorders>
            <w:noWrap/>
            <w:vAlign w:val="center"/>
          </w:tcPr>
          <w:p w14:paraId="6E263D28">
            <w:pPr>
              <w:widowControl/>
              <w:jc w:val="right"/>
              <w:rPr>
                <w:rFonts w:eastAsia="仿宋_GB2312"/>
                <w:szCs w:val="20"/>
              </w:rPr>
            </w:pPr>
            <w:r>
              <w:rPr>
                <w:rFonts w:eastAsia="仿宋_GB2312"/>
                <w:szCs w:val="20"/>
              </w:rPr>
              <w:t>106,609.35</w:t>
            </w:r>
          </w:p>
        </w:tc>
        <w:tc>
          <w:tcPr>
            <w:tcW w:w="448" w:type="dxa"/>
            <w:tcBorders>
              <w:top w:val="nil"/>
              <w:left w:val="nil"/>
              <w:bottom w:val="single" w:color="auto" w:sz="4" w:space="0"/>
              <w:right w:val="single" w:color="auto" w:sz="4" w:space="0"/>
            </w:tcBorders>
            <w:noWrap/>
            <w:vAlign w:val="center"/>
          </w:tcPr>
          <w:p w14:paraId="2E526F5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A44E7A0">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6764A299">
            <w:pPr>
              <w:widowControl/>
              <w:jc w:val="right"/>
              <w:rPr>
                <w:rFonts w:eastAsia="仿宋_GB2312"/>
                <w:szCs w:val="20"/>
              </w:rPr>
            </w:pPr>
            <w:r>
              <w:rPr>
                <w:rFonts w:eastAsia="仿宋_GB2312"/>
                <w:szCs w:val="20"/>
              </w:rPr>
              <w:t>9,772,946.95</w:t>
            </w:r>
          </w:p>
        </w:tc>
      </w:tr>
      <w:tr w14:paraId="3F545477">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9D2C669">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6323CEE3">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48A1B647">
            <w:pPr>
              <w:widowControl/>
              <w:jc w:val="left"/>
              <w:rPr>
                <w:rFonts w:eastAsia="仿宋_GB2312"/>
                <w:szCs w:val="20"/>
              </w:rPr>
            </w:pPr>
            <w:r>
              <w:rPr>
                <w:rFonts w:eastAsia="仿宋_GB2312"/>
                <w:szCs w:val="20"/>
              </w:rPr>
              <w:t>0072</w:t>
            </w:r>
          </w:p>
        </w:tc>
        <w:tc>
          <w:tcPr>
            <w:tcW w:w="2881" w:type="dxa"/>
            <w:tcBorders>
              <w:top w:val="nil"/>
              <w:left w:val="nil"/>
              <w:bottom w:val="single" w:color="auto" w:sz="4" w:space="0"/>
              <w:right w:val="single" w:color="auto" w:sz="4" w:space="0"/>
            </w:tcBorders>
            <w:noWrap/>
            <w:vAlign w:val="center"/>
          </w:tcPr>
          <w:p w14:paraId="5089599B">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04BA57B8">
            <w:pPr>
              <w:widowControl/>
              <w:jc w:val="right"/>
              <w:rPr>
                <w:rFonts w:eastAsia="仿宋_GB2312"/>
                <w:szCs w:val="20"/>
              </w:rPr>
            </w:pPr>
            <w:r>
              <w:rPr>
                <w:rFonts w:eastAsia="仿宋_GB2312"/>
                <w:szCs w:val="20"/>
              </w:rPr>
              <w:t>252,008.33</w:t>
            </w:r>
          </w:p>
        </w:tc>
        <w:tc>
          <w:tcPr>
            <w:tcW w:w="448" w:type="dxa"/>
            <w:tcBorders>
              <w:top w:val="nil"/>
              <w:left w:val="nil"/>
              <w:bottom w:val="single" w:color="auto" w:sz="4" w:space="0"/>
              <w:right w:val="single" w:color="auto" w:sz="4" w:space="0"/>
            </w:tcBorders>
            <w:noWrap/>
            <w:vAlign w:val="center"/>
          </w:tcPr>
          <w:p w14:paraId="3C2CB452">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39B03CCB">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119710D">
            <w:pPr>
              <w:widowControl/>
              <w:jc w:val="right"/>
              <w:rPr>
                <w:rFonts w:eastAsia="仿宋_GB2312"/>
                <w:szCs w:val="20"/>
              </w:rPr>
            </w:pPr>
            <w:r>
              <w:rPr>
                <w:rFonts w:eastAsia="仿宋_GB2312"/>
                <w:szCs w:val="20"/>
              </w:rPr>
              <w:t>0</w:t>
            </w:r>
          </w:p>
        </w:tc>
      </w:tr>
      <w:tr w14:paraId="450B3A5A">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1CC5A68F">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3D6E4AE5">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42F64747">
            <w:pPr>
              <w:widowControl/>
              <w:jc w:val="left"/>
              <w:rPr>
                <w:rFonts w:eastAsia="仿宋_GB2312"/>
                <w:szCs w:val="20"/>
              </w:rPr>
            </w:pPr>
            <w:r>
              <w:rPr>
                <w:rFonts w:eastAsia="仿宋_GB2312"/>
                <w:szCs w:val="20"/>
              </w:rPr>
              <w:t>0072</w:t>
            </w:r>
          </w:p>
        </w:tc>
        <w:tc>
          <w:tcPr>
            <w:tcW w:w="2881" w:type="dxa"/>
            <w:tcBorders>
              <w:top w:val="nil"/>
              <w:left w:val="nil"/>
              <w:bottom w:val="single" w:color="auto" w:sz="4" w:space="0"/>
              <w:right w:val="single" w:color="auto" w:sz="4" w:space="0"/>
            </w:tcBorders>
            <w:noWrap/>
            <w:vAlign w:val="center"/>
          </w:tcPr>
          <w:p w14:paraId="4CCCFCB7">
            <w:pPr>
              <w:widowControl/>
              <w:jc w:val="left"/>
              <w:rPr>
                <w:rFonts w:eastAsia="仿宋_GB2312"/>
                <w:sz w:val="18"/>
                <w:szCs w:val="18"/>
              </w:rPr>
            </w:pPr>
            <w:r>
              <w:rPr>
                <w:rFonts w:eastAsia="仿宋_GB2312"/>
                <w:sz w:val="18"/>
                <w:szCs w:val="18"/>
              </w:rPr>
              <w:t>转付高建公司保险费</w:t>
            </w:r>
          </w:p>
        </w:tc>
        <w:tc>
          <w:tcPr>
            <w:tcW w:w="1386" w:type="dxa"/>
            <w:tcBorders>
              <w:top w:val="nil"/>
              <w:left w:val="nil"/>
              <w:bottom w:val="single" w:color="auto" w:sz="4" w:space="0"/>
              <w:right w:val="single" w:color="auto" w:sz="4" w:space="0"/>
            </w:tcBorders>
            <w:noWrap/>
            <w:vAlign w:val="center"/>
          </w:tcPr>
          <w:p w14:paraId="57DF00FD">
            <w:pPr>
              <w:widowControl/>
              <w:jc w:val="right"/>
              <w:rPr>
                <w:rFonts w:eastAsia="仿宋_GB2312"/>
                <w:szCs w:val="20"/>
              </w:rPr>
            </w:pPr>
            <w:r>
              <w:rPr>
                <w:rFonts w:eastAsia="仿宋_GB2312"/>
                <w:szCs w:val="20"/>
              </w:rPr>
              <w:t>65,462.01</w:t>
            </w:r>
          </w:p>
        </w:tc>
        <w:tc>
          <w:tcPr>
            <w:tcW w:w="448" w:type="dxa"/>
            <w:tcBorders>
              <w:top w:val="nil"/>
              <w:left w:val="nil"/>
              <w:bottom w:val="single" w:color="auto" w:sz="4" w:space="0"/>
              <w:right w:val="single" w:color="auto" w:sz="4" w:space="0"/>
            </w:tcBorders>
            <w:noWrap/>
            <w:vAlign w:val="center"/>
          </w:tcPr>
          <w:p w14:paraId="189ABB37">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DFEF8B7">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A19473D">
            <w:pPr>
              <w:widowControl/>
              <w:jc w:val="right"/>
              <w:rPr>
                <w:rFonts w:eastAsia="仿宋_GB2312"/>
                <w:szCs w:val="20"/>
              </w:rPr>
            </w:pPr>
            <w:r>
              <w:rPr>
                <w:rFonts w:eastAsia="仿宋_GB2312"/>
                <w:szCs w:val="20"/>
              </w:rPr>
              <w:t>0</w:t>
            </w:r>
          </w:p>
        </w:tc>
      </w:tr>
      <w:tr w14:paraId="6892EA22">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CDE5012">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1A0889BF">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5156B0B8">
            <w:pPr>
              <w:widowControl/>
              <w:jc w:val="left"/>
              <w:rPr>
                <w:rFonts w:eastAsia="仿宋_GB2312"/>
                <w:szCs w:val="20"/>
              </w:rPr>
            </w:pPr>
            <w:r>
              <w:rPr>
                <w:rFonts w:eastAsia="仿宋_GB2312"/>
                <w:szCs w:val="20"/>
              </w:rPr>
              <w:t>0073</w:t>
            </w:r>
          </w:p>
        </w:tc>
        <w:tc>
          <w:tcPr>
            <w:tcW w:w="2881" w:type="dxa"/>
            <w:tcBorders>
              <w:top w:val="nil"/>
              <w:left w:val="nil"/>
              <w:bottom w:val="single" w:color="auto" w:sz="4" w:space="0"/>
              <w:right w:val="single" w:color="auto" w:sz="4" w:space="0"/>
            </w:tcBorders>
            <w:noWrap/>
            <w:vAlign w:val="center"/>
          </w:tcPr>
          <w:p w14:paraId="7A678AF3">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34863A67">
            <w:pPr>
              <w:widowControl/>
              <w:jc w:val="right"/>
              <w:rPr>
                <w:rFonts w:eastAsia="仿宋_GB2312"/>
                <w:szCs w:val="20"/>
              </w:rPr>
            </w:pPr>
            <w:r>
              <w:rPr>
                <w:rFonts w:eastAsia="仿宋_GB2312"/>
                <w:szCs w:val="20"/>
              </w:rPr>
              <w:t>230,015.48</w:t>
            </w:r>
          </w:p>
        </w:tc>
        <w:tc>
          <w:tcPr>
            <w:tcW w:w="448" w:type="dxa"/>
            <w:tcBorders>
              <w:top w:val="nil"/>
              <w:left w:val="nil"/>
              <w:bottom w:val="single" w:color="auto" w:sz="4" w:space="0"/>
              <w:right w:val="single" w:color="auto" w:sz="4" w:space="0"/>
            </w:tcBorders>
            <w:noWrap/>
            <w:vAlign w:val="center"/>
          </w:tcPr>
          <w:p w14:paraId="2732B62A">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B994C61">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B6022E1">
            <w:pPr>
              <w:widowControl/>
              <w:jc w:val="right"/>
              <w:rPr>
                <w:rFonts w:eastAsia="仿宋_GB2312"/>
                <w:szCs w:val="20"/>
              </w:rPr>
            </w:pPr>
            <w:r>
              <w:rPr>
                <w:rFonts w:eastAsia="仿宋_GB2312"/>
                <w:szCs w:val="20"/>
              </w:rPr>
              <w:t>0</w:t>
            </w:r>
          </w:p>
        </w:tc>
      </w:tr>
      <w:tr w14:paraId="0D0AD620">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754ABCFF">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595F9978">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51EC9D13">
            <w:pPr>
              <w:widowControl/>
              <w:jc w:val="left"/>
              <w:rPr>
                <w:rFonts w:eastAsia="仿宋_GB2312"/>
                <w:szCs w:val="20"/>
              </w:rPr>
            </w:pPr>
            <w:r>
              <w:rPr>
                <w:rFonts w:eastAsia="仿宋_GB2312"/>
                <w:szCs w:val="20"/>
              </w:rPr>
              <w:t>0073</w:t>
            </w:r>
          </w:p>
        </w:tc>
        <w:tc>
          <w:tcPr>
            <w:tcW w:w="2881" w:type="dxa"/>
            <w:tcBorders>
              <w:top w:val="nil"/>
              <w:left w:val="nil"/>
              <w:bottom w:val="single" w:color="auto" w:sz="4" w:space="0"/>
              <w:right w:val="single" w:color="auto" w:sz="4" w:space="0"/>
            </w:tcBorders>
            <w:noWrap/>
            <w:vAlign w:val="center"/>
          </w:tcPr>
          <w:p w14:paraId="3FA7207B">
            <w:pPr>
              <w:widowControl/>
              <w:jc w:val="left"/>
              <w:rPr>
                <w:rFonts w:eastAsia="仿宋_GB2312"/>
                <w:sz w:val="18"/>
                <w:szCs w:val="18"/>
              </w:rPr>
            </w:pPr>
            <w:r>
              <w:rPr>
                <w:rFonts w:eastAsia="仿宋_GB2312"/>
                <w:sz w:val="18"/>
                <w:szCs w:val="18"/>
              </w:rPr>
              <w:t>转付和佳公司保险费</w:t>
            </w:r>
          </w:p>
        </w:tc>
        <w:tc>
          <w:tcPr>
            <w:tcW w:w="1386" w:type="dxa"/>
            <w:tcBorders>
              <w:top w:val="nil"/>
              <w:left w:val="nil"/>
              <w:bottom w:val="single" w:color="auto" w:sz="4" w:space="0"/>
              <w:right w:val="single" w:color="auto" w:sz="4" w:space="0"/>
            </w:tcBorders>
            <w:noWrap/>
            <w:vAlign w:val="center"/>
          </w:tcPr>
          <w:p w14:paraId="02AE33A4">
            <w:pPr>
              <w:widowControl/>
              <w:jc w:val="right"/>
              <w:rPr>
                <w:rFonts w:eastAsia="仿宋_GB2312"/>
                <w:szCs w:val="20"/>
              </w:rPr>
            </w:pPr>
            <w:r>
              <w:rPr>
                <w:rFonts w:eastAsia="仿宋_GB2312"/>
                <w:szCs w:val="20"/>
              </w:rPr>
              <w:t>68,044.46</w:t>
            </w:r>
          </w:p>
        </w:tc>
        <w:tc>
          <w:tcPr>
            <w:tcW w:w="448" w:type="dxa"/>
            <w:tcBorders>
              <w:top w:val="nil"/>
              <w:left w:val="nil"/>
              <w:bottom w:val="single" w:color="auto" w:sz="4" w:space="0"/>
              <w:right w:val="single" w:color="auto" w:sz="4" w:space="0"/>
            </w:tcBorders>
            <w:noWrap/>
            <w:vAlign w:val="center"/>
          </w:tcPr>
          <w:p w14:paraId="325E3A7C">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1353B7A">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422CD372">
            <w:pPr>
              <w:widowControl/>
              <w:jc w:val="right"/>
              <w:rPr>
                <w:rFonts w:eastAsia="仿宋_GB2312"/>
                <w:szCs w:val="20"/>
              </w:rPr>
            </w:pPr>
            <w:r>
              <w:rPr>
                <w:rFonts w:eastAsia="仿宋_GB2312"/>
                <w:szCs w:val="20"/>
              </w:rPr>
              <w:t>0</w:t>
            </w:r>
          </w:p>
        </w:tc>
      </w:tr>
      <w:tr w14:paraId="2D4C6040">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5BAB9F57">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561BF149">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7BD245B6">
            <w:pPr>
              <w:widowControl/>
              <w:jc w:val="left"/>
              <w:rPr>
                <w:rFonts w:eastAsia="仿宋_GB2312"/>
                <w:szCs w:val="20"/>
              </w:rPr>
            </w:pPr>
            <w:r>
              <w:rPr>
                <w:rFonts w:eastAsia="仿宋_GB2312"/>
                <w:szCs w:val="20"/>
              </w:rPr>
              <w:t>0074</w:t>
            </w:r>
          </w:p>
        </w:tc>
        <w:tc>
          <w:tcPr>
            <w:tcW w:w="2881" w:type="dxa"/>
            <w:tcBorders>
              <w:top w:val="nil"/>
              <w:left w:val="nil"/>
              <w:bottom w:val="single" w:color="auto" w:sz="4" w:space="0"/>
              <w:right w:val="single" w:color="auto" w:sz="4" w:space="0"/>
            </w:tcBorders>
            <w:noWrap/>
            <w:vAlign w:val="center"/>
          </w:tcPr>
          <w:p w14:paraId="7144946B">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19D000B0">
            <w:pPr>
              <w:widowControl/>
              <w:jc w:val="right"/>
              <w:rPr>
                <w:rFonts w:eastAsia="仿宋_GB2312"/>
                <w:szCs w:val="20"/>
              </w:rPr>
            </w:pPr>
            <w:r>
              <w:rPr>
                <w:rFonts w:eastAsia="仿宋_GB2312"/>
                <w:szCs w:val="20"/>
              </w:rPr>
              <w:t>282,075.75</w:t>
            </w:r>
          </w:p>
        </w:tc>
        <w:tc>
          <w:tcPr>
            <w:tcW w:w="448" w:type="dxa"/>
            <w:tcBorders>
              <w:top w:val="nil"/>
              <w:left w:val="nil"/>
              <w:bottom w:val="single" w:color="auto" w:sz="4" w:space="0"/>
              <w:right w:val="single" w:color="auto" w:sz="4" w:space="0"/>
            </w:tcBorders>
            <w:noWrap/>
            <w:vAlign w:val="center"/>
          </w:tcPr>
          <w:p w14:paraId="77CBCAFB">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09EB478E">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2281A7EE">
            <w:pPr>
              <w:widowControl/>
              <w:jc w:val="right"/>
              <w:rPr>
                <w:rFonts w:eastAsia="仿宋_GB2312"/>
                <w:szCs w:val="20"/>
              </w:rPr>
            </w:pPr>
            <w:r>
              <w:rPr>
                <w:rFonts w:eastAsia="仿宋_GB2312"/>
                <w:szCs w:val="20"/>
              </w:rPr>
              <w:t>0</w:t>
            </w:r>
          </w:p>
        </w:tc>
      </w:tr>
      <w:tr w14:paraId="5E32263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810EAB5">
            <w:pPr>
              <w:widowControl/>
              <w:jc w:val="left"/>
              <w:rPr>
                <w:rFonts w:eastAsia="仿宋_GB2312"/>
                <w:szCs w:val="20"/>
              </w:rPr>
            </w:pPr>
            <w:r>
              <w:rPr>
                <w:rFonts w:eastAsia="仿宋_GB2312"/>
                <w:szCs w:val="20"/>
              </w:rPr>
              <w:t>11</w:t>
            </w:r>
          </w:p>
        </w:tc>
        <w:tc>
          <w:tcPr>
            <w:tcW w:w="416" w:type="dxa"/>
            <w:tcBorders>
              <w:top w:val="nil"/>
              <w:left w:val="nil"/>
              <w:bottom w:val="single" w:color="auto" w:sz="4" w:space="0"/>
              <w:right w:val="single" w:color="auto" w:sz="4" w:space="0"/>
            </w:tcBorders>
            <w:noWrap/>
            <w:vAlign w:val="center"/>
          </w:tcPr>
          <w:p w14:paraId="3725C414">
            <w:pPr>
              <w:widowControl/>
              <w:jc w:val="left"/>
              <w:rPr>
                <w:rFonts w:eastAsia="仿宋_GB2312"/>
                <w:szCs w:val="20"/>
              </w:rPr>
            </w:pPr>
            <w:r>
              <w:rPr>
                <w:rFonts w:eastAsia="仿宋_GB2312"/>
                <w:szCs w:val="20"/>
              </w:rPr>
              <w:t>30</w:t>
            </w:r>
          </w:p>
        </w:tc>
        <w:tc>
          <w:tcPr>
            <w:tcW w:w="660" w:type="dxa"/>
            <w:tcBorders>
              <w:top w:val="nil"/>
              <w:left w:val="nil"/>
              <w:bottom w:val="single" w:color="auto" w:sz="4" w:space="0"/>
              <w:right w:val="single" w:color="auto" w:sz="4" w:space="0"/>
            </w:tcBorders>
            <w:noWrap/>
            <w:vAlign w:val="center"/>
          </w:tcPr>
          <w:p w14:paraId="4EFEE1A8">
            <w:pPr>
              <w:widowControl/>
              <w:jc w:val="left"/>
              <w:rPr>
                <w:rFonts w:eastAsia="仿宋_GB2312"/>
                <w:szCs w:val="20"/>
              </w:rPr>
            </w:pPr>
            <w:r>
              <w:rPr>
                <w:rFonts w:eastAsia="仿宋_GB2312"/>
                <w:szCs w:val="20"/>
              </w:rPr>
              <w:t>0074</w:t>
            </w:r>
          </w:p>
        </w:tc>
        <w:tc>
          <w:tcPr>
            <w:tcW w:w="2881" w:type="dxa"/>
            <w:tcBorders>
              <w:top w:val="nil"/>
              <w:left w:val="nil"/>
              <w:bottom w:val="single" w:color="auto" w:sz="4" w:space="0"/>
              <w:right w:val="single" w:color="auto" w:sz="4" w:space="0"/>
            </w:tcBorders>
            <w:noWrap/>
            <w:vAlign w:val="center"/>
          </w:tcPr>
          <w:p w14:paraId="598C94DA">
            <w:pPr>
              <w:widowControl/>
              <w:jc w:val="left"/>
              <w:rPr>
                <w:rFonts w:eastAsia="仿宋_GB2312"/>
                <w:sz w:val="18"/>
                <w:szCs w:val="18"/>
              </w:rPr>
            </w:pPr>
            <w:r>
              <w:rPr>
                <w:rFonts w:eastAsia="仿宋_GB2312"/>
                <w:sz w:val="18"/>
                <w:szCs w:val="18"/>
              </w:rPr>
              <w:t>转付黄大姐公司保险费</w:t>
            </w:r>
          </w:p>
        </w:tc>
        <w:tc>
          <w:tcPr>
            <w:tcW w:w="1386" w:type="dxa"/>
            <w:tcBorders>
              <w:top w:val="nil"/>
              <w:left w:val="nil"/>
              <w:bottom w:val="single" w:color="auto" w:sz="4" w:space="0"/>
              <w:right w:val="single" w:color="auto" w:sz="4" w:space="0"/>
            </w:tcBorders>
            <w:noWrap/>
            <w:vAlign w:val="center"/>
          </w:tcPr>
          <w:p w14:paraId="03E342D0">
            <w:pPr>
              <w:widowControl/>
              <w:jc w:val="right"/>
              <w:rPr>
                <w:rFonts w:eastAsia="仿宋_GB2312"/>
                <w:szCs w:val="20"/>
              </w:rPr>
            </w:pPr>
            <w:r>
              <w:rPr>
                <w:rFonts w:eastAsia="仿宋_GB2312"/>
                <w:szCs w:val="20"/>
              </w:rPr>
              <w:t>106,609.35</w:t>
            </w:r>
          </w:p>
        </w:tc>
        <w:tc>
          <w:tcPr>
            <w:tcW w:w="448" w:type="dxa"/>
            <w:tcBorders>
              <w:top w:val="nil"/>
              <w:left w:val="nil"/>
              <w:bottom w:val="single" w:color="auto" w:sz="4" w:space="0"/>
              <w:right w:val="single" w:color="auto" w:sz="4" w:space="0"/>
            </w:tcBorders>
            <w:noWrap/>
            <w:vAlign w:val="center"/>
          </w:tcPr>
          <w:p w14:paraId="65DDBCE3">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733C425A">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7F29FE03">
            <w:pPr>
              <w:widowControl/>
              <w:jc w:val="right"/>
              <w:rPr>
                <w:rFonts w:eastAsia="仿宋_GB2312"/>
                <w:szCs w:val="20"/>
              </w:rPr>
            </w:pPr>
            <w:r>
              <w:rPr>
                <w:rFonts w:eastAsia="仿宋_GB2312"/>
                <w:szCs w:val="20"/>
              </w:rPr>
              <w:t>10,777,162.33</w:t>
            </w:r>
          </w:p>
        </w:tc>
      </w:tr>
      <w:tr w14:paraId="0640FAEB">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7B1AA4C">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36236C2E">
            <w:pPr>
              <w:widowControl/>
              <w:jc w:val="left"/>
              <w:rPr>
                <w:rFonts w:eastAsia="仿宋_GB2312"/>
                <w:szCs w:val="20"/>
              </w:rPr>
            </w:pPr>
            <w:r>
              <w:rPr>
                <w:rFonts w:eastAsia="仿宋_GB2312"/>
                <w:szCs w:val="20"/>
              </w:rPr>
              <w:t>19</w:t>
            </w:r>
          </w:p>
        </w:tc>
        <w:tc>
          <w:tcPr>
            <w:tcW w:w="660" w:type="dxa"/>
            <w:tcBorders>
              <w:top w:val="nil"/>
              <w:left w:val="nil"/>
              <w:bottom w:val="single" w:color="auto" w:sz="4" w:space="0"/>
              <w:right w:val="single" w:color="auto" w:sz="4" w:space="0"/>
            </w:tcBorders>
            <w:noWrap/>
            <w:vAlign w:val="center"/>
          </w:tcPr>
          <w:p w14:paraId="7095E699">
            <w:pPr>
              <w:widowControl/>
              <w:jc w:val="left"/>
              <w:rPr>
                <w:rFonts w:eastAsia="仿宋_GB2312"/>
                <w:szCs w:val="20"/>
              </w:rPr>
            </w:pPr>
            <w:r>
              <w:rPr>
                <w:rFonts w:eastAsia="仿宋_GB2312"/>
                <w:szCs w:val="20"/>
              </w:rPr>
              <w:t>0045</w:t>
            </w:r>
          </w:p>
        </w:tc>
        <w:tc>
          <w:tcPr>
            <w:tcW w:w="2881" w:type="dxa"/>
            <w:tcBorders>
              <w:top w:val="nil"/>
              <w:left w:val="nil"/>
              <w:bottom w:val="single" w:color="auto" w:sz="4" w:space="0"/>
              <w:right w:val="single" w:color="auto" w:sz="4" w:space="0"/>
            </w:tcBorders>
            <w:noWrap/>
            <w:vAlign w:val="center"/>
          </w:tcPr>
          <w:p w14:paraId="58E94535">
            <w:pPr>
              <w:widowControl/>
              <w:jc w:val="left"/>
              <w:rPr>
                <w:rFonts w:eastAsia="仿宋_GB2312"/>
                <w:sz w:val="18"/>
                <w:szCs w:val="18"/>
              </w:rPr>
            </w:pPr>
            <w:r>
              <w:rPr>
                <w:rFonts w:eastAsia="仿宋_GB2312"/>
                <w:sz w:val="18"/>
                <w:szCs w:val="18"/>
              </w:rPr>
              <w:t>转付和佳公司清扫费</w:t>
            </w:r>
          </w:p>
        </w:tc>
        <w:tc>
          <w:tcPr>
            <w:tcW w:w="1386" w:type="dxa"/>
            <w:tcBorders>
              <w:top w:val="nil"/>
              <w:left w:val="nil"/>
              <w:bottom w:val="single" w:color="auto" w:sz="4" w:space="0"/>
              <w:right w:val="single" w:color="auto" w:sz="4" w:space="0"/>
            </w:tcBorders>
            <w:noWrap/>
            <w:vAlign w:val="center"/>
          </w:tcPr>
          <w:p w14:paraId="48AE88C3">
            <w:pPr>
              <w:widowControl/>
              <w:jc w:val="right"/>
              <w:rPr>
                <w:rFonts w:eastAsia="仿宋_GB2312"/>
                <w:szCs w:val="20"/>
              </w:rPr>
            </w:pPr>
            <w:r>
              <w:rPr>
                <w:rFonts w:eastAsia="仿宋_GB2312"/>
                <w:szCs w:val="20"/>
              </w:rPr>
              <w:t>230,015.48</w:t>
            </w:r>
          </w:p>
        </w:tc>
        <w:tc>
          <w:tcPr>
            <w:tcW w:w="448" w:type="dxa"/>
            <w:tcBorders>
              <w:top w:val="nil"/>
              <w:left w:val="nil"/>
              <w:bottom w:val="single" w:color="auto" w:sz="4" w:space="0"/>
              <w:right w:val="single" w:color="auto" w:sz="4" w:space="0"/>
            </w:tcBorders>
            <w:noWrap/>
            <w:vAlign w:val="center"/>
          </w:tcPr>
          <w:p w14:paraId="6FF530BF">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8D7E04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19C310B6">
            <w:pPr>
              <w:widowControl/>
              <w:jc w:val="right"/>
              <w:rPr>
                <w:rFonts w:eastAsia="仿宋_GB2312"/>
                <w:szCs w:val="20"/>
              </w:rPr>
            </w:pPr>
            <w:r>
              <w:rPr>
                <w:rFonts w:eastAsia="仿宋_GB2312"/>
                <w:szCs w:val="20"/>
              </w:rPr>
              <w:t>0</w:t>
            </w:r>
          </w:p>
        </w:tc>
      </w:tr>
      <w:tr w14:paraId="783EB4E8">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786A29A7">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614121D7">
            <w:pPr>
              <w:widowControl/>
              <w:jc w:val="left"/>
              <w:rPr>
                <w:rFonts w:eastAsia="仿宋_GB2312"/>
                <w:szCs w:val="20"/>
              </w:rPr>
            </w:pPr>
            <w:r>
              <w:rPr>
                <w:rFonts w:eastAsia="仿宋_GB2312"/>
                <w:szCs w:val="20"/>
              </w:rPr>
              <w:t>19</w:t>
            </w:r>
          </w:p>
        </w:tc>
        <w:tc>
          <w:tcPr>
            <w:tcW w:w="660" w:type="dxa"/>
            <w:tcBorders>
              <w:top w:val="nil"/>
              <w:left w:val="nil"/>
              <w:bottom w:val="single" w:color="auto" w:sz="4" w:space="0"/>
              <w:right w:val="single" w:color="auto" w:sz="4" w:space="0"/>
            </w:tcBorders>
            <w:noWrap/>
            <w:vAlign w:val="center"/>
          </w:tcPr>
          <w:p w14:paraId="037E729D">
            <w:pPr>
              <w:widowControl/>
              <w:jc w:val="left"/>
              <w:rPr>
                <w:rFonts w:eastAsia="仿宋_GB2312"/>
                <w:szCs w:val="20"/>
              </w:rPr>
            </w:pPr>
            <w:r>
              <w:rPr>
                <w:rFonts w:eastAsia="仿宋_GB2312"/>
                <w:szCs w:val="20"/>
              </w:rPr>
              <w:t>0045</w:t>
            </w:r>
          </w:p>
        </w:tc>
        <w:tc>
          <w:tcPr>
            <w:tcW w:w="2881" w:type="dxa"/>
            <w:tcBorders>
              <w:top w:val="nil"/>
              <w:left w:val="nil"/>
              <w:bottom w:val="single" w:color="auto" w:sz="4" w:space="0"/>
              <w:right w:val="single" w:color="auto" w:sz="4" w:space="0"/>
            </w:tcBorders>
            <w:noWrap/>
            <w:vAlign w:val="center"/>
          </w:tcPr>
          <w:p w14:paraId="02E73E62">
            <w:pPr>
              <w:widowControl/>
              <w:jc w:val="left"/>
              <w:rPr>
                <w:rFonts w:eastAsia="仿宋_GB2312"/>
                <w:sz w:val="18"/>
                <w:szCs w:val="18"/>
              </w:rPr>
            </w:pPr>
            <w:r>
              <w:rPr>
                <w:rFonts w:eastAsia="仿宋_GB2312"/>
                <w:sz w:val="18"/>
                <w:szCs w:val="18"/>
              </w:rPr>
              <w:t>转付和佳公司人员保险费</w:t>
            </w:r>
          </w:p>
        </w:tc>
        <w:tc>
          <w:tcPr>
            <w:tcW w:w="1386" w:type="dxa"/>
            <w:tcBorders>
              <w:top w:val="nil"/>
              <w:left w:val="nil"/>
              <w:bottom w:val="single" w:color="auto" w:sz="4" w:space="0"/>
              <w:right w:val="single" w:color="auto" w:sz="4" w:space="0"/>
            </w:tcBorders>
            <w:noWrap/>
            <w:vAlign w:val="center"/>
          </w:tcPr>
          <w:p w14:paraId="396065BE">
            <w:pPr>
              <w:widowControl/>
              <w:jc w:val="right"/>
              <w:rPr>
                <w:rFonts w:eastAsia="仿宋_GB2312"/>
                <w:szCs w:val="20"/>
              </w:rPr>
            </w:pPr>
            <w:r>
              <w:rPr>
                <w:rFonts w:eastAsia="仿宋_GB2312"/>
                <w:szCs w:val="20"/>
              </w:rPr>
              <w:t>64,198.59</w:t>
            </w:r>
          </w:p>
        </w:tc>
        <w:tc>
          <w:tcPr>
            <w:tcW w:w="448" w:type="dxa"/>
            <w:tcBorders>
              <w:top w:val="nil"/>
              <w:left w:val="nil"/>
              <w:bottom w:val="single" w:color="auto" w:sz="4" w:space="0"/>
              <w:right w:val="single" w:color="auto" w:sz="4" w:space="0"/>
            </w:tcBorders>
            <w:noWrap/>
            <w:vAlign w:val="center"/>
          </w:tcPr>
          <w:p w14:paraId="248626E4">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A1BA76D">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165CBBBD">
            <w:pPr>
              <w:widowControl/>
              <w:jc w:val="right"/>
              <w:rPr>
                <w:rFonts w:eastAsia="仿宋_GB2312"/>
                <w:szCs w:val="20"/>
              </w:rPr>
            </w:pPr>
            <w:r>
              <w:rPr>
                <w:rFonts w:eastAsia="仿宋_GB2312"/>
                <w:szCs w:val="20"/>
              </w:rPr>
              <w:t>11,071,376.40</w:t>
            </w:r>
          </w:p>
        </w:tc>
      </w:tr>
      <w:tr w14:paraId="19DBB344">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6611F2A1">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65AA2B2C">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5D4CF8E6">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7AC2934D">
            <w:pPr>
              <w:widowControl/>
              <w:jc w:val="left"/>
              <w:rPr>
                <w:rFonts w:eastAsia="仿宋_GB2312"/>
                <w:sz w:val="18"/>
                <w:szCs w:val="18"/>
              </w:rPr>
            </w:pPr>
            <w:r>
              <w:rPr>
                <w:rFonts w:eastAsia="仿宋_GB2312"/>
                <w:sz w:val="18"/>
                <w:szCs w:val="18"/>
              </w:rPr>
              <w:t>转付高建公司清扫费</w:t>
            </w:r>
          </w:p>
        </w:tc>
        <w:tc>
          <w:tcPr>
            <w:tcW w:w="1386" w:type="dxa"/>
            <w:tcBorders>
              <w:top w:val="nil"/>
              <w:left w:val="nil"/>
              <w:bottom w:val="single" w:color="auto" w:sz="4" w:space="0"/>
              <w:right w:val="single" w:color="auto" w:sz="4" w:space="0"/>
            </w:tcBorders>
            <w:noWrap/>
            <w:vAlign w:val="center"/>
          </w:tcPr>
          <w:p w14:paraId="7E16702A">
            <w:pPr>
              <w:widowControl/>
              <w:jc w:val="right"/>
              <w:rPr>
                <w:rFonts w:eastAsia="仿宋_GB2312"/>
                <w:szCs w:val="20"/>
              </w:rPr>
            </w:pPr>
            <w:r>
              <w:rPr>
                <w:rFonts w:eastAsia="仿宋_GB2312"/>
                <w:szCs w:val="20"/>
              </w:rPr>
              <w:t>251,895.83</w:t>
            </w:r>
          </w:p>
        </w:tc>
        <w:tc>
          <w:tcPr>
            <w:tcW w:w="448" w:type="dxa"/>
            <w:tcBorders>
              <w:top w:val="nil"/>
              <w:left w:val="nil"/>
              <w:bottom w:val="single" w:color="auto" w:sz="4" w:space="0"/>
              <w:right w:val="single" w:color="auto" w:sz="4" w:space="0"/>
            </w:tcBorders>
            <w:noWrap/>
            <w:vAlign w:val="center"/>
          </w:tcPr>
          <w:p w14:paraId="5CAD756B">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48DB1330">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6B0010AD">
            <w:pPr>
              <w:widowControl/>
              <w:jc w:val="right"/>
              <w:rPr>
                <w:rFonts w:eastAsia="仿宋_GB2312"/>
                <w:szCs w:val="20"/>
              </w:rPr>
            </w:pPr>
            <w:r>
              <w:rPr>
                <w:rFonts w:eastAsia="仿宋_GB2312"/>
                <w:szCs w:val="20"/>
              </w:rPr>
              <w:t>0</w:t>
            </w:r>
          </w:p>
        </w:tc>
      </w:tr>
      <w:tr w14:paraId="393029BE">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27CEC621">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7645649B">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7D0C5D9A">
            <w:pPr>
              <w:widowControl/>
              <w:jc w:val="left"/>
              <w:rPr>
                <w:rFonts w:eastAsia="仿宋_GB2312"/>
                <w:szCs w:val="20"/>
              </w:rPr>
            </w:pPr>
            <w:r>
              <w:rPr>
                <w:rFonts w:eastAsia="仿宋_GB2312"/>
                <w:szCs w:val="20"/>
              </w:rPr>
              <w:t>0046</w:t>
            </w:r>
          </w:p>
        </w:tc>
        <w:tc>
          <w:tcPr>
            <w:tcW w:w="2881" w:type="dxa"/>
            <w:tcBorders>
              <w:top w:val="nil"/>
              <w:left w:val="nil"/>
              <w:bottom w:val="single" w:color="auto" w:sz="4" w:space="0"/>
              <w:right w:val="single" w:color="auto" w:sz="4" w:space="0"/>
            </w:tcBorders>
            <w:noWrap/>
            <w:vAlign w:val="center"/>
          </w:tcPr>
          <w:p w14:paraId="63BBCB10">
            <w:pPr>
              <w:widowControl/>
              <w:jc w:val="left"/>
              <w:rPr>
                <w:rFonts w:eastAsia="仿宋_GB2312"/>
                <w:sz w:val="18"/>
                <w:szCs w:val="18"/>
              </w:rPr>
            </w:pPr>
            <w:r>
              <w:rPr>
                <w:rFonts w:eastAsia="仿宋_GB2312"/>
                <w:sz w:val="18"/>
                <w:szCs w:val="18"/>
              </w:rPr>
              <w:t>转付高建公司人员保险费</w:t>
            </w:r>
          </w:p>
        </w:tc>
        <w:tc>
          <w:tcPr>
            <w:tcW w:w="1386" w:type="dxa"/>
            <w:tcBorders>
              <w:top w:val="nil"/>
              <w:left w:val="nil"/>
              <w:bottom w:val="single" w:color="auto" w:sz="4" w:space="0"/>
              <w:right w:val="single" w:color="auto" w:sz="4" w:space="0"/>
            </w:tcBorders>
            <w:noWrap/>
            <w:vAlign w:val="center"/>
          </w:tcPr>
          <w:p w14:paraId="78DEA61B">
            <w:pPr>
              <w:widowControl/>
              <w:jc w:val="right"/>
              <w:rPr>
                <w:rFonts w:eastAsia="仿宋_GB2312"/>
                <w:szCs w:val="20"/>
              </w:rPr>
            </w:pPr>
            <w:r>
              <w:rPr>
                <w:rFonts w:eastAsia="仿宋_GB2312"/>
                <w:szCs w:val="20"/>
              </w:rPr>
              <w:t>69,264.89</w:t>
            </w:r>
          </w:p>
        </w:tc>
        <w:tc>
          <w:tcPr>
            <w:tcW w:w="448" w:type="dxa"/>
            <w:tcBorders>
              <w:top w:val="nil"/>
              <w:left w:val="nil"/>
              <w:bottom w:val="single" w:color="auto" w:sz="4" w:space="0"/>
              <w:right w:val="single" w:color="auto" w:sz="4" w:space="0"/>
            </w:tcBorders>
            <w:noWrap/>
            <w:vAlign w:val="center"/>
          </w:tcPr>
          <w:p w14:paraId="6CA2D40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15DB9CEC">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5D2EA7F7">
            <w:pPr>
              <w:widowControl/>
              <w:jc w:val="right"/>
              <w:rPr>
                <w:rFonts w:eastAsia="仿宋_GB2312"/>
                <w:szCs w:val="20"/>
              </w:rPr>
            </w:pPr>
            <w:r>
              <w:rPr>
                <w:rFonts w:eastAsia="仿宋_GB2312"/>
                <w:szCs w:val="20"/>
              </w:rPr>
              <w:t>0</w:t>
            </w:r>
          </w:p>
        </w:tc>
      </w:tr>
      <w:tr w14:paraId="0B89872E">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07818B6D">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157ABC3A">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40E2FE51">
            <w:pPr>
              <w:widowControl/>
              <w:jc w:val="left"/>
              <w:rPr>
                <w:rFonts w:eastAsia="仿宋_GB2312"/>
                <w:szCs w:val="20"/>
              </w:rPr>
            </w:pPr>
            <w:r>
              <w:rPr>
                <w:rFonts w:eastAsia="仿宋_GB2312"/>
                <w:szCs w:val="20"/>
              </w:rPr>
              <w:t>0047</w:t>
            </w:r>
          </w:p>
        </w:tc>
        <w:tc>
          <w:tcPr>
            <w:tcW w:w="2881" w:type="dxa"/>
            <w:tcBorders>
              <w:top w:val="nil"/>
              <w:left w:val="nil"/>
              <w:bottom w:val="single" w:color="auto" w:sz="4" w:space="0"/>
              <w:right w:val="single" w:color="auto" w:sz="4" w:space="0"/>
            </w:tcBorders>
            <w:noWrap/>
            <w:vAlign w:val="center"/>
          </w:tcPr>
          <w:p w14:paraId="336AAABA">
            <w:pPr>
              <w:widowControl/>
              <w:jc w:val="left"/>
              <w:rPr>
                <w:rFonts w:eastAsia="仿宋_GB2312"/>
                <w:sz w:val="18"/>
                <w:szCs w:val="18"/>
              </w:rPr>
            </w:pPr>
            <w:r>
              <w:rPr>
                <w:rFonts w:eastAsia="仿宋_GB2312"/>
                <w:sz w:val="18"/>
                <w:szCs w:val="18"/>
              </w:rPr>
              <w:t>转付黄大姐公司清扫费</w:t>
            </w:r>
          </w:p>
        </w:tc>
        <w:tc>
          <w:tcPr>
            <w:tcW w:w="1386" w:type="dxa"/>
            <w:tcBorders>
              <w:top w:val="nil"/>
              <w:left w:val="nil"/>
              <w:bottom w:val="single" w:color="auto" w:sz="4" w:space="0"/>
              <w:right w:val="single" w:color="auto" w:sz="4" w:space="0"/>
            </w:tcBorders>
            <w:noWrap/>
            <w:vAlign w:val="center"/>
          </w:tcPr>
          <w:p w14:paraId="45A26430">
            <w:pPr>
              <w:widowControl/>
              <w:jc w:val="right"/>
              <w:rPr>
                <w:rFonts w:eastAsia="仿宋_GB2312"/>
                <w:szCs w:val="20"/>
              </w:rPr>
            </w:pPr>
            <w:r>
              <w:rPr>
                <w:rFonts w:eastAsia="仿宋_GB2312"/>
                <w:szCs w:val="20"/>
              </w:rPr>
              <w:t>282,075.75</w:t>
            </w:r>
          </w:p>
        </w:tc>
        <w:tc>
          <w:tcPr>
            <w:tcW w:w="448" w:type="dxa"/>
            <w:tcBorders>
              <w:top w:val="nil"/>
              <w:left w:val="nil"/>
              <w:bottom w:val="single" w:color="auto" w:sz="4" w:space="0"/>
              <w:right w:val="single" w:color="auto" w:sz="4" w:space="0"/>
            </w:tcBorders>
            <w:noWrap/>
            <w:vAlign w:val="center"/>
          </w:tcPr>
          <w:p w14:paraId="06145199">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6E15F958">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71C6F59E">
            <w:pPr>
              <w:widowControl/>
              <w:jc w:val="right"/>
              <w:rPr>
                <w:rFonts w:eastAsia="仿宋_GB2312"/>
                <w:szCs w:val="20"/>
              </w:rPr>
            </w:pPr>
            <w:r>
              <w:rPr>
                <w:rFonts w:eastAsia="仿宋_GB2312"/>
                <w:szCs w:val="20"/>
              </w:rPr>
              <w:t>0</w:t>
            </w:r>
          </w:p>
        </w:tc>
      </w:tr>
      <w:tr w14:paraId="6E3032CE">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7A8117F2">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59162AC1">
            <w:pPr>
              <w:widowControl/>
              <w:jc w:val="left"/>
              <w:rPr>
                <w:rFonts w:eastAsia="仿宋_GB2312"/>
                <w:szCs w:val="20"/>
              </w:rPr>
            </w:pPr>
            <w:r>
              <w:rPr>
                <w:rFonts w:eastAsia="仿宋_GB2312"/>
                <w:szCs w:val="20"/>
              </w:rPr>
              <w:t>20</w:t>
            </w:r>
          </w:p>
        </w:tc>
        <w:tc>
          <w:tcPr>
            <w:tcW w:w="660" w:type="dxa"/>
            <w:tcBorders>
              <w:top w:val="nil"/>
              <w:left w:val="nil"/>
              <w:bottom w:val="single" w:color="auto" w:sz="4" w:space="0"/>
              <w:right w:val="single" w:color="auto" w:sz="4" w:space="0"/>
            </w:tcBorders>
            <w:noWrap/>
            <w:vAlign w:val="center"/>
          </w:tcPr>
          <w:p w14:paraId="1CE82D93">
            <w:pPr>
              <w:widowControl/>
              <w:jc w:val="left"/>
              <w:rPr>
                <w:rFonts w:eastAsia="仿宋_GB2312"/>
                <w:szCs w:val="20"/>
              </w:rPr>
            </w:pPr>
            <w:r>
              <w:rPr>
                <w:rFonts w:eastAsia="仿宋_GB2312"/>
                <w:szCs w:val="20"/>
              </w:rPr>
              <w:t>0047</w:t>
            </w:r>
          </w:p>
        </w:tc>
        <w:tc>
          <w:tcPr>
            <w:tcW w:w="2881" w:type="dxa"/>
            <w:tcBorders>
              <w:top w:val="nil"/>
              <w:left w:val="nil"/>
              <w:bottom w:val="single" w:color="auto" w:sz="4" w:space="0"/>
              <w:right w:val="single" w:color="auto" w:sz="4" w:space="0"/>
            </w:tcBorders>
            <w:noWrap/>
            <w:vAlign w:val="center"/>
          </w:tcPr>
          <w:p w14:paraId="55EFD8D0">
            <w:pPr>
              <w:widowControl/>
              <w:jc w:val="left"/>
              <w:rPr>
                <w:rFonts w:eastAsia="仿宋_GB2312"/>
                <w:sz w:val="18"/>
                <w:szCs w:val="18"/>
              </w:rPr>
            </w:pPr>
            <w:r>
              <w:rPr>
                <w:rFonts w:eastAsia="仿宋_GB2312"/>
                <w:sz w:val="18"/>
                <w:szCs w:val="18"/>
              </w:rPr>
              <w:t>转付黄大姐公司保险费</w:t>
            </w:r>
          </w:p>
        </w:tc>
        <w:tc>
          <w:tcPr>
            <w:tcW w:w="1386" w:type="dxa"/>
            <w:tcBorders>
              <w:top w:val="nil"/>
              <w:left w:val="nil"/>
              <w:bottom w:val="single" w:color="auto" w:sz="4" w:space="0"/>
              <w:right w:val="single" w:color="auto" w:sz="4" w:space="0"/>
            </w:tcBorders>
            <w:noWrap/>
            <w:vAlign w:val="center"/>
          </w:tcPr>
          <w:p w14:paraId="19A97FF5">
            <w:pPr>
              <w:widowControl/>
              <w:jc w:val="right"/>
              <w:rPr>
                <w:rFonts w:eastAsia="仿宋_GB2312"/>
                <w:szCs w:val="20"/>
              </w:rPr>
            </w:pPr>
            <w:r>
              <w:rPr>
                <w:rFonts w:eastAsia="仿宋_GB2312"/>
                <w:szCs w:val="20"/>
              </w:rPr>
              <w:t>106,609.35</w:t>
            </w:r>
          </w:p>
        </w:tc>
        <w:tc>
          <w:tcPr>
            <w:tcW w:w="448" w:type="dxa"/>
            <w:tcBorders>
              <w:top w:val="nil"/>
              <w:left w:val="nil"/>
              <w:bottom w:val="single" w:color="auto" w:sz="4" w:space="0"/>
              <w:right w:val="single" w:color="auto" w:sz="4" w:space="0"/>
            </w:tcBorders>
            <w:noWrap/>
            <w:vAlign w:val="center"/>
          </w:tcPr>
          <w:p w14:paraId="664D6DCD">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52634460">
            <w:pPr>
              <w:widowControl/>
              <w:jc w:val="left"/>
              <w:rPr>
                <w:rFonts w:eastAsia="仿宋_GB2312"/>
                <w:szCs w:val="20"/>
              </w:rPr>
            </w:pPr>
            <w:r>
              <w:rPr>
                <w:rFonts w:eastAsia="仿宋_GB2312"/>
                <w:szCs w:val="20"/>
              </w:rPr>
              <w:t>借</w:t>
            </w:r>
          </w:p>
        </w:tc>
        <w:tc>
          <w:tcPr>
            <w:tcW w:w="1516" w:type="dxa"/>
            <w:tcBorders>
              <w:top w:val="nil"/>
              <w:left w:val="nil"/>
              <w:bottom w:val="single" w:color="auto" w:sz="4" w:space="0"/>
              <w:right w:val="single" w:color="auto" w:sz="4" w:space="0"/>
            </w:tcBorders>
            <w:noWrap/>
            <w:vAlign w:val="center"/>
          </w:tcPr>
          <w:p w14:paraId="73C745AF">
            <w:pPr>
              <w:widowControl/>
              <w:jc w:val="right"/>
              <w:rPr>
                <w:rFonts w:eastAsia="仿宋_GB2312"/>
                <w:sz w:val="18"/>
                <w:szCs w:val="18"/>
              </w:rPr>
            </w:pPr>
            <w:r>
              <w:rPr>
                <w:rFonts w:eastAsia="仿宋_GB2312"/>
                <w:sz w:val="18"/>
                <w:szCs w:val="18"/>
              </w:rPr>
              <w:t>11,781,222.22</w:t>
            </w:r>
          </w:p>
        </w:tc>
      </w:tr>
      <w:tr w14:paraId="2B3EE52A">
        <w:tblPrEx>
          <w:tblCellMar>
            <w:top w:w="0" w:type="dxa"/>
            <w:left w:w="108" w:type="dxa"/>
            <w:bottom w:w="0" w:type="dxa"/>
            <w:right w:w="108" w:type="dxa"/>
          </w:tblCellMar>
        </w:tblPrEx>
        <w:trPr>
          <w:trHeight w:val="270" w:hRule="atLeast"/>
        </w:trPr>
        <w:tc>
          <w:tcPr>
            <w:tcW w:w="416" w:type="dxa"/>
            <w:tcBorders>
              <w:top w:val="nil"/>
              <w:left w:val="single" w:color="auto" w:sz="4" w:space="0"/>
              <w:bottom w:val="single" w:color="auto" w:sz="4" w:space="0"/>
              <w:right w:val="single" w:color="auto" w:sz="4" w:space="0"/>
            </w:tcBorders>
            <w:noWrap/>
            <w:vAlign w:val="center"/>
          </w:tcPr>
          <w:p w14:paraId="4A4CC0AA">
            <w:pPr>
              <w:widowControl/>
              <w:jc w:val="left"/>
              <w:rPr>
                <w:rFonts w:eastAsia="仿宋_GB2312"/>
                <w:szCs w:val="20"/>
              </w:rPr>
            </w:pPr>
            <w:r>
              <w:rPr>
                <w:rFonts w:eastAsia="仿宋_GB2312"/>
                <w:szCs w:val="20"/>
              </w:rPr>
              <w:t>12</w:t>
            </w:r>
          </w:p>
        </w:tc>
        <w:tc>
          <w:tcPr>
            <w:tcW w:w="416" w:type="dxa"/>
            <w:tcBorders>
              <w:top w:val="nil"/>
              <w:left w:val="nil"/>
              <w:bottom w:val="single" w:color="auto" w:sz="4" w:space="0"/>
              <w:right w:val="single" w:color="auto" w:sz="4" w:space="0"/>
            </w:tcBorders>
            <w:noWrap/>
            <w:vAlign w:val="center"/>
          </w:tcPr>
          <w:p w14:paraId="72FC8C0C">
            <w:pPr>
              <w:widowControl/>
              <w:jc w:val="left"/>
              <w:rPr>
                <w:rFonts w:eastAsia="仿宋_GB2312"/>
                <w:szCs w:val="20"/>
              </w:rPr>
            </w:pPr>
            <w:r>
              <w:rPr>
                <w:rFonts w:eastAsia="仿宋_GB2312"/>
                <w:szCs w:val="20"/>
              </w:rPr>
              <w:t>31</w:t>
            </w:r>
          </w:p>
        </w:tc>
        <w:tc>
          <w:tcPr>
            <w:tcW w:w="660" w:type="dxa"/>
            <w:tcBorders>
              <w:top w:val="nil"/>
              <w:left w:val="nil"/>
              <w:bottom w:val="single" w:color="auto" w:sz="4" w:space="0"/>
              <w:right w:val="single" w:color="auto" w:sz="4" w:space="0"/>
            </w:tcBorders>
            <w:noWrap/>
            <w:vAlign w:val="center"/>
          </w:tcPr>
          <w:p w14:paraId="4DA622EE">
            <w:pPr>
              <w:widowControl/>
              <w:jc w:val="left"/>
              <w:rPr>
                <w:rFonts w:eastAsia="仿宋_GB2312"/>
                <w:szCs w:val="20"/>
              </w:rPr>
            </w:pPr>
            <w:r>
              <w:rPr>
                <w:rFonts w:eastAsia="仿宋_GB2312"/>
                <w:szCs w:val="20"/>
              </w:rPr>
              <w:t>　</w:t>
            </w:r>
          </w:p>
        </w:tc>
        <w:tc>
          <w:tcPr>
            <w:tcW w:w="2881" w:type="dxa"/>
            <w:tcBorders>
              <w:top w:val="nil"/>
              <w:left w:val="nil"/>
              <w:bottom w:val="single" w:color="auto" w:sz="4" w:space="0"/>
              <w:right w:val="single" w:color="auto" w:sz="4" w:space="0"/>
            </w:tcBorders>
            <w:noWrap/>
            <w:vAlign w:val="center"/>
          </w:tcPr>
          <w:p w14:paraId="39978469">
            <w:pPr>
              <w:widowControl/>
              <w:jc w:val="left"/>
              <w:rPr>
                <w:rFonts w:eastAsia="仿宋_GB2312"/>
                <w:sz w:val="18"/>
                <w:szCs w:val="18"/>
              </w:rPr>
            </w:pPr>
            <w:r>
              <w:rPr>
                <w:rFonts w:eastAsia="仿宋_GB2312"/>
                <w:sz w:val="18"/>
                <w:szCs w:val="18"/>
              </w:rPr>
              <w:t>本年累计</w:t>
            </w:r>
          </w:p>
        </w:tc>
        <w:tc>
          <w:tcPr>
            <w:tcW w:w="1386" w:type="dxa"/>
            <w:tcBorders>
              <w:top w:val="nil"/>
              <w:left w:val="nil"/>
              <w:bottom w:val="single" w:color="auto" w:sz="4" w:space="0"/>
              <w:right w:val="single" w:color="auto" w:sz="4" w:space="0"/>
            </w:tcBorders>
            <w:noWrap/>
            <w:vAlign w:val="center"/>
          </w:tcPr>
          <w:p w14:paraId="3695F520">
            <w:pPr>
              <w:widowControl/>
              <w:jc w:val="right"/>
              <w:rPr>
                <w:rFonts w:eastAsia="仿宋_GB2312"/>
                <w:sz w:val="18"/>
                <w:szCs w:val="18"/>
              </w:rPr>
            </w:pPr>
            <w:r>
              <w:rPr>
                <w:rFonts w:eastAsia="仿宋_GB2312"/>
                <w:sz w:val="18"/>
                <w:szCs w:val="18"/>
              </w:rPr>
              <w:t>11,781,222.22</w:t>
            </w:r>
          </w:p>
        </w:tc>
        <w:tc>
          <w:tcPr>
            <w:tcW w:w="448" w:type="dxa"/>
            <w:tcBorders>
              <w:top w:val="nil"/>
              <w:left w:val="nil"/>
              <w:bottom w:val="single" w:color="auto" w:sz="4" w:space="0"/>
              <w:right w:val="single" w:color="auto" w:sz="4" w:space="0"/>
            </w:tcBorders>
            <w:noWrap/>
            <w:vAlign w:val="center"/>
          </w:tcPr>
          <w:p w14:paraId="2E73272E">
            <w:pPr>
              <w:widowControl/>
              <w:jc w:val="right"/>
              <w:rPr>
                <w:rFonts w:eastAsia="仿宋_GB2312"/>
                <w:szCs w:val="20"/>
              </w:rPr>
            </w:pPr>
            <w:r>
              <w:rPr>
                <w:rFonts w:eastAsia="仿宋_GB2312"/>
                <w:szCs w:val="20"/>
              </w:rPr>
              <w:t>0</w:t>
            </w:r>
          </w:p>
        </w:tc>
        <w:tc>
          <w:tcPr>
            <w:tcW w:w="554" w:type="dxa"/>
            <w:tcBorders>
              <w:top w:val="nil"/>
              <w:left w:val="nil"/>
              <w:bottom w:val="single" w:color="auto" w:sz="4" w:space="0"/>
              <w:right w:val="single" w:color="auto" w:sz="4" w:space="0"/>
            </w:tcBorders>
            <w:noWrap/>
            <w:vAlign w:val="center"/>
          </w:tcPr>
          <w:p w14:paraId="28C9F8B7">
            <w:pPr>
              <w:widowControl/>
              <w:jc w:val="left"/>
              <w:rPr>
                <w:rFonts w:eastAsia="仿宋_GB2312"/>
                <w:szCs w:val="20"/>
              </w:rPr>
            </w:pPr>
            <w:r>
              <w:rPr>
                <w:rFonts w:eastAsia="仿宋_GB2312"/>
                <w:szCs w:val="20"/>
              </w:rPr>
              <w:t>　</w:t>
            </w:r>
          </w:p>
        </w:tc>
        <w:tc>
          <w:tcPr>
            <w:tcW w:w="1516" w:type="dxa"/>
            <w:tcBorders>
              <w:top w:val="nil"/>
              <w:left w:val="nil"/>
              <w:bottom w:val="single" w:color="auto" w:sz="4" w:space="0"/>
              <w:right w:val="single" w:color="auto" w:sz="4" w:space="0"/>
            </w:tcBorders>
            <w:noWrap/>
            <w:vAlign w:val="center"/>
          </w:tcPr>
          <w:p w14:paraId="029CB43B">
            <w:pPr>
              <w:widowControl/>
              <w:jc w:val="left"/>
              <w:rPr>
                <w:rFonts w:eastAsia="仿宋_GB2312"/>
                <w:szCs w:val="20"/>
              </w:rPr>
            </w:pPr>
            <w:r>
              <w:rPr>
                <w:rFonts w:eastAsia="仿宋_GB2312"/>
                <w:szCs w:val="20"/>
              </w:rPr>
              <w:t>　</w:t>
            </w:r>
          </w:p>
        </w:tc>
      </w:tr>
    </w:tbl>
    <w:p w14:paraId="276D7849">
      <w:pPr>
        <w:autoSpaceDE w:val="0"/>
        <w:autoSpaceDN w:val="0"/>
        <w:adjustRightInd w:val="0"/>
        <w:spacing w:line="600" w:lineRule="exact"/>
        <w:ind w:firstLine="640" w:firstLineChars="200"/>
        <w:jc w:val="left"/>
        <w:rPr>
          <w:rFonts w:eastAsia="仿宋_GB2312"/>
          <w:sz w:val="32"/>
          <w:szCs w:val="32"/>
        </w:rPr>
      </w:pPr>
    </w:p>
    <w:p w14:paraId="4BB08511">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 xml:space="preserve">资金支付范围、支付标准、支付进度、支付依据合规合法、与预算相符。 </w:t>
      </w:r>
    </w:p>
    <w:p w14:paraId="7B868964">
      <w:pPr>
        <w:autoSpaceDE w:val="0"/>
        <w:autoSpaceDN w:val="0"/>
        <w:adjustRightInd w:val="0"/>
        <w:spacing w:line="600" w:lineRule="exact"/>
        <w:ind w:firstLine="640" w:firstLineChars="200"/>
        <w:jc w:val="left"/>
        <w:rPr>
          <w:rFonts w:eastAsia="仿宋_GB2312"/>
          <w:sz w:val="32"/>
          <w:szCs w:val="32"/>
        </w:rPr>
      </w:pPr>
      <w:r>
        <w:rPr>
          <w:rFonts w:hint="eastAsia" w:ascii="Times New Roman" w:eastAsia="仿宋_GB2312" w:cs="Times New Roman"/>
          <w:sz w:val="32"/>
          <w:szCs w:val="32"/>
          <w:rPrChange w:id="20" w:author="舒燕" w:date="2019-03-20T09:18:00Z">
            <w:rPr>
              <w:rFonts w:hint="eastAsia" w:ascii="楷体_GB2312" w:eastAsia="楷体_GB2312" w:cs="仿宋_GB2312"/>
              <w:sz w:val="32"/>
              <w:szCs w:val="32"/>
            </w:rPr>
          </w:rPrChange>
        </w:rPr>
        <w:t>（三）项目财务管理情况。</w:t>
      </w:r>
    </w:p>
    <w:p w14:paraId="6323A571">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单位财务管理制度健全，严格执行财务管理制度，账务处理及时，会计核算规范。报送专项资金申请及时，在专项资金的使用上，实行财政国库集中支付管理，未开设专项资金</w:t>
      </w:r>
      <w:r>
        <w:rPr>
          <w:rFonts w:eastAsia="仿宋_GB2312"/>
          <w:sz w:val="32"/>
          <w:szCs w:val="32"/>
          <w:lang w:val="en-US"/>
        </w:rPr>
        <w:t>银行账户</w:t>
      </w:r>
      <w:r>
        <w:rPr>
          <w:rFonts w:eastAsia="仿宋_GB2312"/>
          <w:sz w:val="32"/>
          <w:szCs w:val="32"/>
        </w:rPr>
        <w:t>，将支出帐户的资金转移到其他帐户或办理定期储蓄存款。没有违反规定使用、滞留、截留甚至挪用、侵占专项资金，确保专项资金使用的安全与完整。</w:t>
      </w:r>
    </w:p>
    <w:p w14:paraId="0845508D">
      <w:pPr>
        <w:spacing w:line="440" w:lineRule="exact"/>
        <w:ind w:firstLine="640" w:firstLineChars="200"/>
        <w:rPr>
          <w:rFonts w:eastAsia="仿宋_GB2312"/>
          <w:sz w:val="32"/>
          <w:szCs w:val="32"/>
        </w:rPr>
      </w:pPr>
      <w:r>
        <w:rPr>
          <w:rFonts w:eastAsia="仿宋_GB2312"/>
          <w:sz w:val="32"/>
          <w:szCs w:val="32"/>
        </w:rPr>
        <w:t xml:space="preserve"> 各股室加强考核管理，严格制定各项考核标准并加以实施。加强财政专项资金的管理，努力提高专项资金的使用效率。</w:t>
      </w:r>
    </w:p>
    <w:p w14:paraId="2E9297E6">
      <w:pPr>
        <w:autoSpaceDE w:val="0"/>
        <w:autoSpaceDN w:val="0"/>
        <w:adjustRightInd w:val="0"/>
        <w:spacing w:line="600" w:lineRule="exact"/>
        <w:ind w:firstLine="640" w:firstLineChars="200"/>
        <w:jc w:val="left"/>
        <w:rPr>
          <w:rFonts w:ascii="Times New Roman" w:eastAsia="仿宋_GB2312"/>
          <w:sz w:val="32"/>
          <w:szCs w:val="32"/>
          <w:rPrChange w:id="21" w:author="Unknown" w:date="1901-01-01T00:00:00Z">
            <w:rPr>
              <w:rFonts w:ascii="黑体" w:eastAsia="黑体"/>
              <w:sz w:val="32"/>
              <w:szCs w:val="32"/>
            </w:rPr>
          </w:rPrChange>
        </w:rPr>
      </w:pPr>
      <w:r>
        <w:rPr>
          <w:rFonts w:hint="eastAsia" w:ascii="Times New Roman" w:eastAsia="仿宋_GB2312" w:cs="Times New Roman"/>
          <w:sz w:val="32"/>
          <w:szCs w:val="32"/>
          <w:rPrChange w:id="22" w:author="舒燕" w:date="2019-03-20T09:18:00Z">
            <w:rPr>
              <w:rFonts w:hint="eastAsia" w:ascii="黑体" w:eastAsia="黑体" w:cs="仿宋_GB2312"/>
              <w:sz w:val="32"/>
              <w:szCs w:val="32"/>
            </w:rPr>
          </w:rPrChange>
        </w:rPr>
        <w:t>三、项目实施及管理情况</w:t>
      </w:r>
    </w:p>
    <w:p w14:paraId="31EA42E3">
      <w:pPr>
        <w:numPr>
          <w:ilvl w:val="0"/>
          <w:numId w:val="4"/>
        </w:numPr>
        <w:autoSpaceDE w:val="0"/>
        <w:autoSpaceDN w:val="0"/>
        <w:adjustRightInd w:val="0"/>
        <w:spacing w:line="600" w:lineRule="exact"/>
        <w:ind w:left="0" w:firstLine="640" w:firstLineChars="200"/>
        <w:jc w:val="left"/>
        <w:rPr>
          <w:rFonts w:eastAsia="仿宋_GB2312"/>
          <w:sz w:val="32"/>
          <w:szCs w:val="32"/>
        </w:rPr>
      </w:pPr>
      <w:r>
        <w:rPr>
          <w:rFonts w:hint="eastAsia" w:ascii="Times New Roman" w:eastAsia="仿宋_GB2312" w:cs="Times New Roman"/>
          <w:sz w:val="32"/>
          <w:szCs w:val="32"/>
          <w:rPrChange w:id="23" w:author="舒燕" w:date="2019-03-20T09:18:00Z">
            <w:rPr>
              <w:rFonts w:hint="eastAsia" w:ascii="楷体_GB2312" w:eastAsia="楷体_GB2312" w:cs="仿宋_GB2312"/>
              <w:sz w:val="32"/>
              <w:szCs w:val="32"/>
            </w:rPr>
          </w:rPrChange>
        </w:rPr>
        <w:t>项目组织架构及实施流程。</w:t>
      </w:r>
    </w:p>
    <w:p w14:paraId="4DE12FD5">
      <w:pPr>
        <w:autoSpaceDE w:val="0"/>
        <w:autoSpaceDN w:val="0"/>
        <w:adjustRightInd w:val="0"/>
        <w:spacing w:line="600" w:lineRule="exact"/>
        <w:ind w:firstLine="640" w:firstLineChars="200"/>
        <w:jc w:val="left"/>
        <w:rPr>
          <w:rFonts w:ascii="Times New Roman" w:eastAsia="仿宋_GB2312"/>
          <w:sz w:val="32"/>
          <w:szCs w:val="32"/>
          <w:rPrChange w:id="24" w:author="Unknown" w:date="1901-01-01T00:00:00Z">
            <w:rPr>
              <w:rFonts w:ascii="楷体_GB2312" w:eastAsia="楷体_GB2312"/>
              <w:sz w:val="32"/>
              <w:szCs w:val="32"/>
            </w:rPr>
          </w:rPrChange>
        </w:rPr>
      </w:pPr>
      <w:r>
        <w:rPr>
          <w:rFonts w:eastAsia="仿宋_GB2312"/>
          <w:sz w:val="32"/>
          <w:szCs w:val="32"/>
        </w:rPr>
        <w:t>米易县城市管理局2016-2020年环卫清扫保洁市场化公开招标采购项目按照合同进行，项目监督由米易县城市管局实施。</w:t>
      </w:r>
    </w:p>
    <w:p w14:paraId="70A57BF4">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（二）</w:t>
      </w:r>
      <w:r>
        <w:rPr>
          <w:rFonts w:hint="eastAsia" w:ascii="Times New Roman" w:eastAsia="仿宋_GB2312" w:cs="Times New Roman"/>
          <w:sz w:val="32"/>
          <w:szCs w:val="32"/>
          <w:rPrChange w:id="25" w:author="舒燕" w:date="2019-03-20T09:18:00Z">
            <w:rPr>
              <w:rFonts w:hint="eastAsia" w:ascii="楷体_GB2312" w:eastAsia="楷体_GB2312" w:cs="仿宋_GB2312"/>
              <w:sz w:val="32"/>
              <w:szCs w:val="32"/>
            </w:rPr>
          </w:rPrChange>
        </w:rPr>
        <w:t>项目管理情况。</w:t>
      </w:r>
      <w:r>
        <w:rPr>
          <w:rFonts w:eastAsia="仿宋_GB2312"/>
          <w:sz w:val="32"/>
          <w:szCs w:val="32"/>
        </w:rPr>
        <w:t>项目采用公开招投标方式确定承包方，项目总体实施按照日常监督考核进行结算，项目监督均由我局环卫股按照相关规章制度实施。</w:t>
      </w:r>
    </w:p>
    <w:p w14:paraId="19288D5C">
      <w:pPr>
        <w:autoSpaceDE w:val="0"/>
        <w:autoSpaceDN w:val="0"/>
        <w:adjustRightInd w:val="0"/>
        <w:spacing w:line="600" w:lineRule="exact"/>
        <w:ind w:firstLine="640" w:firstLineChars="200"/>
        <w:jc w:val="left"/>
        <w:rPr>
          <w:rFonts w:eastAsia="仿宋_GB2312"/>
          <w:sz w:val="32"/>
          <w:szCs w:val="32"/>
        </w:rPr>
      </w:pPr>
      <w:r>
        <w:rPr>
          <w:rFonts w:hint="eastAsia" w:ascii="Times New Roman" w:eastAsia="仿宋_GB2312" w:cs="Times New Roman"/>
          <w:sz w:val="32"/>
          <w:szCs w:val="32"/>
          <w:rPrChange w:id="26" w:author="舒燕" w:date="2019-03-20T09:18:00Z">
            <w:rPr>
              <w:rFonts w:hint="eastAsia" w:ascii="楷体_GB2312" w:eastAsia="楷体_GB2312" w:cs="仿宋_GB2312"/>
              <w:sz w:val="32"/>
              <w:szCs w:val="32"/>
            </w:rPr>
          </w:rPrChange>
        </w:rPr>
        <w:t>（</w:t>
      </w:r>
      <w:r>
        <w:rPr>
          <w:rFonts w:eastAsia="仿宋_GB2312"/>
          <w:sz w:val="32"/>
          <w:szCs w:val="32"/>
        </w:rPr>
        <w:t>三</w:t>
      </w:r>
      <w:r>
        <w:rPr>
          <w:rFonts w:hint="eastAsia" w:ascii="Times New Roman" w:eastAsia="仿宋_GB2312" w:cs="Times New Roman"/>
          <w:sz w:val="32"/>
          <w:szCs w:val="32"/>
          <w:rPrChange w:id="27" w:author="舒燕" w:date="2019-03-20T09:18:00Z">
            <w:rPr>
              <w:rFonts w:hint="eastAsia" w:ascii="楷体_GB2312" w:eastAsia="楷体_GB2312" w:cs="仿宋_GB2312"/>
              <w:sz w:val="32"/>
              <w:szCs w:val="32"/>
            </w:rPr>
          </w:rPrChange>
        </w:rPr>
        <w:t>）项目监管情况。</w:t>
      </w:r>
      <w:r>
        <w:rPr>
          <w:rFonts w:eastAsia="仿宋_GB2312"/>
          <w:sz w:val="32"/>
          <w:szCs w:val="32"/>
        </w:rPr>
        <w:t>项目实施过程中，县城管局按照相关管理规定对承包方进行监管，在监管过程中发现问题及时要求承包方进行整改，每月由我局组织工作人员根据</w:t>
      </w:r>
      <w:r>
        <w:rPr>
          <w:rFonts w:eastAsia="仿宋_GB2312"/>
          <w:color w:val="000000"/>
          <w:sz w:val="32"/>
          <w:szCs w:val="32"/>
        </w:rPr>
        <w:t>新修订的《米易县清扫保洁市场化作业质量标准（试行）》</w:t>
      </w:r>
      <w:r>
        <w:rPr>
          <w:rFonts w:eastAsia="仿宋_GB2312"/>
          <w:sz w:val="32"/>
          <w:szCs w:val="32"/>
        </w:rPr>
        <w:t xml:space="preserve">对承包方按照“米易县城区清扫保洁市场化作业考核细则（试行）”进行考核。我局按照考核结果向财政申报拨付项目资金。 </w:t>
      </w:r>
    </w:p>
    <w:p w14:paraId="5C676489">
      <w:pPr>
        <w:autoSpaceDE w:val="0"/>
        <w:autoSpaceDN w:val="0"/>
        <w:adjustRightInd w:val="0"/>
        <w:spacing w:line="600" w:lineRule="exact"/>
        <w:ind w:firstLine="640" w:firstLineChars="200"/>
        <w:jc w:val="left"/>
        <w:rPr>
          <w:rFonts w:ascii="Times New Roman" w:eastAsia="仿宋_GB2312"/>
          <w:sz w:val="32"/>
          <w:szCs w:val="32"/>
          <w:rPrChange w:id="28" w:author="Unknown" w:date="1901-01-01T00:00:00Z">
            <w:rPr>
              <w:rFonts w:ascii="黑体" w:eastAsia="黑体"/>
              <w:sz w:val="32"/>
              <w:szCs w:val="32"/>
            </w:rPr>
          </w:rPrChange>
        </w:rPr>
      </w:pPr>
      <w:r>
        <w:rPr>
          <w:rFonts w:hint="eastAsia" w:ascii="Times New Roman" w:eastAsia="仿宋_GB2312" w:cs="Times New Roman"/>
          <w:sz w:val="32"/>
          <w:szCs w:val="32"/>
          <w:rPrChange w:id="29" w:author="舒燕" w:date="2019-03-20T09:18:00Z">
            <w:rPr>
              <w:rFonts w:hint="eastAsia" w:ascii="黑体" w:eastAsia="黑体" w:cs="仿宋_GB2312"/>
              <w:sz w:val="32"/>
              <w:szCs w:val="32"/>
            </w:rPr>
          </w:rPrChange>
        </w:rPr>
        <w:t>四、项目绩效情况</w:t>
      </w:r>
    </w:p>
    <w:p w14:paraId="19F26F14">
      <w:pPr>
        <w:autoSpaceDE w:val="0"/>
        <w:autoSpaceDN w:val="0"/>
        <w:adjustRightInd w:val="0"/>
        <w:spacing w:line="600" w:lineRule="exact"/>
        <w:ind w:firstLine="640" w:firstLineChars="200"/>
        <w:jc w:val="left"/>
        <w:rPr>
          <w:rFonts w:ascii="Times New Roman" w:eastAsia="仿宋_GB2312"/>
          <w:sz w:val="32"/>
          <w:szCs w:val="32"/>
          <w:rPrChange w:id="30" w:author="Unknown" w:date="1901-01-01T00:00:00Z">
            <w:rPr>
              <w:rFonts w:ascii="楷体_GB2312" w:eastAsia="楷体_GB2312"/>
              <w:sz w:val="32"/>
              <w:szCs w:val="32"/>
            </w:rPr>
          </w:rPrChange>
        </w:rPr>
      </w:pPr>
      <w:r>
        <w:rPr>
          <w:rFonts w:hint="eastAsia" w:ascii="Times New Roman" w:eastAsia="仿宋_GB2312" w:cs="Times New Roman"/>
          <w:sz w:val="32"/>
          <w:szCs w:val="32"/>
          <w:rPrChange w:id="31" w:author="舒燕" w:date="2019-03-20T09:18:00Z">
            <w:rPr>
              <w:rFonts w:hint="eastAsia" w:ascii="楷体_GB2312" w:eastAsia="楷体_GB2312" w:cs="仿宋_GB2312"/>
              <w:sz w:val="32"/>
              <w:szCs w:val="32"/>
            </w:rPr>
          </w:rPrChange>
        </w:rPr>
        <w:t>（一）项目完成情况。</w:t>
      </w:r>
    </w:p>
    <w:p w14:paraId="51931C85">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2018年环卫清扫保洁市场化项目，均按照合同相关规定完成并通过验收，项目充分保障了生活垃圾无害化处理率，城区道路机械化清扫程度，该项目绩效评价自评分99分。</w:t>
      </w:r>
    </w:p>
    <w:p w14:paraId="7436A00D">
      <w:pPr>
        <w:autoSpaceDE w:val="0"/>
        <w:autoSpaceDN w:val="0"/>
        <w:adjustRightInd w:val="0"/>
        <w:spacing w:line="600" w:lineRule="exact"/>
        <w:ind w:firstLine="640" w:firstLineChars="200"/>
        <w:jc w:val="left"/>
        <w:rPr>
          <w:rFonts w:ascii="Times New Roman" w:eastAsia="仿宋_GB2312"/>
          <w:sz w:val="32"/>
          <w:szCs w:val="32"/>
          <w:rPrChange w:id="32" w:author="Unknown" w:date="1901-01-01T00:00:00Z">
            <w:rPr>
              <w:rFonts w:ascii="楷体_GB2312" w:eastAsia="楷体_GB2312"/>
              <w:sz w:val="32"/>
              <w:szCs w:val="32"/>
            </w:rPr>
          </w:rPrChange>
        </w:rPr>
      </w:pPr>
      <w:r>
        <w:rPr>
          <w:rFonts w:hint="eastAsia" w:ascii="Times New Roman" w:eastAsia="仿宋_GB2312" w:cs="Times New Roman"/>
          <w:sz w:val="32"/>
          <w:szCs w:val="32"/>
          <w:rPrChange w:id="33" w:author="舒燕" w:date="2019-03-20T09:18:00Z">
            <w:rPr>
              <w:rFonts w:hint="eastAsia" w:ascii="楷体_GB2312" w:eastAsia="楷体_GB2312" w:cs="仿宋_GB2312"/>
              <w:sz w:val="32"/>
              <w:szCs w:val="32"/>
            </w:rPr>
          </w:rPrChange>
        </w:rPr>
        <w:t>（二）项目效益情况。</w:t>
      </w:r>
    </w:p>
    <w:p w14:paraId="3A8E4189">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为创建文明城市，打造宜居城市，提高市民生活质量和幸福指数，促进社会经济的综合发展，进一步提升米易形象打下了坚实的基础。</w:t>
      </w:r>
    </w:p>
    <w:p w14:paraId="50F5BE47">
      <w:pPr>
        <w:autoSpaceDE w:val="0"/>
        <w:autoSpaceDN w:val="0"/>
        <w:adjustRightInd w:val="0"/>
        <w:spacing w:line="600" w:lineRule="exact"/>
        <w:ind w:firstLine="640" w:firstLineChars="200"/>
        <w:jc w:val="left"/>
        <w:rPr>
          <w:rFonts w:ascii="Times New Roman" w:eastAsia="仿宋_GB2312"/>
          <w:sz w:val="32"/>
          <w:szCs w:val="32"/>
          <w:rPrChange w:id="34" w:author="Unknown" w:date="1901-01-01T00:00:00Z">
            <w:rPr>
              <w:rFonts w:ascii="黑体" w:eastAsia="黑体"/>
              <w:sz w:val="32"/>
              <w:szCs w:val="32"/>
            </w:rPr>
          </w:rPrChange>
        </w:rPr>
      </w:pPr>
      <w:r>
        <w:rPr>
          <w:rFonts w:hint="eastAsia" w:ascii="Times New Roman" w:eastAsia="仿宋_GB2312" w:cs="Times New Roman"/>
          <w:sz w:val="32"/>
          <w:szCs w:val="32"/>
          <w:rPrChange w:id="35" w:author="舒燕" w:date="2019-03-20T09:18:00Z">
            <w:rPr>
              <w:rFonts w:hint="eastAsia" w:ascii="黑体" w:eastAsia="黑体" w:cs="仿宋_GB2312"/>
              <w:sz w:val="32"/>
              <w:szCs w:val="32"/>
            </w:rPr>
          </w:rPrChange>
        </w:rPr>
        <w:t>五、评价结论及建议</w:t>
      </w:r>
    </w:p>
    <w:p w14:paraId="7841AE1C">
      <w:pPr>
        <w:autoSpaceDE w:val="0"/>
        <w:autoSpaceDN w:val="0"/>
        <w:adjustRightInd w:val="0"/>
        <w:spacing w:line="600" w:lineRule="exact"/>
        <w:ind w:firstLine="640" w:firstLineChars="200"/>
        <w:jc w:val="left"/>
        <w:rPr>
          <w:rFonts w:eastAsia="仿宋_GB2312"/>
          <w:sz w:val="32"/>
          <w:szCs w:val="32"/>
        </w:rPr>
      </w:pPr>
      <w:r>
        <w:rPr>
          <w:rFonts w:hint="eastAsia" w:ascii="Times New Roman" w:eastAsia="仿宋_GB2312" w:cs="Times New Roman"/>
          <w:sz w:val="32"/>
          <w:szCs w:val="32"/>
          <w:rPrChange w:id="36" w:author="舒燕" w:date="2019-03-20T09:18:00Z">
            <w:rPr>
              <w:rFonts w:hint="eastAsia" w:ascii="楷体_GB2312" w:eastAsia="楷体_GB2312" w:cs="仿宋_GB2312"/>
              <w:sz w:val="32"/>
              <w:szCs w:val="32"/>
            </w:rPr>
          </w:rPrChange>
        </w:rPr>
        <w:t>（一）评价结论。</w:t>
      </w:r>
    </w:p>
    <w:p w14:paraId="2E8709C9">
      <w:pPr>
        <w:spacing w:line="560" w:lineRule="exact"/>
        <w:ind w:firstLine="640" w:firstLineChars="200"/>
        <w:rPr>
          <w:rFonts w:eastAsia="仿宋_GB2312"/>
          <w:sz w:val="32"/>
          <w:szCs w:val="32"/>
        </w:rPr>
      </w:pPr>
      <w:r>
        <w:rPr>
          <w:rFonts w:eastAsia="仿宋_GB2312"/>
          <w:sz w:val="32"/>
          <w:szCs w:val="32"/>
        </w:rPr>
        <w:t>新一轮环卫清扫保洁市场化，克服了上一轮清扫保洁市场化的诸多不足之处，县城区环卫作业质量提升成效显著。新一轮市场化方案调整合理化、作业质量的要求制度化、作业经费测算标准的精细化。2018年环卫市场化项目资金的使用，达到了绩效目标要求，确保了城区环境卫生干净整洁。</w:t>
      </w:r>
    </w:p>
    <w:p w14:paraId="4269466C">
      <w:pPr>
        <w:spacing w:line="560" w:lineRule="exact"/>
        <w:ind w:firstLine="640" w:firstLineChars="200"/>
        <w:rPr>
          <w:rFonts w:eastAsia="仿宋_GB2312"/>
          <w:sz w:val="32"/>
          <w:szCs w:val="32"/>
        </w:rPr>
      </w:pPr>
      <w:r>
        <w:rPr>
          <w:rFonts w:eastAsia="仿宋_GB2312"/>
          <w:sz w:val="32"/>
          <w:szCs w:val="32"/>
        </w:rPr>
        <w:t>项目管理规范，资金管理安全，资金拨付及时到位，社会效益比较显著，群众满意率高。</w:t>
      </w:r>
    </w:p>
    <w:p w14:paraId="27090492">
      <w:pPr>
        <w:numPr>
          <w:ilvl w:val="0"/>
          <w:numId w:val="4"/>
        </w:numPr>
        <w:autoSpaceDE w:val="0"/>
        <w:autoSpaceDN w:val="0"/>
        <w:adjustRightInd w:val="0"/>
        <w:spacing w:line="600" w:lineRule="exact"/>
        <w:ind w:left="0" w:firstLine="640" w:firstLineChars="200"/>
        <w:jc w:val="left"/>
        <w:rPr>
          <w:rFonts w:eastAsia="仿宋_GB2312"/>
          <w:sz w:val="32"/>
          <w:szCs w:val="32"/>
        </w:rPr>
      </w:pPr>
      <w:r>
        <w:rPr>
          <w:rFonts w:hint="eastAsia" w:ascii="Times New Roman" w:eastAsia="仿宋_GB2312" w:cs="Times New Roman"/>
          <w:sz w:val="32"/>
          <w:szCs w:val="32"/>
          <w:rPrChange w:id="37" w:author="舒燕" w:date="2019-03-20T09:18:00Z">
            <w:rPr>
              <w:rFonts w:hint="eastAsia" w:ascii="楷体_GB2312" w:eastAsia="楷体_GB2312" w:cs="仿宋_GB2312"/>
              <w:sz w:val="32"/>
              <w:szCs w:val="32"/>
            </w:rPr>
          </w:rPrChange>
        </w:rPr>
        <w:t>存在的问题。</w:t>
      </w:r>
    </w:p>
    <w:p w14:paraId="6766C4D1">
      <w:pPr>
        <w:autoSpaceDE w:val="0"/>
        <w:autoSpaceDN w:val="0"/>
        <w:adjustRightInd w:val="0"/>
        <w:spacing w:line="600" w:lineRule="exact"/>
        <w:ind w:left="202" w:leftChars="101" w:firstLine="640" w:firstLineChars="200"/>
        <w:jc w:val="left"/>
        <w:rPr>
          <w:rFonts w:ascii="Times New Roman" w:eastAsia="仿宋_GB2312"/>
          <w:sz w:val="32"/>
          <w:szCs w:val="32"/>
          <w:rPrChange w:id="38" w:author="Unknown" w:date="1901-01-01T00:00:00Z">
            <w:rPr>
              <w:rFonts w:ascii="楷体_GB2312" w:eastAsia="楷体_GB2312"/>
              <w:sz w:val="32"/>
              <w:szCs w:val="32"/>
            </w:rPr>
          </w:rPrChange>
        </w:rPr>
      </w:pPr>
      <w:r>
        <w:rPr>
          <w:rFonts w:eastAsia="仿宋_GB2312"/>
          <w:sz w:val="32"/>
          <w:szCs w:val="32"/>
        </w:rPr>
        <w:t>就近两年的环卫市场化来看，新一轮的环卫作业市场化虽完善了诸多原环卫清扫保洁市场化的不足之处，但仍然存在清扫保洁与垃圾清运、绿化管护的一些问题。</w:t>
      </w:r>
    </w:p>
    <w:p w14:paraId="0F26F332">
      <w:pPr>
        <w:numPr>
          <w:ilvl w:val="0"/>
          <w:numId w:val="4"/>
        </w:numPr>
        <w:autoSpaceDE w:val="0"/>
        <w:autoSpaceDN w:val="0"/>
        <w:adjustRightInd w:val="0"/>
        <w:spacing w:line="600" w:lineRule="exact"/>
        <w:ind w:left="0" w:firstLine="640" w:firstLineChars="200"/>
        <w:jc w:val="left"/>
        <w:rPr>
          <w:rFonts w:eastAsia="仿宋_GB2312"/>
          <w:sz w:val="32"/>
          <w:szCs w:val="32"/>
        </w:rPr>
      </w:pPr>
      <w:r>
        <w:rPr>
          <w:rFonts w:hint="eastAsia" w:ascii="Times New Roman" w:eastAsia="仿宋_GB2312" w:cs="Times New Roman"/>
          <w:sz w:val="32"/>
          <w:szCs w:val="32"/>
          <w:rPrChange w:id="39" w:author="舒燕" w:date="2019-03-20T09:18:00Z">
            <w:rPr>
              <w:rFonts w:hint="eastAsia" w:ascii="楷体_GB2312" w:eastAsia="楷体_GB2312" w:cs="仿宋_GB2312"/>
              <w:sz w:val="32"/>
              <w:szCs w:val="32"/>
            </w:rPr>
          </w:rPrChange>
        </w:rPr>
        <w:t>相关建议。</w:t>
      </w:r>
    </w:p>
    <w:p w14:paraId="1569BDE7">
      <w:pPr>
        <w:spacing w:line="560" w:lineRule="exact"/>
        <w:ind w:firstLine="640" w:firstLineChars="200"/>
        <w:rPr>
          <w:rFonts w:eastAsia="仿宋_GB2312"/>
          <w:sz w:val="32"/>
          <w:szCs w:val="32"/>
        </w:rPr>
      </w:pPr>
      <w:r>
        <w:rPr>
          <w:rFonts w:eastAsia="仿宋_GB2312"/>
          <w:sz w:val="32"/>
          <w:szCs w:val="32"/>
        </w:rPr>
        <w:t>建议在改革过程中采用环卫清扫保洁、垃圾清运一体市场化，绿化区域清扫保洁划归绿化管护市场化等工作措施并在新一轮市场化运营中予以完善。</w:t>
      </w:r>
    </w:p>
    <w:p w14:paraId="7CC0F226">
      <w:pPr>
        <w:spacing w:line="560" w:lineRule="exact"/>
        <w:rPr>
          <w:rFonts w:eastAsia="仿宋_GB2312"/>
          <w:sz w:val="32"/>
          <w:szCs w:val="32"/>
        </w:rPr>
      </w:pPr>
      <w:r>
        <w:rPr>
          <w:rFonts w:eastAsia="仿宋_GB2312"/>
          <w:sz w:val="32"/>
          <w:szCs w:val="32"/>
        </w:rPr>
        <w:t>附件3</w:t>
      </w:r>
    </w:p>
    <w:p w14:paraId="5523DDDC">
      <w:pPr>
        <w:autoSpaceDE w:val="0"/>
        <w:autoSpaceDN w:val="0"/>
        <w:adjustRightInd w:val="0"/>
        <w:spacing w:line="540" w:lineRule="exact"/>
        <w:jc w:val="center"/>
        <w:rPr>
          <w:rFonts w:eastAsia="黑体"/>
          <w:sz w:val="44"/>
          <w:szCs w:val="44"/>
        </w:rPr>
      </w:pPr>
      <w:r>
        <w:rPr>
          <w:rFonts w:eastAsia="黑体"/>
          <w:sz w:val="44"/>
          <w:szCs w:val="44"/>
        </w:rPr>
        <w:t>米易县城市亮化工程（三期）采购项目</w:t>
      </w:r>
    </w:p>
    <w:p w14:paraId="7EE69587">
      <w:pPr>
        <w:autoSpaceDE w:val="0"/>
        <w:autoSpaceDN w:val="0"/>
        <w:adjustRightInd w:val="0"/>
        <w:spacing w:line="540" w:lineRule="exact"/>
        <w:jc w:val="center"/>
        <w:rPr>
          <w:rFonts w:eastAsia="黑体"/>
          <w:sz w:val="44"/>
          <w:szCs w:val="44"/>
        </w:rPr>
      </w:pPr>
      <w:r>
        <w:rPr>
          <w:rFonts w:eastAsia="黑体"/>
          <w:sz w:val="44"/>
          <w:szCs w:val="44"/>
        </w:rPr>
        <w:t>资金绩效自评报告</w:t>
      </w:r>
    </w:p>
    <w:p w14:paraId="035541FF">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一、项目概况</w:t>
      </w:r>
    </w:p>
    <w:p w14:paraId="06E59C37">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（一）项目基本情况。</w:t>
      </w:r>
    </w:p>
    <w:p w14:paraId="29F50619">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城市亮化工程建设是改善和美化城市环境的重要举措，同时为进一步提升一桥至三桥安宁河两侧楼体及园林景观亮化，补强节点灯光，并向安宁河东西两侧进行延伸，切实提升城区亮化层次感，结合我县实际，2017年启动实施米易县城市亮化工程（三期）采购项目。项目总体包括德福苑、公安局、农牧局、图书馆、游泳馆、中学宿舍楼、广电中心、创业孵化园、迷阳水岸、河滨公园后建筑、宏坤中央公园、船型建筑、草场河公厕、河滨公园、易园、儿童游乐区、人民法院及武装部、边坡及草场河栈道、皮划艇训练基地河堤、米易县二小等建筑和场所亮化美化工程。</w:t>
      </w:r>
    </w:p>
    <w:p w14:paraId="31797626">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1.项目主管部门（单位）在该项目管理中的职能。</w:t>
      </w:r>
    </w:p>
    <w:p w14:paraId="4B74A8F3">
      <w:pPr>
        <w:spacing w:line="540" w:lineRule="exact"/>
        <w:ind w:firstLine="640" w:firstLineChars="200"/>
        <w:rPr>
          <w:rFonts w:eastAsia="仿宋_GB2312"/>
          <w:sz w:val="32"/>
          <w:szCs w:val="32"/>
        </w:rPr>
      </w:pPr>
      <w:r>
        <w:rPr>
          <w:rFonts w:eastAsia="仿宋_GB2312"/>
          <w:sz w:val="32"/>
          <w:szCs w:val="32"/>
        </w:rPr>
        <w:t>米易县城市管理局作为项目业主方即在设计前的准备阶段、设计阶段、施工阶段、动工前准备阶段和保修期分别进行安全管理、投资控制、进度控制、质量控制、合同管理、信息管理及组织和协调主要7项工作，即三控三管一协调。对项目前期管理、工程施工阶段的管理、竣工移交、项目后评估等阶段进行全过程的工程项目总控制。</w:t>
      </w:r>
    </w:p>
    <w:p w14:paraId="02BF9BEA">
      <w:pPr>
        <w:numPr>
          <w:ilvl w:val="0"/>
          <w:numId w:val="5"/>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项目立项、资金申报的依据。</w:t>
      </w:r>
    </w:p>
    <w:p w14:paraId="2B9783C5">
      <w:pPr>
        <w:autoSpaceDE w:val="0"/>
        <w:autoSpaceDN w:val="0"/>
        <w:adjustRightInd w:val="0"/>
        <w:spacing w:line="540" w:lineRule="exact"/>
        <w:ind w:firstLine="640" w:firstLineChars="200"/>
        <w:rPr>
          <w:rFonts w:eastAsia="仿宋_GB2312"/>
          <w:sz w:val="32"/>
          <w:szCs w:val="32"/>
        </w:rPr>
      </w:pPr>
      <w:r>
        <w:rPr>
          <w:rFonts w:eastAsia="仿宋_GB2312"/>
          <w:sz w:val="32"/>
          <w:szCs w:val="32"/>
        </w:rPr>
        <w:t>为规范资金管理，提高资金使用效益，根据政府采购立项审批单“MCCG（2017）171号”、“MCCG（2017）196号”及省市县相关文件精神进行资金申报。</w:t>
      </w:r>
    </w:p>
    <w:p w14:paraId="132A9F2E">
      <w:pPr>
        <w:numPr>
          <w:ilvl w:val="0"/>
          <w:numId w:val="5"/>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资金管理办法制定情况，资金支持具体项目的条件、范围与支持方式概况。</w:t>
      </w:r>
    </w:p>
    <w:p w14:paraId="5FF94D35">
      <w:pPr>
        <w:spacing w:line="540" w:lineRule="exact"/>
        <w:ind w:firstLine="640" w:firstLineChars="200"/>
        <w:rPr>
          <w:rFonts w:eastAsia="仿宋_GB2312"/>
          <w:sz w:val="32"/>
          <w:szCs w:val="32"/>
        </w:rPr>
      </w:pPr>
      <w:r>
        <w:rPr>
          <w:rFonts w:eastAsia="仿宋_GB2312"/>
          <w:sz w:val="32"/>
          <w:szCs w:val="32"/>
        </w:rPr>
        <w:t>依照内部控制相关规定及米易县政府投资项目资金管理办法进行项目资金管理。在专项资金的使用上，实行财政国库集中支付管理，并保证专款专用，确保专项资金使用的安全与完整。</w:t>
      </w:r>
    </w:p>
    <w:p w14:paraId="4525512F">
      <w:pPr>
        <w:spacing w:line="540" w:lineRule="exact"/>
        <w:ind w:firstLine="640" w:firstLineChars="200"/>
        <w:rPr>
          <w:rFonts w:eastAsia="仿宋_GB2312"/>
          <w:sz w:val="32"/>
          <w:szCs w:val="32"/>
        </w:rPr>
      </w:pPr>
      <w:r>
        <w:rPr>
          <w:rFonts w:eastAsia="仿宋_GB2312"/>
          <w:sz w:val="32"/>
          <w:szCs w:val="32"/>
        </w:rPr>
        <w:t>截止评价时点，县财政已根据政府相关要求，对项目所需资金作了相应安排。</w:t>
      </w:r>
    </w:p>
    <w:p w14:paraId="636F349A">
      <w:pPr>
        <w:numPr>
          <w:ilvl w:val="0"/>
          <w:numId w:val="5"/>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资金分配的原则及考虑因素。</w:t>
      </w:r>
    </w:p>
    <w:p w14:paraId="13870C2D">
      <w:pPr>
        <w:autoSpaceDE w:val="0"/>
        <w:autoSpaceDN w:val="0"/>
        <w:adjustRightInd w:val="0"/>
        <w:spacing w:line="540" w:lineRule="exact"/>
        <w:jc w:val="left"/>
        <w:rPr>
          <w:rFonts w:eastAsia="仿宋_GB2312"/>
          <w:sz w:val="32"/>
          <w:szCs w:val="32"/>
        </w:rPr>
      </w:pPr>
      <w:r>
        <w:rPr>
          <w:rFonts w:eastAsia="仿宋_GB2312"/>
          <w:sz w:val="32"/>
          <w:szCs w:val="32"/>
        </w:rPr>
        <w:t xml:space="preserve">    该项目资金分材料采购及监理采购两部分，其中：材料采购计划2190.54万元，亮化监理采购计划33.72万元。</w:t>
      </w:r>
    </w:p>
    <w:p w14:paraId="3CA6B062">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（二）项目绩效目标。</w:t>
      </w:r>
    </w:p>
    <w:p w14:paraId="1C734072">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1．项目主要内容。</w:t>
      </w:r>
    </w:p>
    <w:p w14:paraId="6B211339">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总体包括德福苑、公安局、农牧局、图书馆、游泳馆、中学宿舍楼、广电中心、创业孵化园、迷阳水岸、河滨公园后建筑、宏坤中央公园、船型建筑、草场河公厕、河滨公园、易园、儿童游乐区、人民法院及武装部、边坡及草场河栈道、皮划艇训练基地河堤、米易县二小等建筑和场所亮化美化工程。</w:t>
      </w:r>
    </w:p>
    <w:p w14:paraId="6EDFED6C">
      <w:pPr>
        <w:numPr>
          <w:ilvl w:val="0"/>
          <w:numId w:val="6"/>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项目应实现的具体绩效目标。</w:t>
      </w:r>
    </w:p>
    <w:p w14:paraId="55CD66FE">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更好地展示米易县“白天花城 晚上光都”的城市魅力，符合公共利益、人民群众的现实利益和长远利益。</w:t>
      </w:r>
    </w:p>
    <w:p w14:paraId="183B5862">
      <w:pPr>
        <w:numPr>
          <w:ilvl w:val="0"/>
          <w:numId w:val="6"/>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分析评价申报内容是否与实际相符，申报目标是否合理可行。</w:t>
      </w:r>
    </w:p>
    <w:p w14:paraId="4585AD73">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项目申报内容主要为米易县城亮化打造，是结合我县实际，旨在改善和美化城市环境，为创建文明城市，打造宜居城市，倡导“白天花城 夜晚光都”，为进一步提升米易整体形象打下坚实的基础，申报内容与实际相符，申报目标合理可行。</w:t>
      </w:r>
    </w:p>
    <w:p w14:paraId="6083B04F">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（三）项目自评步骤及方法。</w:t>
      </w:r>
    </w:p>
    <w:p w14:paraId="5903BCF7">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我局成立了以局长为组长，副局长为副组长，各股室长及相关工作人员为组员的绩效评价工作领导小组，从项目合法性、合理性、安全性、可行性、可控性进行了分析论证。</w:t>
      </w:r>
    </w:p>
    <w:p w14:paraId="3968F7DE">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二、项目资金申报及使用情况</w:t>
      </w:r>
    </w:p>
    <w:p w14:paraId="499E40F2">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（一）项目资金申报及批复情况。</w:t>
      </w:r>
    </w:p>
    <w:p w14:paraId="44426F1F">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项目资金申报、批复及预算调整等程序按</w:t>
      </w:r>
      <w:r>
        <w:rPr>
          <w:rFonts w:eastAsia="仿宋_GB2312"/>
          <w:sz w:val="32"/>
          <w:szCs w:val="32"/>
          <w:lang w:val="en-US"/>
        </w:rPr>
        <w:t>县政府</w:t>
      </w:r>
      <w:r>
        <w:rPr>
          <w:rFonts w:eastAsia="仿宋_GB2312"/>
          <w:sz w:val="32"/>
          <w:szCs w:val="32"/>
        </w:rPr>
        <w:t xml:space="preserve">及财政相关要求执行，本项目材料采购通过公开招标，由重庆伯爵王照明设计工程有限公司承包建设，中标价1812.72万元，监理采购由四川元丰建设项目管理有限公司中选，成交价格16.20万元。截止评价时点，县财政已对该项目资金按照合同约定等作了相应安排。                                                                                                                                                                                                                                                                                                                                                                                                                                                                                                                                                                                        </w:t>
      </w:r>
    </w:p>
    <w:p w14:paraId="316748EB">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（二）资金计划、到位及使用情况。</w:t>
      </w:r>
    </w:p>
    <w:p w14:paraId="0A97101F">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1．资金计划。</w:t>
      </w:r>
    </w:p>
    <w:p w14:paraId="3869D608">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本项目计划采购资金2224.26万元（含材料采购2190.54万元及亮化监理采购33.72万元），申请县本级财政安排。</w:t>
      </w:r>
    </w:p>
    <w:p w14:paraId="27BFC30D">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2．资金到位。</w:t>
      </w:r>
    </w:p>
    <w:p w14:paraId="5969B4B1">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截止评价时点，该项目材料采购资金扣除取消的广电中心和待完善资料的以外，已安装调试且运行正常部分按合同约定应支付的款项已全部到位，共1267.87万元。监理采购按合同已安排资金12.96万元。以上两项资金共计1280.83万元，到位率100%。</w:t>
      </w:r>
    </w:p>
    <w:p w14:paraId="30BA16A0">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3．资金使用。</w:t>
      </w:r>
    </w:p>
    <w:p w14:paraId="0ACA1D39">
      <w:pPr>
        <w:autoSpaceDE w:val="0"/>
        <w:autoSpaceDN w:val="0"/>
        <w:adjustRightInd w:val="0"/>
        <w:spacing w:line="540" w:lineRule="exact"/>
        <w:ind w:firstLine="640" w:firstLineChars="200"/>
        <w:rPr>
          <w:rFonts w:eastAsia="仿宋_GB2312"/>
          <w:sz w:val="32"/>
          <w:szCs w:val="32"/>
        </w:rPr>
      </w:pPr>
      <w:r>
        <w:rPr>
          <w:rFonts w:eastAsia="仿宋_GB2312"/>
          <w:sz w:val="32"/>
          <w:szCs w:val="32"/>
        </w:rPr>
        <w:t>截止评价时点该项目全部资金支出情况。</w:t>
      </w:r>
    </w:p>
    <w:p w14:paraId="21F6C3D7">
      <w:pPr>
        <w:autoSpaceDE w:val="0"/>
        <w:autoSpaceDN w:val="0"/>
        <w:adjustRightInd w:val="0"/>
        <w:spacing w:line="540" w:lineRule="exact"/>
        <w:ind w:firstLine="640" w:firstLineChars="200"/>
        <w:rPr>
          <w:rFonts w:eastAsia="仿宋_GB2312"/>
          <w:sz w:val="32"/>
          <w:szCs w:val="32"/>
        </w:rPr>
      </w:pPr>
      <w:r>
        <w:rPr>
          <w:rFonts w:eastAsia="仿宋_GB2312"/>
          <w:sz w:val="32"/>
          <w:szCs w:val="32"/>
        </w:rPr>
        <w:t>按照合同，材料采购按灯具安装完成工程量的50%，支付合同总金额的30%，竣工验收合格后付合同总金额的50%，竣工结算后付合同总金额的17%，余3%作为质保金，质保期全部结束后，付剩余的3%。我单位已按照合同约定分别于2018年2月及2018年7月支付重庆伯爵王照明设计工程有限公司三期亮化采购款543.82万元及724.05万元（共计1267.87万元），于2018年11月支付四川元丰建设项目管理有限公司亮化三期监理费12.96万元。</w:t>
      </w:r>
    </w:p>
    <w:p w14:paraId="009D00B7">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资金使用安全、规范有效，资金支付范围、支付标准、支付进度、支付依据合规合法。</w:t>
      </w:r>
    </w:p>
    <w:p w14:paraId="0F4F3CA2">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（三）项目财务管理情况。</w:t>
      </w:r>
    </w:p>
    <w:p w14:paraId="59FDD7F0">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项目实施单位财务管理制度健全，严格执行财务管理制度，账务处理及时，会计核算规范。</w:t>
      </w:r>
    </w:p>
    <w:p w14:paraId="58906C7A">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三、项目实施及管理情况</w:t>
      </w:r>
    </w:p>
    <w:p w14:paraId="230E8EAC">
      <w:pPr>
        <w:numPr>
          <w:ilvl w:val="0"/>
          <w:numId w:val="7"/>
        </w:num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项目组织架构及实施流程。</w:t>
      </w:r>
    </w:p>
    <w:p w14:paraId="5040B146">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由我局确定米易县城市亮化工程（三期）采购项目实施内容，项目总体包括德福苑、公安局、农牧局、图书馆、游泳馆、中学宿舍楼、广电中心、创业孵化园、迷阳水岸、河滨公园后建筑、宏坤中央公园、船型建筑、草场河公厕、河滨公园、易园、儿童游乐区、人民法院及武装部、边坡及草场河栈道、皮划艇训练基地河堤、米易县二小等建筑和场所亮化美化工程。通过公开招投标确定施工单位，签订合同，按合同要求施工，验收，及资金申请工作。</w:t>
      </w:r>
    </w:p>
    <w:p w14:paraId="082120C9">
      <w:pPr>
        <w:autoSpaceDE w:val="0"/>
        <w:autoSpaceDN w:val="0"/>
        <w:adjustRightInd w:val="0"/>
        <w:spacing w:line="540" w:lineRule="exact"/>
        <w:ind w:firstLine="640" w:firstLineChars="200"/>
        <w:rPr>
          <w:rFonts w:eastAsia="仿宋_GB2312"/>
          <w:sz w:val="32"/>
          <w:szCs w:val="32"/>
        </w:rPr>
      </w:pPr>
      <w:r>
        <w:rPr>
          <w:rFonts w:eastAsia="仿宋_GB2312"/>
          <w:sz w:val="32"/>
          <w:szCs w:val="32"/>
        </w:rPr>
        <w:t>（二）项目管理情况。米易县城市亮化工程（三期）采购项目由我局采用招投标方式确立施工单位，项目总体实施严格按照施工合同进行，项目验收及监督均按照相关规章制度实施。</w:t>
      </w:r>
    </w:p>
    <w:p w14:paraId="04B62453">
      <w:pPr>
        <w:autoSpaceDE w:val="0"/>
        <w:autoSpaceDN w:val="0"/>
        <w:adjustRightInd w:val="0"/>
        <w:spacing w:line="540" w:lineRule="exact"/>
        <w:ind w:firstLine="640" w:firstLineChars="200"/>
        <w:rPr>
          <w:rFonts w:eastAsia="仿宋_GB2312"/>
          <w:sz w:val="32"/>
          <w:szCs w:val="32"/>
        </w:rPr>
      </w:pPr>
      <w:r>
        <w:rPr>
          <w:rFonts w:eastAsia="仿宋_GB2312"/>
          <w:sz w:val="32"/>
          <w:szCs w:val="32"/>
        </w:rPr>
        <w:t>（三）项目监管情况。米易县城市亮化工程（三期）采购项目监理方由我局采用竞争性磋商方式确立监理单位。监理单位按照监理合同约定对项目总体实施进行监管，根据法律法规、工程建设标准、勘察设计文件及合同，在施工阶段对建设工程质量、造价、进度进行控制，对合同、信息进行管理，对工程建设相关方的关系进行协调，并履行建设工程安全生产管理法定职责。</w:t>
      </w:r>
    </w:p>
    <w:p w14:paraId="47FEA9E3">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四、项目绩效情况</w:t>
      </w:r>
    </w:p>
    <w:p w14:paraId="2556B327">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（一）项目完成情况。</w:t>
      </w:r>
    </w:p>
    <w:p w14:paraId="0E2F760C">
      <w:pPr>
        <w:spacing w:line="540" w:lineRule="exact"/>
        <w:ind w:firstLine="640" w:firstLineChars="200"/>
        <w:rPr>
          <w:rFonts w:eastAsia="仿宋_GB2312"/>
          <w:sz w:val="32"/>
          <w:szCs w:val="32"/>
        </w:rPr>
      </w:pPr>
      <w:r>
        <w:rPr>
          <w:rFonts w:eastAsia="仿宋_GB2312"/>
          <w:sz w:val="32"/>
          <w:szCs w:val="32"/>
        </w:rPr>
        <w:t>米易县城市亮化工程（三期）采购项目包含德福苑、公安局、农牧局、图书馆、游泳馆、中学宿舍楼、广电中心、创业孵化园、迷阳水岸、河滨公园后建筑、宏坤中央公园、船型建筑、草场河公厕、河滨公园、易园、儿童游乐区、人民法院及武装部、边坡及草场河栈道、皮划艇训练基地河堤、米易县二小等建筑和场所亮化美化工程。该项目扣除取消的广电中心和待完善资料的以外，已安装调试完毕且运行正常。另外，</w:t>
      </w:r>
      <w:r>
        <w:rPr>
          <w:rFonts w:eastAsia="仿宋_GB2312"/>
          <w:spacing w:val="-6"/>
          <w:sz w:val="32"/>
          <w:szCs w:val="32"/>
        </w:rPr>
        <w:t>根据米易县人民政府办公室议事纪要第25期“关于米易县城市亮化工程（三期）建设及睿龙花园边坡治理工程协调会会议纪要”，该项目因亮化效果未达到设计要求，部分楼体节点需进一步优化设计方案。涉及增量，由施工方制定增量清单，按照有关程序和规定报送相关部门审批后实施</w:t>
      </w:r>
      <w:r>
        <w:rPr>
          <w:rFonts w:eastAsia="仿宋_GB2312"/>
          <w:sz w:val="32"/>
          <w:szCs w:val="32"/>
        </w:rPr>
        <w:t>。目前，增量部分已实施完成，待审计后按照相关规定和程序支付工程款。</w:t>
      </w:r>
    </w:p>
    <w:p w14:paraId="18810981">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（二）项目效益情况。</w:t>
      </w:r>
    </w:p>
    <w:p w14:paraId="3F89D2B8">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米易县城市亮化工程（三期）采购项目是为了更好地展示米易县“白天花园 夜晚光都”的城市魅力，为创建文明城市，打造宜居城市，改善民生，促进社会和谐，优化发展，进一步提升米易形象打下了坚实的基础。</w:t>
      </w:r>
    </w:p>
    <w:p w14:paraId="34F8B115">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五、评价结论及建议</w:t>
      </w:r>
    </w:p>
    <w:p w14:paraId="3950F9DD">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（一）评价结论。</w:t>
      </w:r>
    </w:p>
    <w:p w14:paraId="1C5E00F9">
      <w:pPr>
        <w:autoSpaceDE w:val="0"/>
        <w:autoSpaceDN w:val="0"/>
        <w:adjustRightInd w:val="0"/>
        <w:spacing w:line="540" w:lineRule="exact"/>
        <w:ind w:firstLine="640" w:firstLineChars="200"/>
        <w:rPr>
          <w:rFonts w:eastAsia="仿宋_GB2312"/>
          <w:sz w:val="32"/>
          <w:szCs w:val="32"/>
        </w:rPr>
      </w:pPr>
      <w:r>
        <w:rPr>
          <w:rFonts w:eastAsia="仿宋_GB2312"/>
          <w:sz w:val="32"/>
          <w:szCs w:val="32"/>
        </w:rPr>
        <w:t>米易县城市亮化工程（三期）采购项目是更好地改善民生，促进社会和谐，优化发展，进一步提升米易县城市容市貌，为创建文明城市，打造宜居城市提供有力的支撑。</w:t>
      </w:r>
    </w:p>
    <w:p w14:paraId="24F3F96E">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（二）存在的问题。</w:t>
      </w:r>
    </w:p>
    <w:p w14:paraId="2D43E566">
      <w:pPr>
        <w:autoSpaceDE w:val="0"/>
        <w:autoSpaceDN w:val="0"/>
        <w:adjustRightInd w:val="0"/>
        <w:spacing w:line="540" w:lineRule="exact"/>
        <w:ind w:firstLine="643" w:firstLineChars="200"/>
        <w:jc w:val="left"/>
        <w:rPr>
          <w:rFonts w:eastAsia="仿宋_GB2312"/>
          <w:sz w:val="32"/>
          <w:szCs w:val="32"/>
        </w:rPr>
      </w:pPr>
      <w:r>
        <w:rPr>
          <w:rFonts w:eastAsia="仿宋_GB2312"/>
          <w:b/>
          <w:bCs/>
          <w:sz w:val="32"/>
          <w:szCs w:val="32"/>
        </w:rPr>
        <w:t>一是</w:t>
      </w:r>
      <w:r>
        <w:rPr>
          <w:rFonts w:eastAsia="仿宋_GB2312"/>
          <w:sz w:val="32"/>
          <w:szCs w:val="32"/>
        </w:rPr>
        <w:t>施工人员作业阶段</w:t>
      </w:r>
      <w:r>
        <w:rPr>
          <w:rFonts w:hint="eastAsia" w:eastAsia="仿宋_GB2312"/>
          <w:sz w:val="32"/>
          <w:szCs w:val="32"/>
        </w:rPr>
        <w:t>可能会存在</w:t>
      </w:r>
      <w:r>
        <w:rPr>
          <w:rFonts w:eastAsia="仿宋_GB2312"/>
          <w:sz w:val="32"/>
          <w:szCs w:val="32"/>
        </w:rPr>
        <w:t>忽视自身安全，违规操作引发的安全隐患；</w:t>
      </w:r>
      <w:r>
        <w:rPr>
          <w:rFonts w:eastAsia="仿宋_GB2312"/>
          <w:b/>
          <w:bCs/>
          <w:sz w:val="32"/>
          <w:szCs w:val="32"/>
        </w:rPr>
        <w:t>二是</w:t>
      </w:r>
      <w:r>
        <w:rPr>
          <w:rFonts w:eastAsia="仿宋_GB2312"/>
          <w:sz w:val="32"/>
          <w:szCs w:val="32"/>
        </w:rPr>
        <w:t>项目整体实施中</w:t>
      </w:r>
      <w:r>
        <w:rPr>
          <w:rFonts w:hint="eastAsia" w:eastAsia="仿宋_GB2312"/>
          <w:sz w:val="32"/>
          <w:szCs w:val="32"/>
        </w:rPr>
        <w:t>可能会存在</w:t>
      </w:r>
      <w:r>
        <w:rPr>
          <w:rFonts w:eastAsia="仿宋_GB2312"/>
          <w:sz w:val="32"/>
          <w:szCs w:val="32"/>
        </w:rPr>
        <w:t>忽视质量问题引发的质量安全。</w:t>
      </w:r>
    </w:p>
    <w:p w14:paraId="56D82EE7">
      <w:pPr>
        <w:autoSpaceDE w:val="0"/>
        <w:autoSpaceDN w:val="0"/>
        <w:adjustRightInd w:val="0"/>
        <w:spacing w:line="540" w:lineRule="exact"/>
        <w:ind w:firstLine="640" w:firstLineChars="200"/>
        <w:jc w:val="left"/>
        <w:rPr>
          <w:rFonts w:eastAsia="仿宋_GB2312"/>
          <w:sz w:val="32"/>
          <w:szCs w:val="32"/>
        </w:rPr>
      </w:pPr>
      <w:r>
        <w:rPr>
          <w:rFonts w:eastAsia="仿宋_GB2312"/>
          <w:sz w:val="32"/>
          <w:szCs w:val="32"/>
        </w:rPr>
        <w:t>（三）相关建议。</w:t>
      </w:r>
    </w:p>
    <w:p w14:paraId="7906919F">
      <w:pPr>
        <w:spacing w:line="540" w:lineRule="exact"/>
        <w:ind w:firstLine="640" w:firstLineChars="200"/>
        <w:rPr>
          <w:rFonts w:eastAsia="仿宋_GB2312"/>
          <w:sz w:val="32"/>
          <w:szCs w:val="32"/>
        </w:rPr>
      </w:pPr>
      <w:r>
        <w:rPr>
          <w:rFonts w:eastAsia="仿宋_GB2312"/>
          <w:sz w:val="32"/>
          <w:szCs w:val="32"/>
        </w:rPr>
        <w:t>1.城管局工作人员要加强对施工方安全教育宣传，在作业阶段必须按照要求穿戴安全帽、挂安全绳，避免发生人身安全事故；2.安排工作人员不定期的前往施工现场进行考核监督，加强与监理方的联系与沟通，发现安全隐患及时要求施工方进行整改；3.我局要牢牢把控工程质量，保证工期的前提下高质量完工。</w:t>
      </w:r>
    </w:p>
    <w:p w14:paraId="133F00DC">
      <w:pPr>
        <w:spacing w:line="540" w:lineRule="exact"/>
        <w:ind w:firstLine="640" w:firstLineChars="200"/>
        <w:rPr>
          <w:rFonts w:eastAsia="仿宋_GB2312"/>
          <w:sz w:val="32"/>
          <w:szCs w:val="32"/>
        </w:rPr>
      </w:pPr>
    </w:p>
    <w:p w14:paraId="79B20030">
      <w:pPr>
        <w:spacing w:line="540" w:lineRule="exact"/>
        <w:ind w:firstLine="640" w:firstLineChars="200"/>
        <w:rPr>
          <w:rFonts w:eastAsia="仿宋_GB2312"/>
          <w:sz w:val="32"/>
          <w:szCs w:val="32"/>
        </w:rPr>
      </w:pPr>
    </w:p>
    <w:p w14:paraId="107A8995">
      <w:pPr>
        <w:spacing w:line="540" w:lineRule="exact"/>
        <w:ind w:firstLine="640" w:firstLineChars="200"/>
        <w:rPr>
          <w:rFonts w:eastAsia="仿宋_GB2312"/>
          <w:sz w:val="32"/>
          <w:szCs w:val="32"/>
        </w:rPr>
      </w:pPr>
    </w:p>
    <w:p w14:paraId="5D097BE7">
      <w:pPr>
        <w:spacing w:line="540" w:lineRule="exact"/>
        <w:ind w:firstLine="640" w:firstLineChars="200"/>
        <w:rPr>
          <w:rFonts w:eastAsia="仿宋_GB2312"/>
          <w:sz w:val="32"/>
          <w:szCs w:val="32"/>
        </w:rPr>
      </w:pPr>
    </w:p>
    <w:p w14:paraId="3F146A2A">
      <w:pPr>
        <w:spacing w:line="540" w:lineRule="exact"/>
        <w:ind w:firstLine="640" w:firstLineChars="200"/>
        <w:rPr>
          <w:rFonts w:eastAsia="仿宋_GB2312"/>
          <w:sz w:val="32"/>
          <w:szCs w:val="32"/>
        </w:rPr>
      </w:pPr>
    </w:p>
    <w:p w14:paraId="740D3C52">
      <w:pPr>
        <w:spacing w:line="560" w:lineRule="exact"/>
        <w:rPr>
          <w:rFonts w:eastAsia="仿宋_GB2312"/>
          <w:sz w:val="32"/>
          <w:szCs w:val="32"/>
        </w:rPr>
      </w:pPr>
      <w:r>
        <w:rPr>
          <w:rFonts w:eastAsia="仿宋_GB2312"/>
          <w:sz w:val="32"/>
          <w:szCs w:val="32"/>
        </w:rPr>
        <w:t>附件4：</w:t>
      </w:r>
    </w:p>
    <w:p w14:paraId="50457CF4">
      <w:pPr>
        <w:autoSpaceDE w:val="0"/>
        <w:autoSpaceDN w:val="0"/>
        <w:adjustRightInd w:val="0"/>
        <w:spacing w:line="600" w:lineRule="exact"/>
        <w:jc w:val="center"/>
        <w:rPr>
          <w:rFonts w:eastAsia="方正小标宋_GBK"/>
          <w:sz w:val="44"/>
          <w:szCs w:val="44"/>
        </w:rPr>
      </w:pPr>
      <w:r>
        <w:rPr>
          <w:rFonts w:hint="eastAsia" w:eastAsia="方正小标宋_GBK"/>
          <w:sz w:val="44"/>
          <w:szCs w:val="44"/>
        </w:rPr>
        <w:t>米易县旧城区雨污管网分流改造工程</w:t>
      </w:r>
    </w:p>
    <w:p w14:paraId="739A1073">
      <w:pPr>
        <w:autoSpaceDE w:val="0"/>
        <w:autoSpaceDN w:val="0"/>
        <w:adjustRightInd w:val="0"/>
        <w:spacing w:line="600" w:lineRule="exact"/>
        <w:jc w:val="center"/>
        <w:rPr>
          <w:rFonts w:ascii="宋体" w:cs="宋体"/>
          <w:sz w:val="44"/>
          <w:szCs w:val="44"/>
        </w:rPr>
      </w:pPr>
      <w:r>
        <w:rPr>
          <w:rFonts w:eastAsia="方正小标宋_GBK"/>
          <w:sz w:val="44"/>
          <w:szCs w:val="44"/>
        </w:rPr>
        <w:t>资金绩效自评报告</w:t>
      </w:r>
    </w:p>
    <w:p w14:paraId="5CE0D1EA">
      <w:pPr>
        <w:autoSpaceDE w:val="0"/>
        <w:autoSpaceDN w:val="0"/>
        <w:adjustRightInd w:val="0"/>
        <w:spacing w:line="600" w:lineRule="exact"/>
        <w:ind w:firstLine="640" w:firstLineChars="200"/>
        <w:jc w:val="left"/>
        <w:rPr>
          <w:rFonts w:ascii="黑体" w:eastAsia="黑体" w:cs="黑体"/>
          <w:sz w:val="32"/>
          <w:szCs w:val="32"/>
        </w:rPr>
      </w:pPr>
      <w:r>
        <w:rPr>
          <w:rFonts w:ascii="黑体" w:eastAsia="黑体" w:cs="黑体"/>
          <w:sz w:val="32"/>
          <w:szCs w:val="32"/>
        </w:rPr>
        <w:t>一、项目概况</w:t>
      </w:r>
    </w:p>
    <w:p w14:paraId="371E7CD0">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（一）项目基本情况。</w:t>
      </w:r>
    </w:p>
    <w:p w14:paraId="7A85D36F">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为解决部分小区雨污未分流及堵塞问题，保障污水处理厂的正常运行，经县政府研究决定，由我局实施米易县旧城区雨污管网分流改造工程。项目内容及规模：安宁路东侧人民路至府城路段、育才路东段铺设雨水管网1.45千米，原管网作为污水管网；绿阳生活广场靠214省道侧的利民路至铁路桥段铺设雨、污管网各0.35千米，并与米易县贤家新区柳溪河道路改造工程连接。项目总投资：540万元；资金来源为宜居城市建设资金（上级资金）；建设地点：米易县城区；建设时间：2017年9月-2018年1月。</w:t>
      </w:r>
    </w:p>
    <w:p w14:paraId="745C7BF7">
      <w:p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1．项目主管部门（单位）在该项目管理中的职能。</w:t>
      </w:r>
    </w:p>
    <w:p w14:paraId="41ADBBE3">
      <w:pPr>
        <w:ind w:firstLine="640" w:firstLineChars="200"/>
        <w:rPr>
          <w:rFonts w:ascii="仿宋_GB2312" w:eastAsia="仿宋_GB2312" w:cs="仿宋_GB2312"/>
          <w:sz w:val="32"/>
          <w:szCs w:val="32"/>
        </w:rPr>
      </w:pPr>
      <w:r>
        <w:rPr>
          <w:rFonts w:hint="eastAsia" w:eastAsia="仿宋_GB2312"/>
          <w:sz w:val="32"/>
          <w:szCs w:val="32"/>
        </w:rPr>
        <w:t>米易县城市管理局作为项目业主方即在设计前的准备阶段、设计阶段、施工阶段、动工前准备阶段和保修期分别进行安全管理、投资控制、进度控制、质量控制、合同管理、信息管理及组织和协调主要7项工作，即三控三管一协调。对项目前期管理、工程施工阶段的管理、竣工移交、项目后评估等阶段进行全过程的工程项目总控制。</w:t>
      </w:r>
    </w:p>
    <w:p w14:paraId="066223BF">
      <w:pPr>
        <w:numPr>
          <w:ilvl w:val="0"/>
          <w:numId w:val="8"/>
        </w:numPr>
        <w:autoSpaceDE w:val="0"/>
        <w:autoSpaceDN w:val="0"/>
        <w:adjustRightInd w:val="0"/>
        <w:spacing w:line="600" w:lineRule="exact"/>
        <w:ind w:firstLine="640" w:firstLineChars="200"/>
        <w:rPr>
          <w:rFonts w:ascii="仿宋_GB2312" w:eastAsia="仿宋_GB2312" w:cs="仿宋_GB2312"/>
          <w:sz w:val="32"/>
          <w:szCs w:val="32"/>
        </w:rPr>
      </w:pPr>
      <w:r>
        <w:rPr>
          <w:rFonts w:ascii="仿宋_GB2312" w:eastAsia="仿宋_GB2312" w:cs="仿宋_GB2312"/>
          <w:sz w:val="32"/>
          <w:szCs w:val="32"/>
        </w:rPr>
        <w:t>项目立项、资金申报的依据。</w:t>
      </w:r>
    </w:p>
    <w:p w14:paraId="36CBE7B2">
      <w:pPr>
        <w:autoSpaceDE w:val="0"/>
        <w:autoSpaceDN w:val="0"/>
        <w:adjustRightInd w:val="0"/>
        <w:spacing w:line="600" w:lineRule="exact"/>
        <w:ind w:firstLine="640" w:firstLineChars="200"/>
        <w:rPr>
          <w:rFonts w:ascii="仿宋_GB2312" w:eastAsia="仿宋_GB2312" w:cs="仿宋_GB2312"/>
          <w:sz w:val="32"/>
          <w:szCs w:val="32"/>
        </w:rPr>
      </w:pPr>
      <w:r>
        <w:rPr>
          <w:rFonts w:hint="eastAsia" w:eastAsia="仿宋_GB2312"/>
          <w:sz w:val="32"/>
          <w:szCs w:val="32"/>
        </w:rPr>
        <w:t>根据米发改[2017]112号“米易县发展和改革局关于米易县旧城区雨污管网分流改造工程立项的批复”，为规范资金管理，提高资金使用效益，根据省市县相关文件精神以及项目合同中相关内容进行资金申报。</w:t>
      </w:r>
    </w:p>
    <w:p w14:paraId="3450D290">
      <w:pPr>
        <w:numPr>
          <w:ilvl w:val="0"/>
          <w:numId w:val="8"/>
        </w:num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资金管理办法制定情况</w:t>
      </w:r>
      <w:r>
        <w:rPr>
          <w:rFonts w:hint="eastAsia" w:ascii="仿宋_GB2312" w:eastAsia="仿宋_GB2312" w:cs="仿宋_GB2312"/>
          <w:sz w:val="32"/>
          <w:szCs w:val="32"/>
        </w:rPr>
        <w:t>。</w:t>
      </w:r>
    </w:p>
    <w:p w14:paraId="605DD064">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eastAsia="仿宋_GB2312" w:cs="仿宋_GB2312"/>
          <w:sz w:val="32"/>
          <w:szCs w:val="32"/>
        </w:rPr>
        <w:t>依照内部控制相关规定及米易县政府投资项目资金管理办法进行项目资金管理。</w:t>
      </w:r>
      <w:r>
        <w:rPr>
          <w:rFonts w:hint="eastAsia" w:ascii="仿宋_GB2312" w:eastAsia="仿宋_GB2312" w:cs="仿宋_GB2312"/>
          <w:sz w:val="32"/>
          <w:szCs w:val="32"/>
        </w:rPr>
        <w:t>在专项资金的使用上，实行财政国库集中支付管理，并保证专款专用。</w:t>
      </w:r>
    </w:p>
    <w:p w14:paraId="5079FDC0">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付款方式按照合同约定：工程进度款按每月实际完成工程量的80%支付，全部竣工时支付至合同价的80%，余款（扣除质保金3%）在工程竣工验收合格并提供完整的竣工验收资料切交付米易县档案局存档，结算审定（以审计机关依法作出的审计结论作为结算依据），工程完全交付使用后15日内付清。</w:t>
      </w:r>
    </w:p>
    <w:p w14:paraId="0AAC3885">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（二）项目绩效目标。</w:t>
      </w:r>
    </w:p>
    <w:p w14:paraId="6EA36492">
      <w:p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1．项目主要内容。</w:t>
      </w:r>
    </w:p>
    <w:p w14:paraId="111B9D52">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项目主要内容为：安宁路东侧人民路至府城路段、育才路东段铺设雨水管网1.45千米，原管网作为污水管网；绿阳生活广场靠214省道侧的利民路至铁路桥段铺设雨、污管网各0.35千米，并与米易县贤家新区柳溪河道路改造工程连接。</w:t>
      </w:r>
    </w:p>
    <w:p w14:paraId="7B17B113">
      <w:pPr>
        <w:numPr>
          <w:ilvl w:val="0"/>
          <w:numId w:val="9"/>
        </w:num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项目应实现的具体绩效目标。</w:t>
      </w:r>
    </w:p>
    <w:p w14:paraId="1FB8A746">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项目应实现的具体绩效目标：解决部分小区雨污未分流及堵塞问题，保障污水处理厂的正常运行。</w:t>
      </w:r>
    </w:p>
    <w:p w14:paraId="06C90C39">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（三）项目自评步骤及方法。</w:t>
      </w:r>
    </w:p>
    <w:p w14:paraId="566B2E88">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eastAsia="仿宋_GB2312"/>
          <w:sz w:val="32"/>
          <w:szCs w:val="32"/>
        </w:rPr>
        <w:t>我局成立了以局长任组长，副局长任副组长，各股室负责人及相关工作人员为组员的绩效评价工作领导小组，从合法性、合理性、安全性、可行性、可控性进行分析论证。</w:t>
      </w:r>
    </w:p>
    <w:p w14:paraId="6A1FF642">
      <w:pPr>
        <w:autoSpaceDE w:val="0"/>
        <w:autoSpaceDN w:val="0"/>
        <w:adjustRightInd w:val="0"/>
        <w:spacing w:line="600" w:lineRule="exact"/>
        <w:ind w:firstLine="640" w:firstLineChars="200"/>
        <w:jc w:val="left"/>
        <w:rPr>
          <w:rFonts w:ascii="黑体" w:eastAsia="黑体" w:cs="黑体"/>
          <w:sz w:val="32"/>
          <w:szCs w:val="32"/>
        </w:rPr>
      </w:pPr>
      <w:r>
        <w:rPr>
          <w:rFonts w:ascii="黑体" w:eastAsia="黑体" w:cs="黑体"/>
          <w:sz w:val="32"/>
          <w:szCs w:val="32"/>
        </w:rPr>
        <w:t>二、项目资金申报及使用情况</w:t>
      </w:r>
    </w:p>
    <w:p w14:paraId="50F2E397">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（一）项目资金申报及批复情况。</w:t>
      </w:r>
    </w:p>
    <w:p w14:paraId="392D91B6">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eastAsia="仿宋_GB2312"/>
          <w:sz w:val="32"/>
          <w:szCs w:val="32"/>
        </w:rPr>
        <w:t>该项目合同总价为363.0439万元，由于绿阳生活广场段外侧居民自建房存在安全隐患，这段管网改造建设施工暂缓。实际完成投资281.28万元，根据合同约定，按实际完成投资额的80%已向县财政申请上级专项资金225万元。</w:t>
      </w:r>
      <w:r>
        <w:rPr>
          <w:rFonts w:hint="eastAsia" w:ascii="仿宋_GB2312" w:eastAsia="仿宋_GB2312" w:cs="仿宋_GB2312"/>
          <w:sz w:val="32"/>
          <w:szCs w:val="32"/>
        </w:rPr>
        <w:t>2018年6月29日财政已下达该项目经费225万元。</w:t>
      </w:r>
    </w:p>
    <w:p w14:paraId="688A285A">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（二）资金计划、到位及使用情况。</w:t>
      </w:r>
    </w:p>
    <w:p w14:paraId="0C1747FD">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1．资金计划。</w:t>
      </w:r>
    </w:p>
    <w:p w14:paraId="28463630">
      <w:pPr>
        <w:autoSpaceDE w:val="0"/>
        <w:autoSpaceDN w:val="0"/>
        <w:adjustRightInd w:val="0"/>
        <w:spacing w:line="600" w:lineRule="exact"/>
        <w:ind w:firstLine="640" w:firstLineChars="200"/>
        <w:jc w:val="left"/>
        <w:rPr>
          <w:rFonts w:ascii="楷体_GB2312" w:eastAsia="楷体_GB2312" w:cs="楷体_GB2312"/>
          <w:sz w:val="32"/>
          <w:szCs w:val="32"/>
        </w:rPr>
      </w:pPr>
      <w:r>
        <w:rPr>
          <w:rFonts w:hint="eastAsia" w:ascii="楷体_GB2312" w:eastAsia="楷体_GB2312" w:cs="楷体_GB2312"/>
          <w:sz w:val="32"/>
          <w:szCs w:val="32"/>
        </w:rPr>
        <w:t>该项目计划总投资540万元，</w:t>
      </w:r>
      <w:r>
        <w:rPr>
          <w:rFonts w:hint="eastAsia" w:eastAsia="仿宋_GB2312"/>
          <w:sz w:val="32"/>
          <w:szCs w:val="32"/>
        </w:rPr>
        <w:t>合同总价为363.0439万元。</w:t>
      </w:r>
    </w:p>
    <w:p w14:paraId="2B5658E4">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2．资金到位。</w:t>
      </w:r>
    </w:p>
    <w:p w14:paraId="466D63AC">
      <w:p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截止评价时点</w:t>
      </w:r>
      <w:r>
        <w:rPr>
          <w:rFonts w:hint="eastAsia" w:ascii="仿宋_GB2312" w:eastAsia="仿宋_GB2312" w:cs="仿宋_GB2312"/>
          <w:sz w:val="32"/>
          <w:szCs w:val="32"/>
        </w:rPr>
        <w:t>，按照合同约定应支付</w:t>
      </w:r>
      <w:r>
        <w:rPr>
          <w:rFonts w:ascii="仿宋_GB2312" w:eastAsia="仿宋_GB2312" w:cs="仿宋_GB2312"/>
          <w:sz w:val="32"/>
          <w:szCs w:val="32"/>
        </w:rPr>
        <w:t>该项目</w:t>
      </w:r>
      <w:r>
        <w:rPr>
          <w:rFonts w:hint="eastAsia" w:ascii="仿宋_GB2312" w:eastAsia="仿宋_GB2312" w:cs="仿宋_GB2312"/>
          <w:sz w:val="32"/>
          <w:szCs w:val="32"/>
        </w:rPr>
        <w:t>工程进度款225万元已全部</w:t>
      </w:r>
      <w:r>
        <w:rPr>
          <w:rFonts w:ascii="仿宋_GB2312" w:eastAsia="仿宋_GB2312" w:cs="仿宋_GB2312"/>
          <w:sz w:val="32"/>
          <w:szCs w:val="32"/>
        </w:rPr>
        <w:t>到位</w:t>
      </w:r>
      <w:r>
        <w:rPr>
          <w:rFonts w:hint="eastAsia" w:ascii="仿宋_GB2312" w:eastAsia="仿宋_GB2312" w:cs="仿宋_GB2312"/>
          <w:sz w:val="32"/>
          <w:szCs w:val="32"/>
        </w:rPr>
        <w:t>（川财投[2017]9号“宜居县城建设资金”，</w:t>
      </w:r>
      <w:r>
        <w:rPr>
          <w:rFonts w:ascii="仿宋_GB2312" w:eastAsia="仿宋_GB2312" w:cs="仿宋_GB2312"/>
          <w:sz w:val="32"/>
          <w:szCs w:val="32"/>
        </w:rPr>
        <w:t>资金到位率</w:t>
      </w:r>
      <w:r>
        <w:rPr>
          <w:rFonts w:hint="eastAsia" w:ascii="仿宋_GB2312" w:eastAsia="仿宋_GB2312" w:cs="仿宋_GB2312"/>
          <w:sz w:val="32"/>
          <w:szCs w:val="32"/>
        </w:rPr>
        <w:t>100%，</w:t>
      </w:r>
      <w:r>
        <w:rPr>
          <w:rFonts w:ascii="仿宋_GB2312" w:eastAsia="仿宋_GB2312" w:cs="仿宋_GB2312"/>
          <w:sz w:val="32"/>
          <w:szCs w:val="32"/>
        </w:rPr>
        <w:t>到位及时</w:t>
      </w:r>
      <w:r>
        <w:rPr>
          <w:rFonts w:hint="eastAsia" w:ascii="仿宋_GB2312" w:eastAsia="仿宋_GB2312" w:cs="仿宋_GB2312"/>
          <w:sz w:val="32"/>
          <w:szCs w:val="32"/>
        </w:rPr>
        <w:t>。</w:t>
      </w:r>
    </w:p>
    <w:p w14:paraId="4C3E4BF0">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3．资金使用。</w:t>
      </w:r>
    </w:p>
    <w:p w14:paraId="01CABDA6">
      <w:pPr>
        <w:autoSpaceDE w:val="0"/>
        <w:autoSpaceDN w:val="0"/>
        <w:adjustRightInd w:val="0"/>
        <w:spacing w:line="600" w:lineRule="exact"/>
        <w:ind w:firstLine="640" w:firstLineChars="200"/>
        <w:jc w:val="left"/>
        <w:rPr>
          <w:rFonts w:eastAsia="仿宋_GB2312"/>
          <w:sz w:val="32"/>
          <w:szCs w:val="32"/>
        </w:rPr>
      </w:pPr>
      <w:r>
        <w:rPr>
          <w:rFonts w:ascii="仿宋_GB2312" w:eastAsia="仿宋_GB2312" w:cs="仿宋_GB2312"/>
          <w:sz w:val="32"/>
          <w:szCs w:val="32"/>
        </w:rPr>
        <w:t>截止评价时点</w:t>
      </w:r>
      <w:r>
        <w:rPr>
          <w:rFonts w:hint="eastAsia" w:ascii="仿宋_GB2312" w:eastAsia="仿宋_GB2312" w:cs="仿宋_GB2312"/>
          <w:sz w:val="32"/>
          <w:szCs w:val="32"/>
        </w:rPr>
        <w:t>，</w:t>
      </w:r>
      <w:r>
        <w:rPr>
          <w:rFonts w:ascii="仿宋_GB2312" w:eastAsia="仿宋_GB2312" w:cs="仿宋_GB2312"/>
          <w:sz w:val="32"/>
          <w:szCs w:val="32"/>
        </w:rPr>
        <w:t>该项目</w:t>
      </w:r>
      <w:r>
        <w:rPr>
          <w:rFonts w:hint="eastAsia" w:ascii="仿宋_GB2312" w:eastAsia="仿宋_GB2312" w:cs="仿宋_GB2312"/>
          <w:sz w:val="32"/>
          <w:szCs w:val="32"/>
        </w:rPr>
        <w:t>已按合同约定支付项目施工单位工程进度款225万元</w:t>
      </w:r>
      <w:r>
        <w:rPr>
          <w:rFonts w:ascii="仿宋_GB2312" w:eastAsia="仿宋_GB2312" w:cs="仿宋_GB2312"/>
          <w:sz w:val="32"/>
          <w:szCs w:val="32"/>
        </w:rPr>
        <w:t>。资金使用安全、规范</w:t>
      </w:r>
      <w:r>
        <w:rPr>
          <w:rFonts w:hint="eastAsia" w:ascii="仿宋_GB2312" w:eastAsia="仿宋_GB2312" w:cs="仿宋_GB2312"/>
          <w:sz w:val="32"/>
          <w:szCs w:val="32"/>
        </w:rPr>
        <w:t>、</w:t>
      </w:r>
      <w:r>
        <w:rPr>
          <w:rFonts w:ascii="仿宋_GB2312" w:eastAsia="仿宋_GB2312" w:cs="仿宋_GB2312"/>
          <w:sz w:val="32"/>
          <w:szCs w:val="32"/>
        </w:rPr>
        <w:t>有效</w:t>
      </w:r>
      <w:r>
        <w:rPr>
          <w:rFonts w:hint="eastAsia" w:ascii="仿宋_GB2312" w:eastAsia="仿宋_GB2312" w:cs="仿宋_GB2312"/>
          <w:sz w:val="32"/>
          <w:szCs w:val="32"/>
        </w:rPr>
        <w:t>。</w:t>
      </w:r>
    </w:p>
    <w:p w14:paraId="5FB827CA">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（三）项目财务管理情况。</w:t>
      </w:r>
    </w:p>
    <w:p w14:paraId="775AEAA7">
      <w:p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单位财务管理制度健全，严格执行财务管理制度，账务处理及时，会计核算规范。</w:t>
      </w:r>
    </w:p>
    <w:p w14:paraId="2F4AF05A">
      <w:pPr>
        <w:autoSpaceDE w:val="0"/>
        <w:autoSpaceDN w:val="0"/>
        <w:adjustRightInd w:val="0"/>
        <w:spacing w:line="600" w:lineRule="exact"/>
        <w:ind w:firstLine="640" w:firstLineChars="200"/>
        <w:jc w:val="left"/>
        <w:rPr>
          <w:rFonts w:ascii="黑体" w:eastAsia="黑体" w:cs="黑体"/>
          <w:sz w:val="32"/>
          <w:szCs w:val="32"/>
        </w:rPr>
      </w:pPr>
      <w:r>
        <w:rPr>
          <w:rFonts w:ascii="黑体" w:eastAsia="黑体" w:cs="黑体"/>
          <w:sz w:val="32"/>
          <w:szCs w:val="32"/>
        </w:rPr>
        <w:t>三、项目实施及管理情况</w:t>
      </w:r>
    </w:p>
    <w:p w14:paraId="1861464C">
      <w:pPr>
        <w:numPr>
          <w:ilvl w:val="0"/>
          <w:numId w:val="10"/>
        </w:num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项目组织架构及实施流程。</w:t>
      </w:r>
    </w:p>
    <w:p w14:paraId="4EFFD050">
      <w:pPr>
        <w:autoSpaceDE w:val="0"/>
        <w:autoSpaceDN w:val="0"/>
        <w:adjustRightInd w:val="0"/>
        <w:spacing w:line="600" w:lineRule="exact"/>
        <w:ind w:firstLine="640" w:firstLineChars="200"/>
        <w:jc w:val="left"/>
        <w:rPr>
          <w:rFonts w:ascii="楷体_GB2312" w:eastAsia="楷体_GB2312" w:cs="楷体_GB2312"/>
          <w:sz w:val="32"/>
          <w:szCs w:val="32"/>
        </w:rPr>
      </w:pPr>
      <w:r>
        <w:rPr>
          <w:rFonts w:hint="eastAsia" w:eastAsia="仿宋_GB2312"/>
          <w:sz w:val="32"/>
          <w:szCs w:val="32"/>
        </w:rPr>
        <w:t>通过公开招投标确定施工单位为：四川腾阁建筑工程有限公司，于2018年2月12日与该公司签订合同，按合同要求进行施工、及时组织验收及资金申请工作。</w:t>
      </w:r>
    </w:p>
    <w:p w14:paraId="24FBAB2C">
      <w:pPr>
        <w:autoSpaceDE w:val="0"/>
        <w:autoSpaceDN w:val="0"/>
        <w:adjustRightInd w:val="0"/>
        <w:spacing w:line="600" w:lineRule="exact"/>
        <w:ind w:firstLine="640" w:firstLineChars="200"/>
        <w:rPr>
          <w:rFonts w:ascii="仿宋_GB2312" w:eastAsia="仿宋_GB2312" w:cs="仿宋_GB2312"/>
          <w:sz w:val="32"/>
          <w:szCs w:val="32"/>
        </w:rPr>
      </w:pPr>
      <w:r>
        <w:rPr>
          <w:rFonts w:ascii="楷体_GB2312" w:eastAsia="楷体_GB2312" w:cs="楷体_GB2312"/>
          <w:sz w:val="32"/>
          <w:szCs w:val="32"/>
        </w:rPr>
        <w:t>（二）项目管理情况。</w:t>
      </w:r>
      <w:r>
        <w:rPr>
          <w:rFonts w:hint="eastAsia" w:eastAsia="仿宋_GB2312"/>
          <w:sz w:val="32"/>
          <w:szCs w:val="32"/>
        </w:rPr>
        <w:t>项目总体实施严格按照施工合同进行，项目验收及监督均按照相关规章制度实施，</w:t>
      </w:r>
      <w:r>
        <w:rPr>
          <w:rFonts w:hint="eastAsia" w:eastAsia="仿宋_GB2312"/>
          <w:spacing w:val="-6"/>
          <w:sz w:val="32"/>
          <w:szCs w:val="32"/>
        </w:rPr>
        <w:t>经验收项目合格</w:t>
      </w:r>
      <w:r>
        <w:rPr>
          <w:rFonts w:hint="eastAsia" w:eastAsia="仿宋_GB2312"/>
          <w:sz w:val="32"/>
          <w:szCs w:val="32"/>
        </w:rPr>
        <w:t>。</w:t>
      </w:r>
    </w:p>
    <w:p w14:paraId="6AAC7E82">
      <w:pPr>
        <w:autoSpaceDE w:val="0"/>
        <w:autoSpaceDN w:val="0"/>
        <w:adjustRightInd w:val="0"/>
        <w:spacing w:line="600" w:lineRule="exact"/>
        <w:ind w:firstLine="640" w:firstLineChars="200"/>
        <w:rPr>
          <w:rFonts w:ascii="仿宋_GB2312" w:eastAsia="仿宋_GB2312" w:cs="仿宋_GB2312"/>
          <w:sz w:val="32"/>
          <w:szCs w:val="32"/>
        </w:rPr>
      </w:pPr>
      <w:r>
        <w:rPr>
          <w:rFonts w:ascii="楷体_GB2312" w:eastAsia="楷体_GB2312" w:cs="楷体_GB2312"/>
          <w:sz w:val="32"/>
          <w:szCs w:val="32"/>
        </w:rPr>
        <w:t>（三）项目监管情况。</w:t>
      </w:r>
      <w:r>
        <w:rPr>
          <w:rFonts w:hint="eastAsia" w:eastAsia="仿宋_GB2312"/>
          <w:sz w:val="32"/>
          <w:szCs w:val="32"/>
        </w:rPr>
        <w:t>米易县旧城区雨污管网分流改造工程</w:t>
      </w:r>
      <w:r>
        <w:rPr>
          <w:rFonts w:hint="eastAsia" w:ascii="仿宋_GB2312" w:eastAsia="仿宋_GB2312" w:cs="仿宋_GB2312"/>
          <w:sz w:val="32"/>
          <w:szCs w:val="32"/>
        </w:rPr>
        <w:t>监理方由我局采用公开比选方式确立监理单位为四川元丰建设项目管理有限公司。监理单位按照监理合同约定对项目总体实施进行监管，根据法律法规、工程建设标准、勘察设计文件及合同，在施工阶段对建设工程质量、造价、进度进行控制，对合同、信息进行管理，对工程建设相关方的关系进行协调，并履行建设工程安全生产管理法定职责。</w:t>
      </w:r>
    </w:p>
    <w:p w14:paraId="682C5AEF">
      <w:pPr>
        <w:autoSpaceDE w:val="0"/>
        <w:autoSpaceDN w:val="0"/>
        <w:adjustRightInd w:val="0"/>
        <w:spacing w:line="600" w:lineRule="exact"/>
        <w:ind w:firstLine="640" w:firstLineChars="200"/>
        <w:jc w:val="left"/>
        <w:rPr>
          <w:rFonts w:ascii="黑体" w:eastAsia="黑体" w:cs="仿宋_GB2312"/>
          <w:sz w:val="32"/>
          <w:szCs w:val="32"/>
        </w:rPr>
      </w:pPr>
      <w:r>
        <w:rPr>
          <w:rFonts w:ascii="黑体" w:eastAsia="黑体" w:cs="仿宋_GB2312"/>
          <w:sz w:val="32"/>
          <w:szCs w:val="32"/>
        </w:rPr>
        <w:t>四、项目绩效情况</w:t>
      </w:r>
    </w:p>
    <w:p w14:paraId="62AA5483">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（一）项目完成情况。</w:t>
      </w:r>
    </w:p>
    <w:p w14:paraId="490A3885">
      <w:pPr>
        <w:spacing w:line="560" w:lineRule="exact"/>
        <w:ind w:firstLine="640" w:firstLineChars="200"/>
        <w:rPr>
          <w:rFonts w:eastAsia="仿宋_GB2312"/>
          <w:sz w:val="32"/>
          <w:szCs w:val="32"/>
        </w:rPr>
      </w:pPr>
      <w:r>
        <w:rPr>
          <w:rFonts w:hint="eastAsia" w:eastAsia="仿宋_GB2312"/>
          <w:sz w:val="32"/>
          <w:szCs w:val="32"/>
        </w:rPr>
        <w:t>项目合同总价为363.0439万元，由于绿阳生活广场段外侧居民自建房存在安全隐患，这段管网改造建设施工暂缓。实际完成投资281.28万元，本项目按照合同约定时间节点完成工期要求。</w:t>
      </w:r>
    </w:p>
    <w:p w14:paraId="4C7C59BE">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（二）项目效益情况。</w:t>
      </w:r>
    </w:p>
    <w:p w14:paraId="3CA16D46">
      <w:pPr>
        <w:autoSpaceDE w:val="0"/>
        <w:autoSpaceDN w:val="0"/>
        <w:adjustRightInd w:val="0"/>
        <w:spacing w:line="600"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从项目经济效益、社会效益、生态效益、可持续效益以及服务对象满意度等方面对项目效益进行全面分析评价。</w:t>
      </w:r>
    </w:p>
    <w:p w14:paraId="0D9845CE">
      <w:pPr>
        <w:autoSpaceDE w:val="0"/>
        <w:autoSpaceDN w:val="0"/>
        <w:adjustRightInd w:val="0"/>
        <w:spacing w:line="600" w:lineRule="exact"/>
        <w:ind w:firstLine="640" w:firstLineChars="200"/>
        <w:jc w:val="left"/>
        <w:rPr>
          <w:rFonts w:ascii="黑体" w:eastAsia="黑体" w:cs="仿宋_GB2312"/>
          <w:sz w:val="32"/>
          <w:szCs w:val="32"/>
        </w:rPr>
      </w:pPr>
      <w:r>
        <w:rPr>
          <w:rFonts w:ascii="黑体" w:eastAsia="黑体" w:cs="仿宋_GB2312"/>
          <w:sz w:val="32"/>
          <w:szCs w:val="32"/>
        </w:rPr>
        <w:t>五、评价结论及建议</w:t>
      </w:r>
    </w:p>
    <w:p w14:paraId="73B8921C">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（一）评价结论。</w:t>
      </w:r>
    </w:p>
    <w:p w14:paraId="0A07CD9E">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eastAsia="仿宋_GB2312"/>
          <w:sz w:val="32"/>
          <w:szCs w:val="32"/>
        </w:rPr>
        <w:t>保障了污水处理厂的正常运行，解决部分小区雨污未分流及堵塞等问题。改善民生，促进社会和谐，优化城市发展打下基础。我局绩效评价自评得93分。</w:t>
      </w:r>
      <w:r>
        <w:rPr>
          <w:rFonts w:ascii="仿宋_GB2312" w:eastAsia="仿宋_GB2312" w:cs="仿宋_GB2312"/>
          <w:sz w:val="32"/>
          <w:szCs w:val="32"/>
        </w:rPr>
        <w:t>单位财务管理制度健全，严格执行财务管理制度，账务处理及时，会计核算规范。</w:t>
      </w:r>
    </w:p>
    <w:p w14:paraId="22AE3B44">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（二）存在的问题。</w:t>
      </w:r>
    </w:p>
    <w:p w14:paraId="232EA21B">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农民自建房房屋基础与省道距离过近，我局无法与房屋所有人协商一致，导致部分管网建设暂缓。</w:t>
      </w:r>
    </w:p>
    <w:p w14:paraId="629B6292">
      <w:pPr>
        <w:autoSpaceDE w:val="0"/>
        <w:autoSpaceDN w:val="0"/>
        <w:adjustRightInd w:val="0"/>
        <w:spacing w:line="600" w:lineRule="exact"/>
        <w:ind w:firstLine="640" w:firstLineChars="200"/>
        <w:jc w:val="left"/>
        <w:rPr>
          <w:rFonts w:ascii="楷体_GB2312" w:eastAsia="楷体_GB2312" w:cs="楷体_GB2312"/>
          <w:sz w:val="32"/>
          <w:szCs w:val="32"/>
        </w:rPr>
      </w:pPr>
      <w:r>
        <w:rPr>
          <w:rFonts w:ascii="楷体_GB2312" w:eastAsia="楷体_GB2312" w:cs="楷体_GB2312"/>
          <w:sz w:val="32"/>
          <w:szCs w:val="32"/>
        </w:rPr>
        <w:t>（三）相关建议。</w:t>
      </w:r>
    </w:p>
    <w:p w14:paraId="7E3A9CB3">
      <w:pPr>
        <w:ind w:firstLine="640" w:firstLineChars="200"/>
        <w:rPr>
          <w:rFonts w:eastAsia="仿宋_GB2312"/>
        </w:rPr>
      </w:pPr>
      <w:r>
        <w:rPr>
          <w:rFonts w:hint="eastAsia" w:ascii="仿宋_GB2312" w:eastAsia="仿宋_GB2312"/>
          <w:sz w:val="32"/>
          <w:szCs w:val="32"/>
        </w:rPr>
        <w:t>1.城管局工作人员要加强对施工方安全教育宣传，在作业阶段必须按照要求穿戴安全帽、穿反光背心，避免发生人身安全事故；2.安排工作人员不定期的前往施工现场进行考核监督，加强与监理方的联系与沟通，发现安全隐患及时要求施工方进行整改；3.我局要牢牢把控工程质量，保证工期的前提下高质量完工；4.对于工程涉及占用施工道路无法协调的问题，建议相关部门进行协调。</w:t>
      </w:r>
    </w:p>
    <w:p w14:paraId="00E12BD1">
      <w:pPr>
        <w:autoSpaceDE w:val="0"/>
        <w:autoSpaceDN w:val="0"/>
        <w:adjustRightInd w:val="0"/>
        <w:spacing w:line="600" w:lineRule="exact"/>
        <w:ind w:firstLine="640" w:firstLineChars="200"/>
        <w:jc w:val="left"/>
        <w:rPr>
          <w:rFonts w:ascii="仿宋_GB2312" w:eastAsia="仿宋_GB2312" w:cs="仿宋_GB2312"/>
          <w:sz w:val="32"/>
          <w:szCs w:val="32"/>
        </w:rPr>
      </w:pPr>
    </w:p>
    <w:p w14:paraId="1FF34504">
      <w:pPr>
        <w:autoSpaceDE w:val="0"/>
        <w:autoSpaceDN w:val="0"/>
        <w:adjustRightInd w:val="0"/>
        <w:spacing w:line="600" w:lineRule="exact"/>
        <w:ind w:firstLine="640" w:firstLineChars="200"/>
        <w:jc w:val="left"/>
        <w:rPr>
          <w:rFonts w:ascii="仿宋_GB2312" w:eastAsia="仿宋_GB2312" w:cs="仿宋_GB2312"/>
          <w:sz w:val="32"/>
          <w:szCs w:val="32"/>
        </w:rPr>
      </w:pPr>
    </w:p>
    <w:p w14:paraId="4F75F9A2">
      <w:pPr>
        <w:spacing w:line="580" w:lineRule="exact"/>
        <w:ind w:right="-888" w:rightChars="-444" w:firstLine="880" w:firstLineChars="200"/>
        <w:rPr>
          <w:rFonts w:eastAsia="仿宋_GB2312"/>
          <w:sz w:val="44"/>
          <w:szCs w:val="44"/>
        </w:rPr>
      </w:pPr>
    </w:p>
    <w:p w14:paraId="3FB04883">
      <w:pPr>
        <w:spacing w:line="580" w:lineRule="exact"/>
        <w:ind w:right="-888" w:rightChars="-444" w:firstLine="880" w:firstLineChars="200"/>
        <w:rPr>
          <w:rFonts w:eastAsia="仿宋_GB2312"/>
          <w:sz w:val="44"/>
          <w:szCs w:val="44"/>
        </w:rPr>
      </w:pPr>
    </w:p>
    <w:p w14:paraId="10D5A704">
      <w:pPr>
        <w:spacing w:line="580" w:lineRule="exact"/>
        <w:ind w:right="-888" w:rightChars="-444" w:firstLine="880" w:firstLineChars="200"/>
        <w:rPr>
          <w:rFonts w:eastAsia="仿宋_GB2312"/>
          <w:sz w:val="44"/>
          <w:szCs w:val="44"/>
        </w:rPr>
      </w:pPr>
    </w:p>
    <w:p w14:paraId="156D58C6">
      <w:pPr>
        <w:spacing w:line="580" w:lineRule="exact"/>
        <w:ind w:right="-888" w:rightChars="-444" w:firstLine="880" w:firstLineChars="200"/>
        <w:rPr>
          <w:rFonts w:eastAsia="仿宋_GB2312"/>
          <w:sz w:val="44"/>
          <w:szCs w:val="44"/>
        </w:rPr>
      </w:pPr>
    </w:p>
    <w:p w14:paraId="3D2AB3A0">
      <w:pPr>
        <w:spacing w:line="580" w:lineRule="exact"/>
        <w:ind w:right="-888" w:rightChars="-444" w:firstLine="880" w:firstLineChars="200"/>
        <w:rPr>
          <w:rFonts w:eastAsia="仿宋_GB2312"/>
          <w:sz w:val="44"/>
          <w:szCs w:val="44"/>
        </w:rPr>
      </w:pPr>
    </w:p>
    <w:p w14:paraId="6B3C7A88">
      <w:pPr>
        <w:spacing w:line="600" w:lineRule="exact"/>
        <w:jc w:val="center"/>
        <w:outlineLvl w:val="0"/>
        <w:rPr>
          <w:rStyle w:val="18"/>
          <w:rFonts w:eastAsia="黑体"/>
          <w:b w:val="0"/>
          <w:bCs w:val="0"/>
        </w:rPr>
      </w:pPr>
      <w:bookmarkStart w:id="51" w:name="_Toc15396618"/>
      <w:r>
        <w:rPr>
          <w:rFonts w:eastAsia="黑体"/>
          <w:color w:val="000000"/>
          <w:sz w:val="44"/>
          <w:szCs w:val="44"/>
        </w:rPr>
        <w:t>第</w:t>
      </w:r>
      <w:r>
        <w:rPr>
          <w:rStyle w:val="18"/>
          <w:rFonts w:eastAsia="黑体"/>
          <w:b w:val="0"/>
          <w:bCs w:val="0"/>
        </w:rPr>
        <w:t>五部分 附表</w:t>
      </w:r>
      <w:bookmarkEnd w:id="46"/>
      <w:bookmarkEnd w:id="51"/>
    </w:p>
    <w:p w14:paraId="1A505BF3">
      <w:pPr>
        <w:spacing w:line="600" w:lineRule="exact"/>
        <w:jc w:val="center"/>
        <w:outlineLvl w:val="0"/>
        <w:rPr>
          <w:rFonts w:eastAsia="仿宋"/>
          <w:b/>
          <w:bCs/>
          <w:color w:val="000000"/>
          <w:sz w:val="44"/>
          <w:szCs w:val="44"/>
        </w:rPr>
      </w:pPr>
    </w:p>
    <w:p w14:paraId="122AFF63">
      <w:pPr>
        <w:pStyle w:val="3"/>
        <w:spacing w:before="0" w:after="0" w:line="560" w:lineRule="exact"/>
        <w:rPr>
          <w:rFonts w:ascii="Times New Roman" w:hAnsi="Times New Roman" w:eastAsia="仿宋_GB2312" w:cs="Times New Roman"/>
          <w:color w:val="000000"/>
        </w:rPr>
      </w:pPr>
      <w:bookmarkStart w:id="52" w:name="_Toc15396619"/>
      <w:r>
        <w:rPr>
          <w:rFonts w:ascii="Times New Roman" w:hAnsi="Times New Roman" w:eastAsia="仿宋_GB2312" w:cs="Times New Roman"/>
          <w:b w:val="0"/>
          <w:bCs w:val="0"/>
          <w:color w:val="000000"/>
        </w:rPr>
        <w:t>一、收</w:t>
      </w:r>
      <w:r>
        <w:rPr>
          <w:rStyle w:val="19"/>
          <w:rFonts w:ascii="Times New Roman" w:hAnsi="Times New Roman" w:eastAsia="仿宋_GB2312" w:cs="Times New Roman"/>
          <w:b w:val="0"/>
          <w:bCs w:val="0"/>
        </w:rPr>
        <w:t>入支出决算总表</w:t>
      </w:r>
      <w:bookmarkEnd w:id="52"/>
    </w:p>
    <w:p w14:paraId="0C5FE81C">
      <w:pPr>
        <w:pStyle w:val="3"/>
        <w:spacing w:before="0" w:after="0" w:line="560" w:lineRule="exact"/>
        <w:rPr>
          <w:rFonts w:ascii="Times New Roman" w:hAnsi="Times New Roman" w:eastAsia="仿宋_GB2312" w:cs="Times New Roman"/>
          <w:color w:val="000000"/>
        </w:rPr>
      </w:pPr>
      <w:bookmarkStart w:id="53" w:name="_Toc15396620"/>
      <w:r>
        <w:rPr>
          <w:rFonts w:ascii="Times New Roman" w:hAnsi="Times New Roman" w:eastAsia="仿宋_GB2312" w:cs="Times New Roman"/>
          <w:b w:val="0"/>
          <w:bCs w:val="0"/>
          <w:color w:val="000000"/>
        </w:rPr>
        <w:t>二、收</w:t>
      </w:r>
      <w:r>
        <w:rPr>
          <w:rStyle w:val="19"/>
          <w:rFonts w:ascii="Times New Roman" w:hAnsi="Times New Roman" w:eastAsia="仿宋_GB2312" w:cs="Times New Roman"/>
          <w:b w:val="0"/>
          <w:bCs w:val="0"/>
        </w:rPr>
        <w:t>入总表</w:t>
      </w:r>
      <w:bookmarkEnd w:id="53"/>
    </w:p>
    <w:p w14:paraId="0136C338">
      <w:pPr>
        <w:pStyle w:val="3"/>
        <w:spacing w:before="0" w:after="0" w:line="560" w:lineRule="exact"/>
        <w:rPr>
          <w:rFonts w:ascii="Times New Roman" w:hAnsi="Times New Roman" w:eastAsia="仿宋_GB2312" w:cs="Times New Roman"/>
          <w:color w:val="000000"/>
        </w:rPr>
      </w:pPr>
      <w:bookmarkStart w:id="54" w:name="_Toc15396621"/>
      <w:r>
        <w:rPr>
          <w:rStyle w:val="19"/>
          <w:rFonts w:ascii="Times New Roman" w:hAnsi="Times New Roman" w:eastAsia="仿宋_GB2312" w:cs="Times New Roman"/>
          <w:b w:val="0"/>
          <w:bCs w:val="0"/>
        </w:rPr>
        <w:t>三、</w:t>
      </w:r>
      <w:r>
        <w:rPr>
          <w:rFonts w:ascii="Times New Roman" w:hAnsi="Times New Roman" w:eastAsia="仿宋_GB2312" w:cs="Times New Roman"/>
          <w:b w:val="0"/>
          <w:bCs w:val="0"/>
          <w:color w:val="000000"/>
        </w:rPr>
        <w:t>支</w:t>
      </w:r>
      <w:r>
        <w:rPr>
          <w:rStyle w:val="19"/>
          <w:rFonts w:ascii="Times New Roman" w:hAnsi="Times New Roman" w:eastAsia="仿宋_GB2312" w:cs="Times New Roman"/>
          <w:b w:val="0"/>
          <w:bCs w:val="0"/>
        </w:rPr>
        <w:t>出总表</w:t>
      </w:r>
      <w:bookmarkEnd w:id="54"/>
    </w:p>
    <w:p w14:paraId="3F1DB339">
      <w:pPr>
        <w:pStyle w:val="3"/>
        <w:spacing w:before="0" w:after="0" w:line="560" w:lineRule="exact"/>
        <w:rPr>
          <w:rFonts w:ascii="Times New Roman" w:hAnsi="Times New Roman" w:eastAsia="仿宋_GB2312" w:cs="Times New Roman"/>
          <w:b w:val="0"/>
          <w:bCs w:val="0"/>
          <w:color w:val="000000"/>
        </w:rPr>
      </w:pPr>
      <w:bookmarkStart w:id="55" w:name="_Toc15396622"/>
      <w:r>
        <w:rPr>
          <w:rStyle w:val="19"/>
          <w:rFonts w:ascii="Times New Roman" w:hAnsi="Times New Roman" w:eastAsia="仿宋_GB2312" w:cs="Times New Roman"/>
          <w:b w:val="0"/>
          <w:bCs w:val="0"/>
        </w:rPr>
        <w:t>四、</w:t>
      </w:r>
      <w:r>
        <w:rPr>
          <w:rFonts w:ascii="Times New Roman" w:hAnsi="Times New Roman" w:eastAsia="仿宋_GB2312" w:cs="Times New Roman"/>
          <w:b w:val="0"/>
          <w:bCs w:val="0"/>
          <w:color w:val="000000"/>
        </w:rPr>
        <w:t>财</w:t>
      </w:r>
      <w:r>
        <w:rPr>
          <w:rStyle w:val="19"/>
          <w:rFonts w:ascii="Times New Roman" w:hAnsi="Times New Roman" w:eastAsia="仿宋_GB2312" w:cs="Times New Roman"/>
          <w:b w:val="0"/>
          <w:bCs w:val="0"/>
        </w:rPr>
        <w:t>政拨款收入支出决算总表</w:t>
      </w:r>
      <w:bookmarkEnd w:id="55"/>
    </w:p>
    <w:p w14:paraId="389BEF0F">
      <w:pPr>
        <w:pStyle w:val="3"/>
        <w:spacing w:before="0" w:after="0" w:line="560" w:lineRule="exact"/>
        <w:rPr>
          <w:rFonts w:ascii="Times New Roman" w:hAnsi="Times New Roman" w:eastAsia="仿宋_GB2312" w:cs="Times New Roman"/>
          <w:color w:val="000000"/>
        </w:rPr>
      </w:pPr>
      <w:bookmarkStart w:id="56" w:name="_Toc15396623"/>
      <w:r>
        <w:rPr>
          <w:rStyle w:val="19"/>
          <w:rFonts w:ascii="Times New Roman" w:hAnsi="Times New Roman" w:eastAsia="仿宋_GB2312" w:cs="Times New Roman"/>
          <w:b w:val="0"/>
          <w:bCs w:val="0"/>
        </w:rPr>
        <w:t>五、</w:t>
      </w:r>
      <w:r>
        <w:rPr>
          <w:rFonts w:ascii="Times New Roman" w:hAnsi="Times New Roman" w:eastAsia="仿宋_GB2312" w:cs="Times New Roman"/>
          <w:b w:val="0"/>
          <w:bCs w:val="0"/>
          <w:color w:val="000000"/>
        </w:rPr>
        <w:t>财</w:t>
      </w:r>
      <w:r>
        <w:rPr>
          <w:rStyle w:val="19"/>
          <w:rFonts w:ascii="Times New Roman" w:hAnsi="Times New Roman" w:eastAsia="仿宋_GB2312" w:cs="Times New Roman"/>
          <w:b w:val="0"/>
          <w:bCs w:val="0"/>
        </w:rPr>
        <w:t>政拨款支出决算明细表（政府经济分类科目）</w:t>
      </w:r>
      <w:bookmarkEnd w:id="56"/>
    </w:p>
    <w:p w14:paraId="0C71F6C9">
      <w:pPr>
        <w:pStyle w:val="3"/>
        <w:spacing w:before="0" w:after="0" w:line="560" w:lineRule="exact"/>
        <w:rPr>
          <w:rFonts w:ascii="Times New Roman" w:hAnsi="Times New Roman" w:eastAsia="仿宋_GB2312" w:cs="Times New Roman"/>
          <w:color w:val="000000"/>
        </w:rPr>
      </w:pPr>
      <w:bookmarkStart w:id="57" w:name="_Toc15396624"/>
      <w:r>
        <w:rPr>
          <w:rStyle w:val="19"/>
          <w:rFonts w:ascii="Times New Roman" w:hAnsi="Times New Roman" w:eastAsia="仿宋_GB2312" w:cs="Times New Roman"/>
          <w:b w:val="0"/>
          <w:bCs w:val="0"/>
        </w:rPr>
        <w:t>六、</w:t>
      </w:r>
      <w:r>
        <w:rPr>
          <w:rFonts w:ascii="Times New Roman" w:hAnsi="Times New Roman" w:eastAsia="仿宋_GB2312" w:cs="Times New Roman"/>
          <w:b w:val="0"/>
          <w:bCs w:val="0"/>
          <w:color w:val="000000"/>
        </w:rPr>
        <w:t>一</w:t>
      </w:r>
      <w:r>
        <w:rPr>
          <w:rStyle w:val="19"/>
          <w:rFonts w:ascii="Times New Roman" w:hAnsi="Times New Roman" w:eastAsia="仿宋_GB2312" w:cs="Times New Roman"/>
          <w:b w:val="0"/>
          <w:bCs w:val="0"/>
        </w:rPr>
        <w:t>般公共预算财政拨款支出决算表</w:t>
      </w:r>
      <w:bookmarkEnd w:id="57"/>
    </w:p>
    <w:p w14:paraId="70BC7583">
      <w:pPr>
        <w:pStyle w:val="3"/>
        <w:spacing w:before="0" w:after="0" w:line="560" w:lineRule="exact"/>
        <w:rPr>
          <w:rFonts w:ascii="Times New Roman" w:hAnsi="Times New Roman" w:eastAsia="仿宋_GB2312" w:cs="Times New Roman"/>
          <w:color w:val="000000"/>
        </w:rPr>
      </w:pPr>
      <w:bookmarkStart w:id="58" w:name="_Toc15396625"/>
      <w:r>
        <w:rPr>
          <w:rStyle w:val="19"/>
          <w:rFonts w:ascii="Times New Roman" w:hAnsi="Times New Roman" w:eastAsia="仿宋_GB2312" w:cs="Times New Roman"/>
          <w:b w:val="0"/>
          <w:bCs w:val="0"/>
        </w:rPr>
        <w:t>七、</w:t>
      </w:r>
      <w:r>
        <w:rPr>
          <w:rFonts w:ascii="Times New Roman" w:hAnsi="Times New Roman" w:eastAsia="仿宋_GB2312" w:cs="Times New Roman"/>
          <w:b w:val="0"/>
          <w:bCs w:val="0"/>
          <w:color w:val="000000"/>
        </w:rPr>
        <w:t>一</w:t>
      </w:r>
      <w:r>
        <w:rPr>
          <w:rStyle w:val="19"/>
          <w:rFonts w:ascii="Times New Roman" w:hAnsi="Times New Roman" w:eastAsia="仿宋_GB2312" w:cs="Times New Roman"/>
          <w:b w:val="0"/>
          <w:bCs w:val="0"/>
        </w:rPr>
        <w:t>般公共预算财政拨款支出决算明细表</w:t>
      </w:r>
      <w:bookmarkEnd w:id="58"/>
    </w:p>
    <w:p w14:paraId="73135C95">
      <w:pPr>
        <w:pStyle w:val="3"/>
        <w:spacing w:before="0" w:after="0" w:line="560" w:lineRule="exact"/>
        <w:rPr>
          <w:rFonts w:ascii="Times New Roman" w:hAnsi="Times New Roman" w:eastAsia="仿宋_GB2312" w:cs="Times New Roman"/>
          <w:color w:val="000000"/>
        </w:rPr>
      </w:pPr>
      <w:bookmarkStart w:id="59" w:name="_Toc15396626"/>
      <w:r>
        <w:rPr>
          <w:rStyle w:val="19"/>
          <w:rFonts w:ascii="Times New Roman" w:hAnsi="Times New Roman" w:eastAsia="仿宋_GB2312" w:cs="Times New Roman"/>
          <w:b w:val="0"/>
          <w:bCs w:val="0"/>
        </w:rPr>
        <w:t>八、</w:t>
      </w:r>
      <w:r>
        <w:rPr>
          <w:rFonts w:ascii="Times New Roman" w:hAnsi="Times New Roman" w:eastAsia="仿宋_GB2312" w:cs="Times New Roman"/>
          <w:b w:val="0"/>
          <w:bCs w:val="0"/>
          <w:color w:val="000000"/>
        </w:rPr>
        <w:t>一</w:t>
      </w:r>
      <w:r>
        <w:rPr>
          <w:rStyle w:val="19"/>
          <w:rFonts w:ascii="Times New Roman" w:hAnsi="Times New Roman" w:eastAsia="仿宋_GB2312" w:cs="Times New Roman"/>
          <w:b w:val="0"/>
          <w:bCs w:val="0"/>
        </w:rPr>
        <w:t>般公共预算财政拨款基本支出决算表</w:t>
      </w:r>
      <w:bookmarkEnd w:id="59"/>
    </w:p>
    <w:p w14:paraId="488706E1">
      <w:pPr>
        <w:pStyle w:val="3"/>
        <w:spacing w:before="0" w:after="0" w:line="560" w:lineRule="exact"/>
        <w:rPr>
          <w:rFonts w:ascii="Times New Roman" w:hAnsi="Times New Roman" w:eastAsia="仿宋_GB2312" w:cs="Times New Roman"/>
          <w:color w:val="000000"/>
        </w:rPr>
      </w:pPr>
      <w:bookmarkStart w:id="60" w:name="_Toc15396627"/>
      <w:r>
        <w:rPr>
          <w:rStyle w:val="19"/>
          <w:rFonts w:ascii="Times New Roman" w:hAnsi="Times New Roman" w:eastAsia="仿宋_GB2312" w:cs="Times New Roman"/>
          <w:b w:val="0"/>
          <w:bCs w:val="0"/>
        </w:rPr>
        <w:t>九、</w:t>
      </w:r>
      <w:r>
        <w:rPr>
          <w:rFonts w:ascii="Times New Roman" w:hAnsi="Times New Roman" w:eastAsia="仿宋_GB2312" w:cs="Times New Roman"/>
          <w:b w:val="0"/>
          <w:bCs w:val="0"/>
          <w:color w:val="000000"/>
        </w:rPr>
        <w:t>一</w:t>
      </w:r>
      <w:r>
        <w:rPr>
          <w:rStyle w:val="19"/>
          <w:rFonts w:ascii="Times New Roman" w:hAnsi="Times New Roman" w:eastAsia="仿宋_GB2312" w:cs="Times New Roman"/>
          <w:b w:val="0"/>
          <w:bCs w:val="0"/>
        </w:rPr>
        <w:t>般公共预算财政拨款项目支出决算表</w:t>
      </w:r>
      <w:bookmarkEnd w:id="60"/>
    </w:p>
    <w:p w14:paraId="44CE8B62">
      <w:pPr>
        <w:pStyle w:val="3"/>
        <w:spacing w:before="0" w:after="0" w:line="560" w:lineRule="exact"/>
        <w:rPr>
          <w:rFonts w:ascii="Times New Roman" w:hAnsi="Times New Roman" w:eastAsia="仿宋_GB2312" w:cs="Times New Roman"/>
          <w:color w:val="000000"/>
        </w:rPr>
      </w:pPr>
      <w:bookmarkStart w:id="61" w:name="_Toc15396628"/>
      <w:r>
        <w:rPr>
          <w:rStyle w:val="19"/>
          <w:rFonts w:ascii="Times New Roman" w:hAnsi="Times New Roman" w:eastAsia="仿宋_GB2312" w:cs="Times New Roman"/>
          <w:b w:val="0"/>
          <w:bCs w:val="0"/>
        </w:rPr>
        <w:t>十、</w:t>
      </w:r>
      <w:r>
        <w:rPr>
          <w:rFonts w:ascii="Times New Roman" w:hAnsi="Times New Roman" w:eastAsia="仿宋_GB2312" w:cs="Times New Roman"/>
          <w:b w:val="0"/>
          <w:bCs w:val="0"/>
          <w:color w:val="000000"/>
        </w:rPr>
        <w:t>一</w:t>
      </w:r>
      <w:r>
        <w:rPr>
          <w:rStyle w:val="19"/>
          <w:rFonts w:ascii="Times New Roman" w:hAnsi="Times New Roman" w:eastAsia="仿宋_GB2312" w:cs="Times New Roman"/>
          <w:b w:val="0"/>
          <w:bCs w:val="0"/>
        </w:rPr>
        <w:t>般公共预算财政拨款“三公”经费支出决算表</w:t>
      </w:r>
      <w:bookmarkEnd w:id="61"/>
    </w:p>
    <w:p w14:paraId="408D646E">
      <w:pPr>
        <w:pStyle w:val="3"/>
        <w:spacing w:before="0" w:after="0" w:line="560" w:lineRule="exact"/>
        <w:rPr>
          <w:rFonts w:ascii="Times New Roman" w:hAnsi="Times New Roman" w:eastAsia="仿宋_GB2312" w:cs="Times New Roman"/>
          <w:color w:val="000000"/>
        </w:rPr>
      </w:pPr>
      <w:bookmarkStart w:id="62" w:name="_Toc15396629"/>
      <w:r>
        <w:rPr>
          <w:rStyle w:val="19"/>
          <w:rFonts w:ascii="Times New Roman" w:hAnsi="Times New Roman" w:eastAsia="仿宋_GB2312" w:cs="Times New Roman"/>
          <w:b w:val="0"/>
          <w:bCs w:val="0"/>
        </w:rPr>
        <w:t>十一、</w:t>
      </w:r>
      <w:r>
        <w:rPr>
          <w:rFonts w:ascii="Times New Roman" w:hAnsi="Times New Roman" w:eastAsia="仿宋_GB2312" w:cs="Times New Roman"/>
          <w:b w:val="0"/>
          <w:bCs w:val="0"/>
          <w:color w:val="000000"/>
        </w:rPr>
        <w:t>政</w:t>
      </w:r>
      <w:r>
        <w:rPr>
          <w:rStyle w:val="19"/>
          <w:rFonts w:ascii="Times New Roman" w:hAnsi="Times New Roman" w:eastAsia="仿宋_GB2312" w:cs="Times New Roman"/>
          <w:b w:val="0"/>
          <w:bCs w:val="0"/>
        </w:rPr>
        <w:t>府性基金预算财政拨款收入支出决算表</w:t>
      </w:r>
      <w:bookmarkEnd w:id="62"/>
    </w:p>
    <w:p w14:paraId="208E48E6">
      <w:pPr>
        <w:pStyle w:val="3"/>
        <w:spacing w:before="0" w:after="0" w:line="560" w:lineRule="exact"/>
        <w:rPr>
          <w:rFonts w:ascii="Times New Roman" w:hAnsi="Times New Roman" w:eastAsia="仿宋_GB2312" w:cs="Times New Roman"/>
          <w:color w:val="000000"/>
        </w:rPr>
      </w:pPr>
      <w:bookmarkStart w:id="63" w:name="_Toc15396630"/>
      <w:r>
        <w:rPr>
          <w:rStyle w:val="19"/>
          <w:rFonts w:ascii="Times New Roman" w:hAnsi="Times New Roman" w:eastAsia="仿宋_GB2312" w:cs="Times New Roman"/>
          <w:b w:val="0"/>
          <w:bCs w:val="0"/>
        </w:rPr>
        <w:t>十二、</w:t>
      </w:r>
      <w:r>
        <w:rPr>
          <w:rFonts w:ascii="Times New Roman" w:hAnsi="Times New Roman" w:eastAsia="仿宋_GB2312" w:cs="Times New Roman"/>
          <w:b w:val="0"/>
          <w:bCs w:val="0"/>
          <w:color w:val="000000"/>
        </w:rPr>
        <w:t>政</w:t>
      </w:r>
      <w:r>
        <w:rPr>
          <w:rStyle w:val="19"/>
          <w:rFonts w:ascii="Times New Roman" w:hAnsi="Times New Roman" w:eastAsia="仿宋_GB2312" w:cs="Times New Roman"/>
          <w:b w:val="0"/>
          <w:bCs w:val="0"/>
        </w:rPr>
        <w:t>府性基金预算财政拨款“三公”经费支出决算表</w:t>
      </w:r>
      <w:bookmarkEnd w:id="63"/>
    </w:p>
    <w:p w14:paraId="419C0B17">
      <w:pPr>
        <w:pStyle w:val="3"/>
        <w:spacing w:before="0" w:after="0" w:line="560" w:lineRule="exact"/>
        <w:rPr>
          <w:rStyle w:val="19"/>
          <w:rFonts w:ascii="Times New Roman" w:hAnsi="Times New Roman" w:eastAsia="仿宋_GB2312" w:cs="Times New Roman"/>
          <w:b w:val="0"/>
          <w:bCs w:val="0"/>
        </w:rPr>
      </w:pPr>
      <w:bookmarkStart w:id="64" w:name="_Toc15396631"/>
      <w:r>
        <w:rPr>
          <w:rStyle w:val="19"/>
          <w:rFonts w:ascii="Times New Roman" w:hAnsi="Times New Roman" w:eastAsia="仿宋_GB2312" w:cs="Times New Roman"/>
          <w:b w:val="0"/>
          <w:bCs w:val="0"/>
        </w:rPr>
        <w:t>十三、</w:t>
      </w:r>
      <w:r>
        <w:rPr>
          <w:rFonts w:ascii="Times New Roman" w:hAnsi="Times New Roman" w:eastAsia="仿宋_GB2312" w:cs="Times New Roman"/>
          <w:b w:val="0"/>
          <w:bCs w:val="0"/>
          <w:color w:val="000000"/>
        </w:rPr>
        <w:t>国</w:t>
      </w:r>
      <w:r>
        <w:rPr>
          <w:rStyle w:val="19"/>
          <w:rFonts w:ascii="Times New Roman" w:hAnsi="Times New Roman" w:eastAsia="仿宋_GB2312" w:cs="Times New Roman"/>
          <w:b w:val="0"/>
          <w:bCs w:val="0"/>
        </w:rPr>
        <w:t>有资本经营预算支出决算表</w:t>
      </w:r>
      <w:bookmarkEnd w:id="64"/>
    </w:p>
    <w:p w14:paraId="44133BE3">
      <w:pPr>
        <w:pStyle w:val="3"/>
        <w:spacing w:before="0" w:after="0" w:line="560" w:lineRule="exact"/>
        <w:rPr>
          <w:rStyle w:val="19"/>
          <w:rFonts w:ascii="Times New Roman" w:hAnsi="Times New Roman" w:eastAsia="仿宋_GB2312" w:cs="Times New Roman"/>
          <w:b w:val="0"/>
          <w:bCs w:val="0"/>
        </w:rPr>
      </w:pPr>
      <w:r>
        <w:rPr>
          <w:rStyle w:val="19"/>
          <w:rFonts w:ascii="Times New Roman" w:hAnsi="Times New Roman" w:eastAsia="仿宋_GB2312" w:cs="Times New Roman"/>
          <w:b w:val="0"/>
          <w:bCs w:val="0"/>
        </w:rPr>
        <w:t>十四、政府采购执行情况表</w:t>
      </w:r>
    </w:p>
    <w:p w14:paraId="22696253">
      <w:pPr>
        <w:pStyle w:val="3"/>
        <w:spacing w:before="0" w:after="0" w:line="560" w:lineRule="exact"/>
        <w:rPr>
          <w:rStyle w:val="19"/>
          <w:rFonts w:ascii="Times New Roman" w:hAnsi="Times New Roman" w:eastAsia="仿宋_GB2312" w:cs="Times New Roman"/>
          <w:b w:val="0"/>
          <w:bCs w:val="0"/>
        </w:rPr>
      </w:pPr>
      <w:r>
        <w:rPr>
          <w:rStyle w:val="19"/>
          <w:rFonts w:ascii="Times New Roman" w:hAnsi="Times New Roman" w:eastAsia="仿宋_GB2312" w:cs="Times New Roman"/>
          <w:b w:val="0"/>
          <w:bCs w:val="0"/>
        </w:rPr>
        <w:t xml:space="preserve">十五、机关运行经费及国有资产占用情况表 </w:t>
      </w:r>
    </w:p>
    <w:p w14:paraId="049FD15A">
      <w:pPr>
        <w:pStyle w:val="3"/>
        <w:spacing w:before="0" w:after="0" w:line="560" w:lineRule="exact"/>
        <w:rPr>
          <w:rStyle w:val="19"/>
          <w:rFonts w:ascii="Times New Roman" w:hAnsi="Times New Roman" w:eastAsia="仿宋_GB2312" w:cs="Times New Roman"/>
          <w:b w:val="0"/>
          <w:bCs w:val="0"/>
        </w:rPr>
      </w:pPr>
      <w:r>
        <w:rPr>
          <w:rStyle w:val="19"/>
          <w:rFonts w:ascii="Times New Roman" w:hAnsi="Times New Roman" w:eastAsia="仿宋_GB2312" w:cs="Times New Roman"/>
          <w:b w:val="0"/>
          <w:bCs w:val="0"/>
        </w:rPr>
        <w:t xml:space="preserve"> </w:t>
      </w:r>
    </w:p>
    <w:p w14:paraId="0B864E90"/>
    <w:p w14:paraId="1BB67332"/>
    <w:p w14:paraId="7EEA3073"/>
    <w:sectPr>
      <w:footerReference r:id="rId5" w:type="first"/>
      <w:headerReference r:id="rId3" w:type="default"/>
      <w:footerReference r:id="rId4" w:type="default"/>
      <w:pgSz w:w="11907" w:h="16840"/>
      <w:pgMar w:top="1985" w:right="1474" w:bottom="1701"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Tahoma">
    <w:altName w:val="Droid Sans"/>
    <w:panose1 w:val="020B0604030504040204"/>
    <w:charset w:val="00"/>
    <w:family w:val="swiss"/>
    <w:pitch w:val="default"/>
    <w:sig w:usb0="00000000" w:usb1="00000000" w:usb2="00000029" w:usb3="00000000" w:csb0="000101FF" w:csb1="00000000"/>
  </w:font>
  <w:font w:name="Droid Sans">
    <w:panose1 w:val="020B0606030804020204"/>
    <w:charset w:val="00"/>
    <w:family w:val="auto"/>
    <w:pitch w:val="default"/>
    <w:sig w:usb0="E00002EF" w:usb1="4000205B" w:usb2="00000028" w:usb3="00000000" w:csb0="2000019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小标宋">
    <w:altName w:val="方正小标宋_GBK"/>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4A53A">
    <w:pPr>
      <w:pStyle w:val="9"/>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8D898">
                          <w:pPr>
                            <w:pStyle w:val="9"/>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1 -</w:t>
                          </w:r>
                          <w:r>
                            <w:rPr>
                              <w:rFonts w:hint="eastAsia" w:asciiTheme="minorEastAsia" w:hAnsiTheme="minorEastAsia" w:eastAsiaTheme="minorEastAsia" w:cstheme="minorEastAsia"/>
                              <w:sz w:val="28"/>
                              <w:szCs w:val="28"/>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58D898">
                    <w:pPr>
                      <w:pStyle w:val="9"/>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1 -</w:t>
                    </w:r>
                    <w:r>
                      <w:rPr>
                        <w:rFonts w:hint="eastAsia" w:asciiTheme="minorEastAsia" w:hAnsiTheme="minorEastAsia" w:eastAsiaTheme="minorEastAsia" w:cstheme="minorEastAsia"/>
                        <w:sz w:val="28"/>
                        <w:szCs w:val="28"/>
                        <w:lang w:val="zh-CN"/>
                      </w:rPr>
                      <w:fldChar w:fldCharType="end"/>
                    </w:r>
                  </w:p>
                </w:txbxContent>
              </v:textbox>
            </v:shape>
          </w:pict>
        </mc:Fallback>
      </mc:AlternateContent>
    </w:r>
  </w:p>
  <w:p w14:paraId="640B684D">
    <w:pPr>
      <w:pStyle w:val="9"/>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305B">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2A06AE">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D2A06AE">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D0626">
    <w:pPr>
      <w:pStyle w:val="10"/>
      <w:pBdr>
        <w:bottom w:val="none" w:color="auto" w:sz="0" w:space="0"/>
      </w:pBdr>
      <w:tabs>
        <w:tab w:val="clear" w:pos="8306"/>
      </w:tabs>
      <w:ind w:right="-188" w:rightChars="-94"/>
      <w:jc w:val="both"/>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698D8"/>
    <w:multiLevelType w:val="singleLevel"/>
    <w:tmpl w:val="BDC698D8"/>
    <w:lvl w:ilvl="0" w:tentative="0">
      <w:start w:val="2"/>
      <w:numFmt w:val="decimal"/>
      <w:suff w:val="nothing"/>
      <w:lvlText w:val="%1．"/>
      <w:lvlJc w:val="left"/>
    </w:lvl>
  </w:abstractNum>
  <w:abstractNum w:abstractNumId="1">
    <w:nsid w:val="E258E5C3"/>
    <w:multiLevelType w:val="singleLevel"/>
    <w:tmpl w:val="E258E5C3"/>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b/>
        <w:bCs/>
        <w:sz w:val="32"/>
        <w:szCs w:val="32"/>
      </w:rPr>
    </w:lvl>
  </w:abstractNum>
  <w:abstractNum w:abstractNumId="4">
    <w:nsid w:val="07D2CEE2"/>
    <w:multiLevelType w:val="singleLevel"/>
    <w:tmpl w:val="07D2CEE2"/>
    <w:lvl w:ilvl="0" w:tentative="0">
      <w:start w:val="2"/>
      <w:numFmt w:val="decimal"/>
      <w:suff w:val="nothing"/>
      <w:lvlText w:val="%1．"/>
      <w:lvlJc w:val="left"/>
    </w:lvl>
  </w:abstractNum>
  <w:abstractNum w:abstractNumId="5">
    <w:nsid w:val="0FFD2B42"/>
    <w:multiLevelType w:val="singleLevel"/>
    <w:tmpl w:val="0FFD2B42"/>
    <w:lvl w:ilvl="0" w:tentative="0">
      <w:start w:val="2"/>
      <w:numFmt w:val="decimal"/>
      <w:suff w:val="nothing"/>
      <w:lvlText w:val="%1．"/>
      <w:lvlJc w:val="left"/>
    </w:lvl>
  </w:abstractNum>
  <w:abstractNum w:abstractNumId="6">
    <w:nsid w:val="10A4BFE3"/>
    <w:multiLevelType w:val="singleLevel"/>
    <w:tmpl w:val="10A4BFE3"/>
    <w:lvl w:ilvl="0" w:tentative="0">
      <w:start w:val="1"/>
      <w:numFmt w:val="chineseCounting"/>
      <w:suff w:val="nothing"/>
      <w:lvlText w:val="（%1）"/>
      <w:lvlJc w:val="left"/>
      <w:rPr>
        <w:rFonts w:hint="eastAsia"/>
      </w:rPr>
    </w:lvl>
  </w:abstractNum>
  <w:abstractNum w:abstractNumId="7">
    <w:nsid w:val="1F4F40B3"/>
    <w:multiLevelType w:val="multilevel"/>
    <w:tmpl w:val="1F4F40B3"/>
    <w:lvl w:ilvl="0" w:tentative="0">
      <w:start w:val="1"/>
      <w:numFmt w:val="japaneseCounting"/>
      <w:lvlText w:val="（%1）"/>
      <w:lvlJc w:val="left"/>
      <w:pPr>
        <w:ind w:left="108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365F7201"/>
    <w:multiLevelType w:val="singleLevel"/>
    <w:tmpl w:val="365F7201"/>
    <w:lvl w:ilvl="0" w:tentative="0">
      <w:start w:val="1"/>
      <w:numFmt w:val="chineseCounting"/>
      <w:suff w:val="space"/>
      <w:lvlText w:val="第%1部分"/>
      <w:lvlJc w:val="left"/>
      <w:rPr>
        <w:rFonts w:hint="eastAsia"/>
      </w:rPr>
    </w:lvl>
  </w:abstractNum>
  <w:abstractNum w:abstractNumId="9">
    <w:nsid w:val="75797451"/>
    <w:multiLevelType w:val="singleLevel"/>
    <w:tmpl w:val="75797451"/>
    <w:lvl w:ilvl="0" w:tentative="0">
      <w:start w:val="2"/>
      <w:numFmt w:val="decimal"/>
      <w:suff w:val="nothing"/>
      <w:lvlText w:val="%1．"/>
      <w:lvlJc w:val="left"/>
    </w:lvl>
  </w:abstractNum>
  <w:num w:numId="1">
    <w:abstractNumId w:val="8"/>
  </w:num>
  <w:num w:numId="2">
    <w:abstractNumId w:val="3"/>
  </w:num>
  <w:num w:numId="3">
    <w:abstractNumId w:val="2"/>
  </w:num>
  <w:num w:numId="4">
    <w:abstractNumId w:val="7"/>
  </w:num>
  <w:num w:numId="5">
    <w:abstractNumId w:val="9"/>
  </w:num>
  <w:num w:numId="6">
    <w:abstractNumId w:val="4"/>
  </w:num>
  <w:num w:numId="7">
    <w:abstractNumId w:val="1"/>
  </w:num>
  <w:num w:numId="8">
    <w:abstractNumId w:val="5"/>
  </w:num>
  <w:num w:numId="9">
    <w:abstractNumId w:val="0"/>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rson w15:author="舒燕">
    <w15:presenceInfo w15:providerId="None" w15:userId="舒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FB8"/>
    <w:rsid w:val="000222C6"/>
    <w:rsid w:val="000239AE"/>
    <w:rsid w:val="0002549F"/>
    <w:rsid w:val="00031EEC"/>
    <w:rsid w:val="00033C70"/>
    <w:rsid w:val="00041CD8"/>
    <w:rsid w:val="00052709"/>
    <w:rsid w:val="0006487A"/>
    <w:rsid w:val="00065F8F"/>
    <w:rsid w:val="000768F2"/>
    <w:rsid w:val="0008422B"/>
    <w:rsid w:val="0009184B"/>
    <w:rsid w:val="0009593C"/>
    <w:rsid w:val="000A57B0"/>
    <w:rsid w:val="000A73EC"/>
    <w:rsid w:val="000A7837"/>
    <w:rsid w:val="000B047F"/>
    <w:rsid w:val="000B5923"/>
    <w:rsid w:val="000B5A48"/>
    <w:rsid w:val="000B6FF3"/>
    <w:rsid w:val="000C32EE"/>
    <w:rsid w:val="000C3467"/>
    <w:rsid w:val="000C3CA6"/>
    <w:rsid w:val="000C530A"/>
    <w:rsid w:val="000C7776"/>
    <w:rsid w:val="000D1267"/>
    <w:rsid w:val="000D1B37"/>
    <w:rsid w:val="000D1D50"/>
    <w:rsid w:val="000D5782"/>
    <w:rsid w:val="000D680A"/>
    <w:rsid w:val="000E6613"/>
    <w:rsid w:val="000E7119"/>
    <w:rsid w:val="00100E20"/>
    <w:rsid w:val="00103209"/>
    <w:rsid w:val="001035CC"/>
    <w:rsid w:val="00104E93"/>
    <w:rsid w:val="001119CC"/>
    <w:rsid w:val="00114E9B"/>
    <w:rsid w:val="00122BBA"/>
    <w:rsid w:val="00133486"/>
    <w:rsid w:val="00142F94"/>
    <w:rsid w:val="0014729F"/>
    <w:rsid w:val="00156338"/>
    <w:rsid w:val="00157BAB"/>
    <w:rsid w:val="001654D1"/>
    <w:rsid w:val="001773C6"/>
    <w:rsid w:val="0018106D"/>
    <w:rsid w:val="0018207C"/>
    <w:rsid w:val="001877A7"/>
    <w:rsid w:val="0019133D"/>
    <w:rsid w:val="00191536"/>
    <w:rsid w:val="00196687"/>
    <w:rsid w:val="001A4786"/>
    <w:rsid w:val="001C0962"/>
    <w:rsid w:val="001D7291"/>
    <w:rsid w:val="001D7531"/>
    <w:rsid w:val="001E0305"/>
    <w:rsid w:val="001E3FFE"/>
    <w:rsid w:val="001E737D"/>
    <w:rsid w:val="001F0592"/>
    <w:rsid w:val="001F2300"/>
    <w:rsid w:val="001F7506"/>
    <w:rsid w:val="002006CD"/>
    <w:rsid w:val="00202B36"/>
    <w:rsid w:val="00204B7A"/>
    <w:rsid w:val="0021101A"/>
    <w:rsid w:val="00220536"/>
    <w:rsid w:val="00226674"/>
    <w:rsid w:val="00235629"/>
    <w:rsid w:val="00256A13"/>
    <w:rsid w:val="002579C6"/>
    <w:rsid w:val="00260C38"/>
    <w:rsid w:val="002616C0"/>
    <w:rsid w:val="002662AA"/>
    <w:rsid w:val="002712FF"/>
    <w:rsid w:val="002731B1"/>
    <w:rsid w:val="002734D5"/>
    <w:rsid w:val="00274538"/>
    <w:rsid w:val="0028030D"/>
    <w:rsid w:val="00280496"/>
    <w:rsid w:val="00286230"/>
    <w:rsid w:val="0029269A"/>
    <w:rsid w:val="00293D33"/>
    <w:rsid w:val="00295495"/>
    <w:rsid w:val="002A2726"/>
    <w:rsid w:val="002A3CD2"/>
    <w:rsid w:val="002A4F90"/>
    <w:rsid w:val="002B2613"/>
    <w:rsid w:val="002B460E"/>
    <w:rsid w:val="002D7883"/>
    <w:rsid w:val="002F1818"/>
    <w:rsid w:val="002F567B"/>
    <w:rsid w:val="0030440B"/>
    <w:rsid w:val="003100E1"/>
    <w:rsid w:val="003216A9"/>
    <w:rsid w:val="0032363D"/>
    <w:rsid w:val="00326E59"/>
    <w:rsid w:val="00330223"/>
    <w:rsid w:val="00330CA2"/>
    <w:rsid w:val="00346E0E"/>
    <w:rsid w:val="00347EE9"/>
    <w:rsid w:val="0037013F"/>
    <w:rsid w:val="00380C92"/>
    <w:rsid w:val="0039062E"/>
    <w:rsid w:val="003912F6"/>
    <w:rsid w:val="003A1EEF"/>
    <w:rsid w:val="003A2339"/>
    <w:rsid w:val="003A484F"/>
    <w:rsid w:val="003B0BE0"/>
    <w:rsid w:val="003B0C1B"/>
    <w:rsid w:val="003B3B95"/>
    <w:rsid w:val="003B688C"/>
    <w:rsid w:val="003B7834"/>
    <w:rsid w:val="003C0291"/>
    <w:rsid w:val="003C39AE"/>
    <w:rsid w:val="003C5836"/>
    <w:rsid w:val="003C7B60"/>
    <w:rsid w:val="003D1FB2"/>
    <w:rsid w:val="003D66DA"/>
    <w:rsid w:val="003E1310"/>
    <w:rsid w:val="003E6F55"/>
    <w:rsid w:val="003F1A19"/>
    <w:rsid w:val="003F527C"/>
    <w:rsid w:val="003F7F3A"/>
    <w:rsid w:val="004017C1"/>
    <w:rsid w:val="004031C0"/>
    <w:rsid w:val="00406254"/>
    <w:rsid w:val="00406938"/>
    <w:rsid w:val="0042079D"/>
    <w:rsid w:val="00420984"/>
    <w:rsid w:val="004223DE"/>
    <w:rsid w:val="00434489"/>
    <w:rsid w:val="00437085"/>
    <w:rsid w:val="00443880"/>
    <w:rsid w:val="00444446"/>
    <w:rsid w:val="00444D2D"/>
    <w:rsid w:val="004464F4"/>
    <w:rsid w:val="00450195"/>
    <w:rsid w:val="0045622D"/>
    <w:rsid w:val="00457D93"/>
    <w:rsid w:val="00471401"/>
    <w:rsid w:val="00473F31"/>
    <w:rsid w:val="00480FB2"/>
    <w:rsid w:val="0048263A"/>
    <w:rsid w:val="00487E5D"/>
    <w:rsid w:val="0049510E"/>
    <w:rsid w:val="004A711F"/>
    <w:rsid w:val="004B0ABD"/>
    <w:rsid w:val="004B199D"/>
    <w:rsid w:val="004B4690"/>
    <w:rsid w:val="004E04B6"/>
    <w:rsid w:val="004E0A2D"/>
    <w:rsid w:val="004E206B"/>
    <w:rsid w:val="004E6DF7"/>
    <w:rsid w:val="004F06FF"/>
    <w:rsid w:val="004F0FBD"/>
    <w:rsid w:val="00505A47"/>
    <w:rsid w:val="00510901"/>
    <w:rsid w:val="00512FDA"/>
    <w:rsid w:val="005160A9"/>
    <w:rsid w:val="00520DA0"/>
    <w:rsid w:val="00521889"/>
    <w:rsid w:val="00526925"/>
    <w:rsid w:val="005275B7"/>
    <w:rsid w:val="00535148"/>
    <w:rsid w:val="00540571"/>
    <w:rsid w:val="00543935"/>
    <w:rsid w:val="005664BB"/>
    <w:rsid w:val="005705B5"/>
    <w:rsid w:val="0057481D"/>
    <w:rsid w:val="0058486E"/>
    <w:rsid w:val="005A0120"/>
    <w:rsid w:val="005B6660"/>
    <w:rsid w:val="005C4DDE"/>
    <w:rsid w:val="005D1C8B"/>
    <w:rsid w:val="005D5CED"/>
    <w:rsid w:val="005F1A4C"/>
    <w:rsid w:val="005F46AB"/>
    <w:rsid w:val="00605688"/>
    <w:rsid w:val="006070AF"/>
    <w:rsid w:val="00607E6C"/>
    <w:rsid w:val="006101B1"/>
    <w:rsid w:val="00614E44"/>
    <w:rsid w:val="00622830"/>
    <w:rsid w:val="00630AEF"/>
    <w:rsid w:val="006325F8"/>
    <w:rsid w:val="00633182"/>
    <w:rsid w:val="00634C9A"/>
    <w:rsid w:val="00636FB1"/>
    <w:rsid w:val="00643BC3"/>
    <w:rsid w:val="006440E4"/>
    <w:rsid w:val="0066343B"/>
    <w:rsid w:val="00664777"/>
    <w:rsid w:val="006748A4"/>
    <w:rsid w:val="00683E73"/>
    <w:rsid w:val="00697B51"/>
    <w:rsid w:val="006A04B6"/>
    <w:rsid w:val="006A3141"/>
    <w:rsid w:val="006A5E34"/>
    <w:rsid w:val="006B2422"/>
    <w:rsid w:val="006B2B9A"/>
    <w:rsid w:val="006C0847"/>
    <w:rsid w:val="006C1937"/>
    <w:rsid w:val="006D6955"/>
    <w:rsid w:val="006F020C"/>
    <w:rsid w:val="007127B7"/>
    <w:rsid w:val="007150D0"/>
    <w:rsid w:val="00722C58"/>
    <w:rsid w:val="00723C35"/>
    <w:rsid w:val="00730FD9"/>
    <w:rsid w:val="0074157D"/>
    <w:rsid w:val="007416B6"/>
    <w:rsid w:val="00741EDC"/>
    <w:rsid w:val="00746F48"/>
    <w:rsid w:val="0075404D"/>
    <w:rsid w:val="00757630"/>
    <w:rsid w:val="0076182A"/>
    <w:rsid w:val="00767B7E"/>
    <w:rsid w:val="0077114E"/>
    <w:rsid w:val="007770C3"/>
    <w:rsid w:val="00784D24"/>
    <w:rsid w:val="00785FBA"/>
    <w:rsid w:val="00786E4A"/>
    <w:rsid w:val="007875EB"/>
    <w:rsid w:val="0079426B"/>
    <w:rsid w:val="007949ED"/>
    <w:rsid w:val="00794F4A"/>
    <w:rsid w:val="007A5B23"/>
    <w:rsid w:val="007B2852"/>
    <w:rsid w:val="007B2997"/>
    <w:rsid w:val="007B395C"/>
    <w:rsid w:val="007B69AD"/>
    <w:rsid w:val="007D312A"/>
    <w:rsid w:val="007D3F19"/>
    <w:rsid w:val="007D4316"/>
    <w:rsid w:val="007D5083"/>
    <w:rsid w:val="007D6C9B"/>
    <w:rsid w:val="007D7514"/>
    <w:rsid w:val="007E23B0"/>
    <w:rsid w:val="007E66E3"/>
    <w:rsid w:val="007F1991"/>
    <w:rsid w:val="007F2C2F"/>
    <w:rsid w:val="007F55FC"/>
    <w:rsid w:val="007F5665"/>
    <w:rsid w:val="007F7575"/>
    <w:rsid w:val="00800112"/>
    <w:rsid w:val="00811553"/>
    <w:rsid w:val="008253BB"/>
    <w:rsid w:val="008278A9"/>
    <w:rsid w:val="00827B4A"/>
    <w:rsid w:val="00834449"/>
    <w:rsid w:val="008363C9"/>
    <w:rsid w:val="0083706E"/>
    <w:rsid w:val="008423A5"/>
    <w:rsid w:val="00850625"/>
    <w:rsid w:val="0085190B"/>
    <w:rsid w:val="00853718"/>
    <w:rsid w:val="00855221"/>
    <w:rsid w:val="00860645"/>
    <w:rsid w:val="008634D8"/>
    <w:rsid w:val="00871F71"/>
    <w:rsid w:val="00875B4A"/>
    <w:rsid w:val="00885AF4"/>
    <w:rsid w:val="008939CD"/>
    <w:rsid w:val="008A1AC1"/>
    <w:rsid w:val="008B06FB"/>
    <w:rsid w:val="008B768C"/>
    <w:rsid w:val="008C450A"/>
    <w:rsid w:val="008C4C3D"/>
    <w:rsid w:val="008C4DB1"/>
    <w:rsid w:val="008C4EAF"/>
    <w:rsid w:val="008C5176"/>
    <w:rsid w:val="008C7FD0"/>
    <w:rsid w:val="008E0C46"/>
    <w:rsid w:val="008E1DE7"/>
    <w:rsid w:val="008E385D"/>
    <w:rsid w:val="008E4E1A"/>
    <w:rsid w:val="008E707C"/>
    <w:rsid w:val="00900B08"/>
    <w:rsid w:val="00902155"/>
    <w:rsid w:val="00902FA3"/>
    <w:rsid w:val="00907D70"/>
    <w:rsid w:val="00915470"/>
    <w:rsid w:val="009214F7"/>
    <w:rsid w:val="00923564"/>
    <w:rsid w:val="0092392E"/>
    <w:rsid w:val="009315F9"/>
    <w:rsid w:val="00946945"/>
    <w:rsid w:val="00947443"/>
    <w:rsid w:val="00950E2D"/>
    <w:rsid w:val="00951248"/>
    <w:rsid w:val="0095152F"/>
    <w:rsid w:val="009530E4"/>
    <w:rsid w:val="0095366D"/>
    <w:rsid w:val="00954C49"/>
    <w:rsid w:val="0096090B"/>
    <w:rsid w:val="0096654A"/>
    <w:rsid w:val="0097020E"/>
    <w:rsid w:val="0097099F"/>
    <w:rsid w:val="00971997"/>
    <w:rsid w:val="00971FFC"/>
    <w:rsid w:val="00975C51"/>
    <w:rsid w:val="00977523"/>
    <w:rsid w:val="0098660A"/>
    <w:rsid w:val="009931C3"/>
    <w:rsid w:val="009939CA"/>
    <w:rsid w:val="009A6FF7"/>
    <w:rsid w:val="009B2C43"/>
    <w:rsid w:val="009B4EAE"/>
    <w:rsid w:val="009B7573"/>
    <w:rsid w:val="009C1CBF"/>
    <w:rsid w:val="009C22F4"/>
    <w:rsid w:val="009C2E98"/>
    <w:rsid w:val="009D3447"/>
    <w:rsid w:val="009D4711"/>
    <w:rsid w:val="009D5268"/>
    <w:rsid w:val="009F1185"/>
    <w:rsid w:val="009F18CD"/>
    <w:rsid w:val="009F2A13"/>
    <w:rsid w:val="00A04EB0"/>
    <w:rsid w:val="00A05153"/>
    <w:rsid w:val="00A06726"/>
    <w:rsid w:val="00A13CC1"/>
    <w:rsid w:val="00A16847"/>
    <w:rsid w:val="00A21727"/>
    <w:rsid w:val="00A237D8"/>
    <w:rsid w:val="00A268C4"/>
    <w:rsid w:val="00A307CD"/>
    <w:rsid w:val="00A3428B"/>
    <w:rsid w:val="00A40A00"/>
    <w:rsid w:val="00A4142F"/>
    <w:rsid w:val="00A45C0B"/>
    <w:rsid w:val="00A5397B"/>
    <w:rsid w:val="00A53CB3"/>
    <w:rsid w:val="00A56DF2"/>
    <w:rsid w:val="00A6615A"/>
    <w:rsid w:val="00A67AB5"/>
    <w:rsid w:val="00A72510"/>
    <w:rsid w:val="00A74AE9"/>
    <w:rsid w:val="00A91760"/>
    <w:rsid w:val="00A93B00"/>
    <w:rsid w:val="00A93C21"/>
    <w:rsid w:val="00AC3C6A"/>
    <w:rsid w:val="00AD4655"/>
    <w:rsid w:val="00AD5620"/>
    <w:rsid w:val="00AD6F21"/>
    <w:rsid w:val="00AD7C1B"/>
    <w:rsid w:val="00AE16BA"/>
    <w:rsid w:val="00AE1EBE"/>
    <w:rsid w:val="00AE56D1"/>
    <w:rsid w:val="00AE5B8F"/>
    <w:rsid w:val="00AF1F06"/>
    <w:rsid w:val="00AF727F"/>
    <w:rsid w:val="00B03C9D"/>
    <w:rsid w:val="00B0579B"/>
    <w:rsid w:val="00B060AE"/>
    <w:rsid w:val="00B10517"/>
    <w:rsid w:val="00B14E76"/>
    <w:rsid w:val="00B161B8"/>
    <w:rsid w:val="00B1769C"/>
    <w:rsid w:val="00B2048C"/>
    <w:rsid w:val="00B24F41"/>
    <w:rsid w:val="00B310B9"/>
    <w:rsid w:val="00B356E8"/>
    <w:rsid w:val="00B35F3F"/>
    <w:rsid w:val="00B36CBB"/>
    <w:rsid w:val="00B41089"/>
    <w:rsid w:val="00B42234"/>
    <w:rsid w:val="00B425E0"/>
    <w:rsid w:val="00B440AA"/>
    <w:rsid w:val="00B44B70"/>
    <w:rsid w:val="00B46874"/>
    <w:rsid w:val="00B51DDF"/>
    <w:rsid w:val="00B53C56"/>
    <w:rsid w:val="00B613F0"/>
    <w:rsid w:val="00B77EA6"/>
    <w:rsid w:val="00B81598"/>
    <w:rsid w:val="00B81D09"/>
    <w:rsid w:val="00B841F1"/>
    <w:rsid w:val="00B944D6"/>
    <w:rsid w:val="00BB4DF0"/>
    <w:rsid w:val="00BB6072"/>
    <w:rsid w:val="00BC033D"/>
    <w:rsid w:val="00BC289F"/>
    <w:rsid w:val="00BC5361"/>
    <w:rsid w:val="00BC5460"/>
    <w:rsid w:val="00BC6B50"/>
    <w:rsid w:val="00BD0E25"/>
    <w:rsid w:val="00BD3FF0"/>
    <w:rsid w:val="00BF27F4"/>
    <w:rsid w:val="00BF5BD6"/>
    <w:rsid w:val="00C02E12"/>
    <w:rsid w:val="00C03E31"/>
    <w:rsid w:val="00C16BA5"/>
    <w:rsid w:val="00C33C5E"/>
    <w:rsid w:val="00C33E72"/>
    <w:rsid w:val="00C354B2"/>
    <w:rsid w:val="00C35554"/>
    <w:rsid w:val="00C42709"/>
    <w:rsid w:val="00C533CC"/>
    <w:rsid w:val="00C5342A"/>
    <w:rsid w:val="00C5751C"/>
    <w:rsid w:val="00C61BFC"/>
    <w:rsid w:val="00C62B85"/>
    <w:rsid w:val="00C65438"/>
    <w:rsid w:val="00C67DBD"/>
    <w:rsid w:val="00C76260"/>
    <w:rsid w:val="00C91CBB"/>
    <w:rsid w:val="00C94861"/>
    <w:rsid w:val="00C96E19"/>
    <w:rsid w:val="00CA2507"/>
    <w:rsid w:val="00CA5AC5"/>
    <w:rsid w:val="00CA65AB"/>
    <w:rsid w:val="00CA7966"/>
    <w:rsid w:val="00CB096D"/>
    <w:rsid w:val="00CC09B6"/>
    <w:rsid w:val="00CC666F"/>
    <w:rsid w:val="00CD1E3F"/>
    <w:rsid w:val="00CE44F6"/>
    <w:rsid w:val="00CE49DA"/>
    <w:rsid w:val="00CE7B61"/>
    <w:rsid w:val="00D00095"/>
    <w:rsid w:val="00D066D9"/>
    <w:rsid w:val="00D17436"/>
    <w:rsid w:val="00D20620"/>
    <w:rsid w:val="00D20AE7"/>
    <w:rsid w:val="00D26091"/>
    <w:rsid w:val="00D27640"/>
    <w:rsid w:val="00D30A3B"/>
    <w:rsid w:val="00D34E7C"/>
    <w:rsid w:val="00D35489"/>
    <w:rsid w:val="00D35A02"/>
    <w:rsid w:val="00D37D79"/>
    <w:rsid w:val="00D51276"/>
    <w:rsid w:val="00D54937"/>
    <w:rsid w:val="00D70280"/>
    <w:rsid w:val="00D7035F"/>
    <w:rsid w:val="00DA2B3F"/>
    <w:rsid w:val="00DA65AC"/>
    <w:rsid w:val="00DB0F51"/>
    <w:rsid w:val="00DB1913"/>
    <w:rsid w:val="00DB48D0"/>
    <w:rsid w:val="00DB70C9"/>
    <w:rsid w:val="00DC0F45"/>
    <w:rsid w:val="00DC410D"/>
    <w:rsid w:val="00DC68CA"/>
    <w:rsid w:val="00DC7CBA"/>
    <w:rsid w:val="00DD44EC"/>
    <w:rsid w:val="00DD73B7"/>
    <w:rsid w:val="00DF28BC"/>
    <w:rsid w:val="00DF34B9"/>
    <w:rsid w:val="00DF6885"/>
    <w:rsid w:val="00E01053"/>
    <w:rsid w:val="00E0473C"/>
    <w:rsid w:val="00E04BCB"/>
    <w:rsid w:val="00E07813"/>
    <w:rsid w:val="00E07ACF"/>
    <w:rsid w:val="00E115DC"/>
    <w:rsid w:val="00E2313C"/>
    <w:rsid w:val="00E31CE1"/>
    <w:rsid w:val="00E331A1"/>
    <w:rsid w:val="00E33202"/>
    <w:rsid w:val="00E336A9"/>
    <w:rsid w:val="00E461A8"/>
    <w:rsid w:val="00E50624"/>
    <w:rsid w:val="00E568DF"/>
    <w:rsid w:val="00E56F5E"/>
    <w:rsid w:val="00E64269"/>
    <w:rsid w:val="00E82267"/>
    <w:rsid w:val="00E845CD"/>
    <w:rsid w:val="00E915C3"/>
    <w:rsid w:val="00E935A5"/>
    <w:rsid w:val="00E93A3E"/>
    <w:rsid w:val="00E974B4"/>
    <w:rsid w:val="00EA010F"/>
    <w:rsid w:val="00EB6949"/>
    <w:rsid w:val="00EB6DB8"/>
    <w:rsid w:val="00EC6A66"/>
    <w:rsid w:val="00ED1B63"/>
    <w:rsid w:val="00ED3C1F"/>
    <w:rsid w:val="00ED4085"/>
    <w:rsid w:val="00ED420E"/>
    <w:rsid w:val="00EE128A"/>
    <w:rsid w:val="00EE2F57"/>
    <w:rsid w:val="00EF4C34"/>
    <w:rsid w:val="00EF7508"/>
    <w:rsid w:val="00EF77C6"/>
    <w:rsid w:val="00F05438"/>
    <w:rsid w:val="00F12C74"/>
    <w:rsid w:val="00F1361C"/>
    <w:rsid w:val="00F1382B"/>
    <w:rsid w:val="00F160C7"/>
    <w:rsid w:val="00F2708D"/>
    <w:rsid w:val="00F30440"/>
    <w:rsid w:val="00F33170"/>
    <w:rsid w:val="00F34AF5"/>
    <w:rsid w:val="00F36D8F"/>
    <w:rsid w:val="00F417B1"/>
    <w:rsid w:val="00F55563"/>
    <w:rsid w:val="00F602DF"/>
    <w:rsid w:val="00F80057"/>
    <w:rsid w:val="00F81734"/>
    <w:rsid w:val="00F81FD9"/>
    <w:rsid w:val="00F82EA3"/>
    <w:rsid w:val="00F841AA"/>
    <w:rsid w:val="00FA23E8"/>
    <w:rsid w:val="00FA4CA3"/>
    <w:rsid w:val="00FC20A8"/>
    <w:rsid w:val="00FC3F5D"/>
    <w:rsid w:val="00FC3FC2"/>
    <w:rsid w:val="00FD3CC1"/>
    <w:rsid w:val="00FF191E"/>
    <w:rsid w:val="00FF1E02"/>
    <w:rsid w:val="00FF30B4"/>
    <w:rsid w:val="02F11DB9"/>
    <w:rsid w:val="04F30BD2"/>
    <w:rsid w:val="05450110"/>
    <w:rsid w:val="060867BE"/>
    <w:rsid w:val="079B7EB8"/>
    <w:rsid w:val="09636BA0"/>
    <w:rsid w:val="0A2106CB"/>
    <w:rsid w:val="0A6059F3"/>
    <w:rsid w:val="0AC72169"/>
    <w:rsid w:val="10A92CA8"/>
    <w:rsid w:val="10C055FF"/>
    <w:rsid w:val="122244A5"/>
    <w:rsid w:val="135A4C05"/>
    <w:rsid w:val="15E57814"/>
    <w:rsid w:val="15F4469E"/>
    <w:rsid w:val="162B6A86"/>
    <w:rsid w:val="16BB723D"/>
    <w:rsid w:val="18D773AE"/>
    <w:rsid w:val="196425D2"/>
    <w:rsid w:val="19FB4788"/>
    <w:rsid w:val="1A7E4FA5"/>
    <w:rsid w:val="1B3B5657"/>
    <w:rsid w:val="22883FE1"/>
    <w:rsid w:val="240371BF"/>
    <w:rsid w:val="240755A0"/>
    <w:rsid w:val="24B8789F"/>
    <w:rsid w:val="254D7975"/>
    <w:rsid w:val="25630806"/>
    <w:rsid w:val="281D4807"/>
    <w:rsid w:val="29FD04D3"/>
    <w:rsid w:val="2E8D6B82"/>
    <w:rsid w:val="2E9F07E2"/>
    <w:rsid w:val="306E76F2"/>
    <w:rsid w:val="30857C46"/>
    <w:rsid w:val="319F7F4E"/>
    <w:rsid w:val="328B4E81"/>
    <w:rsid w:val="328E1C42"/>
    <w:rsid w:val="34B476C4"/>
    <w:rsid w:val="34E97625"/>
    <w:rsid w:val="38DB783A"/>
    <w:rsid w:val="3B8B4492"/>
    <w:rsid w:val="3E962F15"/>
    <w:rsid w:val="3F8365B6"/>
    <w:rsid w:val="3FBD2951"/>
    <w:rsid w:val="400A369C"/>
    <w:rsid w:val="42EF1645"/>
    <w:rsid w:val="431A4C97"/>
    <w:rsid w:val="481624ED"/>
    <w:rsid w:val="488774DA"/>
    <w:rsid w:val="4CD60459"/>
    <w:rsid w:val="4D561816"/>
    <w:rsid w:val="4D824C44"/>
    <w:rsid w:val="502B4BBB"/>
    <w:rsid w:val="50427CE1"/>
    <w:rsid w:val="51732D4F"/>
    <w:rsid w:val="53544892"/>
    <w:rsid w:val="54105CC2"/>
    <w:rsid w:val="55331515"/>
    <w:rsid w:val="55733684"/>
    <w:rsid w:val="57336F4B"/>
    <w:rsid w:val="57741CF0"/>
    <w:rsid w:val="5A685685"/>
    <w:rsid w:val="5ABBF03B"/>
    <w:rsid w:val="5E217973"/>
    <w:rsid w:val="5E2E104C"/>
    <w:rsid w:val="5F14026D"/>
    <w:rsid w:val="600B1C34"/>
    <w:rsid w:val="60EA36D7"/>
    <w:rsid w:val="61BA2E61"/>
    <w:rsid w:val="63677AF6"/>
    <w:rsid w:val="639105CD"/>
    <w:rsid w:val="63A32668"/>
    <w:rsid w:val="66BD14D8"/>
    <w:rsid w:val="6A010EF4"/>
    <w:rsid w:val="6A606A0F"/>
    <w:rsid w:val="6A796162"/>
    <w:rsid w:val="6A951CB0"/>
    <w:rsid w:val="6D766383"/>
    <w:rsid w:val="6EB7564E"/>
    <w:rsid w:val="70AC2871"/>
    <w:rsid w:val="749F5393"/>
    <w:rsid w:val="74CE1E41"/>
    <w:rsid w:val="75027311"/>
    <w:rsid w:val="751B0DC6"/>
    <w:rsid w:val="75533505"/>
    <w:rsid w:val="75DA4E85"/>
    <w:rsid w:val="79A67019"/>
    <w:rsid w:val="7A511FE8"/>
    <w:rsid w:val="7BF555CD"/>
    <w:rsid w:val="7CB3372F"/>
    <w:rsid w:val="7FD51F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1"/>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Document Map"/>
    <w:basedOn w:val="1"/>
    <w:link w:val="37"/>
    <w:semiHidden/>
    <w:qFormat/>
    <w:uiPriority w:val="99"/>
    <w:rPr>
      <w:rFonts w:ascii="宋体" w:hAnsi="Calibri" w:cs="宋体"/>
      <w:sz w:val="16"/>
      <w:szCs w:val="16"/>
    </w:rPr>
  </w:style>
  <w:style w:type="paragraph" w:styleId="6">
    <w:name w:val="Body Text"/>
    <w:basedOn w:val="1"/>
    <w:link w:val="22"/>
    <w:qFormat/>
    <w:uiPriority w:val="99"/>
    <w:pPr>
      <w:spacing w:beforeLines="30"/>
    </w:pPr>
    <w:rPr>
      <w:rFonts w:ascii="仿宋_GB2312" w:eastAsia="仿宋_GB2312" w:cs="仿宋_GB2312"/>
      <w:sz w:val="24"/>
      <w:szCs w:val="24"/>
    </w:rPr>
  </w:style>
  <w:style w:type="paragraph" w:styleId="7">
    <w:name w:val="toc 3"/>
    <w:basedOn w:val="1"/>
    <w:next w:val="1"/>
    <w:semiHidden/>
    <w:qFormat/>
    <w:uiPriority w:val="99"/>
    <w:pPr>
      <w:tabs>
        <w:tab w:val="right" w:leader="dot" w:pos="8296"/>
      </w:tabs>
      <w:ind w:left="840" w:leftChars="400"/>
    </w:pPr>
  </w:style>
  <w:style w:type="paragraph" w:styleId="8">
    <w:name w:val="Balloon Text"/>
    <w:basedOn w:val="1"/>
    <w:link w:val="30"/>
    <w:semiHidden/>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rFonts w:ascii="Calibri" w:hAnsi="Calibri" w:cs="Calibri"/>
      <w:sz w:val="18"/>
      <w:szCs w:val="18"/>
    </w:rPr>
  </w:style>
  <w:style w:type="paragraph" w:styleId="10">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11">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2">
    <w:name w:val="toc 2"/>
    <w:basedOn w:val="1"/>
    <w:next w:val="1"/>
    <w:semiHidden/>
    <w:qFormat/>
    <w:uiPriority w:val="99"/>
    <w:pPr>
      <w:tabs>
        <w:tab w:val="right" w:leader="dot" w:pos="8296"/>
      </w:tabs>
      <w:ind w:left="420" w:leftChars="200"/>
    </w:pPr>
  </w:style>
  <w:style w:type="character" w:styleId="15">
    <w:name w:val="Strong"/>
    <w:basedOn w:val="14"/>
    <w:qFormat/>
    <w:uiPriority w:val="99"/>
    <w:rPr>
      <w:b/>
      <w:bCs/>
    </w:rPr>
  </w:style>
  <w:style w:type="character" w:styleId="16">
    <w:name w:val="page number"/>
    <w:basedOn w:val="14"/>
    <w:qFormat/>
    <w:uiPriority w:val="99"/>
  </w:style>
  <w:style w:type="character" w:styleId="17">
    <w:name w:val="Hyperlink"/>
    <w:basedOn w:val="14"/>
    <w:qFormat/>
    <w:uiPriority w:val="99"/>
    <w:rPr>
      <w:color w:val="0000FF"/>
      <w:u w:val="single"/>
    </w:rPr>
  </w:style>
  <w:style w:type="character" w:customStyle="1" w:styleId="18">
    <w:name w:val="标题 1 Char"/>
    <w:basedOn w:val="14"/>
    <w:link w:val="2"/>
    <w:qFormat/>
    <w:locked/>
    <w:uiPriority w:val="99"/>
    <w:rPr>
      <w:rFonts w:ascii="Times New Roman" w:hAnsi="Times New Roman" w:cs="Times New Roman"/>
      <w:b/>
      <w:bCs/>
      <w:kern w:val="44"/>
      <w:sz w:val="44"/>
      <w:szCs w:val="44"/>
    </w:rPr>
  </w:style>
  <w:style w:type="character" w:customStyle="1" w:styleId="19">
    <w:name w:val="标题 2 Char"/>
    <w:basedOn w:val="14"/>
    <w:link w:val="3"/>
    <w:qFormat/>
    <w:locked/>
    <w:uiPriority w:val="99"/>
    <w:rPr>
      <w:rFonts w:ascii="Cambria" w:hAnsi="Cambria" w:eastAsia="宋体" w:cs="Cambria"/>
      <w:b/>
      <w:bCs/>
      <w:kern w:val="2"/>
      <w:sz w:val="32"/>
      <w:szCs w:val="32"/>
    </w:rPr>
  </w:style>
  <w:style w:type="character" w:customStyle="1" w:styleId="20">
    <w:name w:val="标题 3 Char"/>
    <w:basedOn w:val="14"/>
    <w:link w:val="4"/>
    <w:qFormat/>
    <w:locked/>
    <w:uiPriority w:val="99"/>
    <w:rPr>
      <w:rFonts w:ascii="Times New Roman" w:hAnsi="Times New Roman" w:cs="Times New Roman"/>
      <w:b/>
      <w:bCs/>
      <w:kern w:val="2"/>
      <w:sz w:val="32"/>
      <w:szCs w:val="32"/>
    </w:rPr>
  </w:style>
  <w:style w:type="character" w:customStyle="1" w:styleId="21">
    <w:name w:val="Body Text Char"/>
    <w:basedOn w:val="14"/>
    <w:semiHidden/>
    <w:qFormat/>
    <w:locked/>
    <w:uiPriority w:val="99"/>
    <w:rPr>
      <w:rFonts w:ascii="Times New Roman" w:hAnsi="Times New Roman" w:cs="Times New Roman"/>
      <w:sz w:val="24"/>
      <w:szCs w:val="24"/>
    </w:rPr>
  </w:style>
  <w:style w:type="character" w:customStyle="1" w:styleId="22">
    <w:name w:val="正文文本 Char"/>
    <w:link w:val="6"/>
    <w:qFormat/>
    <w:locked/>
    <w:uiPriority w:val="99"/>
    <w:rPr>
      <w:rFonts w:ascii="仿宋_GB2312" w:hAnsi="Times New Roman" w:eastAsia="仿宋_GB2312" w:cs="仿宋_GB2312"/>
      <w:sz w:val="24"/>
      <w:szCs w:val="24"/>
    </w:rPr>
  </w:style>
  <w:style w:type="character" w:customStyle="1" w:styleId="23">
    <w:name w:val="Footer Char"/>
    <w:basedOn w:val="14"/>
    <w:semiHidden/>
    <w:qFormat/>
    <w:locked/>
    <w:uiPriority w:val="99"/>
    <w:rPr>
      <w:rFonts w:ascii="Times New Roman" w:hAnsi="Times New Roman" w:cs="Times New Roman"/>
      <w:sz w:val="18"/>
      <w:szCs w:val="18"/>
    </w:rPr>
  </w:style>
  <w:style w:type="character" w:customStyle="1" w:styleId="24">
    <w:name w:val="页脚 Char"/>
    <w:link w:val="9"/>
    <w:qFormat/>
    <w:locked/>
    <w:uiPriority w:val="99"/>
    <w:rPr>
      <w:sz w:val="18"/>
      <w:szCs w:val="18"/>
    </w:rPr>
  </w:style>
  <w:style w:type="character" w:customStyle="1" w:styleId="25">
    <w:name w:val="Header Char"/>
    <w:basedOn w:val="14"/>
    <w:semiHidden/>
    <w:qFormat/>
    <w:locked/>
    <w:uiPriority w:val="99"/>
    <w:rPr>
      <w:rFonts w:ascii="Times New Roman" w:hAnsi="Times New Roman" w:cs="Times New Roman"/>
      <w:sz w:val="18"/>
      <w:szCs w:val="18"/>
    </w:rPr>
  </w:style>
  <w:style w:type="character" w:customStyle="1" w:styleId="26">
    <w:name w:val="页眉 Char"/>
    <w:link w:val="10"/>
    <w:semiHidden/>
    <w:qFormat/>
    <w:locked/>
    <w:uiPriority w:val="99"/>
    <w:rPr>
      <w:sz w:val="18"/>
      <w:szCs w:val="18"/>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0">
    <w:name w:val="批注框文本 Char"/>
    <w:basedOn w:val="14"/>
    <w:link w:val="8"/>
    <w:semiHidden/>
    <w:qFormat/>
    <w:locked/>
    <w:uiPriority w:val="99"/>
    <w:rPr>
      <w:rFonts w:ascii="Times New Roman" w:hAnsi="Times New Roman" w:cs="Times New Roman"/>
      <w:kern w:val="2"/>
      <w:sz w:val="18"/>
      <w:szCs w:val="18"/>
    </w:rPr>
  </w:style>
  <w:style w:type="paragraph" w:customStyle="1" w:styleId="31">
    <w:name w:val="四号正文"/>
    <w:basedOn w:val="1"/>
    <w:link w:val="32"/>
    <w:qFormat/>
    <w:uiPriority w:val="99"/>
    <w:pPr>
      <w:spacing w:line="360" w:lineRule="auto"/>
    </w:pPr>
    <w:rPr>
      <w:rFonts w:ascii="??" w:hAnsi="??" w:cs="??"/>
      <w:color w:val="000000"/>
    </w:rPr>
  </w:style>
  <w:style w:type="character" w:customStyle="1" w:styleId="32">
    <w:name w:val="四号正文 Char"/>
    <w:link w:val="31"/>
    <w:qFormat/>
    <w:locked/>
    <w:uiPriority w:val="99"/>
    <w:rPr>
      <w:rFonts w:ascii="??" w:hAnsi="??" w:eastAsia="宋体" w:cs="??"/>
      <w:color w:val="000000"/>
      <w:sz w:val="21"/>
      <w:szCs w:val="21"/>
      <w:lang w:val="en-US" w:eastAsia="zh-CN"/>
    </w:rPr>
  </w:style>
  <w:style w:type="character" w:customStyle="1" w:styleId="33">
    <w:name w:val="Char Char2"/>
    <w:qFormat/>
    <w:uiPriority w:val="99"/>
    <w:rPr>
      <w:sz w:val="18"/>
      <w:szCs w:val="18"/>
    </w:rPr>
  </w:style>
  <w:style w:type="character" w:customStyle="1" w:styleId="34">
    <w:name w:val="Char Char1"/>
    <w:qFormat/>
    <w:uiPriority w:val="99"/>
    <w:rPr>
      <w:sz w:val="18"/>
      <w:szCs w:val="18"/>
    </w:rPr>
  </w:style>
  <w:style w:type="paragraph" w:customStyle="1" w:styleId="35">
    <w:name w:val="Char Char Char Char"/>
    <w:basedOn w:val="1"/>
    <w:next w:val="8"/>
    <w:qFormat/>
    <w:uiPriority w:val="99"/>
    <w:pPr>
      <w:shd w:val="clear" w:color="auto" w:fill="000080"/>
      <w:tabs>
        <w:tab w:val="left" w:pos="720"/>
      </w:tabs>
    </w:pPr>
    <w:rPr>
      <w:rFonts w:ascii="Tahoma" w:hAnsi="Tahoma" w:cs="Tahoma"/>
      <w:sz w:val="24"/>
      <w:szCs w:val="24"/>
    </w:rPr>
  </w:style>
  <w:style w:type="character" w:customStyle="1" w:styleId="36">
    <w:name w:val="Document Map Char"/>
    <w:basedOn w:val="14"/>
    <w:semiHidden/>
    <w:qFormat/>
    <w:locked/>
    <w:uiPriority w:val="99"/>
    <w:rPr>
      <w:rFonts w:ascii="Times New Roman" w:hAnsi="Times New Roman" w:cs="Times New Roman"/>
      <w:sz w:val="2"/>
      <w:szCs w:val="2"/>
    </w:rPr>
  </w:style>
  <w:style w:type="character" w:customStyle="1" w:styleId="37">
    <w:name w:val="文档结构图 Char"/>
    <w:basedOn w:val="14"/>
    <w:link w:val="5"/>
    <w:semiHidden/>
    <w:qFormat/>
    <w:locked/>
    <w:uiPriority w:val="99"/>
    <w:rPr>
      <w:rFonts w:ascii="宋体" w:hAnsi="Calibri" w:eastAsia="宋体" w:cs="宋体"/>
      <w:kern w:val="2"/>
      <w:sz w:val="16"/>
      <w:szCs w:val="16"/>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收入决算总额</c:v>
                </c:pt>
                <c:pt idx="1">
                  <c:v>支出决算总额</c:v>
                </c:pt>
              </c:strCache>
            </c:strRef>
          </c:cat>
          <c:val>
            <c:numRef>
              <c:f>Sheet1!$B$2:$B$3</c:f>
              <c:numCache>
                <c:formatCode>General</c:formatCode>
                <c:ptCount val="2"/>
                <c:pt idx="0">
                  <c:v>4821.06</c:v>
                </c:pt>
                <c:pt idx="1">
                  <c:v>4761.06</c:v>
                </c:pt>
              </c:numCache>
            </c:numRef>
          </c:val>
        </c:ser>
        <c:ser>
          <c:idx val="1"/>
          <c:order val="1"/>
          <c:tx>
            <c:strRef>
              <c:f>Sheet1!$C$1</c:f>
              <c:strCache>
                <c:ptCount val="1"/>
                <c:pt idx="0">
                  <c:v>2018年</c:v>
                </c:pt>
              </c:strCache>
            </c:strRef>
          </c:tx>
          <c:invertIfNegative val="0"/>
          <c:dLbls>
            <c:numFmt formatCode="#,##0.00_);\(#,##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收入决算总额</c:v>
                </c:pt>
                <c:pt idx="1">
                  <c:v>支出决算总额</c:v>
                </c:pt>
              </c:strCache>
            </c:strRef>
          </c:cat>
          <c:val>
            <c:numRef>
              <c:f>Sheet1!$C$2:$C$3</c:f>
              <c:numCache>
                <c:formatCode>General</c:formatCode>
                <c:ptCount val="2"/>
                <c:pt idx="0">
                  <c:v>10596</c:v>
                </c:pt>
                <c:pt idx="1">
                  <c:v>6408.3</c:v>
                </c:pt>
              </c:numCache>
            </c:numRef>
          </c:val>
        </c:ser>
        <c:dLbls>
          <c:showLegendKey val="0"/>
          <c:showVal val="0"/>
          <c:showCatName val="0"/>
          <c:showSerName val="0"/>
          <c:showPercent val="0"/>
          <c:showBubbleSize val="0"/>
        </c:dLbls>
        <c:gapWidth val="150"/>
        <c:axId val="525898208"/>
        <c:axId val="525895968"/>
      </c:barChart>
      <c:catAx>
        <c:axId val="52589820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25895968"/>
        <c:crosses val="autoZero"/>
        <c:auto val="1"/>
        <c:lblAlgn val="ctr"/>
        <c:lblOffset val="100"/>
        <c:noMultiLvlLbl val="0"/>
      </c:catAx>
      <c:valAx>
        <c:axId val="525895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258982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45eb091-a210-4efa-ba62-97de4e92fce3}"/>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政府性基金预算拨款收入</c:v>
                </c:pt>
              </c:strCache>
            </c:strRef>
          </c:cat>
          <c:val>
            <c:numRef>
              <c:f>Sheet1!$B$2:$B$3</c:f>
              <c:numCache>
                <c:formatCode>General</c:formatCode>
                <c:ptCount val="2"/>
                <c:pt idx="0">
                  <c:v>5292.01</c:v>
                </c:pt>
                <c:pt idx="1">
                  <c:v>5303.99</c:v>
                </c:pt>
              </c:numCache>
            </c:numRef>
          </c:val>
        </c:ser>
        <c:ser>
          <c:idx val="1"/>
          <c:order val="1"/>
          <c:tx>
            <c:strRef>
              <c:f>Sheet1!$C$1</c:f>
              <c:strCache>
                <c:ptCount val="1"/>
                <c:pt idx="0">
                  <c:v>比例</c:v>
                </c:pt>
              </c:strCache>
            </c:strRef>
          </c:tx>
          <c:explosion val="0"/>
          <c:dPt>
            <c:idx val="0"/>
            <c:bubble3D val="0"/>
          </c:dPt>
          <c:dPt>
            <c:idx val="1"/>
            <c:bubble3D val="0"/>
          </c:dPt>
          <c:dLbls>
            <c:delete val="1"/>
          </c:dLbls>
          <c:cat>
            <c:strRef>
              <c:f>Sheet1!$A$2:$A$3</c:f>
              <c:strCache>
                <c:ptCount val="2"/>
                <c:pt idx="0">
                  <c:v>一般公共预算财政拨款收入</c:v>
                </c:pt>
                <c:pt idx="1">
                  <c:v>政府性基金预算拨款收入</c:v>
                </c:pt>
              </c:strCache>
            </c:strRef>
          </c:cat>
          <c:val>
            <c:numRef>
              <c:f>Sheet1!$C$2:$C$3</c:f>
              <c:numCache>
                <c:formatCode>0.00%</c:formatCode>
                <c:ptCount val="2"/>
                <c:pt idx="0">
                  <c:v>0.4994</c:v>
                </c:pt>
                <c:pt idx="1">
                  <c:v>0.5006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64a6ef4-2442-4b3d-a41c-6b77bc4a482c}"/>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支出决算结构图</a:t>
            </a:r>
            <a:endParaRPr lang="zh-CN" altLang="en-US"/>
          </a:p>
        </c:rich>
      </c:tx>
      <c:layout/>
      <c:overlay val="0"/>
    </c:title>
    <c:autoTitleDeleted val="0"/>
    <c:plotArea>
      <c:layout>
        <c:manualLayout>
          <c:layoutTarget val="inner"/>
          <c:xMode val="edge"/>
          <c:yMode val="edge"/>
          <c:x val="0.116062432361832"/>
          <c:y val="0.129710661167354"/>
          <c:w val="0.457407407407407"/>
          <c:h val="0.784126984126984"/>
        </c:manualLayout>
      </c:layout>
      <c:pieChart>
        <c:varyColors val="1"/>
        <c:ser>
          <c:idx val="0"/>
          <c:order val="0"/>
          <c:tx>
            <c:strRef>
              <c:f>Sheet1!$B$1</c:f>
              <c:strCache>
                <c:ptCount val="1"/>
                <c:pt idx="0">
                  <c:v>支出决算结构</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2366.64</c:v>
                </c:pt>
                <c:pt idx="1">
                  <c:v>4041.66</c:v>
                </c:pt>
              </c:numCache>
            </c:numRef>
          </c:val>
        </c:ser>
        <c:ser>
          <c:idx val="1"/>
          <c:order val="1"/>
          <c:tx>
            <c:strRef>
              <c:f>Sheet1!$C$1</c:f>
              <c:strCache>
                <c:ptCount val="1"/>
                <c:pt idx="0">
                  <c:v>比例</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Sheet1!$C$2:$C$3</c:f>
              <c:numCache>
                <c:formatCode>0.00%</c:formatCode>
                <c:ptCount val="2"/>
                <c:pt idx="0">
                  <c:v>0.3693</c:v>
                </c:pt>
                <c:pt idx="1">
                  <c:v>0.6307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3a9108c-3695-454f-9c14-3a29c161a94d}"/>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财政拨款收入决算总额 </c:v>
                </c:pt>
                <c:pt idx="1">
                  <c:v>财政拨款支出决算总额</c:v>
                </c:pt>
              </c:strCache>
            </c:strRef>
          </c:cat>
          <c:val>
            <c:numRef>
              <c:f>Sheet1!$B$2:$B$3</c:f>
              <c:numCache>
                <c:formatCode>General</c:formatCode>
                <c:ptCount val="2"/>
                <c:pt idx="0">
                  <c:v>4821.06</c:v>
                </c:pt>
                <c:pt idx="1">
                  <c:v>4761.06</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财政拨款收入决算总额 </c:v>
                </c:pt>
                <c:pt idx="1">
                  <c:v>财政拨款支出决算总额</c:v>
                </c:pt>
              </c:strCache>
            </c:strRef>
          </c:cat>
          <c:val>
            <c:numRef>
              <c:f>Sheet1!$C$2:$C$3</c:f>
              <c:numCache>
                <c:formatCode>General</c:formatCode>
                <c:ptCount val="2"/>
                <c:pt idx="0">
                  <c:v>10596</c:v>
                </c:pt>
                <c:pt idx="1">
                  <c:v>6408.3</c:v>
                </c:pt>
              </c:numCache>
            </c:numRef>
          </c:val>
        </c:ser>
        <c:dLbls>
          <c:showLegendKey val="0"/>
          <c:showVal val="0"/>
          <c:showCatName val="0"/>
          <c:showSerName val="0"/>
          <c:showPercent val="0"/>
          <c:showBubbleSize val="0"/>
        </c:dLbls>
        <c:gapWidth val="150"/>
        <c:axId val="561216032"/>
        <c:axId val="521719872"/>
      </c:barChart>
      <c:catAx>
        <c:axId val="5612160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21719872"/>
        <c:crosses val="autoZero"/>
        <c:auto val="1"/>
        <c:lblAlgn val="ctr"/>
        <c:lblOffset val="100"/>
        <c:noMultiLvlLbl val="0"/>
      </c:catAx>
      <c:valAx>
        <c:axId val="5217198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12160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a5a5b81-a6e8-469d-8baf-72d3fabb2878}"/>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3406984360348"/>
          <c:y val="0.176790858459766"/>
          <c:w val="0.774419180748474"/>
          <c:h val="0.468165339829759"/>
        </c:manualLayout>
      </c:layout>
      <c:barChart>
        <c:barDir val="col"/>
        <c:grouping val="clustered"/>
        <c:varyColors val="0"/>
        <c:ser>
          <c:idx val="0"/>
          <c:order val="0"/>
          <c:tx>
            <c:strRef>
              <c:f>Sheet1!$B$1</c:f>
              <c:strCache>
                <c:ptCount val="1"/>
                <c:pt idx="0">
                  <c:v>2017年</c:v>
                </c:pt>
              </c:strCache>
            </c:strRef>
          </c:tx>
          <c:invertIfNegative val="0"/>
          <c:dLbls>
            <c:numFmt formatCode="#,##0.00_);\(#,##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社会保障和就业支出</c:v>
                </c:pt>
                <c:pt idx="1">
                  <c:v>城乡社区支出</c:v>
                </c:pt>
                <c:pt idx="2">
                  <c:v>住房保障支出</c:v>
                </c:pt>
              </c:strCache>
            </c:strRef>
          </c:cat>
          <c:val>
            <c:numRef>
              <c:f>Sheet1!$B$2:$B$4</c:f>
              <c:numCache>
                <c:formatCode>General</c:formatCode>
                <c:ptCount val="3"/>
                <c:pt idx="0">
                  <c:v>24.55</c:v>
                </c:pt>
                <c:pt idx="1">
                  <c:v>933.62</c:v>
                </c:pt>
                <c:pt idx="2">
                  <c:v>19.86</c:v>
                </c:pt>
              </c:numCache>
            </c:numRef>
          </c:val>
        </c:ser>
        <c:ser>
          <c:idx val="1"/>
          <c:order val="1"/>
          <c:tx>
            <c:strRef>
              <c:f>Sheet1!$C$1</c:f>
              <c:strCache>
                <c:ptCount val="1"/>
                <c:pt idx="0">
                  <c:v>2018年</c:v>
                </c:pt>
              </c:strCache>
            </c:strRef>
          </c:tx>
          <c:invertIfNegative val="0"/>
          <c:dLbls>
            <c:numFmt formatCode="#,##0.00_);\(#,##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社会保障和就业支出</c:v>
                </c:pt>
                <c:pt idx="1">
                  <c:v>城乡社区支出</c:v>
                </c:pt>
                <c:pt idx="2">
                  <c:v>住房保障支出</c:v>
                </c:pt>
              </c:strCache>
            </c:strRef>
          </c:cat>
          <c:val>
            <c:numRef>
              <c:f>Sheet1!$C$2:$C$4</c:f>
              <c:numCache>
                <c:formatCode>General</c:formatCode>
                <c:ptCount val="3"/>
                <c:pt idx="0">
                  <c:v>45.3</c:v>
                </c:pt>
                <c:pt idx="1">
                  <c:v>974.91</c:v>
                </c:pt>
                <c:pt idx="2">
                  <c:v>28.09</c:v>
                </c:pt>
              </c:numCache>
            </c:numRef>
          </c:val>
        </c:ser>
        <c:dLbls>
          <c:showLegendKey val="0"/>
          <c:showVal val="0"/>
          <c:showCatName val="0"/>
          <c:showSerName val="0"/>
          <c:showPercent val="0"/>
          <c:showBubbleSize val="0"/>
        </c:dLbls>
        <c:gapWidth val="150"/>
        <c:axId val="569980704"/>
        <c:axId val="569981264"/>
      </c:barChart>
      <c:catAx>
        <c:axId val="5699807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9981264"/>
        <c:crosses val="autoZero"/>
        <c:auto val="1"/>
        <c:lblAlgn val="ctr"/>
        <c:lblOffset val="100"/>
        <c:noMultiLvlLbl val="0"/>
      </c:catAx>
      <c:valAx>
        <c:axId val="5699812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9980704"/>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a3117a1-f722-4333-a8d9-49f9c06af5ff}"/>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c:v>
                </c:pt>
              </c:strCache>
            </c:strRef>
          </c:tx>
          <c:explosion val="0"/>
          <c:dPt>
            <c:idx val="0"/>
            <c:bubble3D val="0"/>
          </c:dPt>
          <c:dPt>
            <c:idx val="1"/>
            <c:bubble3D val="0"/>
          </c:dPt>
          <c:dPt>
            <c:idx val="2"/>
            <c:bubble3D val="0"/>
          </c:dPt>
          <c:dLbls>
            <c:dLbl>
              <c:idx val="0"/>
              <c:layout>
                <c:manualLayout>
                  <c:x val="-0.0542687933239114"/>
                  <c:y val="-0.014733158355205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03624559750544"/>
                  <c:y val="0.077404724409448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社会保障和就业（类）支出</c:v>
                </c:pt>
                <c:pt idx="1">
                  <c:v>住房保障支出</c:v>
                </c:pt>
                <c:pt idx="2">
                  <c:v>城乡社区支出</c:v>
                </c:pt>
              </c:strCache>
            </c:strRef>
          </c:cat>
          <c:val>
            <c:numRef>
              <c:f>Sheet1!$B$2:$B$4</c:f>
              <c:numCache>
                <c:formatCode>General</c:formatCode>
                <c:ptCount val="3"/>
                <c:pt idx="0">
                  <c:v>45.3</c:v>
                </c:pt>
                <c:pt idx="1">
                  <c:v>28.09</c:v>
                </c:pt>
                <c:pt idx="2">
                  <c:v>974.91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29452bb-2b3a-424e-af67-e22a152e5bdc}"/>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 </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因公出国（境）经费</c:v>
                </c:pt>
                <c:pt idx="1">
                  <c:v>公务用车购置及运行维护费</c:v>
                </c:pt>
                <c:pt idx="2">
                  <c:v>公务接待费</c:v>
                </c:pt>
              </c:strCache>
            </c:strRef>
          </c:cat>
          <c:val>
            <c:numRef>
              <c:f>Sheet1!$B$2:$B$4</c:f>
              <c:numCache>
                <c:formatCode>General</c:formatCode>
                <c:ptCount val="3"/>
                <c:pt idx="0">
                  <c:v>0</c:v>
                </c:pt>
                <c:pt idx="1">
                  <c:v>0</c:v>
                </c:pt>
                <c:pt idx="2">
                  <c:v>0.84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b495ac9-4d9d-4e69-8493-dc67caff901a}"/>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E4BDB6-A60D-4520-8D63-9101F9A3FBC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58</Pages>
  <Words>4306</Words>
  <Characters>24546</Characters>
  <Lines>204</Lines>
  <Paragraphs>57</Paragraphs>
  <TotalTime>51</TotalTime>
  <ScaleCrop>false</ScaleCrop>
  <LinksUpToDate>false</LinksUpToDate>
  <CharactersWithSpaces>28795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2019-08-20T15:26:00Z</dcterms:created>
  <dc:creator>张彬茜</dc:creator>
  <cp:lastModifiedBy> 回甘</cp:lastModifiedBy>
  <cp:lastPrinted>2019-08-27T17:56:00Z</cp:lastPrinted>
  <dcterms:modified xsi:type="dcterms:W3CDTF">2026-08-19T08:52:50Z</dcterms:modified>
  <dc:title>四川省***</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B71D953F676D467162FE846AD2E4DE43_42</vt:lpwstr>
  </property>
</Properties>
</file>