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FBE99D">
      <w:pPr>
        <w:spacing w:line="600" w:lineRule="exact"/>
        <w:jc w:val="center"/>
        <w:outlineLvl w:val="0"/>
        <w:rPr>
          <w:rFonts w:ascii="方正小标宋简体" w:hAnsi="宋体" w:eastAsia="方正小标宋简体"/>
          <w:color w:val="000000"/>
          <w:sz w:val="72"/>
          <w:szCs w:val="72"/>
        </w:rPr>
      </w:pPr>
      <w:bookmarkStart w:id="120" w:name="_GoBack"/>
      <w:bookmarkEnd w:id="120"/>
      <w:bookmarkStart w:id="0" w:name="_Toc15306267"/>
    </w:p>
    <w:p w14:paraId="1E67E2C1">
      <w:pPr>
        <w:spacing w:line="600" w:lineRule="exact"/>
        <w:jc w:val="center"/>
        <w:outlineLvl w:val="0"/>
        <w:rPr>
          <w:rFonts w:ascii="方正小标宋简体" w:hAnsi="宋体" w:eastAsia="方正小标宋简体"/>
          <w:color w:val="000000"/>
          <w:sz w:val="72"/>
          <w:szCs w:val="72"/>
        </w:rPr>
      </w:pPr>
    </w:p>
    <w:p w14:paraId="2E83D4DB">
      <w:pPr>
        <w:spacing w:line="600" w:lineRule="exact"/>
        <w:jc w:val="center"/>
        <w:outlineLvl w:val="0"/>
        <w:rPr>
          <w:rFonts w:ascii="方正小标宋简体" w:hAnsi="宋体" w:eastAsia="方正小标宋简体"/>
          <w:color w:val="000000"/>
          <w:sz w:val="72"/>
          <w:szCs w:val="72"/>
        </w:rPr>
      </w:pPr>
    </w:p>
    <w:p w14:paraId="706FAB55">
      <w:pPr>
        <w:spacing w:line="600" w:lineRule="exact"/>
        <w:jc w:val="center"/>
        <w:outlineLvl w:val="0"/>
        <w:rPr>
          <w:rFonts w:ascii="方正小标宋简体" w:hAnsi="宋体" w:eastAsia="方正小标宋简体"/>
          <w:color w:val="000000"/>
          <w:sz w:val="52"/>
          <w:szCs w:val="52"/>
        </w:rPr>
      </w:pPr>
    </w:p>
    <w:p w14:paraId="593764DA">
      <w:pPr>
        <w:adjustRightInd w:val="0"/>
        <w:snapToGrid w:val="0"/>
        <w:spacing w:line="0" w:lineRule="atLeast"/>
        <w:jc w:val="center"/>
        <w:outlineLvl w:val="0"/>
        <w:rPr>
          <w:rFonts w:ascii="方正小标宋简体" w:hAnsi="宋体" w:eastAsia="方正小标宋简体"/>
          <w:color w:val="000000"/>
          <w:sz w:val="52"/>
          <w:szCs w:val="52"/>
        </w:rPr>
      </w:pPr>
      <w:bookmarkStart w:id="1" w:name="_Toc15396597"/>
      <w:bookmarkStart w:id="2" w:name="_Toc49849535"/>
      <w:bookmarkStart w:id="3" w:name="_Toc15396475"/>
      <w:bookmarkStart w:id="4" w:name="_Toc15377425"/>
      <w:bookmarkStart w:id="5" w:name="_Toc15378441"/>
      <w:bookmarkStart w:id="6" w:name="_Toc15377193"/>
      <w:r>
        <w:rPr>
          <w:rFonts w:ascii="黑体" w:hAnsi="黑体" w:eastAsia="黑体"/>
          <w:color w:val="000000"/>
          <w:sz w:val="52"/>
          <w:szCs w:val="52"/>
        </w:rPr>
        <w:t>201</w:t>
      </w:r>
      <w:r>
        <w:rPr>
          <w:rFonts w:hint="eastAsia" w:ascii="黑体" w:hAnsi="黑体" w:eastAsia="黑体"/>
          <w:color w:val="000000"/>
          <w:sz w:val="52"/>
          <w:szCs w:val="52"/>
        </w:rPr>
        <w:t>9</w:t>
      </w:r>
      <w:r>
        <w:rPr>
          <w:rFonts w:hint="eastAsia" w:ascii="方正小标宋简体" w:hAnsi="宋体" w:eastAsia="方正小标宋简体"/>
          <w:color w:val="000000"/>
          <w:sz w:val="52"/>
          <w:szCs w:val="52"/>
        </w:rPr>
        <w:t>年度</w:t>
      </w:r>
      <w:bookmarkEnd w:id="1"/>
      <w:bookmarkEnd w:id="2"/>
      <w:bookmarkEnd w:id="3"/>
      <w:bookmarkEnd w:id="4"/>
      <w:bookmarkEnd w:id="5"/>
      <w:bookmarkEnd w:id="6"/>
    </w:p>
    <w:p w14:paraId="15C114EA">
      <w:pPr>
        <w:adjustRightInd w:val="0"/>
        <w:snapToGrid w:val="0"/>
        <w:spacing w:line="0" w:lineRule="atLeast"/>
        <w:jc w:val="center"/>
        <w:outlineLvl w:val="0"/>
        <w:rPr>
          <w:rFonts w:ascii="方正小标宋简体" w:hAnsi="宋体" w:eastAsia="方正小标宋简体"/>
          <w:color w:val="000000"/>
          <w:sz w:val="52"/>
          <w:szCs w:val="52"/>
        </w:rPr>
      </w:pPr>
      <w:bookmarkStart w:id="7" w:name="_Toc15396598"/>
      <w:bookmarkStart w:id="8" w:name="_Toc15377426"/>
      <w:bookmarkStart w:id="9" w:name="_Toc15377194"/>
      <w:bookmarkStart w:id="10" w:name="_Toc49849536"/>
      <w:bookmarkStart w:id="11" w:name="_Toc15396476"/>
      <w:bookmarkStart w:id="12" w:name="_Toc15378442"/>
      <w:r>
        <w:rPr>
          <w:rFonts w:hint="eastAsia" w:ascii="方正小标宋简体" w:hAnsi="宋体" w:eastAsia="方正小标宋简体"/>
          <w:color w:val="000000"/>
          <w:sz w:val="52"/>
          <w:szCs w:val="52"/>
        </w:rPr>
        <w:t>四川省</w:t>
      </w:r>
      <w:bookmarkEnd w:id="0"/>
      <w:bookmarkStart w:id="13" w:name="_Toc15306268"/>
      <w:r>
        <w:rPr>
          <w:rFonts w:hint="eastAsia" w:ascii="方正小标宋简体" w:hAnsi="宋体" w:eastAsia="方正小标宋简体"/>
          <w:color w:val="000000"/>
          <w:sz w:val="52"/>
          <w:szCs w:val="52"/>
        </w:rPr>
        <w:t>米易生态环境局决算</w:t>
      </w:r>
      <w:bookmarkEnd w:id="7"/>
      <w:bookmarkEnd w:id="8"/>
      <w:bookmarkEnd w:id="9"/>
      <w:bookmarkEnd w:id="10"/>
      <w:bookmarkEnd w:id="11"/>
      <w:bookmarkEnd w:id="12"/>
      <w:bookmarkEnd w:id="13"/>
    </w:p>
    <w:p w14:paraId="4B30ABD6">
      <w:pPr>
        <w:adjustRightInd w:val="0"/>
        <w:snapToGrid w:val="0"/>
        <w:spacing w:line="0" w:lineRule="atLeast"/>
        <w:jc w:val="center"/>
        <w:outlineLvl w:val="0"/>
        <w:rPr>
          <w:rFonts w:ascii="方正小标宋简体" w:hAnsi="宋体" w:eastAsia="方正小标宋简体"/>
          <w:color w:val="000000"/>
          <w:sz w:val="52"/>
          <w:szCs w:val="52"/>
        </w:rPr>
      </w:pPr>
      <w:bookmarkStart w:id="14" w:name="_Toc49849537"/>
      <w:r>
        <w:rPr>
          <w:rFonts w:hint="eastAsia" w:ascii="方正小标宋简体" w:hAnsi="宋体" w:eastAsia="方正小标宋简体"/>
          <w:color w:val="000000"/>
          <w:sz w:val="52"/>
          <w:szCs w:val="52"/>
        </w:rPr>
        <w:t>公开说明</w:t>
      </w:r>
      <w:bookmarkEnd w:id="14"/>
    </w:p>
    <w:p w14:paraId="73677F58">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662454E6">
      <w:pPr>
        <w:widowControl/>
        <w:jc w:val="center"/>
        <w:rPr>
          <w:rFonts w:ascii="黑体" w:hAnsi="黑体" w:eastAsia="黑体" w:cstheme="minorBidi"/>
          <w:sz w:val="28"/>
          <w:szCs w:val="28"/>
        </w:rPr>
      </w:pPr>
    </w:p>
    <w:p w14:paraId="0A2313A3">
      <w:pPr>
        <w:pStyle w:val="10"/>
      </w:pPr>
      <w:r>
        <w:rPr>
          <w:rFonts w:hint="eastAsia"/>
        </w:rPr>
        <w:t>公开时间：2020年9月3日</w:t>
      </w:r>
    </w:p>
    <w:sdt>
      <w:sdtPr>
        <w:rPr>
          <w:rFonts w:ascii="Times New Roman" w:hAnsi="Times New Roman" w:eastAsia="宋体" w:cs="Times New Roman"/>
          <w:b w:val="0"/>
          <w:bCs w:val="0"/>
          <w:color w:val="auto"/>
          <w:kern w:val="2"/>
          <w:sz w:val="21"/>
          <w:szCs w:val="24"/>
          <w:lang w:val="zh-CN"/>
        </w:rPr>
        <w:id w:val="7945927"/>
        <w:docPartObj>
          <w:docPartGallery w:val="Table of Contents"/>
          <w:docPartUnique/>
        </w:docPartObj>
      </w:sdtPr>
      <w:sdtEndPr>
        <w:rPr>
          <w:rFonts w:ascii="Times New Roman" w:hAnsi="Times New Roman" w:eastAsia="宋体" w:cs="Times New Roman"/>
          <w:b w:val="0"/>
          <w:bCs w:val="0"/>
          <w:color w:val="auto"/>
          <w:kern w:val="2"/>
          <w:sz w:val="21"/>
          <w:szCs w:val="24"/>
          <w:lang w:val="en-US"/>
        </w:rPr>
      </w:sdtEndPr>
      <w:sdtContent>
        <w:p w14:paraId="3F16806A">
          <w:pPr>
            <w:pStyle w:val="29"/>
          </w:pPr>
          <w:r>
            <w:rPr>
              <w:lang w:val="zh-CN"/>
            </w:rPr>
            <w:t>目录</w:t>
          </w:r>
        </w:p>
        <w:p w14:paraId="381C0DD7">
          <w:pPr>
            <w:pStyle w:val="10"/>
            <w:rPr>
              <w:rFonts w:asciiTheme="minorHAnsi" w:hAnsiTheme="minorHAnsi" w:eastAsiaTheme="minorEastAsia" w:cstheme="minorBidi"/>
              <w:sz w:val="21"/>
              <w:szCs w:val="22"/>
            </w:rPr>
          </w:pPr>
          <w:r>
            <w:fldChar w:fldCharType="begin"/>
          </w:r>
          <w:r>
            <w:instrText xml:space="preserve"> TOC \o "1-3" \h \z \u </w:instrText>
          </w:r>
          <w:r>
            <w:fldChar w:fldCharType="separate"/>
          </w:r>
          <w:r>
            <w:fldChar w:fldCharType="begin"/>
          </w:r>
          <w:r>
            <w:instrText xml:space="preserve"> HYPERLINK \l "_Toc49849535" </w:instrText>
          </w:r>
          <w:r>
            <w:fldChar w:fldCharType="separate"/>
          </w:r>
          <w:r>
            <w:rPr>
              <w:rStyle w:val="15"/>
              <w:rFonts w:ascii="黑体" w:hAnsi="黑体" w:eastAsia="黑体"/>
            </w:rPr>
            <w:t>2019</w:t>
          </w:r>
          <w:r>
            <w:rPr>
              <w:rStyle w:val="15"/>
              <w:rFonts w:hint="eastAsia" w:ascii="方正小标宋简体" w:hAnsi="宋体" w:eastAsia="方正小标宋简体"/>
            </w:rPr>
            <w:t>年度</w:t>
          </w:r>
          <w:r>
            <w:tab/>
          </w:r>
          <w:r>
            <w:fldChar w:fldCharType="begin"/>
          </w:r>
          <w:r>
            <w:instrText xml:space="preserve"> PAGEREF _Toc49849535 \h </w:instrText>
          </w:r>
          <w:r>
            <w:fldChar w:fldCharType="separate"/>
          </w:r>
          <w:r>
            <w:t>1</w:t>
          </w:r>
          <w:r>
            <w:fldChar w:fldCharType="end"/>
          </w:r>
          <w:r>
            <w:fldChar w:fldCharType="end"/>
          </w:r>
        </w:p>
        <w:p w14:paraId="22A865DB">
          <w:pPr>
            <w:pStyle w:val="10"/>
            <w:rPr>
              <w:rFonts w:asciiTheme="minorHAnsi" w:hAnsiTheme="minorHAnsi" w:eastAsiaTheme="minorEastAsia" w:cstheme="minorBidi"/>
              <w:sz w:val="21"/>
              <w:szCs w:val="22"/>
            </w:rPr>
          </w:pPr>
          <w:r>
            <w:fldChar w:fldCharType="begin"/>
          </w:r>
          <w:r>
            <w:instrText xml:space="preserve"> HYPERLINK \l "_Toc49849536" </w:instrText>
          </w:r>
          <w:r>
            <w:fldChar w:fldCharType="separate"/>
          </w:r>
          <w:r>
            <w:rPr>
              <w:rStyle w:val="15"/>
              <w:rFonts w:hint="eastAsia" w:ascii="方正小标宋简体" w:hAnsi="宋体" w:eastAsia="方正小标宋简体"/>
            </w:rPr>
            <w:t>四川省米易生态环境局决算</w:t>
          </w:r>
          <w:r>
            <w:tab/>
          </w:r>
          <w:r>
            <w:fldChar w:fldCharType="begin"/>
          </w:r>
          <w:r>
            <w:instrText xml:space="preserve"> PAGEREF _Toc49849536 \h </w:instrText>
          </w:r>
          <w:r>
            <w:fldChar w:fldCharType="separate"/>
          </w:r>
          <w:r>
            <w:t>1</w:t>
          </w:r>
          <w:r>
            <w:fldChar w:fldCharType="end"/>
          </w:r>
          <w:r>
            <w:fldChar w:fldCharType="end"/>
          </w:r>
        </w:p>
        <w:p w14:paraId="14BAC1D0">
          <w:pPr>
            <w:pStyle w:val="10"/>
            <w:rPr>
              <w:rFonts w:asciiTheme="minorHAnsi" w:hAnsiTheme="minorHAnsi" w:eastAsiaTheme="minorEastAsia" w:cstheme="minorBidi"/>
              <w:sz w:val="21"/>
              <w:szCs w:val="22"/>
            </w:rPr>
          </w:pPr>
          <w:r>
            <w:fldChar w:fldCharType="begin"/>
          </w:r>
          <w:r>
            <w:instrText xml:space="preserve"> HYPERLINK \l "_Toc49849537" </w:instrText>
          </w:r>
          <w:r>
            <w:fldChar w:fldCharType="separate"/>
          </w:r>
          <w:r>
            <w:rPr>
              <w:rStyle w:val="15"/>
              <w:rFonts w:hint="eastAsia" w:ascii="方正小标宋简体" w:hAnsi="宋体" w:eastAsia="方正小标宋简体"/>
            </w:rPr>
            <w:t>公开说明</w:t>
          </w:r>
          <w:r>
            <w:tab/>
          </w:r>
          <w:r>
            <w:fldChar w:fldCharType="begin"/>
          </w:r>
          <w:r>
            <w:instrText xml:space="preserve"> PAGEREF _Toc49849537 \h </w:instrText>
          </w:r>
          <w:r>
            <w:fldChar w:fldCharType="separate"/>
          </w:r>
          <w:r>
            <w:t>1</w:t>
          </w:r>
          <w:r>
            <w:fldChar w:fldCharType="end"/>
          </w:r>
          <w:r>
            <w:fldChar w:fldCharType="end"/>
          </w:r>
        </w:p>
        <w:p w14:paraId="22FF0310">
          <w:pPr>
            <w:pStyle w:val="10"/>
            <w:rPr>
              <w:rFonts w:asciiTheme="minorHAnsi" w:hAnsiTheme="minorHAnsi" w:eastAsiaTheme="minorEastAsia" w:cstheme="minorBidi"/>
              <w:sz w:val="21"/>
              <w:szCs w:val="22"/>
            </w:rPr>
          </w:pPr>
          <w:r>
            <w:fldChar w:fldCharType="begin"/>
          </w:r>
          <w:r>
            <w:instrText xml:space="preserve"> HYPERLINK \l "_Toc49849538" </w:instrText>
          </w:r>
          <w:r>
            <w:fldChar w:fldCharType="separate"/>
          </w:r>
          <w:r>
            <w:rPr>
              <w:rStyle w:val="15"/>
              <w:rFonts w:hint="eastAsia" w:ascii="黑体" w:hAnsi="黑体" w:eastAsia="黑体"/>
            </w:rPr>
            <w:t>第一部分</w:t>
          </w:r>
          <w:r>
            <w:rPr>
              <w:rStyle w:val="15"/>
              <w:rFonts w:ascii="黑体" w:hAnsi="黑体" w:eastAsia="黑体"/>
            </w:rPr>
            <w:t xml:space="preserve"> </w:t>
          </w:r>
          <w:r>
            <w:rPr>
              <w:rStyle w:val="15"/>
              <w:rFonts w:hint="eastAsia" w:ascii="黑体" w:hAnsi="黑体" w:eastAsia="黑体"/>
            </w:rPr>
            <w:t>部门概况</w:t>
          </w:r>
          <w:r>
            <w:tab/>
          </w:r>
          <w:r>
            <w:fldChar w:fldCharType="begin"/>
          </w:r>
          <w:r>
            <w:instrText xml:space="preserve"> PAGEREF _Toc49849538 \h </w:instrText>
          </w:r>
          <w:r>
            <w:fldChar w:fldCharType="separate"/>
          </w:r>
          <w:r>
            <w:t>4</w:t>
          </w:r>
          <w:r>
            <w:fldChar w:fldCharType="end"/>
          </w:r>
          <w:r>
            <w:fldChar w:fldCharType="end"/>
          </w:r>
        </w:p>
        <w:p w14:paraId="116D8E32">
          <w:pPr>
            <w:pStyle w:val="11"/>
            <w:rPr>
              <w:rFonts w:asciiTheme="minorHAnsi" w:hAnsiTheme="minorHAnsi" w:eastAsiaTheme="minorEastAsia" w:cstheme="minorBidi"/>
              <w:szCs w:val="22"/>
            </w:rPr>
          </w:pPr>
          <w:r>
            <w:fldChar w:fldCharType="begin"/>
          </w:r>
          <w:r>
            <w:instrText xml:space="preserve"> HYPERLINK \l "_Toc49849539" </w:instrText>
          </w:r>
          <w:r>
            <w:fldChar w:fldCharType="separate"/>
          </w:r>
          <w:r>
            <w:rPr>
              <w:rStyle w:val="15"/>
              <w:rFonts w:hint="eastAsia" w:ascii="黑体" w:hAnsi="黑体" w:eastAsia="黑体"/>
            </w:rPr>
            <w:t>一、基本职能及主要工作</w:t>
          </w:r>
          <w:r>
            <w:tab/>
          </w:r>
          <w:r>
            <w:fldChar w:fldCharType="begin"/>
          </w:r>
          <w:r>
            <w:instrText xml:space="preserve"> PAGEREF _Toc49849539 \h </w:instrText>
          </w:r>
          <w:r>
            <w:fldChar w:fldCharType="separate"/>
          </w:r>
          <w:r>
            <w:t>4</w:t>
          </w:r>
          <w:r>
            <w:fldChar w:fldCharType="end"/>
          </w:r>
          <w:r>
            <w:fldChar w:fldCharType="end"/>
          </w:r>
        </w:p>
        <w:p w14:paraId="4646398A">
          <w:pPr>
            <w:pStyle w:val="6"/>
            <w:rPr>
              <w:rFonts w:asciiTheme="minorHAnsi" w:hAnsiTheme="minorHAnsi" w:eastAsiaTheme="minorEastAsia" w:cstheme="minorBidi"/>
              <w:szCs w:val="22"/>
            </w:rPr>
          </w:pPr>
          <w:r>
            <w:fldChar w:fldCharType="begin"/>
          </w:r>
          <w:r>
            <w:instrText xml:space="preserve"> HYPERLINK \l "_Toc49849540" </w:instrText>
          </w:r>
          <w:r>
            <w:fldChar w:fldCharType="separate"/>
          </w:r>
          <w:r>
            <w:rPr>
              <w:rStyle w:val="15"/>
              <w:rFonts w:hint="eastAsia" w:ascii="楷体_GB2312" w:hAnsi="仿宋" w:eastAsia="楷体_GB2312"/>
              <w:bCs/>
            </w:rPr>
            <w:t>（一）主要职能</w:t>
          </w:r>
          <w:r>
            <w:tab/>
          </w:r>
          <w:r>
            <w:fldChar w:fldCharType="begin"/>
          </w:r>
          <w:r>
            <w:instrText xml:space="preserve"> PAGEREF _Toc49849540 \h </w:instrText>
          </w:r>
          <w:r>
            <w:fldChar w:fldCharType="separate"/>
          </w:r>
          <w:r>
            <w:t>4</w:t>
          </w:r>
          <w:r>
            <w:fldChar w:fldCharType="end"/>
          </w:r>
          <w:r>
            <w:fldChar w:fldCharType="end"/>
          </w:r>
        </w:p>
        <w:p w14:paraId="7F3DA3A0">
          <w:pPr>
            <w:pStyle w:val="11"/>
            <w:rPr>
              <w:rFonts w:asciiTheme="minorHAnsi" w:hAnsiTheme="minorHAnsi" w:eastAsiaTheme="minorEastAsia" w:cstheme="minorBidi"/>
              <w:szCs w:val="22"/>
            </w:rPr>
          </w:pPr>
          <w:r>
            <w:fldChar w:fldCharType="begin"/>
          </w:r>
          <w:r>
            <w:instrText xml:space="preserve"> HYPERLINK \l "_Toc49849541" </w:instrText>
          </w:r>
          <w:r>
            <w:fldChar w:fldCharType="separate"/>
          </w:r>
          <w:r>
            <w:rPr>
              <w:rStyle w:val="15"/>
              <w:rFonts w:hint="eastAsia" w:ascii="楷体_GB2312" w:eastAsia="楷体_GB2312"/>
            </w:rPr>
            <w:t>（二）</w:t>
          </w:r>
          <w:r>
            <w:rPr>
              <w:rStyle w:val="15"/>
              <w:rFonts w:ascii="楷体_GB2312" w:eastAsia="楷体_GB2312"/>
            </w:rPr>
            <w:t>2019</w:t>
          </w:r>
          <w:r>
            <w:rPr>
              <w:rStyle w:val="15"/>
              <w:rFonts w:hint="eastAsia" w:ascii="楷体_GB2312" w:eastAsia="楷体_GB2312"/>
            </w:rPr>
            <w:t>年度重点工作完成情况</w:t>
          </w:r>
          <w:r>
            <w:tab/>
          </w:r>
          <w:r>
            <w:fldChar w:fldCharType="begin"/>
          </w:r>
          <w:r>
            <w:instrText xml:space="preserve"> PAGEREF _Toc49849541 \h </w:instrText>
          </w:r>
          <w:r>
            <w:fldChar w:fldCharType="separate"/>
          </w:r>
          <w:r>
            <w:t>7</w:t>
          </w:r>
          <w:r>
            <w:fldChar w:fldCharType="end"/>
          </w:r>
          <w:r>
            <w:fldChar w:fldCharType="end"/>
          </w:r>
        </w:p>
        <w:p w14:paraId="574BE1BC">
          <w:pPr>
            <w:pStyle w:val="11"/>
            <w:rPr>
              <w:rFonts w:asciiTheme="minorHAnsi" w:hAnsiTheme="minorHAnsi" w:eastAsiaTheme="minorEastAsia" w:cstheme="minorBidi"/>
              <w:szCs w:val="22"/>
            </w:rPr>
          </w:pPr>
          <w:r>
            <w:fldChar w:fldCharType="begin"/>
          </w:r>
          <w:r>
            <w:instrText xml:space="preserve"> HYPERLINK \l "_Toc49849542" </w:instrText>
          </w:r>
          <w:r>
            <w:fldChar w:fldCharType="separate"/>
          </w:r>
          <w:r>
            <w:rPr>
              <w:rStyle w:val="15"/>
              <w:rFonts w:hint="eastAsia" w:ascii="黑体" w:eastAsia="黑体"/>
            </w:rPr>
            <w:t>二、</w:t>
          </w:r>
          <w:r>
            <w:rPr>
              <w:rStyle w:val="15"/>
              <w:rFonts w:hint="eastAsia" w:ascii="黑体" w:hAnsi="黑体" w:eastAsia="黑体"/>
            </w:rPr>
            <w:t>机构设置</w:t>
          </w:r>
          <w:r>
            <w:tab/>
          </w:r>
          <w:r>
            <w:fldChar w:fldCharType="begin"/>
          </w:r>
          <w:r>
            <w:instrText xml:space="preserve"> PAGEREF _Toc49849542 \h </w:instrText>
          </w:r>
          <w:r>
            <w:fldChar w:fldCharType="separate"/>
          </w:r>
          <w:r>
            <w:t>10</w:t>
          </w:r>
          <w:r>
            <w:fldChar w:fldCharType="end"/>
          </w:r>
          <w:r>
            <w:fldChar w:fldCharType="end"/>
          </w:r>
        </w:p>
        <w:p w14:paraId="62B52642">
          <w:pPr>
            <w:pStyle w:val="10"/>
            <w:rPr>
              <w:rFonts w:asciiTheme="minorHAnsi" w:hAnsiTheme="minorHAnsi" w:eastAsiaTheme="minorEastAsia" w:cstheme="minorBidi"/>
              <w:sz w:val="21"/>
              <w:szCs w:val="22"/>
            </w:rPr>
          </w:pPr>
          <w:r>
            <w:fldChar w:fldCharType="begin"/>
          </w:r>
          <w:r>
            <w:instrText xml:space="preserve"> HYPERLINK \l "_Toc49849543" </w:instrText>
          </w:r>
          <w:r>
            <w:fldChar w:fldCharType="separate"/>
          </w:r>
          <w:r>
            <w:rPr>
              <w:rStyle w:val="15"/>
              <w:rFonts w:hint="eastAsia" w:ascii="黑体" w:hAnsi="黑体" w:eastAsia="黑体"/>
            </w:rPr>
            <w:t>第二部分</w:t>
          </w:r>
          <w:r>
            <w:rPr>
              <w:rStyle w:val="15"/>
              <w:rFonts w:ascii="黑体" w:hAnsi="黑体" w:eastAsia="黑体"/>
            </w:rPr>
            <w:t xml:space="preserve"> 2019</w:t>
          </w:r>
          <w:r>
            <w:rPr>
              <w:rStyle w:val="15"/>
              <w:rFonts w:hint="eastAsia" w:ascii="黑体" w:hAnsi="黑体" w:eastAsia="黑体"/>
            </w:rPr>
            <w:t>年度部门决算情况说明</w:t>
          </w:r>
          <w:r>
            <w:tab/>
          </w:r>
          <w:r>
            <w:fldChar w:fldCharType="begin"/>
          </w:r>
          <w:r>
            <w:instrText xml:space="preserve"> PAGEREF _Toc49849543 \h </w:instrText>
          </w:r>
          <w:r>
            <w:fldChar w:fldCharType="separate"/>
          </w:r>
          <w:r>
            <w:t>11</w:t>
          </w:r>
          <w:r>
            <w:fldChar w:fldCharType="end"/>
          </w:r>
          <w:r>
            <w:fldChar w:fldCharType="end"/>
          </w:r>
        </w:p>
        <w:p w14:paraId="6FA3499D">
          <w:pPr>
            <w:pStyle w:val="11"/>
            <w:rPr>
              <w:rFonts w:asciiTheme="minorHAnsi" w:hAnsiTheme="minorHAnsi" w:eastAsiaTheme="minorEastAsia" w:cstheme="minorBidi"/>
              <w:szCs w:val="22"/>
            </w:rPr>
          </w:pPr>
          <w:r>
            <w:fldChar w:fldCharType="begin"/>
          </w:r>
          <w:r>
            <w:instrText xml:space="preserve"> HYPERLINK \l "_Toc49849544" </w:instrText>
          </w:r>
          <w:r>
            <w:fldChar w:fldCharType="separate"/>
          </w:r>
          <w:r>
            <w:rPr>
              <w:rStyle w:val="15"/>
              <w:rFonts w:hint="eastAsia" w:ascii="黑体" w:hAnsi="黑体" w:eastAsia="黑体"/>
            </w:rPr>
            <w:t>一、收</w:t>
          </w:r>
          <w:r>
            <w:rPr>
              <w:rStyle w:val="15"/>
              <w:rFonts w:hint="eastAsia" w:ascii="黑体" w:hAnsi="黑体" w:eastAsia="黑体" w:cstheme="majorBidi"/>
              <w:bCs/>
            </w:rPr>
            <w:t>入支出决算总体情况说明</w:t>
          </w:r>
          <w:r>
            <w:tab/>
          </w:r>
          <w:r>
            <w:fldChar w:fldCharType="begin"/>
          </w:r>
          <w:r>
            <w:instrText xml:space="preserve"> PAGEREF _Toc49849544 \h </w:instrText>
          </w:r>
          <w:r>
            <w:fldChar w:fldCharType="separate"/>
          </w:r>
          <w:r>
            <w:t>11</w:t>
          </w:r>
          <w:r>
            <w:fldChar w:fldCharType="end"/>
          </w:r>
          <w:r>
            <w:fldChar w:fldCharType="end"/>
          </w:r>
        </w:p>
        <w:p w14:paraId="5D67C591">
          <w:pPr>
            <w:pStyle w:val="11"/>
            <w:rPr>
              <w:rFonts w:asciiTheme="minorHAnsi" w:hAnsiTheme="minorHAnsi" w:eastAsiaTheme="minorEastAsia" w:cstheme="minorBidi"/>
              <w:szCs w:val="22"/>
            </w:rPr>
          </w:pPr>
          <w:r>
            <w:fldChar w:fldCharType="begin"/>
          </w:r>
          <w:r>
            <w:instrText xml:space="preserve"> HYPERLINK \l "_Toc49849545" </w:instrText>
          </w:r>
          <w:r>
            <w:fldChar w:fldCharType="separate"/>
          </w:r>
          <w:r>
            <w:rPr>
              <w:rStyle w:val="15"/>
              <w:rFonts w:hint="eastAsia" w:ascii="黑体" w:hAnsi="黑体" w:eastAsia="黑体"/>
            </w:rPr>
            <w:t>二、收入决算情况说明</w:t>
          </w:r>
          <w:r>
            <w:tab/>
          </w:r>
          <w:r>
            <w:fldChar w:fldCharType="begin"/>
          </w:r>
          <w:r>
            <w:instrText xml:space="preserve"> PAGEREF _Toc49849545 \h </w:instrText>
          </w:r>
          <w:r>
            <w:fldChar w:fldCharType="separate"/>
          </w:r>
          <w:r>
            <w:t>12</w:t>
          </w:r>
          <w:r>
            <w:fldChar w:fldCharType="end"/>
          </w:r>
          <w:r>
            <w:fldChar w:fldCharType="end"/>
          </w:r>
        </w:p>
        <w:p w14:paraId="7611255D">
          <w:pPr>
            <w:pStyle w:val="11"/>
            <w:rPr>
              <w:rFonts w:asciiTheme="minorHAnsi" w:hAnsiTheme="minorHAnsi" w:eastAsiaTheme="minorEastAsia" w:cstheme="minorBidi"/>
              <w:szCs w:val="22"/>
            </w:rPr>
          </w:pPr>
          <w:r>
            <w:fldChar w:fldCharType="begin"/>
          </w:r>
          <w:r>
            <w:instrText xml:space="preserve"> HYPERLINK \l "_Toc49849546" </w:instrText>
          </w:r>
          <w:r>
            <w:fldChar w:fldCharType="separate"/>
          </w:r>
          <w:r>
            <w:rPr>
              <w:rStyle w:val="15"/>
              <w:rFonts w:hint="eastAsia" w:ascii="黑体" w:hAnsi="黑体" w:eastAsia="黑体"/>
            </w:rPr>
            <w:t>三、支出决算情况说明</w:t>
          </w:r>
          <w:r>
            <w:tab/>
          </w:r>
          <w:r>
            <w:fldChar w:fldCharType="begin"/>
          </w:r>
          <w:r>
            <w:instrText xml:space="preserve"> PAGEREF _Toc49849546 \h </w:instrText>
          </w:r>
          <w:r>
            <w:fldChar w:fldCharType="separate"/>
          </w:r>
          <w:r>
            <w:t>12</w:t>
          </w:r>
          <w:r>
            <w:fldChar w:fldCharType="end"/>
          </w:r>
          <w:r>
            <w:fldChar w:fldCharType="end"/>
          </w:r>
        </w:p>
        <w:p w14:paraId="1216C024">
          <w:pPr>
            <w:pStyle w:val="11"/>
            <w:rPr>
              <w:rFonts w:asciiTheme="minorHAnsi" w:hAnsiTheme="minorHAnsi" w:eastAsiaTheme="minorEastAsia" w:cstheme="minorBidi"/>
              <w:szCs w:val="22"/>
            </w:rPr>
          </w:pPr>
          <w:r>
            <w:fldChar w:fldCharType="begin"/>
          </w:r>
          <w:r>
            <w:instrText xml:space="preserve"> HYPERLINK \l "_Toc49849547" </w:instrText>
          </w:r>
          <w:r>
            <w:fldChar w:fldCharType="separate"/>
          </w:r>
          <w:r>
            <w:rPr>
              <w:rStyle w:val="15"/>
              <w:rFonts w:hint="eastAsia" w:ascii="黑体" w:hAnsi="黑体" w:eastAsia="黑体"/>
            </w:rPr>
            <w:t>四、财政拨款收入支出决算总体情况说明</w:t>
          </w:r>
          <w:r>
            <w:tab/>
          </w:r>
          <w:r>
            <w:fldChar w:fldCharType="begin"/>
          </w:r>
          <w:r>
            <w:instrText xml:space="preserve"> PAGEREF _Toc49849547 \h </w:instrText>
          </w:r>
          <w:r>
            <w:fldChar w:fldCharType="separate"/>
          </w:r>
          <w:r>
            <w:t>13</w:t>
          </w:r>
          <w:r>
            <w:fldChar w:fldCharType="end"/>
          </w:r>
          <w:r>
            <w:fldChar w:fldCharType="end"/>
          </w:r>
        </w:p>
        <w:p w14:paraId="14573F28">
          <w:pPr>
            <w:pStyle w:val="11"/>
            <w:rPr>
              <w:rFonts w:asciiTheme="minorHAnsi" w:hAnsiTheme="minorHAnsi" w:eastAsiaTheme="minorEastAsia" w:cstheme="minorBidi"/>
              <w:szCs w:val="22"/>
            </w:rPr>
          </w:pPr>
          <w:r>
            <w:fldChar w:fldCharType="begin"/>
          </w:r>
          <w:r>
            <w:instrText xml:space="preserve"> HYPERLINK \l "_Toc49849548" </w:instrText>
          </w:r>
          <w:r>
            <w:fldChar w:fldCharType="separate"/>
          </w:r>
          <w:r>
            <w:rPr>
              <w:rStyle w:val="15"/>
              <w:rFonts w:hint="eastAsia" w:ascii="黑体" w:hAnsi="黑体" w:eastAsia="黑体"/>
            </w:rPr>
            <w:t>五、</w:t>
          </w:r>
          <w:r>
            <w:rPr>
              <w:rStyle w:val="15"/>
              <w:rFonts w:hint="eastAsia" w:ascii="黑体" w:hAnsi="黑体" w:eastAsia="黑体"/>
              <w:b/>
            </w:rPr>
            <w:t>一</w:t>
          </w:r>
          <w:r>
            <w:rPr>
              <w:rStyle w:val="15"/>
              <w:rFonts w:hint="eastAsia" w:ascii="黑体" w:hAnsi="黑体" w:eastAsia="黑体" w:cstheme="majorBidi"/>
              <w:bCs/>
            </w:rPr>
            <w:t>般公共预算财政拨款支出决算情况说明</w:t>
          </w:r>
          <w:r>
            <w:tab/>
          </w:r>
          <w:r>
            <w:fldChar w:fldCharType="begin"/>
          </w:r>
          <w:r>
            <w:instrText xml:space="preserve"> PAGEREF _Toc49849548 \h </w:instrText>
          </w:r>
          <w:r>
            <w:fldChar w:fldCharType="separate"/>
          </w:r>
          <w:r>
            <w:t>13</w:t>
          </w:r>
          <w:r>
            <w:fldChar w:fldCharType="end"/>
          </w:r>
          <w:r>
            <w:fldChar w:fldCharType="end"/>
          </w:r>
        </w:p>
        <w:p w14:paraId="5285C368">
          <w:pPr>
            <w:pStyle w:val="6"/>
            <w:rPr>
              <w:rFonts w:asciiTheme="minorHAnsi" w:hAnsiTheme="minorHAnsi" w:eastAsiaTheme="minorEastAsia" w:cstheme="minorBidi"/>
              <w:szCs w:val="22"/>
            </w:rPr>
          </w:pPr>
          <w:r>
            <w:fldChar w:fldCharType="begin"/>
          </w:r>
          <w:r>
            <w:instrText xml:space="preserve"> HYPERLINK \l "_Toc49849549" </w:instrText>
          </w:r>
          <w:r>
            <w:fldChar w:fldCharType="separate"/>
          </w:r>
          <w:r>
            <w:rPr>
              <w:rStyle w:val="15"/>
              <w:rFonts w:hint="eastAsia" w:ascii="楷体_GB2312" w:hAnsi="仿宋" w:eastAsia="楷体_GB2312"/>
            </w:rPr>
            <w:t>（一）一般公共预算财政拨款支出决算总体情况</w:t>
          </w:r>
          <w:r>
            <w:tab/>
          </w:r>
          <w:r>
            <w:fldChar w:fldCharType="begin"/>
          </w:r>
          <w:r>
            <w:instrText xml:space="preserve"> PAGEREF _Toc49849549 \h </w:instrText>
          </w:r>
          <w:r>
            <w:fldChar w:fldCharType="separate"/>
          </w:r>
          <w:r>
            <w:t>13</w:t>
          </w:r>
          <w:r>
            <w:fldChar w:fldCharType="end"/>
          </w:r>
          <w:r>
            <w:fldChar w:fldCharType="end"/>
          </w:r>
        </w:p>
        <w:p w14:paraId="5B60E4EF">
          <w:pPr>
            <w:pStyle w:val="6"/>
            <w:rPr>
              <w:rFonts w:asciiTheme="minorHAnsi" w:hAnsiTheme="minorHAnsi" w:eastAsiaTheme="minorEastAsia" w:cstheme="minorBidi"/>
              <w:szCs w:val="22"/>
            </w:rPr>
          </w:pPr>
          <w:r>
            <w:fldChar w:fldCharType="begin"/>
          </w:r>
          <w:r>
            <w:instrText xml:space="preserve"> HYPERLINK \l "_Toc49849550" </w:instrText>
          </w:r>
          <w:r>
            <w:fldChar w:fldCharType="separate"/>
          </w:r>
          <w:r>
            <w:rPr>
              <w:rStyle w:val="15"/>
              <w:rFonts w:hint="eastAsia" w:ascii="楷体_GB2312" w:hAnsi="仿宋" w:eastAsia="楷体_GB2312"/>
            </w:rPr>
            <w:t>（二）一般公共预算财政拨款支出决算结构情况</w:t>
          </w:r>
          <w:r>
            <w:tab/>
          </w:r>
          <w:r>
            <w:fldChar w:fldCharType="begin"/>
          </w:r>
          <w:r>
            <w:instrText xml:space="preserve"> PAGEREF _Toc49849550 \h </w:instrText>
          </w:r>
          <w:r>
            <w:fldChar w:fldCharType="separate"/>
          </w:r>
          <w:r>
            <w:t>14</w:t>
          </w:r>
          <w:r>
            <w:fldChar w:fldCharType="end"/>
          </w:r>
          <w:r>
            <w:fldChar w:fldCharType="end"/>
          </w:r>
        </w:p>
        <w:p w14:paraId="2418C5FE">
          <w:pPr>
            <w:pStyle w:val="6"/>
            <w:rPr>
              <w:rFonts w:asciiTheme="minorHAnsi" w:hAnsiTheme="minorHAnsi" w:eastAsiaTheme="minorEastAsia" w:cstheme="minorBidi"/>
              <w:szCs w:val="22"/>
            </w:rPr>
          </w:pPr>
          <w:r>
            <w:fldChar w:fldCharType="begin"/>
          </w:r>
          <w:r>
            <w:instrText xml:space="preserve"> HYPERLINK \l "_Toc49849551" </w:instrText>
          </w:r>
          <w:r>
            <w:fldChar w:fldCharType="separate"/>
          </w:r>
          <w:r>
            <w:rPr>
              <w:rStyle w:val="15"/>
              <w:rFonts w:hint="eastAsia" w:ascii="楷体_GB2312" w:hAnsi="仿宋" w:eastAsia="楷体_GB2312"/>
            </w:rPr>
            <w:t>（三）一般公共预算财政拨款支出决算具体情况</w:t>
          </w:r>
          <w:r>
            <w:tab/>
          </w:r>
          <w:r>
            <w:fldChar w:fldCharType="begin"/>
          </w:r>
          <w:r>
            <w:instrText xml:space="preserve"> PAGEREF _Toc49849551 \h </w:instrText>
          </w:r>
          <w:r>
            <w:fldChar w:fldCharType="separate"/>
          </w:r>
          <w:r>
            <w:t>15</w:t>
          </w:r>
          <w:r>
            <w:fldChar w:fldCharType="end"/>
          </w:r>
          <w:r>
            <w:fldChar w:fldCharType="end"/>
          </w:r>
        </w:p>
        <w:p w14:paraId="38E492D6">
          <w:pPr>
            <w:pStyle w:val="11"/>
            <w:rPr>
              <w:rFonts w:asciiTheme="minorHAnsi" w:hAnsiTheme="minorHAnsi" w:eastAsiaTheme="minorEastAsia" w:cstheme="minorBidi"/>
              <w:szCs w:val="22"/>
            </w:rPr>
          </w:pPr>
          <w:r>
            <w:fldChar w:fldCharType="begin"/>
          </w:r>
          <w:r>
            <w:instrText xml:space="preserve"> HYPERLINK \l "_Toc49849552" </w:instrText>
          </w:r>
          <w:r>
            <w:fldChar w:fldCharType="separate"/>
          </w:r>
          <w:r>
            <w:rPr>
              <w:rStyle w:val="15"/>
              <w:rFonts w:hint="eastAsia" w:ascii="黑体" w:eastAsia="黑体"/>
            </w:rPr>
            <w:t>六</w:t>
          </w:r>
          <w:r>
            <w:rPr>
              <w:rStyle w:val="15"/>
              <w:rFonts w:hint="eastAsia" w:ascii="黑体" w:eastAsia="黑体"/>
              <w:b/>
            </w:rPr>
            <w:t>、</w:t>
          </w:r>
          <w:r>
            <w:rPr>
              <w:rStyle w:val="15"/>
              <w:rFonts w:hint="eastAsia" w:ascii="黑体" w:hAnsi="黑体" w:eastAsia="黑体"/>
              <w:b/>
            </w:rPr>
            <w:t>一</w:t>
          </w:r>
          <w:r>
            <w:rPr>
              <w:rStyle w:val="15"/>
              <w:rFonts w:hint="eastAsia" w:ascii="黑体" w:hAnsi="黑体" w:eastAsia="黑体" w:cstheme="majorBidi"/>
              <w:bCs/>
            </w:rPr>
            <w:t>般公共预算财政拨款基本支出决算情况说明</w:t>
          </w:r>
          <w:r>
            <w:tab/>
          </w:r>
          <w:r>
            <w:fldChar w:fldCharType="begin"/>
          </w:r>
          <w:r>
            <w:instrText xml:space="preserve"> PAGEREF _Toc49849552 \h </w:instrText>
          </w:r>
          <w:r>
            <w:fldChar w:fldCharType="separate"/>
          </w:r>
          <w:r>
            <w:t>15</w:t>
          </w:r>
          <w:r>
            <w:fldChar w:fldCharType="end"/>
          </w:r>
          <w:r>
            <w:fldChar w:fldCharType="end"/>
          </w:r>
        </w:p>
        <w:p w14:paraId="738B58A1">
          <w:pPr>
            <w:pStyle w:val="11"/>
            <w:rPr>
              <w:rFonts w:asciiTheme="minorHAnsi" w:hAnsiTheme="minorHAnsi" w:eastAsiaTheme="minorEastAsia" w:cstheme="minorBidi"/>
              <w:szCs w:val="22"/>
            </w:rPr>
          </w:pPr>
          <w:r>
            <w:fldChar w:fldCharType="begin"/>
          </w:r>
          <w:r>
            <w:instrText xml:space="preserve"> HYPERLINK \l "_Toc49849553" </w:instrText>
          </w:r>
          <w:r>
            <w:fldChar w:fldCharType="separate"/>
          </w:r>
          <w:r>
            <w:rPr>
              <w:rStyle w:val="15"/>
              <w:rFonts w:hint="eastAsia" w:ascii="黑体" w:eastAsia="黑体"/>
            </w:rPr>
            <w:t>七、</w:t>
          </w:r>
          <w:r>
            <w:rPr>
              <w:rStyle w:val="15"/>
              <w:rFonts w:ascii="黑体" w:hAnsi="黑体" w:eastAsia="黑体" w:cstheme="majorBidi"/>
              <w:b/>
              <w:bCs/>
            </w:rPr>
            <w:t>“</w:t>
          </w:r>
          <w:r>
            <w:rPr>
              <w:rStyle w:val="15"/>
              <w:rFonts w:hint="eastAsia" w:ascii="黑体" w:hAnsi="黑体" w:eastAsia="黑体" w:cstheme="majorBidi"/>
              <w:bCs/>
            </w:rPr>
            <w:t>三公”经费财政拨款支出决算情况说明</w:t>
          </w:r>
          <w:r>
            <w:tab/>
          </w:r>
          <w:r>
            <w:fldChar w:fldCharType="begin"/>
          </w:r>
          <w:r>
            <w:instrText xml:space="preserve"> PAGEREF _Toc49849553 \h </w:instrText>
          </w:r>
          <w:r>
            <w:fldChar w:fldCharType="separate"/>
          </w:r>
          <w:r>
            <w:t>16</w:t>
          </w:r>
          <w:r>
            <w:fldChar w:fldCharType="end"/>
          </w:r>
          <w:r>
            <w:fldChar w:fldCharType="end"/>
          </w:r>
        </w:p>
        <w:p w14:paraId="7CC73E98">
          <w:pPr>
            <w:pStyle w:val="6"/>
            <w:rPr>
              <w:rFonts w:asciiTheme="minorHAnsi" w:hAnsiTheme="minorHAnsi" w:eastAsiaTheme="minorEastAsia" w:cstheme="minorBidi"/>
              <w:szCs w:val="22"/>
            </w:rPr>
          </w:pPr>
          <w:r>
            <w:fldChar w:fldCharType="begin"/>
          </w:r>
          <w:r>
            <w:instrText xml:space="preserve"> HYPERLINK \l "_Toc49849554" </w:instrText>
          </w:r>
          <w:r>
            <w:fldChar w:fldCharType="separate"/>
          </w:r>
          <w:r>
            <w:rPr>
              <w:rStyle w:val="15"/>
              <w:rFonts w:hint="eastAsia" w:ascii="楷体_GB2312" w:hAnsi="仿宋" w:eastAsia="楷体_GB2312"/>
            </w:rPr>
            <w:t>（一）“三公”经费财政拨款支出决算总体情况说明</w:t>
          </w:r>
          <w:r>
            <w:tab/>
          </w:r>
          <w:r>
            <w:fldChar w:fldCharType="begin"/>
          </w:r>
          <w:r>
            <w:instrText xml:space="preserve"> PAGEREF _Toc49849554 \h </w:instrText>
          </w:r>
          <w:r>
            <w:fldChar w:fldCharType="separate"/>
          </w:r>
          <w:r>
            <w:t>16</w:t>
          </w:r>
          <w:r>
            <w:fldChar w:fldCharType="end"/>
          </w:r>
          <w:r>
            <w:fldChar w:fldCharType="end"/>
          </w:r>
        </w:p>
        <w:p w14:paraId="6A589D37">
          <w:pPr>
            <w:pStyle w:val="6"/>
            <w:rPr>
              <w:rFonts w:asciiTheme="minorHAnsi" w:hAnsiTheme="minorHAnsi" w:eastAsiaTheme="minorEastAsia" w:cstheme="minorBidi"/>
              <w:szCs w:val="22"/>
            </w:rPr>
          </w:pPr>
          <w:r>
            <w:fldChar w:fldCharType="begin"/>
          </w:r>
          <w:r>
            <w:instrText xml:space="preserve"> HYPERLINK \l "_Toc49849555" </w:instrText>
          </w:r>
          <w:r>
            <w:fldChar w:fldCharType="separate"/>
          </w:r>
          <w:r>
            <w:rPr>
              <w:rStyle w:val="15"/>
              <w:rFonts w:hint="eastAsia" w:ascii="楷体_GB2312" w:hAnsi="仿宋" w:eastAsia="楷体_GB2312"/>
            </w:rPr>
            <w:t>（二）“三公”经费财政拨款支出决算具体情况说明</w:t>
          </w:r>
          <w:r>
            <w:tab/>
          </w:r>
          <w:r>
            <w:fldChar w:fldCharType="begin"/>
          </w:r>
          <w:r>
            <w:instrText xml:space="preserve"> PAGEREF _Toc49849555 \h </w:instrText>
          </w:r>
          <w:r>
            <w:fldChar w:fldCharType="separate"/>
          </w:r>
          <w:r>
            <w:t>16</w:t>
          </w:r>
          <w:r>
            <w:fldChar w:fldCharType="end"/>
          </w:r>
          <w:r>
            <w:fldChar w:fldCharType="end"/>
          </w:r>
        </w:p>
        <w:p w14:paraId="0805D8E7">
          <w:pPr>
            <w:pStyle w:val="11"/>
            <w:rPr>
              <w:rFonts w:asciiTheme="minorHAnsi" w:hAnsiTheme="minorHAnsi" w:eastAsiaTheme="minorEastAsia" w:cstheme="minorBidi"/>
              <w:szCs w:val="22"/>
            </w:rPr>
          </w:pPr>
          <w:r>
            <w:fldChar w:fldCharType="begin"/>
          </w:r>
          <w:r>
            <w:instrText xml:space="preserve"> HYPERLINK \l "_Toc49849556" </w:instrText>
          </w:r>
          <w:r>
            <w:fldChar w:fldCharType="separate"/>
          </w:r>
          <w:r>
            <w:rPr>
              <w:rStyle w:val="15"/>
              <w:rFonts w:hint="eastAsia" w:ascii="黑体" w:eastAsia="黑体"/>
            </w:rPr>
            <w:t>八、</w:t>
          </w:r>
          <w:r>
            <w:rPr>
              <w:rStyle w:val="15"/>
              <w:rFonts w:hint="eastAsia" w:ascii="黑体" w:hAnsi="黑体" w:eastAsia="黑体" w:cstheme="majorBidi"/>
              <w:bCs/>
            </w:rPr>
            <w:t>政府性基金预算支出决算情况说明</w:t>
          </w:r>
          <w:r>
            <w:tab/>
          </w:r>
          <w:r>
            <w:fldChar w:fldCharType="begin"/>
          </w:r>
          <w:r>
            <w:instrText xml:space="preserve"> PAGEREF _Toc49849556 \h </w:instrText>
          </w:r>
          <w:r>
            <w:fldChar w:fldCharType="separate"/>
          </w:r>
          <w:r>
            <w:t>18</w:t>
          </w:r>
          <w:r>
            <w:fldChar w:fldCharType="end"/>
          </w:r>
          <w:r>
            <w:fldChar w:fldCharType="end"/>
          </w:r>
        </w:p>
        <w:p w14:paraId="3C5CFE67">
          <w:pPr>
            <w:pStyle w:val="11"/>
            <w:rPr>
              <w:rFonts w:asciiTheme="minorHAnsi" w:hAnsiTheme="minorHAnsi" w:eastAsiaTheme="minorEastAsia" w:cstheme="minorBidi"/>
              <w:szCs w:val="22"/>
            </w:rPr>
          </w:pPr>
          <w:r>
            <w:fldChar w:fldCharType="begin"/>
          </w:r>
          <w:r>
            <w:instrText xml:space="preserve"> HYPERLINK \l "_Toc49849557" </w:instrText>
          </w:r>
          <w:r>
            <w:fldChar w:fldCharType="separate"/>
          </w:r>
          <w:r>
            <w:rPr>
              <w:rStyle w:val="15"/>
              <w:rFonts w:hint="eastAsia" w:ascii="黑体" w:hAnsi="黑体" w:eastAsia="黑体" w:cstheme="majorBidi"/>
              <w:bCs/>
            </w:rPr>
            <w:t>九、 国有资本经营预算支出决算情况说明</w:t>
          </w:r>
          <w:r>
            <w:tab/>
          </w:r>
          <w:r>
            <w:fldChar w:fldCharType="begin"/>
          </w:r>
          <w:r>
            <w:instrText xml:space="preserve"> PAGEREF _Toc49849557 \h </w:instrText>
          </w:r>
          <w:r>
            <w:fldChar w:fldCharType="separate"/>
          </w:r>
          <w:r>
            <w:t>18</w:t>
          </w:r>
          <w:r>
            <w:fldChar w:fldCharType="end"/>
          </w:r>
          <w:r>
            <w:fldChar w:fldCharType="end"/>
          </w:r>
        </w:p>
        <w:p w14:paraId="1E86B572">
          <w:pPr>
            <w:pStyle w:val="11"/>
            <w:rPr>
              <w:rFonts w:asciiTheme="minorHAnsi" w:hAnsiTheme="minorHAnsi" w:eastAsiaTheme="minorEastAsia" w:cstheme="minorBidi"/>
              <w:szCs w:val="22"/>
            </w:rPr>
          </w:pPr>
          <w:r>
            <w:fldChar w:fldCharType="begin"/>
          </w:r>
          <w:r>
            <w:instrText xml:space="preserve"> HYPERLINK \l "_Toc49849558" </w:instrText>
          </w:r>
          <w:r>
            <w:fldChar w:fldCharType="separate"/>
          </w:r>
          <w:r>
            <w:rPr>
              <w:rStyle w:val="15"/>
              <w:rFonts w:hint="eastAsia" w:ascii="黑体" w:hAnsi="黑体" w:eastAsia="黑体"/>
            </w:rPr>
            <w:t>十</w:t>
          </w:r>
          <w:r>
            <w:rPr>
              <w:rStyle w:val="15"/>
              <w:rFonts w:hint="eastAsia" w:ascii="黑体" w:hAnsi="黑体" w:eastAsia="黑体" w:cstheme="majorBidi"/>
              <w:b/>
              <w:bCs/>
            </w:rPr>
            <w:t>、</w:t>
          </w:r>
          <w:r>
            <w:rPr>
              <w:rStyle w:val="15"/>
              <w:rFonts w:hint="eastAsia" w:ascii="黑体" w:hAnsi="黑体" w:eastAsia="黑体" w:cstheme="majorBidi"/>
              <w:bCs/>
            </w:rPr>
            <w:t>其他重要事项的情况说明</w:t>
          </w:r>
          <w:r>
            <w:tab/>
          </w:r>
          <w:r>
            <w:fldChar w:fldCharType="begin"/>
          </w:r>
          <w:r>
            <w:instrText xml:space="preserve"> PAGEREF _Toc49849558 \h </w:instrText>
          </w:r>
          <w:r>
            <w:fldChar w:fldCharType="separate"/>
          </w:r>
          <w:r>
            <w:t>18</w:t>
          </w:r>
          <w:r>
            <w:fldChar w:fldCharType="end"/>
          </w:r>
          <w:r>
            <w:fldChar w:fldCharType="end"/>
          </w:r>
        </w:p>
        <w:p w14:paraId="4ACD8CDF">
          <w:pPr>
            <w:pStyle w:val="6"/>
            <w:rPr>
              <w:rFonts w:asciiTheme="minorHAnsi" w:hAnsiTheme="minorHAnsi" w:eastAsiaTheme="minorEastAsia" w:cstheme="minorBidi"/>
              <w:szCs w:val="22"/>
            </w:rPr>
          </w:pPr>
          <w:r>
            <w:fldChar w:fldCharType="begin"/>
          </w:r>
          <w:r>
            <w:instrText xml:space="preserve"> HYPERLINK \l "_Toc49849559" </w:instrText>
          </w:r>
          <w:r>
            <w:fldChar w:fldCharType="separate"/>
          </w:r>
          <w:r>
            <w:rPr>
              <w:rStyle w:val="15"/>
              <w:rFonts w:hint="eastAsia" w:ascii="楷体_GB2312" w:hAnsi="仿宋" w:eastAsia="楷体_GB2312"/>
            </w:rPr>
            <w:t>（一）机关运行经费支出情况</w:t>
          </w:r>
          <w:r>
            <w:tab/>
          </w:r>
          <w:r>
            <w:fldChar w:fldCharType="begin"/>
          </w:r>
          <w:r>
            <w:instrText xml:space="preserve"> PAGEREF _Toc49849559 \h </w:instrText>
          </w:r>
          <w:r>
            <w:fldChar w:fldCharType="separate"/>
          </w:r>
          <w:r>
            <w:t>18</w:t>
          </w:r>
          <w:r>
            <w:fldChar w:fldCharType="end"/>
          </w:r>
          <w:r>
            <w:fldChar w:fldCharType="end"/>
          </w:r>
        </w:p>
        <w:p w14:paraId="3C824C5C">
          <w:pPr>
            <w:pStyle w:val="6"/>
            <w:rPr>
              <w:rFonts w:asciiTheme="minorHAnsi" w:hAnsiTheme="minorHAnsi" w:eastAsiaTheme="minorEastAsia" w:cstheme="minorBidi"/>
              <w:szCs w:val="22"/>
            </w:rPr>
          </w:pPr>
          <w:r>
            <w:fldChar w:fldCharType="begin"/>
          </w:r>
          <w:r>
            <w:instrText xml:space="preserve"> HYPERLINK \l "_Toc49849560" </w:instrText>
          </w:r>
          <w:r>
            <w:fldChar w:fldCharType="separate"/>
          </w:r>
          <w:r>
            <w:rPr>
              <w:rStyle w:val="15"/>
              <w:rFonts w:hint="eastAsia" w:ascii="楷体_GB2312" w:hAnsi="仿宋" w:eastAsia="楷体_GB2312"/>
            </w:rPr>
            <w:t>（二）政府采购支出情况</w:t>
          </w:r>
          <w:r>
            <w:tab/>
          </w:r>
          <w:r>
            <w:fldChar w:fldCharType="begin"/>
          </w:r>
          <w:r>
            <w:instrText xml:space="preserve"> PAGEREF _Toc49849560 \h </w:instrText>
          </w:r>
          <w:r>
            <w:fldChar w:fldCharType="separate"/>
          </w:r>
          <w:r>
            <w:t>18</w:t>
          </w:r>
          <w:r>
            <w:fldChar w:fldCharType="end"/>
          </w:r>
          <w:r>
            <w:fldChar w:fldCharType="end"/>
          </w:r>
        </w:p>
        <w:p w14:paraId="239410C2">
          <w:pPr>
            <w:pStyle w:val="6"/>
            <w:rPr>
              <w:rFonts w:asciiTheme="minorHAnsi" w:hAnsiTheme="minorHAnsi" w:eastAsiaTheme="minorEastAsia" w:cstheme="minorBidi"/>
              <w:szCs w:val="22"/>
            </w:rPr>
          </w:pPr>
          <w:r>
            <w:fldChar w:fldCharType="begin"/>
          </w:r>
          <w:r>
            <w:instrText xml:space="preserve"> HYPERLINK \l "_Toc49849561" </w:instrText>
          </w:r>
          <w:r>
            <w:fldChar w:fldCharType="separate"/>
          </w:r>
          <w:r>
            <w:rPr>
              <w:rStyle w:val="15"/>
              <w:rFonts w:hint="eastAsia" w:ascii="楷体_GB2312" w:hAnsi="仿宋" w:eastAsia="楷体_GB2312"/>
            </w:rPr>
            <w:t>（三）国有资产占有使用情况</w:t>
          </w:r>
          <w:r>
            <w:tab/>
          </w:r>
          <w:r>
            <w:fldChar w:fldCharType="begin"/>
          </w:r>
          <w:r>
            <w:instrText xml:space="preserve"> PAGEREF _Toc49849561 \h </w:instrText>
          </w:r>
          <w:r>
            <w:fldChar w:fldCharType="separate"/>
          </w:r>
          <w:r>
            <w:t>18</w:t>
          </w:r>
          <w:r>
            <w:fldChar w:fldCharType="end"/>
          </w:r>
          <w:r>
            <w:fldChar w:fldCharType="end"/>
          </w:r>
        </w:p>
        <w:p w14:paraId="54926B51">
          <w:pPr>
            <w:pStyle w:val="6"/>
            <w:rPr>
              <w:rFonts w:asciiTheme="minorHAnsi" w:hAnsiTheme="minorHAnsi" w:eastAsiaTheme="minorEastAsia" w:cstheme="minorBidi"/>
              <w:szCs w:val="22"/>
            </w:rPr>
          </w:pPr>
          <w:r>
            <w:fldChar w:fldCharType="begin"/>
          </w:r>
          <w:r>
            <w:instrText xml:space="preserve"> HYPERLINK \l "_Toc49849562" </w:instrText>
          </w:r>
          <w:r>
            <w:fldChar w:fldCharType="separate"/>
          </w:r>
          <w:r>
            <w:rPr>
              <w:rStyle w:val="15"/>
              <w:rFonts w:hint="eastAsia" w:ascii="楷体_GB2312" w:hAnsi="仿宋" w:eastAsia="楷体_GB2312"/>
            </w:rPr>
            <w:t>（四）预算绩效管理情况</w:t>
          </w:r>
          <w:r>
            <w:tab/>
          </w:r>
          <w:r>
            <w:fldChar w:fldCharType="begin"/>
          </w:r>
          <w:r>
            <w:instrText xml:space="preserve"> PAGEREF _Toc49849562 \h </w:instrText>
          </w:r>
          <w:r>
            <w:fldChar w:fldCharType="separate"/>
          </w:r>
          <w:r>
            <w:t>19</w:t>
          </w:r>
          <w:r>
            <w:fldChar w:fldCharType="end"/>
          </w:r>
          <w:r>
            <w:fldChar w:fldCharType="end"/>
          </w:r>
        </w:p>
        <w:p w14:paraId="698F2262">
          <w:pPr>
            <w:pStyle w:val="10"/>
            <w:rPr>
              <w:rFonts w:asciiTheme="minorHAnsi" w:hAnsiTheme="minorHAnsi" w:eastAsiaTheme="minorEastAsia" w:cstheme="minorBidi"/>
              <w:sz w:val="21"/>
              <w:szCs w:val="22"/>
            </w:rPr>
          </w:pPr>
          <w:r>
            <w:fldChar w:fldCharType="begin"/>
          </w:r>
          <w:r>
            <w:instrText xml:space="preserve"> HYPERLINK \l "_Toc49849563" </w:instrText>
          </w:r>
          <w:r>
            <w:fldChar w:fldCharType="separate"/>
          </w:r>
          <w:r>
            <w:rPr>
              <w:rStyle w:val="15"/>
              <w:rFonts w:hint="eastAsia" w:ascii="黑体" w:hAnsi="黑体" w:eastAsia="黑体"/>
              <w:bCs/>
              <w:kern w:val="44"/>
            </w:rPr>
            <w:t>第三部分</w:t>
          </w:r>
          <w:r>
            <w:rPr>
              <w:rStyle w:val="15"/>
              <w:rFonts w:hint="eastAsia" w:ascii="黑体" w:hAnsi="黑体" w:eastAsia="黑体"/>
            </w:rPr>
            <w:t xml:space="preserve"> 名</w:t>
          </w:r>
          <w:r>
            <w:rPr>
              <w:rStyle w:val="15"/>
              <w:rFonts w:hint="eastAsia" w:ascii="黑体" w:hAnsi="黑体" w:eastAsia="黑体"/>
              <w:bCs/>
              <w:kern w:val="44"/>
            </w:rPr>
            <w:t>词解释</w:t>
          </w:r>
          <w:r>
            <w:tab/>
          </w:r>
          <w:r>
            <w:fldChar w:fldCharType="begin"/>
          </w:r>
          <w:r>
            <w:instrText xml:space="preserve"> PAGEREF _Toc49849563 \h </w:instrText>
          </w:r>
          <w:r>
            <w:fldChar w:fldCharType="separate"/>
          </w:r>
          <w:r>
            <w:t>28</w:t>
          </w:r>
          <w:r>
            <w:fldChar w:fldCharType="end"/>
          </w:r>
          <w:r>
            <w:fldChar w:fldCharType="end"/>
          </w:r>
        </w:p>
        <w:p w14:paraId="1530AC0C">
          <w:pPr>
            <w:pStyle w:val="10"/>
            <w:rPr>
              <w:rFonts w:asciiTheme="minorHAnsi" w:hAnsiTheme="minorHAnsi" w:eastAsiaTheme="minorEastAsia" w:cstheme="minorBidi"/>
              <w:sz w:val="21"/>
              <w:szCs w:val="22"/>
            </w:rPr>
          </w:pPr>
          <w:r>
            <w:fldChar w:fldCharType="begin"/>
          </w:r>
          <w:r>
            <w:instrText xml:space="preserve"> HYPERLINK \l "_Toc49849564" </w:instrText>
          </w:r>
          <w:r>
            <w:fldChar w:fldCharType="separate"/>
          </w:r>
          <w:r>
            <w:rPr>
              <w:rStyle w:val="15"/>
              <w:rFonts w:hint="eastAsia" w:ascii="黑体" w:hAnsi="黑体" w:eastAsia="黑体"/>
            </w:rPr>
            <w:t>第</w:t>
          </w:r>
          <w:r>
            <w:rPr>
              <w:rStyle w:val="15"/>
              <w:rFonts w:hint="eastAsia" w:ascii="黑体" w:hAnsi="黑体" w:eastAsia="黑体"/>
              <w:bCs/>
              <w:kern w:val="44"/>
            </w:rPr>
            <w:t>四部分</w:t>
          </w:r>
          <w:r>
            <w:rPr>
              <w:rStyle w:val="15"/>
              <w:rFonts w:ascii="黑体" w:hAnsi="黑体" w:eastAsia="黑体"/>
              <w:bCs/>
              <w:kern w:val="44"/>
            </w:rPr>
            <w:t xml:space="preserve"> </w:t>
          </w:r>
          <w:r>
            <w:rPr>
              <w:rStyle w:val="15"/>
              <w:rFonts w:hint="eastAsia" w:ascii="黑体" w:hAnsi="黑体" w:eastAsia="黑体"/>
              <w:bCs/>
              <w:kern w:val="44"/>
            </w:rPr>
            <w:t>附件</w:t>
          </w:r>
          <w:r>
            <w:tab/>
          </w:r>
          <w:r>
            <w:fldChar w:fldCharType="begin"/>
          </w:r>
          <w:r>
            <w:instrText xml:space="preserve"> PAGEREF _Toc49849564 \h </w:instrText>
          </w:r>
          <w:r>
            <w:fldChar w:fldCharType="separate"/>
          </w:r>
          <w:r>
            <w:t>30</w:t>
          </w:r>
          <w:r>
            <w:fldChar w:fldCharType="end"/>
          </w:r>
          <w:r>
            <w:fldChar w:fldCharType="end"/>
          </w:r>
        </w:p>
        <w:p w14:paraId="2B9880BF">
          <w:pPr>
            <w:pStyle w:val="11"/>
            <w:rPr>
              <w:rFonts w:asciiTheme="minorHAnsi" w:hAnsiTheme="minorHAnsi" w:eastAsiaTheme="minorEastAsia" w:cstheme="minorBidi"/>
              <w:szCs w:val="22"/>
            </w:rPr>
          </w:pPr>
          <w:r>
            <w:fldChar w:fldCharType="begin"/>
          </w:r>
          <w:r>
            <w:instrText xml:space="preserve"> HYPERLINK \l "_Toc49849565" </w:instrText>
          </w:r>
          <w:r>
            <w:fldChar w:fldCharType="separate"/>
          </w:r>
          <w:r>
            <w:rPr>
              <w:rStyle w:val="15"/>
              <w:rFonts w:hint="eastAsia" w:ascii="黑体" w:hAnsi="黑体" w:eastAsia="黑体" w:cs="黑体"/>
            </w:rPr>
            <w:t>附件</w:t>
          </w:r>
          <w:r>
            <w:rPr>
              <w:rStyle w:val="15"/>
              <w:rFonts w:ascii="黑体" w:hAnsi="黑体" w:eastAsia="黑体" w:cs="黑体"/>
            </w:rPr>
            <w:t>1</w:t>
          </w:r>
          <w:r>
            <w:tab/>
          </w:r>
          <w:r>
            <w:fldChar w:fldCharType="begin"/>
          </w:r>
          <w:r>
            <w:instrText xml:space="preserve"> PAGEREF _Toc49849565 \h </w:instrText>
          </w:r>
          <w:r>
            <w:fldChar w:fldCharType="separate"/>
          </w:r>
          <w:r>
            <w:t>30</w:t>
          </w:r>
          <w:r>
            <w:fldChar w:fldCharType="end"/>
          </w:r>
          <w:r>
            <w:fldChar w:fldCharType="end"/>
          </w:r>
        </w:p>
        <w:p w14:paraId="18F2C439">
          <w:pPr>
            <w:pStyle w:val="11"/>
            <w:rPr>
              <w:rFonts w:asciiTheme="minorHAnsi" w:hAnsiTheme="minorHAnsi" w:eastAsiaTheme="minorEastAsia" w:cstheme="minorBidi"/>
              <w:szCs w:val="22"/>
            </w:rPr>
          </w:pPr>
          <w:r>
            <w:fldChar w:fldCharType="begin"/>
          </w:r>
          <w:r>
            <w:instrText xml:space="preserve"> HYPERLINK \l "_Toc49849566" </w:instrText>
          </w:r>
          <w:r>
            <w:fldChar w:fldCharType="separate"/>
          </w:r>
          <w:r>
            <w:rPr>
              <w:rStyle w:val="15"/>
              <w:rFonts w:hint="eastAsia" w:ascii="黑体" w:hAnsi="黑体" w:eastAsia="黑体"/>
            </w:rPr>
            <w:t>附件</w:t>
          </w:r>
          <w:r>
            <w:rPr>
              <w:rStyle w:val="15"/>
              <w:rFonts w:ascii="黑体" w:hAnsi="黑体" w:eastAsia="黑体"/>
            </w:rPr>
            <w:t>2</w:t>
          </w:r>
          <w:r>
            <w:tab/>
          </w:r>
          <w:r>
            <w:fldChar w:fldCharType="begin"/>
          </w:r>
          <w:r>
            <w:instrText xml:space="preserve"> PAGEREF _Toc49849566 \h </w:instrText>
          </w:r>
          <w:r>
            <w:fldChar w:fldCharType="separate"/>
          </w:r>
          <w:r>
            <w:t>37</w:t>
          </w:r>
          <w:r>
            <w:fldChar w:fldCharType="end"/>
          </w:r>
          <w:r>
            <w:fldChar w:fldCharType="end"/>
          </w:r>
        </w:p>
        <w:p w14:paraId="7DFE5C2A">
          <w:pPr>
            <w:pStyle w:val="10"/>
            <w:rPr>
              <w:rFonts w:asciiTheme="minorHAnsi" w:hAnsiTheme="minorHAnsi" w:eastAsiaTheme="minorEastAsia" w:cstheme="minorBidi"/>
              <w:sz w:val="21"/>
              <w:szCs w:val="22"/>
            </w:rPr>
          </w:pPr>
          <w:r>
            <w:fldChar w:fldCharType="begin"/>
          </w:r>
          <w:r>
            <w:instrText xml:space="preserve"> HYPERLINK \l "_Toc49849567" </w:instrText>
          </w:r>
          <w:r>
            <w:fldChar w:fldCharType="separate"/>
          </w:r>
          <w:r>
            <w:rPr>
              <w:rStyle w:val="15"/>
              <w:rFonts w:hint="eastAsia" w:ascii="黑体" w:hAnsi="黑体" w:eastAsia="黑体"/>
            </w:rPr>
            <w:t>第</w:t>
          </w:r>
          <w:r>
            <w:rPr>
              <w:rStyle w:val="15"/>
              <w:rFonts w:hint="eastAsia" w:ascii="黑体" w:hAnsi="黑体" w:eastAsia="黑体"/>
              <w:bCs/>
              <w:kern w:val="44"/>
            </w:rPr>
            <w:t>五部分</w:t>
          </w:r>
          <w:r>
            <w:rPr>
              <w:rStyle w:val="15"/>
              <w:rFonts w:ascii="黑体" w:hAnsi="黑体" w:eastAsia="黑体"/>
              <w:bCs/>
              <w:kern w:val="44"/>
            </w:rPr>
            <w:t xml:space="preserve"> </w:t>
          </w:r>
          <w:r>
            <w:rPr>
              <w:rStyle w:val="15"/>
              <w:rFonts w:hint="eastAsia" w:ascii="黑体" w:hAnsi="黑体" w:eastAsia="黑体"/>
              <w:bCs/>
              <w:kern w:val="44"/>
            </w:rPr>
            <w:t>附表</w:t>
          </w:r>
          <w:r>
            <w:tab/>
          </w:r>
          <w:r>
            <w:fldChar w:fldCharType="begin"/>
          </w:r>
          <w:r>
            <w:instrText xml:space="preserve"> PAGEREF _Toc49849567 \h </w:instrText>
          </w:r>
          <w:r>
            <w:fldChar w:fldCharType="separate"/>
          </w:r>
          <w:r>
            <w:t>42</w:t>
          </w:r>
          <w:r>
            <w:fldChar w:fldCharType="end"/>
          </w:r>
          <w:r>
            <w:fldChar w:fldCharType="end"/>
          </w:r>
        </w:p>
        <w:p w14:paraId="29F2A465">
          <w:pPr>
            <w:pStyle w:val="11"/>
            <w:rPr>
              <w:rFonts w:asciiTheme="minorHAnsi" w:hAnsiTheme="minorHAnsi" w:eastAsiaTheme="minorEastAsia" w:cstheme="minorBidi"/>
              <w:szCs w:val="22"/>
            </w:rPr>
          </w:pPr>
          <w:r>
            <w:fldChar w:fldCharType="begin"/>
          </w:r>
          <w:r>
            <w:instrText xml:space="preserve"> HYPERLINK \l "_Toc49849568" </w:instrText>
          </w:r>
          <w:r>
            <w:fldChar w:fldCharType="separate"/>
          </w:r>
          <w:r>
            <w:rPr>
              <w:rStyle w:val="15"/>
              <w:rFonts w:hint="eastAsia" w:ascii="仿宋" w:hAnsi="仿宋" w:eastAsia="仿宋"/>
            </w:rPr>
            <w:t>一、收入支出决算总表</w:t>
          </w:r>
          <w:r>
            <w:tab/>
          </w:r>
          <w:r>
            <w:fldChar w:fldCharType="begin"/>
          </w:r>
          <w:r>
            <w:instrText xml:space="preserve"> PAGEREF _Toc49849568 \h </w:instrText>
          </w:r>
          <w:r>
            <w:fldChar w:fldCharType="separate"/>
          </w:r>
          <w:r>
            <w:t>42</w:t>
          </w:r>
          <w:r>
            <w:fldChar w:fldCharType="end"/>
          </w:r>
          <w:r>
            <w:fldChar w:fldCharType="end"/>
          </w:r>
        </w:p>
        <w:p w14:paraId="1D40E8F2">
          <w:pPr>
            <w:pStyle w:val="11"/>
            <w:rPr>
              <w:rFonts w:asciiTheme="minorHAnsi" w:hAnsiTheme="minorHAnsi" w:eastAsiaTheme="minorEastAsia" w:cstheme="minorBidi"/>
              <w:szCs w:val="22"/>
            </w:rPr>
          </w:pPr>
          <w:r>
            <w:fldChar w:fldCharType="begin"/>
          </w:r>
          <w:r>
            <w:instrText xml:space="preserve"> HYPERLINK \l "_Toc49849569" </w:instrText>
          </w:r>
          <w:r>
            <w:fldChar w:fldCharType="separate"/>
          </w:r>
          <w:r>
            <w:rPr>
              <w:rStyle w:val="15"/>
              <w:rFonts w:hint="eastAsia" w:ascii="仿宋" w:hAnsi="仿宋" w:eastAsia="仿宋"/>
            </w:rPr>
            <w:t>二、收入决算表</w:t>
          </w:r>
          <w:r>
            <w:tab/>
          </w:r>
          <w:r>
            <w:fldChar w:fldCharType="begin"/>
          </w:r>
          <w:r>
            <w:instrText xml:space="preserve"> PAGEREF _Toc49849569 \h </w:instrText>
          </w:r>
          <w:r>
            <w:fldChar w:fldCharType="separate"/>
          </w:r>
          <w:r>
            <w:t>42</w:t>
          </w:r>
          <w:r>
            <w:fldChar w:fldCharType="end"/>
          </w:r>
          <w:r>
            <w:fldChar w:fldCharType="end"/>
          </w:r>
        </w:p>
        <w:p w14:paraId="4028DCE8">
          <w:pPr>
            <w:pStyle w:val="11"/>
            <w:rPr>
              <w:rFonts w:asciiTheme="minorHAnsi" w:hAnsiTheme="minorHAnsi" w:eastAsiaTheme="minorEastAsia" w:cstheme="minorBidi"/>
              <w:szCs w:val="22"/>
            </w:rPr>
          </w:pPr>
          <w:r>
            <w:fldChar w:fldCharType="begin"/>
          </w:r>
          <w:r>
            <w:instrText xml:space="preserve"> HYPERLINK \l "_Toc49849570" </w:instrText>
          </w:r>
          <w:r>
            <w:fldChar w:fldCharType="separate"/>
          </w:r>
          <w:r>
            <w:rPr>
              <w:rStyle w:val="15"/>
              <w:rFonts w:hint="eastAsia" w:ascii="仿宋" w:hAnsi="仿宋" w:eastAsia="仿宋"/>
            </w:rPr>
            <w:t>三、支出决算表</w:t>
          </w:r>
          <w:r>
            <w:tab/>
          </w:r>
          <w:r>
            <w:fldChar w:fldCharType="begin"/>
          </w:r>
          <w:r>
            <w:instrText xml:space="preserve"> PAGEREF _Toc49849570 \h </w:instrText>
          </w:r>
          <w:r>
            <w:fldChar w:fldCharType="separate"/>
          </w:r>
          <w:r>
            <w:t>42</w:t>
          </w:r>
          <w:r>
            <w:fldChar w:fldCharType="end"/>
          </w:r>
          <w:r>
            <w:fldChar w:fldCharType="end"/>
          </w:r>
        </w:p>
        <w:p w14:paraId="767B5F3B">
          <w:pPr>
            <w:pStyle w:val="11"/>
            <w:rPr>
              <w:rFonts w:asciiTheme="minorHAnsi" w:hAnsiTheme="minorHAnsi" w:eastAsiaTheme="minorEastAsia" w:cstheme="minorBidi"/>
              <w:szCs w:val="22"/>
            </w:rPr>
          </w:pPr>
          <w:r>
            <w:fldChar w:fldCharType="begin"/>
          </w:r>
          <w:r>
            <w:instrText xml:space="preserve"> HYPERLINK \l "_Toc49849571" </w:instrText>
          </w:r>
          <w:r>
            <w:fldChar w:fldCharType="separate"/>
          </w:r>
          <w:r>
            <w:rPr>
              <w:rStyle w:val="15"/>
              <w:rFonts w:hint="eastAsia" w:ascii="仿宋" w:hAnsi="仿宋" w:eastAsia="仿宋"/>
            </w:rPr>
            <w:t>四、财政拨款收入支出决算总表</w:t>
          </w:r>
          <w:r>
            <w:tab/>
          </w:r>
          <w:r>
            <w:fldChar w:fldCharType="begin"/>
          </w:r>
          <w:r>
            <w:instrText xml:space="preserve"> PAGEREF _Toc49849571 \h </w:instrText>
          </w:r>
          <w:r>
            <w:fldChar w:fldCharType="separate"/>
          </w:r>
          <w:r>
            <w:t>42</w:t>
          </w:r>
          <w:r>
            <w:fldChar w:fldCharType="end"/>
          </w:r>
          <w:r>
            <w:fldChar w:fldCharType="end"/>
          </w:r>
        </w:p>
        <w:p w14:paraId="18A36CF9">
          <w:pPr>
            <w:pStyle w:val="11"/>
            <w:rPr>
              <w:rFonts w:asciiTheme="minorHAnsi" w:hAnsiTheme="minorHAnsi" w:eastAsiaTheme="minorEastAsia" w:cstheme="minorBidi"/>
              <w:szCs w:val="22"/>
            </w:rPr>
          </w:pPr>
          <w:r>
            <w:fldChar w:fldCharType="begin"/>
          </w:r>
          <w:r>
            <w:instrText xml:space="preserve"> HYPERLINK \l "_Toc49849572" </w:instrText>
          </w:r>
          <w:r>
            <w:fldChar w:fldCharType="separate"/>
          </w:r>
          <w:r>
            <w:rPr>
              <w:rStyle w:val="15"/>
              <w:rFonts w:hint="eastAsia" w:ascii="仿宋" w:hAnsi="仿宋" w:eastAsia="仿宋"/>
            </w:rPr>
            <w:t>五、财政拨款支出决算明细表</w:t>
          </w:r>
          <w:r>
            <w:tab/>
          </w:r>
          <w:r>
            <w:fldChar w:fldCharType="begin"/>
          </w:r>
          <w:r>
            <w:instrText xml:space="preserve"> PAGEREF _Toc49849572 \h </w:instrText>
          </w:r>
          <w:r>
            <w:fldChar w:fldCharType="separate"/>
          </w:r>
          <w:r>
            <w:t>42</w:t>
          </w:r>
          <w:r>
            <w:fldChar w:fldCharType="end"/>
          </w:r>
          <w:r>
            <w:fldChar w:fldCharType="end"/>
          </w:r>
        </w:p>
        <w:p w14:paraId="2B56CFCE">
          <w:pPr>
            <w:pStyle w:val="11"/>
            <w:rPr>
              <w:rFonts w:asciiTheme="minorHAnsi" w:hAnsiTheme="minorHAnsi" w:eastAsiaTheme="minorEastAsia" w:cstheme="minorBidi"/>
              <w:szCs w:val="22"/>
            </w:rPr>
          </w:pPr>
          <w:r>
            <w:fldChar w:fldCharType="begin"/>
          </w:r>
          <w:r>
            <w:instrText xml:space="preserve"> HYPERLINK \l "_Toc49849573" </w:instrText>
          </w:r>
          <w:r>
            <w:fldChar w:fldCharType="separate"/>
          </w:r>
          <w:r>
            <w:rPr>
              <w:rStyle w:val="15"/>
              <w:rFonts w:hint="eastAsia" w:ascii="仿宋" w:hAnsi="仿宋" w:eastAsia="仿宋"/>
            </w:rPr>
            <w:t>六、一般公共预算财政拨款支出决算表</w:t>
          </w:r>
          <w:r>
            <w:tab/>
          </w:r>
          <w:r>
            <w:fldChar w:fldCharType="begin"/>
          </w:r>
          <w:r>
            <w:instrText xml:space="preserve"> PAGEREF _Toc49849573 \h </w:instrText>
          </w:r>
          <w:r>
            <w:fldChar w:fldCharType="separate"/>
          </w:r>
          <w:r>
            <w:t>42</w:t>
          </w:r>
          <w:r>
            <w:fldChar w:fldCharType="end"/>
          </w:r>
          <w:r>
            <w:fldChar w:fldCharType="end"/>
          </w:r>
        </w:p>
        <w:p w14:paraId="622D329E">
          <w:pPr>
            <w:pStyle w:val="11"/>
            <w:rPr>
              <w:rFonts w:asciiTheme="minorHAnsi" w:hAnsiTheme="minorHAnsi" w:eastAsiaTheme="minorEastAsia" w:cstheme="minorBidi"/>
              <w:szCs w:val="22"/>
            </w:rPr>
          </w:pPr>
          <w:r>
            <w:fldChar w:fldCharType="begin"/>
          </w:r>
          <w:r>
            <w:instrText xml:space="preserve"> HYPERLINK \l "_Toc49849574" </w:instrText>
          </w:r>
          <w:r>
            <w:fldChar w:fldCharType="separate"/>
          </w:r>
          <w:r>
            <w:rPr>
              <w:rStyle w:val="15"/>
              <w:rFonts w:hint="eastAsia" w:ascii="仿宋" w:hAnsi="仿宋" w:eastAsia="仿宋"/>
            </w:rPr>
            <w:t>七、一般公共预算财政拨款支出决算明细表</w:t>
          </w:r>
          <w:r>
            <w:tab/>
          </w:r>
          <w:r>
            <w:fldChar w:fldCharType="begin"/>
          </w:r>
          <w:r>
            <w:instrText xml:space="preserve"> PAGEREF _Toc49849574 \h </w:instrText>
          </w:r>
          <w:r>
            <w:fldChar w:fldCharType="separate"/>
          </w:r>
          <w:r>
            <w:t>42</w:t>
          </w:r>
          <w:r>
            <w:fldChar w:fldCharType="end"/>
          </w:r>
          <w:r>
            <w:fldChar w:fldCharType="end"/>
          </w:r>
        </w:p>
        <w:p w14:paraId="445EC008">
          <w:pPr>
            <w:pStyle w:val="11"/>
            <w:rPr>
              <w:rFonts w:asciiTheme="minorHAnsi" w:hAnsiTheme="minorHAnsi" w:eastAsiaTheme="minorEastAsia" w:cstheme="minorBidi"/>
              <w:szCs w:val="22"/>
            </w:rPr>
          </w:pPr>
          <w:r>
            <w:fldChar w:fldCharType="begin"/>
          </w:r>
          <w:r>
            <w:instrText xml:space="preserve"> HYPERLINK \l "_Toc49849575" </w:instrText>
          </w:r>
          <w:r>
            <w:fldChar w:fldCharType="separate"/>
          </w:r>
          <w:r>
            <w:rPr>
              <w:rStyle w:val="15"/>
              <w:rFonts w:hint="eastAsia" w:ascii="仿宋" w:hAnsi="仿宋" w:eastAsia="仿宋"/>
            </w:rPr>
            <w:t>八、一般公共预算财政拨款基本支出决算表</w:t>
          </w:r>
          <w:r>
            <w:tab/>
          </w:r>
          <w:r>
            <w:fldChar w:fldCharType="begin"/>
          </w:r>
          <w:r>
            <w:instrText xml:space="preserve"> PAGEREF _Toc49849575 \h </w:instrText>
          </w:r>
          <w:r>
            <w:fldChar w:fldCharType="separate"/>
          </w:r>
          <w:r>
            <w:t>42</w:t>
          </w:r>
          <w:r>
            <w:fldChar w:fldCharType="end"/>
          </w:r>
          <w:r>
            <w:fldChar w:fldCharType="end"/>
          </w:r>
        </w:p>
        <w:p w14:paraId="0BB68092">
          <w:pPr>
            <w:pStyle w:val="11"/>
            <w:rPr>
              <w:rFonts w:asciiTheme="minorHAnsi" w:hAnsiTheme="minorHAnsi" w:eastAsiaTheme="minorEastAsia" w:cstheme="minorBidi"/>
              <w:szCs w:val="22"/>
            </w:rPr>
          </w:pPr>
          <w:r>
            <w:fldChar w:fldCharType="begin"/>
          </w:r>
          <w:r>
            <w:instrText xml:space="preserve"> HYPERLINK \l "_Toc49849576" </w:instrText>
          </w:r>
          <w:r>
            <w:fldChar w:fldCharType="separate"/>
          </w:r>
          <w:r>
            <w:rPr>
              <w:rStyle w:val="15"/>
              <w:rFonts w:hint="eastAsia" w:ascii="仿宋" w:hAnsi="仿宋" w:eastAsia="仿宋"/>
            </w:rPr>
            <w:t>九、一般公共预算财政拨款项目支出决算表</w:t>
          </w:r>
          <w:r>
            <w:tab/>
          </w:r>
          <w:r>
            <w:fldChar w:fldCharType="begin"/>
          </w:r>
          <w:r>
            <w:instrText xml:space="preserve"> PAGEREF _Toc49849576 \h </w:instrText>
          </w:r>
          <w:r>
            <w:fldChar w:fldCharType="separate"/>
          </w:r>
          <w:r>
            <w:t>42</w:t>
          </w:r>
          <w:r>
            <w:fldChar w:fldCharType="end"/>
          </w:r>
          <w:r>
            <w:fldChar w:fldCharType="end"/>
          </w:r>
        </w:p>
        <w:p w14:paraId="177C78E1">
          <w:pPr>
            <w:pStyle w:val="11"/>
            <w:rPr>
              <w:rFonts w:asciiTheme="minorHAnsi" w:hAnsiTheme="minorHAnsi" w:eastAsiaTheme="minorEastAsia" w:cstheme="minorBidi"/>
              <w:szCs w:val="22"/>
            </w:rPr>
          </w:pPr>
          <w:r>
            <w:fldChar w:fldCharType="begin"/>
          </w:r>
          <w:r>
            <w:instrText xml:space="preserve"> HYPERLINK \l "_Toc49849577" </w:instrText>
          </w:r>
          <w:r>
            <w:fldChar w:fldCharType="separate"/>
          </w:r>
          <w:r>
            <w:rPr>
              <w:rStyle w:val="15"/>
              <w:rFonts w:hint="eastAsia" w:ascii="仿宋" w:hAnsi="仿宋" w:eastAsia="仿宋"/>
            </w:rPr>
            <w:t>十、一般公共预算财政拨款“三公”经费支出决算表</w:t>
          </w:r>
          <w:r>
            <w:tab/>
          </w:r>
          <w:r>
            <w:fldChar w:fldCharType="begin"/>
          </w:r>
          <w:r>
            <w:instrText xml:space="preserve"> PAGEREF _Toc49849577 \h </w:instrText>
          </w:r>
          <w:r>
            <w:fldChar w:fldCharType="separate"/>
          </w:r>
          <w:r>
            <w:t>42</w:t>
          </w:r>
          <w:r>
            <w:fldChar w:fldCharType="end"/>
          </w:r>
          <w:r>
            <w:fldChar w:fldCharType="end"/>
          </w:r>
        </w:p>
        <w:p w14:paraId="3001A8E8">
          <w:pPr>
            <w:pStyle w:val="11"/>
            <w:rPr>
              <w:rFonts w:asciiTheme="minorHAnsi" w:hAnsiTheme="minorHAnsi" w:eastAsiaTheme="minorEastAsia" w:cstheme="minorBidi"/>
              <w:szCs w:val="22"/>
            </w:rPr>
          </w:pPr>
          <w:r>
            <w:fldChar w:fldCharType="begin"/>
          </w:r>
          <w:r>
            <w:instrText xml:space="preserve"> HYPERLINK \l "_Toc49849578" </w:instrText>
          </w:r>
          <w:r>
            <w:fldChar w:fldCharType="separate"/>
          </w:r>
          <w:r>
            <w:rPr>
              <w:rStyle w:val="15"/>
              <w:rFonts w:hint="eastAsia" w:ascii="仿宋" w:hAnsi="仿宋" w:eastAsia="仿宋"/>
            </w:rPr>
            <w:t>十一、政府性基金预算财政拨款收入支出决算表</w:t>
          </w:r>
          <w:r>
            <w:tab/>
          </w:r>
          <w:r>
            <w:fldChar w:fldCharType="begin"/>
          </w:r>
          <w:r>
            <w:instrText xml:space="preserve"> PAGEREF _Toc49849578 \h </w:instrText>
          </w:r>
          <w:r>
            <w:fldChar w:fldCharType="separate"/>
          </w:r>
          <w:r>
            <w:t>42</w:t>
          </w:r>
          <w:r>
            <w:fldChar w:fldCharType="end"/>
          </w:r>
          <w:r>
            <w:fldChar w:fldCharType="end"/>
          </w:r>
        </w:p>
        <w:p w14:paraId="0F0E7AB1">
          <w:pPr>
            <w:pStyle w:val="11"/>
            <w:rPr>
              <w:rFonts w:asciiTheme="minorHAnsi" w:hAnsiTheme="minorHAnsi" w:eastAsiaTheme="minorEastAsia" w:cstheme="minorBidi"/>
              <w:szCs w:val="22"/>
            </w:rPr>
          </w:pPr>
          <w:r>
            <w:fldChar w:fldCharType="begin"/>
          </w:r>
          <w:r>
            <w:instrText xml:space="preserve"> HYPERLINK \l "_Toc49849579" </w:instrText>
          </w:r>
          <w:r>
            <w:fldChar w:fldCharType="separate"/>
          </w:r>
          <w:r>
            <w:rPr>
              <w:rStyle w:val="15"/>
              <w:rFonts w:hint="eastAsia" w:ascii="仿宋" w:hAnsi="仿宋" w:eastAsia="仿宋"/>
            </w:rPr>
            <w:t>十二、政府性基金预算财政拨款“三公”经费支出决算表</w:t>
          </w:r>
          <w:r>
            <w:tab/>
          </w:r>
          <w:r>
            <w:fldChar w:fldCharType="begin"/>
          </w:r>
          <w:r>
            <w:instrText xml:space="preserve"> PAGEREF _Toc49849579 \h </w:instrText>
          </w:r>
          <w:r>
            <w:fldChar w:fldCharType="separate"/>
          </w:r>
          <w:r>
            <w:t>42</w:t>
          </w:r>
          <w:r>
            <w:fldChar w:fldCharType="end"/>
          </w:r>
          <w:r>
            <w:fldChar w:fldCharType="end"/>
          </w:r>
        </w:p>
        <w:p w14:paraId="1B6C5EF4">
          <w:pPr>
            <w:pStyle w:val="11"/>
            <w:rPr>
              <w:rFonts w:asciiTheme="minorHAnsi" w:hAnsiTheme="minorHAnsi" w:eastAsiaTheme="minorEastAsia" w:cstheme="minorBidi"/>
              <w:szCs w:val="22"/>
            </w:rPr>
          </w:pPr>
          <w:r>
            <w:fldChar w:fldCharType="begin"/>
          </w:r>
          <w:r>
            <w:instrText xml:space="preserve"> HYPERLINK \l "_Toc49849580" </w:instrText>
          </w:r>
          <w:r>
            <w:fldChar w:fldCharType="separate"/>
          </w:r>
          <w:r>
            <w:rPr>
              <w:rStyle w:val="15"/>
              <w:rFonts w:hint="eastAsia" w:ascii="仿宋" w:hAnsi="仿宋" w:eastAsia="仿宋"/>
            </w:rPr>
            <w:t>十三、国有资本经营预算支出决算表</w:t>
          </w:r>
          <w:r>
            <w:tab/>
          </w:r>
          <w:r>
            <w:fldChar w:fldCharType="begin"/>
          </w:r>
          <w:r>
            <w:instrText xml:space="preserve"> PAGEREF _Toc49849580 \h </w:instrText>
          </w:r>
          <w:r>
            <w:fldChar w:fldCharType="separate"/>
          </w:r>
          <w:r>
            <w:t>42</w:t>
          </w:r>
          <w:r>
            <w:fldChar w:fldCharType="end"/>
          </w:r>
          <w:r>
            <w:fldChar w:fldCharType="end"/>
          </w:r>
        </w:p>
        <w:p w14:paraId="384FED74">
          <w:pPr>
            <w:pStyle w:val="11"/>
            <w:rPr>
              <w:rFonts w:asciiTheme="minorHAnsi" w:hAnsiTheme="minorHAnsi" w:eastAsiaTheme="minorEastAsia" w:cstheme="minorBidi"/>
              <w:szCs w:val="22"/>
            </w:rPr>
          </w:pPr>
          <w:r>
            <w:fldChar w:fldCharType="begin"/>
          </w:r>
          <w:r>
            <w:instrText xml:space="preserve"> HYPERLINK \l "_Toc49849581" </w:instrText>
          </w:r>
          <w:r>
            <w:fldChar w:fldCharType="separate"/>
          </w:r>
          <w:r>
            <w:rPr>
              <w:rStyle w:val="15"/>
              <w:rFonts w:hint="eastAsia" w:ascii="仿宋" w:hAnsi="仿宋" w:eastAsia="仿宋"/>
            </w:rPr>
            <w:t>十四、机关运行经费、资产占用情况及政府采购支出信息表</w:t>
          </w:r>
          <w:r>
            <w:tab/>
          </w:r>
          <w:r>
            <w:fldChar w:fldCharType="begin"/>
          </w:r>
          <w:r>
            <w:instrText xml:space="preserve"> PAGEREF _Toc49849581 \h </w:instrText>
          </w:r>
          <w:r>
            <w:fldChar w:fldCharType="separate"/>
          </w:r>
          <w:r>
            <w:t>42</w:t>
          </w:r>
          <w:r>
            <w:fldChar w:fldCharType="end"/>
          </w:r>
          <w:r>
            <w:fldChar w:fldCharType="end"/>
          </w:r>
        </w:p>
        <w:p w14:paraId="51DE0CF4">
          <w:r>
            <w:fldChar w:fldCharType="end"/>
          </w:r>
        </w:p>
      </w:sdtContent>
    </w:sdt>
    <w:p w14:paraId="1CA0BBB1"/>
    <w:p w14:paraId="42FF49BE"/>
    <w:p w14:paraId="5C5DEC1B">
      <w:pPr>
        <w:widowControl/>
        <w:spacing w:line="440" w:lineRule="exact"/>
        <w:jc w:val="left"/>
        <w:rPr>
          <w:rFonts w:ascii="仿宋" w:hAnsi="仿宋" w:eastAsia="仿宋"/>
          <w:bCs/>
          <w:kern w:val="44"/>
          <w:sz w:val="24"/>
        </w:rPr>
      </w:pPr>
      <w:bookmarkStart w:id="15" w:name="_Toc15396599"/>
      <w:bookmarkStart w:id="16" w:name="_Toc15377196"/>
      <w:r>
        <w:rPr>
          <w:rFonts w:ascii="仿宋" w:hAnsi="仿宋" w:eastAsia="仿宋"/>
          <w:b/>
          <w:sz w:val="24"/>
        </w:rPr>
        <w:br w:type="page"/>
      </w:r>
    </w:p>
    <w:p w14:paraId="2D4BCCC0">
      <w:pPr>
        <w:pStyle w:val="2"/>
        <w:jc w:val="center"/>
        <w:rPr>
          <w:rStyle w:val="24"/>
          <w:rFonts w:ascii="黑体" w:hAnsi="黑体" w:eastAsia="黑体"/>
          <w:b/>
          <w:bCs w:val="0"/>
        </w:rPr>
      </w:pPr>
      <w:bookmarkStart w:id="17" w:name="_Toc49849538"/>
      <w:r>
        <w:rPr>
          <w:rFonts w:hint="eastAsia" w:ascii="黑体" w:hAnsi="黑体" w:eastAsia="黑体"/>
          <w:b w:val="0"/>
        </w:rPr>
        <w:t xml:space="preserve">第一部分 </w:t>
      </w:r>
      <w:r>
        <w:rPr>
          <w:rStyle w:val="24"/>
          <w:rFonts w:hint="eastAsia" w:ascii="黑体" w:hAnsi="黑体" w:eastAsia="黑体"/>
          <w:b w:val="0"/>
          <w:bCs w:val="0"/>
        </w:rPr>
        <w:t>部门概况</w:t>
      </w:r>
      <w:bookmarkEnd w:id="15"/>
      <w:bookmarkEnd w:id="16"/>
      <w:bookmarkEnd w:id="17"/>
    </w:p>
    <w:p w14:paraId="18E8329F">
      <w:pPr>
        <w:widowControl/>
        <w:spacing w:line="560" w:lineRule="exact"/>
        <w:jc w:val="left"/>
        <w:rPr>
          <w:rFonts w:ascii="黑体" w:eastAsia="黑体"/>
          <w:color w:val="000000"/>
          <w:sz w:val="32"/>
          <w:szCs w:val="32"/>
        </w:rPr>
      </w:pPr>
    </w:p>
    <w:p w14:paraId="1460BB2D">
      <w:pPr>
        <w:pStyle w:val="3"/>
        <w:spacing w:before="0" w:after="0" w:line="560" w:lineRule="exact"/>
        <w:rPr>
          <w:rStyle w:val="25"/>
          <w:rFonts w:ascii="仿宋" w:hAnsi="仿宋" w:eastAsia="仿宋"/>
          <w:b w:val="0"/>
          <w:bCs w:val="0"/>
        </w:rPr>
      </w:pPr>
      <w:bookmarkStart w:id="18" w:name="_Toc15377197"/>
      <w:bookmarkStart w:id="19" w:name="_Toc15396600"/>
      <w:r>
        <w:rPr>
          <w:rFonts w:hint="eastAsia" w:ascii="黑体" w:hAnsi="黑体" w:eastAsia="黑体"/>
          <w:b w:val="0"/>
          <w:color w:val="000000"/>
        </w:rPr>
        <w:t xml:space="preserve">    </w:t>
      </w:r>
      <w:bookmarkStart w:id="20" w:name="_Toc49849539"/>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8"/>
      <w:bookmarkEnd w:id="19"/>
      <w:bookmarkEnd w:id="20"/>
    </w:p>
    <w:p w14:paraId="1B2E0ED5">
      <w:pPr>
        <w:pStyle w:val="5"/>
        <w:adjustRightInd w:val="0"/>
        <w:snapToGrid w:val="0"/>
        <w:spacing w:beforeLines="0" w:line="560" w:lineRule="exact"/>
        <w:ind w:firstLine="672" w:firstLineChars="210"/>
        <w:outlineLvl w:val="2"/>
        <w:rPr>
          <w:rFonts w:ascii="楷体_GB2312" w:hAnsi="仿宋" w:eastAsia="楷体_GB2312"/>
          <w:bCs/>
          <w:color w:val="000000"/>
          <w:sz w:val="32"/>
          <w:szCs w:val="32"/>
        </w:rPr>
      </w:pPr>
      <w:bookmarkStart w:id="21" w:name="_Toc15378445"/>
      <w:bookmarkStart w:id="22" w:name="_Toc15377198"/>
      <w:bookmarkStart w:id="23" w:name="_Toc49849540"/>
      <w:r>
        <w:rPr>
          <w:rFonts w:hint="eastAsia" w:ascii="楷体_GB2312" w:hAnsi="仿宋" w:eastAsia="楷体_GB2312"/>
          <w:bCs/>
          <w:color w:val="000000"/>
          <w:sz w:val="32"/>
          <w:szCs w:val="32"/>
        </w:rPr>
        <w:t>（一）主要职能</w:t>
      </w:r>
      <w:bookmarkEnd w:id="21"/>
      <w:bookmarkEnd w:id="22"/>
      <w:bookmarkEnd w:id="23"/>
      <w:bookmarkStart w:id="24" w:name="_Toc15378446"/>
      <w:bookmarkStart w:id="25" w:name="_Toc15377199"/>
    </w:p>
    <w:p w14:paraId="250A8508">
      <w:pPr>
        <w:spacing w:line="560" w:lineRule="exact"/>
        <w:ind w:firstLine="640" w:firstLineChars="200"/>
        <w:rPr>
          <w:rFonts w:eastAsia="仿宋_GB2312"/>
          <w:sz w:val="32"/>
          <w:szCs w:val="32"/>
        </w:rPr>
      </w:pPr>
      <w:r>
        <w:rPr>
          <w:rFonts w:eastAsia="仿宋_GB2312"/>
          <w:sz w:val="32"/>
          <w:szCs w:val="32"/>
        </w:rPr>
        <w:t>1.负责建立健全并执行各项生态环境基本制度。贯彻执行国家、省、市有关法律、法规、规章和政策，会同有关部门拟订并组织实施区域内生态环境政策、规划。组织编制环境功能区划，会同有关部门编制并监督实施重点区域、流域、饮用水水源地生态环境规划和水功能区划，参与制定与区域内生态环境相关的经济、技术、资源配置和产业政策。参与拟订并贯彻执行区域内主体功能区划。</w:t>
      </w:r>
    </w:p>
    <w:p w14:paraId="18A5DF1B">
      <w:pPr>
        <w:spacing w:line="560" w:lineRule="exact"/>
        <w:ind w:firstLine="640" w:firstLineChars="200"/>
        <w:rPr>
          <w:rFonts w:eastAsia="仿宋_GB2312"/>
          <w:sz w:val="32"/>
          <w:szCs w:val="32"/>
        </w:rPr>
      </w:pPr>
      <w:r>
        <w:rPr>
          <w:rFonts w:eastAsia="仿宋_GB2312"/>
          <w:sz w:val="32"/>
          <w:szCs w:val="32"/>
        </w:rPr>
        <w:t>2.负责区域内较大及以下生态环境问题的统筹协调和监督管理。牵头协调区域内较大及以下突发生态环境事件和生态破坏事件的调查处理，指导协调区域内生态环境事件的应急、预警工作，参与实施生态环境损害赔偿制度，协调解决有关跨区域环境污染纠纷。统筹协调区域内生态环境保护工作。</w:t>
      </w:r>
    </w:p>
    <w:p w14:paraId="590AC6B8">
      <w:pPr>
        <w:spacing w:line="560" w:lineRule="exact"/>
        <w:ind w:firstLine="640" w:firstLineChars="200"/>
        <w:rPr>
          <w:rFonts w:eastAsia="仿宋_GB2312"/>
          <w:sz w:val="32"/>
          <w:szCs w:val="32"/>
        </w:rPr>
      </w:pPr>
      <w:r>
        <w:rPr>
          <w:rFonts w:eastAsia="仿宋_GB2312"/>
          <w:sz w:val="32"/>
          <w:szCs w:val="32"/>
        </w:rPr>
        <w:t>3.负责监督管理区域内减排目标的落实。组织实施区域内各类污染物排放总量控制和排污许可证制度，提出实施总量控制的污染物控制指标，督查、督办、核查污染物减排任务完成情况。实施生态环境目标责任制。</w:t>
      </w:r>
    </w:p>
    <w:p w14:paraId="35B41914">
      <w:pPr>
        <w:spacing w:line="560" w:lineRule="exact"/>
        <w:ind w:firstLine="640" w:firstLineChars="200"/>
        <w:rPr>
          <w:rFonts w:eastAsia="仿宋_GB2312"/>
          <w:sz w:val="32"/>
          <w:szCs w:val="32"/>
        </w:rPr>
      </w:pPr>
      <w:r>
        <w:rPr>
          <w:rFonts w:eastAsia="仿宋_GB2312"/>
          <w:sz w:val="32"/>
          <w:szCs w:val="32"/>
        </w:rPr>
        <w:t>4.负责提出区域内生态环境领域财政专项资金安排的建议。参与指导推动区域内循环经济和生态环保产业发展。</w:t>
      </w:r>
    </w:p>
    <w:p w14:paraId="457F4E41">
      <w:pPr>
        <w:spacing w:line="560" w:lineRule="exact"/>
        <w:ind w:firstLine="640" w:firstLineChars="200"/>
        <w:rPr>
          <w:rFonts w:eastAsia="仿宋_GB2312"/>
          <w:sz w:val="32"/>
          <w:szCs w:val="32"/>
        </w:rPr>
      </w:pPr>
      <w:r>
        <w:rPr>
          <w:rFonts w:eastAsia="仿宋_GB2312"/>
          <w:sz w:val="32"/>
          <w:szCs w:val="32"/>
        </w:rPr>
        <w:t>5.负责区域内生态环境污染防治的监督管理。组织制定并监督实施区域内大气、水、土壤、噪声、光、恶臭、固体废物、化学品、机动车等的污染防治管理制度。参与排污口设置管理工作，负责流域水环境保护工作，组织指导流域水环境治理。会同有关部门监督管理饮用水水源地生态环境保护工作，组织指导城乡生态环境综合整治工作，组织指导农业面源污染治理工作。监督指导区域大气环境保护工作，牵头建立区域大气污染联防联控协作机制并监督实施。按职责分工组织开展区域内强制性清洁生产审核工作。</w:t>
      </w:r>
    </w:p>
    <w:p w14:paraId="7B793B5A">
      <w:pPr>
        <w:spacing w:line="560" w:lineRule="exact"/>
        <w:ind w:firstLine="640" w:firstLineChars="200"/>
        <w:rPr>
          <w:rFonts w:eastAsia="仿宋_GB2312"/>
          <w:sz w:val="32"/>
          <w:szCs w:val="32"/>
        </w:rPr>
      </w:pPr>
      <w:r>
        <w:rPr>
          <w:rFonts w:eastAsia="仿宋_GB2312"/>
          <w:sz w:val="32"/>
          <w:szCs w:val="32"/>
        </w:rPr>
        <w:t>6.指导协调和监督区域内生态保护修复工作。监督实施区域内生态保护规划，监督对生态环境有影响的自然资源开发利用活动、重要生态环境建设和生态破坏恢复工作。组织、指导绿色生态示范创建工作。监督实施区域内各类自然保护地生态环境监督制度，承担自然保护地、生态保护红线相关监管工作。监督野生动植物保护、湿地生态环境保护、荒漠化防治等工作。指导协调和监督农村生态环境保护，监督生物技术环境安全，牵头生物物种（含遗传资源）工作，组织协调生物多样性保护工作，参与生态保护补偿工作。</w:t>
      </w:r>
    </w:p>
    <w:p w14:paraId="13509AB9">
      <w:pPr>
        <w:spacing w:line="560" w:lineRule="exact"/>
        <w:ind w:firstLine="640" w:firstLineChars="200"/>
        <w:rPr>
          <w:rFonts w:eastAsia="仿宋_GB2312"/>
          <w:sz w:val="32"/>
          <w:szCs w:val="32"/>
        </w:rPr>
      </w:pPr>
      <w:r>
        <w:rPr>
          <w:rFonts w:eastAsia="仿宋_GB2312"/>
          <w:sz w:val="32"/>
          <w:szCs w:val="32"/>
        </w:rPr>
        <w:t>7.负责区域内核与辐射安全的监督管理。贯彻执行国家、省核与辐射安全法律、法规、规章、政策、规划和技术标准。负责辐射环境事故应急处理工作，参与核事故应急处理。监督管理放射源与射线装置安全，监督管理区域内核技术应用、电磁辐射、伴有放射性矿产资源开发利用中的污染防治。负责核与辐射建设项目“三同时”（同时设计、同时施工、同时投产使用）管理工作，参与对核材料的管制和民用核安全设备的设计、制造、安装和无损检验活动的监督管理。负责核与辐射环境监测和执法工作。参与反生化、核与辐射恐怖事件的防范和处理。</w:t>
      </w:r>
    </w:p>
    <w:p w14:paraId="2DA39128">
      <w:pPr>
        <w:spacing w:line="560" w:lineRule="exact"/>
        <w:ind w:firstLine="640" w:firstLineChars="200"/>
        <w:rPr>
          <w:rFonts w:eastAsia="仿宋_GB2312"/>
          <w:sz w:val="32"/>
          <w:szCs w:val="32"/>
        </w:rPr>
      </w:pPr>
      <w:r>
        <w:rPr>
          <w:rFonts w:eastAsia="仿宋_GB2312"/>
          <w:sz w:val="32"/>
          <w:szCs w:val="32"/>
        </w:rPr>
        <w:t>8.负责区域内生态环境准入的监督管理。根据授权对建设项目环境影响评价文件进行审批，按规定审查开发建设区域、规划、项目环境影响评价文件。组织实施区域内生态环境准入清单。</w:t>
      </w:r>
    </w:p>
    <w:p w14:paraId="188C4147">
      <w:pPr>
        <w:spacing w:line="560" w:lineRule="exact"/>
        <w:ind w:firstLine="640" w:firstLineChars="200"/>
        <w:rPr>
          <w:rFonts w:eastAsia="仿宋_GB2312"/>
          <w:sz w:val="32"/>
          <w:szCs w:val="32"/>
        </w:rPr>
      </w:pPr>
      <w:r>
        <w:rPr>
          <w:rFonts w:eastAsia="仿宋_GB2312"/>
          <w:sz w:val="32"/>
          <w:szCs w:val="32"/>
        </w:rPr>
        <w:t>9.负责区域内生态环境监测、统计和信息发布工作。监督执行国家、省颁布的各类环境标准，组织实施环境监测制度和规范相关工作。会同有关部门统一规划区域内生态环境质量监测站点设置，组织实施污染源监督性监测、执法监测、温室气体减排监测和应急监测，按要求做好生态环境质量监测相关工作。对区域生态环境质量状况进行调查评价、预警预测，参与建设和管理生态环境监测网和生态环境信息网。负责区域内生态环境质量考核和生态环境统计工作。实行生态环境质量公告制度，统一发布区域内生态环境综合性报告和重大环境信息。</w:t>
      </w:r>
    </w:p>
    <w:p w14:paraId="5FBC82C8">
      <w:pPr>
        <w:spacing w:line="560" w:lineRule="exact"/>
        <w:ind w:firstLine="640" w:firstLineChars="200"/>
        <w:rPr>
          <w:rFonts w:eastAsia="仿宋_GB2312"/>
          <w:sz w:val="32"/>
          <w:szCs w:val="32"/>
        </w:rPr>
      </w:pPr>
      <w:r>
        <w:rPr>
          <w:rFonts w:eastAsia="仿宋_GB2312"/>
          <w:sz w:val="32"/>
          <w:szCs w:val="32"/>
        </w:rPr>
        <w:t>10.负责应对气候变化工作。组织实施国家、省应对气候变化及温室气体减排重大战略、规划和政策，组织实施区域内应对气候变化的规划和政策措施。</w:t>
      </w:r>
    </w:p>
    <w:p w14:paraId="79941F50">
      <w:pPr>
        <w:spacing w:line="560" w:lineRule="exact"/>
        <w:ind w:firstLine="640" w:firstLineChars="200"/>
        <w:rPr>
          <w:rFonts w:eastAsia="仿宋_GB2312"/>
          <w:sz w:val="32"/>
          <w:szCs w:val="32"/>
        </w:rPr>
      </w:pPr>
      <w:r>
        <w:rPr>
          <w:rFonts w:eastAsia="仿宋_GB2312"/>
          <w:sz w:val="32"/>
          <w:szCs w:val="32"/>
        </w:rPr>
        <w:t>11.组织开展中央、省环保督察反馈问题的整改。贯彻执行中央、省生态环境保护督察制度。督促协调产业园区、乡镇（街道）和区域内有关部门整改突出环境问题。</w:t>
      </w:r>
    </w:p>
    <w:p w14:paraId="31A23862">
      <w:pPr>
        <w:spacing w:line="560" w:lineRule="exact"/>
        <w:ind w:firstLine="640" w:firstLineChars="200"/>
        <w:rPr>
          <w:rFonts w:eastAsia="仿宋_GB2312"/>
          <w:sz w:val="32"/>
          <w:szCs w:val="32"/>
        </w:rPr>
      </w:pPr>
      <w:r>
        <w:rPr>
          <w:rFonts w:eastAsia="仿宋_GB2312"/>
          <w:sz w:val="32"/>
          <w:szCs w:val="32"/>
        </w:rPr>
        <w:t>12.负责区域内生态环境监督执法。组织开展区域内生态环境保护执法检查，根据授权查处生态环境违法问题。监督实施建设项目生态环境保护设施“三同时”制度。</w:t>
      </w:r>
    </w:p>
    <w:p w14:paraId="2244A8B9">
      <w:pPr>
        <w:spacing w:line="560" w:lineRule="exact"/>
        <w:ind w:firstLine="640" w:firstLineChars="200"/>
        <w:rPr>
          <w:rFonts w:eastAsia="仿宋_GB2312"/>
          <w:sz w:val="32"/>
          <w:szCs w:val="32"/>
        </w:rPr>
      </w:pPr>
      <w:r>
        <w:rPr>
          <w:rFonts w:eastAsia="仿宋_GB2312"/>
          <w:sz w:val="32"/>
          <w:szCs w:val="32"/>
        </w:rPr>
        <w:t>13.组织指导和协调区域内生态环境宣传教育工作。制定并组织实施区域内生态环境保护宣传教育有关规划和计划。推动社会组织和公众参与生态环境保护。会同有关部门依法对区域内保护和改善生态环境有显著成绩的单位和个人给予表扬和奖励。</w:t>
      </w:r>
    </w:p>
    <w:p w14:paraId="1C659FB8">
      <w:pPr>
        <w:spacing w:line="560" w:lineRule="exact"/>
        <w:ind w:firstLine="640" w:firstLineChars="200"/>
        <w:rPr>
          <w:rFonts w:eastAsia="仿宋_GB2312"/>
          <w:sz w:val="32"/>
          <w:szCs w:val="32"/>
        </w:rPr>
      </w:pPr>
      <w:r>
        <w:rPr>
          <w:rFonts w:eastAsia="仿宋_GB2312"/>
          <w:sz w:val="32"/>
          <w:szCs w:val="32"/>
        </w:rPr>
        <w:t>14.开展生态环境科技工作。管理区域内生态环境保护科技成果并推广应用。组织开展生态环境重大科学研究和技术工程示范，推动生态环境技术管理体系建设。</w:t>
      </w:r>
    </w:p>
    <w:p w14:paraId="10B98752">
      <w:pPr>
        <w:spacing w:line="560" w:lineRule="exact"/>
        <w:ind w:firstLine="640" w:firstLineChars="200"/>
        <w:rPr>
          <w:rFonts w:eastAsia="仿宋_GB2312"/>
          <w:sz w:val="32"/>
          <w:szCs w:val="32"/>
        </w:rPr>
      </w:pPr>
      <w:r>
        <w:rPr>
          <w:rFonts w:eastAsia="仿宋_GB2312"/>
          <w:sz w:val="32"/>
          <w:szCs w:val="32"/>
        </w:rPr>
        <w:t>15.负责职责范围内安全生产和职业健康等工作。</w:t>
      </w:r>
    </w:p>
    <w:p w14:paraId="5B917A96">
      <w:pPr>
        <w:spacing w:line="560" w:lineRule="exact"/>
        <w:ind w:firstLine="640" w:firstLineChars="200"/>
        <w:rPr>
          <w:rFonts w:eastAsia="仿宋_GB2312"/>
          <w:sz w:val="32"/>
          <w:szCs w:val="32"/>
        </w:rPr>
      </w:pPr>
      <w:r>
        <w:rPr>
          <w:rFonts w:eastAsia="仿宋_GB2312"/>
          <w:sz w:val="32"/>
          <w:szCs w:val="32"/>
        </w:rPr>
        <w:t>16.职能转变。统一行使区域内生态和城乡各类污染排放监管职责，按照国家、省确定的综合行政执法改革要求承担与此对应的行政执法职责，负责区域内生态环境质量监测、调查评价和考核，切实履行监管责任，加强事中事后监管，全面落实大气、水、土壤污染防治行动计划，强化固体废物、化学品、重金属污染防治监督管理。构建政府为主导、企业为主体、社会组织和公众共同参与的生态环境治理体系，实施最严格的生态环境保护制度，严守生态保护红线和环境质量底线，坚决打好污染防治攻坚战，筑牢长江上游生态屏障，保障生态安全。</w:t>
      </w:r>
    </w:p>
    <w:p w14:paraId="5347745A">
      <w:pPr>
        <w:pStyle w:val="3"/>
        <w:spacing w:before="0" w:after="0"/>
        <w:rPr>
          <w:rFonts w:ascii="楷体_GB2312" w:eastAsia="楷体_GB2312"/>
          <w:b w:val="0"/>
        </w:rPr>
      </w:pPr>
      <w:r>
        <w:rPr>
          <w:rFonts w:hint="eastAsia" w:ascii="楷体_GB2312" w:eastAsia="楷体_GB2312"/>
        </w:rPr>
        <w:t xml:space="preserve">  </w:t>
      </w:r>
      <w:r>
        <w:rPr>
          <w:rFonts w:hint="eastAsia" w:ascii="楷体_GB2312" w:eastAsia="楷体_GB2312"/>
          <w:b w:val="0"/>
        </w:rPr>
        <w:t xml:space="preserve">  </w:t>
      </w:r>
      <w:bookmarkStart w:id="26" w:name="_Toc49849541"/>
      <w:r>
        <w:rPr>
          <w:rFonts w:hint="eastAsia" w:ascii="楷体_GB2312" w:eastAsia="楷体_GB2312"/>
          <w:b w:val="0"/>
        </w:rPr>
        <w:t>（二）2019年度重点工作完成情况</w:t>
      </w:r>
      <w:bookmarkEnd w:id="26"/>
    </w:p>
    <w:p w14:paraId="2ECB25A6">
      <w:pPr>
        <w:spacing w:line="560" w:lineRule="exact"/>
        <w:ind w:firstLine="640" w:firstLineChars="200"/>
        <w:rPr>
          <w:rFonts w:hAnsi="仿宋"/>
          <w:bCs/>
          <w:color w:val="000000"/>
          <w:sz w:val="32"/>
          <w:szCs w:val="32"/>
        </w:rPr>
      </w:pPr>
      <w:r>
        <w:rPr>
          <w:rFonts w:hAnsi="仿宋"/>
          <w:bCs/>
          <w:color w:val="000000"/>
          <w:sz w:val="32"/>
          <w:szCs w:val="32"/>
        </w:rPr>
        <w:t>2019</w:t>
      </w:r>
      <w:r>
        <w:rPr>
          <w:rFonts w:eastAsia="仿宋_GB2312"/>
          <w:color w:val="000000"/>
          <w:sz w:val="32"/>
          <w:szCs w:val="32"/>
        </w:rPr>
        <w:t>年</w:t>
      </w:r>
      <w:r>
        <w:rPr>
          <w:rFonts w:hint="eastAsia" w:eastAsia="仿宋_GB2312"/>
          <w:color w:val="000000"/>
          <w:sz w:val="32"/>
          <w:szCs w:val="32"/>
        </w:rPr>
        <w:t>度</w:t>
      </w:r>
      <w:r>
        <w:rPr>
          <w:rFonts w:eastAsia="仿宋_GB2312"/>
          <w:color w:val="000000"/>
          <w:sz w:val="32"/>
          <w:szCs w:val="32"/>
        </w:rPr>
        <w:t>，市政府下达给我县的环境空气质量年度目标为：空气质量优良率≥98.6%（可下浮0.5%，即98.1%），细颗粒物（PM2.5）年均浓度≤28.3μg/m3（可上浮10%，即31.1μg/m3）。截至10月22日，我县空气质量优良率为96.9%，PM2.5年均浓度为26μg/m3。据分析，若剩下70天不出现超标情况，空气质量优良率目标仍不能完成，PM2.5年均浓度目标可基本完成。</w:t>
      </w:r>
    </w:p>
    <w:p w14:paraId="640B0E78">
      <w:pPr>
        <w:spacing w:line="560" w:lineRule="exact"/>
        <w:ind w:firstLine="640" w:firstLineChars="200"/>
        <w:rPr>
          <w:rFonts w:eastAsia="仿宋_GB2312"/>
          <w:color w:val="000000"/>
          <w:sz w:val="32"/>
          <w:szCs w:val="32"/>
        </w:rPr>
      </w:pPr>
      <w:r>
        <w:rPr>
          <w:rFonts w:hint="eastAsia" w:eastAsia="仿宋_GB2312"/>
          <w:color w:val="000000"/>
          <w:sz w:val="32"/>
          <w:szCs w:val="32"/>
        </w:rPr>
        <w:t>县级重点工作完成情况。</w:t>
      </w:r>
    </w:p>
    <w:p w14:paraId="712D23EF">
      <w:pPr>
        <w:spacing w:line="560" w:lineRule="exact"/>
        <w:ind w:firstLine="640"/>
        <w:rPr>
          <w:rFonts w:eastAsia="仿宋_GB2312"/>
          <w:color w:val="000000"/>
          <w:sz w:val="32"/>
          <w:szCs w:val="32"/>
        </w:rPr>
      </w:pPr>
      <w:r>
        <w:rPr>
          <w:rFonts w:eastAsia="仿宋_GB2312"/>
          <w:color w:val="000000"/>
          <w:sz w:val="32"/>
          <w:szCs w:val="32"/>
        </w:rPr>
        <w:t>1.空气质量优的天数达到80天。2018年，我县空气质量优的天数为58天。今年，我县狠抓空气质量保障，优的天数大幅增多，截至10月22日，优的天数已达到了114天，全面完成年度目标任务。</w:t>
      </w:r>
    </w:p>
    <w:p w14:paraId="76040138">
      <w:pPr>
        <w:pStyle w:val="3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2.按照整改方案要求完成环保督察问题整改。目前，《米易县落实中央生态环保督察</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回头看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反馈意见整改任务清单》整改措施已完成35条，剩余25条正在整改中，完成率为58%，10个具体整改项目均已进场开工，开工率100%，已完成整改1个（老城区污水管网改造），其余措施和项目预计年底前全部完成整改。43个省级环保督察反馈问题整改完成39个，整改率达90.7%（剩下的4个未完成问题均纳入中央环保督察</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回头看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反馈问题）。2018年省环保督察</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回头看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现场督查移交的18个问题已完成16个，整改率达88.89%，剩下的2个未完成问题中县城垃圾填埋场项目已纳入央督</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回头看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整改清单，年度目标任务全面完成。</w:t>
      </w:r>
    </w:p>
    <w:p w14:paraId="75E9CCB4">
      <w:pPr>
        <w:spacing w:line="560" w:lineRule="exact"/>
        <w:ind w:firstLine="680"/>
        <w:rPr>
          <w:rFonts w:eastAsia="仿宋_GB2312"/>
          <w:color w:val="000000"/>
          <w:sz w:val="32"/>
          <w:szCs w:val="32"/>
        </w:rPr>
      </w:pPr>
      <w:r>
        <w:rPr>
          <w:rFonts w:hint="eastAsia" w:eastAsia="仿宋_GB2312"/>
          <w:color w:val="000000"/>
          <w:sz w:val="32"/>
          <w:szCs w:val="32"/>
        </w:rPr>
        <w:t>3.</w:t>
      </w:r>
      <w:r>
        <w:rPr>
          <w:rFonts w:eastAsia="仿宋_GB2312"/>
          <w:color w:val="000000"/>
          <w:sz w:val="32"/>
          <w:szCs w:val="32"/>
        </w:rPr>
        <w:t>推进全县农村生活污水治理工作。今年以来，我局根据米易实际，因地制宜，采取</w:t>
      </w:r>
      <w:r>
        <w:rPr>
          <w:rFonts w:hint="eastAsia" w:eastAsia="仿宋_GB2312"/>
          <w:color w:val="000000"/>
          <w:sz w:val="32"/>
          <w:szCs w:val="32"/>
        </w:rPr>
        <w:t>“</w:t>
      </w:r>
      <w:r>
        <w:rPr>
          <w:rFonts w:eastAsia="仿宋_GB2312"/>
          <w:color w:val="000000"/>
          <w:sz w:val="32"/>
          <w:szCs w:val="32"/>
        </w:rPr>
        <w:t>集镇建集中式污水处理设施</w:t>
      </w:r>
      <w:r>
        <w:rPr>
          <w:rFonts w:hint="eastAsia" w:eastAsia="仿宋_GB2312"/>
          <w:color w:val="000000"/>
          <w:sz w:val="32"/>
          <w:szCs w:val="32"/>
        </w:rPr>
        <w:t>”</w:t>
      </w:r>
      <w:r>
        <w:rPr>
          <w:rFonts w:eastAsia="仿宋_GB2312"/>
          <w:color w:val="000000"/>
          <w:sz w:val="32"/>
          <w:szCs w:val="32"/>
        </w:rPr>
        <w:t>、</w:t>
      </w:r>
      <w:r>
        <w:rPr>
          <w:rFonts w:hint="eastAsia" w:eastAsia="仿宋_GB2312"/>
          <w:color w:val="000000"/>
          <w:sz w:val="32"/>
          <w:szCs w:val="32"/>
        </w:rPr>
        <w:t>“</w:t>
      </w:r>
      <w:r>
        <w:rPr>
          <w:rFonts w:eastAsia="仿宋_GB2312"/>
          <w:color w:val="000000"/>
          <w:sz w:val="32"/>
          <w:szCs w:val="32"/>
        </w:rPr>
        <w:t>新村聚居点建人工湿地</w:t>
      </w:r>
      <w:r>
        <w:rPr>
          <w:rFonts w:hint="eastAsia" w:eastAsia="仿宋_GB2312"/>
          <w:color w:val="000000"/>
          <w:sz w:val="32"/>
          <w:szCs w:val="32"/>
        </w:rPr>
        <w:t>”</w:t>
      </w:r>
      <w:r>
        <w:rPr>
          <w:rFonts w:eastAsia="仿宋_GB2312"/>
          <w:color w:val="000000"/>
          <w:sz w:val="32"/>
          <w:szCs w:val="32"/>
        </w:rPr>
        <w:t>、</w:t>
      </w:r>
      <w:r>
        <w:rPr>
          <w:rFonts w:hint="eastAsia" w:eastAsia="仿宋_GB2312"/>
          <w:color w:val="000000"/>
          <w:sz w:val="32"/>
          <w:szCs w:val="32"/>
        </w:rPr>
        <w:t>“</w:t>
      </w:r>
      <w:r>
        <w:rPr>
          <w:rFonts w:eastAsia="仿宋_GB2312"/>
          <w:color w:val="000000"/>
          <w:sz w:val="32"/>
          <w:szCs w:val="32"/>
        </w:rPr>
        <w:t>散户厕污共治</w:t>
      </w:r>
      <w:r>
        <w:rPr>
          <w:rFonts w:hint="eastAsia" w:eastAsia="仿宋_GB2312"/>
          <w:color w:val="000000"/>
          <w:sz w:val="32"/>
          <w:szCs w:val="32"/>
        </w:rPr>
        <w:t>”</w:t>
      </w:r>
      <w:r>
        <w:rPr>
          <w:rFonts w:eastAsia="仿宋_GB2312"/>
          <w:color w:val="000000"/>
          <w:sz w:val="32"/>
          <w:szCs w:val="32"/>
        </w:rPr>
        <w:t>三种模式，全面推进全县农村生活污水有效治理。制定下发了《米易县2019年农村生活污水治理工作实施方案》，全力推进撒莲镇、得石镇、普威镇、白马镇等4个集镇污水处理PPP项目以及丙谷镇污水处理设施、白坡乡集镇人工湿地建设；加大投入，确保已建24台（套）污水处理设施正常运行；农村散户生活污水结合厕污共治、沼气池建设、还田利用等方式开展治理工作。目前，我县农村生活污水基本得到有效处理，农村无生活污水横流现象，沟渠无黑臭水体。</w:t>
      </w:r>
    </w:p>
    <w:p w14:paraId="1E94A098">
      <w:pPr>
        <w:pStyle w:val="30"/>
        <w:spacing w:line="560" w:lineRule="exact"/>
        <w:ind w:firstLine="643" w:firstLineChars="200"/>
        <w:rPr>
          <w:rFonts w:ascii="Times New Roman" w:hAnsi="Times New Roman" w:cs="Times New Roman"/>
        </w:rPr>
      </w:pPr>
      <w:r>
        <w:rPr>
          <w:rFonts w:hint="eastAsia" w:ascii="Times New Roman" w:hAnsi="Times New Roman" w:eastAsia="仿宋_GB2312" w:cs="Times New Roman"/>
          <w:b/>
          <w:sz w:val="32"/>
          <w:szCs w:val="32"/>
        </w:rPr>
        <w:t>4.</w:t>
      </w:r>
      <w:r>
        <w:rPr>
          <w:rFonts w:ascii="Times New Roman" w:hAnsi="Times New Roman" w:eastAsia="仿宋_GB2312" w:cs="Times New Roman"/>
          <w:b/>
          <w:sz w:val="32"/>
          <w:szCs w:val="32"/>
        </w:rPr>
        <w:t>做好全国第二次污染源普查工作。</w:t>
      </w:r>
      <w:r>
        <w:rPr>
          <w:rFonts w:ascii="Times New Roman" w:hAnsi="Times New Roman" w:eastAsia="仿宋_GB2312" w:cs="Times New Roman"/>
          <w:sz w:val="32"/>
          <w:szCs w:val="32"/>
        </w:rPr>
        <w:t>全力以赴，扎实推进米易县第二次全国污染源普查工作，有效提高我县污染源普查的数据质量。一是市、县两级财政共落实污染源普查经费34万元，有效保障了污染源普查工作顺利开展。二是积极参加省、市污染源普查培训71人次，为污染源普查工作顺利开展打下了坚实的技术基础。三是在入户调查和数据采集阶段开展了多次现场报表填报及数据质量审核，通过内审、部门审核、集中会审和专家审核等多种审核方式，保证了入户调查的数据质量。四是在长达4个多月的数据核算阶段，完成了全部污染源（工业源107个、入河排污口17个、集中式污染治理设施8个、畜禽养殖17个、行政村87个、移动源12个、综合机关5张表）的产排污量核算，通过了省、市污普办组织的现场核查，确保全县产排污数据的真实有效。五是已完成前期准备及清查阶段、入户调查与数据采集阶段、普查数据汇总审核阶段三大阶段四大报告的编写，保障全县污染源普查工作质量达标。</w:t>
      </w:r>
    </w:p>
    <w:bookmarkEnd w:id="24"/>
    <w:bookmarkEnd w:id="25"/>
    <w:p w14:paraId="0B598F7A">
      <w:pPr>
        <w:pStyle w:val="3"/>
        <w:spacing w:before="0" w:after="0" w:line="560" w:lineRule="exact"/>
        <w:rPr>
          <w:rStyle w:val="25"/>
          <w:b w:val="0"/>
          <w:bCs w:val="0"/>
        </w:rPr>
      </w:pPr>
      <w:bookmarkStart w:id="27" w:name="_Toc15377200"/>
      <w:bookmarkStart w:id="28" w:name="_Toc15396601"/>
      <w:r>
        <w:rPr>
          <w:rFonts w:hint="eastAsia" w:ascii="黑体" w:eastAsia="黑体"/>
          <w:b w:val="0"/>
          <w:color w:val="000000"/>
        </w:rPr>
        <w:t xml:space="preserve">    </w:t>
      </w:r>
      <w:bookmarkStart w:id="29" w:name="_Toc49849542"/>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7"/>
      <w:bookmarkEnd w:id="28"/>
      <w:bookmarkEnd w:id="29"/>
    </w:p>
    <w:p w14:paraId="2E7F49F8">
      <w:pPr>
        <w:spacing w:line="560" w:lineRule="exact"/>
        <w:ind w:firstLine="800" w:firstLineChars="250"/>
        <w:rPr>
          <w:rFonts w:ascii="仿宋" w:hAnsi="仿宋" w:eastAsia="仿宋"/>
          <w:sz w:val="32"/>
          <w:szCs w:val="32"/>
        </w:rPr>
      </w:pPr>
      <w:r>
        <w:rPr>
          <w:rFonts w:hint="eastAsia" w:eastAsia="仿宋_GB2312"/>
          <w:sz w:val="32"/>
          <w:szCs w:val="32"/>
        </w:rPr>
        <w:t>攀枝花市米易生态环境局</w:t>
      </w:r>
      <w:r>
        <w:rPr>
          <w:rFonts w:eastAsia="仿宋_GB2312"/>
          <w:sz w:val="32"/>
          <w:szCs w:val="32"/>
        </w:rPr>
        <w:t>行政单位1个，参照公务员法管理的事业单位1个，其他事业单位1个。</w:t>
      </w:r>
    </w:p>
    <w:p w14:paraId="3AF8B913">
      <w:pPr>
        <w:widowControl/>
        <w:jc w:val="left"/>
        <w:rPr>
          <w:rFonts w:ascii="仿宋" w:hAnsi="仿宋" w:eastAsia="仿宋"/>
          <w:color w:val="000000"/>
          <w:sz w:val="32"/>
          <w:szCs w:val="32"/>
        </w:rPr>
      </w:pPr>
    </w:p>
    <w:p w14:paraId="4AF5C9D5">
      <w:pPr>
        <w:widowControl/>
        <w:jc w:val="left"/>
        <w:rPr>
          <w:rFonts w:ascii="仿宋" w:hAnsi="仿宋" w:eastAsia="仿宋"/>
          <w:color w:val="000000"/>
          <w:sz w:val="32"/>
          <w:szCs w:val="32"/>
        </w:rPr>
      </w:pPr>
    </w:p>
    <w:p w14:paraId="19BDC155">
      <w:pPr>
        <w:widowControl/>
        <w:jc w:val="left"/>
        <w:rPr>
          <w:rFonts w:ascii="仿宋" w:hAnsi="仿宋" w:eastAsia="仿宋"/>
          <w:color w:val="000000"/>
          <w:sz w:val="32"/>
          <w:szCs w:val="32"/>
        </w:rPr>
      </w:pPr>
    </w:p>
    <w:p w14:paraId="32A025AD">
      <w:pPr>
        <w:widowControl/>
        <w:jc w:val="left"/>
        <w:rPr>
          <w:rFonts w:ascii="仿宋" w:hAnsi="仿宋" w:eastAsia="仿宋"/>
          <w:color w:val="000000"/>
          <w:sz w:val="32"/>
          <w:szCs w:val="32"/>
        </w:rPr>
      </w:pPr>
    </w:p>
    <w:p w14:paraId="2134A2FD">
      <w:pPr>
        <w:widowControl/>
        <w:jc w:val="left"/>
        <w:rPr>
          <w:rFonts w:ascii="仿宋" w:hAnsi="仿宋" w:eastAsia="仿宋"/>
          <w:color w:val="000000"/>
          <w:sz w:val="32"/>
          <w:szCs w:val="32"/>
        </w:rPr>
      </w:pPr>
    </w:p>
    <w:p w14:paraId="0580E5FF">
      <w:pPr>
        <w:widowControl/>
        <w:jc w:val="left"/>
        <w:rPr>
          <w:rFonts w:ascii="仿宋" w:hAnsi="仿宋" w:eastAsia="仿宋"/>
          <w:color w:val="000000"/>
          <w:sz w:val="32"/>
          <w:szCs w:val="32"/>
        </w:rPr>
      </w:pPr>
    </w:p>
    <w:p w14:paraId="4B7E2D14">
      <w:pPr>
        <w:widowControl/>
        <w:jc w:val="left"/>
        <w:rPr>
          <w:rFonts w:ascii="仿宋" w:hAnsi="仿宋" w:eastAsia="仿宋"/>
          <w:color w:val="000000"/>
          <w:sz w:val="32"/>
          <w:szCs w:val="32"/>
        </w:rPr>
      </w:pPr>
    </w:p>
    <w:p w14:paraId="68BFE593">
      <w:pPr>
        <w:widowControl/>
        <w:jc w:val="left"/>
        <w:rPr>
          <w:rFonts w:ascii="仿宋" w:hAnsi="仿宋" w:eastAsia="仿宋"/>
          <w:color w:val="000000"/>
          <w:sz w:val="32"/>
          <w:szCs w:val="32"/>
        </w:rPr>
      </w:pPr>
    </w:p>
    <w:p w14:paraId="56D4B5EE">
      <w:pPr>
        <w:widowControl/>
        <w:jc w:val="left"/>
        <w:rPr>
          <w:rFonts w:ascii="仿宋" w:hAnsi="仿宋" w:eastAsia="仿宋"/>
          <w:color w:val="000000"/>
          <w:sz w:val="32"/>
          <w:szCs w:val="32"/>
        </w:rPr>
      </w:pPr>
    </w:p>
    <w:p w14:paraId="11B7DCA8">
      <w:pPr>
        <w:widowControl/>
        <w:jc w:val="left"/>
        <w:rPr>
          <w:rFonts w:ascii="仿宋" w:hAnsi="仿宋" w:eastAsia="仿宋"/>
          <w:color w:val="000000"/>
          <w:sz w:val="32"/>
          <w:szCs w:val="32"/>
        </w:rPr>
      </w:pPr>
    </w:p>
    <w:p w14:paraId="18FE860C">
      <w:pPr>
        <w:widowControl/>
        <w:jc w:val="left"/>
        <w:rPr>
          <w:rFonts w:ascii="仿宋" w:hAnsi="仿宋" w:eastAsia="仿宋"/>
          <w:color w:val="000000"/>
          <w:sz w:val="32"/>
          <w:szCs w:val="32"/>
        </w:rPr>
      </w:pPr>
    </w:p>
    <w:p w14:paraId="545ED9BD">
      <w:pPr>
        <w:widowControl/>
        <w:jc w:val="left"/>
        <w:rPr>
          <w:rFonts w:ascii="仿宋" w:hAnsi="仿宋" w:eastAsia="仿宋"/>
          <w:color w:val="000000"/>
          <w:sz w:val="32"/>
          <w:szCs w:val="32"/>
        </w:rPr>
      </w:pPr>
    </w:p>
    <w:p w14:paraId="368B5695">
      <w:pPr>
        <w:widowControl/>
        <w:jc w:val="left"/>
        <w:rPr>
          <w:rFonts w:ascii="仿宋" w:hAnsi="仿宋" w:eastAsia="仿宋"/>
          <w:color w:val="000000"/>
          <w:sz w:val="32"/>
          <w:szCs w:val="32"/>
        </w:rPr>
      </w:pPr>
    </w:p>
    <w:p w14:paraId="49975063">
      <w:pPr>
        <w:widowControl/>
        <w:jc w:val="left"/>
        <w:rPr>
          <w:rFonts w:ascii="仿宋" w:hAnsi="仿宋" w:eastAsia="仿宋"/>
          <w:color w:val="000000"/>
          <w:sz w:val="32"/>
          <w:szCs w:val="32"/>
        </w:rPr>
      </w:pPr>
    </w:p>
    <w:p w14:paraId="334EEB9D">
      <w:pPr>
        <w:widowControl/>
        <w:jc w:val="left"/>
        <w:rPr>
          <w:rFonts w:ascii="仿宋" w:hAnsi="仿宋" w:eastAsia="仿宋"/>
          <w:color w:val="000000"/>
          <w:sz w:val="32"/>
          <w:szCs w:val="32"/>
        </w:rPr>
      </w:pPr>
    </w:p>
    <w:p w14:paraId="1DB222D6">
      <w:pPr>
        <w:widowControl/>
        <w:jc w:val="left"/>
        <w:rPr>
          <w:rFonts w:ascii="仿宋" w:hAnsi="仿宋" w:eastAsia="仿宋"/>
          <w:color w:val="000000"/>
          <w:sz w:val="32"/>
          <w:szCs w:val="32"/>
        </w:rPr>
      </w:pPr>
    </w:p>
    <w:p w14:paraId="1A9A2568">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5426FFF2">
      <w:pPr>
        <w:pStyle w:val="2"/>
        <w:ind w:right="440"/>
        <w:jc w:val="right"/>
        <w:rPr>
          <w:rStyle w:val="24"/>
          <w:rFonts w:ascii="黑体" w:hAnsi="黑体" w:eastAsia="黑体"/>
          <w:b w:val="0"/>
          <w:bCs w:val="0"/>
        </w:rPr>
      </w:pPr>
      <w:bookmarkStart w:id="30" w:name="_Toc49849543"/>
      <w:bookmarkStart w:id="31" w:name="_Toc15377204"/>
      <w:bookmarkStart w:id="32"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30"/>
      <w:bookmarkEnd w:id="31"/>
      <w:bookmarkEnd w:id="32"/>
    </w:p>
    <w:p w14:paraId="7B4E8670"/>
    <w:p w14:paraId="29D2268E">
      <w:pPr>
        <w:spacing w:line="560" w:lineRule="exact"/>
        <w:outlineLvl w:val="1"/>
        <w:rPr>
          <w:rFonts w:ascii="黑体" w:hAnsi="黑体" w:eastAsia="黑体" w:cstheme="majorBidi"/>
          <w:bCs/>
          <w:sz w:val="32"/>
          <w:szCs w:val="32"/>
        </w:rPr>
      </w:pPr>
      <w:bookmarkStart w:id="33" w:name="_Toc15396603"/>
      <w:bookmarkStart w:id="34" w:name="_Toc49849544"/>
      <w:bookmarkStart w:id="35" w:name="_Toc15377205"/>
      <w:r>
        <w:rPr>
          <w:rFonts w:hint="eastAsia" w:ascii="黑体" w:hAnsi="黑体" w:eastAsia="黑体"/>
          <w:color w:val="000000"/>
          <w:sz w:val="32"/>
          <w:szCs w:val="32"/>
        </w:rPr>
        <w:t xml:space="preserve">    一、收</w:t>
      </w:r>
      <w:r>
        <w:rPr>
          <w:rStyle w:val="25"/>
          <w:rFonts w:hint="eastAsia" w:ascii="黑体" w:hAnsi="黑体" w:eastAsia="黑体"/>
          <w:b w:val="0"/>
        </w:rPr>
        <w:t>入支出决算总体情况说明</w:t>
      </w:r>
      <w:bookmarkEnd w:id="33"/>
      <w:bookmarkEnd w:id="34"/>
      <w:bookmarkEnd w:id="35"/>
    </w:p>
    <w:p w14:paraId="1CD97AD6">
      <w:pPr>
        <w:spacing w:line="560" w:lineRule="exact"/>
        <w:ind w:firstLine="640" w:firstLineChars="200"/>
        <w:rPr>
          <w:rFonts w:eastAsia="仿宋_GB2312"/>
          <w:color w:val="000000"/>
          <w:sz w:val="32"/>
          <w:szCs w:val="32"/>
        </w:rPr>
      </w:pPr>
      <w:r>
        <w:rPr>
          <w:rFonts w:hint="eastAsia" w:eastAsia="仿宋_GB2312"/>
          <w:color w:val="000000"/>
          <w:sz w:val="32"/>
          <w:szCs w:val="32"/>
        </w:rPr>
        <w:t>2019年度收入921.52万元、支出1048.4万元。</w:t>
      </w:r>
      <w:r>
        <w:rPr>
          <w:rFonts w:eastAsia="仿宋_GB2312"/>
          <w:sz w:val="32"/>
          <w:szCs w:val="32"/>
        </w:rPr>
        <w:t>与2018年相比收</w:t>
      </w:r>
      <w:r>
        <w:rPr>
          <w:rFonts w:hint="eastAsia" w:eastAsia="仿宋_GB2312"/>
          <w:sz w:val="32"/>
          <w:szCs w:val="32"/>
        </w:rPr>
        <w:t>入减少0.8</w:t>
      </w:r>
      <w:r>
        <w:rPr>
          <w:rFonts w:eastAsia="仿宋_GB2312"/>
          <w:sz w:val="32"/>
          <w:szCs w:val="32"/>
        </w:rPr>
        <w:t>%</w:t>
      </w:r>
      <w:r>
        <w:rPr>
          <w:rFonts w:hint="eastAsia" w:eastAsia="仿宋_GB2312"/>
          <w:sz w:val="32"/>
          <w:szCs w:val="32"/>
        </w:rPr>
        <w:t>;支出增加229.23</w:t>
      </w:r>
      <w:r>
        <w:rPr>
          <w:rFonts w:eastAsia="仿宋_GB2312"/>
          <w:sz w:val="32"/>
          <w:szCs w:val="32"/>
        </w:rPr>
        <w:t>万元、</w:t>
      </w:r>
      <w:r>
        <w:rPr>
          <w:rFonts w:hint="eastAsia" w:eastAsia="仿宋_GB2312"/>
          <w:sz w:val="32"/>
          <w:szCs w:val="32"/>
        </w:rPr>
        <w:t>增加59.4</w:t>
      </w:r>
      <w:r>
        <w:rPr>
          <w:rFonts w:eastAsia="仿宋_GB2312"/>
          <w:sz w:val="32"/>
          <w:szCs w:val="32"/>
        </w:rPr>
        <w:t>%。主要变动原因是，社会保障缴费增加、调资，项目增加，上年结余等</w:t>
      </w:r>
      <w:r>
        <w:rPr>
          <w:rFonts w:eastAsia="仿宋_GB2312"/>
          <w:color w:val="000000"/>
          <w:sz w:val="32"/>
          <w:szCs w:val="32"/>
        </w:rPr>
        <w:t>。</w:t>
      </w:r>
    </w:p>
    <w:p w14:paraId="38081468">
      <w:pPr>
        <w:spacing w:line="560" w:lineRule="exact"/>
        <w:ind w:firstLine="640" w:firstLineChars="200"/>
        <w:rPr>
          <w:rFonts w:eastAsia="仿宋_GB2312"/>
          <w:color w:val="000000"/>
          <w:sz w:val="32"/>
          <w:szCs w:val="32"/>
        </w:rPr>
      </w:pPr>
    </w:p>
    <w:p w14:paraId="795C36A5">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59264" behindDoc="0" locked="0" layoutInCell="1" allowOverlap="1">
            <wp:simplePos x="0" y="0"/>
            <wp:positionH relativeFrom="margin">
              <wp:posOffset>238125</wp:posOffset>
            </wp:positionH>
            <wp:positionV relativeFrom="margin">
              <wp:posOffset>3381375</wp:posOffset>
            </wp:positionV>
            <wp:extent cx="4743450" cy="2581275"/>
            <wp:effectExtent l="19050" t="0" r="19050"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仿宋" w:hAnsi="仿宋" w:eastAsia="仿宋"/>
          <w:color w:val="000000" w:themeColor="text1"/>
          <w:sz w:val="32"/>
          <w:szCs w:val="32"/>
        </w:rPr>
        <w:t xml:space="preserve"> </w:t>
      </w:r>
    </w:p>
    <w:p w14:paraId="53963012">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w:t>
      </w:r>
      <w:bookmarkStart w:id="36" w:name="_Toc15396604"/>
      <w:bookmarkStart w:id="37" w:name="_Toc15377206"/>
      <w:r>
        <w:rPr>
          <w:rFonts w:hint="eastAsia" w:ascii="仿宋" w:hAnsi="仿宋" w:eastAsia="仿宋"/>
          <w:color w:val="000000" w:themeColor="text1"/>
          <w:sz w:val="32"/>
          <w:szCs w:val="32"/>
        </w:rPr>
        <w:t>（柱状图）</w:t>
      </w:r>
    </w:p>
    <w:p w14:paraId="427E3EC3">
      <w:pPr>
        <w:spacing w:line="600" w:lineRule="exact"/>
        <w:ind w:firstLine="640" w:firstLineChars="200"/>
        <w:rPr>
          <w:rFonts w:ascii="仿宋" w:hAnsi="仿宋" w:eastAsia="仿宋"/>
          <w:color w:val="000000" w:themeColor="text1"/>
          <w:sz w:val="32"/>
          <w:szCs w:val="32"/>
        </w:rPr>
      </w:pPr>
    </w:p>
    <w:p w14:paraId="29419F65">
      <w:pPr>
        <w:spacing w:line="600" w:lineRule="exact"/>
        <w:ind w:firstLine="640" w:firstLineChars="200"/>
        <w:rPr>
          <w:rFonts w:ascii="黑体" w:hAnsi="黑体" w:eastAsia="黑体"/>
          <w:color w:val="000000"/>
          <w:sz w:val="32"/>
          <w:szCs w:val="32"/>
        </w:rPr>
      </w:pPr>
    </w:p>
    <w:p w14:paraId="51FA5E58">
      <w:pPr>
        <w:spacing w:line="600" w:lineRule="exact"/>
        <w:ind w:firstLine="640" w:firstLineChars="200"/>
        <w:rPr>
          <w:rFonts w:ascii="黑体" w:hAnsi="黑体" w:eastAsia="黑体"/>
          <w:color w:val="000000"/>
          <w:sz w:val="32"/>
          <w:szCs w:val="32"/>
        </w:rPr>
      </w:pPr>
    </w:p>
    <w:p w14:paraId="7050244A">
      <w:pPr>
        <w:spacing w:line="600" w:lineRule="exact"/>
        <w:ind w:firstLine="640" w:firstLineChars="200"/>
        <w:rPr>
          <w:rFonts w:ascii="黑体" w:hAnsi="黑体" w:eastAsia="黑体"/>
          <w:color w:val="000000"/>
          <w:sz w:val="32"/>
          <w:szCs w:val="32"/>
        </w:rPr>
      </w:pPr>
    </w:p>
    <w:p w14:paraId="62E2BAB3">
      <w:pPr>
        <w:pStyle w:val="3"/>
        <w:rPr>
          <w:rFonts w:ascii="黑体" w:hAnsi="黑体" w:eastAsia="黑体"/>
          <w:b w:val="0"/>
          <w:color w:val="000000"/>
        </w:rPr>
      </w:pPr>
    </w:p>
    <w:p w14:paraId="16276B73">
      <w:pPr>
        <w:pStyle w:val="3"/>
        <w:spacing w:before="0" w:after="0" w:line="560" w:lineRule="exact"/>
        <w:rPr>
          <w:rFonts w:ascii="黑体" w:hAnsi="黑体" w:eastAsia="黑体"/>
          <w:b w:val="0"/>
        </w:rPr>
      </w:pPr>
      <w:r>
        <w:rPr>
          <w:rFonts w:hint="eastAsia" w:eastAsia="仿宋_GB2312"/>
          <w:b w:val="0"/>
        </w:rPr>
        <w:t xml:space="preserve">   </w:t>
      </w:r>
      <w:r>
        <w:rPr>
          <w:rFonts w:hint="eastAsia" w:ascii="黑体" w:hAnsi="黑体" w:eastAsia="黑体"/>
          <w:b w:val="0"/>
        </w:rPr>
        <w:t xml:space="preserve"> </w:t>
      </w:r>
      <w:bookmarkStart w:id="38" w:name="_Toc49849545"/>
      <w:r>
        <w:rPr>
          <w:rFonts w:hint="eastAsia" w:ascii="黑体" w:hAnsi="黑体" w:eastAsia="黑体"/>
          <w:b w:val="0"/>
        </w:rPr>
        <w:t>二、收入决算情况说明</w:t>
      </w:r>
      <w:bookmarkEnd w:id="36"/>
      <w:bookmarkEnd w:id="37"/>
      <w:bookmarkEnd w:id="38"/>
    </w:p>
    <w:p w14:paraId="4E8470C5">
      <w:pPr>
        <w:spacing w:line="560" w:lineRule="exact"/>
        <w:rPr>
          <w:rFonts w:eastAsia="仿宋_GB2312"/>
          <w:sz w:val="32"/>
          <w:szCs w:val="32"/>
        </w:rPr>
      </w:pPr>
      <w:r>
        <w:rPr>
          <w:rFonts w:hint="eastAsia" w:eastAsia="仿宋_GB2312"/>
          <w:sz w:val="32"/>
          <w:szCs w:val="32"/>
        </w:rPr>
        <w:t xml:space="preserve">    </w:t>
      </w:r>
      <w:r>
        <w:rPr>
          <w:rFonts w:eastAsia="仿宋_GB2312"/>
          <w:sz w:val="32"/>
          <w:szCs w:val="32"/>
        </w:rPr>
        <w:t>2019年度本年收入合计921.52万元，其中：一般公共预算财政拨款收入632.52万元，占68.6%；其他收入289万元，占31.4%。</w:t>
      </w:r>
    </w:p>
    <w:p w14:paraId="62A7C903">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0288" behindDoc="0" locked="0" layoutInCell="1" allowOverlap="1">
            <wp:simplePos x="0" y="0"/>
            <wp:positionH relativeFrom="margin">
              <wp:posOffset>723900</wp:posOffset>
            </wp:positionH>
            <wp:positionV relativeFrom="margin">
              <wp:posOffset>2286000</wp:posOffset>
            </wp:positionV>
            <wp:extent cx="3352800" cy="2133600"/>
            <wp:effectExtent l="19050" t="0" r="19050" b="0"/>
            <wp:wrapSquare wrapText="bothSides"/>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1452F420">
      <w:pPr>
        <w:spacing w:line="600" w:lineRule="exact"/>
        <w:ind w:firstLine="640" w:firstLineChars="200"/>
        <w:rPr>
          <w:rFonts w:ascii="仿宋" w:hAnsi="仿宋" w:eastAsia="仿宋"/>
          <w:color w:val="000000" w:themeColor="text1"/>
          <w:sz w:val="32"/>
          <w:szCs w:val="32"/>
        </w:rPr>
      </w:pPr>
    </w:p>
    <w:p w14:paraId="6FEBB0D5">
      <w:pPr>
        <w:spacing w:line="600" w:lineRule="exact"/>
        <w:ind w:firstLine="640" w:firstLineChars="200"/>
        <w:rPr>
          <w:rFonts w:ascii="仿宋" w:hAnsi="仿宋" w:eastAsia="仿宋"/>
          <w:color w:val="000000" w:themeColor="text1"/>
          <w:sz w:val="32"/>
          <w:szCs w:val="32"/>
        </w:rPr>
      </w:pPr>
    </w:p>
    <w:p w14:paraId="1172E8AC">
      <w:pPr>
        <w:spacing w:line="600" w:lineRule="exact"/>
        <w:ind w:firstLine="640" w:firstLineChars="200"/>
        <w:rPr>
          <w:rFonts w:ascii="仿宋" w:hAnsi="仿宋" w:eastAsia="仿宋"/>
          <w:color w:val="000000" w:themeColor="text1"/>
          <w:sz w:val="32"/>
          <w:szCs w:val="32"/>
        </w:rPr>
      </w:pPr>
    </w:p>
    <w:p w14:paraId="1DC8C70B">
      <w:pPr>
        <w:spacing w:line="600" w:lineRule="exact"/>
        <w:ind w:firstLine="640" w:firstLineChars="200"/>
        <w:rPr>
          <w:rFonts w:ascii="仿宋" w:hAnsi="仿宋" w:eastAsia="仿宋"/>
          <w:color w:val="000000" w:themeColor="text1"/>
          <w:sz w:val="32"/>
          <w:szCs w:val="32"/>
        </w:rPr>
      </w:pPr>
    </w:p>
    <w:p w14:paraId="289D3C87">
      <w:pPr>
        <w:spacing w:line="600" w:lineRule="exact"/>
        <w:ind w:firstLine="640" w:firstLineChars="200"/>
        <w:rPr>
          <w:rFonts w:ascii="仿宋" w:hAnsi="仿宋" w:eastAsia="仿宋"/>
          <w:color w:val="000000" w:themeColor="text1"/>
          <w:sz w:val="32"/>
          <w:szCs w:val="32"/>
        </w:rPr>
      </w:pPr>
    </w:p>
    <w:p w14:paraId="68038FFD">
      <w:pPr>
        <w:spacing w:line="600" w:lineRule="exact"/>
        <w:ind w:firstLine="640" w:firstLineChars="200"/>
        <w:rPr>
          <w:rFonts w:ascii="仿宋" w:hAnsi="仿宋" w:eastAsia="仿宋"/>
          <w:color w:val="000000" w:themeColor="text1"/>
          <w:sz w:val="32"/>
          <w:szCs w:val="32"/>
        </w:rPr>
      </w:pPr>
    </w:p>
    <w:p w14:paraId="22F06682">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 xml:space="preserve">     （图2：收入决算结构图）（饼状图）</w:t>
      </w:r>
      <w:bookmarkStart w:id="39" w:name="_Toc15396605"/>
      <w:bookmarkStart w:id="40" w:name="_Toc15377207"/>
    </w:p>
    <w:p w14:paraId="73381D1D">
      <w:pPr>
        <w:pStyle w:val="3"/>
        <w:spacing w:before="0" w:after="0" w:line="560" w:lineRule="exact"/>
        <w:rPr>
          <w:rFonts w:ascii="黑体" w:hAnsi="黑体" w:eastAsia="黑体"/>
          <w:b w:val="0"/>
        </w:rPr>
      </w:pPr>
      <w:r>
        <w:rPr>
          <w:rFonts w:hint="eastAsia" w:ascii="黑体" w:hAnsi="黑体" w:eastAsia="黑体"/>
        </w:rPr>
        <w:t xml:space="preserve">    </w:t>
      </w:r>
      <w:bookmarkStart w:id="41" w:name="_Toc49849546"/>
      <w:r>
        <w:rPr>
          <w:rFonts w:hint="eastAsia" w:ascii="黑体" w:hAnsi="黑体" w:eastAsia="黑体"/>
          <w:b w:val="0"/>
        </w:rPr>
        <w:t>三、支出决算情况说明</w:t>
      </w:r>
      <w:bookmarkEnd w:id="39"/>
      <w:bookmarkEnd w:id="40"/>
      <w:bookmarkEnd w:id="41"/>
    </w:p>
    <w:p w14:paraId="6F84F466">
      <w:pPr>
        <w:spacing w:line="560" w:lineRule="exact"/>
        <w:rPr>
          <w:rFonts w:ascii="黑体" w:hAnsi="黑体" w:eastAsia="黑体"/>
          <w:sz w:val="32"/>
          <w:szCs w:val="32"/>
        </w:rPr>
      </w:pPr>
      <w:r>
        <w:rPr>
          <w:rFonts w:hint="eastAsia" w:ascii="黑体" w:hAnsi="黑体" w:eastAsia="黑体"/>
          <w:sz w:val="32"/>
          <w:szCs w:val="32"/>
        </w:rPr>
        <w:drawing>
          <wp:anchor distT="0" distB="0" distL="114300" distR="114300" simplePos="0" relativeHeight="251661312" behindDoc="0" locked="0" layoutInCell="1" allowOverlap="1">
            <wp:simplePos x="0" y="0"/>
            <wp:positionH relativeFrom="margin">
              <wp:posOffset>619125</wp:posOffset>
            </wp:positionH>
            <wp:positionV relativeFrom="margin">
              <wp:posOffset>6600825</wp:posOffset>
            </wp:positionV>
            <wp:extent cx="3629025" cy="1905000"/>
            <wp:effectExtent l="19050" t="0" r="9525" b="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黑体" w:hAnsi="黑体" w:eastAsia="黑体"/>
          <w:sz w:val="32"/>
          <w:szCs w:val="32"/>
        </w:rPr>
        <w:t xml:space="preserve">    </w:t>
      </w:r>
      <w:r>
        <w:rPr>
          <w:rFonts w:eastAsia="仿宋_GB2312"/>
          <w:color w:val="000000"/>
          <w:sz w:val="32"/>
          <w:szCs w:val="32"/>
        </w:rPr>
        <w:t>2019年</w:t>
      </w:r>
      <w:r>
        <w:rPr>
          <w:rFonts w:hint="eastAsia" w:eastAsia="仿宋_GB2312"/>
          <w:color w:val="000000"/>
          <w:sz w:val="32"/>
          <w:szCs w:val="32"/>
        </w:rPr>
        <w:t>度</w:t>
      </w:r>
      <w:r>
        <w:rPr>
          <w:rFonts w:eastAsia="仿宋_GB2312"/>
          <w:color w:val="000000"/>
          <w:sz w:val="32"/>
          <w:szCs w:val="32"/>
        </w:rPr>
        <w:t>本年支出合计1,048.4万元，其中：基本支出569.4万元，占54.3%；项目支出479万元，占45.7%。</w:t>
      </w:r>
    </w:p>
    <w:p w14:paraId="156D70CB">
      <w:pPr>
        <w:spacing w:line="600" w:lineRule="exact"/>
        <w:ind w:firstLine="640" w:firstLineChars="200"/>
        <w:rPr>
          <w:rFonts w:ascii="仿宋" w:hAnsi="仿宋" w:eastAsia="仿宋"/>
          <w:color w:val="000000" w:themeColor="text1"/>
          <w:sz w:val="32"/>
          <w:szCs w:val="32"/>
        </w:rPr>
      </w:pPr>
    </w:p>
    <w:p w14:paraId="445CFEF0">
      <w:pPr>
        <w:spacing w:line="600" w:lineRule="exact"/>
        <w:ind w:firstLine="640" w:firstLineChars="200"/>
        <w:rPr>
          <w:rFonts w:ascii="仿宋" w:hAnsi="仿宋" w:eastAsia="仿宋"/>
          <w:color w:val="000000" w:themeColor="text1"/>
          <w:sz w:val="32"/>
          <w:szCs w:val="32"/>
        </w:rPr>
      </w:pPr>
    </w:p>
    <w:p w14:paraId="00D60E65">
      <w:pPr>
        <w:spacing w:line="600" w:lineRule="exact"/>
        <w:ind w:firstLine="640" w:firstLineChars="200"/>
        <w:rPr>
          <w:rFonts w:ascii="仿宋" w:hAnsi="仿宋" w:eastAsia="仿宋"/>
          <w:color w:val="000000" w:themeColor="text1"/>
          <w:sz w:val="32"/>
          <w:szCs w:val="32"/>
        </w:rPr>
      </w:pPr>
    </w:p>
    <w:p w14:paraId="6A71D72E">
      <w:pPr>
        <w:spacing w:line="600" w:lineRule="exact"/>
        <w:ind w:firstLine="640" w:firstLineChars="200"/>
        <w:rPr>
          <w:rFonts w:ascii="仿宋" w:hAnsi="仿宋" w:eastAsia="仿宋"/>
          <w:color w:val="000000" w:themeColor="text1"/>
          <w:sz w:val="32"/>
          <w:szCs w:val="32"/>
        </w:rPr>
      </w:pPr>
    </w:p>
    <w:p w14:paraId="3F53E355">
      <w:pPr>
        <w:spacing w:line="600" w:lineRule="exact"/>
        <w:ind w:firstLine="640" w:firstLineChars="200"/>
        <w:rPr>
          <w:rFonts w:ascii="仿宋" w:hAnsi="仿宋" w:eastAsia="仿宋"/>
          <w:color w:val="000000" w:themeColor="text1"/>
          <w:sz w:val="32"/>
          <w:szCs w:val="32"/>
        </w:rPr>
      </w:pPr>
    </w:p>
    <w:p w14:paraId="13277118">
      <w:pPr>
        <w:spacing w:line="600" w:lineRule="exact"/>
        <w:ind w:firstLine="640" w:firstLineChars="200"/>
        <w:rPr>
          <w:rFonts w:ascii="仿宋" w:hAnsi="仿宋" w:eastAsia="仿宋"/>
          <w:color w:val="000000" w:themeColor="text1"/>
          <w:sz w:val="32"/>
          <w:szCs w:val="32"/>
        </w:rPr>
      </w:pPr>
    </w:p>
    <w:p w14:paraId="391EC77F">
      <w:pPr>
        <w:spacing w:line="600" w:lineRule="exact"/>
        <w:ind w:firstLine="640" w:firstLineChars="200"/>
        <w:rPr>
          <w:rFonts w:ascii="仿宋" w:hAnsi="仿宋" w:eastAsia="仿宋"/>
          <w:color w:val="000000" w:themeColor="text1"/>
          <w:sz w:val="32"/>
          <w:szCs w:val="32"/>
        </w:rPr>
      </w:pPr>
    </w:p>
    <w:p w14:paraId="51F46DBF">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14:paraId="62ACC5EE">
      <w:pPr>
        <w:pStyle w:val="3"/>
        <w:spacing w:before="0" w:after="0" w:line="560" w:lineRule="exact"/>
        <w:rPr>
          <w:rFonts w:ascii="黑体" w:hAnsi="黑体" w:eastAsia="黑体"/>
          <w:b w:val="0"/>
        </w:rPr>
      </w:pPr>
      <w:bookmarkStart w:id="42" w:name="_Toc15377208"/>
      <w:bookmarkStart w:id="43" w:name="_Toc15396606"/>
      <w:r>
        <w:rPr>
          <w:rFonts w:hint="eastAsia" w:ascii="仿宋" w:hAnsi="仿宋" w:eastAsia="仿宋"/>
          <w:color w:val="000000"/>
        </w:rPr>
        <w:t xml:space="preserve">    </w:t>
      </w:r>
      <w:bookmarkStart w:id="44" w:name="_Toc49849547"/>
      <w:r>
        <w:rPr>
          <w:rFonts w:hint="eastAsia" w:ascii="黑体" w:hAnsi="黑体" w:eastAsia="黑体"/>
          <w:b w:val="0"/>
        </w:rPr>
        <w:t>四、财政拨款收入支出决算总体情况说明</w:t>
      </w:r>
      <w:bookmarkEnd w:id="42"/>
      <w:bookmarkEnd w:id="43"/>
      <w:bookmarkEnd w:id="44"/>
    </w:p>
    <w:p w14:paraId="25C4DF24">
      <w:pPr>
        <w:spacing w:line="560" w:lineRule="exact"/>
        <w:rPr>
          <w:rStyle w:val="25"/>
          <w:rFonts w:eastAsia="仿宋_GB2312"/>
          <w:b w:val="0"/>
          <w:bCs w:val="0"/>
        </w:rPr>
      </w:pPr>
      <w:r>
        <w:rPr>
          <w:rFonts w:hint="eastAsia" w:ascii="仿宋" w:hAnsi="仿宋" w:eastAsia="仿宋"/>
          <w:color w:val="000000"/>
          <w:sz w:val="32"/>
          <w:szCs w:val="32"/>
        </w:rPr>
        <w:t xml:space="preserve">    </w:t>
      </w:r>
      <w:r>
        <w:rPr>
          <w:rFonts w:eastAsia="仿宋_GB2312"/>
          <w:sz w:val="32"/>
          <w:szCs w:val="32"/>
        </w:rPr>
        <w:t>2019年</w:t>
      </w:r>
      <w:r>
        <w:rPr>
          <w:rFonts w:hint="eastAsia" w:eastAsia="仿宋_GB2312"/>
          <w:sz w:val="32"/>
          <w:szCs w:val="32"/>
        </w:rPr>
        <w:t>本年</w:t>
      </w:r>
      <w:r>
        <w:rPr>
          <w:rFonts w:eastAsia="仿宋_GB2312"/>
          <w:sz w:val="32"/>
          <w:szCs w:val="32"/>
        </w:rPr>
        <w:t>财政拨款收入632.52万元、支出870.70万元。与2018年相比，财政拨款收入减少306.09万元，下降32.6%。支出增加213.04万元，增长32.4%。主要变动原因是社会保障缴费增加、调资，项目增加</w:t>
      </w:r>
      <w:r>
        <w:rPr>
          <w:rFonts w:hint="eastAsia" w:eastAsia="仿宋_GB2312"/>
          <w:sz w:val="32"/>
          <w:szCs w:val="32"/>
        </w:rPr>
        <w:t>，上年结转结余等</w:t>
      </w:r>
      <w:r>
        <w:rPr>
          <w:rFonts w:eastAsia="仿宋_GB2312"/>
          <w:sz w:val="32"/>
          <w:szCs w:val="32"/>
        </w:rPr>
        <w:t>。</w:t>
      </w:r>
    </w:p>
    <w:p w14:paraId="5A8F9E45">
      <w:pPr>
        <w:spacing w:line="600" w:lineRule="exact"/>
        <w:ind w:firstLine="640"/>
        <w:rPr>
          <w:rFonts w:ascii="仿宋" w:hAnsi="仿宋" w:eastAsia="仿宋"/>
          <w:color w:val="000000"/>
          <w:sz w:val="32"/>
          <w:szCs w:val="32"/>
        </w:rPr>
      </w:pPr>
    </w:p>
    <w:p w14:paraId="748C84A7">
      <w:pPr>
        <w:spacing w:line="600" w:lineRule="exact"/>
        <w:ind w:firstLine="640"/>
        <w:rPr>
          <w:rFonts w:ascii="仿宋" w:hAnsi="仿宋" w:eastAsia="仿宋"/>
          <w:color w:val="000000"/>
          <w:sz w:val="32"/>
          <w:szCs w:val="32"/>
        </w:rPr>
      </w:pPr>
    </w:p>
    <w:p w14:paraId="320E76FC">
      <w:pPr>
        <w:spacing w:line="600" w:lineRule="exact"/>
        <w:ind w:firstLine="64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2336" behindDoc="0" locked="0" layoutInCell="1" allowOverlap="1">
            <wp:simplePos x="0" y="0"/>
            <wp:positionH relativeFrom="margin">
              <wp:posOffset>390525</wp:posOffset>
            </wp:positionH>
            <wp:positionV relativeFrom="margin">
              <wp:posOffset>2857500</wp:posOffset>
            </wp:positionV>
            <wp:extent cx="4524375" cy="2733675"/>
            <wp:effectExtent l="19050" t="0" r="9525" b="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48D75A80">
      <w:pPr>
        <w:spacing w:line="600" w:lineRule="exact"/>
        <w:ind w:firstLine="640" w:firstLineChars="200"/>
        <w:rPr>
          <w:rFonts w:ascii="仿宋" w:hAnsi="仿宋" w:eastAsia="仿宋"/>
          <w:color w:val="000000" w:themeColor="text1"/>
          <w:sz w:val="32"/>
          <w:szCs w:val="32"/>
        </w:rPr>
      </w:pPr>
    </w:p>
    <w:p w14:paraId="73AE5E7E">
      <w:pPr>
        <w:spacing w:line="600" w:lineRule="exact"/>
        <w:ind w:firstLine="640" w:firstLineChars="200"/>
        <w:rPr>
          <w:rFonts w:ascii="仿宋" w:hAnsi="仿宋" w:eastAsia="仿宋"/>
          <w:color w:val="000000" w:themeColor="text1"/>
          <w:sz w:val="32"/>
          <w:szCs w:val="32"/>
        </w:rPr>
      </w:pPr>
    </w:p>
    <w:p w14:paraId="4C67F827">
      <w:pPr>
        <w:spacing w:line="600" w:lineRule="exact"/>
        <w:ind w:firstLine="640" w:firstLineChars="200"/>
        <w:rPr>
          <w:rFonts w:ascii="仿宋" w:hAnsi="仿宋" w:eastAsia="仿宋"/>
          <w:color w:val="000000" w:themeColor="text1"/>
          <w:sz w:val="32"/>
          <w:szCs w:val="32"/>
        </w:rPr>
      </w:pPr>
    </w:p>
    <w:p w14:paraId="5B4865B0">
      <w:pPr>
        <w:spacing w:line="600" w:lineRule="exact"/>
        <w:ind w:firstLine="640" w:firstLineChars="200"/>
        <w:rPr>
          <w:rFonts w:ascii="仿宋" w:hAnsi="仿宋" w:eastAsia="仿宋"/>
          <w:color w:val="000000" w:themeColor="text1"/>
          <w:sz w:val="32"/>
          <w:szCs w:val="32"/>
        </w:rPr>
      </w:pPr>
    </w:p>
    <w:p w14:paraId="61E9DDB7">
      <w:pPr>
        <w:spacing w:line="600" w:lineRule="exact"/>
        <w:ind w:firstLine="640" w:firstLineChars="200"/>
        <w:rPr>
          <w:rFonts w:ascii="仿宋" w:hAnsi="仿宋" w:eastAsia="仿宋"/>
          <w:color w:val="000000" w:themeColor="text1"/>
          <w:sz w:val="32"/>
          <w:szCs w:val="32"/>
        </w:rPr>
      </w:pPr>
    </w:p>
    <w:p w14:paraId="2423044E">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  图4：财政拨款收、支决算总计变动情况）（柱状图）</w:t>
      </w:r>
    </w:p>
    <w:p w14:paraId="3C059A95">
      <w:pPr>
        <w:spacing w:line="600" w:lineRule="exact"/>
        <w:ind w:firstLine="640"/>
        <w:rPr>
          <w:rFonts w:ascii="仿宋" w:hAnsi="仿宋" w:eastAsia="仿宋"/>
          <w:b/>
          <w:color w:val="00B050"/>
          <w:sz w:val="32"/>
          <w:szCs w:val="32"/>
        </w:rPr>
      </w:pPr>
    </w:p>
    <w:p w14:paraId="51042A07">
      <w:pPr>
        <w:spacing w:line="560" w:lineRule="exact"/>
        <w:ind w:firstLine="640" w:firstLineChars="200"/>
        <w:outlineLvl w:val="1"/>
        <w:rPr>
          <w:rStyle w:val="25"/>
          <w:rFonts w:ascii="黑体" w:hAnsi="黑体" w:eastAsia="黑体"/>
          <w:b w:val="0"/>
        </w:rPr>
      </w:pPr>
      <w:bookmarkStart w:id="45" w:name="_Toc49849548"/>
      <w:bookmarkStart w:id="46" w:name="_Toc15377209"/>
      <w:bookmarkStart w:id="47"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45"/>
      <w:bookmarkEnd w:id="46"/>
      <w:bookmarkEnd w:id="47"/>
    </w:p>
    <w:p w14:paraId="20AEEED1">
      <w:pPr>
        <w:spacing w:line="560" w:lineRule="exact"/>
        <w:ind w:firstLine="640" w:firstLineChars="200"/>
        <w:outlineLvl w:val="2"/>
        <w:rPr>
          <w:rFonts w:ascii="楷体_GB2312" w:hAnsi="仿宋" w:eastAsia="楷体_GB2312"/>
          <w:color w:val="000000"/>
          <w:sz w:val="32"/>
          <w:szCs w:val="32"/>
        </w:rPr>
      </w:pPr>
      <w:bookmarkStart w:id="48" w:name="_Toc15377210"/>
      <w:bookmarkStart w:id="49" w:name="_Toc49849549"/>
      <w:r>
        <w:rPr>
          <w:rFonts w:hint="eastAsia" w:ascii="楷体_GB2312" w:hAnsi="仿宋" w:eastAsia="楷体_GB2312"/>
          <w:color w:val="000000"/>
          <w:sz w:val="32"/>
          <w:szCs w:val="32"/>
        </w:rPr>
        <w:t>（一）一般公共预算财政拨款支出决算总体情况</w:t>
      </w:r>
      <w:bookmarkEnd w:id="48"/>
      <w:bookmarkEnd w:id="49"/>
    </w:p>
    <w:p w14:paraId="583ECA49">
      <w:pPr>
        <w:spacing w:line="560" w:lineRule="exact"/>
        <w:ind w:firstLine="640" w:firstLineChars="200"/>
        <w:rPr>
          <w:rFonts w:eastAsia="仿宋_GB2312"/>
          <w:sz w:val="32"/>
          <w:szCs w:val="32"/>
        </w:rPr>
      </w:pPr>
      <w:r>
        <w:rPr>
          <w:rFonts w:eastAsia="仿宋_GB2312"/>
          <w:color w:val="000000"/>
          <w:sz w:val="32"/>
          <w:szCs w:val="32"/>
        </w:rPr>
        <w:t>2019年一般公共预算财政拨款支出870.70万元，占本年支出合计的83.1%。与2018年相比，一般公共预算财政拨款增加213.04万元，增长32.4%。主要变动原因是</w:t>
      </w:r>
      <w:r>
        <w:rPr>
          <w:rFonts w:eastAsia="仿宋_GB2312"/>
          <w:sz w:val="32"/>
          <w:szCs w:val="32"/>
        </w:rPr>
        <w:t>主要变动原因是社会保障缴费增加、调资，项目增加。</w:t>
      </w:r>
    </w:p>
    <w:p w14:paraId="0474C10F">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3360" behindDoc="0" locked="0" layoutInCell="1" allowOverlap="1">
            <wp:simplePos x="0" y="0"/>
            <wp:positionH relativeFrom="margin">
              <wp:posOffset>190500</wp:posOffset>
            </wp:positionH>
            <wp:positionV relativeFrom="margin">
              <wp:posOffset>676275</wp:posOffset>
            </wp:positionV>
            <wp:extent cx="4486275" cy="2952750"/>
            <wp:effectExtent l="19050" t="0" r="9525" b="0"/>
            <wp:wrapSquare wrapText="bothSides"/>
            <wp:docPr id="14"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71F11F4A">
      <w:pPr>
        <w:spacing w:line="600" w:lineRule="exact"/>
        <w:ind w:firstLine="640" w:firstLineChars="200"/>
        <w:rPr>
          <w:rFonts w:ascii="仿宋" w:hAnsi="仿宋" w:eastAsia="仿宋"/>
          <w:color w:val="000000" w:themeColor="text1"/>
          <w:sz w:val="32"/>
          <w:szCs w:val="32"/>
        </w:rPr>
      </w:pPr>
    </w:p>
    <w:p w14:paraId="307A35D2">
      <w:pPr>
        <w:spacing w:line="600" w:lineRule="exact"/>
        <w:ind w:firstLine="640" w:firstLineChars="200"/>
        <w:rPr>
          <w:rFonts w:ascii="仿宋" w:hAnsi="仿宋" w:eastAsia="仿宋"/>
          <w:color w:val="000000" w:themeColor="text1"/>
          <w:sz w:val="32"/>
          <w:szCs w:val="32"/>
        </w:rPr>
      </w:pPr>
    </w:p>
    <w:p w14:paraId="433ACC83">
      <w:pPr>
        <w:spacing w:line="600" w:lineRule="exact"/>
        <w:ind w:firstLine="640" w:firstLineChars="200"/>
        <w:rPr>
          <w:rFonts w:ascii="仿宋" w:hAnsi="仿宋" w:eastAsia="仿宋"/>
          <w:color w:val="000000" w:themeColor="text1"/>
          <w:sz w:val="32"/>
          <w:szCs w:val="32"/>
        </w:rPr>
      </w:pPr>
    </w:p>
    <w:p w14:paraId="5BD72476">
      <w:pPr>
        <w:spacing w:line="600" w:lineRule="exact"/>
        <w:ind w:firstLine="640" w:firstLineChars="200"/>
        <w:rPr>
          <w:rFonts w:ascii="仿宋" w:hAnsi="仿宋" w:eastAsia="仿宋"/>
          <w:color w:val="000000" w:themeColor="text1"/>
          <w:sz w:val="32"/>
          <w:szCs w:val="32"/>
        </w:rPr>
      </w:pPr>
    </w:p>
    <w:p w14:paraId="49AD2976">
      <w:pPr>
        <w:spacing w:line="600" w:lineRule="exact"/>
        <w:ind w:firstLine="640" w:firstLineChars="200"/>
        <w:rPr>
          <w:rFonts w:ascii="仿宋" w:hAnsi="仿宋" w:eastAsia="仿宋"/>
          <w:color w:val="000000" w:themeColor="text1"/>
          <w:sz w:val="32"/>
          <w:szCs w:val="32"/>
        </w:rPr>
      </w:pPr>
    </w:p>
    <w:p w14:paraId="3CA26620">
      <w:pPr>
        <w:spacing w:line="600" w:lineRule="exact"/>
        <w:ind w:firstLine="640" w:firstLineChars="200"/>
        <w:rPr>
          <w:rFonts w:ascii="仿宋" w:hAnsi="仿宋" w:eastAsia="仿宋"/>
          <w:color w:val="000000" w:themeColor="text1"/>
          <w:sz w:val="32"/>
          <w:szCs w:val="32"/>
        </w:rPr>
      </w:pPr>
    </w:p>
    <w:p w14:paraId="37ABEFC8">
      <w:pPr>
        <w:spacing w:line="600" w:lineRule="exact"/>
        <w:ind w:firstLine="640" w:firstLineChars="200"/>
        <w:rPr>
          <w:rFonts w:ascii="仿宋" w:hAnsi="仿宋" w:eastAsia="仿宋"/>
          <w:color w:val="000000" w:themeColor="text1"/>
          <w:sz w:val="32"/>
          <w:szCs w:val="32"/>
        </w:rPr>
      </w:pPr>
    </w:p>
    <w:p w14:paraId="77914242">
      <w:pPr>
        <w:spacing w:line="600" w:lineRule="exact"/>
        <w:ind w:firstLine="640" w:firstLineChars="200"/>
        <w:rPr>
          <w:rFonts w:ascii="仿宋" w:hAnsi="仿宋" w:eastAsia="仿宋"/>
          <w:color w:val="000000" w:themeColor="text1"/>
          <w:sz w:val="32"/>
          <w:szCs w:val="32"/>
        </w:rPr>
      </w:pPr>
    </w:p>
    <w:p w14:paraId="02CC146F">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14:paraId="056D831E">
      <w:pPr>
        <w:spacing w:line="560" w:lineRule="exact"/>
        <w:ind w:firstLine="640" w:firstLineChars="200"/>
        <w:outlineLvl w:val="2"/>
        <w:rPr>
          <w:rFonts w:ascii="楷体_GB2312" w:hAnsi="仿宋" w:eastAsia="楷体_GB2312"/>
          <w:color w:val="000000"/>
          <w:sz w:val="32"/>
          <w:szCs w:val="32"/>
        </w:rPr>
      </w:pPr>
      <w:bookmarkStart w:id="50" w:name="_Toc15377211"/>
      <w:bookmarkStart w:id="51" w:name="_Toc49849550"/>
      <w:r>
        <w:rPr>
          <w:rFonts w:hint="eastAsia" w:ascii="楷体_GB2312" w:hAnsi="仿宋" w:eastAsia="楷体_GB2312"/>
          <w:color w:val="000000"/>
          <w:sz w:val="32"/>
          <w:szCs w:val="32"/>
        </w:rPr>
        <w:t>（二）一般公共预算财政拨款支出决算结构情况</w:t>
      </w:r>
      <w:bookmarkEnd w:id="50"/>
      <w:bookmarkEnd w:id="51"/>
    </w:p>
    <w:p w14:paraId="6834B51E">
      <w:pPr>
        <w:spacing w:line="560" w:lineRule="exact"/>
        <w:rPr>
          <w:rFonts w:eastAsia="仿宋_GB2312"/>
          <w:color w:val="000000"/>
          <w:sz w:val="32"/>
          <w:szCs w:val="32"/>
        </w:rPr>
      </w:pPr>
      <w:r>
        <w:rPr>
          <w:rFonts w:eastAsia="仿宋_GB2312"/>
          <w:color w:val="000000"/>
          <w:sz w:val="32"/>
          <w:szCs w:val="32"/>
        </w:rPr>
        <w:t xml:space="preserve"> </w:t>
      </w:r>
      <w:r>
        <w:rPr>
          <w:rFonts w:hint="eastAsia" w:eastAsia="仿宋_GB2312"/>
          <w:color w:val="000000"/>
          <w:sz w:val="32"/>
          <w:szCs w:val="32"/>
        </w:rPr>
        <w:t xml:space="preserve">  </w:t>
      </w:r>
      <w:r>
        <w:rPr>
          <w:rFonts w:eastAsia="仿宋_GB2312"/>
          <w:color w:val="000000"/>
          <w:sz w:val="32"/>
          <w:szCs w:val="32"/>
        </w:rPr>
        <w:t xml:space="preserve"> 2019年一般公共预算财政拨款支出870.70万元，主要用于以下方面:社会保障和就业支出46.65万元，占5.4%；节能环保支出746.17；占85.7%；</w:t>
      </w:r>
      <w:r>
        <w:rPr>
          <w:rFonts w:hint="eastAsia" w:eastAsia="仿宋_GB2312"/>
          <w:color w:val="000000"/>
          <w:sz w:val="32"/>
          <w:szCs w:val="32"/>
        </w:rPr>
        <w:t>卫生健康</w:t>
      </w:r>
      <w:r>
        <w:rPr>
          <w:rFonts w:eastAsia="仿宋_GB2312"/>
          <w:color w:val="000000"/>
          <w:sz w:val="32"/>
          <w:szCs w:val="32"/>
        </w:rPr>
        <w:t>支出29.81万元，占3.4%；住房保障支出48.07万元，占5.5%。</w:t>
      </w:r>
    </w:p>
    <w:p w14:paraId="2AD6A516">
      <w:pPr>
        <w:spacing w:line="600" w:lineRule="exact"/>
        <w:ind w:firstLine="64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4384" behindDoc="1" locked="0" layoutInCell="1" allowOverlap="1">
            <wp:simplePos x="0" y="0"/>
            <wp:positionH relativeFrom="column">
              <wp:posOffset>742950</wp:posOffset>
            </wp:positionH>
            <wp:positionV relativeFrom="paragraph">
              <wp:posOffset>15240</wp:posOffset>
            </wp:positionV>
            <wp:extent cx="3733800" cy="2581275"/>
            <wp:effectExtent l="19050" t="0" r="19050" b="0"/>
            <wp:wrapNone/>
            <wp:docPr id="17"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0F086AA9">
      <w:pPr>
        <w:spacing w:line="600" w:lineRule="exact"/>
        <w:ind w:firstLine="640"/>
        <w:rPr>
          <w:rFonts w:ascii="仿宋" w:hAnsi="仿宋" w:eastAsia="仿宋"/>
          <w:color w:val="000000" w:themeColor="text1"/>
          <w:sz w:val="32"/>
          <w:szCs w:val="32"/>
        </w:rPr>
      </w:pPr>
    </w:p>
    <w:p w14:paraId="2562D830">
      <w:pPr>
        <w:spacing w:line="600" w:lineRule="exact"/>
        <w:ind w:firstLine="640"/>
        <w:rPr>
          <w:rFonts w:ascii="仿宋" w:hAnsi="仿宋" w:eastAsia="仿宋"/>
          <w:color w:val="000000" w:themeColor="text1"/>
          <w:sz w:val="32"/>
          <w:szCs w:val="32"/>
        </w:rPr>
      </w:pPr>
    </w:p>
    <w:p w14:paraId="1E1B6F71">
      <w:pPr>
        <w:spacing w:line="600" w:lineRule="exact"/>
        <w:ind w:firstLine="640"/>
        <w:rPr>
          <w:rFonts w:ascii="仿宋" w:hAnsi="仿宋" w:eastAsia="仿宋"/>
          <w:color w:val="000000" w:themeColor="text1"/>
          <w:sz w:val="32"/>
          <w:szCs w:val="32"/>
        </w:rPr>
      </w:pPr>
    </w:p>
    <w:p w14:paraId="52D172FD">
      <w:pPr>
        <w:spacing w:line="600" w:lineRule="exact"/>
        <w:ind w:firstLine="640"/>
        <w:rPr>
          <w:rFonts w:ascii="仿宋" w:hAnsi="仿宋" w:eastAsia="仿宋"/>
          <w:color w:val="000000" w:themeColor="text1"/>
          <w:sz w:val="32"/>
          <w:szCs w:val="32"/>
        </w:rPr>
      </w:pPr>
    </w:p>
    <w:p w14:paraId="091EA609">
      <w:pPr>
        <w:spacing w:line="600" w:lineRule="exact"/>
        <w:ind w:firstLine="640"/>
        <w:rPr>
          <w:rFonts w:ascii="仿宋" w:hAnsi="仿宋" w:eastAsia="仿宋"/>
          <w:color w:val="000000" w:themeColor="text1"/>
          <w:sz w:val="32"/>
          <w:szCs w:val="32"/>
        </w:rPr>
      </w:pPr>
    </w:p>
    <w:p w14:paraId="4097581F">
      <w:pPr>
        <w:spacing w:line="600" w:lineRule="exact"/>
        <w:ind w:firstLine="640"/>
        <w:rPr>
          <w:rFonts w:ascii="仿宋" w:hAnsi="仿宋" w:eastAsia="仿宋"/>
          <w:color w:val="000000" w:themeColor="text1"/>
          <w:sz w:val="32"/>
          <w:szCs w:val="32"/>
        </w:rPr>
      </w:pPr>
    </w:p>
    <w:p w14:paraId="783EEF93">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14:paraId="5A8436EC">
      <w:pPr>
        <w:spacing w:line="560" w:lineRule="exact"/>
        <w:ind w:firstLine="640" w:firstLineChars="200"/>
        <w:outlineLvl w:val="2"/>
        <w:rPr>
          <w:rFonts w:ascii="楷体_GB2312" w:hAnsi="仿宋" w:eastAsia="楷体_GB2312"/>
          <w:color w:val="000000"/>
          <w:sz w:val="32"/>
          <w:szCs w:val="32"/>
        </w:rPr>
      </w:pPr>
      <w:bookmarkStart w:id="52" w:name="_Toc15377212"/>
      <w:bookmarkStart w:id="53" w:name="_Toc49849551"/>
      <w:r>
        <w:rPr>
          <w:rFonts w:hint="eastAsia" w:ascii="楷体_GB2312" w:hAnsi="仿宋" w:eastAsia="楷体_GB2312"/>
          <w:color w:val="000000"/>
          <w:sz w:val="32"/>
          <w:szCs w:val="32"/>
        </w:rPr>
        <w:t>（三）一般公共预算财政拨款支出决算具体情况</w:t>
      </w:r>
      <w:bookmarkEnd w:id="52"/>
      <w:bookmarkEnd w:id="53"/>
    </w:p>
    <w:p w14:paraId="7A1AF67A">
      <w:pPr>
        <w:spacing w:line="560" w:lineRule="exact"/>
        <w:rPr>
          <w:rFonts w:eastAsia="仿宋_GB2312"/>
          <w:sz w:val="32"/>
          <w:szCs w:val="32"/>
        </w:rPr>
      </w:pPr>
      <w:bookmarkStart w:id="54" w:name="_Toc15377213"/>
      <w:bookmarkStart w:id="55" w:name="_Toc15378460"/>
      <w:bookmarkStart w:id="56" w:name="_Toc15377444"/>
      <w:r>
        <w:rPr>
          <w:rFonts w:hint="eastAsia"/>
        </w:rPr>
        <w:t xml:space="preserve"> </w:t>
      </w:r>
      <w:r>
        <w:rPr>
          <w:rFonts w:eastAsia="仿宋_GB2312"/>
          <w:sz w:val="32"/>
          <w:szCs w:val="32"/>
        </w:rPr>
        <w:t xml:space="preserve">  </w:t>
      </w:r>
      <w:r>
        <w:rPr>
          <w:rFonts w:hint="eastAsia" w:eastAsia="仿宋_GB2312"/>
          <w:sz w:val="32"/>
          <w:szCs w:val="32"/>
        </w:rPr>
        <w:t xml:space="preserve">  </w:t>
      </w:r>
      <w:r>
        <w:rPr>
          <w:rFonts w:eastAsia="仿宋_GB2312"/>
          <w:sz w:val="32"/>
          <w:szCs w:val="32"/>
        </w:rPr>
        <w:t>2019年一般公共预算支出决算数为870.70万元，完成预算100%。其中：</w:t>
      </w:r>
      <w:bookmarkEnd w:id="54"/>
      <w:bookmarkEnd w:id="55"/>
      <w:bookmarkEnd w:id="56"/>
    </w:p>
    <w:p w14:paraId="68812E17">
      <w:pPr>
        <w:spacing w:line="560" w:lineRule="exact"/>
        <w:ind w:firstLine="640" w:firstLineChars="200"/>
        <w:rPr>
          <w:rFonts w:eastAsia="仿宋_GB2312"/>
          <w:color w:val="000000"/>
          <w:sz w:val="32"/>
          <w:szCs w:val="32"/>
        </w:rPr>
      </w:pPr>
      <w:r>
        <w:rPr>
          <w:rStyle w:val="14"/>
          <w:rFonts w:eastAsia="仿宋_GB2312"/>
          <w:b w:val="0"/>
          <w:bCs/>
          <w:color w:val="000000"/>
          <w:sz w:val="32"/>
          <w:szCs w:val="32"/>
        </w:rPr>
        <w:t>1.社会保障和就业208（类）20805（款）2080504、2080505（项）: 支出决算为46.65万元，完成预算</w:t>
      </w:r>
      <w:r>
        <w:rPr>
          <w:rStyle w:val="14"/>
          <w:rFonts w:hint="eastAsia" w:eastAsia="仿宋_GB2312"/>
          <w:b w:val="0"/>
          <w:bCs/>
          <w:color w:val="000000"/>
          <w:sz w:val="32"/>
          <w:szCs w:val="32"/>
        </w:rPr>
        <w:t>100</w:t>
      </w:r>
      <w:r>
        <w:rPr>
          <w:rStyle w:val="14"/>
          <w:rFonts w:eastAsia="仿宋_GB2312"/>
          <w:b w:val="0"/>
          <w:bCs/>
          <w:color w:val="000000"/>
          <w:sz w:val="32"/>
          <w:szCs w:val="32"/>
        </w:rPr>
        <w:t>%</w:t>
      </w:r>
      <w:r>
        <w:rPr>
          <w:rStyle w:val="14"/>
          <w:rFonts w:hint="eastAsia" w:eastAsia="仿宋_GB2312"/>
          <w:b w:val="0"/>
          <w:bCs/>
          <w:color w:val="000000"/>
          <w:sz w:val="32"/>
          <w:szCs w:val="32"/>
        </w:rPr>
        <w:t>，</w:t>
      </w:r>
      <w:r>
        <w:rPr>
          <w:rStyle w:val="14"/>
          <w:rFonts w:hint="eastAsia" w:ascii="仿宋" w:hAnsi="仿宋" w:eastAsia="仿宋"/>
          <w:b w:val="0"/>
          <w:bCs/>
          <w:color w:val="000000"/>
          <w:sz w:val="32"/>
          <w:szCs w:val="32"/>
        </w:rPr>
        <w:t>决算数等于预算数</w:t>
      </w:r>
      <w:r>
        <w:rPr>
          <w:rStyle w:val="14"/>
          <w:rFonts w:hint="eastAsia" w:eastAsia="仿宋_GB2312"/>
          <w:b w:val="0"/>
          <w:bCs/>
          <w:color w:val="000000"/>
          <w:sz w:val="32"/>
          <w:szCs w:val="32"/>
        </w:rPr>
        <w:t>。</w:t>
      </w:r>
    </w:p>
    <w:p w14:paraId="44B6381B">
      <w:pPr>
        <w:spacing w:line="560" w:lineRule="exact"/>
        <w:ind w:firstLine="640" w:firstLineChars="200"/>
        <w:rPr>
          <w:rStyle w:val="14"/>
          <w:rFonts w:eastAsia="仿宋_GB2312"/>
          <w:b w:val="0"/>
          <w:bCs/>
          <w:color w:val="000000"/>
          <w:sz w:val="32"/>
          <w:szCs w:val="32"/>
        </w:rPr>
      </w:pPr>
      <w:r>
        <w:rPr>
          <w:rStyle w:val="14"/>
          <w:rFonts w:eastAsia="仿宋_GB2312"/>
          <w:b w:val="0"/>
          <w:bCs/>
          <w:color w:val="000000"/>
          <w:sz w:val="32"/>
          <w:szCs w:val="32"/>
        </w:rPr>
        <w:t>2.卫生健康支出210（类）21011（款）2101101、2101102、2101103（项）: 支出决算为29.81万元，完成预算</w:t>
      </w:r>
      <w:r>
        <w:rPr>
          <w:rStyle w:val="14"/>
          <w:rFonts w:hint="eastAsia" w:eastAsia="仿宋_GB2312"/>
          <w:b w:val="0"/>
          <w:bCs/>
          <w:color w:val="000000"/>
          <w:sz w:val="32"/>
          <w:szCs w:val="32"/>
        </w:rPr>
        <w:t>100</w:t>
      </w:r>
      <w:r>
        <w:rPr>
          <w:rStyle w:val="14"/>
          <w:rFonts w:eastAsia="仿宋_GB2312"/>
          <w:b w:val="0"/>
          <w:bCs/>
          <w:color w:val="000000"/>
          <w:sz w:val="32"/>
          <w:szCs w:val="32"/>
        </w:rPr>
        <w:t>%</w:t>
      </w:r>
      <w:r>
        <w:rPr>
          <w:rStyle w:val="14"/>
          <w:rFonts w:hint="eastAsia" w:eastAsia="仿宋_GB2312"/>
          <w:b w:val="0"/>
          <w:bCs/>
          <w:color w:val="000000"/>
          <w:sz w:val="32"/>
          <w:szCs w:val="32"/>
        </w:rPr>
        <w:t>，</w:t>
      </w:r>
      <w:r>
        <w:rPr>
          <w:rStyle w:val="14"/>
          <w:rFonts w:hint="eastAsia" w:ascii="仿宋" w:hAnsi="仿宋" w:eastAsia="仿宋"/>
          <w:b w:val="0"/>
          <w:bCs/>
          <w:color w:val="000000"/>
          <w:sz w:val="32"/>
          <w:szCs w:val="32"/>
        </w:rPr>
        <w:t>决算数等于预算数</w:t>
      </w:r>
      <w:r>
        <w:rPr>
          <w:rStyle w:val="14"/>
          <w:rFonts w:hint="eastAsia" w:eastAsia="仿宋_GB2312"/>
          <w:b w:val="0"/>
          <w:bCs/>
          <w:color w:val="000000"/>
          <w:sz w:val="32"/>
          <w:szCs w:val="32"/>
        </w:rPr>
        <w:t xml:space="preserve">。    </w:t>
      </w:r>
    </w:p>
    <w:p w14:paraId="7B5D9373">
      <w:pPr>
        <w:spacing w:line="560" w:lineRule="exact"/>
        <w:ind w:firstLine="640" w:firstLineChars="200"/>
        <w:rPr>
          <w:rFonts w:eastAsia="仿宋_GB2312"/>
          <w:color w:val="000000"/>
          <w:sz w:val="32"/>
          <w:szCs w:val="32"/>
        </w:rPr>
      </w:pPr>
      <w:r>
        <w:rPr>
          <w:rStyle w:val="14"/>
          <w:rFonts w:eastAsia="仿宋_GB2312"/>
          <w:b w:val="0"/>
          <w:bCs/>
          <w:color w:val="000000"/>
          <w:sz w:val="32"/>
          <w:szCs w:val="32"/>
        </w:rPr>
        <w:t>3.节能环保支出211（类）21101、21102、21103、2111（款）2110101、2110103、2110199、2110299、2110399、2111101（项）: 支出决算为</w:t>
      </w:r>
      <w:r>
        <w:rPr>
          <w:rStyle w:val="14"/>
          <w:rFonts w:hint="eastAsia" w:eastAsia="仿宋_GB2312"/>
          <w:b w:val="0"/>
          <w:bCs/>
          <w:color w:val="000000"/>
          <w:sz w:val="32"/>
          <w:szCs w:val="32"/>
        </w:rPr>
        <w:t>746.17</w:t>
      </w:r>
      <w:r>
        <w:rPr>
          <w:rStyle w:val="14"/>
          <w:rFonts w:eastAsia="仿宋_GB2312"/>
          <w:b w:val="0"/>
          <w:bCs/>
          <w:color w:val="000000"/>
          <w:sz w:val="32"/>
          <w:szCs w:val="32"/>
        </w:rPr>
        <w:t>万元，完成预算</w:t>
      </w:r>
      <w:r>
        <w:rPr>
          <w:rStyle w:val="14"/>
          <w:rFonts w:hint="eastAsia" w:eastAsia="仿宋_GB2312"/>
          <w:b w:val="0"/>
          <w:bCs/>
          <w:color w:val="000000"/>
          <w:sz w:val="32"/>
          <w:szCs w:val="32"/>
        </w:rPr>
        <w:t>100</w:t>
      </w:r>
      <w:r>
        <w:rPr>
          <w:rStyle w:val="14"/>
          <w:rFonts w:eastAsia="仿宋_GB2312"/>
          <w:b w:val="0"/>
          <w:bCs/>
          <w:color w:val="000000"/>
          <w:sz w:val="32"/>
          <w:szCs w:val="32"/>
        </w:rPr>
        <w:t>%</w:t>
      </w:r>
      <w:r>
        <w:rPr>
          <w:rStyle w:val="14"/>
          <w:rFonts w:hint="eastAsia" w:eastAsia="仿宋_GB2312"/>
          <w:b w:val="0"/>
          <w:bCs/>
          <w:color w:val="000000"/>
          <w:sz w:val="32"/>
          <w:szCs w:val="32"/>
        </w:rPr>
        <w:t>，</w:t>
      </w:r>
      <w:r>
        <w:rPr>
          <w:rStyle w:val="14"/>
          <w:rFonts w:hint="eastAsia" w:ascii="仿宋" w:hAnsi="仿宋" w:eastAsia="仿宋"/>
          <w:b w:val="0"/>
          <w:bCs/>
          <w:color w:val="000000"/>
          <w:sz w:val="32"/>
          <w:szCs w:val="32"/>
        </w:rPr>
        <w:t>决算数等于预算数。</w:t>
      </w:r>
      <w:r>
        <w:rPr>
          <w:rFonts w:eastAsia="仿宋_GB2312"/>
          <w:color w:val="000000"/>
          <w:sz w:val="32"/>
          <w:szCs w:val="32"/>
        </w:rPr>
        <w:t>。</w:t>
      </w:r>
    </w:p>
    <w:p w14:paraId="1420CE69">
      <w:pPr>
        <w:spacing w:line="560" w:lineRule="exact"/>
        <w:ind w:firstLine="640" w:firstLineChars="200"/>
        <w:rPr>
          <w:rFonts w:eastAsia="仿宋_GB2312"/>
          <w:color w:val="000000"/>
          <w:sz w:val="32"/>
          <w:szCs w:val="32"/>
        </w:rPr>
      </w:pPr>
      <w:r>
        <w:rPr>
          <w:rStyle w:val="14"/>
          <w:rFonts w:eastAsia="仿宋_GB2312"/>
          <w:b w:val="0"/>
          <w:bCs/>
          <w:color w:val="000000"/>
          <w:sz w:val="32"/>
          <w:szCs w:val="32"/>
        </w:rPr>
        <w:t>4.住房保障支出221（类）22102（款）2210201（项）: 支出决算为48.07万元，完成预算</w:t>
      </w:r>
      <w:r>
        <w:rPr>
          <w:rStyle w:val="14"/>
          <w:rFonts w:hint="eastAsia" w:eastAsia="仿宋_GB2312"/>
          <w:b w:val="0"/>
          <w:bCs/>
          <w:color w:val="000000"/>
          <w:sz w:val="32"/>
          <w:szCs w:val="32"/>
        </w:rPr>
        <w:t>100</w:t>
      </w:r>
      <w:r>
        <w:rPr>
          <w:rStyle w:val="14"/>
          <w:rFonts w:eastAsia="仿宋_GB2312"/>
          <w:b w:val="0"/>
          <w:bCs/>
          <w:color w:val="000000"/>
          <w:sz w:val="32"/>
          <w:szCs w:val="32"/>
        </w:rPr>
        <w:t>%</w:t>
      </w:r>
      <w:r>
        <w:rPr>
          <w:rStyle w:val="14"/>
          <w:rFonts w:hint="eastAsia" w:eastAsia="仿宋_GB2312"/>
          <w:b w:val="0"/>
          <w:bCs/>
          <w:color w:val="000000"/>
          <w:sz w:val="32"/>
          <w:szCs w:val="32"/>
        </w:rPr>
        <w:t>，</w:t>
      </w:r>
      <w:r>
        <w:rPr>
          <w:rStyle w:val="14"/>
          <w:rFonts w:hint="eastAsia" w:ascii="仿宋" w:hAnsi="仿宋" w:eastAsia="仿宋"/>
          <w:b w:val="0"/>
          <w:bCs/>
          <w:color w:val="000000"/>
          <w:sz w:val="32"/>
          <w:szCs w:val="32"/>
        </w:rPr>
        <w:t>决算数等于预算数</w:t>
      </w:r>
      <w:r>
        <w:rPr>
          <w:rStyle w:val="14"/>
          <w:rFonts w:hint="eastAsia" w:eastAsia="仿宋_GB2312"/>
          <w:b w:val="0"/>
          <w:bCs/>
          <w:color w:val="000000"/>
          <w:sz w:val="32"/>
          <w:szCs w:val="32"/>
        </w:rPr>
        <w:t>。</w:t>
      </w:r>
    </w:p>
    <w:p w14:paraId="63E368DA">
      <w:pPr>
        <w:tabs>
          <w:tab w:val="right" w:pos="8306"/>
        </w:tabs>
        <w:spacing w:line="560" w:lineRule="exact"/>
        <w:ind w:firstLine="640"/>
        <w:outlineLvl w:val="1"/>
        <w:rPr>
          <w:rStyle w:val="25"/>
        </w:rPr>
      </w:pPr>
      <w:bookmarkStart w:id="57" w:name="_Toc15396608"/>
      <w:bookmarkStart w:id="58" w:name="_Toc15377214"/>
      <w:bookmarkStart w:id="59" w:name="_Toc49849552"/>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57"/>
      <w:bookmarkEnd w:id="58"/>
      <w:bookmarkEnd w:id="59"/>
      <w:r>
        <w:rPr>
          <w:rStyle w:val="25"/>
          <w:rFonts w:ascii="黑体" w:hAnsi="黑体" w:eastAsia="黑体"/>
          <w:b w:val="0"/>
        </w:rPr>
        <w:tab/>
      </w:r>
    </w:p>
    <w:p w14:paraId="10D1E640">
      <w:pPr>
        <w:spacing w:line="560" w:lineRule="exact"/>
        <w:ind w:firstLine="645"/>
        <w:rPr>
          <w:rFonts w:eastAsia="仿宋_GB2312"/>
          <w:color w:val="000000"/>
          <w:sz w:val="32"/>
          <w:szCs w:val="32"/>
        </w:rPr>
      </w:pPr>
      <w:bookmarkStart w:id="60" w:name="_Toc15377215"/>
      <w:bookmarkStart w:id="61" w:name="_Toc15396609"/>
      <w:r>
        <w:rPr>
          <w:rFonts w:eastAsia="仿宋_GB2312"/>
          <w:color w:val="000000"/>
          <w:sz w:val="32"/>
          <w:szCs w:val="32"/>
        </w:rPr>
        <w:t>2019年一般公共预算财政拨款基本支出569.4万元，其中：人员经费512.33万元，主要包括：基本工资、津贴补贴、奖金、绩效工资、机关事业单位基本养老保险缴费、其他社会保障缴费、职工基本医疗保险缴费、公务员医疗补助缴费、其他工资福利支出、退休费、奖励金、住房公积金、对个人和家庭的补助支出等。</w:t>
      </w:r>
      <w:r>
        <w:rPr>
          <w:rFonts w:eastAsia="仿宋_GB2312"/>
          <w:color w:val="000000"/>
          <w:sz w:val="32"/>
          <w:szCs w:val="32"/>
        </w:rPr>
        <w:br w:type="textWrapping"/>
      </w:r>
      <w:r>
        <w:rPr>
          <w:rFonts w:eastAsia="仿宋_GB2312"/>
          <w:color w:val="000000"/>
          <w:sz w:val="32"/>
          <w:szCs w:val="32"/>
        </w:rPr>
        <w:t xml:space="preserve">    公用经费57.07万元，主要包括：办公费、印刷费、水费、电费、邮电费、差旅费、维修（护）费、培训费、公务接待费、委托业务费、福利费、公务用车运行维护费、其他交通费、其他商品和服务支出等。</w:t>
      </w:r>
    </w:p>
    <w:p w14:paraId="7756DD7F">
      <w:pPr>
        <w:spacing w:line="560" w:lineRule="exact"/>
        <w:ind w:firstLine="640"/>
        <w:outlineLvl w:val="1"/>
        <w:rPr>
          <w:rStyle w:val="25"/>
          <w:rFonts w:ascii="黑体" w:hAnsi="黑体" w:eastAsia="黑体"/>
          <w:b w:val="0"/>
        </w:rPr>
      </w:pPr>
      <w:bookmarkStart w:id="62" w:name="_Toc49849553"/>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60"/>
      <w:bookmarkEnd w:id="61"/>
      <w:bookmarkEnd w:id="62"/>
    </w:p>
    <w:p w14:paraId="3AB93725">
      <w:pPr>
        <w:spacing w:line="560" w:lineRule="exact"/>
        <w:ind w:firstLine="640"/>
        <w:outlineLvl w:val="2"/>
        <w:rPr>
          <w:rFonts w:ascii="楷体_GB2312" w:hAnsi="仿宋" w:eastAsia="楷体_GB2312"/>
          <w:color w:val="000000"/>
          <w:sz w:val="32"/>
          <w:szCs w:val="32"/>
        </w:rPr>
      </w:pPr>
      <w:bookmarkStart w:id="63" w:name="_Toc49849554"/>
      <w:bookmarkStart w:id="64" w:name="_Toc15377216"/>
      <w:r>
        <w:rPr>
          <w:rFonts w:hint="eastAsia" w:ascii="楷体_GB2312" w:hAnsi="仿宋" w:eastAsia="楷体_GB2312"/>
          <w:color w:val="000000"/>
          <w:sz w:val="32"/>
          <w:szCs w:val="32"/>
        </w:rPr>
        <w:t>（一）“三公”经费财政拨款支出决算总体情况说明</w:t>
      </w:r>
      <w:bookmarkEnd w:id="63"/>
      <w:bookmarkEnd w:id="64"/>
    </w:p>
    <w:p w14:paraId="784C14BD">
      <w:pPr>
        <w:spacing w:line="560" w:lineRule="exact"/>
        <w:ind w:firstLine="640"/>
        <w:rPr>
          <w:rFonts w:eastAsia="仿宋_GB2312"/>
          <w:color w:val="000000"/>
          <w:sz w:val="32"/>
          <w:szCs w:val="32"/>
        </w:rPr>
      </w:pPr>
      <w:r>
        <w:rPr>
          <w:rFonts w:eastAsia="仿宋_GB2312"/>
          <w:color w:val="000000"/>
          <w:sz w:val="32"/>
          <w:szCs w:val="32"/>
        </w:rPr>
        <w:t>2019年“三公”经费财政拨款支出决算为11.53万元，完成预算73%，决算数与预算数不一致的主要原因是</w:t>
      </w:r>
      <w:r>
        <w:rPr>
          <w:rFonts w:hint="eastAsia" w:eastAsia="仿宋_GB2312"/>
          <w:color w:val="000000"/>
          <w:sz w:val="32"/>
          <w:szCs w:val="32"/>
        </w:rPr>
        <w:t>平台调车次数增多。</w:t>
      </w:r>
    </w:p>
    <w:p w14:paraId="7C980F5C">
      <w:pPr>
        <w:spacing w:line="560" w:lineRule="exact"/>
        <w:ind w:firstLine="640"/>
        <w:outlineLvl w:val="2"/>
        <w:rPr>
          <w:rFonts w:ascii="楷体_GB2312" w:hAnsi="仿宋" w:eastAsia="楷体_GB2312"/>
          <w:color w:val="000000"/>
          <w:sz w:val="32"/>
          <w:szCs w:val="32"/>
        </w:rPr>
      </w:pPr>
      <w:bookmarkStart w:id="65" w:name="_Toc15377217"/>
      <w:bookmarkStart w:id="66" w:name="_Toc49849555"/>
      <w:r>
        <w:rPr>
          <w:rFonts w:hint="eastAsia" w:ascii="楷体_GB2312" w:hAnsi="仿宋" w:eastAsia="楷体_GB2312"/>
          <w:color w:val="000000"/>
          <w:sz w:val="32"/>
          <w:szCs w:val="32"/>
        </w:rPr>
        <w:t>（二）“三公”经费财政拨款支出决算具体情况说明</w:t>
      </w:r>
      <w:bookmarkEnd w:id="65"/>
      <w:bookmarkEnd w:id="66"/>
    </w:p>
    <w:p w14:paraId="2684D0CD">
      <w:pPr>
        <w:spacing w:line="560" w:lineRule="exact"/>
        <w:ind w:firstLine="640"/>
        <w:rPr>
          <w:rFonts w:eastAsia="仿宋_GB2312"/>
          <w:color w:val="000000"/>
          <w:sz w:val="32"/>
          <w:szCs w:val="32"/>
        </w:rPr>
      </w:pPr>
      <w:r>
        <w:rPr>
          <w:rFonts w:eastAsia="仿宋_GB2312"/>
          <w:color w:val="000000"/>
          <w:sz w:val="32"/>
          <w:szCs w:val="32"/>
        </w:rPr>
        <w:t>2019年“三公”经费财政拨款支出决算中，因公出国（境）费支出决算0万元，占0%；公务用车购置及运行维护费支出决算7.53万元，占65.3%；公务接待费支出决算4万元，占34.7%。具体情况如下：</w:t>
      </w:r>
    </w:p>
    <w:p w14:paraId="5AE2D4C9">
      <w:pPr>
        <w:spacing w:line="560" w:lineRule="exact"/>
        <w:ind w:firstLine="640"/>
        <w:rPr>
          <w:rFonts w:eastAsia="仿宋_GB2312"/>
          <w:color w:val="000000"/>
          <w:sz w:val="32"/>
          <w:szCs w:val="32"/>
        </w:rPr>
      </w:pPr>
    </w:p>
    <w:p w14:paraId="5C6B1B55">
      <w:pPr>
        <w:spacing w:line="600" w:lineRule="exact"/>
        <w:ind w:firstLine="64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5408" behindDoc="0" locked="0" layoutInCell="1" allowOverlap="1">
            <wp:simplePos x="0" y="0"/>
            <wp:positionH relativeFrom="margin">
              <wp:posOffset>628650</wp:posOffset>
            </wp:positionH>
            <wp:positionV relativeFrom="margin">
              <wp:posOffset>5267325</wp:posOffset>
            </wp:positionV>
            <wp:extent cx="3762375" cy="2352675"/>
            <wp:effectExtent l="19050" t="0" r="9525" b="0"/>
            <wp:wrapSquare wrapText="bothSides"/>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555EE417">
      <w:pPr>
        <w:spacing w:line="600" w:lineRule="exact"/>
        <w:ind w:firstLine="640"/>
        <w:rPr>
          <w:rFonts w:ascii="仿宋" w:hAnsi="仿宋" w:eastAsia="仿宋"/>
          <w:color w:val="000000"/>
          <w:sz w:val="32"/>
          <w:szCs w:val="32"/>
        </w:rPr>
      </w:pPr>
    </w:p>
    <w:p w14:paraId="30812C5C">
      <w:pPr>
        <w:spacing w:line="600" w:lineRule="exact"/>
        <w:ind w:firstLine="640"/>
        <w:rPr>
          <w:rFonts w:ascii="仿宋" w:hAnsi="仿宋" w:eastAsia="仿宋"/>
          <w:color w:val="000000"/>
          <w:sz w:val="32"/>
          <w:szCs w:val="32"/>
        </w:rPr>
      </w:pPr>
    </w:p>
    <w:p w14:paraId="47F76C50">
      <w:pPr>
        <w:spacing w:line="600" w:lineRule="exact"/>
        <w:ind w:firstLine="640"/>
        <w:rPr>
          <w:rFonts w:ascii="仿宋" w:hAnsi="仿宋" w:eastAsia="仿宋"/>
          <w:color w:val="000000"/>
          <w:sz w:val="32"/>
          <w:szCs w:val="32"/>
        </w:rPr>
      </w:pPr>
    </w:p>
    <w:p w14:paraId="2E84551B">
      <w:pPr>
        <w:spacing w:line="600" w:lineRule="exact"/>
        <w:ind w:firstLine="640"/>
        <w:rPr>
          <w:rFonts w:ascii="仿宋" w:hAnsi="仿宋" w:eastAsia="仿宋"/>
          <w:color w:val="000000"/>
          <w:sz w:val="32"/>
          <w:szCs w:val="32"/>
        </w:rPr>
      </w:pPr>
    </w:p>
    <w:p w14:paraId="6864B3AD">
      <w:pPr>
        <w:spacing w:line="600" w:lineRule="exact"/>
        <w:ind w:firstLine="640"/>
        <w:rPr>
          <w:rFonts w:ascii="仿宋" w:hAnsi="仿宋" w:eastAsia="仿宋"/>
          <w:color w:val="000000"/>
          <w:sz w:val="32"/>
          <w:szCs w:val="32"/>
        </w:rPr>
      </w:pPr>
    </w:p>
    <w:p w14:paraId="520264B7">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14:paraId="2B07EADD">
      <w:pPr>
        <w:spacing w:line="560" w:lineRule="exact"/>
        <w:ind w:firstLine="640"/>
        <w:rPr>
          <w:rFonts w:eastAsia="仿宋_GB2312"/>
          <w:color w:val="000000"/>
          <w:sz w:val="32"/>
          <w:szCs w:val="32"/>
        </w:rPr>
      </w:pPr>
      <w:r>
        <w:rPr>
          <w:rFonts w:eastAsia="仿宋_GB2312"/>
          <w:color w:val="000000"/>
          <w:sz w:val="32"/>
          <w:szCs w:val="32"/>
        </w:rPr>
        <w:t>（1）因公出国（境）经费支出0万元，</w:t>
      </w:r>
      <w:r>
        <w:rPr>
          <w:rStyle w:val="14"/>
          <w:rFonts w:eastAsia="仿宋_GB2312"/>
          <w:b w:val="0"/>
          <w:bCs/>
          <w:color w:val="000000"/>
          <w:sz w:val="32"/>
          <w:szCs w:val="32"/>
        </w:rPr>
        <w:t>完成预算0%。</w:t>
      </w:r>
      <w:r>
        <w:rPr>
          <w:rFonts w:eastAsia="仿宋_GB2312"/>
          <w:color w:val="000000"/>
          <w:sz w:val="32"/>
          <w:szCs w:val="32"/>
        </w:rPr>
        <w:t>全年安排因公出国（境）团组0次，出国（境）0人。因公出国（境）支出决算比2018年增加/减少0万元，增长/下降0%。主要原因是</w:t>
      </w:r>
      <w:r>
        <w:rPr>
          <w:rFonts w:eastAsia="仿宋_GB2312"/>
          <w:sz w:val="32"/>
          <w:szCs w:val="32"/>
        </w:rPr>
        <w:t>无预算和无因公出国（境）经费支出</w:t>
      </w:r>
      <w:r>
        <w:rPr>
          <w:rFonts w:eastAsia="仿宋_GB2312"/>
          <w:color w:val="000000"/>
          <w:sz w:val="32"/>
          <w:szCs w:val="32"/>
        </w:rPr>
        <w:t>。</w:t>
      </w:r>
    </w:p>
    <w:p w14:paraId="371D4448">
      <w:pPr>
        <w:spacing w:line="560" w:lineRule="exact"/>
        <w:ind w:firstLine="640"/>
        <w:rPr>
          <w:rFonts w:eastAsia="仿宋_GB2312"/>
          <w:color w:val="000000"/>
          <w:sz w:val="32"/>
          <w:szCs w:val="32"/>
        </w:rPr>
      </w:pPr>
      <w:r>
        <w:rPr>
          <w:rFonts w:eastAsia="仿宋_GB2312"/>
          <w:color w:val="000000"/>
          <w:sz w:val="32"/>
          <w:szCs w:val="32"/>
        </w:rPr>
        <w:t>（2）公务用车购置及运行维护费支出7.53万元,</w:t>
      </w:r>
      <w:r>
        <w:rPr>
          <w:rStyle w:val="14"/>
          <w:rFonts w:eastAsia="仿宋_GB2312"/>
          <w:b w:val="0"/>
          <w:bCs/>
          <w:color w:val="000000"/>
          <w:sz w:val="32"/>
          <w:szCs w:val="32"/>
        </w:rPr>
        <w:t>完成预算63.8%。</w:t>
      </w:r>
      <w:r>
        <w:rPr>
          <w:rFonts w:eastAsia="仿宋_GB2312"/>
          <w:color w:val="000000"/>
          <w:sz w:val="32"/>
          <w:szCs w:val="32"/>
        </w:rPr>
        <w:t>公务用车购置及运行维护费支出决算比2018年减少4.49万元，下降37.4%。主要原因是</w:t>
      </w:r>
      <w:r>
        <w:rPr>
          <w:rFonts w:hint="eastAsia" w:eastAsia="仿宋_GB2312"/>
          <w:color w:val="000000"/>
          <w:sz w:val="32"/>
          <w:szCs w:val="32"/>
        </w:rPr>
        <w:t>平台调车次数增多</w:t>
      </w:r>
      <w:r>
        <w:rPr>
          <w:rFonts w:eastAsia="仿宋_GB2312"/>
          <w:color w:val="000000"/>
          <w:sz w:val="32"/>
          <w:szCs w:val="32"/>
        </w:rPr>
        <w:t>。</w:t>
      </w:r>
    </w:p>
    <w:p w14:paraId="53E7000A">
      <w:pPr>
        <w:spacing w:line="560" w:lineRule="exact"/>
        <w:ind w:firstLine="640" w:firstLineChars="200"/>
        <w:rPr>
          <w:rFonts w:eastAsia="仿宋_GB2312"/>
          <w:color w:val="000000"/>
          <w:sz w:val="32"/>
          <w:szCs w:val="32"/>
        </w:rPr>
      </w:pPr>
      <w:r>
        <w:rPr>
          <w:rFonts w:eastAsia="仿宋_GB2312"/>
          <w:color w:val="000000"/>
          <w:sz w:val="32"/>
          <w:szCs w:val="32"/>
        </w:rPr>
        <w:t>其中：公务用车购置支出0万元。全年按规定更新购置公务用车0辆，其中：轿车0辆、金额0万元，越野车0辆、金额0万元，载客汽车0辆、金额0万元。截至2019年12月底，单位共有公务用车1辆，其中：轿车0辆、越野车1辆、载客汽车0辆。</w:t>
      </w:r>
    </w:p>
    <w:p w14:paraId="694A34CD">
      <w:pPr>
        <w:spacing w:line="560" w:lineRule="exact"/>
        <w:ind w:firstLine="640"/>
        <w:rPr>
          <w:rFonts w:hint="default" w:eastAsia="仿宋_GB2312"/>
          <w:sz w:val="32"/>
          <w:szCs w:val="32"/>
          <w:lang w:val="en-US"/>
        </w:rPr>
      </w:pPr>
      <w:r>
        <w:rPr>
          <w:rFonts w:eastAsia="仿宋_GB2312"/>
          <w:color w:val="000000"/>
          <w:sz w:val="32"/>
          <w:szCs w:val="32"/>
        </w:rPr>
        <w:t>公务用车运行维护费支出7.53万元。主要用于</w:t>
      </w:r>
      <w:r>
        <w:rPr>
          <w:rFonts w:eastAsia="仿宋_GB2312"/>
          <w:sz w:val="32"/>
          <w:szCs w:val="32"/>
        </w:rPr>
        <w:t>主要用于</w:t>
      </w:r>
    </w:p>
    <w:p w14:paraId="4EDD1A15">
      <w:pPr>
        <w:spacing w:line="560" w:lineRule="exact"/>
        <w:ind w:firstLine="640"/>
        <w:rPr>
          <w:rFonts w:eastAsia="仿宋_GB2312"/>
          <w:color w:val="000000"/>
          <w:sz w:val="32"/>
          <w:szCs w:val="32"/>
        </w:rPr>
      </w:pPr>
      <w:r>
        <w:rPr>
          <w:rFonts w:eastAsia="仿宋_GB2312"/>
          <w:sz w:val="32"/>
          <w:szCs w:val="32"/>
          <w:lang w:val="en-US"/>
        </w:rPr>
        <w:t>环保督察</w:t>
      </w:r>
      <w:r>
        <w:rPr>
          <w:rFonts w:eastAsia="仿宋_GB2312"/>
          <w:sz w:val="32"/>
          <w:szCs w:val="32"/>
        </w:rPr>
        <w:t>工作，污染防治普查，协调、监督全县生态保护工作，监测项目增加</w:t>
      </w:r>
      <w:r>
        <w:rPr>
          <w:rFonts w:eastAsia="仿宋_GB2312"/>
          <w:color w:val="000000"/>
          <w:sz w:val="32"/>
          <w:szCs w:val="32"/>
        </w:rPr>
        <w:t>等所需的公务用车燃料费、维修费、过路过桥费、保险费等支出。</w:t>
      </w:r>
    </w:p>
    <w:p w14:paraId="3BAD1066">
      <w:pPr>
        <w:spacing w:line="560" w:lineRule="exact"/>
        <w:ind w:firstLine="640"/>
        <w:rPr>
          <w:rFonts w:eastAsia="仿宋_GB2312"/>
          <w:color w:val="000000"/>
          <w:sz w:val="32"/>
          <w:szCs w:val="32"/>
        </w:rPr>
      </w:pPr>
      <w:r>
        <w:rPr>
          <w:rFonts w:eastAsia="仿宋_GB2312"/>
          <w:color w:val="000000"/>
          <w:sz w:val="32"/>
          <w:szCs w:val="32"/>
        </w:rPr>
        <w:t>（3）公务接待费支出4万元，</w:t>
      </w:r>
      <w:r>
        <w:rPr>
          <w:rStyle w:val="14"/>
          <w:rFonts w:eastAsia="仿宋_GB2312"/>
          <w:b w:val="0"/>
          <w:bCs/>
          <w:color w:val="000000"/>
          <w:sz w:val="32"/>
          <w:szCs w:val="32"/>
        </w:rPr>
        <w:t>完成预算100%。</w:t>
      </w:r>
      <w:r>
        <w:rPr>
          <w:rFonts w:eastAsia="仿宋_GB2312"/>
          <w:color w:val="000000"/>
          <w:sz w:val="32"/>
          <w:szCs w:val="32"/>
        </w:rPr>
        <w:t>公务接待费支出决算比2018年增加1.33万元，增长49.8%。主要原因是</w:t>
      </w:r>
      <w:r>
        <w:rPr>
          <w:rFonts w:hint="eastAsia" w:eastAsia="仿宋_GB2312"/>
          <w:sz w:val="32"/>
          <w:szCs w:val="32"/>
        </w:rPr>
        <w:t>机构改革，国家、省市检查督查增加</w:t>
      </w:r>
      <w:r>
        <w:rPr>
          <w:rFonts w:eastAsia="仿宋_GB2312"/>
          <w:color w:val="000000"/>
          <w:sz w:val="32"/>
          <w:szCs w:val="32"/>
        </w:rPr>
        <w:t xml:space="preserve">。 </w:t>
      </w:r>
    </w:p>
    <w:p w14:paraId="49A20B0F">
      <w:pPr>
        <w:spacing w:line="560" w:lineRule="exact"/>
        <w:rPr>
          <w:rFonts w:eastAsia="仿宋_GB2312"/>
          <w:sz w:val="32"/>
          <w:szCs w:val="32"/>
        </w:rPr>
      </w:pPr>
      <w:r>
        <w:rPr>
          <w:rFonts w:hint="eastAsia" w:eastAsia="仿宋_GB2312"/>
          <w:color w:val="000000"/>
          <w:sz w:val="32"/>
          <w:szCs w:val="32"/>
        </w:rPr>
        <w:t xml:space="preserve">    </w:t>
      </w:r>
      <w:r>
        <w:rPr>
          <w:rFonts w:eastAsia="仿宋_GB2312"/>
          <w:color w:val="000000"/>
          <w:sz w:val="32"/>
          <w:szCs w:val="32"/>
        </w:rPr>
        <w:t>主要用于执行公务、开展业务活动开支的交通费、住宿费、用餐费等。国内公务接待50批次，389人次（不包括陪同人员），共计支出4万元，具体内容包括：</w:t>
      </w:r>
      <w:r>
        <w:rPr>
          <w:rFonts w:eastAsia="仿宋_GB2312"/>
          <w:kern w:val="0"/>
          <w:sz w:val="32"/>
          <w:szCs w:val="32"/>
        </w:rPr>
        <w:t>中国环境科学研究院生态环境驻点研究小组开展现场调研工作、中国环科院到米易开展长江生态环境保护修复驻点跟踪研究工作、相关企业生态环境问题开展现场执法检查、督导米易检查环保督察“回头看”反馈问题、调研监测监察执法垂直管理制度改革工作、中国环境科学研究院专家组到米易开展固废处置现状调研工作、开展2019年市级环保专项资金现场评价工作、环科院到米易开展生态文明建设工作调研、米易县污染源普查入户调查阶段数据整改情况进行督导检查、省生态环境厅到米易检查尾矿库、四川省大气强化督察组到我县开展第四轮环境空气质量督导工作、生态环境部舆情服务中心赴米易调研环保工作等公务接待，共计支出4万元。</w:t>
      </w:r>
    </w:p>
    <w:p w14:paraId="0B260E90">
      <w:pPr>
        <w:spacing w:line="560" w:lineRule="exact"/>
        <w:ind w:firstLine="640" w:firstLineChars="200"/>
        <w:rPr>
          <w:rFonts w:ascii="仿宋_GB2312" w:eastAsia="仿宋_GB2312"/>
          <w:color w:val="000000"/>
          <w:sz w:val="32"/>
          <w:szCs w:val="32"/>
        </w:rPr>
      </w:pPr>
      <w:r>
        <w:rPr>
          <w:rFonts w:hint="eastAsia" w:ascii="仿宋_GB2312" w:hAnsi="仿宋" w:eastAsia="仿宋_GB2312"/>
          <w:color w:val="000000"/>
          <w:sz w:val="32"/>
          <w:szCs w:val="32"/>
        </w:rPr>
        <w:t>外事接待支出0</w:t>
      </w:r>
      <w:r>
        <w:rPr>
          <w:rFonts w:hint="eastAsia" w:ascii="仿宋_GB2312" w:eastAsia="仿宋_GB2312"/>
          <w:color w:val="000000"/>
          <w:sz w:val="32"/>
          <w:szCs w:val="32"/>
        </w:rPr>
        <w:t>万元，外事接待0批次，0人，共计支出0万元。</w:t>
      </w:r>
    </w:p>
    <w:p w14:paraId="782161E4">
      <w:pPr>
        <w:spacing w:line="560" w:lineRule="exact"/>
        <w:ind w:firstLine="640"/>
        <w:outlineLvl w:val="1"/>
        <w:rPr>
          <w:rStyle w:val="25"/>
          <w:rFonts w:ascii="黑体" w:hAnsi="黑体" w:eastAsia="黑体"/>
        </w:rPr>
      </w:pPr>
      <w:bookmarkStart w:id="67" w:name="_Toc15377218"/>
      <w:bookmarkStart w:id="68" w:name="_Toc49849556"/>
      <w:bookmarkStart w:id="69" w:name="_Toc15396610"/>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67"/>
      <w:bookmarkEnd w:id="68"/>
      <w:bookmarkEnd w:id="69"/>
    </w:p>
    <w:p w14:paraId="67E20056">
      <w:pPr>
        <w:spacing w:line="56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14:paraId="33FAB9F9">
      <w:pPr>
        <w:numPr>
          <w:ilvl w:val="0"/>
          <w:numId w:val="1"/>
        </w:numPr>
        <w:spacing w:line="560" w:lineRule="exact"/>
        <w:ind w:firstLine="640"/>
        <w:outlineLvl w:val="1"/>
        <w:rPr>
          <w:rStyle w:val="25"/>
          <w:rFonts w:ascii="黑体" w:hAnsi="黑体" w:eastAsia="黑体"/>
          <w:b w:val="0"/>
        </w:rPr>
      </w:pPr>
      <w:bookmarkStart w:id="70" w:name="_Toc15396611"/>
      <w:bookmarkStart w:id="71" w:name="_Toc49849557"/>
      <w:bookmarkStart w:id="72" w:name="_Toc15377219"/>
      <w:r>
        <w:rPr>
          <w:rStyle w:val="25"/>
          <w:rFonts w:hint="eastAsia" w:ascii="黑体" w:hAnsi="黑体" w:eastAsia="黑体"/>
          <w:b w:val="0"/>
        </w:rPr>
        <w:t>国有资本经营预算支出决算情况说明</w:t>
      </w:r>
      <w:bookmarkEnd w:id="70"/>
      <w:bookmarkEnd w:id="71"/>
      <w:bookmarkEnd w:id="72"/>
    </w:p>
    <w:p w14:paraId="05BD04FD">
      <w:pPr>
        <w:spacing w:line="56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14:paraId="64DC1407">
      <w:pPr>
        <w:spacing w:line="560" w:lineRule="exact"/>
        <w:ind w:firstLine="800" w:firstLineChars="250"/>
        <w:outlineLvl w:val="1"/>
        <w:rPr>
          <w:rStyle w:val="25"/>
          <w:rFonts w:ascii="黑体" w:hAnsi="黑体" w:eastAsia="黑体"/>
        </w:rPr>
      </w:pPr>
      <w:bookmarkStart w:id="73" w:name="_Toc49849558"/>
      <w:bookmarkStart w:id="74" w:name="_Toc15377221"/>
      <w:bookmarkStart w:id="75"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73"/>
      <w:bookmarkEnd w:id="74"/>
      <w:bookmarkEnd w:id="75"/>
    </w:p>
    <w:p w14:paraId="44052202">
      <w:pPr>
        <w:spacing w:line="560" w:lineRule="exact"/>
        <w:ind w:firstLine="640" w:firstLineChars="200"/>
        <w:outlineLvl w:val="2"/>
        <w:rPr>
          <w:rFonts w:ascii="楷体_GB2312" w:hAnsi="仿宋" w:eastAsia="楷体_GB2312"/>
          <w:color w:val="000000"/>
          <w:sz w:val="32"/>
          <w:szCs w:val="32"/>
        </w:rPr>
      </w:pPr>
      <w:bookmarkStart w:id="76" w:name="_Toc15377222"/>
      <w:bookmarkStart w:id="77" w:name="_Toc49849559"/>
      <w:r>
        <w:rPr>
          <w:rFonts w:hint="eastAsia" w:ascii="楷体_GB2312" w:hAnsi="仿宋" w:eastAsia="楷体_GB2312"/>
          <w:color w:val="000000"/>
          <w:sz w:val="32"/>
          <w:szCs w:val="32"/>
        </w:rPr>
        <w:t>（一）机关运行经费支出情况</w:t>
      </w:r>
      <w:bookmarkEnd w:id="76"/>
      <w:bookmarkEnd w:id="77"/>
    </w:p>
    <w:p w14:paraId="56CC4021">
      <w:pPr>
        <w:spacing w:line="56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9年，米易生态环境局机关运行经费支出57.07万元，比</w:t>
      </w:r>
      <w:r>
        <w:rPr>
          <w:rFonts w:ascii="仿宋_GB2312" w:eastAsia="仿宋_GB2312"/>
          <w:color w:val="000000"/>
          <w:sz w:val="32"/>
          <w:szCs w:val="32"/>
        </w:rPr>
        <w:t>201</w:t>
      </w:r>
      <w:r>
        <w:rPr>
          <w:rFonts w:hint="eastAsia" w:ascii="仿宋_GB2312" w:eastAsia="仿宋_GB2312"/>
          <w:color w:val="000000"/>
          <w:sz w:val="32"/>
          <w:szCs w:val="32"/>
        </w:rPr>
        <w:t>8年增加9.85万元，增长20.9</w:t>
      </w:r>
      <w:r>
        <w:rPr>
          <w:rFonts w:ascii="仿宋_GB2312" w:eastAsia="仿宋_GB2312"/>
          <w:color w:val="000000"/>
          <w:sz w:val="32"/>
          <w:szCs w:val="32"/>
        </w:rPr>
        <w:t>%</w:t>
      </w:r>
      <w:r>
        <w:rPr>
          <w:rFonts w:hint="eastAsia" w:ascii="仿宋_GB2312" w:eastAsia="仿宋_GB2312"/>
          <w:color w:val="000000"/>
          <w:sz w:val="32"/>
          <w:szCs w:val="32"/>
        </w:rPr>
        <w:t>（或与</w:t>
      </w:r>
      <w:r>
        <w:rPr>
          <w:rFonts w:ascii="仿宋_GB2312" w:eastAsia="仿宋_GB2312"/>
          <w:color w:val="000000"/>
          <w:sz w:val="32"/>
          <w:szCs w:val="32"/>
        </w:rPr>
        <w:t>201</w:t>
      </w:r>
      <w:r>
        <w:rPr>
          <w:rFonts w:hint="eastAsia" w:ascii="仿宋_GB2312" w:eastAsia="仿宋_GB2312"/>
          <w:color w:val="000000"/>
          <w:sz w:val="32"/>
          <w:szCs w:val="32"/>
        </w:rPr>
        <w:t>8年决算数持平）。</w:t>
      </w:r>
      <w:r>
        <w:rPr>
          <w:rFonts w:hint="eastAsia" w:ascii="仿宋_GB2312" w:eastAsia="仿宋_GB2312"/>
          <w:color w:val="000000" w:themeColor="text1"/>
          <w:sz w:val="32"/>
          <w:szCs w:val="32"/>
        </w:rPr>
        <w:t>主要原因是环保业务工作增多。</w:t>
      </w:r>
    </w:p>
    <w:p w14:paraId="1CBE1412">
      <w:pPr>
        <w:autoSpaceDE w:val="0"/>
        <w:autoSpaceDN w:val="0"/>
        <w:adjustRightInd w:val="0"/>
        <w:spacing w:line="560" w:lineRule="exact"/>
        <w:ind w:firstLine="640" w:firstLineChars="200"/>
        <w:jc w:val="left"/>
        <w:outlineLvl w:val="2"/>
        <w:rPr>
          <w:rFonts w:ascii="楷体_GB2312" w:hAnsi="仿宋" w:eastAsia="楷体_GB2312"/>
          <w:color w:val="000000"/>
          <w:sz w:val="32"/>
          <w:szCs w:val="32"/>
        </w:rPr>
      </w:pPr>
      <w:bookmarkStart w:id="78" w:name="_Toc15377223"/>
      <w:bookmarkStart w:id="79" w:name="_Toc49849560"/>
      <w:r>
        <w:rPr>
          <w:rFonts w:hint="eastAsia" w:ascii="楷体_GB2312" w:hAnsi="仿宋" w:eastAsia="楷体_GB2312"/>
          <w:color w:val="000000"/>
          <w:sz w:val="32"/>
          <w:szCs w:val="32"/>
        </w:rPr>
        <w:t>（二）政府采购支出情况</w:t>
      </w:r>
      <w:bookmarkEnd w:id="78"/>
      <w:bookmarkEnd w:id="79"/>
    </w:p>
    <w:p w14:paraId="25486DF3">
      <w:pPr>
        <w:spacing w:line="560" w:lineRule="exact"/>
        <w:ind w:firstLine="640" w:firstLineChars="200"/>
        <w:rPr>
          <w:rFonts w:ascii="仿宋_GB2312" w:eastAsia="仿宋_GB2312"/>
          <w:sz w:val="32"/>
        </w:rPr>
      </w:pPr>
      <w:r>
        <w:rPr>
          <w:rFonts w:hint="eastAsia" w:ascii="仿宋_GB2312" w:eastAsia="仿宋_GB2312"/>
          <w:sz w:val="32"/>
        </w:rPr>
        <w:t>无</w:t>
      </w:r>
    </w:p>
    <w:p w14:paraId="34C57E6B">
      <w:pPr>
        <w:autoSpaceDE w:val="0"/>
        <w:autoSpaceDN w:val="0"/>
        <w:adjustRightInd w:val="0"/>
        <w:spacing w:line="560" w:lineRule="exact"/>
        <w:ind w:firstLine="640" w:firstLineChars="200"/>
        <w:jc w:val="left"/>
        <w:outlineLvl w:val="2"/>
        <w:rPr>
          <w:rFonts w:ascii="楷体_GB2312" w:hAnsi="仿宋" w:eastAsia="楷体_GB2312"/>
          <w:color w:val="000000"/>
          <w:sz w:val="32"/>
          <w:szCs w:val="32"/>
        </w:rPr>
      </w:pPr>
      <w:bookmarkStart w:id="80" w:name="_Toc49849561"/>
      <w:bookmarkStart w:id="81" w:name="_Toc15377224"/>
      <w:r>
        <w:rPr>
          <w:rFonts w:hint="eastAsia" w:ascii="楷体_GB2312" w:hAnsi="仿宋" w:eastAsia="楷体_GB2312"/>
          <w:color w:val="000000"/>
          <w:sz w:val="32"/>
          <w:szCs w:val="32"/>
        </w:rPr>
        <w:t>（三）国有资产占有使用情况</w:t>
      </w:r>
      <w:bookmarkEnd w:id="80"/>
      <w:bookmarkEnd w:id="81"/>
    </w:p>
    <w:p w14:paraId="63DBCCCE">
      <w:pPr>
        <w:spacing w:line="560" w:lineRule="exact"/>
        <w:ind w:firstLine="640" w:firstLineChars="200"/>
        <w:rPr>
          <w:rFonts w:ascii="仿宋_GB2312" w:eastAsia="仿宋_GB2312"/>
          <w:sz w:val="32"/>
        </w:rPr>
      </w:pPr>
      <w:r>
        <w:rPr>
          <w:rFonts w:hint="eastAsia" w:ascii="仿宋_GB2312" w:eastAsia="仿宋_GB2312"/>
          <w:sz w:val="32"/>
        </w:rPr>
        <w:t>截至</w:t>
      </w:r>
      <w:r>
        <w:rPr>
          <w:rFonts w:ascii="仿宋_GB2312" w:eastAsia="仿宋_GB2312"/>
          <w:sz w:val="32"/>
        </w:rPr>
        <w:t>2019</w:t>
      </w:r>
      <w:r>
        <w:rPr>
          <w:rFonts w:hint="eastAsia" w:ascii="仿宋_GB2312" w:eastAsia="仿宋_GB2312"/>
          <w:sz w:val="32"/>
        </w:rPr>
        <w:t>年</w:t>
      </w:r>
      <w:r>
        <w:rPr>
          <w:rFonts w:ascii="仿宋_GB2312" w:eastAsia="仿宋_GB2312"/>
          <w:sz w:val="32"/>
        </w:rPr>
        <w:t>12</w:t>
      </w:r>
      <w:r>
        <w:rPr>
          <w:rFonts w:hint="eastAsia" w:ascii="仿宋_GB2312" w:eastAsia="仿宋_GB2312"/>
          <w:sz w:val="32"/>
        </w:rPr>
        <w:t>月</w:t>
      </w:r>
      <w:r>
        <w:rPr>
          <w:rFonts w:ascii="仿宋_GB2312" w:eastAsia="仿宋_GB2312"/>
          <w:sz w:val="32"/>
        </w:rPr>
        <w:t>31</w:t>
      </w:r>
      <w:r>
        <w:rPr>
          <w:rFonts w:hint="eastAsia" w:ascii="仿宋_GB2312" w:eastAsia="仿宋_GB2312"/>
          <w:sz w:val="32"/>
        </w:rPr>
        <w:t>日，本部门（单位）共有车辆1辆，其中，部级领导干部用车0辆、机要通信用车</w:t>
      </w:r>
      <w:r>
        <w:rPr>
          <w:rFonts w:ascii="仿宋_GB2312" w:eastAsia="仿宋_GB2312"/>
          <w:sz w:val="32"/>
        </w:rPr>
        <w:t xml:space="preserve"> </w:t>
      </w:r>
      <w:r>
        <w:rPr>
          <w:rFonts w:hint="eastAsia" w:ascii="仿宋_GB2312" w:eastAsia="仿宋_GB2312"/>
          <w:sz w:val="32"/>
        </w:rPr>
        <w:t>0辆、应急保障用车0辆、执法执勤用车1辆、特种专业技术用车0辆、其他用车0辆；单位价值</w:t>
      </w:r>
      <w:r>
        <w:rPr>
          <w:rFonts w:ascii="仿宋_GB2312" w:eastAsia="仿宋_GB2312"/>
          <w:sz w:val="32"/>
        </w:rPr>
        <w:t>50</w:t>
      </w:r>
      <w:r>
        <w:rPr>
          <w:rFonts w:hint="eastAsia" w:ascii="仿宋_GB2312" w:eastAsia="仿宋_GB2312"/>
          <w:sz w:val="32"/>
        </w:rPr>
        <w:t>万元以上通用设备0台（套）；单位价值</w:t>
      </w:r>
      <w:r>
        <w:rPr>
          <w:rFonts w:ascii="仿宋_GB2312" w:eastAsia="仿宋_GB2312"/>
          <w:sz w:val="32"/>
        </w:rPr>
        <w:t>100</w:t>
      </w:r>
      <w:r>
        <w:rPr>
          <w:rFonts w:hint="eastAsia" w:ascii="仿宋_GB2312" w:eastAsia="仿宋_GB2312"/>
          <w:sz w:val="32"/>
        </w:rPr>
        <w:t>万元以上专用设备0台（套）。</w:t>
      </w:r>
    </w:p>
    <w:p w14:paraId="7CE92783">
      <w:pPr>
        <w:autoSpaceDE w:val="0"/>
        <w:autoSpaceDN w:val="0"/>
        <w:adjustRightInd w:val="0"/>
        <w:spacing w:line="560" w:lineRule="exact"/>
        <w:ind w:firstLine="640" w:firstLineChars="200"/>
        <w:jc w:val="left"/>
        <w:outlineLvl w:val="2"/>
        <w:rPr>
          <w:rFonts w:ascii="楷体_GB2312" w:hAnsi="仿宋" w:eastAsia="楷体_GB2312"/>
          <w:color w:val="000000"/>
          <w:sz w:val="32"/>
          <w:szCs w:val="32"/>
        </w:rPr>
      </w:pPr>
      <w:bookmarkStart w:id="82" w:name="_Toc49849562"/>
      <w:r>
        <w:rPr>
          <w:rFonts w:hint="eastAsia" w:ascii="楷体_GB2312" w:hAnsi="仿宋" w:eastAsia="楷体_GB2312"/>
          <w:color w:val="000000"/>
          <w:sz w:val="32"/>
          <w:szCs w:val="32"/>
        </w:rPr>
        <w:t>（四）预算绩效管理情况</w:t>
      </w:r>
      <w:bookmarkEnd w:id="82"/>
    </w:p>
    <w:p w14:paraId="2FB0E71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根据预算绩效管理要求，本部门（单位）在年初预算编制阶段，组织对4项目“环境空气质量自动站搬迁项目” “其他环境监测与监察支出项目” “其他污染防治支出项目”  “环境监测与信息项目”开展了预算事前绩效评估，对4个项目编制了绩效目标，预算执行过程中，选取1个项目开展绩效监控，年终执行完毕后，对4个项目开展了绩效目标完成情况自评。</w:t>
      </w:r>
    </w:p>
    <w:p w14:paraId="1EE7419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w:t>
      </w:r>
    </w:p>
    <w:p w14:paraId="5F1FF705">
      <w:pPr>
        <w:tabs>
          <w:tab w:val="left" w:pos="7088"/>
        </w:tabs>
        <w:spacing w:line="560" w:lineRule="exact"/>
        <w:ind w:firstLine="643"/>
        <w:rPr>
          <w:rFonts w:eastAsia="仿宋_GB2312"/>
          <w:sz w:val="32"/>
          <w:szCs w:val="32"/>
        </w:rPr>
      </w:pPr>
      <w:r>
        <w:rPr>
          <w:rFonts w:hint="eastAsia" w:eastAsia="仿宋_GB2312"/>
          <w:sz w:val="32"/>
          <w:szCs w:val="32"/>
        </w:rPr>
        <w:t>从</w:t>
      </w:r>
      <w:r>
        <w:rPr>
          <w:rFonts w:eastAsia="仿宋_GB2312"/>
          <w:sz w:val="32"/>
          <w:szCs w:val="32"/>
        </w:rPr>
        <w:t>评价情况来看</w:t>
      </w:r>
      <w:r>
        <w:rPr>
          <w:rFonts w:hint="eastAsia" w:eastAsia="仿宋_GB2312"/>
          <w:sz w:val="32"/>
          <w:szCs w:val="32"/>
        </w:rPr>
        <w:t>米易生态环境</w:t>
      </w:r>
      <w:r>
        <w:rPr>
          <w:rFonts w:eastAsia="仿宋_GB2312"/>
          <w:sz w:val="32"/>
          <w:szCs w:val="32"/>
        </w:rPr>
        <w:t>局在县委、县政府的正确领导下，以改善全县空气质量，开展污染防治等各项工作，较好地完成了目标任务。本部门还自行组织了</w:t>
      </w:r>
      <w:r>
        <w:rPr>
          <w:rFonts w:hint="eastAsia" w:eastAsia="仿宋_GB2312"/>
          <w:sz w:val="32"/>
          <w:szCs w:val="32"/>
        </w:rPr>
        <w:t>4</w:t>
      </w:r>
      <w:r>
        <w:rPr>
          <w:rFonts w:eastAsia="仿宋_GB2312"/>
          <w:sz w:val="32"/>
          <w:szCs w:val="32"/>
        </w:rPr>
        <w:t>个项目绩效评价，项目资金在预算、执行中按排合理，完成了部门职能目标，实现了较高的工作效率和支出绩效。</w:t>
      </w:r>
    </w:p>
    <w:p w14:paraId="2707DC43">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本部门在2019年度部门决算中反映“环境空气质量自动站搬迁项目”“其他环境监测与监察支出项目”“其他污染防治支出项目”“环境监测与信息项目”4个项目绩效目标实际完成情况。</w:t>
      </w:r>
    </w:p>
    <w:p w14:paraId="291DFAB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1.环境空气质量自动站搬迁项目支出绩效目标完成情况综述。项目全年预算数165.18万元，执行数为165.18万元，完成预算的100%。通过项目实施，环境监测数据更准确。</w:t>
      </w:r>
    </w:p>
    <w:p w14:paraId="14D2EEA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2.环境监测与监察支出项目绩效目标完成情况综述。项目全年预算数30.79万元，执行数30.79万元，完成预算的100%。通过项目实施，保障其他环境监测与监察工作的正常运转。</w:t>
      </w:r>
    </w:p>
    <w:p w14:paraId="0BA7532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3.污染防治支出项目绩效目标完成情况综述。项目全年预算数274.90万元，执行数为274.90万元，完成预算的100%。通过项目实施，保障其他污染防治支出项目工作的正常运转。</w:t>
      </w:r>
    </w:p>
    <w:p w14:paraId="28272F9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4.环境监测与信息项目绩效目标完成情况综述。项目全年预算数8.13万元，执行数为8.13万元，完成预算的100%。通过项目实施，保障环境监测与信息项目支出项目工作的正常运转。</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610"/>
        <w:gridCol w:w="1134"/>
        <w:gridCol w:w="425"/>
        <w:gridCol w:w="1615"/>
        <w:gridCol w:w="2394"/>
        <w:gridCol w:w="2392"/>
      </w:tblGrid>
      <w:tr w14:paraId="59A41ADF">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14:paraId="47FE5EF7">
            <w:pPr>
              <w:widowControl/>
              <w:jc w:val="center"/>
              <w:textAlignment w:val="center"/>
              <w:rPr>
                <w:rFonts w:ascii="宋体" w:hAnsi="宋体" w:cs="宋体"/>
                <w:b/>
                <w:bCs/>
                <w:color w:val="000000"/>
                <w:kern w:val="0"/>
                <w:sz w:val="36"/>
                <w:szCs w:val="36"/>
              </w:rPr>
            </w:pPr>
          </w:p>
          <w:p w14:paraId="2988404D">
            <w:pPr>
              <w:widowControl/>
              <w:jc w:val="center"/>
              <w:textAlignment w:val="center"/>
              <w:rPr>
                <w:rFonts w:ascii="宋体" w:hAnsi="宋体" w:cs="宋体"/>
                <w:b/>
                <w:bCs/>
                <w:color w:val="000000"/>
                <w:kern w:val="0"/>
                <w:sz w:val="36"/>
                <w:szCs w:val="36"/>
              </w:rPr>
            </w:pPr>
          </w:p>
          <w:p w14:paraId="3B4DF53E">
            <w:pPr>
              <w:widowControl/>
              <w:jc w:val="center"/>
              <w:textAlignment w:val="center"/>
              <w:rPr>
                <w:rFonts w:ascii="宋体" w:hAnsi="宋体" w:cs="宋体"/>
                <w:b/>
                <w:bCs/>
                <w:color w:val="000000"/>
                <w:kern w:val="0"/>
                <w:sz w:val="36"/>
                <w:szCs w:val="36"/>
              </w:rPr>
            </w:pPr>
          </w:p>
          <w:p w14:paraId="40FE222F">
            <w:pPr>
              <w:widowControl/>
              <w:jc w:val="center"/>
              <w:textAlignment w:val="center"/>
              <w:rPr>
                <w:rFonts w:ascii="宋体" w:hAnsi="宋体" w:cs="宋体"/>
                <w:b/>
                <w:bCs/>
                <w:color w:val="000000"/>
                <w:kern w:val="0"/>
                <w:sz w:val="36"/>
                <w:szCs w:val="36"/>
              </w:rPr>
            </w:pPr>
          </w:p>
          <w:p w14:paraId="57721422">
            <w:pPr>
              <w:widowControl/>
              <w:jc w:val="center"/>
              <w:textAlignment w:val="center"/>
              <w:rPr>
                <w:rFonts w:ascii="宋体" w:hAnsi="宋体" w:cs="宋体"/>
                <w:b/>
                <w:bCs/>
                <w:color w:val="000000"/>
                <w:kern w:val="0"/>
                <w:sz w:val="36"/>
                <w:szCs w:val="36"/>
              </w:rPr>
            </w:pPr>
          </w:p>
          <w:p w14:paraId="414A44B9">
            <w:pPr>
              <w:widowControl/>
              <w:jc w:val="center"/>
              <w:textAlignment w:val="center"/>
              <w:rPr>
                <w:rFonts w:ascii="宋体" w:hAnsi="宋体" w:cs="宋体"/>
                <w:b/>
                <w:bCs/>
                <w:color w:val="000000"/>
                <w:kern w:val="0"/>
                <w:sz w:val="36"/>
                <w:szCs w:val="36"/>
              </w:rPr>
            </w:pPr>
          </w:p>
          <w:p w14:paraId="5EA864E3">
            <w:pPr>
              <w:widowControl/>
              <w:jc w:val="center"/>
              <w:textAlignment w:val="center"/>
              <w:rPr>
                <w:rFonts w:ascii="宋体" w:hAnsi="宋体" w:cs="宋体"/>
                <w:b/>
                <w:bCs/>
                <w:color w:val="000000"/>
                <w:kern w:val="0"/>
                <w:sz w:val="36"/>
                <w:szCs w:val="36"/>
              </w:rPr>
            </w:pPr>
          </w:p>
          <w:p w14:paraId="06EAF60E">
            <w:pPr>
              <w:widowControl/>
              <w:jc w:val="center"/>
              <w:textAlignment w:val="center"/>
              <w:rPr>
                <w:rFonts w:ascii="宋体" w:hAnsi="宋体" w:cs="宋体"/>
                <w:b/>
                <w:bCs/>
                <w:color w:val="000000"/>
                <w:kern w:val="0"/>
                <w:sz w:val="36"/>
                <w:szCs w:val="36"/>
              </w:rPr>
            </w:pPr>
          </w:p>
          <w:p w14:paraId="2C6B17D7">
            <w:pPr>
              <w:widowControl/>
              <w:jc w:val="center"/>
              <w:textAlignment w:val="center"/>
              <w:rPr>
                <w:rFonts w:ascii="宋体" w:hAnsi="宋体" w:cs="宋体"/>
                <w:b/>
                <w:bCs/>
                <w:color w:val="000000"/>
                <w:kern w:val="0"/>
                <w:sz w:val="36"/>
                <w:szCs w:val="36"/>
              </w:rPr>
            </w:pPr>
          </w:p>
          <w:p w14:paraId="4C236649">
            <w:pPr>
              <w:widowControl/>
              <w:jc w:val="center"/>
              <w:textAlignment w:val="center"/>
              <w:rPr>
                <w:rFonts w:ascii="宋体" w:hAnsi="宋体" w:cs="宋体"/>
                <w:b/>
                <w:bCs/>
                <w:color w:val="000000"/>
                <w:kern w:val="0"/>
                <w:sz w:val="36"/>
                <w:szCs w:val="36"/>
              </w:rPr>
            </w:pPr>
          </w:p>
          <w:p w14:paraId="59936F6D">
            <w:pPr>
              <w:widowControl/>
              <w:jc w:val="center"/>
              <w:textAlignment w:val="center"/>
              <w:rPr>
                <w:rFonts w:ascii="宋体" w:hAnsi="宋体" w:cs="宋体"/>
                <w:b/>
                <w:bCs/>
                <w:color w:val="000000"/>
                <w:kern w:val="0"/>
                <w:sz w:val="36"/>
                <w:szCs w:val="36"/>
              </w:rPr>
            </w:pPr>
          </w:p>
          <w:p w14:paraId="2FFBD436">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(2019年度)</w:t>
            </w:r>
          </w:p>
        </w:tc>
      </w:tr>
      <w:tr w14:paraId="3434C74F">
        <w:tblPrEx>
          <w:tblCellMar>
            <w:top w:w="0" w:type="dxa"/>
            <w:left w:w="0" w:type="dxa"/>
            <w:bottom w:w="0" w:type="dxa"/>
            <w:right w:w="0" w:type="dxa"/>
          </w:tblCellMar>
        </w:tblPrEx>
        <w:trPr>
          <w:trHeight w:val="418" w:hRule="atLeast"/>
          <w:jc w:val="center"/>
        </w:trPr>
        <w:tc>
          <w:tcPr>
            <w:tcW w:w="31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664EBC">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826"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D5D9F4">
            <w:pPr>
              <w:widowControl/>
              <w:jc w:val="center"/>
              <w:textAlignment w:val="center"/>
              <w:rPr>
                <w:rFonts w:ascii="宋体" w:hAnsi="宋体" w:cs="宋体"/>
                <w:color w:val="000000"/>
                <w:sz w:val="24"/>
              </w:rPr>
            </w:pPr>
            <w:r>
              <w:rPr>
                <w:rFonts w:hint="eastAsia" w:ascii="宋体" w:hAnsi="宋体" w:cs="宋体"/>
                <w:color w:val="000000"/>
                <w:sz w:val="24"/>
              </w:rPr>
              <w:t>环境空气质量自动站搬迁项目</w:t>
            </w:r>
          </w:p>
        </w:tc>
      </w:tr>
      <w:tr w14:paraId="540A531F">
        <w:tblPrEx>
          <w:tblCellMar>
            <w:top w:w="0" w:type="dxa"/>
            <w:left w:w="0" w:type="dxa"/>
            <w:bottom w:w="0" w:type="dxa"/>
            <w:right w:w="0" w:type="dxa"/>
          </w:tblCellMar>
        </w:tblPrEx>
        <w:trPr>
          <w:trHeight w:val="276" w:hRule="atLeast"/>
          <w:jc w:val="center"/>
        </w:trPr>
        <w:tc>
          <w:tcPr>
            <w:tcW w:w="31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49F838">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826"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CB7748">
            <w:pPr>
              <w:widowControl/>
              <w:jc w:val="center"/>
              <w:textAlignment w:val="center"/>
              <w:rPr>
                <w:rFonts w:ascii="宋体" w:hAnsi="宋体" w:cs="宋体"/>
                <w:color w:val="000000"/>
                <w:sz w:val="24"/>
              </w:rPr>
            </w:pPr>
            <w:r>
              <w:rPr>
                <w:rFonts w:hint="eastAsia" w:asciiTheme="minorEastAsia" w:hAnsiTheme="minorEastAsia" w:eastAsiaTheme="minorEastAsia"/>
                <w:color w:val="000000" w:themeColor="text1"/>
                <w:sz w:val="24"/>
              </w:rPr>
              <w:t>米易生态环境局</w:t>
            </w:r>
          </w:p>
        </w:tc>
      </w:tr>
      <w:tr w14:paraId="48AC9B21">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9DC85B">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7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4DA080">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04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5AFE76">
            <w:pPr>
              <w:widowControl/>
              <w:jc w:val="center"/>
              <w:textAlignment w:val="center"/>
              <w:rPr>
                <w:rFonts w:ascii="宋体" w:hAnsi="宋体" w:cs="宋体"/>
                <w:color w:val="000000"/>
                <w:sz w:val="24"/>
              </w:rPr>
            </w:pPr>
            <w:r>
              <w:rPr>
                <w:rFonts w:ascii="宋体" w:hAnsi="宋体" w:cs="宋体"/>
                <w:color w:val="000000"/>
                <w:sz w:val="24"/>
              </w:rPr>
              <w:t xml:space="preserve">165.18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50A46C">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DBEADD">
            <w:pPr>
              <w:widowControl/>
              <w:jc w:val="center"/>
              <w:textAlignment w:val="center"/>
              <w:rPr>
                <w:rFonts w:ascii="宋体" w:hAnsi="宋体" w:cs="宋体"/>
                <w:color w:val="000000"/>
                <w:sz w:val="24"/>
              </w:rPr>
            </w:pPr>
            <w:r>
              <w:rPr>
                <w:rFonts w:ascii="宋体" w:hAnsi="宋体" w:cs="宋体"/>
                <w:color w:val="000000"/>
                <w:sz w:val="24"/>
              </w:rPr>
              <w:t xml:space="preserve">165.18 </w:t>
            </w:r>
          </w:p>
        </w:tc>
      </w:tr>
      <w:tr w14:paraId="3E0BF6DD">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7D30FF">
            <w:pPr>
              <w:jc w:val="center"/>
              <w:rPr>
                <w:rFonts w:ascii="宋体" w:hAnsi="宋体" w:cs="宋体"/>
                <w:color w:val="000000"/>
                <w:sz w:val="24"/>
              </w:rPr>
            </w:pPr>
          </w:p>
        </w:tc>
        <w:tc>
          <w:tcPr>
            <w:tcW w:w="27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7060F5">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04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D3B6EB">
            <w:pPr>
              <w:widowControl/>
              <w:jc w:val="center"/>
              <w:textAlignment w:val="center"/>
              <w:rPr>
                <w:rFonts w:ascii="宋体" w:hAnsi="宋体" w:cs="宋体"/>
                <w:color w:val="000000"/>
                <w:sz w:val="24"/>
              </w:rPr>
            </w:pPr>
            <w:r>
              <w:rPr>
                <w:rFonts w:ascii="宋体" w:hAnsi="宋体" w:cs="宋体"/>
                <w:color w:val="000000"/>
                <w:sz w:val="24"/>
              </w:rPr>
              <w:t>165.18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0E0CF5">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4161E0">
            <w:pPr>
              <w:widowControl/>
              <w:jc w:val="center"/>
              <w:textAlignment w:val="center"/>
              <w:rPr>
                <w:rFonts w:ascii="宋体" w:hAnsi="宋体" w:cs="宋体"/>
                <w:color w:val="000000"/>
                <w:sz w:val="24"/>
              </w:rPr>
            </w:pPr>
            <w:r>
              <w:rPr>
                <w:rFonts w:ascii="宋体" w:hAnsi="宋体" w:cs="宋体"/>
                <w:color w:val="000000"/>
                <w:sz w:val="24"/>
              </w:rPr>
              <w:t xml:space="preserve">165.18 </w:t>
            </w:r>
          </w:p>
        </w:tc>
      </w:tr>
      <w:tr w14:paraId="4B4F47D1">
        <w:tblPrEx>
          <w:tblCellMar>
            <w:top w:w="0" w:type="dxa"/>
            <w:left w:w="0" w:type="dxa"/>
            <w:bottom w:w="0" w:type="dxa"/>
            <w:right w:w="0" w:type="dxa"/>
          </w:tblCellMar>
        </w:tblPrEx>
        <w:trPr>
          <w:trHeight w:val="151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56F64B">
            <w:pPr>
              <w:jc w:val="center"/>
              <w:rPr>
                <w:rFonts w:ascii="宋体" w:hAnsi="宋体" w:cs="宋体"/>
                <w:color w:val="000000"/>
                <w:sz w:val="24"/>
              </w:rPr>
            </w:pPr>
          </w:p>
        </w:tc>
        <w:tc>
          <w:tcPr>
            <w:tcW w:w="27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0F9E32">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04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C5CB07">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20A4A6">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E94464">
            <w:pPr>
              <w:jc w:val="center"/>
              <w:rPr>
                <w:rFonts w:ascii="宋体" w:hAnsi="宋体" w:cs="宋体"/>
                <w:color w:val="000000"/>
                <w:sz w:val="24"/>
              </w:rPr>
            </w:pPr>
            <w:r>
              <w:rPr>
                <w:rFonts w:hint="eastAsia" w:ascii="宋体" w:hAnsi="宋体" w:cs="宋体"/>
                <w:color w:val="000000"/>
                <w:sz w:val="24"/>
              </w:rPr>
              <w:t>0</w:t>
            </w:r>
          </w:p>
        </w:tc>
      </w:tr>
      <w:tr w14:paraId="39B801B7">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BE27B1">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54B5DF">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22587B">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42B0653E">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D4221F">
            <w:pPr>
              <w:jc w:val="center"/>
              <w:rPr>
                <w:rFonts w:ascii="宋体" w:hAnsi="宋体" w:cs="宋体"/>
                <w:color w:val="000000"/>
                <w:sz w:val="24"/>
              </w:rPr>
            </w:pP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29D7FB">
            <w:pPr>
              <w:widowControl/>
              <w:jc w:val="center"/>
              <w:textAlignment w:val="center"/>
              <w:rPr>
                <w:rFonts w:cs="宋体" w:asciiTheme="minorEastAsia" w:hAnsiTheme="minorEastAsia" w:eastAsiaTheme="minorEastAsia"/>
                <w:color w:val="000000"/>
                <w:sz w:val="24"/>
              </w:rPr>
            </w:pPr>
            <w:r>
              <w:rPr>
                <w:rFonts w:hint="eastAsia" w:asciiTheme="minorEastAsia" w:hAnsiTheme="minorEastAsia" w:eastAsiaTheme="minorEastAsia"/>
                <w:color w:val="000000"/>
                <w:kern w:val="0"/>
                <w:sz w:val="24"/>
              </w:rPr>
              <w:t>环境空气自动站搬迁及仪器设备采购</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F53DCA">
            <w:pPr>
              <w:autoSpaceDE w:val="0"/>
              <w:autoSpaceDN w:val="0"/>
              <w:adjustRightInd w:val="0"/>
              <w:spacing w:line="600" w:lineRule="exact"/>
              <w:jc w:val="left"/>
              <w:rPr>
                <w:rFonts w:asciiTheme="minorEastAsia" w:hAnsiTheme="minorEastAsia" w:eastAsiaTheme="minorEastAsia"/>
                <w:color w:val="000000"/>
                <w:kern w:val="0"/>
                <w:sz w:val="24"/>
              </w:rPr>
            </w:pPr>
            <w:r>
              <w:rPr>
                <w:rFonts w:hint="eastAsia" w:asciiTheme="minorEastAsia" w:hAnsiTheme="minorEastAsia" w:eastAsiaTheme="minorEastAsia"/>
                <w:color w:val="000000"/>
                <w:kern w:val="0"/>
                <w:sz w:val="24"/>
              </w:rPr>
              <w:t xml:space="preserve">    完成所有设备经过安装、调试、验收后支付资金。</w:t>
            </w:r>
          </w:p>
          <w:p w14:paraId="5804140F">
            <w:pPr>
              <w:widowControl/>
              <w:jc w:val="center"/>
              <w:textAlignment w:val="center"/>
              <w:rPr>
                <w:rFonts w:ascii="宋体" w:hAnsi="宋体" w:cs="宋体"/>
                <w:color w:val="000000"/>
                <w:sz w:val="24"/>
              </w:rPr>
            </w:pPr>
          </w:p>
        </w:tc>
      </w:tr>
      <w:tr w14:paraId="3FC527CB">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14264772">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B3E434">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3F3CB6">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657847">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252027">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75512A">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23096B18">
        <w:tblPrEx>
          <w:tblCellMar>
            <w:top w:w="0" w:type="dxa"/>
            <w:left w:w="0" w:type="dxa"/>
            <w:bottom w:w="0" w:type="dxa"/>
            <w:right w:w="0" w:type="dxa"/>
          </w:tblCellMar>
        </w:tblPrEx>
        <w:trPr>
          <w:trHeight w:val="87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45C04D7">
            <w:pPr>
              <w:widowControl/>
              <w:jc w:val="center"/>
              <w:textAlignment w:val="center"/>
              <w:rPr>
                <w:rFonts w:ascii="宋体" w:hAnsi="宋体"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236640">
            <w:pPr>
              <w:widowControl/>
              <w:jc w:val="center"/>
              <w:textAlignment w:val="center"/>
              <w:rPr>
                <w:rFonts w:eastAsiaTheme="minorEastAsia"/>
                <w:color w:val="000000" w:themeColor="text1"/>
                <w:sz w:val="24"/>
              </w:rPr>
            </w:pPr>
            <w:r>
              <w:rPr>
                <w:rFonts w:hAnsiTheme="minorEastAsia" w:eastAsiaTheme="minorEastAsia"/>
                <w:color w:val="000000" w:themeColor="text1"/>
                <w:kern w:val="0"/>
                <w:sz w:val="24"/>
              </w:rPr>
              <w:t>项目完成指标</w:t>
            </w: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CEDA31">
            <w:pPr>
              <w:widowControl/>
              <w:jc w:val="center"/>
              <w:textAlignment w:val="center"/>
              <w:rPr>
                <w:rFonts w:eastAsiaTheme="minorEastAsia"/>
                <w:color w:val="000000" w:themeColor="text1"/>
                <w:sz w:val="24"/>
              </w:rPr>
            </w:pPr>
            <w:r>
              <w:rPr>
                <w:rFonts w:hAnsiTheme="minorEastAsia" w:eastAsiaTheme="minorEastAsia"/>
                <w:color w:val="000000" w:themeColor="text1"/>
                <w:sz w:val="24"/>
              </w:rPr>
              <w:t>数量指标</w:t>
            </w:r>
          </w:p>
        </w:tc>
        <w:tc>
          <w:tcPr>
            <w:tcW w:w="1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473C85">
            <w:pPr>
              <w:widowControl/>
              <w:jc w:val="center"/>
              <w:textAlignment w:val="center"/>
              <w:rPr>
                <w:rFonts w:eastAsiaTheme="minorEastAsia"/>
                <w:color w:val="000000" w:themeColor="text1"/>
                <w:sz w:val="24"/>
              </w:rPr>
            </w:pPr>
            <w:r>
              <w:rPr>
                <w:rFonts w:hAnsiTheme="minorEastAsia" w:eastAsiaTheme="minorEastAsia"/>
                <w:color w:val="000000" w:themeColor="text1"/>
                <w:kern w:val="0"/>
                <w:sz w:val="24"/>
              </w:rPr>
              <w:t>项目主要内容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C36717">
            <w:pPr>
              <w:widowControl/>
              <w:jc w:val="center"/>
              <w:textAlignment w:val="center"/>
              <w:rPr>
                <w:rFonts w:eastAsiaTheme="minorEastAsia"/>
                <w:color w:val="000000" w:themeColor="text1"/>
                <w:sz w:val="24"/>
              </w:rPr>
            </w:pPr>
            <w:r>
              <w:rPr>
                <w:rFonts w:eastAsiaTheme="minorEastAsia"/>
                <w:color w:val="000000" w:themeColor="text1"/>
                <w:sz w:val="24"/>
              </w:rPr>
              <w:t>2</w:t>
            </w:r>
            <w:r>
              <w:rPr>
                <w:rFonts w:hAnsiTheme="minorEastAsia" w:eastAsiaTheme="minorEastAsia"/>
                <w:color w:val="000000" w:themeColor="text1"/>
                <w:sz w:val="24"/>
              </w:rPr>
              <w:t>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DB9E9E">
            <w:pPr>
              <w:widowControl/>
              <w:jc w:val="center"/>
              <w:textAlignment w:val="center"/>
              <w:rPr>
                <w:rFonts w:eastAsiaTheme="minorEastAsia"/>
                <w:color w:val="000000" w:themeColor="text1"/>
                <w:sz w:val="24"/>
              </w:rPr>
            </w:pPr>
            <w:r>
              <w:rPr>
                <w:rFonts w:eastAsiaTheme="minorEastAsia"/>
                <w:color w:val="000000" w:themeColor="text1"/>
                <w:sz w:val="24"/>
              </w:rPr>
              <w:t>2</w:t>
            </w:r>
            <w:r>
              <w:rPr>
                <w:rFonts w:hAnsiTheme="minorEastAsia" w:eastAsiaTheme="minorEastAsia"/>
                <w:color w:val="000000" w:themeColor="text1"/>
                <w:sz w:val="24"/>
              </w:rPr>
              <w:t>个</w:t>
            </w:r>
          </w:p>
        </w:tc>
      </w:tr>
      <w:tr w14:paraId="3C489398">
        <w:tblPrEx>
          <w:tblCellMar>
            <w:top w:w="0" w:type="dxa"/>
            <w:left w:w="0" w:type="dxa"/>
            <w:bottom w:w="0" w:type="dxa"/>
            <w:right w:w="0" w:type="dxa"/>
          </w:tblCellMar>
        </w:tblPrEx>
        <w:trPr>
          <w:trHeight w:val="82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E542473">
            <w:pPr>
              <w:widowControl/>
              <w:jc w:val="center"/>
              <w:textAlignment w:val="center"/>
              <w:rPr>
                <w:rFonts w:ascii="宋体" w:hAnsi="宋体"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3AA5C4">
            <w:pPr>
              <w:widowControl/>
              <w:jc w:val="center"/>
              <w:textAlignment w:val="center"/>
              <w:rPr>
                <w:rFonts w:eastAsiaTheme="minorEastAsia"/>
                <w:color w:val="000000" w:themeColor="text1"/>
                <w:sz w:val="24"/>
              </w:rPr>
            </w:pPr>
            <w:r>
              <w:rPr>
                <w:rFonts w:hAnsiTheme="minorEastAsia" w:eastAsiaTheme="minorEastAsia"/>
                <w:color w:val="000000" w:themeColor="text1"/>
                <w:kern w:val="0"/>
                <w:sz w:val="24"/>
              </w:rPr>
              <w:t>项目完成指标</w:t>
            </w: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22917A">
            <w:pPr>
              <w:widowControl/>
              <w:jc w:val="center"/>
              <w:textAlignment w:val="center"/>
              <w:rPr>
                <w:rFonts w:eastAsiaTheme="minorEastAsia"/>
                <w:color w:val="000000" w:themeColor="text1"/>
                <w:sz w:val="24"/>
              </w:rPr>
            </w:pPr>
            <w:r>
              <w:rPr>
                <w:rFonts w:hAnsiTheme="minorEastAsia" w:eastAsiaTheme="minorEastAsia"/>
                <w:color w:val="000000" w:themeColor="text1"/>
                <w:sz w:val="24"/>
              </w:rPr>
              <w:t>质量指标</w:t>
            </w:r>
          </w:p>
        </w:tc>
        <w:tc>
          <w:tcPr>
            <w:tcW w:w="1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7DD49A">
            <w:pPr>
              <w:widowControl/>
              <w:jc w:val="center"/>
              <w:textAlignment w:val="center"/>
              <w:rPr>
                <w:rFonts w:eastAsiaTheme="minorEastAsia"/>
                <w:color w:val="000000" w:themeColor="text1"/>
                <w:sz w:val="24"/>
              </w:rPr>
            </w:pPr>
            <w:r>
              <w:rPr>
                <w:rFonts w:hAnsiTheme="minorEastAsia" w:eastAsiaTheme="minorEastAsia"/>
                <w:color w:val="000000" w:themeColor="text1"/>
                <w:sz w:val="24"/>
              </w:rPr>
              <w:t>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9DF604">
            <w:pPr>
              <w:widowControl/>
              <w:jc w:val="center"/>
              <w:textAlignment w:val="center"/>
              <w:rPr>
                <w:rFonts w:eastAsiaTheme="minorEastAsia"/>
                <w:color w:val="000000" w:themeColor="text1"/>
                <w:sz w:val="24"/>
              </w:rPr>
            </w:pPr>
            <w:r>
              <w:rPr>
                <w:rFonts w:eastAsiaTheme="minorEastAsia"/>
                <w:color w:val="000000" w:themeColor="text1"/>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6AE8E3">
            <w:pPr>
              <w:widowControl/>
              <w:jc w:val="center"/>
              <w:textAlignment w:val="center"/>
              <w:rPr>
                <w:rFonts w:eastAsiaTheme="minorEastAsia"/>
                <w:color w:val="000000" w:themeColor="text1"/>
                <w:sz w:val="24"/>
              </w:rPr>
            </w:pPr>
            <w:r>
              <w:rPr>
                <w:rFonts w:eastAsiaTheme="minorEastAsia"/>
                <w:color w:val="000000" w:themeColor="text1"/>
                <w:sz w:val="24"/>
              </w:rPr>
              <w:t>100%</w:t>
            </w:r>
          </w:p>
        </w:tc>
      </w:tr>
      <w:tr w14:paraId="06CD227C">
        <w:tblPrEx>
          <w:tblCellMar>
            <w:top w:w="0" w:type="dxa"/>
            <w:left w:w="0" w:type="dxa"/>
            <w:bottom w:w="0" w:type="dxa"/>
            <w:right w:w="0" w:type="dxa"/>
          </w:tblCellMar>
        </w:tblPrEx>
        <w:trPr>
          <w:trHeight w:val="82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478787C">
            <w:pPr>
              <w:widowControl/>
              <w:jc w:val="center"/>
              <w:textAlignment w:val="center"/>
              <w:rPr>
                <w:rFonts w:ascii="宋体" w:hAnsi="宋体"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30DB9C">
            <w:pPr>
              <w:widowControl/>
              <w:jc w:val="center"/>
              <w:textAlignment w:val="center"/>
              <w:rPr>
                <w:rFonts w:eastAsiaTheme="minorEastAsia"/>
                <w:color w:val="000000" w:themeColor="text1"/>
                <w:sz w:val="24"/>
              </w:rPr>
            </w:pPr>
            <w:r>
              <w:rPr>
                <w:rFonts w:hAnsiTheme="minorEastAsia" w:eastAsiaTheme="minorEastAsia"/>
                <w:color w:val="000000" w:themeColor="text1"/>
                <w:kern w:val="0"/>
                <w:sz w:val="24"/>
              </w:rPr>
              <w:t>项目完成指标</w:t>
            </w: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BC7477">
            <w:pPr>
              <w:widowControl/>
              <w:jc w:val="center"/>
              <w:textAlignment w:val="center"/>
              <w:rPr>
                <w:rFonts w:eastAsiaTheme="minorEastAsia"/>
                <w:color w:val="000000" w:themeColor="text1"/>
                <w:sz w:val="24"/>
              </w:rPr>
            </w:pPr>
            <w:r>
              <w:rPr>
                <w:rFonts w:hAnsiTheme="minorEastAsia" w:eastAsiaTheme="minorEastAsia"/>
                <w:color w:val="000000" w:themeColor="text1"/>
                <w:sz w:val="24"/>
              </w:rPr>
              <w:t>时效指标</w:t>
            </w:r>
          </w:p>
        </w:tc>
        <w:tc>
          <w:tcPr>
            <w:tcW w:w="1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45B5C7">
            <w:pPr>
              <w:widowControl/>
              <w:jc w:val="center"/>
              <w:textAlignment w:val="center"/>
              <w:rPr>
                <w:rFonts w:eastAsiaTheme="minorEastAsia"/>
                <w:color w:val="000000" w:themeColor="text1"/>
                <w:sz w:val="24"/>
              </w:rPr>
            </w:pPr>
            <w:r>
              <w:rPr>
                <w:rFonts w:hAnsiTheme="minorEastAsia" w:eastAsiaTheme="minorEastAsia"/>
                <w:color w:val="000000" w:themeColor="text1"/>
                <w:sz w:val="24"/>
              </w:rPr>
              <w:t>按年度进度安排</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141DAD">
            <w:pPr>
              <w:widowControl/>
              <w:jc w:val="center"/>
              <w:textAlignment w:val="center"/>
              <w:rPr>
                <w:rFonts w:eastAsiaTheme="minorEastAsia"/>
                <w:color w:val="000000" w:themeColor="text1"/>
                <w:sz w:val="24"/>
              </w:rPr>
            </w:pPr>
            <w:r>
              <w:rPr>
                <w:rFonts w:eastAsiaTheme="minorEastAsia"/>
                <w:color w:val="000000" w:themeColor="text1"/>
                <w:sz w:val="24"/>
              </w:rPr>
              <w:t>2019</w:t>
            </w:r>
            <w:r>
              <w:rPr>
                <w:rFonts w:hAnsiTheme="minorEastAsia" w:eastAsiaTheme="minorEastAsia"/>
                <w:color w:val="000000" w:themeColor="text1"/>
                <w:sz w:val="24"/>
              </w:rPr>
              <w:t>年</w:t>
            </w:r>
            <w:r>
              <w:rPr>
                <w:rFonts w:eastAsiaTheme="minorEastAsia"/>
                <w:color w:val="000000" w:themeColor="text1"/>
                <w:sz w:val="24"/>
              </w:rPr>
              <w:t>12</w:t>
            </w:r>
            <w:r>
              <w:rPr>
                <w:rFonts w:hAnsiTheme="minorEastAsia" w:eastAsiaTheme="minorEastAsia"/>
                <w:color w:val="000000" w:themeColor="text1"/>
                <w:sz w:val="24"/>
              </w:rPr>
              <w:t>月</w:t>
            </w:r>
            <w:r>
              <w:rPr>
                <w:rFonts w:eastAsiaTheme="minorEastAsia"/>
                <w:color w:val="000000" w:themeColor="text1"/>
                <w:sz w:val="24"/>
              </w:rPr>
              <w:t>31</w:t>
            </w:r>
            <w:r>
              <w:rPr>
                <w:rFonts w:hAnsiTheme="minorEastAsia" w:eastAsiaTheme="minorEastAsia"/>
                <w:color w:val="000000" w:themeColor="text1"/>
                <w:sz w:val="24"/>
              </w:rPr>
              <w:t>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815E44">
            <w:pPr>
              <w:widowControl/>
              <w:jc w:val="center"/>
              <w:textAlignment w:val="center"/>
              <w:rPr>
                <w:rFonts w:eastAsiaTheme="minorEastAsia"/>
                <w:color w:val="000000" w:themeColor="text1"/>
                <w:sz w:val="24"/>
              </w:rPr>
            </w:pPr>
            <w:r>
              <w:rPr>
                <w:rFonts w:eastAsiaTheme="minorEastAsia"/>
                <w:color w:val="000000" w:themeColor="text1"/>
                <w:sz w:val="24"/>
              </w:rPr>
              <w:t>2019</w:t>
            </w:r>
            <w:r>
              <w:rPr>
                <w:rFonts w:hAnsiTheme="minorEastAsia" w:eastAsiaTheme="minorEastAsia"/>
                <w:color w:val="000000" w:themeColor="text1"/>
                <w:sz w:val="24"/>
              </w:rPr>
              <w:t>年</w:t>
            </w:r>
            <w:r>
              <w:rPr>
                <w:rFonts w:eastAsiaTheme="minorEastAsia"/>
                <w:color w:val="000000" w:themeColor="text1"/>
                <w:sz w:val="24"/>
              </w:rPr>
              <w:t>12</w:t>
            </w:r>
            <w:r>
              <w:rPr>
                <w:rFonts w:hAnsiTheme="minorEastAsia" w:eastAsiaTheme="minorEastAsia"/>
                <w:color w:val="000000" w:themeColor="text1"/>
                <w:sz w:val="24"/>
              </w:rPr>
              <w:t>月</w:t>
            </w:r>
            <w:r>
              <w:rPr>
                <w:rFonts w:eastAsiaTheme="minorEastAsia"/>
                <w:color w:val="000000" w:themeColor="text1"/>
                <w:sz w:val="24"/>
              </w:rPr>
              <w:t>31</w:t>
            </w:r>
            <w:r>
              <w:rPr>
                <w:rFonts w:hAnsiTheme="minorEastAsia" w:eastAsiaTheme="minorEastAsia"/>
                <w:color w:val="000000" w:themeColor="text1"/>
                <w:sz w:val="24"/>
              </w:rPr>
              <w:t>日前</w:t>
            </w:r>
          </w:p>
        </w:tc>
      </w:tr>
      <w:tr w14:paraId="0C4C60BF">
        <w:tblPrEx>
          <w:tblCellMar>
            <w:top w:w="0" w:type="dxa"/>
            <w:left w:w="0" w:type="dxa"/>
            <w:bottom w:w="0" w:type="dxa"/>
            <w:right w:w="0" w:type="dxa"/>
          </w:tblCellMar>
        </w:tblPrEx>
        <w:trPr>
          <w:trHeight w:val="825"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6B97977">
            <w:pPr>
              <w:widowControl/>
              <w:jc w:val="center"/>
              <w:textAlignment w:val="center"/>
              <w:rPr>
                <w:rFonts w:ascii="宋体" w:hAnsi="宋体"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87EBD5">
            <w:pPr>
              <w:widowControl/>
              <w:jc w:val="center"/>
              <w:textAlignment w:val="center"/>
              <w:rPr>
                <w:rFonts w:eastAsiaTheme="minorEastAsia"/>
                <w:color w:val="000000" w:themeColor="text1"/>
                <w:kern w:val="0"/>
                <w:sz w:val="24"/>
              </w:rPr>
            </w:pPr>
            <w:r>
              <w:rPr>
                <w:rFonts w:hAnsiTheme="minorEastAsia" w:eastAsiaTheme="minorEastAsia"/>
                <w:color w:val="000000" w:themeColor="text1"/>
                <w:kern w:val="0"/>
                <w:sz w:val="24"/>
              </w:rPr>
              <w:t>项目完成指标</w:t>
            </w: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6C97BC">
            <w:pPr>
              <w:widowControl/>
              <w:jc w:val="center"/>
              <w:textAlignment w:val="center"/>
              <w:rPr>
                <w:rFonts w:eastAsiaTheme="minorEastAsia"/>
                <w:color w:val="000000" w:themeColor="text1"/>
                <w:sz w:val="24"/>
              </w:rPr>
            </w:pPr>
            <w:r>
              <w:rPr>
                <w:rFonts w:hAnsiTheme="minorEastAsia" w:eastAsiaTheme="minorEastAsia"/>
                <w:color w:val="000000" w:themeColor="text1"/>
                <w:sz w:val="24"/>
              </w:rPr>
              <w:t>成本指标</w:t>
            </w:r>
          </w:p>
        </w:tc>
        <w:tc>
          <w:tcPr>
            <w:tcW w:w="1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D5694E">
            <w:pPr>
              <w:widowControl/>
              <w:jc w:val="center"/>
              <w:textAlignment w:val="center"/>
              <w:rPr>
                <w:rFonts w:eastAsiaTheme="minorEastAsia"/>
                <w:color w:val="000000" w:themeColor="text1"/>
                <w:sz w:val="24"/>
              </w:rPr>
            </w:pPr>
            <w:r>
              <w:rPr>
                <w:rFonts w:hAnsiTheme="minorEastAsia" w:eastAsiaTheme="minorEastAsia"/>
                <w:color w:val="000000" w:themeColor="text1"/>
                <w:sz w:val="24"/>
              </w:rPr>
              <w:t>合同约定支付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76FB7E">
            <w:pPr>
              <w:widowControl/>
              <w:jc w:val="center"/>
              <w:textAlignment w:val="center"/>
              <w:rPr>
                <w:rFonts w:eastAsiaTheme="minorEastAsia"/>
                <w:color w:val="000000" w:themeColor="text1"/>
                <w:sz w:val="24"/>
              </w:rPr>
            </w:pPr>
            <w:r>
              <w:rPr>
                <w:rFonts w:eastAsiaTheme="minorEastAsia"/>
                <w:color w:val="000000" w:themeColor="text1"/>
                <w:sz w:val="24"/>
              </w:rPr>
              <w:t>165.18</w:t>
            </w:r>
            <w:r>
              <w:rPr>
                <w:rFonts w:hAnsiTheme="minorEastAsia" w:eastAsiaTheme="minorEastAsia"/>
                <w:color w:val="000000" w:themeColor="text1"/>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078767">
            <w:pPr>
              <w:widowControl/>
              <w:jc w:val="center"/>
              <w:textAlignment w:val="center"/>
              <w:rPr>
                <w:rFonts w:eastAsiaTheme="minorEastAsia"/>
                <w:color w:val="000000" w:themeColor="text1"/>
                <w:sz w:val="24"/>
              </w:rPr>
            </w:pPr>
            <w:r>
              <w:rPr>
                <w:rFonts w:eastAsiaTheme="minorEastAsia"/>
                <w:color w:val="000000" w:themeColor="text1"/>
                <w:sz w:val="24"/>
              </w:rPr>
              <w:t>165.18</w:t>
            </w:r>
            <w:r>
              <w:rPr>
                <w:rFonts w:hAnsiTheme="minorEastAsia" w:eastAsiaTheme="minorEastAsia"/>
                <w:color w:val="000000" w:themeColor="text1"/>
                <w:sz w:val="24"/>
              </w:rPr>
              <w:t>万元</w:t>
            </w:r>
          </w:p>
        </w:tc>
      </w:tr>
      <w:tr w14:paraId="4498F4BB">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97BD174">
            <w:pPr>
              <w:widowControl/>
              <w:jc w:val="center"/>
              <w:textAlignment w:val="center"/>
              <w:rPr>
                <w:rFonts w:ascii="宋体" w:hAnsi="宋体"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45C2BC">
            <w:pPr>
              <w:widowControl/>
              <w:jc w:val="center"/>
              <w:textAlignment w:val="center"/>
              <w:rPr>
                <w:rFonts w:eastAsiaTheme="minorEastAsia"/>
                <w:color w:val="000000" w:themeColor="text1"/>
                <w:sz w:val="24"/>
              </w:rPr>
            </w:pPr>
            <w:r>
              <w:rPr>
                <w:rFonts w:hAnsiTheme="minorEastAsia" w:eastAsiaTheme="minorEastAsia"/>
                <w:color w:val="000000" w:themeColor="text1"/>
                <w:kern w:val="0"/>
                <w:sz w:val="24"/>
              </w:rPr>
              <w:t>项目完成指标</w:t>
            </w: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1EAB5F">
            <w:pPr>
              <w:widowControl/>
              <w:jc w:val="center"/>
              <w:textAlignment w:val="center"/>
              <w:rPr>
                <w:rFonts w:eastAsiaTheme="minorEastAsia"/>
                <w:color w:val="000000" w:themeColor="text1"/>
                <w:sz w:val="24"/>
              </w:rPr>
            </w:pPr>
            <w:r>
              <w:rPr>
                <w:rFonts w:hAnsiTheme="minorEastAsia" w:eastAsiaTheme="minorEastAsia"/>
                <w:color w:val="000000" w:themeColor="text1"/>
                <w:sz w:val="24"/>
              </w:rPr>
              <w:t>效益指标</w:t>
            </w:r>
          </w:p>
        </w:tc>
        <w:tc>
          <w:tcPr>
            <w:tcW w:w="1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C361D4">
            <w:pPr>
              <w:widowControl/>
              <w:jc w:val="center"/>
              <w:textAlignment w:val="center"/>
              <w:rPr>
                <w:rFonts w:eastAsiaTheme="minorEastAsia"/>
                <w:color w:val="000000" w:themeColor="text1"/>
                <w:sz w:val="24"/>
              </w:rPr>
            </w:pPr>
            <w:r>
              <w:rPr>
                <w:rFonts w:hAnsiTheme="minorEastAsia" w:eastAsiaTheme="minorEastAsia"/>
                <w:color w:val="000000" w:themeColor="text1"/>
                <w:sz w:val="24"/>
              </w:rPr>
              <w:t>环保意识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075344">
            <w:pPr>
              <w:widowControl/>
              <w:jc w:val="center"/>
              <w:textAlignment w:val="center"/>
              <w:rPr>
                <w:rFonts w:eastAsiaTheme="minorEastAsia"/>
                <w:color w:val="000000" w:themeColor="text1"/>
                <w:sz w:val="24"/>
              </w:rPr>
            </w:pPr>
            <w:r>
              <w:rPr>
                <w:rFonts w:hAnsiTheme="minorEastAsia" w:eastAsiaTheme="minorEastAsia"/>
                <w:color w:val="000000" w:themeColor="text1"/>
                <w:sz w:val="24"/>
              </w:rPr>
              <w:t>提高全县干部群众和企业的环保意识，减少环境违法行为的发生。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1075CD">
            <w:pPr>
              <w:widowControl/>
              <w:jc w:val="center"/>
              <w:textAlignment w:val="center"/>
              <w:rPr>
                <w:rFonts w:eastAsiaTheme="minorEastAsia"/>
                <w:color w:val="000000" w:themeColor="text1"/>
                <w:sz w:val="24"/>
              </w:rPr>
            </w:pPr>
            <w:r>
              <w:rPr>
                <w:rFonts w:hAnsiTheme="minorEastAsia" w:eastAsiaTheme="minorEastAsia"/>
                <w:color w:val="000000" w:themeColor="text1"/>
                <w:sz w:val="24"/>
              </w:rPr>
              <w:t>提高全县干部群众和企业的环保意识，减少环境违法行为的发生。</w:t>
            </w:r>
          </w:p>
        </w:tc>
      </w:tr>
      <w:tr w14:paraId="0650D335">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3F4CD67">
            <w:pPr>
              <w:widowControl/>
              <w:jc w:val="center"/>
              <w:textAlignment w:val="center"/>
              <w:rPr>
                <w:rFonts w:ascii="宋体" w:hAnsi="宋体" w:cs="宋体"/>
                <w:color w:val="000000"/>
                <w:sz w:val="24"/>
              </w:rPr>
            </w:pPr>
          </w:p>
        </w:tc>
        <w:tc>
          <w:tcPr>
            <w:tcW w:w="1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FD11B1">
            <w:pPr>
              <w:widowControl/>
              <w:jc w:val="center"/>
              <w:textAlignment w:val="center"/>
              <w:rPr>
                <w:rFonts w:eastAsiaTheme="minorEastAsia"/>
                <w:color w:val="000000" w:themeColor="text1"/>
                <w:sz w:val="24"/>
              </w:rPr>
            </w:pPr>
            <w:r>
              <w:rPr>
                <w:rFonts w:hAnsiTheme="minorEastAsia" w:eastAsiaTheme="minorEastAsia"/>
                <w:color w:val="000000" w:themeColor="text1"/>
                <w:kern w:val="0"/>
                <w:sz w:val="24"/>
              </w:rPr>
              <w:t>满意度指标</w:t>
            </w: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524952">
            <w:pPr>
              <w:widowControl/>
              <w:jc w:val="center"/>
              <w:textAlignment w:val="center"/>
              <w:rPr>
                <w:rFonts w:eastAsiaTheme="minorEastAsia"/>
                <w:color w:val="000000" w:themeColor="text1"/>
                <w:sz w:val="24"/>
              </w:rPr>
            </w:pPr>
            <w:r>
              <w:rPr>
                <w:rFonts w:hAnsiTheme="minorEastAsia" w:eastAsiaTheme="minorEastAsia"/>
                <w:color w:val="000000" w:themeColor="text1"/>
                <w:sz w:val="24"/>
              </w:rPr>
              <w:t>服务对象满意度指标</w:t>
            </w:r>
          </w:p>
        </w:tc>
        <w:tc>
          <w:tcPr>
            <w:tcW w:w="1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262DF8">
            <w:pPr>
              <w:widowControl/>
              <w:jc w:val="center"/>
              <w:textAlignment w:val="center"/>
              <w:rPr>
                <w:rFonts w:eastAsiaTheme="minorEastAsia"/>
                <w:color w:val="000000" w:themeColor="text1"/>
                <w:sz w:val="24"/>
              </w:rPr>
            </w:pPr>
            <w:r>
              <w:rPr>
                <w:rFonts w:hAnsiTheme="minorEastAsia" w:eastAsiaTheme="minorEastAsia"/>
                <w:color w:val="000000" w:themeColor="text1"/>
                <w:sz w:val="24"/>
              </w:rPr>
              <w:t>服务对象满意度指标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372A27">
            <w:pPr>
              <w:widowControl/>
              <w:jc w:val="center"/>
              <w:textAlignment w:val="center"/>
              <w:rPr>
                <w:rFonts w:eastAsiaTheme="minorEastAsia"/>
                <w:color w:val="000000" w:themeColor="text1"/>
                <w:sz w:val="24"/>
              </w:rPr>
            </w:pPr>
            <w:r>
              <w:rPr>
                <w:rFonts w:hAnsiTheme="minorEastAsia" w:eastAsiaTheme="minorEastAsia"/>
                <w:color w:val="000000" w:themeColor="text1"/>
                <w:sz w:val="24"/>
              </w:rPr>
              <w:t>≧</w:t>
            </w:r>
            <w:r>
              <w:rPr>
                <w:rFonts w:eastAsiaTheme="minorEastAsia"/>
                <w:color w:val="000000" w:themeColor="text1"/>
                <w:sz w:val="24"/>
              </w:rPr>
              <w: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325EFD">
            <w:pPr>
              <w:widowControl/>
              <w:jc w:val="center"/>
              <w:textAlignment w:val="center"/>
              <w:rPr>
                <w:rFonts w:eastAsiaTheme="minorEastAsia"/>
                <w:color w:val="000000" w:themeColor="text1"/>
                <w:sz w:val="24"/>
              </w:rPr>
            </w:pPr>
            <w:r>
              <w:rPr>
                <w:rFonts w:asciiTheme="minorEastAsia" w:hAnsiTheme="minorEastAsia" w:eastAsiaTheme="minorEastAsia"/>
                <w:color w:val="000000" w:themeColor="text1"/>
                <w:sz w:val="24"/>
              </w:rPr>
              <w:t>≧</w:t>
            </w:r>
            <w:r>
              <w:rPr>
                <w:rFonts w:eastAsiaTheme="minorEastAsia"/>
                <w:color w:val="000000" w:themeColor="text1"/>
                <w:sz w:val="24"/>
              </w:rPr>
              <w:t>98%</w:t>
            </w:r>
          </w:p>
        </w:tc>
      </w:tr>
    </w:tbl>
    <w:p w14:paraId="592D8735">
      <w:pPr>
        <w:spacing w:line="580" w:lineRule="exact"/>
        <w:ind w:left="630"/>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299"/>
        <w:gridCol w:w="1134"/>
        <w:gridCol w:w="992"/>
        <w:gridCol w:w="357"/>
        <w:gridCol w:w="2392"/>
        <w:gridCol w:w="2394"/>
        <w:gridCol w:w="2392"/>
      </w:tblGrid>
      <w:tr w14:paraId="6BA44643">
        <w:tblPrEx>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14:paraId="75F90969">
            <w:pPr>
              <w:widowControl/>
              <w:jc w:val="center"/>
              <w:textAlignment w:val="center"/>
              <w:rPr>
                <w:rFonts w:asciiTheme="minorEastAsia" w:hAnsiTheme="minorEastAsia" w:eastAsiaTheme="minorEastAsia"/>
                <w:color w:val="000000" w:themeColor="text1"/>
                <w:sz w:val="24"/>
              </w:rPr>
            </w:pPr>
            <w:r>
              <w:rPr>
                <w:rFonts w:ascii="宋体" w:hAnsi="宋体" w:cs="宋体"/>
                <w:b/>
                <w:bCs/>
                <w:color w:val="000000"/>
                <w:kern w:val="0"/>
                <w:sz w:val="36"/>
                <w:szCs w:val="36"/>
              </w:rPr>
              <w:t>项目支出绩效目标完成情况表</w:t>
            </w:r>
            <w:r>
              <w:rPr>
                <w:rFonts w:asciiTheme="minorEastAsia" w:hAnsiTheme="minorEastAsia" w:eastAsiaTheme="minorEastAsia"/>
                <w:color w:val="000000" w:themeColor="text1"/>
                <w:sz w:val="24"/>
              </w:rPr>
              <w:br w:type="textWrapping"/>
            </w:r>
            <w:r>
              <w:rPr>
                <w:rFonts w:ascii="宋体" w:hAnsi="宋体" w:cs="宋体"/>
                <w:color w:val="000000"/>
                <w:kern w:val="0"/>
                <w:sz w:val="36"/>
                <w:szCs w:val="36"/>
              </w:rPr>
              <w:t>(201</w:t>
            </w:r>
            <w:r>
              <w:rPr>
                <w:rFonts w:hint="eastAsia" w:ascii="宋体" w:hAnsi="宋体" w:cs="宋体"/>
                <w:color w:val="000000"/>
                <w:kern w:val="0"/>
                <w:sz w:val="36"/>
                <w:szCs w:val="36"/>
              </w:rPr>
              <w:t>9</w:t>
            </w:r>
            <w:r>
              <w:rPr>
                <w:rFonts w:ascii="宋体" w:hAnsi="宋体" w:cs="宋体"/>
                <w:color w:val="000000"/>
                <w:kern w:val="0"/>
                <w:sz w:val="36"/>
                <w:szCs w:val="36"/>
              </w:rPr>
              <w:t>年度)</w:t>
            </w:r>
          </w:p>
        </w:tc>
      </w:tr>
      <w:tr w14:paraId="6DCE1A9D">
        <w:tblPrEx>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1ED5C0">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7FF913">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环境监测与监察支出项目</w:t>
            </w:r>
          </w:p>
        </w:tc>
      </w:tr>
      <w:tr w14:paraId="4FB2B6DC">
        <w:tblPrEx>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95F4CB">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476C3C">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米易生态环境局</w:t>
            </w:r>
          </w:p>
        </w:tc>
      </w:tr>
      <w:tr w14:paraId="607ED6E0">
        <w:tblPrEx>
          <w:tblCellMar>
            <w:top w:w="0" w:type="dxa"/>
            <w:left w:w="0" w:type="dxa"/>
            <w:bottom w:w="0" w:type="dxa"/>
            <w:right w:w="0" w:type="dxa"/>
          </w:tblCellMar>
        </w:tblPrEx>
        <w:trPr>
          <w:trHeight w:val="276" w:hRule="atLeast"/>
        </w:trPr>
        <w:tc>
          <w:tcPr>
            <w:tcW w:w="29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64460C">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预算执行情况(万元)</w:t>
            </w:r>
          </w:p>
        </w:tc>
        <w:tc>
          <w:tcPr>
            <w:tcW w:w="248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A1B798">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4224F2">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30.79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CDB24B">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026268">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30.79</w:t>
            </w:r>
          </w:p>
        </w:tc>
      </w:tr>
      <w:tr w14:paraId="0C49C631">
        <w:tblPrEx>
          <w:tblCellMar>
            <w:top w:w="0" w:type="dxa"/>
            <w:left w:w="0" w:type="dxa"/>
            <w:bottom w:w="0" w:type="dxa"/>
            <w:right w:w="0" w:type="dxa"/>
          </w:tblCellMar>
        </w:tblPrEx>
        <w:trPr>
          <w:trHeight w:val="276"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24D2A3D1">
            <w:pPr>
              <w:widowControl/>
              <w:jc w:val="center"/>
              <w:textAlignment w:val="center"/>
              <w:rPr>
                <w:rFonts w:asciiTheme="minorEastAsia" w:hAnsiTheme="minorEastAsia" w:eastAsiaTheme="minorEastAsia"/>
                <w:color w:val="000000" w:themeColor="text1"/>
                <w:sz w:val="24"/>
              </w:rPr>
            </w:pPr>
          </w:p>
        </w:tc>
        <w:tc>
          <w:tcPr>
            <w:tcW w:w="248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37C563">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F47527">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30.79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D5317D">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AE2ED6">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30.79</w:t>
            </w:r>
          </w:p>
        </w:tc>
      </w:tr>
      <w:tr w14:paraId="460936FD">
        <w:tblPrEx>
          <w:tblCellMar>
            <w:top w:w="0" w:type="dxa"/>
            <w:left w:w="0" w:type="dxa"/>
            <w:bottom w:w="0" w:type="dxa"/>
            <w:right w:w="0" w:type="dxa"/>
          </w:tblCellMar>
        </w:tblPrEx>
        <w:trPr>
          <w:trHeight w:val="1511"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7AD015B4">
            <w:pPr>
              <w:widowControl/>
              <w:jc w:val="center"/>
              <w:textAlignment w:val="center"/>
              <w:rPr>
                <w:rFonts w:asciiTheme="minorEastAsia" w:hAnsiTheme="minorEastAsia" w:eastAsiaTheme="minorEastAsia"/>
                <w:color w:val="000000" w:themeColor="text1"/>
                <w:sz w:val="24"/>
              </w:rPr>
            </w:pPr>
          </w:p>
        </w:tc>
        <w:tc>
          <w:tcPr>
            <w:tcW w:w="248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078869">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651A00">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DFFA55">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F82067">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0</w:t>
            </w:r>
          </w:p>
        </w:tc>
      </w:tr>
      <w:tr w14:paraId="28CD5FB3">
        <w:tblPrEx>
          <w:tblCellMar>
            <w:top w:w="0" w:type="dxa"/>
            <w:left w:w="0" w:type="dxa"/>
            <w:bottom w:w="0" w:type="dxa"/>
            <w:right w:w="0" w:type="dxa"/>
          </w:tblCellMar>
        </w:tblPrEx>
        <w:trPr>
          <w:trHeight w:val="276" w:hRule="atLeast"/>
        </w:trPr>
        <w:tc>
          <w:tcPr>
            <w:tcW w:w="29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E8A1B0">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年度目标完成情况</w:t>
            </w:r>
          </w:p>
        </w:tc>
        <w:tc>
          <w:tcPr>
            <w:tcW w:w="48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46DBA8">
            <w:pPr>
              <w:widowControl/>
              <w:jc w:val="center"/>
              <w:textAlignment w:val="center"/>
              <w:rPr>
                <w:rFonts w:cs="宋体" w:asciiTheme="minorEastAsia" w:hAnsiTheme="minorEastAsia" w:eastAsiaTheme="minorEastAsia"/>
                <w:color w:val="000000" w:themeColor="text1"/>
                <w:sz w:val="24"/>
              </w:rPr>
            </w:pPr>
            <w:r>
              <w:rPr>
                <w:rFonts w:hint="eastAsia" w:cs="宋体" w:asciiTheme="minorEastAsia" w:hAnsiTheme="minorEastAsia" w:eastAsiaTheme="minorEastAsia"/>
                <w:color w:val="000000" w:themeColor="text1"/>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770F1D">
            <w:pPr>
              <w:widowControl/>
              <w:jc w:val="center"/>
              <w:textAlignment w:val="center"/>
              <w:rPr>
                <w:rFonts w:cs="宋体" w:asciiTheme="minorEastAsia" w:hAnsiTheme="minorEastAsia" w:eastAsiaTheme="minorEastAsia"/>
                <w:color w:val="000000" w:themeColor="text1"/>
                <w:sz w:val="24"/>
              </w:rPr>
            </w:pPr>
            <w:r>
              <w:rPr>
                <w:rFonts w:hint="eastAsia" w:cs="宋体" w:asciiTheme="minorEastAsia" w:hAnsiTheme="minorEastAsia" w:eastAsiaTheme="minorEastAsia"/>
                <w:color w:val="000000" w:themeColor="text1"/>
                <w:kern w:val="0"/>
                <w:sz w:val="24"/>
              </w:rPr>
              <w:t>实际完成目标</w:t>
            </w:r>
          </w:p>
        </w:tc>
      </w:tr>
      <w:tr w14:paraId="35EA7ECD">
        <w:tblPrEx>
          <w:tblCellMar>
            <w:top w:w="0" w:type="dxa"/>
            <w:left w:w="0" w:type="dxa"/>
            <w:bottom w:w="0" w:type="dxa"/>
            <w:right w:w="0" w:type="dxa"/>
          </w:tblCellMar>
        </w:tblPrEx>
        <w:trPr>
          <w:trHeight w:val="1159"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439C69E6">
            <w:pPr>
              <w:widowControl/>
              <w:jc w:val="center"/>
              <w:textAlignment w:val="center"/>
              <w:rPr>
                <w:rFonts w:asciiTheme="minorEastAsia" w:hAnsiTheme="minorEastAsia" w:eastAsiaTheme="minorEastAsia"/>
                <w:color w:val="000000" w:themeColor="text1"/>
                <w:sz w:val="24"/>
              </w:rPr>
            </w:pPr>
          </w:p>
        </w:tc>
        <w:tc>
          <w:tcPr>
            <w:tcW w:w="48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D61B14">
            <w:pP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1.</w:t>
            </w:r>
            <w:r>
              <w:rPr>
                <w:rFonts w:asciiTheme="minorEastAsia" w:hAnsiTheme="minorEastAsia" w:eastAsiaTheme="minorEastAsia"/>
                <w:color w:val="000000" w:themeColor="text1"/>
                <w:sz w:val="24"/>
              </w:rPr>
              <w:t>加大环境违法惩处力度。继续保持环境执法高压态势</w:t>
            </w:r>
            <w:r>
              <w:rPr>
                <w:rFonts w:hint="eastAsia" w:asciiTheme="minorEastAsia" w:hAnsiTheme="minorEastAsia" w:eastAsiaTheme="minorEastAsia"/>
                <w:color w:val="000000" w:themeColor="text1"/>
                <w:sz w:val="24"/>
              </w:rPr>
              <w:t>；2.</w:t>
            </w:r>
            <w:r>
              <w:rPr>
                <w:rFonts w:asciiTheme="minorEastAsia" w:hAnsiTheme="minorEastAsia" w:eastAsiaTheme="minorEastAsia"/>
                <w:color w:val="000000" w:themeColor="text1"/>
                <w:sz w:val="24"/>
              </w:rPr>
              <w:t>强化执法检查巡查。坚持重点监管与随机检查相结合，进一步加大了日常巡查及</w:t>
            </w:r>
            <w:r>
              <w:rPr>
                <w:rFonts w:hint="eastAsia" w:asciiTheme="minorEastAsia" w:hAnsiTheme="minorEastAsia" w:eastAsiaTheme="minorEastAsia"/>
                <w:color w:val="000000" w:themeColor="text1"/>
                <w:sz w:val="24"/>
              </w:rPr>
              <w:t>“</w:t>
            </w:r>
            <w:r>
              <w:rPr>
                <w:rFonts w:asciiTheme="minorEastAsia" w:hAnsiTheme="minorEastAsia" w:eastAsiaTheme="minorEastAsia"/>
                <w:color w:val="000000" w:themeColor="text1"/>
                <w:sz w:val="24"/>
              </w:rPr>
              <w:t>双随机</w:t>
            </w:r>
            <w:r>
              <w:rPr>
                <w:rFonts w:hint="eastAsia" w:asciiTheme="minorEastAsia" w:hAnsiTheme="minorEastAsia" w:eastAsiaTheme="minorEastAsia"/>
                <w:color w:val="000000" w:themeColor="text1"/>
                <w:sz w:val="24"/>
              </w:rPr>
              <w:t>”</w:t>
            </w:r>
            <w:r>
              <w:rPr>
                <w:rFonts w:asciiTheme="minorEastAsia" w:hAnsiTheme="minorEastAsia" w:eastAsiaTheme="minorEastAsia"/>
                <w:color w:val="000000" w:themeColor="text1"/>
                <w:sz w:val="24"/>
              </w:rPr>
              <w:t>执法检查力度，大力开展环境执法大练兵活动</w:t>
            </w:r>
            <w:r>
              <w:rPr>
                <w:rFonts w:hint="eastAsia" w:asciiTheme="minorEastAsia" w:hAnsiTheme="minorEastAsia" w:eastAsiaTheme="minorEastAsia"/>
                <w:color w:val="000000" w:themeColor="text1"/>
                <w:sz w:val="24"/>
              </w:rPr>
              <w:t>；3.</w:t>
            </w:r>
            <w:r>
              <w:rPr>
                <w:rFonts w:asciiTheme="minorEastAsia" w:hAnsiTheme="minorEastAsia" w:eastAsiaTheme="minorEastAsia"/>
                <w:color w:val="000000" w:themeColor="text1"/>
                <w:sz w:val="24"/>
              </w:rPr>
              <w:t>切实做好环境信访，提升群众满意度</w:t>
            </w:r>
            <w:r>
              <w:rPr>
                <w:rFonts w:hint="eastAsia" w:asciiTheme="minorEastAsia" w:hAnsiTheme="minorEastAsia" w:eastAsiaTheme="minorEastAsia"/>
                <w:color w:val="000000" w:themeColor="text1"/>
                <w:sz w:val="24"/>
              </w:rPr>
              <w:t>；4.</w:t>
            </w:r>
            <w:r>
              <w:rPr>
                <w:rFonts w:asciiTheme="minorEastAsia" w:hAnsiTheme="minorEastAsia" w:eastAsiaTheme="minorEastAsia"/>
                <w:color w:val="000000" w:themeColor="text1"/>
                <w:sz w:val="24"/>
              </w:rPr>
              <w:t>做好县域环境质量监测。</w:t>
            </w:r>
          </w:p>
          <w:p w14:paraId="006922AA">
            <w:pPr>
              <w:widowControl/>
              <w:jc w:val="center"/>
              <w:textAlignment w:val="center"/>
              <w:rPr>
                <w:rFonts w:asciiTheme="minorEastAsia" w:hAnsiTheme="minorEastAsia" w:eastAsiaTheme="minorEastAsia"/>
                <w:color w:val="000000" w:themeColor="text1"/>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01F458">
            <w:pP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1.</w:t>
            </w:r>
            <w:r>
              <w:rPr>
                <w:rFonts w:asciiTheme="minorEastAsia" w:hAnsiTheme="minorEastAsia" w:eastAsiaTheme="minorEastAsia"/>
                <w:color w:val="000000" w:themeColor="text1"/>
                <w:sz w:val="24"/>
              </w:rPr>
              <w:t>加大环境违法惩处力度。继续保持环境执法高压态势</w:t>
            </w:r>
            <w:r>
              <w:rPr>
                <w:rFonts w:hint="eastAsia" w:asciiTheme="minorEastAsia" w:hAnsiTheme="minorEastAsia" w:eastAsiaTheme="minorEastAsia"/>
                <w:color w:val="000000" w:themeColor="text1"/>
                <w:sz w:val="24"/>
              </w:rPr>
              <w:t>；2.</w:t>
            </w:r>
            <w:r>
              <w:rPr>
                <w:rFonts w:asciiTheme="minorEastAsia" w:hAnsiTheme="minorEastAsia" w:eastAsiaTheme="minorEastAsia"/>
                <w:color w:val="000000" w:themeColor="text1"/>
                <w:sz w:val="24"/>
              </w:rPr>
              <w:t>强化执法检查巡查。坚持重点监管与随机检查相结合，进一步加大了日常巡查及</w:t>
            </w:r>
            <w:r>
              <w:rPr>
                <w:rFonts w:hint="eastAsia" w:asciiTheme="minorEastAsia" w:hAnsiTheme="minorEastAsia" w:eastAsiaTheme="minorEastAsia"/>
                <w:color w:val="000000" w:themeColor="text1"/>
                <w:sz w:val="24"/>
              </w:rPr>
              <w:t>“</w:t>
            </w:r>
            <w:r>
              <w:rPr>
                <w:rFonts w:asciiTheme="minorEastAsia" w:hAnsiTheme="minorEastAsia" w:eastAsiaTheme="minorEastAsia"/>
                <w:color w:val="000000" w:themeColor="text1"/>
                <w:sz w:val="24"/>
              </w:rPr>
              <w:t>双随机</w:t>
            </w:r>
            <w:r>
              <w:rPr>
                <w:rFonts w:hint="eastAsia" w:asciiTheme="minorEastAsia" w:hAnsiTheme="minorEastAsia" w:eastAsiaTheme="minorEastAsia"/>
                <w:color w:val="000000" w:themeColor="text1"/>
                <w:sz w:val="24"/>
              </w:rPr>
              <w:t>”</w:t>
            </w:r>
            <w:r>
              <w:rPr>
                <w:rFonts w:asciiTheme="minorEastAsia" w:hAnsiTheme="minorEastAsia" w:eastAsiaTheme="minorEastAsia"/>
                <w:color w:val="000000" w:themeColor="text1"/>
                <w:sz w:val="24"/>
              </w:rPr>
              <w:t>执法检查力度，大力开展环境执法大练兵活动</w:t>
            </w:r>
            <w:r>
              <w:rPr>
                <w:rFonts w:hint="eastAsia" w:asciiTheme="minorEastAsia" w:hAnsiTheme="minorEastAsia" w:eastAsiaTheme="minorEastAsia"/>
                <w:color w:val="000000" w:themeColor="text1"/>
                <w:sz w:val="24"/>
              </w:rPr>
              <w:t>；3.</w:t>
            </w:r>
            <w:r>
              <w:rPr>
                <w:rFonts w:asciiTheme="minorEastAsia" w:hAnsiTheme="minorEastAsia" w:eastAsiaTheme="minorEastAsia"/>
                <w:color w:val="000000" w:themeColor="text1"/>
                <w:sz w:val="24"/>
              </w:rPr>
              <w:t>切实做好环境信访，提升群众满意度</w:t>
            </w:r>
            <w:r>
              <w:rPr>
                <w:rFonts w:hint="eastAsia" w:asciiTheme="minorEastAsia" w:hAnsiTheme="minorEastAsia" w:eastAsiaTheme="minorEastAsia"/>
                <w:color w:val="000000" w:themeColor="text1"/>
                <w:sz w:val="24"/>
              </w:rPr>
              <w:t>；4.</w:t>
            </w:r>
            <w:r>
              <w:rPr>
                <w:rFonts w:asciiTheme="minorEastAsia" w:hAnsiTheme="minorEastAsia" w:eastAsiaTheme="minorEastAsia"/>
                <w:color w:val="000000" w:themeColor="text1"/>
                <w:sz w:val="24"/>
              </w:rPr>
              <w:t>做好县域环境质量监测。</w:t>
            </w:r>
          </w:p>
          <w:p w14:paraId="72B98F78">
            <w:pPr>
              <w:widowControl/>
              <w:jc w:val="center"/>
              <w:textAlignment w:val="center"/>
              <w:rPr>
                <w:rFonts w:asciiTheme="minorEastAsia" w:hAnsiTheme="minorEastAsia" w:eastAsiaTheme="minorEastAsia"/>
                <w:color w:val="000000" w:themeColor="text1"/>
                <w:sz w:val="24"/>
              </w:rPr>
            </w:pPr>
          </w:p>
        </w:tc>
      </w:tr>
      <w:tr w14:paraId="27CA5728">
        <w:tblPrEx>
          <w:tblCellMar>
            <w:top w:w="0" w:type="dxa"/>
            <w:left w:w="0" w:type="dxa"/>
            <w:bottom w:w="0" w:type="dxa"/>
            <w:right w:w="0" w:type="dxa"/>
          </w:tblCellMar>
        </w:tblPrEx>
        <w:trPr>
          <w:trHeight w:val="1042" w:hRule="atLeast"/>
        </w:trPr>
        <w:tc>
          <w:tcPr>
            <w:tcW w:w="29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4F2167">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绩效指标完成情况</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14C164">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一级指标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A998B4">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二级指标</w:t>
            </w:r>
          </w:p>
        </w:tc>
        <w:tc>
          <w:tcPr>
            <w:tcW w:w="274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8BEDA5">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AD8D02">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760630">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实际完成指标值(包含数字及文字描述)</w:t>
            </w:r>
          </w:p>
        </w:tc>
      </w:tr>
      <w:tr w14:paraId="4A572CA2">
        <w:tblPrEx>
          <w:tblCellMar>
            <w:top w:w="0" w:type="dxa"/>
            <w:left w:w="0" w:type="dxa"/>
            <w:bottom w:w="0" w:type="dxa"/>
            <w:right w:w="0" w:type="dxa"/>
          </w:tblCellMar>
        </w:tblPrEx>
        <w:trPr>
          <w:trHeight w:val="3055"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738C0CA2">
            <w:pPr>
              <w:widowControl/>
              <w:jc w:val="center"/>
              <w:textAlignment w:val="center"/>
              <w:rPr>
                <w:rFonts w:asciiTheme="minorEastAsia" w:hAnsiTheme="minorEastAsia" w:eastAsiaTheme="minorEastAsia"/>
                <w:color w:val="000000" w:themeColor="text1"/>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84E48C">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项目完成指标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D47AED">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数量指标</w:t>
            </w:r>
          </w:p>
        </w:tc>
        <w:tc>
          <w:tcPr>
            <w:tcW w:w="274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33B96F">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组织全县重要领域、重点行业、重点企业环境保护大检查</w:t>
            </w:r>
            <w:r>
              <w:rPr>
                <w:rFonts w:hint="eastAsia" w:asciiTheme="minorEastAsia" w:hAnsiTheme="minorEastAsia" w:eastAsiaTheme="minorEastAsia"/>
                <w:color w:val="000000" w:themeColor="text1"/>
                <w:sz w:val="24"/>
              </w:rPr>
              <w:t>及</w:t>
            </w:r>
            <w:r>
              <w:rPr>
                <w:rFonts w:asciiTheme="minorEastAsia" w:hAnsiTheme="minorEastAsia" w:eastAsiaTheme="minorEastAsia"/>
                <w:bCs/>
                <w:color w:val="000000" w:themeColor="text1"/>
                <w:sz w:val="24"/>
              </w:rPr>
              <w:t>全年共出具监测报告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B8C99A">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检查</w:t>
            </w:r>
            <w:r>
              <w:rPr>
                <w:rFonts w:asciiTheme="minorEastAsia" w:hAnsiTheme="minorEastAsia" w:eastAsiaTheme="minorEastAsia"/>
                <w:color w:val="000000" w:themeColor="text1"/>
                <w:sz w:val="24"/>
              </w:rPr>
              <w:t>≥2</w:t>
            </w:r>
            <w:r>
              <w:rPr>
                <w:rFonts w:hint="eastAsia" w:asciiTheme="minorEastAsia" w:hAnsiTheme="minorEastAsia" w:eastAsiaTheme="minorEastAsia"/>
                <w:color w:val="000000" w:themeColor="text1"/>
                <w:sz w:val="24"/>
              </w:rPr>
              <w:t>00</w:t>
            </w:r>
            <w:r>
              <w:rPr>
                <w:rFonts w:asciiTheme="minorEastAsia" w:hAnsiTheme="minorEastAsia" w:eastAsiaTheme="minorEastAsia"/>
                <w:color w:val="000000" w:themeColor="text1"/>
                <w:sz w:val="24"/>
              </w:rPr>
              <w:t>次</w:t>
            </w:r>
            <w:r>
              <w:rPr>
                <w:rFonts w:hint="eastAsia" w:asciiTheme="minorEastAsia" w:hAnsiTheme="minorEastAsia" w:eastAsiaTheme="minorEastAsia"/>
                <w:color w:val="000000" w:themeColor="text1"/>
                <w:sz w:val="24"/>
              </w:rPr>
              <w:t>；</w:t>
            </w:r>
            <w:r>
              <w:rPr>
                <w:rFonts w:asciiTheme="minorEastAsia" w:hAnsiTheme="minorEastAsia" w:eastAsiaTheme="minorEastAsia"/>
                <w:bCs/>
                <w:color w:val="000000" w:themeColor="text1"/>
                <w:sz w:val="24"/>
              </w:rPr>
              <w:t>出具监测报告</w:t>
            </w:r>
            <w:r>
              <w:rPr>
                <w:rFonts w:hint="eastAsia" w:asciiTheme="minorEastAsia" w:hAnsiTheme="minorEastAsia" w:eastAsiaTheme="minorEastAsia"/>
                <w:color w:val="000000" w:themeColor="text1"/>
                <w:sz w:val="24"/>
              </w:rPr>
              <w:t>监测报告</w:t>
            </w:r>
            <w:r>
              <w:rPr>
                <w:rFonts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80份</w:t>
            </w:r>
          </w:p>
          <w:p w14:paraId="222C2B3E">
            <w:pPr>
              <w:widowControl/>
              <w:jc w:val="center"/>
              <w:textAlignment w:val="center"/>
              <w:rPr>
                <w:rFonts w:asciiTheme="minorEastAsia" w:hAnsiTheme="minorEastAsia" w:eastAsiaTheme="minorEastAsia"/>
                <w:color w:val="000000" w:themeColor="text1"/>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77B295">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检查</w:t>
            </w:r>
            <w:r>
              <w:rPr>
                <w:rFonts w:asciiTheme="minorEastAsia" w:hAnsiTheme="minorEastAsia" w:eastAsiaTheme="minorEastAsia"/>
                <w:color w:val="000000" w:themeColor="text1"/>
                <w:sz w:val="24"/>
              </w:rPr>
              <w:t>≥2</w:t>
            </w:r>
            <w:r>
              <w:rPr>
                <w:rFonts w:hint="eastAsia" w:asciiTheme="minorEastAsia" w:hAnsiTheme="minorEastAsia" w:eastAsiaTheme="minorEastAsia"/>
                <w:color w:val="000000" w:themeColor="text1"/>
                <w:sz w:val="24"/>
              </w:rPr>
              <w:t>00</w:t>
            </w:r>
            <w:r>
              <w:rPr>
                <w:rFonts w:asciiTheme="minorEastAsia" w:hAnsiTheme="minorEastAsia" w:eastAsiaTheme="minorEastAsia"/>
                <w:color w:val="000000" w:themeColor="text1"/>
                <w:sz w:val="24"/>
              </w:rPr>
              <w:t>次</w:t>
            </w:r>
            <w:r>
              <w:rPr>
                <w:rFonts w:hint="eastAsia" w:asciiTheme="minorEastAsia" w:hAnsiTheme="minorEastAsia" w:eastAsiaTheme="minorEastAsia"/>
                <w:color w:val="000000" w:themeColor="text1"/>
                <w:sz w:val="24"/>
              </w:rPr>
              <w:t>；</w:t>
            </w:r>
            <w:r>
              <w:rPr>
                <w:rFonts w:asciiTheme="minorEastAsia" w:hAnsiTheme="minorEastAsia" w:eastAsiaTheme="minorEastAsia"/>
                <w:bCs/>
                <w:color w:val="000000" w:themeColor="text1"/>
                <w:sz w:val="24"/>
              </w:rPr>
              <w:t>出具监测报告</w:t>
            </w:r>
            <w:r>
              <w:rPr>
                <w:rFonts w:hint="eastAsia" w:asciiTheme="minorEastAsia" w:hAnsiTheme="minorEastAsia" w:eastAsiaTheme="minorEastAsia"/>
                <w:color w:val="000000" w:themeColor="text1"/>
                <w:sz w:val="24"/>
              </w:rPr>
              <w:t>监测报告</w:t>
            </w:r>
            <w:r>
              <w:rPr>
                <w:rFonts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80份</w:t>
            </w:r>
          </w:p>
          <w:p w14:paraId="28DD00C6">
            <w:pPr>
              <w:widowControl/>
              <w:jc w:val="center"/>
              <w:textAlignment w:val="center"/>
              <w:rPr>
                <w:rFonts w:asciiTheme="minorEastAsia" w:hAnsiTheme="minorEastAsia" w:eastAsiaTheme="minorEastAsia"/>
                <w:color w:val="000000" w:themeColor="text1"/>
                <w:sz w:val="24"/>
              </w:rPr>
            </w:pPr>
          </w:p>
        </w:tc>
      </w:tr>
      <w:tr w14:paraId="1252E30D">
        <w:tblPrEx>
          <w:tblCellMar>
            <w:top w:w="0" w:type="dxa"/>
            <w:left w:w="0" w:type="dxa"/>
            <w:bottom w:w="0" w:type="dxa"/>
            <w:right w:w="0" w:type="dxa"/>
          </w:tblCellMar>
        </w:tblPrEx>
        <w:trPr>
          <w:trHeight w:val="1297"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5C3875F9">
            <w:pPr>
              <w:widowControl/>
              <w:jc w:val="center"/>
              <w:textAlignment w:val="center"/>
              <w:rPr>
                <w:rFonts w:asciiTheme="minorEastAsia" w:hAnsiTheme="minorEastAsia" w:eastAsiaTheme="minorEastAsia"/>
                <w:color w:val="000000" w:themeColor="text1"/>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3FCFC8">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项目完成指标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082C34">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质量指标</w:t>
            </w:r>
          </w:p>
        </w:tc>
        <w:tc>
          <w:tcPr>
            <w:tcW w:w="274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B6291A">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环境质量达标</w:t>
            </w:r>
          </w:p>
          <w:p w14:paraId="2A2D8683">
            <w:pPr>
              <w:widowControl/>
              <w:jc w:val="center"/>
              <w:textAlignment w:val="center"/>
              <w:rPr>
                <w:rFonts w:asciiTheme="minorEastAsia" w:hAnsiTheme="minorEastAsia" w:eastAsiaTheme="minorEastAsia"/>
                <w:color w:val="000000" w:themeColor="text1"/>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0B1500">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空气、地表水、饮用水、噪声等环境质量均达到国家标准。</w:t>
            </w:r>
          </w:p>
          <w:p w14:paraId="63A036DF">
            <w:pPr>
              <w:widowControl/>
              <w:jc w:val="center"/>
              <w:textAlignment w:val="center"/>
              <w:rPr>
                <w:rFonts w:asciiTheme="minorEastAsia" w:hAnsiTheme="minorEastAsia" w:eastAsiaTheme="minorEastAsia"/>
                <w:color w:val="000000" w:themeColor="text1"/>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BB4211">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空气、地表水、饮用水、噪声等环境质量均达到国家标准。</w:t>
            </w:r>
          </w:p>
          <w:p w14:paraId="6592DC9A">
            <w:pPr>
              <w:widowControl/>
              <w:jc w:val="center"/>
              <w:textAlignment w:val="center"/>
              <w:rPr>
                <w:rFonts w:asciiTheme="minorEastAsia" w:hAnsiTheme="minorEastAsia" w:eastAsiaTheme="minorEastAsia"/>
                <w:color w:val="000000" w:themeColor="text1"/>
                <w:sz w:val="24"/>
              </w:rPr>
            </w:pPr>
          </w:p>
        </w:tc>
      </w:tr>
      <w:tr w14:paraId="7983B6E8">
        <w:tblPrEx>
          <w:tblCellMar>
            <w:top w:w="0" w:type="dxa"/>
            <w:left w:w="0" w:type="dxa"/>
            <w:bottom w:w="0" w:type="dxa"/>
            <w:right w:w="0" w:type="dxa"/>
          </w:tblCellMar>
        </w:tblPrEx>
        <w:trPr>
          <w:trHeight w:val="1042"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76E34B6F">
            <w:pPr>
              <w:widowControl/>
              <w:jc w:val="center"/>
              <w:textAlignment w:val="center"/>
              <w:rPr>
                <w:rFonts w:asciiTheme="minorEastAsia" w:hAnsiTheme="minorEastAsia" w:eastAsiaTheme="minorEastAsia"/>
                <w:color w:val="000000" w:themeColor="text1"/>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8DCA3F">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项目完成指标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959EAF">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时效指标</w:t>
            </w:r>
          </w:p>
        </w:tc>
        <w:tc>
          <w:tcPr>
            <w:tcW w:w="274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111A62">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535C18">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2019年1-12月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1A7AE6">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2019年1-12月</w:t>
            </w:r>
          </w:p>
        </w:tc>
      </w:tr>
      <w:tr w14:paraId="0A7E79D9">
        <w:tblPrEx>
          <w:tblCellMar>
            <w:top w:w="0" w:type="dxa"/>
            <w:left w:w="0" w:type="dxa"/>
            <w:bottom w:w="0" w:type="dxa"/>
            <w:right w:w="0" w:type="dxa"/>
          </w:tblCellMar>
        </w:tblPrEx>
        <w:trPr>
          <w:trHeight w:val="1617"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1B87B479">
            <w:pPr>
              <w:widowControl/>
              <w:jc w:val="center"/>
              <w:textAlignment w:val="center"/>
              <w:rPr>
                <w:rFonts w:asciiTheme="minorEastAsia" w:hAnsiTheme="minorEastAsia" w:eastAsiaTheme="minorEastAsia"/>
                <w:color w:val="000000" w:themeColor="text1"/>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64C631">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项目完成指标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D7B077">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成本指标</w:t>
            </w:r>
          </w:p>
        </w:tc>
        <w:tc>
          <w:tcPr>
            <w:tcW w:w="274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0935BB">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环境监测与监察支出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224D0C">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30.79万元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41659D">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30.79万元</w:t>
            </w:r>
          </w:p>
        </w:tc>
      </w:tr>
      <w:tr w14:paraId="09308C8C">
        <w:tblPrEx>
          <w:tblCellMar>
            <w:top w:w="0" w:type="dxa"/>
            <w:left w:w="0" w:type="dxa"/>
            <w:bottom w:w="0" w:type="dxa"/>
            <w:right w:w="0" w:type="dxa"/>
          </w:tblCellMar>
        </w:tblPrEx>
        <w:trPr>
          <w:trHeight w:val="1042"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0ACA72C7">
            <w:pPr>
              <w:widowControl/>
              <w:jc w:val="center"/>
              <w:textAlignment w:val="center"/>
              <w:rPr>
                <w:rFonts w:asciiTheme="minorEastAsia" w:hAnsiTheme="minorEastAsia" w:eastAsiaTheme="minorEastAsia"/>
                <w:color w:val="000000" w:themeColor="text1"/>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AA09DF">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效益指标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1ACFB0">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社会效益</w:t>
            </w:r>
          </w:p>
          <w:p w14:paraId="3B0E4B80">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指标</w:t>
            </w:r>
          </w:p>
        </w:tc>
        <w:tc>
          <w:tcPr>
            <w:tcW w:w="274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C174CC">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对工作促进作用</w:t>
            </w:r>
          </w:p>
          <w:p w14:paraId="67F779F5">
            <w:pPr>
              <w:widowControl/>
              <w:jc w:val="center"/>
              <w:textAlignment w:val="center"/>
              <w:rPr>
                <w:rFonts w:asciiTheme="minorEastAsia" w:hAnsiTheme="minorEastAsia" w:eastAsiaTheme="minorEastAsia"/>
                <w:color w:val="000000" w:themeColor="text1"/>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B8E2B2">
            <w:pPr>
              <w:adjustRightInd w:val="0"/>
              <w:snapToGrid w:val="0"/>
              <w:spacing w:line="0" w:lineRule="atLeast"/>
              <w:ind w:firstLine="663"/>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提升了全县排污单位环境管理水平，环境治理设施和措施进一步完善，企业厂区环境明显改善</w:t>
            </w:r>
            <w:r>
              <w:rPr>
                <w:rFonts w:hint="eastAsia" w:asciiTheme="minorEastAsia" w:hAnsiTheme="minorEastAsia" w:eastAsiaTheme="minorEastAsia"/>
                <w:color w:val="000000" w:themeColor="text1"/>
                <w:sz w:val="24"/>
              </w:rPr>
              <w:t>；公众环境意识，有效预防各行业较大以上突发环境事件，减少一般突发环境事件发生。</w:t>
            </w:r>
          </w:p>
          <w:p w14:paraId="57D4230D">
            <w:pPr>
              <w:widowControl/>
              <w:jc w:val="center"/>
              <w:textAlignment w:val="center"/>
              <w:rPr>
                <w:rFonts w:asciiTheme="minorEastAsia" w:hAnsiTheme="minorEastAsia" w:eastAsiaTheme="minorEastAsia"/>
                <w:color w:val="000000" w:themeColor="text1"/>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3D01CD">
            <w:pPr>
              <w:adjustRightInd w:val="0"/>
              <w:snapToGrid w:val="0"/>
              <w:spacing w:line="0" w:lineRule="atLeast"/>
              <w:ind w:firstLine="663"/>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提升了全县排污单位环境管理水平，环境治理设施和措施进一步完善，企业厂区环境明显改善</w:t>
            </w:r>
            <w:r>
              <w:rPr>
                <w:rFonts w:hint="eastAsia" w:asciiTheme="minorEastAsia" w:hAnsiTheme="minorEastAsia" w:eastAsiaTheme="minorEastAsia"/>
                <w:color w:val="000000" w:themeColor="text1"/>
                <w:sz w:val="24"/>
              </w:rPr>
              <w:t>；公众环境意识，有效预防各行业较大以上突发环境事件，减少一般突发环境事件发生。</w:t>
            </w:r>
          </w:p>
          <w:p w14:paraId="24CA6039">
            <w:pPr>
              <w:widowControl/>
              <w:jc w:val="center"/>
              <w:textAlignment w:val="center"/>
              <w:rPr>
                <w:rFonts w:asciiTheme="minorEastAsia" w:hAnsiTheme="minorEastAsia" w:eastAsiaTheme="minorEastAsia"/>
                <w:color w:val="000000" w:themeColor="text1"/>
                <w:sz w:val="24"/>
              </w:rPr>
            </w:pPr>
          </w:p>
        </w:tc>
      </w:tr>
      <w:tr w14:paraId="324F4F15">
        <w:tblPrEx>
          <w:tblCellMar>
            <w:top w:w="0" w:type="dxa"/>
            <w:left w:w="0" w:type="dxa"/>
            <w:bottom w:w="0" w:type="dxa"/>
            <w:right w:w="0" w:type="dxa"/>
          </w:tblCellMar>
        </w:tblPrEx>
        <w:trPr>
          <w:trHeight w:val="1579"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782B0449">
            <w:pPr>
              <w:widowControl/>
              <w:jc w:val="center"/>
              <w:textAlignment w:val="center"/>
              <w:rPr>
                <w:rFonts w:asciiTheme="minorEastAsia" w:hAnsiTheme="minorEastAsia" w:eastAsiaTheme="minorEastAsia"/>
                <w:color w:val="000000" w:themeColor="text1"/>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A0D7B8">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满意度指标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B2978C">
            <w:pPr>
              <w:widowControl/>
              <w:jc w:val="center"/>
              <w:textAlignment w:val="center"/>
              <w:rPr>
                <w:rFonts w:asciiTheme="minorEastAsia" w:hAnsiTheme="minorEastAsia" w:eastAsiaTheme="minorEastAsia"/>
                <w:color w:val="000000" w:themeColor="text1"/>
                <w:sz w:val="24"/>
              </w:rPr>
            </w:pPr>
            <w:r>
              <w:rPr>
                <w:rFonts w:hint="eastAsia" w:cs="宋体" w:asciiTheme="minorEastAsia" w:hAnsiTheme="minorEastAsia" w:eastAsiaTheme="minorEastAsia"/>
                <w:color w:val="000000" w:themeColor="text1"/>
                <w:sz w:val="24"/>
              </w:rPr>
              <w:t>服务对象满意度指标</w:t>
            </w:r>
          </w:p>
        </w:tc>
        <w:tc>
          <w:tcPr>
            <w:tcW w:w="274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8D50C3">
            <w:pPr>
              <w:widowControl/>
              <w:jc w:val="center"/>
              <w:textAlignment w:val="center"/>
              <w:rPr>
                <w:rFonts w:asciiTheme="minorEastAsia" w:hAnsiTheme="minorEastAsia" w:eastAsiaTheme="minorEastAsia"/>
                <w:color w:val="000000" w:themeColor="text1"/>
                <w:sz w:val="24"/>
              </w:rPr>
            </w:pPr>
            <w:r>
              <w:rPr>
                <w:rFonts w:hint="eastAsia" w:cs="宋体" w:asciiTheme="minorEastAsia" w:hAnsiTheme="minorEastAsia" w:eastAsiaTheme="minorEastAsia"/>
                <w:color w:val="000000" w:themeColor="text1"/>
                <w:sz w:val="24"/>
              </w:rPr>
              <w:t>服务对象满意度指标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BCB778">
            <w:pPr>
              <w:widowControl/>
              <w:jc w:val="center"/>
              <w:textAlignment w:val="center"/>
              <w:rPr>
                <w:rFonts w:asciiTheme="minorEastAsia" w:hAnsiTheme="minorEastAsia" w:eastAsiaTheme="minorEastAsia"/>
                <w:color w:val="000000" w:themeColor="text1"/>
                <w:sz w:val="24"/>
              </w:rPr>
            </w:pPr>
            <w:r>
              <w:rPr>
                <w:rFonts w:hint="eastAsia" w:cs="宋体" w:asciiTheme="minorEastAsia" w:hAnsiTheme="minorEastAsia" w:eastAsiaTheme="minorEastAsia"/>
                <w:color w:val="000000" w:themeColor="text1"/>
                <w:sz w:val="24"/>
              </w:rPr>
              <w:t>≧</w:t>
            </w:r>
            <w:r>
              <w:rPr>
                <w:rFonts w:asciiTheme="minorEastAsia" w:hAnsiTheme="minorEastAsia" w:eastAsiaTheme="minorEastAsia"/>
                <w:color w:val="000000" w:themeColor="text1"/>
                <w:sz w:val="24"/>
              </w:rPr>
              <w: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6E9894">
            <w:pPr>
              <w:widowControl/>
              <w:jc w:val="center"/>
              <w:textAlignment w:val="center"/>
              <w:rPr>
                <w:rFonts w:asciiTheme="minorEastAsia" w:hAnsiTheme="minorEastAsia" w:eastAsiaTheme="minorEastAsia"/>
                <w:color w:val="000000" w:themeColor="text1"/>
                <w:sz w:val="24"/>
              </w:rPr>
            </w:pPr>
            <w:r>
              <w:rPr>
                <w:rFonts w:hint="eastAsia" w:cs="宋体" w:asciiTheme="minorEastAsia" w:hAnsiTheme="minorEastAsia" w:eastAsiaTheme="minorEastAsia"/>
                <w:color w:val="000000" w:themeColor="text1"/>
                <w:sz w:val="24"/>
              </w:rPr>
              <w:t>≧</w:t>
            </w:r>
            <w:r>
              <w:rPr>
                <w:rFonts w:asciiTheme="minorEastAsia" w:hAnsiTheme="minorEastAsia" w:eastAsiaTheme="minorEastAsia"/>
                <w:color w:val="000000" w:themeColor="text1"/>
                <w:sz w:val="24"/>
              </w:rPr>
              <w:t>98%</w:t>
            </w:r>
          </w:p>
        </w:tc>
      </w:tr>
    </w:tbl>
    <w:p w14:paraId="1BD4B79A">
      <w:pPr>
        <w:widowControl/>
        <w:jc w:val="center"/>
        <w:textAlignment w:val="center"/>
        <w:rPr>
          <w:rFonts w:asciiTheme="minorEastAsia" w:hAnsiTheme="minorEastAsia" w:eastAsiaTheme="minorEastAsia"/>
          <w:color w:val="000000" w:themeColor="text1"/>
          <w:sz w:val="24"/>
        </w:rPr>
      </w:pPr>
    </w:p>
    <w:p w14:paraId="0D7DB077">
      <w:pPr>
        <w:widowControl/>
        <w:textAlignment w:val="center"/>
        <w:rPr>
          <w:rFonts w:asciiTheme="minorEastAsia" w:hAnsiTheme="minorEastAsia" w:eastAsiaTheme="minorEastAsia"/>
          <w:color w:val="000000" w:themeColor="text1"/>
          <w:sz w:val="24"/>
        </w:rPr>
      </w:pPr>
    </w:p>
    <w:p w14:paraId="69878248">
      <w:pPr>
        <w:widowControl/>
        <w:textAlignment w:val="center"/>
        <w:rPr>
          <w:rFonts w:asciiTheme="minorEastAsia" w:hAnsiTheme="minorEastAsia" w:eastAsiaTheme="minorEastAsia"/>
          <w:color w:val="000000" w:themeColor="text1"/>
          <w:sz w:val="24"/>
        </w:rPr>
      </w:pPr>
    </w:p>
    <w:p w14:paraId="0CBBA8AB">
      <w:pPr>
        <w:widowControl/>
        <w:textAlignment w:val="center"/>
        <w:rPr>
          <w:rFonts w:asciiTheme="minorEastAsia" w:hAnsiTheme="minorEastAsia" w:eastAsiaTheme="minorEastAsia"/>
          <w:color w:val="000000" w:themeColor="text1"/>
          <w:sz w:val="24"/>
        </w:rPr>
      </w:pPr>
    </w:p>
    <w:p w14:paraId="582013A6">
      <w:pPr>
        <w:widowControl/>
        <w:textAlignment w:val="center"/>
        <w:rPr>
          <w:rFonts w:asciiTheme="minorEastAsia" w:hAnsiTheme="minorEastAsia" w:eastAsiaTheme="minorEastAsia"/>
          <w:color w:val="000000" w:themeColor="text1"/>
          <w:sz w:val="24"/>
        </w:rPr>
      </w:pPr>
    </w:p>
    <w:p w14:paraId="4EF44024">
      <w:pPr>
        <w:widowControl/>
        <w:textAlignment w:val="center"/>
        <w:rPr>
          <w:rFonts w:asciiTheme="minorEastAsia" w:hAnsiTheme="minorEastAsia" w:eastAsiaTheme="minorEastAsia"/>
          <w:color w:val="000000" w:themeColor="text1"/>
          <w:sz w:val="24"/>
        </w:rPr>
      </w:pPr>
    </w:p>
    <w:p w14:paraId="2E3C4D2D">
      <w:pPr>
        <w:widowControl/>
        <w:textAlignment w:val="center"/>
        <w:rPr>
          <w:rFonts w:asciiTheme="minorEastAsia" w:hAnsiTheme="minorEastAsia" w:eastAsiaTheme="minorEastAsia"/>
          <w:color w:val="000000" w:themeColor="text1"/>
          <w:sz w:val="24"/>
        </w:rPr>
      </w:pPr>
    </w:p>
    <w:p w14:paraId="1F14F725">
      <w:pPr>
        <w:widowControl/>
        <w:textAlignment w:val="center"/>
        <w:rPr>
          <w:rFonts w:asciiTheme="minorEastAsia" w:hAnsiTheme="minorEastAsia" w:eastAsiaTheme="minorEastAsia"/>
          <w:color w:val="000000" w:themeColor="text1"/>
          <w:sz w:val="24"/>
        </w:rPr>
      </w:pPr>
    </w:p>
    <w:p w14:paraId="6F0F07AF">
      <w:pPr>
        <w:widowControl/>
        <w:textAlignment w:val="center"/>
        <w:rPr>
          <w:rFonts w:asciiTheme="minorEastAsia" w:hAnsiTheme="minorEastAsia" w:eastAsiaTheme="minorEastAsia"/>
          <w:color w:val="000000" w:themeColor="text1"/>
          <w:sz w:val="24"/>
        </w:rPr>
      </w:pPr>
    </w:p>
    <w:p w14:paraId="496085AD">
      <w:pPr>
        <w:widowControl/>
        <w:textAlignment w:val="center"/>
        <w:rPr>
          <w:rFonts w:asciiTheme="minorEastAsia" w:hAnsiTheme="minorEastAsia" w:eastAsiaTheme="minorEastAsia"/>
          <w:color w:val="000000" w:themeColor="text1"/>
          <w:sz w:val="24"/>
        </w:rPr>
      </w:pPr>
    </w:p>
    <w:p w14:paraId="3EF20EE0">
      <w:pPr>
        <w:widowControl/>
        <w:textAlignment w:val="center"/>
        <w:rPr>
          <w:rFonts w:asciiTheme="minorEastAsia" w:hAnsiTheme="minorEastAsia" w:eastAsiaTheme="minorEastAsia"/>
          <w:color w:val="000000" w:themeColor="text1"/>
          <w:sz w:val="24"/>
        </w:rPr>
      </w:pPr>
    </w:p>
    <w:p w14:paraId="01E96B45">
      <w:pPr>
        <w:widowControl/>
        <w:textAlignment w:val="center"/>
        <w:rPr>
          <w:rFonts w:asciiTheme="minorEastAsia" w:hAnsiTheme="minorEastAsia" w:eastAsiaTheme="minorEastAsia"/>
          <w:color w:val="000000" w:themeColor="text1"/>
          <w:sz w:val="24"/>
        </w:rPr>
      </w:pPr>
    </w:p>
    <w:p w14:paraId="754885E7">
      <w:pPr>
        <w:widowControl/>
        <w:textAlignment w:val="center"/>
        <w:rPr>
          <w:rFonts w:asciiTheme="minorEastAsia" w:hAnsiTheme="minorEastAsia" w:eastAsiaTheme="minorEastAsia"/>
          <w:color w:val="000000" w:themeColor="text1"/>
          <w:sz w:val="24"/>
        </w:rPr>
      </w:pPr>
    </w:p>
    <w:p w14:paraId="018E1CE2">
      <w:pPr>
        <w:widowControl/>
        <w:textAlignment w:val="center"/>
        <w:rPr>
          <w:rFonts w:asciiTheme="minorEastAsia" w:hAnsiTheme="minorEastAsia" w:eastAsiaTheme="minorEastAsia"/>
          <w:color w:val="000000" w:themeColor="text1"/>
          <w:sz w:val="24"/>
        </w:rPr>
      </w:pPr>
    </w:p>
    <w:p w14:paraId="0D2DD97D">
      <w:pPr>
        <w:widowControl/>
        <w:textAlignment w:val="center"/>
        <w:rPr>
          <w:rFonts w:asciiTheme="minorEastAsia" w:hAnsiTheme="minorEastAsia" w:eastAsiaTheme="minorEastAsia"/>
          <w:color w:val="000000" w:themeColor="text1"/>
          <w:sz w:val="24"/>
        </w:rPr>
      </w:pPr>
    </w:p>
    <w:p w14:paraId="3EC19E7C">
      <w:pPr>
        <w:widowControl/>
        <w:textAlignment w:val="center"/>
        <w:rPr>
          <w:rFonts w:asciiTheme="minorEastAsia" w:hAnsiTheme="minorEastAsia" w:eastAsiaTheme="minorEastAsia"/>
          <w:color w:val="000000" w:themeColor="text1"/>
          <w:sz w:val="24"/>
        </w:rPr>
      </w:pPr>
    </w:p>
    <w:p w14:paraId="2723E80E">
      <w:pPr>
        <w:widowControl/>
        <w:textAlignment w:val="center"/>
        <w:rPr>
          <w:rFonts w:asciiTheme="minorEastAsia" w:hAnsiTheme="minorEastAsia" w:eastAsiaTheme="minorEastAsia"/>
          <w:color w:val="000000" w:themeColor="text1"/>
          <w:sz w:val="24"/>
        </w:rPr>
      </w:pPr>
    </w:p>
    <w:p w14:paraId="599A9967">
      <w:pPr>
        <w:widowControl/>
        <w:textAlignment w:val="center"/>
        <w:rPr>
          <w:rFonts w:asciiTheme="minorEastAsia" w:hAnsiTheme="minorEastAsia" w:eastAsiaTheme="minorEastAsia"/>
          <w:color w:val="000000" w:themeColor="text1"/>
          <w:sz w:val="24"/>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299"/>
        <w:gridCol w:w="1559"/>
        <w:gridCol w:w="924"/>
        <w:gridCol w:w="210"/>
        <w:gridCol w:w="2182"/>
        <w:gridCol w:w="2394"/>
        <w:gridCol w:w="2392"/>
      </w:tblGrid>
      <w:tr w14:paraId="4230A610">
        <w:tblPrEx>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14:paraId="05CACE9D">
            <w:pPr>
              <w:widowControl/>
              <w:jc w:val="center"/>
              <w:textAlignment w:val="center"/>
              <w:rPr>
                <w:rFonts w:asciiTheme="minorEastAsia" w:hAnsiTheme="minorEastAsia" w:eastAsiaTheme="minorEastAsia"/>
                <w:color w:val="000000" w:themeColor="text1"/>
                <w:sz w:val="36"/>
                <w:szCs w:val="36"/>
              </w:rPr>
            </w:pPr>
            <w:r>
              <w:rPr>
                <w:rFonts w:asciiTheme="minorEastAsia" w:hAnsiTheme="minorEastAsia" w:eastAsiaTheme="minorEastAsia"/>
                <w:color w:val="000000" w:themeColor="text1"/>
                <w:sz w:val="36"/>
                <w:szCs w:val="36"/>
              </w:rPr>
              <w:t>项目支出绩效目标完成情况表</w:t>
            </w:r>
            <w:r>
              <w:rPr>
                <w:rFonts w:asciiTheme="minorEastAsia" w:hAnsiTheme="minorEastAsia" w:eastAsiaTheme="minorEastAsia"/>
                <w:color w:val="000000" w:themeColor="text1"/>
                <w:sz w:val="36"/>
                <w:szCs w:val="36"/>
              </w:rPr>
              <w:br w:type="textWrapping"/>
            </w:r>
            <w:r>
              <w:rPr>
                <w:rFonts w:asciiTheme="minorEastAsia" w:hAnsiTheme="minorEastAsia" w:eastAsiaTheme="minorEastAsia"/>
                <w:color w:val="000000" w:themeColor="text1"/>
                <w:sz w:val="36"/>
                <w:szCs w:val="36"/>
              </w:rPr>
              <w:t>(201</w:t>
            </w:r>
            <w:r>
              <w:rPr>
                <w:rFonts w:hint="eastAsia" w:asciiTheme="minorEastAsia" w:hAnsiTheme="minorEastAsia" w:eastAsiaTheme="minorEastAsia"/>
                <w:color w:val="000000" w:themeColor="text1"/>
                <w:sz w:val="36"/>
                <w:szCs w:val="36"/>
              </w:rPr>
              <w:t>9</w:t>
            </w:r>
            <w:r>
              <w:rPr>
                <w:rFonts w:asciiTheme="minorEastAsia" w:hAnsiTheme="minorEastAsia" w:eastAsiaTheme="minorEastAsia"/>
                <w:color w:val="000000" w:themeColor="text1"/>
                <w:sz w:val="36"/>
                <w:szCs w:val="36"/>
              </w:rPr>
              <w:t>年度)</w:t>
            </w:r>
          </w:p>
        </w:tc>
      </w:tr>
      <w:tr w14:paraId="6787FA85">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1BD560">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4D8426">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环境监测与信息项目</w:t>
            </w:r>
          </w:p>
        </w:tc>
      </w:tr>
      <w:tr w14:paraId="0EB381A7">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98A6F7">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8C9685">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米易生态环境局</w:t>
            </w:r>
          </w:p>
        </w:tc>
      </w:tr>
      <w:tr w14:paraId="354CF0EA">
        <w:tblPrEx>
          <w:tblCellMar>
            <w:top w:w="0" w:type="dxa"/>
            <w:left w:w="0" w:type="dxa"/>
            <w:bottom w:w="0" w:type="dxa"/>
            <w:right w:w="0" w:type="dxa"/>
          </w:tblCellMar>
        </w:tblPrEx>
        <w:trPr>
          <w:trHeight w:val="276" w:hRule="atLeast"/>
        </w:trPr>
        <w:tc>
          <w:tcPr>
            <w:tcW w:w="29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6486E4">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预算执行情况(万元)</w:t>
            </w:r>
          </w:p>
        </w:tc>
        <w:tc>
          <w:tcPr>
            <w:tcW w:w="24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91956A">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预算数:</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8B9670">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8.13</w:t>
            </w:r>
            <w:r>
              <w:rPr>
                <w:rFonts w:asciiTheme="minorEastAsia" w:hAnsiTheme="minorEastAsia" w:eastAsiaTheme="minorEastAsia"/>
                <w:color w:val="000000" w:themeColor="text1"/>
                <w:sz w:val="24"/>
              </w:rPr>
              <w:t xml:space="preserve">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01885B">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C35A7B">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8.13</w:t>
            </w:r>
            <w:r>
              <w:rPr>
                <w:rFonts w:asciiTheme="minorEastAsia" w:hAnsiTheme="minorEastAsia" w:eastAsiaTheme="minorEastAsia"/>
                <w:color w:val="000000" w:themeColor="text1"/>
                <w:sz w:val="24"/>
              </w:rPr>
              <w:t xml:space="preserve"> </w:t>
            </w:r>
          </w:p>
        </w:tc>
      </w:tr>
      <w:tr w14:paraId="4A61E410">
        <w:tblPrEx>
          <w:tblCellMar>
            <w:top w:w="0" w:type="dxa"/>
            <w:left w:w="0" w:type="dxa"/>
            <w:bottom w:w="0" w:type="dxa"/>
            <w:right w:w="0" w:type="dxa"/>
          </w:tblCellMar>
        </w:tblPrEx>
        <w:trPr>
          <w:trHeight w:val="276"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793D945F">
            <w:pPr>
              <w:widowControl/>
              <w:jc w:val="center"/>
              <w:textAlignment w:val="center"/>
              <w:rPr>
                <w:rFonts w:asciiTheme="minorEastAsia" w:hAnsiTheme="minorEastAsia" w:eastAsiaTheme="minorEastAsia"/>
                <w:color w:val="000000" w:themeColor="text1"/>
                <w:sz w:val="24"/>
              </w:rPr>
            </w:pPr>
          </w:p>
        </w:tc>
        <w:tc>
          <w:tcPr>
            <w:tcW w:w="24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31DC95">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其中-财政拨款:</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97BFD2">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8.13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D674C0">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781C2D">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8.13</w:t>
            </w:r>
            <w:r>
              <w:rPr>
                <w:rFonts w:asciiTheme="minorEastAsia" w:hAnsiTheme="minorEastAsia" w:eastAsiaTheme="minorEastAsia"/>
                <w:color w:val="000000" w:themeColor="text1"/>
                <w:sz w:val="24"/>
              </w:rPr>
              <w:t xml:space="preserve"> </w:t>
            </w:r>
          </w:p>
        </w:tc>
      </w:tr>
      <w:tr w14:paraId="6AD48661">
        <w:tblPrEx>
          <w:tblCellMar>
            <w:top w:w="0" w:type="dxa"/>
            <w:left w:w="0" w:type="dxa"/>
            <w:bottom w:w="0" w:type="dxa"/>
            <w:right w:w="0" w:type="dxa"/>
          </w:tblCellMar>
        </w:tblPrEx>
        <w:trPr>
          <w:trHeight w:val="1511"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48F8349B">
            <w:pPr>
              <w:widowControl/>
              <w:jc w:val="center"/>
              <w:textAlignment w:val="center"/>
              <w:rPr>
                <w:rFonts w:asciiTheme="minorEastAsia" w:hAnsiTheme="minorEastAsia" w:eastAsiaTheme="minorEastAsia"/>
                <w:color w:val="000000" w:themeColor="text1"/>
                <w:sz w:val="24"/>
              </w:rPr>
            </w:pPr>
          </w:p>
        </w:tc>
        <w:tc>
          <w:tcPr>
            <w:tcW w:w="24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917AC6">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其它资金:</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219B27">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3F9D48">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3BD1B1">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0</w:t>
            </w:r>
          </w:p>
        </w:tc>
      </w:tr>
      <w:tr w14:paraId="1DF19EF3">
        <w:tblPrEx>
          <w:tblCellMar>
            <w:top w:w="0" w:type="dxa"/>
            <w:left w:w="0" w:type="dxa"/>
            <w:bottom w:w="0" w:type="dxa"/>
            <w:right w:w="0" w:type="dxa"/>
          </w:tblCellMar>
        </w:tblPrEx>
        <w:trPr>
          <w:trHeight w:val="276" w:hRule="atLeast"/>
        </w:trPr>
        <w:tc>
          <w:tcPr>
            <w:tcW w:w="29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AA8F30">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年度目标完成情况</w:t>
            </w:r>
          </w:p>
        </w:tc>
        <w:tc>
          <w:tcPr>
            <w:tcW w:w="48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CBCC22">
            <w:pPr>
              <w:widowControl/>
              <w:jc w:val="center"/>
              <w:textAlignment w:val="center"/>
              <w:rPr>
                <w:rFonts w:cs="宋体" w:asciiTheme="minorEastAsia" w:hAnsiTheme="minorEastAsia" w:eastAsiaTheme="minorEastAsia"/>
                <w:color w:val="000000" w:themeColor="text1"/>
                <w:sz w:val="24"/>
              </w:rPr>
            </w:pPr>
            <w:r>
              <w:rPr>
                <w:rFonts w:hint="eastAsia" w:cs="宋体" w:asciiTheme="minorEastAsia" w:hAnsiTheme="minorEastAsia" w:eastAsiaTheme="minorEastAsia"/>
                <w:color w:val="000000" w:themeColor="text1"/>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C32058">
            <w:pPr>
              <w:widowControl/>
              <w:jc w:val="center"/>
              <w:textAlignment w:val="center"/>
              <w:rPr>
                <w:rFonts w:cs="宋体" w:asciiTheme="minorEastAsia" w:hAnsiTheme="minorEastAsia" w:eastAsiaTheme="minorEastAsia"/>
                <w:color w:val="000000" w:themeColor="text1"/>
                <w:sz w:val="24"/>
              </w:rPr>
            </w:pPr>
            <w:r>
              <w:rPr>
                <w:rFonts w:hint="eastAsia" w:cs="宋体" w:asciiTheme="minorEastAsia" w:hAnsiTheme="minorEastAsia" w:eastAsiaTheme="minorEastAsia"/>
                <w:color w:val="000000" w:themeColor="text1"/>
                <w:kern w:val="0"/>
                <w:sz w:val="24"/>
              </w:rPr>
              <w:t>实际完成目标</w:t>
            </w:r>
          </w:p>
        </w:tc>
      </w:tr>
      <w:tr w14:paraId="5F3EA216">
        <w:tblPrEx>
          <w:tblCellMar>
            <w:top w:w="0" w:type="dxa"/>
            <w:left w:w="0" w:type="dxa"/>
            <w:bottom w:w="0" w:type="dxa"/>
            <w:right w:w="0" w:type="dxa"/>
          </w:tblCellMar>
        </w:tblPrEx>
        <w:trPr>
          <w:trHeight w:val="1159"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12B20DB9">
            <w:pPr>
              <w:widowControl/>
              <w:jc w:val="center"/>
              <w:textAlignment w:val="center"/>
              <w:rPr>
                <w:rFonts w:asciiTheme="minorEastAsia" w:hAnsiTheme="minorEastAsia" w:eastAsiaTheme="minorEastAsia"/>
                <w:color w:val="000000" w:themeColor="text1"/>
                <w:sz w:val="24"/>
              </w:rPr>
            </w:pPr>
          </w:p>
        </w:tc>
        <w:tc>
          <w:tcPr>
            <w:tcW w:w="48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A75AC5">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认真贯彻落实实验室质量管理体系，各项工作稳步有序推进；积极开展环境质量例行监测、重点污染源监督性监测、总量减排监测，坚持环境监测为环境管理服务的原则，努力开拓环境监测工作新思路，确保环境监测在环境管理中的技术支持和监督作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B83951">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认真贯彻落实实验室质量管理体系，各项工作稳步有序推进；积极开展环境质量例行监测、重点污染源监督性监测、总量减排监测，坚持环境监测为环境管理服务的原则，努力开拓环境监测工作新思路，确保环境监测在环境管理中的技术支持和监督作用。</w:t>
            </w:r>
          </w:p>
        </w:tc>
      </w:tr>
      <w:tr w14:paraId="5F2C62BE">
        <w:tblPrEx>
          <w:tblCellMar>
            <w:top w:w="0" w:type="dxa"/>
            <w:left w:w="0" w:type="dxa"/>
            <w:bottom w:w="0" w:type="dxa"/>
            <w:right w:w="0" w:type="dxa"/>
          </w:tblCellMar>
        </w:tblPrEx>
        <w:trPr>
          <w:trHeight w:val="1042" w:hRule="atLeast"/>
        </w:trPr>
        <w:tc>
          <w:tcPr>
            <w:tcW w:w="29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89EF65">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绩效指标完成情况</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2CE1BD">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一级指标</w:t>
            </w:r>
          </w:p>
        </w:tc>
        <w:tc>
          <w:tcPr>
            <w:tcW w:w="113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C6E45B">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二级指标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FF0D8B">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A27E0B">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DEF5C0">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实际完成指标值(包含数字及文字描述)</w:t>
            </w:r>
          </w:p>
        </w:tc>
      </w:tr>
      <w:tr w14:paraId="2D9A3781">
        <w:tblPrEx>
          <w:tblCellMar>
            <w:top w:w="0" w:type="dxa"/>
            <w:left w:w="0" w:type="dxa"/>
            <w:bottom w:w="0" w:type="dxa"/>
            <w:right w:w="0" w:type="dxa"/>
          </w:tblCellMar>
        </w:tblPrEx>
        <w:trPr>
          <w:trHeight w:val="953"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3E426AB7">
            <w:pPr>
              <w:widowControl/>
              <w:jc w:val="center"/>
              <w:textAlignment w:val="center"/>
              <w:rPr>
                <w:rFonts w:asciiTheme="minorEastAsia" w:hAnsiTheme="minorEastAsia" w:eastAsiaTheme="minorEastAsia"/>
                <w:color w:val="000000" w:themeColor="text1"/>
                <w:sz w:val="24"/>
              </w:rPr>
            </w:pP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18E8CF">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项目完成指标</w:t>
            </w:r>
          </w:p>
        </w:tc>
        <w:tc>
          <w:tcPr>
            <w:tcW w:w="113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F08CC9">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数量指标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75F777">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监测次数</w:t>
            </w:r>
          </w:p>
          <w:p w14:paraId="3FB345B7">
            <w:pPr>
              <w:widowControl/>
              <w:jc w:val="center"/>
              <w:textAlignment w:val="center"/>
              <w:rPr>
                <w:rFonts w:asciiTheme="minorEastAsia" w:hAnsiTheme="minorEastAsia" w:eastAsiaTheme="minorEastAsia"/>
                <w:color w:val="000000" w:themeColor="text1"/>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E7D1A5">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30</w:t>
            </w:r>
            <w:r>
              <w:rPr>
                <w:rFonts w:asciiTheme="minorEastAsia" w:hAnsiTheme="minorEastAsia" w:eastAsiaTheme="minorEastAsia"/>
                <w:color w:val="000000" w:themeColor="text1"/>
                <w:sz w:val="24"/>
              </w:rPr>
              <w:t>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0735BA">
            <w:pPr>
              <w:spacing w:line="0" w:lineRule="atLeast"/>
              <w:ind w:firstLine="480" w:firstLineChars="20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全年共完成空气和废气监测36家次、水和废水监测26家次、噪声监测4家次。</w:t>
            </w:r>
          </w:p>
          <w:p w14:paraId="3D68DD1B">
            <w:pPr>
              <w:widowControl/>
              <w:jc w:val="center"/>
              <w:textAlignment w:val="center"/>
              <w:rPr>
                <w:rFonts w:asciiTheme="minorEastAsia" w:hAnsiTheme="minorEastAsia" w:eastAsiaTheme="minorEastAsia"/>
                <w:color w:val="000000" w:themeColor="text1"/>
                <w:sz w:val="24"/>
              </w:rPr>
            </w:pPr>
          </w:p>
        </w:tc>
      </w:tr>
      <w:tr w14:paraId="60ED57CA">
        <w:tblPrEx>
          <w:tblCellMar>
            <w:top w:w="0" w:type="dxa"/>
            <w:left w:w="0" w:type="dxa"/>
            <w:bottom w:w="0" w:type="dxa"/>
            <w:right w:w="0" w:type="dxa"/>
          </w:tblCellMar>
        </w:tblPrEx>
        <w:trPr>
          <w:trHeight w:val="1124"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1AA5C802">
            <w:pPr>
              <w:widowControl/>
              <w:jc w:val="center"/>
              <w:textAlignment w:val="center"/>
              <w:rPr>
                <w:rFonts w:asciiTheme="minorEastAsia" w:hAnsiTheme="minorEastAsia" w:eastAsiaTheme="minorEastAsia"/>
                <w:color w:val="000000" w:themeColor="text1"/>
                <w:sz w:val="24"/>
              </w:rPr>
            </w:pP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3DAB84">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项目完成指标</w:t>
            </w:r>
          </w:p>
        </w:tc>
        <w:tc>
          <w:tcPr>
            <w:tcW w:w="113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35214C">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质量指标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F3BA8C">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按监测方案上报监测报告</w:t>
            </w:r>
          </w:p>
          <w:p w14:paraId="191881FD">
            <w:pPr>
              <w:widowControl/>
              <w:jc w:val="center"/>
              <w:textAlignment w:val="center"/>
              <w:rPr>
                <w:rFonts w:asciiTheme="minorEastAsia" w:hAnsiTheme="minorEastAsia" w:eastAsiaTheme="minorEastAsia"/>
                <w:color w:val="000000" w:themeColor="text1"/>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B60670">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≥90%</w:t>
            </w:r>
          </w:p>
          <w:p w14:paraId="1939A24A">
            <w:pPr>
              <w:widowControl/>
              <w:jc w:val="center"/>
              <w:textAlignment w:val="center"/>
              <w:rPr>
                <w:rFonts w:asciiTheme="minorEastAsia" w:hAnsiTheme="minorEastAsia" w:eastAsiaTheme="minorEastAsia"/>
                <w:color w:val="000000" w:themeColor="text1"/>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F97B82">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≥90%</w:t>
            </w:r>
          </w:p>
          <w:p w14:paraId="129E52AB">
            <w:pPr>
              <w:widowControl/>
              <w:jc w:val="center"/>
              <w:textAlignment w:val="center"/>
              <w:rPr>
                <w:rFonts w:asciiTheme="minorEastAsia" w:hAnsiTheme="minorEastAsia" w:eastAsiaTheme="minorEastAsia"/>
                <w:color w:val="000000" w:themeColor="text1"/>
                <w:sz w:val="24"/>
              </w:rPr>
            </w:pPr>
          </w:p>
        </w:tc>
      </w:tr>
      <w:tr w14:paraId="474FA013">
        <w:tblPrEx>
          <w:tblCellMar>
            <w:top w:w="0" w:type="dxa"/>
            <w:left w:w="0" w:type="dxa"/>
            <w:bottom w:w="0" w:type="dxa"/>
            <w:right w:w="0" w:type="dxa"/>
          </w:tblCellMar>
        </w:tblPrEx>
        <w:trPr>
          <w:trHeight w:val="1199"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1C951455">
            <w:pPr>
              <w:widowControl/>
              <w:jc w:val="center"/>
              <w:textAlignment w:val="center"/>
              <w:rPr>
                <w:rFonts w:asciiTheme="minorEastAsia" w:hAnsiTheme="minorEastAsia" w:eastAsiaTheme="minorEastAsia"/>
                <w:color w:val="000000" w:themeColor="text1"/>
                <w:sz w:val="24"/>
              </w:rPr>
            </w:pP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E79F1E">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项目完成指标</w:t>
            </w:r>
          </w:p>
        </w:tc>
        <w:tc>
          <w:tcPr>
            <w:tcW w:w="113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433D64">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时效指标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85FFA9">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C1C5EB">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2019年1-12月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60326A">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2019年1-12月</w:t>
            </w:r>
          </w:p>
        </w:tc>
      </w:tr>
      <w:tr w14:paraId="651A3227">
        <w:tblPrEx>
          <w:tblCellMar>
            <w:top w:w="0" w:type="dxa"/>
            <w:left w:w="0" w:type="dxa"/>
            <w:bottom w:w="0" w:type="dxa"/>
            <w:right w:w="0" w:type="dxa"/>
          </w:tblCellMar>
        </w:tblPrEx>
        <w:trPr>
          <w:trHeight w:val="1042"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75055AF4">
            <w:pPr>
              <w:widowControl/>
              <w:jc w:val="center"/>
              <w:textAlignment w:val="center"/>
              <w:rPr>
                <w:rFonts w:asciiTheme="minorEastAsia" w:hAnsiTheme="minorEastAsia" w:eastAsiaTheme="minorEastAsia"/>
                <w:color w:val="000000" w:themeColor="text1"/>
                <w:sz w:val="24"/>
              </w:rPr>
            </w:pP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4ED1B6">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项目完成指标</w:t>
            </w:r>
          </w:p>
        </w:tc>
        <w:tc>
          <w:tcPr>
            <w:tcW w:w="113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D54935">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成本指标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A4B599">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环境监测与信息</w:t>
            </w:r>
            <w:r>
              <w:rPr>
                <w:rFonts w:hint="eastAsia" w:asciiTheme="minorEastAsia" w:hAnsiTheme="minorEastAsia" w:eastAsiaTheme="minorEastAsia"/>
                <w:color w:val="000000" w:themeColor="text1"/>
                <w:sz w:val="24"/>
              </w:rPr>
              <w:t>支出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F2EAA3">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8.13</w:t>
            </w:r>
            <w:r>
              <w:rPr>
                <w:rFonts w:asciiTheme="minorEastAsia" w:hAnsiTheme="minorEastAsia" w:eastAsiaTheme="minorEastAsia"/>
                <w:color w:val="000000" w:themeColor="text1"/>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103D7F">
            <w:pPr>
              <w:widowControl/>
              <w:jc w:val="center"/>
              <w:textAlignment w:val="center"/>
              <w:rPr>
                <w:rFonts w:asciiTheme="minorEastAsia" w:hAnsiTheme="minorEastAsia" w:eastAsiaTheme="minorEastAsia"/>
                <w:b/>
                <w:color w:val="000000" w:themeColor="text1"/>
                <w:sz w:val="24"/>
              </w:rPr>
            </w:pPr>
            <w:r>
              <w:rPr>
                <w:rFonts w:hint="eastAsia" w:asciiTheme="minorEastAsia" w:hAnsiTheme="minorEastAsia" w:eastAsiaTheme="minorEastAsia"/>
                <w:color w:val="000000" w:themeColor="text1"/>
                <w:sz w:val="24"/>
              </w:rPr>
              <w:t>8.13</w:t>
            </w:r>
            <w:r>
              <w:rPr>
                <w:rFonts w:asciiTheme="minorEastAsia" w:hAnsiTheme="minorEastAsia" w:eastAsiaTheme="minorEastAsia"/>
                <w:color w:val="000000" w:themeColor="text1"/>
                <w:sz w:val="24"/>
              </w:rPr>
              <w:t>万元</w:t>
            </w:r>
          </w:p>
        </w:tc>
      </w:tr>
      <w:tr w14:paraId="208155DA">
        <w:tblPrEx>
          <w:tblCellMar>
            <w:top w:w="0" w:type="dxa"/>
            <w:left w:w="0" w:type="dxa"/>
            <w:bottom w:w="0" w:type="dxa"/>
            <w:right w:w="0" w:type="dxa"/>
          </w:tblCellMar>
        </w:tblPrEx>
        <w:trPr>
          <w:trHeight w:val="1042"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3662D8D1">
            <w:pPr>
              <w:widowControl/>
              <w:jc w:val="center"/>
              <w:textAlignment w:val="center"/>
              <w:rPr>
                <w:rFonts w:asciiTheme="minorEastAsia" w:hAnsiTheme="minorEastAsia" w:eastAsiaTheme="minorEastAsia"/>
                <w:color w:val="000000" w:themeColor="text1"/>
                <w:sz w:val="24"/>
              </w:rPr>
            </w:pP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5AE90F">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效益指标</w:t>
            </w:r>
          </w:p>
        </w:tc>
        <w:tc>
          <w:tcPr>
            <w:tcW w:w="113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BD0FBE">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社会效益</w:t>
            </w:r>
          </w:p>
          <w:p w14:paraId="07092FD3">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441265">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社会影响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77538B">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我县环境空气质量有明显提升，PM</w:t>
            </w:r>
            <w:r>
              <w:rPr>
                <w:rFonts w:asciiTheme="minorEastAsia" w:hAnsiTheme="minorEastAsia" w:eastAsiaTheme="minorEastAsia"/>
                <w:color w:val="000000" w:themeColor="text1"/>
                <w:sz w:val="24"/>
                <w:vertAlign w:val="subscript"/>
              </w:rPr>
              <w:t>10</w:t>
            </w:r>
            <w:r>
              <w:rPr>
                <w:rFonts w:asciiTheme="minorEastAsia" w:hAnsiTheme="minorEastAsia" w:eastAsiaTheme="minorEastAsia"/>
                <w:color w:val="000000" w:themeColor="text1"/>
                <w:sz w:val="24"/>
              </w:rPr>
              <w:t>、PM</w:t>
            </w:r>
            <w:r>
              <w:rPr>
                <w:rFonts w:asciiTheme="minorEastAsia" w:hAnsiTheme="minorEastAsia" w:eastAsiaTheme="minorEastAsia"/>
                <w:color w:val="000000" w:themeColor="text1"/>
                <w:sz w:val="24"/>
                <w:vertAlign w:val="subscript"/>
              </w:rPr>
              <w:t>2.5</w:t>
            </w:r>
            <w:r>
              <w:rPr>
                <w:rFonts w:asciiTheme="minorEastAsia" w:hAnsiTheme="minorEastAsia" w:eastAsiaTheme="minorEastAsia"/>
                <w:color w:val="000000" w:themeColor="text1"/>
                <w:sz w:val="24"/>
              </w:rPr>
              <w:t>平均浓度明显下降，空气质量优的天数增加。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91AEEA">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我县环境空气质量有了明显提升，PM</w:t>
            </w:r>
            <w:r>
              <w:rPr>
                <w:rFonts w:asciiTheme="minorEastAsia" w:hAnsiTheme="minorEastAsia" w:eastAsiaTheme="minorEastAsia"/>
                <w:color w:val="000000" w:themeColor="text1"/>
                <w:sz w:val="24"/>
                <w:vertAlign w:val="subscript"/>
              </w:rPr>
              <w:t>10</w:t>
            </w:r>
            <w:r>
              <w:rPr>
                <w:rFonts w:asciiTheme="minorEastAsia" w:hAnsiTheme="minorEastAsia" w:eastAsiaTheme="minorEastAsia"/>
                <w:color w:val="000000" w:themeColor="text1"/>
                <w:sz w:val="24"/>
              </w:rPr>
              <w:t>、PM</w:t>
            </w:r>
            <w:r>
              <w:rPr>
                <w:rFonts w:asciiTheme="minorEastAsia" w:hAnsiTheme="minorEastAsia" w:eastAsiaTheme="minorEastAsia"/>
                <w:color w:val="000000" w:themeColor="text1"/>
                <w:sz w:val="24"/>
                <w:vertAlign w:val="subscript"/>
              </w:rPr>
              <w:t>2.5</w:t>
            </w:r>
            <w:r>
              <w:rPr>
                <w:rFonts w:asciiTheme="minorEastAsia" w:hAnsiTheme="minorEastAsia" w:eastAsiaTheme="minorEastAsia"/>
                <w:color w:val="000000" w:themeColor="text1"/>
                <w:sz w:val="24"/>
              </w:rPr>
              <w:t>平均浓度明显下降，空气质量优的天数大幅增加。</w:t>
            </w:r>
          </w:p>
        </w:tc>
      </w:tr>
      <w:tr w14:paraId="72EF8298">
        <w:tblPrEx>
          <w:tblCellMar>
            <w:top w:w="0" w:type="dxa"/>
            <w:left w:w="0" w:type="dxa"/>
            <w:bottom w:w="0" w:type="dxa"/>
            <w:right w:w="0" w:type="dxa"/>
          </w:tblCellMar>
        </w:tblPrEx>
        <w:trPr>
          <w:trHeight w:val="1042" w:hRule="atLeast"/>
        </w:trPr>
        <w:tc>
          <w:tcPr>
            <w:tcW w:w="299" w:type="dxa"/>
            <w:vMerge w:val="continue"/>
            <w:tcBorders>
              <w:top w:val="single" w:color="000000" w:sz="4" w:space="0"/>
              <w:left w:val="single" w:color="000000" w:sz="4" w:space="0"/>
              <w:bottom w:val="single" w:color="000000" w:sz="4" w:space="0"/>
              <w:right w:val="single" w:color="000000" w:sz="4" w:space="0"/>
            </w:tcBorders>
            <w:vAlign w:val="center"/>
          </w:tcPr>
          <w:p w14:paraId="39088FB0">
            <w:pPr>
              <w:widowControl/>
              <w:jc w:val="center"/>
              <w:textAlignment w:val="center"/>
              <w:rPr>
                <w:rFonts w:asciiTheme="minorEastAsia" w:hAnsiTheme="minorEastAsia" w:eastAsiaTheme="minorEastAsia"/>
                <w:color w:val="000000" w:themeColor="text1"/>
                <w:sz w:val="24"/>
              </w:rPr>
            </w:pP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B5DB48">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满意度指标</w:t>
            </w:r>
          </w:p>
        </w:tc>
        <w:tc>
          <w:tcPr>
            <w:tcW w:w="113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590895">
            <w:pPr>
              <w:widowControl/>
              <w:jc w:val="center"/>
              <w:textAlignment w:val="center"/>
              <w:rPr>
                <w:rFonts w:asciiTheme="minorEastAsia" w:hAnsiTheme="minorEastAsia" w:eastAsiaTheme="minorEastAsia"/>
                <w:color w:val="000000" w:themeColor="text1"/>
                <w:sz w:val="24"/>
              </w:rPr>
            </w:pPr>
            <w:r>
              <w:rPr>
                <w:rFonts w:hint="eastAsia" w:cs="宋体" w:asciiTheme="minorEastAsia" w:hAnsiTheme="minorEastAsia" w:eastAsiaTheme="minorEastAsia"/>
                <w:color w:val="000000" w:themeColor="text1"/>
                <w:sz w:val="24"/>
              </w:rPr>
              <w:t>服务对象满意度指标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23D0D5">
            <w:pPr>
              <w:widowControl/>
              <w:jc w:val="center"/>
              <w:textAlignment w:val="center"/>
              <w:rPr>
                <w:rFonts w:asciiTheme="minorEastAsia" w:hAnsiTheme="minorEastAsia" w:eastAsiaTheme="minorEastAsia"/>
                <w:color w:val="000000" w:themeColor="text1"/>
                <w:sz w:val="24"/>
              </w:rPr>
            </w:pPr>
            <w:r>
              <w:rPr>
                <w:rFonts w:hint="eastAsia" w:cs="宋体" w:asciiTheme="minorEastAsia" w:hAnsiTheme="minorEastAsia" w:eastAsiaTheme="minorEastAsia"/>
                <w:color w:val="000000" w:themeColor="text1"/>
                <w:sz w:val="24"/>
              </w:rPr>
              <w:t>服务对象满意度指标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D21AAE">
            <w:pPr>
              <w:widowControl/>
              <w:jc w:val="center"/>
              <w:textAlignment w:val="center"/>
              <w:rPr>
                <w:rFonts w:asciiTheme="minorEastAsia" w:hAnsiTheme="minorEastAsia" w:eastAsiaTheme="minorEastAsia"/>
                <w:color w:val="000000" w:themeColor="text1"/>
                <w:sz w:val="24"/>
              </w:rPr>
            </w:pPr>
            <w:r>
              <w:rPr>
                <w:rFonts w:hint="eastAsia" w:cs="宋体" w:asciiTheme="minorEastAsia" w:hAnsiTheme="minorEastAsia" w:eastAsiaTheme="minorEastAsia"/>
                <w:color w:val="000000" w:themeColor="text1"/>
                <w:sz w:val="24"/>
              </w:rPr>
              <w:t>≧</w:t>
            </w:r>
            <w:r>
              <w:rPr>
                <w:rFonts w:asciiTheme="minorEastAsia" w:hAnsiTheme="minorEastAsia" w:eastAsiaTheme="minorEastAsia"/>
                <w:color w:val="000000" w:themeColor="text1"/>
                <w:sz w:val="24"/>
              </w:rPr>
              <w: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61822A">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≧98%</w:t>
            </w:r>
          </w:p>
        </w:tc>
      </w:tr>
    </w:tbl>
    <w:p w14:paraId="5628C98B">
      <w:pPr>
        <w:widowControl/>
        <w:jc w:val="right"/>
        <w:textAlignment w:val="center"/>
        <w:rPr>
          <w:rFonts w:asciiTheme="minorEastAsia" w:hAnsiTheme="minorEastAsia" w:eastAsiaTheme="minorEastAsia"/>
          <w:color w:val="000000" w:themeColor="text1"/>
          <w:sz w:val="24"/>
        </w:rPr>
      </w:pPr>
    </w:p>
    <w:p w14:paraId="056A4B6C">
      <w:pPr>
        <w:widowControl/>
        <w:jc w:val="right"/>
        <w:textAlignment w:val="center"/>
        <w:rPr>
          <w:rFonts w:asciiTheme="minorEastAsia" w:hAnsiTheme="minorEastAsia" w:eastAsiaTheme="minorEastAsia"/>
          <w:color w:val="000000" w:themeColor="text1"/>
          <w:sz w:val="24"/>
        </w:rPr>
      </w:pPr>
    </w:p>
    <w:p w14:paraId="0B1CF568">
      <w:pPr>
        <w:spacing w:line="600" w:lineRule="exact"/>
        <w:jc w:val="center"/>
        <w:outlineLvl w:val="0"/>
        <w:rPr>
          <w:rFonts w:asciiTheme="minorEastAsia" w:hAnsiTheme="minorEastAsia" w:eastAsiaTheme="minorEastAsia"/>
          <w:color w:val="000000" w:themeColor="text1"/>
          <w:sz w:val="24"/>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1008"/>
        <w:gridCol w:w="749"/>
        <w:gridCol w:w="1025"/>
        <w:gridCol w:w="2336"/>
        <w:gridCol w:w="56"/>
        <w:gridCol w:w="2212"/>
        <w:gridCol w:w="182"/>
        <w:gridCol w:w="2392"/>
      </w:tblGrid>
      <w:tr w14:paraId="4A43CFFA">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14:paraId="2BEC9E10">
            <w:pPr>
              <w:widowControl/>
              <w:textAlignment w:val="center"/>
              <w:rPr>
                <w:rFonts w:asciiTheme="minorEastAsia" w:hAnsiTheme="minorEastAsia" w:eastAsiaTheme="minorEastAsia"/>
                <w:color w:val="000000" w:themeColor="text1"/>
                <w:sz w:val="36"/>
                <w:szCs w:val="36"/>
              </w:rPr>
            </w:pPr>
          </w:p>
          <w:p w14:paraId="6C96DF3D">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36"/>
                <w:szCs w:val="36"/>
              </w:rPr>
              <w:t>项目支出绩效目标完成情况表</w:t>
            </w:r>
            <w:r>
              <w:rPr>
                <w:rFonts w:asciiTheme="minorEastAsia" w:hAnsiTheme="minorEastAsia" w:eastAsiaTheme="minorEastAsia"/>
                <w:color w:val="000000" w:themeColor="text1"/>
                <w:sz w:val="36"/>
                <w:szCs w:val="36"/>
              </w:rPr>
              <w:br w:type="textWrapping"/>
            </w:r>
            <w:r>
              <w:rPr>
                <w:rFonts w:asciiTheme="minorEastAsia" w:hAnsiTheme="minorEastAsia" w:eastAsiaTheme="minorEastAsia"/>
                <w:color w:val="000000" w:themeColor="text1"/>
                <w:sz w:val="36"/>
                <w:szCs w:val="36"/>
              </w:rPr>
              <w:t>(201</w:t>
            </w:r>
            <w:r>
              <w:rPr>
                <w:rFonts w:hint="eastAsia" w:asciiTheme="minorEastAsia" w:hAnsiTheme="minorEastAsia" w:eastAsiaTheme="minorEastAsia"/>
                <w:color w:val="000000" w:themeColor="text1"/>
                <w:sz w:val="36"/>
                <w:szCs w:val="36"/>
              </w:rPr>
              <w:t>9</w:t>
            </w:r>
            <w:r>
              <w:rPr>
                <w:rFonts w:asciiTheme="minorEastAsia" w:hAnsiTheme="minorEastAsia" w:eastAsiaTheme="minorEastAsia"/>
                <w:color w:val="000000" w:themeColor="text1"/>
                <w:sz w:val="36"/>
                <w:szCs w:val="36"/>
              </w:rPr>
              <w:t>年度)</w:t>
            </w:r>
          </w:p>
        </w:tc>
      </w:tr>
      <w:tr w14:paraId="3A4B672E">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7D41D8">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项目名称</w:t>
            </w:r>
          </w:p>
        </w:tc>
        <w:tc>
          <w:tcPr>
            <w:tcW w:w="717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94129D">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污染防治支出项目</w:t>
            </w:r>
          </w:p>
        </w:tc>
      </w:tr>
      <w:tr w14:paraId="40C15BA9">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E99A6B">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预算单位</w:t>
            </w:r>
          </w:p>
        </w:tc>
        <w:tc>
          <w:tcPr>
            <w:tcW w:w="717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0D03AF">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米易生态环境局</w:t>
            </w:r>
          </w:p>
        </w:tc>
      </w:tr>
      <w:tr w14:paraId="05223446">
        <w:tblPrEx>
          <w:tblCellMar>
            <w:top w:w="0" w:type="dxa"/>
            <w:left w:w="0" w:type="dxa"/>
            <w:bottom w:w="0" w:type="dxa"/>
            <w:right w:w="0" w:type="dxa"/>
          </w:tblCellMar>
        </w:tblPrEx>
        <w:trPr>
          <w:trHeight w:val="276" w:hRule="atLeast"/>
        </w:trPr>
        <w:tc>
          <w:tcPr>
            <w:tcW w:w="100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46C9B8">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预算执行情况(万元)</w:t>
            </w:r>
          </w:p>
        </w:tc>
        <w:tc>
          <w:tcPr>
            <w:tcW w:w="177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541A1B">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预算数:</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78E474">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274.90</w:t>
            </w:r>
            <w:r>
              <w:rPr>
                <w:rFonts w:asciiTheme="minorEastAsia" w:hAnsiTheme="minorEastAsia" w:eastAsiaTheme="minorEastAsia"/>
                <w:color w:val="000000" w:themeColor="text1"/>
                <w:sz w:val="24"/>
              </w:rPr>
              <w:t xml:space="preserve"> </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D06E12">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6A2A9D">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274.90</w:t>
            </w:r>
          </w:p>
        </w:tc>
      </w:tr>
      <w:tr w14:paraId="0E6C9EE3">
        <w:tblPrEx>
          <w:tblCellMar>
            <w:top w:w="0" w:type="dxa"/>
            <w:left w:w="0" w:type="dxa"/>
            <w:bottom w:w="0" w:type="dxa"/>
            <w:right w:w="0" w:type="dxa"/>
          </w:tblCellMar>
        </w:tblPrEx>
        <w:trPr>
          <w:trHeight w:val="276"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3DD6DCCB">
            <w:pPr>
              <w:widowControl/>
              <w:jc w:val="center"/>
              <w:textAlignment w:val="center"/>
              <w:rPr>
                <w:rFonts w:asciiTheme="minorEastAsia" w:hAnsiTheme="minorEastAsia" w:eastAsiaTheme="minorEastAsia"/>
                <w:color w:val="000000" w:themeColor="text1"/>
                <w:sz w:val="24"/>
              </w:rPr>
            </w:pPr>
          </w:p>
        </w:tc>
        <w:tc>
          <w:tcPr>
            <w:tcW w:w="177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DD2EA4">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其中-财政拨款:</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170835">
            <w:pPr>
              <w:widowControl/>
              <w:jc w:val="center"/>
              <w:textAlignment w:val="center"/>
              <w:rPr>
                <w:rFonts w:asciiTheme="minorEastAsia" w:hAnsiTheme="minorEastAsia" w:eastAsiaTheme="minorEastAsia"/>
                <w:color w:val="000000" w:themeColor="text1"/>
                <w:sz w:val="24"/>
              </w:rPr>
            </w:pP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D3F779">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2A4C85">
            <w:pPr>
              <w:widowControl/>
              <w:jc w:val="center"/>
              <w:textAlignment w:val="center"/>
              <w:rPr>
                <w:rFonts w:asciiTheme="minorEastAsia" w:hAnsiTheme="minorEastAsia" w:eastAsiaTheme="minorEastAsia"/>
                <w:color w:val="000000" w:themeColor="text1"/>
                <w:sz w:val="24"/>
              </w:rPr>
            </w:pPr>
          </w:p>
        </w:tc>
      </w:tr>
      <w:tr w14:paraId="57E502BA">
        <w:tblPrEx>
          <w:tblCellMar>
            <w:top w:w="0" w:type="dxa"/>
            <w:left w:w="0" w:type="dxa"/>
            <w:bottom w:w="0" w:type="dxa"/>
            <w:right w:w="0" w:type="dxa"/>
          </w:tblCellMar>
        </w:tblPrEx>
        <w:trPr>
          <w:trHeight w:val="1511"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38544FD7">
            <w:pPr>
              <w:widowControl/>
              <w:jc w:val="center"/>
              <w:textAlignment w:val="center"/>
              <w:rPr>
                <w:rFonts w:asciiTheme="minorEastAsia" w:hAnsiTheme="minorEastAsia" w:eastAsiaTheme="minorEastAsia"/>
                <w:color w:val="000000" w:themeColor="text1"/>
                <w:sz w:val="24"/>
              </w:rPr>
            </w:pPr>
          </w:p>
        </w:tc>
        <w:tc>
          <w:tcPr>
            <w:tcW w:w="177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086420">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其它资金:</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5FAE0F">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021604">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EDD262">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0</w:t>
            </w:r>
          </w:p>
        </w:tc>
      </w:tr>
      <w:tr w14:paraId="0BBCCAD3">
        <w:tblPrEx>
          <w:tblCellMar>
            <w:top w:w="0" w:type="dxa"/>
            <w:left w:w="0" w:type="dxa"/>
            <w:bottom w:w="0" w:type="dxa"/>
            <w:right w:w="0" w:type="dxa"/>
          </w:tblCellMar>
        </w:tblPrEx>
        <w:trPr>
          <w:trHeight w:val="276" w:hRule="atLeast"/>
        </w:trPr>
        <w:tc>
          <w:tcPr>
            <w:tcW w:w="100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41E9F4">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年度目标完成情况</w:t>
            </w:r>
          </w:p>
        </w:tc>
        <w:tc>
          <w:tcPr>
            <w:tcW w:w="4166"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F55D53">
            <w:pPr>
              <w:widowControl/>
              <w:jc w:val="center"/>
              <w:textAlignment w:val="center"/>
              <w:rPr>
                <w:rFonts w:cs="宋体" w:asciiTheme="minorEastAsia" w:hAnsiTheme="minorEastAsia" w:eastAsiaTheme="minorEastAsia"/>
                <w:color w:val="000000" w:themeColor="text1"/>
                <w:sz w:val="24"/>
              </w:rPr>
            </w:pPr>
            <w:r>
              <w:rPr>
                <w:rFonts w:hint="eastAsia" w:cs="宋体" w:asciiTheme="minorEastAsia" w:hAnsiTheme="minorEastAsia" w:eastAsiaTheme="minorEastAsia"/>
                <w:color w:val="000000" w:themeColor="text1"/>
                <w:kern w:val="0"/>
                <w:sz w:val="24"/>
              </w:rPr>
              <w:t>预期目标</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0DADEF">
            <w:pPr>
              <w:widowControl/>
              <w:jc w:val="center"/>
              <w:textAlignment w:val="center"/>
              <w:rPr>
                <w:rFonts w:cs="宋体" w:asciiTheme="minorEastAsia" w:hAnsiTheme="minorEastAsia" w:eastAsiaTheme="minorEastAsia"/>
                <w:color w:val="000000" w:themeColor="text1"/>
                <w:sz w:val="24"/>
              </w:rPr>
            </w:pPr>
            <w:r>
              <w:rPr>
                <w:rFonts w:hint="eastAsia" w:cs="宋体" w:asciiTheme="minorEastAsia" w:hAnsiTheme="minorEastAsia" w:eastAsiaTheme="minorEastAsia"/>
                <w:color w:val="000000" w:themeColor="text1"/>
                <w:kern w:val="0"/>
                <w:sz w:val="24"/>
              </w:rPr>
              <w:t>实际完成目标</w:t>
            </w:r>
          </w:p>
        </w:tc>
      </w:tr>
      <w:tr w14:paraId="17F75409">
        <w:tblPrEx>
          <w:tblCellMar>
            <w:top w:w="0" w:type="dxa"/>
            <w:left w:w="0" w:type="dxa"/>
            <w:bottom w:w="0" w:type="dxa"/>
            <w:right w:w="0" w:type="dxa"/>
          </w:tblCellMar>
        </w:tblPrEx>
        <w:trPr>
          <w:trHeight w:val="1159"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5232E756">
            <w:pPr>
              <w:widowControl/>
              <w:jc w:val="center"/>
              <w:textAlignment w:val="center"/>
              <w:rPr>
                <w:rFonts w:asciiTheme="minorEastAsia" w:hAnsiTheme="minorEastAsia" w:eastAsiaTheme="minorEastAsia"/>
                <w:color w:val="000000" w:themeColor="text1"/>
                <w:sz w:val="24"/>
              </w:rPr>
            </w:pPr>
          </w:p>
        </w:tc>
        <w:tc>
          <w:tcPr>
            <w:tcW w:w="4166"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798E4B">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主要是摸清辖区内所有排放的工业污染源、集中式污染源、农业污染源、生活污染源、移动源的基数和污染物产排量污染源普查、检查，做好农村生活污水治理、乡镇集中式饮用水源地保护、建设项目行政审批等工作支出</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67B30E">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kern w:val="0"/>
                <w:sz w:val="24"/>
              </w:rPr>
              <w:t>迎接国家、省、市对环保各项工作的督察、巡查、组织对重点部门或乡（镇）的巡查、对全县企业工作检查经</w:t>
            </w:r>
            <w:r>
              <w:rPr>
                <w:rFonts w:asciiTheme="minorEastAsia" w:hAnsiTheme="minorEastAsia" w:eastAsiaTheme="minorEastAsia"/>
                <w:color w:val="000000" w:themeColor="text1"/>
                <w:sz w:val="24"/>
              </w:rPr>
              <w:t>费</w:t>
            </w:r>
            <w:r>
              <w:rPr>
                <w:rFonts w:hint="eastAsia" w:asciiTheme="minorEastAsia" w:hAnsiTheme="minorEastAsia" w:eastAsiaTheme="minorEastAsia"/>
                <w:color w:val="000000" w:themeColor="text1"/>
                <w:sz w:val="24"/>
              </w:rPr>
              <w:t>支出</w:t>
            </w:r>
          </w:p>
        </w:tc>
      </w:tr>
      <w:tr w14:paraId="17DEFC3F">
        <w:tblPrEx>
          <w:tblCellMar>
            <w:top w:w="0" w:type="dxa"/>
            <w:left w:w="0" w:type="dxa"/>
            <w:bottom w:w="0" w:type="dxa"/>
            <w:right w:w="0" w:type="dxa"/>
          </w:tblCellMar>
        </w:tblPrEx>
        <w:trPr>
          <w:trHeight w:val="1042" w:hRule="atLeast"/>
        </w:trPr>
        <w:tc>
          <w:tcPr>
            <w:tcW w:w="100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361556">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绩效指标完成情况</w:t>
            </w: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95F35E">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AD119D">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二级指标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9A11EC">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三级指标</w:t>
            </w:r>
          </w:p>
        </w:tc>
        <w:tc>
          <w:tcPr>
            <w:tcW w:w="226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E6DCEC">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预期指标值(包含数字及文字描述)</w:t>
            </w:r>
          </w:p>
        </w:tc>
        <w:tc>
          <w:tcPr>
            <w:tcW w:w="257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A1E02F">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实际完成指标值(包含数字及文字描述)</w:t>
            </w:r>
          </w:p>
        </w:tc>
      </w:tr>
      <w:tr w14:paraId="5F6685CA">
        <w:tblPrEx>
          <w:tblCellMar>
            <w:top w:w="0" w:type="dxa"/>
            <w:left w:w="0" w:type="dxa"/>
            <w:bottom w:w="0" w:type="dxa"/>
            <w:right w:w="0" w:type="dxa"/>
          </w:tblCellMar>
        </w:tblPrEx>
        <w:trPr>
          <w:trHeight w:val="953"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60D9B95C">
            <w:pPr>
              <w:widowControl/>
              <w:jc w:val="center"/>
              <w:textAlignment w:val="center"/>
              <w:rPr>
                <w:rFonts w:asciiTheme="minorEastAsia" w:hAnsiTheme="minorEastAsia" w:eastAsiaTheme="minorEastAsia"/>
                <w:color w:val="000000" w:themeColor="text1"/>
                <w:sz w:val="24"/>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397DEF">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DC2AD7">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数量指标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DA3586">
            <w:pPr>
              <w:widowControl/>
              <w:jc w:val="center"/>
              <w:textAlignment w:val="center"/>
              <w:rPr>
                <w:rFonts w:asciiTheme="minorEastAsia" w:hAnsiTheme="minorEastAsia" w:eastAsiaTheme="minorEastAsia"/>
                <w:color w:val="000000" w:themeColor="text1"/>
                <w:sz w:val="24"/>
              </w:rPr>
            </w:pPr>
          </w:p>
          <w:p w14:paraId="7840BF66">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排查检查数</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3F9E31">
            <w:pPr>
              <w:widowControl/>
              <w:jc w:val="center"/>
              <w:textAlignment w:val="center"/>
              <w:rPr>
                <w:rFonts w:asciiTheme="minorEastAsia" w:hAnsiTheme="minorEastAsia" w:eastAsiaTheme="minorEastAsia"/>
                <w:color w:val="000000" w:themeColor="text1"/>
                <w:sz w:val="24"/>
              </w:rPr>
            </w:pPr>
            <w:r>
              <w:rPr>
                <w:rFonts w:hint="eastAsia" w:cs="宋体" w:asciiTheme="minorEastAsia" w:hAnsiTheme="minorEastAsia" w:eastAsiaTheme="minorEastAsia"/>
                <w:color w:val="000000" w:themeColor="text1"/>
                <w:sz w:val="24"/>
              </w:rPr>
              <w:t>≧100</w:t>
            </w:r>
          </w:p>
        </w:tc>
        <w:tc>
          <w:tcPr>
            <w:tcW w:w="257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EA0775">
            <w:pPr>
              <w:widowControl/>
              <w:jc w:val="center"/>
              <w:textAlignment w:val="center"/>
              <w:rPr>
                <w:rFonts w:asciiTheme="minorEastAsia" w:hAnsiTheme="minorEastAsia" w:eastAsiaTheme="minorEastAsia"/>
                <w:color w:val="000000" w:themeColor="text1"/>
                <w:sz w:val="24"/>
              </w:rPr>
            </w:pPr>
            <w:r>
              <w:rPr>
                <w:rFonts w:hint="eastAsia" w:cs="宋体" w:asciiTheme="minorEastAsia" w:hAnsiTheme="minorEastAsia" w:eastAsiaTheme="minorEastAsia"/>
                <w:color w:val="000000" w:themeColor="text1"/>
                <w:sz w:val="24"/>
              </w:rPr>
              <w:t>≧100</w:t>
            </w:r>
          </w:p>
        </w:tc>
      </w:tr>
      <w:tr w14:paraId="100C262B">
        <w:tblPrEx>
          <w:tblCellMar>
            <w:top w:w="0" w:type="dxa"/>
            <w:left w:w="0" w:type="dxa"/>
            <w:bottom w:w="0" w:type="dxa"/>
            <w:right w:w="0" w:type="dxa"/>
          </w:tblCellMar>
        </w:tblPrEx>
        <w:trPr>
          <w:trHeight w:val="1297"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73004884">
            <w:pPr>
              <w:widowControl/>
              <w:jc w:val="center"/>
              <w:textAlignment w:val="center"/>
              <w:rPr>
                <w:rFonts w:asciiTheme="minorEastAsia" w:hAnsiTheme="minorEastAsia" w:eastAsiaTheme="minorEastAsia"/>
                <w:color w:val="000000" w:themeColor="text1"/>
                <w:sz w:val="24"/>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D7D915">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DBA9EE">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质量指标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44B6D6">
            <w:pPr>
              <w:widowControl/>
              <w:jc w:val="center"/>
              <w:textAlignment w:val="center"/>
              <w:rPr>
                <w:rFonts w:asciiTheme="minorEastAsia" w:hAnsiTheme="minorEastAsia" w:eastAsiaTheme="minorEastAsia"/>
                <w:color w:val="000000" w:themeColor="text1"/>
                <w:sz w:val="24"/>
              </w:rPr>
            </w:pPr>
          </w:p>
          <w:p w14:paraId="21FC8BF7">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环境质量</w:t>
            </w:r>
          </w:p>
          <w:p w14:paraId="0DBEAFFB">
            <w:pPr>
              <w:widowControl/>
              <w:jc w:val="center"/>
              <w:textAlignment w:val="center"/>
              <w:rPr>
                <w:rFonts w:asciiTheme="minorEastAsia" w:hAnsiTheme="minorEastAsia" w:eastAsiaTheme="minorEastAsia"/>
                <w:color w:val="000000" w:themeColor="text1"/>
                <w:sz w:val="24"/>
              </w:rPr>
            </w:pP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6BA5B6">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提升了全县排污单位环境管理水平，环境治理设施和措施进一步完善，企业厂区环境明显改善。</w:t>
            </w:r>
          </w:p>
        </w:tc>
        <w:tc>
          <w:tcPr>
            <w:tcW w:w="257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09F5D7">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提升了全县排污单位环境管理水平，环境治理设施和措施进一步完善，企业厂区环境明显改善。</w:t>
            </w:r>
          </w:p>
        </w:tc>
      </w:tr>
      <w:tr w14:paraId="27CB475E">
        <w:tblPrEx>
          <w:tblCellMar>
            <w:top w:w="0" w:type="dxa"/>
            <w:left w:w="0" w:type="dxa"/>
            <w:bottom w:w="0" w:type="dxa"/>
            <w:right w:w="0" w:type="dxa"/>
          </w:tblCellMar>
        </w:tblPrEx>
        <w:trPr>
          <w:trHeight w:val="1042"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52DFA8DD">
            <w:pPr>
              <w:widowControl/>
              <w:jc w:val="center"/>
              <w:textAlignment w:val="center"/>
              <w:rPr>
                <w:rFonts w:asciiTheme="minorEastAsia" w:hAnsiTheme="minorEastAsia" w:eastAsiaTheme="minorEastAsia"/>
                <w:color w:val="000000" w:themeColor="text1"/>
                <w:sz w:val="24"/>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E617FC">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3A6857">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时效指标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C9D394">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完成时间</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44D8EF">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2019年1-12月</w:t>
            </w:r>
          </w:p>
        </w:tc>
        <w:tc>
          <w:tcPr>
            <w:tcW w:w="257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87391C">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2019年1-12月</w:t>
            </w:r>
          </w:p>
        </w:tc>
      </w:tr>
      <w:tr w14:paraId="0729593A">
        <w:tblPrEx>
          <w:tblCellMar>
            <w:top w:w="0" w:type="dxa"/>
            <w:left w:w="0" w:type="dxa"/>
            <w:bottom w:w="0" w:type="dxa"/>
            <w:right w:w="0" w:type="dxa"/>
          </w:tblCellMar>
        </w:tblPrEx>
        <w:trPr>
          <w:trHeight w:val="1042"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54370C08">
            <w:pPr>
              <w:widowControl/>
              <w:jc w:val="center"/>
              <w:textAlignment w:val="center"/>
              <w:rPr>
                <w:rFonts w:asciiTheme="minorEastAsia" w:hAnsiTheme="minorEastAsia" w:eastAsiaTheme="minorEastAsia"/>
                <w:color w:val="000000" w:themeColor="text1"/>
                <w:sz w:val="24"/>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4722B3">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E6CE75">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成本指标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8ACC45">
            <w:pPr>
              <w:widowControl/>
              <w:jc w:val="center"/>
              <w:textAlignment w:val="center"/>
              <w:rPr>
                <w:rFonts w:hint="default" w:asciiTheme="minorEastAsia" w:hAnsiTheme="minorEastAsia" w:eastAsiaTheme="minorEastAsia"/>
                <w:color w:val="000000" w:themeColor="text1"/>
                <w:sz w:val="24"/>
                <w:lang w:val="en-US"/>
              </w:rPr>
            </w:pPr>
            <w:r>
              <w:rPr>
                <w:rFonts w:asciiTheme="minorEastAsia" w:hAnsiTheme="minorEastAsia" w:eastAsiaTheme="minorEastAsia"/>
                <w:color w:val="000000" w:themeColor="text1"/>
                <w:sz w:val="24"/>
              </w:rPr>
              <w:t>污染源普查</w:t>
            </w:r>
            <w:r>
              <w:rPr>
                <w:rFonts w:hint="eastAsia" w:asciiTheme="minorEastAsia" w:hAnsiTheme="minorEastAsia" w:eastAsiaTheme="minorEastAsia"/>
                <w:color w:val="000000" w:themeColor="text1"/>
                <w:sz w:val="24"/>
              </w:rPr>
              <w:t>、</w:t>
            </w:r>
          </w:p>
          <w:p w14:paraId="716E6146">
            <w:pPr>
              <w:widowControl/>
              <w:jc w:val="center"/>
              <w:textAlignment w:val="center"/>
              <w:rPr>
                <w:rFonts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lang w:val="en-US"/>
              </w:rPr>
              <w:t>环保督察</w:t>
            </w:r>
            <w:r>
              <w:rPr>
                <w:rFonts w:hint="eastAsia" w:asciiTheme="minorEastAsia" w:hAnsiTheme="minorEastAsia" w:eastAsiaTheme="minorEastAsia"/>
                <w:color w:val="000000" w:themeColor="text1"/>
                <w:sz w:val="24"/>
              </w:rPr>
              <w:t>、污染防治工作支出</w:t>
            </w:r>
            <w:r>
              <w:rPr>
                <w:rFonts w:asciiTheme="minorEastAsia" w:hAnsiTheme="minorEastAsia" w:eastAsiaTheme="minorEastAsia"/>
                <w:color w:val="000000" w:themeColor="text1"/>
                <w:sz w:val="24"/>
              </w:rPr>
              <w:t>经费</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9CF626">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274.9</w:t>
            </w:r>
            <w:r>
              <w:rPr>
                <w:rFonts w:asciiTheme="minorEastAsia" w:hAnsiTheme="minorEastAsia" w:eastAsiaTheme="minorEastAsia"/>
                <w:color w:val="000000" w:themeColor="text1"/>
                <w:sz w:val="24"/>
              </w:rPr>
              <w:t>万元</w:t>
            </w:r>
          </w:p>
        </w:tc>
        <w:tc>
          <w:tcPr>
            <w:tcW w:w="257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7FE029">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274.9</w:t>
            </w:r>
            <w:r>
              <w:rPr>
                <w:rFonts w:asciiTheme="minorEastAsia" w:hAnsiTheme="minorEastAsia" w:eastAsiaTheme="minorEastAsia"/>
                <w:color w:val="000000" w:themeColor="text1"/>
                <w:sz w:val="24"/>
              </w:rPr>
              <w:t>万元</w:t>
            </w:r>
          </w:p>
        </w:tc>
      </w:tr>
      <w:tr w14:paraId="58E38142">
        <w:tblPrEx>
          <w:tblCellMar>
            <w:top w:w="0" w:type="dxa"/>
            <w:left w:w="0" w:type="dxa"/>
            <w:bottom w:w="0" w:type="dxa"/>
            <w:right w:w="0" w:type="dxa"/>
          </w:tblCellMar>
        </w:tblPrEx>
        <w:trPr>
          <w:trHeight w:val="1042"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177A1551">
            <w:pPr>
              <w:widowControl/>
              <w:jc w:val="center"/>
              <w:textAlignment w:val="center"/>
              <w:rPr>
                <w:rFonts w:asciiTheme="minorEastAsia" w:hAnsiTheme="minorEastAsia" w:eastAsiaTheme="minorEastAsia"/>
                <w:color w:val="000000" w:themeColor="text1"/>
                <w:sz w:val="24"/>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06696E">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9D3B52">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社会效益</w:t>
            </w:r>
          </w:p>
          <w:p w14:paraId="768301AD">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A2A774">
            <w:pPr>
              <w:widowControl/>
              <w:jc w:val="center"/>
              <w:textAlignment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社会影响</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990A33">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我县环境空气质量有明显提升，PM</w:t>
            </w:r>
            <w:r>
              <w:rPr>
                <w:rFonts w:asciiTheme="minorEastAsia" w:hAnsiTheme="minorEastAsia" w:eastAsiaTheme="minorEastAsia"/>
                <w:color w:val="000000" w:themeColor="text1"/>
                <w:sz w:val="24"/>
                <w:vertAlign w:val="subscript"/>
              </w:rPr>
              <w:t>10</w:t>
            </w:r>
            <w:r>
              <w:rPr>
                <w:rFonts w:asciiTheme="minorEastAsia" w:hAnsiTheme="minorEastAsia" w:eastAsiaTheme="minorEastAsia"/>
                <w:color w:val="000000" w:themeColor="text1"/>
                <w:sz w:val="24"/>
              </w:rPr>
              <w:t>、PM</w:t>
            </w:r>
            <w:r>
              <w:rPr>
                <w:rFonts w:asciiTheme="minorEastAsia" w:hAnsiTheme="minorEastAsia" w:eastAsiaTheme="minorEastAsia"/>
                <w:color w:val="000000" w:themeColor="text1"/>
                <w:sz w:val="24"/>
                <w:vertAlign w:val="subscript"/>
              </w:rPr>
              <w:t>2.5</w:t>
            </w:r>
            <w:r>
              <w:rPr>
                <w:rFonts w:asciiTheme="minorEastAsia" w:hAnsiTheme="minorEastAsia" w:eastAsiaTheme="minorEastAsia"/>
                <w:color w:val="000000" w:themeColor="text1"/>
                <w:sz w:val="24"/>
              </w:rPr>
              <w:t>平均浓度明显下降，空气质量优的天数增加。</w:t>
            </w:r>
          </w:p>
        </w:tc>
        <w:tc>
          <w:tcPr>
            <w:tcW w:w="257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D7792A">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我县环境空气质量有明显提升，PM</w:t>
            </w:r>
            <w:r>
              <w:rPr>
                <w:rFonts w:asciiTheme="minorEastAsia" w:hAnsiTheme="minorEastAsia" w:eastAsiaTheme="minorEastAsia"/>
                <w:color w:val="000000" w:themeColor="text1"/>
                <w:sz w:val="24"/>
                <w:vertAlign w:val="subscript"/>
              </w:rPr>
              <w:t>10</w:t>
            </w:r>
            <w:r>
              <w:rPr>
                <w:rFonts w:asciiTheme="minorEastAsia" w:hAnsiTheme="minorEastAsia" w:eastAsiaTheme="minorEastAsia"/>
                <w:color w:val="000000" w:themeColor="text1"/>
                <w:sz w:val="24"/>
              </w:rPr>
              <w:t>、PM</w:t>
            </w:r>
            <w:r>
              <w:rPr>
                <w:rFonts w:asciiTheme="minorEastAsia" w:hAnsiTheme="minorEastAsia" w:eastAsiaTheme="minorEastAsia"/>
                <w:color w:val="000000" w:themeColor="text1"/>
                <w:sz w:val="24"/>
                <w:vertAlign w:val="subscript"/>
              </w:rPr>
              <w:t>2.5</w:t>
            </w:r>
            <w:r>
              <w:rPr>
                <w:rFonts w:asciiTheme="minorEastAsia" w:hAnsiTheme="minorEastAsia" w:eastAsiaTheme="minorEastAsia"/>
                <w:color w:val="000000" w:themeColor="text1"/>
                <w:sz w:val="24"/>
              </w:rPr>
              <w:t>平均浓度明显下降，空气质量优的天数增加。</w:t>
            </w:r>
          </w:p>
        </w:tc>
      </w:tr>
      <w:tr w14:paraId="41E42FAF">
        <w:tblPrEx>
          <w:tblCellMar>
            <w:top w:w="0" w:type="dxa"/>
            <w:left w:w="0" w:type="dxa"/>
            <w:bottom w:w="0" w:type="dxa"/>
            <w:right w:w="0" w:type="dxa"/>
          </w:tblCellMar>
        </w:tblPrEx>
        <w:trPr>
          <w:trHeight w:val="1042"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45B7EA93">
            <w:pPr>
              <w:widowControl/>
              <w:jc w:val="center"/>
              <w:textAlignment w:val="center"/>
              <w:rPr>
                <w:rFonts w:asciiTheme="minorEastAsia" w:hAnsiTheme="minorEastAsia" w:eastAsiaTheme="minorEastAsia"/>
                <w:color w:val="000000" w:themeColor="text1"/>
                <w:sz w:val="24"/>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FC764B">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AA9D88">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满意度指标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3F2106">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企业满意度</w:t>
            </w:r>
          </w:p>
          <w:p w14:paraId="6106D08D">
            <w:pPr>
              <w:widowControl/>
              <w:jc w:val="center"/>
              <w:textAlignment w:val="center"/>
              <w:rPr>
                <w:rFonts w:asciiTheme="minorEastAsia" w:hAnsiTheme="minorEastAsia" w:eastAsiaTheme="minorEastAsia"/>
                <w:color w:val="000000" w:themeColor="text1"/>
                <w:sz w:val="24"/>
              </w:rPr>
            </w:pP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AB7B90">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抽样调查达到基本满意及以上</w:t>
            </w:r>
          </w:p>
          <w:p w14:paraId="3E2E780E">
            <w:pPr>
              <w:widowControl/>
              <w:jc w:val="center"/>
              <w:textAlignment w:val="center"/>
              <w:rPr>
                <w:rFonts w:asciiTheme="minorEastAsia" w:hAnsiTheme="minorEastAsia" w:eastAsiaTheme="minorEastAsia"/>
                <w:color w:val="000000" w:themeColor="text1"/>
                <w:sz w:val="24"/>
              </w:rPr>
            </w:pPr>
          </w:p>
        </w:tc>
        <w:tc>
          <w:tcPr>
            <w:tcW w:w="257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58EF65">
            <w:pPr>
              <w:widowControl/>
              <w:jc w:val="center"/>
              <w:textAlignment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抽样调查达到基本满意及以上</w:t>
            </w:r>
          </w:p>
          <w:p w14:paraId="0F6D36FC">
            <w:pPr>
              <w:widowControl/>
              <w:jc w:val="center"/>
              <w:textAlignment w:val="center"/>
              <w:rPr>
                <w:rFonts w:asciiTheme="minorEastAsia" w:hAnsiTheme="minorEastAsia" w:eastAsiaTheme="minorEastAsia"/>
                <w:color w:val="000000" w:themeColor="text1"/>
                <w:sz w:val="24"/>
              </w:rPr>
            </w:pPr>
          </w:p>
        </w:tc>
      </w:tr>
    </w:tbl>
    <w:p w14:paraId="382E2CDC">
      <w:pP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br w:type="page"/>
      </w:r>
    </w:p>
    <w:p w14:paraId="19CE24DF">
      <w:pPr>
        <w:widowControl/>
        <w:jc w:val="right"/>
        <w:textAlignment w:val="center"/>
        <w:rPr>
          <w:rFonts w:asciiTheme="minorEastAsia" w:hAnsiTheme="minorEastAsia" w:eastAsiaTheme="minorEastAsia"/>
          <w:color w:val="FF0000"/>
          <w:sz w:val="24"/>
        </w:rPr>
      </w:pPr>
    </w:p>
    <w:p w14:paraId="17B947AF">
      <w:pPr>
        <w:widowControl/>
        <w:jc w:val="right"/>
        <w:textAlignment w:val="center"/>
        <w:rPr>
          <w:rFonts w:asciiTheme="minorEastAsia" w:hAnsiTheme="minorEastAsia" w:eastAsiaTheme="minorEastAsia"/>
          <w:color w:val="FF0000"/>
          <w:sz w:val="24"/>
        </w:rPr>
      </w:pPr>
    </w:p>
    <w:p w14:paraId="3B68C5EF">
      <w:pPr>
        <w:widowControl/>
        <w:textAlignment w:val="center"/>
        <w:rPr>
          <w:rFonts w:asciiTheme="minorEastAsia" w:hAnsiTheme="minorEastAsia" w:eastAsiaTheme="minorEastAsia"/>
          <w:color w:val="FF0000"/>
          <w:sz w:val="24"/>
        </w:rPr>
      </w:pPr>
    </w:p>
    <w:p w14:paraId="09A19500">
      <w:pPr>
        <w:spacing w:line="580" w:lineRule="exact"/>
        <w:rPr>
          <w:rFonts w:ascii="仿宋_GB2312" w:hAnsi="仿宋_GB2312" w:eastAsia="仿宋_GB2312" w:cs="仿宋_GB2312"/>
          <w:sz w:val="32"/>
          <w:szCs w:val="32"/>
        </w:rPr>
      </w:pPr>
      <w:r>
        <w:rPr>
          <w:rFonts w:hint="eastAsia" w:ascii="楷体_GB2312" w:hAnsi="楷体_GB2312" w:eastAsia="楷体_GB2312" w:cs="楷体_GB2312"/>
          <w:sz w:val="32"/>
          <w:szCs w:val="32"/>
        </w:rPr>
        <w:t xml:space="preserve">    2.部门绩效评价结果。</w:t>
      </w:r>
    </w:p>
    <w:p w14:paraId="7CA1183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本部门按要求对2019年部门整体支出绩效评价情况开展自评，《米易生态环境局部门2019年部门整体支出绩效评价报告》见附件（附件1）。</w:t>
      </w:r>
    </w:p>
    <w:p w14:paraId="2EEC4AF5">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本部门自行组织对环境空气质量自动站搬迁费用项目项目开展了绩效评价，《环境空气质量自动站搬迁费用项目》见附件（附件2）。</w:t>
      </w:r>
    </w:p>
    <w:p w14:paraId="4F8E6A55">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434CEB98">
      <w:pPr>
        <w:numPr>
          <w:ilvl w:val="0"/>
          <w:numId w:val="2"/>
        </w:numPr>
        <w:spacing w:line="600" w:lineRule="exact"/>
        <w:ind w:firstLine="660" w:firstLineChars="150"/>
        <w:jc w:val="center"/>
        <w:outlineLvl w:val="0"/>
        <w:rPr>
          <w:rStyle w:val="24"/>
          <w:rFonts w:ascii="黑体" w:hAnsi="黑体" w:eastAsia="黑体"/>
          <w:b w:val="0"/>
        </w:rPr>
      </w:pPr>
      <w:bookmarkStart w:id="83" w:name="_Toc15396613"/>
      <w:bookmarkStart w:id="84" w:name="_Toc49849563"/>
      <w:bookmarkStart w:id="85" w:name="_Toc15377225"/>
      <w:r>
        <w:rPr>
          <w:rFonts w:hint="eastAsia" w:ascii="黑体" w:hAnsi="黑体" w:eastAsia="黑体"/>
          <w:color w:val="000000"/>
          <w:sz w:val="44"/>
          <w:szCs w:val="44"/>
        </w:rPr>
        <w:t>名</w:t>
      </w:r>
      <w:r>
        <w:rPr>
          <w:rStyle w:val="24"/>
          <w:rFonts w:hint="eastAsia" w:ascii="黑体" w:hAnsi="黑体" w:eastAsia="黑体"/>
          <w:b w:val="0"/>
        </w:rPr>
        <w:t>词解释</w:t>
      </w:r>
      <w:bookmarkEnd w:id="83"/>
      <w:bookmarkEnd w:id="84"/>
      <w:bookmarkEnd w:id="85"/>
    </w:p>
    <w:p w14:paraId="121BA11F">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115CB375">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1BDB29D2">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4955174F">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14:paraId="1A06CF05">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5683834B">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6.年末结转和结余：指单位按有关规定结转到下年或以后年度继续使用的资金。</w:t>
      </w:r>
    </w:p>
    <w:p w14:paraId="40D8DA6C">
      <w:pPr>
        <w:spacing w:line="560" w:lineRule="exact"/>
        <w:ind w:firstLine="640" w:firstLineChars="200"/>
        <w:rPr>
          <w:rFonts w:eastAsia="仿宋_GB2312"/>
          <w:sz w:val="32"/>
          <w:szCs w:val="32"/>
        </w:rPr>
      </w:pPr>
      <w:r>
        <w:rPr>
          <w:rFonts w:hint="eastAsia" w:eastAsia="仿宋_GB2312"/>
          <w:sz w:val="32"/>
          <w:szCs w:val="32"/>
        </w:rPr>
        <w:t xml:space="preserve"> 7</w:t>
      </w:r>
      <w:r>
        <w:rPr>
          <w:rFonts w:eastAsia="仿宋_GB2312"/>
          <w:sz w:val="32"/>
          <w:szCs w:val="32"/>
        </w:rPr>
        <w:t>.社会保障和就业支出：指单位含下属部门用于基本养老保险缴费，职业年金缴费支出。</w:t>
      </w:r>
    </w:p>
    <w:p w14:paraId="1A924BDA">
      <w:pPr>
        <w:spacing w:line="560" w:lineRule="exact"/>
        <w:ind w:firstLine="640" w:firstLineChars="200"/>
        <w:rPr>
          <w:rFonts w:eastAsia="仿宋_GB2312"/>
          <w:sz w:val="32"/>
          <w:szCs w:val="32"/>
        </w:rPr>
      </w:pPr>
      <w:r>
        <w:rPr>
          <w:rFonts w:hint="eastAsia" w:eastAsia="仿宋_GB2312"/>
          <w:sz w:val="32"/>
          <w:szCs w:val="32"/>
        </w:rPr>
        <w:t xml:space="preserve"> 8</w:t>
      </w:r>
      <w:r>
        <w:rPr>
          <w:rFonts w:eastAsia="仿宋_GB2312"/>
          <w:sz w:val="32"/>
          <w:szCs w:val="32"/>
        </w:rPr>
        <w:t>.医疗卫生与计划生育支出：指单位含下属部门用于在职人员医疗保障缴费支出。</w:t>
      </w:r>
    </w:p>
    <w:p w14:paraId="795B7CB2">
      <w:pPr>
        <w:widowControl/>
        <w:shd w:val="clear" w:color="auto" w:fill="FFFFFF"/>
        <w:spacing w:line="560" w:lineRule="exact"/>
        <w:ind w:firstLine="200"/>
        <w:jc w:val="left"/>
        <w:rPr>
          <w:rFonts w:eastAsia="微软雅黑"/>
          <w:color w:val="333333"/>
          <w:sz w:val="27"/>
          <w:szCs w:val="27"/>
        </w:rPr>
      </w:pPr>
      <w:r>
        <w:rPr>
          <w:rFonts w:hint="eastAsia" w:eastAsia="仿宋_GB2312"/>
          <w:color w:val="333333"/>
          <w:kern w:val="0"/>
          <w:sz w:val="32"/>
          <w:szCs w:val="32"/>
          <w:shd w:val="clear" w:color="auto" w:fill="FFFFFF"/>
        </w:rPr>
        <w:t xml:space="preserve">    9</w:t>
      </w:r>
      <w:r>
        <w:rPr>
          <w:rFonts w:eastAsia="仿宋_GB2312"/>
          <w:color w:val="333333"/>
          <w:kern w:val="0"/>
          <w:sz w:val="32"/>
          <w:szCs w:val="32"/>
          <w:shd w:val="clear" w:color="auto" w:fill="FFFFFF"/>
        </w:rPr>
        <w:t>.住房保障支出：指单位含下属部门用于在职人员住房公积金缴存。</w:t>
      </w:r>
    </w:p>
    <w:p w14:paraId="3461698E">
      <w:pPr>
        <w:widowControl/>
        <w:shd w:val="clear" w:color="auto" w:fill="FFFFFF"/>
        <w:spacing w:line="560" w:lineRule="exact"/>
        <w:ind w:firstLine="200"/>
        <w:jc w:val="left"/>
        <w:rPr>
          <w:rFonts w:eastAsia="微软雅黑"/>
          <w:color w:val="333333"/>
          <w:sz w:val="27"/>
          <w:szCs w:val="27"/>
        </w:rPr>
      </w:pPr>
      <w:r>
        <w:rPr>
          <w:rFonts w:hint="eastAsia" w:eastAsia="仿宋_GB2312"/>
          <w:color w:val="333333"/>
          <w:kern w:val="0"/>
          <w:sz w:val="32"/>
          <w:szCs w:val="32"/>
          <w:shd w:val="clear" w:color="auto" w:fill="FFFFFF"/>
        </w:rPr>
        <w:t xml:space="preserve">    10</w:t>
      </w:r>
      <w:r>
        <w:rPr>
          <w:rFonts w:eastAsia="仿宋_GB2312"/>
          <w:color w:val="333333"/>
          <w:kern w:val="0"/>
          <w:sz w:val="32"/>
          <w:szCs w:val="32"/>
          <w:shd w:val="clear" w:color="auto" w:fill="FFFFFF"/>
        </w:rPr>
        <w:t>.基本支出：指为保障机构正常运转、完成日常工作任务而发生的人员支出和公用支出。</w:t>
      </w:r>
    </w:p>
    <w:p w14:paraId="3A371D46">
      <w:pPr>
        <w:widowControl/>
        <w:shd w:val="clear" w:color="auto" w:fill="FFFFFF"/>
        <w:spacing w:line="560" w:lineRule="exact"/>
        <w:ind w:firstLine="200"/>
        <w:jc w:val="left"/>
        <w:rPr>
          <w:rFonts w:eastAsia="仿宋_GB2312"/>
          <w:color w:val="333333"/>
          <w:kern w:val="0"/>
          <w:sz w:val="32"/>
          <w:szCs w:val="32"/>
          <w:shd w:val="clear" w:color="auto" w:fill="FFFFFF"/>
        </w:rPr>
      </w:pPr>
      <w:r>
        <w:rPr>
          <w:rFonts w:hint="eastAsia" w:eastAsia="仿宋_GB2312"/>
          <w:color w:val="333333"/>
          <w:kern w:val="0"/>
          <w:sz w:val="32"/>
          <w:szCs w:val="32"/>
          <w:shd w:val="clear" w:color="auto" w:fill="FFFFFF"/>
        </w:rPr>
        <w:t xml:space="preserve">    11</w:t>
      </w:r>
      <w:r>
        <w:rPr>
          <w:rFonts w:eastAsia="仿宋_GB2312"/>
          <w:color w:val="333333"/>
          <w:kern w:val="0"/>
          <w:sz w:val="32"/>
          <w:szCs w:val="32"/>
          <w:shd w:val="clear" w:color="auto" w:fill="FFFFFF"/>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AAC5DDA">
      <w:pPr>
        <w:widowControl/>
        <w:shd w:val="clear" w:color="auto" w:fill="FFFFFF"/>
        <w:spacing w:line="560" w:lineRule="exact"/>
        <w:ind w:firstLine="200"/>
        <w:jc w:val="left"/>
        <w:rPr>
          <w:rFonts w:eastAsia="仿宋_GB2312"/>
          <w:color w:val="333333"/>
          <w:kern w:val="0"/>
          <w:sz w:val="32"/>
          <w:szCs w:val="32"/>
          <w:shd w:val="clear" w:color="auto" w:fill="FFFFFF"/>
        </w:rPr>
      </w:pPr>
      <w:r>
        <w:rPr>
          <w:rFonts w:hint="eastAsia" w:eastAsia="仿宋_GB2312"/>
          <w:color w:val="333333"/>
          <w:kern w:val="0"/>
          <w:sz w:val="32"/>
          <w:szCs w:val="32"/>
          <w:shd w:val="clear" w:color="auto" w:fill="FFFFFF"/>
        </w:rPr>
        <w:t xml:space="preserve">    </w:t>
      </w:r>
      <w:r>
        <w:rPr>
          <w:rFonts w:hint="eastAsia" w:eastAsia="仿宋_GB2312"/>
          <w:sz w:val="32"/>
          <w:szCs w:val="32"/>
        </w:rPr>
        <w:t>12</w:t>
      </w:r>
      <w:r>
        <w:rPr>
          <w:rFonts w:eastAsia="仿宋_GB2312"/>
          <w:sz w:val="32"/>
          <w:szCs w:val="32"/>
        </w:rPr>
        <w:t>.人员经费：是指单位基本支出中用一般公共预算财政拨款安排的工资福利支出和对个人和家庭的补助。</w:t>
      </w:r>
    </w:p>
    <w:p w14:paraId="7AE9648A">
      <w:pPr>
        <w:spacing w:line="560" w:lineRule="exact"/>
        <w:ind w:firstLine="640" w:firstLineChars="200"/>
        <w:rPr>
          <w:rFonts w:eastAsia="仿宋_GB2312"/>
          <w:sz w:val="32"/>
          <w:szCs w:val="32"/>
        </w:rPr>
      </w:pPr>
      <w:r>
        <w:rPr>
          <w:rFonts w:hint="eastAsia" w:eastAsia="仿宋_GB2312"/>
          <w:sz w:val="32"/>
          <w:szCs w:val="32"/>
        </w:rPr>
        <w:t xml:space="preserve"> 13</w:t>
      </w:r>
      <w:r>
        <w:rPr>
          <w:rFonts w:eastAsia="仿宋_GB2312"/>
          <w:sz w:val="32"/>
          <w:szCs w:val="32"/>
        </w:rPr>
        <w:t>.日常公用经费：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w:t>
      </w:r>
    </w:p>
    <w:p w14:paraId="2C4B72A3">
      <w:pPr>
        <w:spacing w:line="560" w:lineRule="exact"/>
        <w:ind w:firstLine="640" w:firstLineChars="200"/>
        <w:rPr>
          <w:rFonts w:eastAsia="仿宋_GB2312"/>
          <w:sz w:val="32"/>
          <w:szCs w:val="32"/>
        </w:rPr>
      </w:pPr>
    </w:p>
    <w:p w14:paraId="11FAEDC0">
      <w:pPr>
        <w:spacing w:line="560" w:lineRule="exact"/>
        <w:ind w:firstLine="640" w:firstLineChars="200"/>
        <w:rPr>
          <w:rFonts w:eastAsia="仿宋_GB2312"/>
          <w:sz w:val="32"/>
          <w:szCs w:val="32"/>
        </w:rPr>
      </w:pPr>
    </w:p>
    <w:p w14:paraId="16356225">
      <w:pPr>
        <w:ind w:firstLine="640" w:firstLineChars="200"/>
        <w:rPr>
          <w:rFonts w:eastAsia="仿宋_GB2312"/>
          <w:sz w:val="32"/>
          <w:szCs w:val="32"/>
        </w:rPr>
      </w:pPr>
    </w:p>
    <w:p w14:paraId="0E8BC7F6">
      <w:pPr>
        <w:ind w:firstLine="640" w:firstLineChars="200"/>
        <w:rPr>
          <w:rFonts w:eastAsia="仿宋_GB2312"/>
          <w:sz w:val="32"/>
          <w:szCs w:val="32"/>
        </w:rPr>
      </w:pPr>
    </w:p>
    <w:p w14:paraId="0346BC82">
      <w:pPr>
        <w:ind w:firstLine="640" w:firstLineChars="200"/>
        <w:rPr>
          <w:rFonts w:eastAsia="仿宋_GB2312"/>
          <w:sz w:val="32"/>
          <w:szCs w:val="32"/>
        </w:rPr>
      </w:pPr>
    </w:p>
    <w:p w14:paraId="546AF4E3">
      <w:pPr>
        <w:ind w:firstLine="640" w:firstLineChars="200"/>
        <w:rPr>
          <w:rFonts w:eastAsia="仿宋_GB2312"/>
          <w:sz w:val="32"/>
          <w:szCs w:val="32"/>
        </w:rPr>
      </w:pPr>
    </w:p>
    <w:p w14:paraId="7036FEA7">
      <w:pPr>
        <w:ind w:firstLine="640" w:firstLineChars="200"/>
        <w:rPr>
          <w:rFonts w:eastAsia="仿宋_GB2312"/>
          <w:sz w:val="32"/>
          <w:szCs w:val="32"/>
        </w:rPr>
      </w:pPr>
    </w:p>
    <w:p w14:paraId="03355BB0">
      <w:pPr>
        <w:ind w:firstLine="640" w:firstLineChars="200"/>
        <w:rPr>
          <w:rFonts w:eastAsia="仿宋_GB2312"/>
          <w:sz w:val="32"/>
          <w:szCs w:val="32"/>
        </w:rPr>
      </w:pPr>
    </w:p>
    <w:p w14:paraId="66664BC2">
      <w:pPr>
        <w:ind w:firstLine="640" w:firstLineChars="200"/>
        <w:rPr>
          <w:rFonts w:eastAsia="仿宋_GB2312"/>
          <w:color w:val="333333"/>
          <w:kern w:val="0"/>
          <w:sz w:val="32"/>
          <w:szCs w:val="32"/>
          <w:shd w:val="clear" w:color="auto" w:fill="FFFFFF"/>
        </w:rPr>
      </w:pPr>
    </w:p>
    <w:p w14:paraId="23BE83A0">
      <w:pPr>
        <w:spacing w:line="600" w:lineRule="exact"/>
        <w:jc w:val="center"/>
        <w:outlineLvl w:val="0"/>
        <w:rPr>
          <w:rFonts w:ascii="黑体" w:hAnsi="黑体" w:eastAsia="黑体"/>
          <w:color w:val="000000"/>
          <w:sz w:val="44"/>
          <w:szCs w:val="44"/>
        </w:rPr>
      </w:pPr>
      <w:bookmarkStart w:id="86" w:name="_Toc15396614"/>
      <w:bookmarkStart w:id="87" w:name="_Toc49849564"/>
      <w:bookmarkStart w:id="88" w:name="_Toc15377226"/>
    </w:p>
    <w:p w14:paraId="107CCD81">
      <w:pPr>
        <w:spacing w:line="600" w:lineRule="exact"/>
        <w:jc w:val="center"/>
        <w:outlineLvl w:val="0"/>
        <w:rPr>
          <w:rFonts w:ascii="黑体" w:hAnsi="黑体" w:eastAsia="黑体"/>
          <w:color w:val="000000"/>
          <w:sz w:val="44"/>
          <w:szCs w:val="44"/>
        </w:rPr>
      </w:pPr>
    </w:p>
    <w:p w14:paraId="4AEE9529">
      <w:pPr>
        <w:spacing w:line="600" w:lineRule="exact"/>
        <w:jc w:val="center"/>
        <w:outlineLvl w:val="0"/>
        <w:rPr>
          <w:rFonts w:ascii="黑体" w:hAnsi="黑体" w:eastAsia="黑体"/>
          <w:color w:val="000000"/>
          <w:sz w:val="44"/>
          <w:szCs w:val="44"/>
        </w:rPr>
      </w:pPr>
    </w:p>
    <w:p w14:paraId="61A80AF9">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四部分 附件</w:t>
      </w:r>
      <w:bookmarkEnd w:id="86"/>
      <w:bookmarkEnd w:id="87"/>
    </w:p>
    <w:p w14:paraId="57E38AA7">
      <w:pPr>
        <w:pStyle w:val="3"/>
        <w:rPr>
          <w:rFonts w:ascii="方正小标宋简体" w:hAnsi="方正小标宋简体" w:eastAsia="方正小标宋简体" w:cs="方正小标宋简体"/>
        </w:rPr>
      </w:pPr>
      <w:bookmarkStart w:id="89" w:name="_Toc49849565"/>
      <w:r>
        <w:rPr>
          <w:rFonts w:hint="eastAsia" w:ascii="黑体" w:hAnsi="黑体" w:eastAsia="黑体" w:cs="黑体"/>
        </w:rPr>
        <w:t>附件1</w:t>
      </w:r>
      <w:bookmarkEnd w:id="89"/>
    </w:p>
    <w:p w14:paraId="6A3662DE">
      <w:pPr>
        <w:spacing w:line="580" w:lineRule="exact"/>
        <w:jc w:val="center"/>
        <w:rPr>
          <w:rFonts w:ascii="方正小标宋简体" w:hAnsi="方正小标宋简体" w:eastAsia="方正小标宋简体" w:cs="方正小标宋简体"/>
          <w:sz w:val="44"/>
          <w:szCs w:val="44"/>
        </w:rPr>
      </w:pPr>
    </w:p>
    <w:p w14:paraId="02DC7FA3">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米易生态环境局</w:t>
      </w:r>
      <w:r>
        <w:rPr>
          <w:rFonts w:hint="eastAsia" w:ascii="方正小标宋简体" w:hAnsi="宋体" w:eastAsia="方正小标宋简体"/>
          <w:color w:val="000000"/>
          <w:kern w:val="0"/>
          <w:sz w:val="40"/>
          <w:szCs w:val="44"/>
          <w:lang w:val="zh-CN"/>
        </w:rPr>
        <w:t>部门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14:paraId="36FA0036">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14:paraId="51D444CA">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749F370F">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18DBE2FC">
      <w:pPr>
        <w:widowControl/>
        <w:adjustRightInd w:val="0"/>
        <w:snapToGrid w:val="0"/>
        <w:spacing w:line="560" w:lineRule="exact"/>
        <w:ind w:firstLine="640" w:firstLineChars="200"/>
        <w:jc w:val="left"/>
        <w:rPr>
          <w:rFonts w:eastAsia="楷体_GB2312"/>
          <w:color w:val="000000"/>
          <w:kern w:val="0"/>
          <w:sz w:val="32"/>
          <w:szCs w:val="32"/>
          <w:lang w:val="zh-CN"/>
        </w:rPr>
      </w:pPr>
      <w:r>
        <w:rPr>
          <w:rFonts w:eastAsia="楷体_GB2312"/>
          <w:color w:val="000000"/>
          <w:kern w:val="0"/>
          <w:sz w:val="32"/>
          <w:szCs w:val="32"/>
          <w:lang w:val="zh-CN"/>
        </w:rPr>
        <w:t>（一）机构组成</w:t>
      </w:r>
    </w:p>
    <w:p w14:paraId="44CB2E7D">
      <w:pPr>
        <w:spacing w:line="560" w:lineRule="exact"/>
        <w:ind w:firstLine="800" w:firstLineChars="250"/>
        <w:rPr>
          <w:rFonts w:ascii="仿宋" w:hAnsi="仿宋" w:eastAsia="仿宋"/>
          <w:sz w:val="32"/>
          <w:szCs w:val="32"/>
        </w:rPr>
      </w:pPr>
      <w:r>
        <w:rPr>
          <w:rFonts w:hint="eastAsia" w:eastAsia="仿宋_GB2312"/>
          <w:sz w:val="32"/>
          <w:szCs w:val="32"/>
        </w:rPr>
        <w:t>根据《攀枝花市机构改革方案》（攀委发〔2019〕2号）和《攀枝花市生态环境局职能配置、内设机构和人员编制规定》（攀委办〔2019〕31号），</w:t>
      </w:r>
      <w:r>
        <w:rPr>
          <w:rFonts w:eastAsia="仿宋_GB2312"/>
          <w:sz w:val="32"/>
          <w:szCs w:val="32"/>
        </w:rPr>
        <w:t>设立</w:t>
      </w:r>
      <w:r>
        <w:rPr>
          <w:rFonts w:hint="eastAsia" w:eastAsia="仿宋_GB2312"/>
          <w:sz w:val="32"/>
          <w:szCs w:val="32"/>
        </w:rPr>
        <w:t>攀枝花市米易生态环境局</w:t>
      </w:r>
      <w:r>
        <w:rPr>
          <w:rFonts w:eastAsia="仿宋_GB2312"/>
          <w:sz w:val="32"/>
          <w:szCs w:val="32"/>
        </w:rPr>
        <w:t>局（简称</w:t>
      </w:r>
      <w:r>
        <w:rPr>
          <w:rFonts w:hint="eastAsia" w:eastAsia="仿宋_GB2312"/>
          <w:sz w:val="32"/>
          <w:szCs w:val="32"/>
        </w:rPr>
        <w:t>米易生态环境</w:t>
      </w:r>
      <w:r>
        <w:rPr>
          <w:rFonts w:eastAsia="仿宋_GB2312"/>
          <w:sz w:val="32"/>
          <w:szCs w:val="32"/>
        </w:rPr>
        <w:t>局），</w:t>
      </w:r>
      <w:r>
        <w:rPr>
          <w:rFonts w:hint="eastAsia" w:eastAsia="仿宋_GB2312"/>
          <w:sz w:val="32"/>
          <w:szCs w:val="32"/>
        </w:rPr>
        <w:t>是攀枝花市生态环境局的派出机构，负责攀枝花市米易县行政区域内的生态环境工作</w:t>
      </w:r>
      <w:r>
        <w:rPr>
          <w:rFonts w:eastAsia="仿宋_GB2312"/>
          <w:sz w:val="32"/>
          <w:szCs w:val="32"/>
        </w:rPr>
        <w:t>。</w:t>
      </w:r>
      <w:r>
        <w:rPr>
          <w:rFonts w:eastAsia="仿宋_GB2312"/>
          <w:color w:val="333333"/>
          <w:kern w:val="0"/>
          <w:sz w:val="32"/>
          <w:szCs w:val="32"/>
          <w:shd w:val="clear" w:color="auto" w:fill="FFFFFF"/>
        </w:rPr>
        <w:t>内设办公室、综合股</w:t>
      </w:r>
      <w:r>
        <w:rPr>
          <w:rFonts w:hint="eastAsia" w:eastAsia="仿宋_GB2312"/>
          <w:color w:val="333333"/>
          <w:kern w:val="0"/>
          <w:sz w:val="32"/>
          <w:szCs w:val="32"/>
          <w:shd w:val="clear" w:color="auto" w:fill="FFFFFF"/>
        </w:rPr>
        <w:t>业务股</w:t>
      </w:r>
      <w:r>
        <w:rPr>
          <w:rFonts w:eastAsia="仿宋_GB2312"/>
          <w:color w:val="333333"/>
          <w:kern w:val="0"/>
          <w:sz w:val="32"/>
          <w:szCs w:val="32"/>
          <w:shd w:val="clear" w:color="auto" w:fill="FFFFFF"/>
        </w:rPr>
        <w:t>、</w:t>
      </w:r>
      <w:r>
        <w:rPr>
          <w:rFonts w:hint="eastAsia" w:eastAsia="仿宋_GB2312"/>
          <w:color w:val="333333"/>
          <w:kern w:val="0"/>
          <w:sz w:val="32"/>
          <w:szCs w:val="32"/>
          <w:shd w:val="clear" w:color="auto" w:fill="FFFFFF"/>
        </w:rPr>
        <w:t>污染防治股</w:t>
      </w:r>
      <w:r>
        <w:rPr>
          <w:rFonts w:eastAsia="仿宋_GB2312"/>
          <w:color w:val="333333"/>
          <w:kern w:val="0"/>
          <w:sz w:val="32"/>
          <w:szCs w:val="32"/>
          <w:shd w:val="clear" w:color="auto" w:fill="FFFFFF"/>
        </w:rPr>
        <w:t>，</w:t>
      </w:r>
      <w:r>
        <w:rPr>
          <w:rFonts w:hint="eastAsia" w:eastAsia="仿宋_GB2312"/>
          <w:sz w:val="32"/>
          <w:szCs w:val="32"/>
        </w:rPr>
        <w:t>攀枝花市米易生态环境局</w:t>
      </w:r>
      <w:r>
        <w:rPr>
          <w:rFonts w:eastAsia="仿宋_GB2312"/>
          <w:sz w:val="32"/>
          <w:szCs w:val="32"/>
        </w:rPr>
        <w:t>行政单位1个，参照公务员法管理的事业单位1个，其他事业单位1个。</w:t>
      </w:r>
    </w:p>
    <w:p w14:paraId="274D457C">
      <w:pPr>
        <w:spacing w:line="560" w:lineRule="exact"/>
        <w:ind w:firstLine="640" w:firstLineChars="200"/>
        <w:rPr>
          <w:rFonts w:eastAsia="楷体_GB2312"/>
          <w:color w:val="000000"/>
          <w:kern w:val="0"/>
          <w:sz w:val="32"/>
          <w:szCs w:val="32"/>
          <w:lang w:val="zh-CN"/>
        </w:rPr>
      </w:pPr>
      <w:r>
        <w:rPr>
          <w:rFonts w:eastAsia="楷体_GB2312"/>
          <w:color w:val="000000"/>
          <w:kern w:val="0"/>
          <w:sz w:val="32"/>
          <w:szCs w:val="32"/>
          <w:lang w:val="zh-CN"/>
        </w:rPr>
        <w:t>（二）机构职能</w:t>
      </w:r>
    </w:p>
    <w:p w14:paraId="2E41E7C5">
      <w:pPr>
        <w:spacing w:line="560" w:lineRule="exact"/>
        <w:ind w:firstLine="640" w:firstLineChars="200"/>
        <w:rPr>
          <w:rFonts w:eastAsia="仿宋_GB2312"/>
          <w:sz w:val="32"/>
          <w:szCs w:val="32"/>
        </w:rPr>
      </w:pPr>
      <w:r>
        <w:rPr>
          <w:rFonts w:eastAsia="仿宋_GB2312"/>
          <w:sz w:val="32"/>
          <w:szCs w:val="32"/>
        </w:rPr>
        <w:t>1.负责建立健全并执行各项生态环境基本制度。贯彻执行国家、省、市有关法律、法规、规章和政策，会同有关部门拟订并组织实施区域内生态环境政策、规划。组织编制环境功能区划，会同有关部门编制并监督实施重点区域、流域、饮用水水源地生态环境规划和水功能区划，参与制定与区域内生态环境相关的经济、技术、资源配置和产业政策。参与拟订并贯彻执行区域内主体功能区划。</w:t>
      </w:r>
    </w:p>
    <w:p w14:paraId="4C61E089">
      <w:pPr>
        <w:spacing w:line="560" w:lineRule="exact"/>
        <w:ind w:firstLine="640" w:firstLineChars="200"/>
        <w:rPr>
          <w:rFonts w:eastAsia="仿宋_GB2312"/>
          <w:sz w:val="32"/>
          <w:szCs w:val="32"/>
        </w:rPr>
      </w:pPr>
      <w:r>
        <w:rPr>
          <w:rFonts w:eastAsia="仿宋_GB2312"/>
          <w:sz w:val="32"/>
          <w:szCs w:val="32"/>
        </w:rPr>
        <w:t>2.负责区域内较大及以下生态环境问题的统筹协调和监督管理。牵头协调区域内较大及以下突发生态环境事件和生态破坏事件的调查处理，指导协调区域内生态环境事件的应急、预警工作，参与实施生态环境损害赔偿制度，协调解决有关跨区域环境污染纠纷。统筹协调区域内生态环境保护工作。</w:t>
      </w:r>
    </w:p>
    <w:p w14:paraId="6825275F">
      <w:pPr>
        <w:spacing w:line="560" w:lineRule="exact"/>
        <w:ind w:firstLine="640" w:firstLineChars="200"/>
        <w:rPr>
          <w:rFonts w:eastAsia="仿宋_GB2312"/>
          <w:sz w:val="32"/>
          <w:szCs w:val="32"/>
        </w:rPr>
      </w:pPr>
      <w:r>
        <w:rPr>
          <w:rFonts w:eastAsia="仿宋_GB2312"/>
          <w:sz w:val="32"/>
          <w:szCs w:val="32"/>
        </w:rPr>
        <w:t>3.负责监督管理区域内减排目标的落实。组织实施区域内各类污染物排放总量控制和排污许可证制度，提出实施总量控制的污染物控制指标，督查、督办、核查污染物减排任务完成情况。实施生态环境目标责任制</w:t>
      </w:r>
      <w:r>
        <w:rPr>
          <w:rFonts w:hint="eastAsia" w:eastAsia="仿宋_GB2312"/>
          <w:sz w:val="32"/>
          <w:szCs w:val="32"/>
        </w:rPr>
        <w:t>等</w:t>
      </w:r>
      <w:r>
        <w:rPr>
          <w:rFonts w:eastAsia="仿宋_GB2312"/>
          <w:sz w:val="32"/>
          <w:szCs w:val="32"/>
        </w:rPr>
        <w:t>。</w:t>
      </w:r>
    </w:p>
    <w:p w14:paraId="1F2CFB8F">
      <w:pPr>
        <w:widowControl/>
        <w:spacing w:line="560" w:lineRule="exact"/>
        <w:ind w:firstLine="640" w:firstLineChars="200"/>
        <w:jc w:val="left"/>
        <w:rPr>
          <w:rFonts w:eastAsia="楷体_GB2312"/>
          <w:color w:val="000000"/>
          <w:kern w:val="0"/>
          <w:sz w:val="32"/>
          <w:szCs w:val="32"/>
          <w:lang w:val="zh-CN"/>
        </w:rPr>
      </w:pPr>
      <w:r>
        <w:rPr>
          <w:rFonts w:eastAsia="楷体_GB2312"/>
          <w:color w:val="000000"/>
          <w:kern w:val="0"/>
          <w:sz w:val="32"/>
          <w:szCs w:val="32"/>
          <w:lang w:val="zh-CN"/>
        </w:rPr>
        <w:t>（三）人员概况</w:t>
      </w:r>
    </w:p>
    <w:p w14:paraId="00ACF7B2">
      <w:pPr>
        <w:widowControl/>
        <w:spacing w:line="560" w:lineRule="exact"/>
        <w:ind w:firstLine="640" w:firstLineChars="200"/>
        <w:jc w:val="left"/>
        <w:rPr>
          <w:rFonts w:eastAsia="仿宋_GB2312"/>
          <w:sz w:val="32"/>
          <w:szCs w:val="32"/>
        </w:rPr>
      </w:pPr>
      <w:r>
        <w:rPr>
          <w:rFonts w:eastAsia="仿宋_GB2312"/>
          <w:sz w:val="32"/>
          <w:szCs w:val="32"/>
        </w:rPr>
        <w:t>有行政编制6名，</w:t>
      </w:r>
      <w:r>
        <w:rPr>
          <w:rFonts w:eastAsia="仿宋_GB2312"/>
          <w:color w:val="333333"/>
          <w:kern w:val="0"/>
          <w:sz w:val="32"/>
          <w:szCs w:val="32"/>
          <w:shd w:val="clear" w:color="auto" w:fill="FFFFFF"/>
        </w:rPr>
        <w:t>实有公务员</w:t>
      </w:r>
      <w:r>
        <w:rPr>
          <w:rFonts w:hint="eastAsia" w:eastAsia="仿宋_GB2312"/>
          <w:color w:val="333333"/>
          <w:kern w:val="0"/>
          <w:sz w:val="32"/>
          <w:szCs w:val="32"/>
          <w:shd w:val="clear" w:color="auto" w:fill="FFFFFF"/>
        </w:rPr>
        <w:t>4</w:t>
      </w:r>
      <w:r>
        <w:rPr>
          <w:rFonts w:eastAsia="仿宋_GB2312"/>
          <w:color w:val="333333"/>
          <w:kern w:val="0"/>
          <w:sz w:val="32"/>
          <w:szCs w:val="32"/>
          <w:shd w:val="clear" w:color="auto" w:fill="FFFFFF"/>
        </w:rPr>
        <w:t>名，</w:t>
      </w:r>
      <w:r>
        <w:rPr>
          <w:rFonts w:eastAsia="仿宋_GB2312"/>
          <w:sz w:val="32"/>
          <w:szCs w:val="32"/>
        </w:rPr>
        <w:t>工勤编制1名，实有工勤人员1人</w:t>
      </w:r>
      <w:r>
        <w:rPr>
          <w:rFonts w:hint="eastAsia" w:eastAsia="仿宋_GB2312"/>
          <w:sz w:val="32"/>
          <w:szCs w:val="32"/>
        </w:rPr>
        <w:t>（2019年8月退休）</w:t>
      </w:r>
      <w:r>
        <w:rPr>
          <w:rFonts w:eastAsia="仿宋_GB2312"/>
          <w:sz w:val="32"/>
          <w:szCs w:val="32"/>
        </w:rPr>
        <w:t>，</w:t>
      </w:r>
      <w:r>
        <w:rPr>
          <w:rFonts w:eastAsia="仿宋_GB2312"/>
          <w:color w:val="333333"/>
          <w:kern w:val="0"/>
          <w:sz w:val="32"/>
          <w:szCs w:val="32"/>
          <w:shd w:val="clear" w:color="auto" w:fill="FFFFFF"/>
        </w:rPr>
        <w:t>参公管理</w:t>
      </w:r>
      <w:r>
        <w:rPr>
          <w:rFonts w:eastAsia="仿宋_GB2312"/>
          <w:sz w:val="32"/>
          <w:szCs w:val="32"/>
        </w:rPr>
        <w:t>编制12</w:t>
      </w:r>
      <w:r>
        <w:rPr>
          <w:rFonts w:eastAsia="仿宋_GB2312"/>
          <w:color w:val="333333"/>
          <w:kern w:val="0"/>
          <w:sz w:val="32"/>
          <w:szCs w:val="32"/>
          <w:shd w:val="clear" w:color="auto" w:fill="FFFFFF"/>
        </w:rPr>
        <w:t>人，</w:t>
      </w:r>
      <w:r>
        <w:rPr>
          <w:rFonts w:eastAsia="仿宋_GB2312"/>
          <w:sz w:val="32"/>
          <w:szCs w:val="32"/>
        </w:rPr>
        <w:t>实有</w:t>
      </w:r>
      <w:r>
        <w:rPr>
          <w:rFonts w:hint="eastAsia" w:eastAsia="仿宋_GB2312"/>
          <w:sz w:val="32"/>
          <w:szCs w:val="32"/>
        </w:rPr>
        <w:t>9</w:t>
      </w:r>
      <w:r>
        <w:rPr>
          <w:rFonts w:eastAsia="仿宋_GB2312"/>
          <w:sz w:val="32"/>
          <w:szCs w:val="32"/>
        </w:rPr>
        <w:t>人，</w:t>
      </w:r>
      <w:r>
        <w:rPr>
          <w:rFonts w:eastAsia="仿宋_GB2312"/>
          <w:color w:val="333333"/>
          <w:kern w:val="0"/>
          <w:sz w:val="32"/>
          <w:szCs w:val="32"/>
          <w:shd w:val="clear" w:color="auto" w:fill="FFFFFF"/>
        </w:rPr>
        <w:t>事业人员</w:t>
      </w:r>
      <w:r>
        <w:rPr>
          <w:rFonts w:eastAsia="仿宋_GB2312"/>
          <w:sz w:val="32"/>
          <w:szCs w:val="32"/>
        </w:rPr>
        <w:t>编制</w:t>
      </w:r>
      <w:r>
        <w:rPr>
          <w:rFonts w:hint="eastAsia" w:eastAsia="仿宋_GB2312"/>
          <w:sz w:val="32"/>
          <w:szCs w:val="32"/>
        </w:rPr>
        <w:t>20</w:t>
      </w:r>
      <w:r>
        <w:rPr>
          <w:rFonts w:eastAsia="仿宋_GB2312"/>
          <w:sz w:val="32"/>
          <w:szCs w:val="32"/>
        </w:rPr>
        <w:t>人，实有</w:t>
      </w:r>
      <w:r>
        <w:rPr>
          <w:rFonts w:eastAsia="仿宋_GB2312"/>
          <w:color w:val="333333"/>
          <w:kern w:val="0"/>
          <w:sz w:val="32"/>
          <w:szCs w:val="32"/>
          <w:shd w:val="clear" w:color="auto" w:fill="FFFFFF"/>
        </w:rPr>
        <w:t>1</w:t>
      </w:r>
      <w:r>
        <w:rPr>
          <w:rFonts w:hint="eastAsia" w:eastAsia="仿宋_GB2312"/>
          <w:color w:val="333333"/>
          <w:kern w:val="0"/>
          <w:sz w:val="32"/>
          <w:szCs w:val="32"/>
          <w:shd w:val="clear" w:color="auto" w:fill="FFFFFF"/>
        </w:rPr>
        <w:t>8</w:t>
      </w:r>
      <w:r>
        <w:rPr>
          <w:rFonts w:eastAsia="仿宋_GB2312"/>
          <w:color w:val="333333"/>
          <w:kern w:val="0"/>
          <w:sz w:val="32"/>
          <w:szCs w:val="32"/>
          <w:shd w:val="clear" w:color="auto" w:fill="FFFFFF"/>
        </w:rPr>
        <w:t>人，薪聘人员1人。</w:t>
      </w:r>
    </w:p>
    <w:p w14:paraId="3217FACE">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7F978212">
      <w:pPr>
        <w:widowControl/>
        <w:adjustRightInd w:val="0"/>
        <w:snapToGrid w:val="0"/>
        <w:spacing w:line="560" w:lineRule="exact"/>
        <w:ind w:firstLine="640" w:firstLineChars="200"/>
        <w:contextualSpacing/>
        <w:jc w:val="left"/>
        <w:rPr>
          <w:rFonts w:ascii="楷体_GB2312" w:hAnsi="宋体" w:eastAsia="楷体_GB2312" w:cs="宋体"/>
          <w:color w:val="000000"/>
          <w:kern w:val="0"/>
          <w:sz w:val="32"/>
          <w:szCs w:val="32"/>
          <w:shd w:val="clear" w:color="auto" w:fill="FFFFFF"/>
          <w:lang w:val="zh-CN"/>
        </w:rPr>
      </w:pPr>
      <w:r>
        <w:rPr>
          <w:rFonts w:hint="eastAsia" w:ascii="楷体_GB2312" w:hAnsi="宋体" w:eastAsia="楷体_GB2312" w:cs="宋体"/>
          <w:color w:val="000000"/>
          <w:kern w:val="0"/>
          <w:sz w:val="32"/>
          <w:szCs w:val="32"/>
          <w:shd w:val="clear" w:color="auto" w:fill="FFFFFF"/>
          <w:lang w:val="zh-CN"/>
        </w:rPr>
        <w:t>（一）部门财政资金收入情况</w:t>
      </w:r>
    </w:p>
    <w:p w14:paraId="0F5771E9">
      <w:pPr>
        <w:spacing w:line="560" w:lineRule="exact"/>
        <w:rPr>
          <w:rFonts w:eastAsia="仿宋_GB2312"/>
          <w:sz w:val="32"/>
          <w:szCs w:val="32"/>
        </w:rPr>
      </w:pPr>
      <w:r>
        <w:rPr>
          <w:rFonts w:hint="eastAsia" w:eastAsia="仿宋_GB2312"/>
          <w:sz w:val="32"/>
          <w:szCs w:val="32"/>
        </w:rPr>
        <w:t xml:space="preserve">    </w:t>
      </w:r>
      <w:r>
        <w:rPr>
          <w:rFonts w:eastAsia="仿宋_GB2312"/>
          <w:sz w:val="32"/>
          <w:szCs w:val="32"/>
        </w:rPr>
        <w:t>2019年度年初结转和结余286.57万元，本年收入合计921.52万元，其中：一般公共预算财政拨款收入632.52万元；其他收入289万元。</w:t>
      </w:r>
    </w:p>
    <w:p w14:paraId="14A531F3">
      <w:pPr>
        <w:widowControl/>
        <w:adjustRightInd w:val="0"/>
        <w:snapToGrid w:val="0"/>
        <w:spacing w:line="560" w:lineRule="exact"/>
        <w:ind w:firstLine="640" w:firstLineChars="200"/>
        <w:contextualSpacing/>
        <w:jc w:val="left"/>
        <w:rPr>
          <w:rFonts w:ascii="楷体_GB2312" w:hAnsi="宋体" w:eastAsia="楷体_GB2312" w:cs="宋体"/>
          <w:color w:val="000000"/>
          <w:kern w:val="0"/>
          <w:sz w:val="32"/>
          <w:szCs w:val="32"/>
          <w:shd w:val="clear" w:color="auto" w:fill="FFFFFF"/>
          <w:lang w:val="zh-CN"/>
        </w:rPr>
      </w:pPr>
      <w:r>
        <w:rPr>
          <w:rFonts w:hint="eastAsia" w:ascii="楷体_GB2312" w:hAnsi="宋体" w:eastAsia="楷体_GB2312" w:cs="宋体"/>
          <w:color w:val="000000"/>
          <w:kern w:val="0"/>
          <w:sz w:val="32"/>
          <w:szCs w:val="32"/>
          <w:shd w:val="clear" w:color="auto" w:fill="FFFFFF"/>
          <w:lang w:val="zh-CN"/>
        </w:rPr>
        <w:t>（二）部门财政资金支出情况</w:t>
      </w:r>
    </w:p>
    <w:p w14:paraId="1578E2C1">
      <w:pPr>
        <w:spacing w:line="560" w:lineRule="exact"/>
        <w:rPr>
          <w:rFonts w:eastAsia="仿宋_GB2312"/>
          <w:color w:val="000000"/>
          <w:sz w:val="32"/>
          <w:szCs w:val="32"/>
        </w:rPr>
      </w:pPr>
      <w:r>
        <w:rPr>
          <w:rFonts w:hint="eastAsia" w:eastAsia="仿宋_GB2312"/>
          <w:color w:val="000000"/>
          <w:sz w:val="32"/>
          <w:szCs w:val="32"/>
        </w:rPr>
        <w:t xml:space="preserve">    2019年度本年支出合计1,048.4万元，其中：基本支出569.4万元；项目支出479万元。</w:t>
      </w:r>
    </w:p>
    <w:p w14:paraId="2BA79569">
      <w:pPr>
        <w:spacing w:line="560" w:lineRule="exac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 xml:space="preserve">    三、部门整体预算绩效管理情况</w:t>
      </w:r>
    </w:p>
    <w:p w14:paraId="3C18C899">
      <w:pPr>
        <w:widowControl/>
        <w:adjustRightInd w:val="0"/>
        <w:snapToGrid w:val="0"/>
        <w:spacing w:line="560" w:lineRule="exact"/>
        <w:ind w:firstLine="640" w:firstLineChars="200"/>
        <w:contextualSpacing/>
        <w:jc w:val="left"/>
        <w:rPr>
          <w:rFonts w:ascii="楷体_GB2312" w:hAnsi="宋体" w:eastAsia="楷体_GB2312" w:cs="宋体"/>
          <w:color w:val="000000"/>
          <w:kern w:val="0"/>
          <w:sz w:val="32"/>
          <w:szCs w:val="32"/>
          <w:shd w:val="clear" w:color="auto" w:fill="FFFFFF"/>
          <w:lang w:val="zh-CN"/>
        </w:rPr>
      </w:pPr>
      <w:r>
        <w:rPr>
          <w:rFonts w:hint="eastAsia" w:ascii="楷体_GB2312" w:hAnsi="宋体" w:eastAsia="楷体_GB2312" w:cs="宋体"/>
          <w:color w:val="000000"/>
          <w:kern w:val="0"/>
          <w:sz w:val="32"/>
          <w:szCs w:val="32"/>
          <w:shd w:val="clear" w:color="auto" w:fill="FFFFFF"/>
          <w:lang w:val="zh-CN"/>
        </w:rPr>
        <w:t>（一）部门预算管理</w:t>
      </w:r>
    </w:p>
    <w:p w14:paraId="38BCA51C">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14:paraId="6FCBDC08">
      <w:pPr>
        <w:widowControl/>
        <w:adjustRightInd w:val="0"/>
        <w:snapToGrid w:val="0"/>
        <w:spacing w:line="560" w:lineRule="exact"/>
        <w:ind w:firstLine="640" w:firstLineChars="200"/>
        <w:jc w:val="left"/>
        <w:rPr>
          <w:rFonts w:ascii="楷体_GB2312" w:eastAsia="楷体_GB2312"/>
          <w:color w:val="000000"/>
          <w:kern w:val="0"/>
          <w:sz w:val="32"/>
          <w:szCs w:val="32"/>
          <w:lang w:val="zh-CN"/>
        </w:rPr>
      </w:pPr>
      <w:r>
        <w:rPr>
          <w:rFonts w:ascii="楷体_GB2312" w:eastAsia="楷体_GB2312"/>
          <w:color w:val="000000"/>
          <w:kern w:val="0"/>
          <w:sz w:val="32"/>
          <w:szCs w:val="32"/>
          <w:lang w:val="zh-CN"/>
        </w:rPr>
        <w:t>（</w:t>
      </w:r>
      <w:r>
        <w:rPr>
          <w:rFonts w:hint="eastAsia" w:ascii="楷体_GB2312" w:eastAsia="楷体_GB2312"/>
          <w:color w:val="000000"/>
          <w:kern w:val="0"/>
          <w:sz w:val="32"/>
          <w:szCs w:val="32"/>
          <w:lang w:val="zh-CN"/>
        </w:rPr>
        <w:t>二</w:t>
      </w:r>
      <w:r>
        <w:rPr>
          <w:rFonts w:ascii="楷体_GB2312" w:eastAsia="楷体_GB2312"/>
          <w:color w:val="000000"/>
          <w:kern w:val="0"/>
          <w:sz w:val="32"/>
          <w:szCs w:val="32"/>
          <w:lang w:val="zh-CN"/>
        </w:rPr>
        <w:t>）预算编制情况</w:t>
      </w:r>
    </w:p>
    <w:p w14:paraId="1FB4B0C6">
      <w:pPr>
        <w:spacing w:line="560" w:lineRule="exact"/>
        <w:ind w:firstLine="640" w:firstLineChars="200"/>
        <w:rPr>
          <w:rFonts w:eastAsia="仿宋_GB2312"/>
          <w:sz w:val="32"/>
          <w:szCs w:val="32"/>
        </w:rPr>
      </w:pPr>
      <w:r>
        <w:rPr>
          <w:rFonts w:eastAsia="仿宋_GB2312"/>
          <w:sz w:val="32"/>
          <w:szCs w:val="32"/>
        </w:rPr>
        <w:t>201</w:t>
      </w:r>
      <w:r>
        <w:rPr>
          <w:rFonts w:hint="eastAsia" w:eastAsia="仿宋_GB2312"/>
          <w:sz w:val="32"/>
          <w:szCs w:val="32"/>
        </w:rPr>
        <w:t>9</w:t>
      </w:r>
      <w:r>
        <w:rPr>
          <w:rFonts w:eastAsia="仿宋_GB2312"/>
          <w:sz w:val="32"/>
          <w:szCs w:val="32"/>
        </w:rPr>
        <w:t>年初，严格按照县财政局预算编制要求,根据《预算法》及《米易县201</w:t>
      </w:r>
      <w:r>
        <w:rPr>
          <w:rFonts w:hint="eastAsia" w:eastAsia="仿宋_GB2312"/>
          <w:sz w:val="32"/>
          <w:szCs w:val="32"/>
        </w:rPr>
        <w:t>9</w:t>
      </w:r>
      <w:r>
        <w:rPr>
          <w:rFonts w:eastAsia="仿宋_GB2312"/>
          <w:sz w:val="32"/>
          <w:szCs w:val="32"/>
        </w:rPr>
        <w:t>年县本级部门预算编制方法和口径》，基本支出预算按照“人员经费按标准、公用经费按定额”的方法编制，结合我局实际和工作计划，认真开展预算编制工作，人员经费预算按照人社局审核的工资进行编制，日常公用经费预算按照编制标准以及人数编制，切实做到数据完整和准确无误。对项目支出的预算，采用零基预算方法编制。按时完成了基础信息报送工作。对符合纳入部门预算编制的项目支出，进行了充分论证和可行性分析，细化项目支出用途，明确支出范围，并附了相关预算依据及证明材料。并及时提交预算草案，在预算执行中有追加（减），及时调整预算。</w:t>
      </w:r>
    </w:p>
    <w:p w14:paraId="4EAA8A81">
      <w:pPr>
        <w:widowControl/>
        <w:adjustRightInd w:val="0"/>
        <w:snapToGrid w:val="0"/>
        <w:spacing w:line="560" w:lineRule="exact"/>
        <w:ind w:firstLine="640" w:firstLineChars="200"/>
        <w:jc w:val="left"/>
        <w:rPr>
          <w:rFonts w:ascii="楷体_GB2312" w:eastAsia="楷体_GB2312"/>
          <w:color w:val="000000"/>
          <w:kern w:val="0"/>
          <w:sz w:val="32"/>
          <w:szCs w:val="32"/>
          <w:lang w:val="zh-CN"/>
        </w:rPr>
      </w:pPr>
      <w:r>
        <w:rPr>
          <w:rFonts w:ascii="楷体_GB2312" w:eastAsia="楷体_GB2312"/>
          <w:color w:val="000000"/>
          <w:kern w:val="0"/>
          <w:sz w:val="32"/>
          <w:szCs w:val="32"/>
          <w:lang w:val="zh-CN"/>
        </w:rPr>
        <w:t>（</w:t>
      </w:r>
      <w:r>
        <w:rPr>
          <w:rFonts w:hint="eastAsia" w:ascii="楷体_GB2312" w:eastAsia="楷体_GB2312"/>
          <w:color w:val="000000"/>
          <w:kern w:val="0"/>
          <w:sz w:val="32"/>
          <w:szCs w:val="32"/>
          <w:lang w:val="zh-CN"/>
        </w:rPr>
        <w:t>三</w:t>
      </w:r>
      <w:r>
        <w:rPr>
          <w:rFonts w:ascii="楷体_GB2312" w:eastAsia="楷体_GB2312"/>
          <w:color w:val="000000"/>
          <w:kern w:val="0"/>
          <w:sz w:val="32"/>
          <w:szCs w:val="32"/>
          <w:lang w:val="zh-CN"/>
        </w:rPr>
        <w:t>）执行管理情况</w:t>
      </w:r>
    </w:p>
    <w:p w14:paraId="719E906F">
      <w:pPr>
        <w:spacing w:line="560" w:lineRule="exact"/>
        <w:rPr>
          <w:rFonts w:eastAsia="仿宋_GB2312"/>
          <w:color w:val="000000"/>
          <w:sz w:val="32"/>
          <w:szCs w:val="32"/>
        </w:rPr>
      </w:pPr>
      <w:r>
        <w:rPr>
          <w:rFonts w:hint="eastAsia" w:eastAsia="仿宋_GB2312"/>
          <w:color w:val="000000"/>
          <w:sz w:val="32"/>
          <w:szCs w:val="32"/>
        </w:rPr>
        <w:t xml:space="preserve">    </w:t>
      </w:r>
      <w:r>
        <w:rPr>
          <w:rFonts w:eastAsia="仿宋_GB2312"/>
          <w:color w:val="000000"/>
          <w:sz w:val="32"/>
          <w:szCs w:val="32"/>
        </w:rPr>
        <w:t>2019</w:t>
      </w:r>
      <w:r>
        <w:rPr>
          <w:rFonts w:hint="eastAsia" w:eastAsia="仿宋_GB2312"/>
          <w:color w:val="000000"/>
          <w:sz w:val="32"/>
          <w:szCs w:val="32"/>
        </w:rPr>
        <w:t>年度总</w:t>
      </w:r>
      <w:r>
        <w:rPr>
          <w:rFonts w:eastAsia="仿宋_GB2312"/>
          <w:color w:val="000000"/>
          <w:sz w:val="32"/>
          <w:szCs w:val="32"/>
        </w:rPr>
        <w:t>支出</w:t>
      </w:r>
      <w:r>
        <w:rPr>
          <w:rFonts w:hint="eastAsia" w:eastAsia="仿宋_GB2312"/>
          <w:color w:val="000000"/>
          <w:sz w:val="32"/>
          <w:szCs w:val="32"/>
        </w:rPr>
        <w:t>1048.4</w:t>
      </w:r>
      <w:r>
        <w:rPr>
          <w:rFonts w:eastAsia="仿宋_GB2312"/>
          <w:color w:val="000000"/>
          <w:sz w:val="32"/>
          <w:szCs w:val="32"/>
        </w:rPr>
        <w:t>万元，主要用于以下方面:社会保障和就业支出46.65万元，</w:t>
      </w:r>
      <w:r>
        <w:rPr>
          <w:rFonts w:hint="eastAsia" w:eastAsia="仿宋_GB2312"/>
          <w:color w:val="000000"/>
          <w:sz w:val="32"/>
          <w:szCs w:val="32"/>
        </w:rPr>
        <w:t>完成预算100%</w:t>
      </w:r>
      <w:r>
        <w:rPr>
          <w:rFonts w:eastAsia="仿宋_GB2312"/>
          <w:color w:val="000000"/>
          <w:sz w:val="32"/>
          <w:szCs w:val="32"/>
        </w:rPr>
        <w:t>；节能环保支出</w:t>
      </w:r>
      <w:r>
        <w:rPr>
          <w:rFonts w:hint="eastAsia" w:eastAsia="仿宋_GB2312"/>
          <w:color w:val="000000"/>
          <w:sz w:val="32"/>
          <w:szCs w:val="32"/>
        </w:rPr>
        <w:t>923.87万元，完成预算117.4%</w:t>
      </w:r>
      <w:r>
        <w:rPr>
          <w:rFonts w:eastAsia="仿宋_GB2312"/>
          <w:color w:val="000000"/>
          <w:sz w:val="32"/>
          <w:szCs w:val="32"/>
        </w:rPr>
        <w:t>；</w:t>
      </w:r>
      <w:r>
        <w:rPr>
          <w:rFonts w:hint="eastAsia" w:eastAsia="仿宋_GB2312"/>
          <w:color w:val="000000"/>
          <w:sz w:val="32"/>
          <w:szCs w:val="32"/>
        </w:rPr>
        <w:t>卫生健康</w:t>
      </w:r>
      <w:r>
        <w:rPr>
          <w:rFonts w:eastAsia="仿宋_GB2312"/>
          <w:color w:val="000000"/>
          <w:sz w:val="32"/>
          <w:szCs w:val="32"/>
        </w:rPr>
        <w:t>支出29.81万元，</w:t>
      </w:r>
      <w:r>
        <w:rPr>
          <w:rFonts w:hint="eastAsia" w:eastAsia="仿宋_GB2312"/>
          <w:color w:val="000000"/>
          <w:sz w:val="32"/>
          <w:szCs w:val="32"/>
        </w:rPr>
        <w:t>完成预算100%</w:t>
      </w:r>
      <w:r>
        <w:rPr>
          <w:rFonts w:eastAsia="仿宋_GB2312"/>
          <w:color w:val="000000"/>
          <w:sz w:val="32"/>
          <w:szCs w:val="32"/>
        </w:rPr>
        <w:t>；住房保障支出48.07万元，</w:t>
      </w:r>
      <w:r>
        <w:rPr>
          <w:rFonts w:hint="eastAsia" w:eastAsia="仿宋_GB2312"/>
          <w:color w:val="000000"/>
          <w:sz w:val="32"/>
          <w:szCs w:val="32"/>
        </w:rPr>
        <w:t>完成预算100%</w:t>
      </w:r>
      <w:r>
        <w:rPr>
          <w:rFonts w:eastAsia="仿宋_GB2312"/>
          <w:color w:val="000000"/>
          <w:sz w:val="32"/>
          <w:szCs w:val="32"/>
        </w:rPr>
        <w:t>。</w:t>
      </w:r>
    </w:p>
    <w:p w14:paraId="7B3FF8E6">
      <w:pPr>
        <w:spacing w:line="560" w:lineRule="exact"/>
        <w:ind w:firstLine="640" w:firstLineChars="200"/>
        <w:rPr>
          <w:rFonts w:eastAsia="仿宋_GB2312"/>
          <w:sz w:val="32"/>
          <w:szCs w:val="32"/>
        </w:rPr>
      </w:pPr>
      <w:r>
        <w:rPr>
          <w:rFonts w:eastAsia="仿宋_GB2312"/>
          <w:sz w:val="32"/>
          <w:szCs w:val="32"/>
        </w:rPr>
        <w:t>我局严格按照预算执行，坚守“反对浪费，节约开支”的原则，专款专用，不挪用。</w:t>
      </w:r>
    </w:p>
    <w:p w14:paraId="438F8391">
      <w:pPr>
        <w:spacing w:line="560" w:lineRule="exact"/>
        <w:ind w:firstLine="640" w:firstLineChars="200"/>
        <w:rPr>
          <w:rFonts w:eastAsia="仿宋_GB2312"/>
          <w:sz w:val="32"/>
          <w:szCs w:val="32"/>
        </w:rPr>
      </w:pPr>
      <w:r>
        <w:rPr>
          <w:rFonts w:eastAsia="仿宋_GB2312"/>
          <w:sz w:val="32"/>
          <w:szCs w:val="32"/>
        </w:rPr>
        <w:t>基本支出，是用于保障</w:t>
      </w:r>
      <w:r>
        <w:rPr>
          <w:rFonts w:hint="eastAsia" w:eastAsia="仿宋_GB2312"/>
          <w:sz w:val="32"/>
          <w:szCs w:val="32"/>
        </w:rPr>
        <w:t>米易生态环境局</w:t>
      </w:r>
      <w:r>
        <w:rPr>
          <w:rFonts w:eastAsia="仿宋_GB2312"/>
          <w:sz w:val="32"/>
          <w:szCs w:val="32"/>
        </w:rPr>
        <w:t>机关、米易县环境监测站及</w:t>
      </w:r>
      <w:r>
        <w:rPr>
          <w:rFonts w:hint="eastAsia" w:eastAsia="仿宋_GB2312"/>
          <w:sz w:val="32"/>
          <w:szCs w:val="32"/>
        </w:rPr>
        <w:t>米易生态环境保护综合行政执法大队</w:t>
      </w:r>
      <w:r>
        <w:rPr>
          <w:rFonts w:eastAsia="仿宋_GB2312"/>
          <w:sz w:val="32"/>
          <w:szCs w:val="32"/>
        </w:rPr>
        <w:t>正常运转的日常支出，包括基本工资、津贴补贴等人员经费以及办公费、印刷费、水电费、办公设备购置等日常公用经费。</w:t>
      </w:r>
    </w:p>
    <w:p w14:paraId="2610FEDE">
      <w:pPr>
        <w:spacing w:line="560" w:lineRule="exact"/>
        <w:ind w:firstLine="640" w:firstLineChars="200"/>
        <w:rPr>
          <w:rFonts w:eastAsia="仿宋_GB2312"/>
          <w:sz w:val="32"/>
          <w:szCs w:val="32"/>
        </w:rPr>
      </w:pPr>
      <w:r>
        <w:rPr>
          <w:rFonts w:eastAsia="仿宋_GB2312"/>
          <w:sz w:val="32"/>
          <w:szCs w:val="32"/>
        </w:rPr>
        <w:t>项目支出，是用于保障</w:t>
      </w:r>
      <w:r>
        <w:rPr>
          <w:rFonts w:hint="eastAsia" w:eastAsia="仿宋_GB2312"/>
          <w:sz w:val="32"/>
          <w:szCs w:val="32"/>
        </w:rPr>
        <w:t>米易生态环境</w:t>
      </w:r>
      <w:r>
        <w:rPr>
          <w:rFonts w:eastAsia="仿宋_GB2312"/>
          <w:sz w:val="32"/>
          <w:szCs w:val="32"/>
        </w:rPr>
        <w:t>局机关、米易县环境监测站及</w:t>
      </w:r>
      <w:r>
        <w:rPr>
          <w:rFonts w:hint="eastAsia" w:eastAsia="仿宋_GB2312"/>
          <w:sz w:val="32"/>
          <w:szCs w:val="32"/>
        </w:rPr>
        <w:t>米易生态环境保护综合行政执法大队</w:t>
      </w:r>
      <w:r>
        <w:rPr>
          <w:rFonts w:eastAsia="仿宋_GB2312"/>
          <w:sz w:val="32"/>
          <w:szCs w:val="32"/>
        </w:rPr>
        <w:t>机构为完成特定的行政工作任务或事业发展目标，用于专项业务工作的经费支出。</w:t>
      </w:r>
    </w:p>
    <w:p w14:paraId="0B42BD01">
      <w:pPr>
        <w:spacing w:line="560" w:lineRule="exact"/>
        <w:ind w:firstLine="640" w:firstLineChars="200"/>
        <w:rPr>
          <w:rFonts w:eastAsia="仿宋_GB2312"/>
          <w:sz w:val="32"/>
          <w:szCs w:val="32"/>
        </w:rPr>
      </w:pPr>
      <w:r>
        <w:rPr>
          <w:rFonts w:eastAsia="仿宋_GB2312"/>
          <w:sz w:val="32"/>
          <w:szCs w:val="32"/>
        </w:rPr>
        <w:t>按照资金的用途，按照预算执行进度，及时拨付各项款项，保证了我局工作的日常运转，确保我局各项工作的圆满完成。</w:t>
      </w:r>
    </w:p>
    <w:p w14:paraId="5EED7F1C">
      <w:pPr>
        <w:widowControl/>
        <w:adjustRightInd w:val="0"/>
        <w:snapToGrid w:val="0"/>
        <w:spacing w:line="560" w:lineRule="exact"/>
        <w:ind w:firstLine="480" w:firstLineChars="150"/>
        <w:jc w:val="left"/>
        <w:rPr>
          <w:rFonts w:eastAsia="楷体_GB2312"/>
          <w:color w:val="000000"/>
          <w:kern w:val="0"/>
          <w:sz w:val="32"/>
          <w:szCs w:val="32"/>
          <w:lang w:val="zh-CN"/>
        </w:rPr>
      </w:pPr>
      <w:r>
        <w:rPr>
          <w:rFonts w:eastAsia="楷体_GB2312"/>
          <w:color w:val="000000"/>
          <w:kern w:val="0"/>
          <w:sz w:val="32"/>
          <w:szCs w:val="32"/>
          <w:lang w:val="zh-CN"/>
        </w:rPr>
        <w:t>（</w:t>
      </w:r>
      <w:r>
        <w:rPr>
          <w:rFonts w:hint="eastAsia" w:eastAsia="楷体_GB2312"/>
          <w:color w:val="000000"/>
          <w:kern w:val="0"/>
          <w:sz w:val="32"/>
          <w:szCs w:val="32"/>
          <w:lang w:val="zh-CN"/>
        </w:rPr>
        <w:t>四</w:t>
      </w:r>
      <w:r>
        <w:rPr>
          <w:rFonts w:eastAsia="楷体_GB2312"/>
          <w:color w:val="000000"/>
          <w:kern w:val="0"/>
          <w:sz w:val="32"/>
          <w:szCs w:val="32"/>
          <w:lang w:val="zh-CN"/>
        </w:rPr>
        <w:t>）决算编制情况</w:t>
      </w:r>
    </w:p>
    <w:p w14:paraId="72BC1DFE">
      <w:pPr>
        <w:spacing w:line="560" w:lineRule="exact"/>
        <w:ind w:firstLine="640" w:firstLineChars="200"/>
        <w:rPr>
          <w:rFonts w:eastAsia="仿宋_GB2312"/>
          <w:sz w:val="32"/>
          <w:szCs w:val="32"/>
        </w:rPr>
      </w:pPr>
      <w:r>
        <w:rPr>
          <w:rFonts w:eastAsia="仿宋_GB2312"/>
          <w:sz w:val="32"/>
          <w:szCs w:val="32"/>
        </w:rPr>
        <w:t>我局严格按照</w:t>
      </w:r>
      <w:r>
        <w:rPr>
          <w:rFonts w:hint="eastAsia" w:eastAsia="仿宋_GB2312"/>
          <w:sz w:val="32"/>
          <w:szCs w:val="32"/>
        </w:rPr>
        <w:t>2019</w:t>
      </w:r>
      <w:r>
        <w:rPr>
          <w:rFonts w:eastAsia="仿宋_GB2312"/>
          <w:sz w:val="32"/>
          <w:szCs w:val="32"/>
        </w:rPr>
        <w:t>年资金支出编制决算。</w:t>
      </w:r>
    </w:p>
    <w:p w14:paraId="4D6485CF">
      <w:pPr>
        <w:snapToGrid w:val="0"/>
        <w:spacing w:line="560" w:lineRule="exact"/>
        <w:ind w:firstLine="640" w:firstLineChars="200"/>
        <w:rPr>
          <w:rFonts w:eastAsia="仿宋_GB2312"/>
          <w:sz w:val="32"/>
          <w:szCs w:val="32"/>
        </w:rPr>
      </w:pPr>
      <w:r>
        <w:rPr>
          <w:rFonts w:eastAsia="仿宋_GB2312"/>
          <w:sz w:val="32"/>
          <w:szCs w:val="32"/>
        </w:rPr>
        <w:t>1、</w:t>
      </w:r>
      <w:r>
        <w:rPr>
          <w:rFonts w:hint="eastAsia" w:eastAsia="仿宋_GB2312"/>
          <w:sz w:val="32"/>
          <w:szCs w:val="32"/>
        </w:rPr>
        <w:t>2019</w:t>
      </w:r>
      <w:r>
        <w:rPr>
          <w:rFonts w:eastAsia="仿宋_GB2312"/>
          <w:sz w:val="32"/>
          <w:szCs w:val="32"/>
        </w:rPr>
        <w:t>年财政拨款收入</w:t>
      </w:r>
      <w:r>
        <w:rPr>
          <w:rFonts w:hint="eastAsia" w:eastAsia="仿宋_GB2312"/>
          <w:sz w:val="32"/>
          <w:szCs w:val="32"/>
        </w:rPr>
        <w:t>总计</w:t>
      </w:r>
      <w:r>
        <w:rPr>
          <w:rFonts w:eastAsia="仿宋_GB2312"/>
          <w:sz w:val="32"/>
          <w:szCs w:val="32"/>
        </w:rPr>
        <w:t>为</w:t>
      </w:r>
      <w:r>
        <w:rPr>
          <w:rFonts w:hint="eastAsia" w:eastAsia="仿宋_GB2312"/>
          <w:sz w:val="32"/>
          <w:szCs w:val="32"/>
        </w:rPr>
        <w:t>919.09万</w:t>
      </w:r>
      <w:r>
        <w:rPr>
          <w:rFonts w:eastAsia="仿宋_GB2312"/>
          <w:sz w:val="32"/>
          <w:szCs w:val="32"/>
        </w:rPr>
        <w:t>元，其中：机关事业单位基本养老保险缴费支出为</w:t>
      </w:r>
      <w:r>
        <w:rPr>
          <w:rFonts w:hint="eastAsia" w:eastAsia="仿宋_GB2312"/>
          <w:sz w:val="32"/>
          <w:szCs w:val="32"/>
        </w:rPr>
        <w:t>44.69万</w:t>
      </w:r>
      <w:r>
        <w:rPr>
          <w:rFonts w:eastAsia="仿宋_GB2312"/>
          <w:sz w:val="32"/>
          <w:szCs w:val="32"/>
        </w:rPr>
        <w:t>元，占总收入的</w:t>
      </w:r>
      <w:r>
        <w:rPr>
          <w:rFonts w:hint="eastAsia" w:eastAsia="仿宋_GB2312"/>
          <w:sz w:val="32"/>
          <w:szCs w:val="32"/>
        </w:rPr>
        <w:t>4.9</w:t>
      </w:r>
      <w:r>
        <w:rPr>
          <w:rFonts w:eastAsia="仿宋_GB2312"/>
          <w:sz w:val="32"/>
          <w:szCs w:val="32"/>
        </w:rPr>
        <w:t>%，行政运行</w:t>
      </w:r>
      <w:r>
        <w:rPr>
          <w:rFonts w:hint="eastAsia" w:eastAsia="仿宋_GB2312"/>
          <w:sz w:val="32"/>
          <w:szCs w:val="32"/>
        </w:rPr>
        <w:t>222.7万</w:t>
      </w:r>
      <w:r>
        <w:rPr>
          <w:rFonts w:eastAsia="仿宋_GB2312"/>
          <w:sz w:val="32"/>
          <w:szCs w:val="32"/>
        </w:rPr>
        <w:t>元，占总收入的</w:t>
      </w:r>
      <w:r>
        <w:rPr>
          <w:rFonts w:hint="eastAsia" w:eastAsia="仿宋_GB2312"/>
          <w:sz w:val="32"/>
          <w:szCs w:val="32"/>
        </w:rPr>
        <w:t>24.2</w:t>
      </w:r>
      <w:r>
        <w:rPr>
          <w:rFonts w:eastAsia="仿宋_GB2312"/>
          <w:sz w:val="32"/>
          <w:szCs w:val="32"/>
        </w:rPr>
        <w:t>%，机关服务</w:t>
      </w:r>
      <w:r>
        <w:rPr>
          <w:rFonts w:hint="eastAsia" w:eastAsia="仿宋_GB2312"/>
          <w:sz w:val="32"/>
          <w:szCs w:val="32"/>
        </w:rPr>
        <w:t>222.18万</w:t>
      </w:r>
      <w:r>
        <w:rPr>
          <w:rFonts w:eastAsia="仿宋_GB2312"/>
          <w:sz w:val="32"/>
          <w:szCs w:val="32"/>
        </w:rPr>
        <w:t>元，占总收入的</w:t>
      </w:r>
      <w:r>
        <w:rPr>
          <w:rFonts w:hint="eastAsia" w:eastAsia="仿宋_GB2312"/>
          <w:sz w:val="32"/>
          <w:szCs w:val="32"/>
        </w:rPr>
        <w:t>24.2</w:t>
      </w:r>
      <w:r>
        <w:rPr>
          <w:rFonts w:eastAsia="仿宋_GB2312"/>
          <w:sz w:val="32"/>
          <w:szCs w:val="32"/>
        </w:rPr>
        <w:t>%，住房公积金</w:t>
      </w:r>
      <w:r>
        <w:rPr>
          <w:rFonts w:hint="eastAsia" w:eastAsia="仿宋_GB2312"/>
          <w:sz w:val="32"/>
          <w:szCs w:val="32"/>
        </w:rPr>
        <w:t>48.07万</w:t>
      </w:r>
      <w:r>
        <w:rPr>
          <w:rFonts w:eastAsia="仿宋_GB2312"/>
          <w:sz w:val="32"/>
          <w:szCs w:val="32"/>
        </w:rPr>
        <w:t>元，占总收入的</w:t>
      </w:r>
      <w:r>
        <w:rPr>
          <w:rFonts w:hint="eastAsia" w:eastAsia="仿宋_GB2312"/>
          <w:sz w:val="32"/>
          <w:szCs w:val="32"/>
        </w:rPr>
        <w:t>5.2</w:t>
      </w:r>
      <w:r>
        <w:rPr>
          <w:rFonts w:eastAsia="仿宋_GB2312"/>
          <w:sz w:val="32"/>
          <w:szCs w:val="32"/>
        </w:rPr>
        <w:t>%，其他环境监测监察支出</w:t>
      </w:r>
      <w:r>
        <w:rPr>
          <w:rFonts w:hint="eastAsia" w:eastAsia="仿宋_GB2312"/>
          <w:sz w:val="32"/>
          <w:szCs w:val="32"/>
        </w:rPr>
        <w:t>30.79万</w:t>
      </w:r>
      <w:r>
        <w:rPr>
          <w:rFonts w:eastAsia="仿宋_GB2312"/>
          <w:sz w:val="32"/>
          <w:szCs w:val="32"/>
        </w:rPr>
        <w:t>元，占总收入的</w:t>
      </w:r>
      <w:r>
        <w:rPr>
          <w:rFonts w:hint="eastAsia" w:eastAsia="仿宋_GB2312"/>
          <w:sz w:val="32"/>
          <w:szCs w:val="32"/>
        </w:rPr>
        <w:t>3.4</w:t>
      </w:r>
      <w:r>
        <w:rPr>
          <w:rFonts w:eastAsia="仿宋_GB2312"/>
          <w:sz w:val="32"/>
          <w:szCs w:val="32"/>
        </w:rPr>
        <w:t>%,其他污染防治支出</w:t>
      </w:r>
      <w:r>
        <w:rPr>
          <w:rFonts w:hint="eastAsia" w:eastAsia="仿宋_GB2312"/>
          <w:sz w:val="32"/>
          <w:szCs w:val="32"/>
        </w:rPr>
        <w:t>97.20万</w:t>
      </w:r>
      <w:r>
        <w:rPr>
          <w:rFonts w:eastAsia="仿宋_GB2312"/>
          <w:sz w:val="32"/>
          <w:szCs w:val="32"/>
        </w:rPr>
        <w:t>元，占总收入的</w:t>
      </w:r>
      <w:r>
        <w:rPr>
          <w:rFonts w:hint="eastAsia" w:eastAsia="仿宋_GB2312"/>
          <w:sz w:val="32"/>
          <w:szCs w:val="32"/>
        </w:rPr>
        <w:t>10.6</w:t>
      </w:r>
      <w:r>
        <w:rPr>
          <w:rFonts w:eastAsia="仿宋_GB2312"/>
          <w:sz w:val="32"/>
          <w:szCs w:val="32"/>
        </w:rPr>
        <w:t>%，环境监测与信息支持</w:t>
      </w:r>
      <w:r>
        <w:rPr>
          <w:rFonts w:hint="eastAsia" w:eastAsia="仿宋_GB2312"/>
          <w:sz w:val="32"/>
          <w:szCs w:val="32"/>
        </w:rPr>
        <w:t>8.13万</w:t>
      </w:r>
      <w:r>
        <w:rPr>
          <w:rFonts w:eastAsia="仿宋_GB2312"/>
          <w:sz w:val="32"/>
          <w:szCs w:val="32"/>
        </w:rPr>
        <w:t>元，占总收入的</w:t>
      </w:r>
      <w:r>
        <w:rPr>
          <w:rFonts w:hint="eastAsia" w:eastAsia="仿宋_GB2312"/>
          <w:sz w:val="32"/>
          <w:szCs w:val="32"/>
        </w:rPr>
        <w:t>0.9</w:t>
      </w:r>
      <w:r>
        <w:rPr>
          <w:rFonts w:eastAsia="仿宋_GB2312"/>
          <w:sz w:val="32"/>
          <w:szCs w:val="32"/>
        </w:rPr>
        <w:t>%，</w:t>
      </w:r>
      <w:r>
        <w:rPr>
          <w:rFonts w:hint="eastAsia" w:eastAsia="仿宋_GB2312"/>
          <w:sz w:val="32"/>
          <w:szCs w:val="32"/>
        </w:rPr>
        <w:t>其他环境保护管理事务支出165.18万</w:t>
      </w:r>
      <w:r>
        <w:rPr>
          <w:rFonts w:eastAsia="仿宋_GB2312"/>
          <w:sz w:val="32"/>
          <w:szCs w:val="32"/>
        </w:rPr>
        <w:t>元,占总收入的</w:t>
      </w:r>
      <w:r>
        <w:rPr>
          <w:rFonts w:hint="eastAsia" w:eastAsia="仿宋_GB2312"/>
          <w:sz w:val="32"/>
          <w:szCs w:val="32"/>
        </w:rPr>
        <w:t>18.0</w:t>
      </w:r>
      <w:r>
        <w:rPr>
          <w:rFonts w:eastAsia="仿宋_GB2312"/>
          <w:sz w:val="32"/>
          <w:szCs w:val="32"/>
        </w:rPr>
        <w:t>%。</w:t>
      </w:r>
    </w:p>
    <w:p w14:paraId="454CE6A6">
      <w:pPr>
        <w:snapToGrid w:val="0"/>
        <w:spacing w:line="560" w:lineRule="exact"/>
        <w:ind w:firstLine="640" w:firstLineChars="200"/>
        <w:rPr>
          <w:rFonts w:eastAsia="仿宋_GB2312"/>
          <w:sz w:val="32"/>
          <w:szCs w:val="32"/>
        </w:rPr>
      </w:pPr>
      <w:r>
        <w:rPr>
          <w:rFonts w:eastAsia="仿宋_GB2312"/>
          <w:sz w:val="32"/>
          <w:szCs w:val="32"/>
        </w:rPr>
        <w:t>2、</w:t>
      </w:r>
      <w:r>
        <w:rPr>
          <w:rFonts w:hint="eastAsia" w:eastAsia="仿宋_GB2312"/>
          <w:sz w:val="32"/>
          <w:szCs w:val="32"/>
        </w:rPr>
        <w:t>2019</w:t>
      </w:r>
      <w:r>
        <w:rPr>
          <w:rFonts w:eastAsia="仿宋_GB2312"/>
          <w:sz w:val="32"/>
          <w:szCs w:val="32"/>
        </w:rPr>
        <w:t>年财政拨款支出为</w:t>
      </w:r>
      <w:r>
        <w:rPr>
          <w:rFonts w:hint="eastAsia" w:eastAsia="仿宋_GB2312"/>
          <w:sz w:val="32"/>
          <w:szCs w:val="32"/>
        </w:rPr>
        <w:t>870.70万</w:t>
      </w:r>
      <w:r>
        <w:rPr>
          <w:rFonts w:eastAsia="仿宋_GB2312"/>
          <w:sz w:val="32"/>
          <w:szCs w:val="32"/>
        </w:rPr>
        <w:t>元，其中：机关事业单位基本养老保险缴费支出为</w:t>
      </w:r>
      <w:r>
        <w:rPr>
          <w:rFonts w:hint="eastAsia" w:eastAsia="仿宋_GB2312"/>
          <w:sz w:val="32"/>
          <w:szCs w:val="32"/>
        </w:rPr>
        <w:t>44.69万</w:t>
      </w:r>
      <w:r>
        <w:rPr>
          <w:rFonts w:eastAsia="仿宋_GB2312"/>
          <w:sz w:val="32"/>
          <w:szCs w:val="32"/>
        </w:rPr>
        <w:t>元，占总支出的</w:t>
      </w:r>
      <w:r>
        <w:rPr>
          <w:rFonts w:hint="eastAsia" w:eastAsia="仿宋_GB2312"/>
          <w:sz w:val="32"/>
          <w:szCs w:val="32"/>
        </w:rPr>
        <w:t>5.1</w:t>
      </w:r>
      <w:r>
        <w:rPr>
          <w:rFonts w:eastAsia="仿宋_GB2312"/>
          <w:sz w:val="32"/>
          <w:szCs w:val="32"/>
        </w:rPr>
        <w:t>%，行政运行</w:t>
      </w:r>
      <w:r>
        <w:rPr>
          <w:rFonts w:hint="eastAsia" w:eastAsia="仿宋_GB2312"/>
          <w:sz w:val="32"/>
          <w:szCs w:val="32"/>
        </w:rPr>
        <w:t>222.7万</w:t>
      </w:r>
      <w:r>
        <w:rPr>
          <w:rFonts w:eastAsia="仿宋_GB2312"/>
          <w:sz w:val="32"/>
          <w:szCs w:val="32"/>
        </w:rPr>
        <w:t>元，占总支出的</w:t>
      </w:r>
      <w:r>
        <w:rPr>
          <w:rFonts w:hint="eastAsia" w:eastAsia="仿宋_GB2312"/>
          <w:sz w:val="32"/>
          <w:szCs w:val="32"/>
        </w:rPr>
        <w:t>25.6</w:t>
      </w:r>
      <w:r>
        <w:rPr>
          <w:rFonts w:eastAsia="仿宋_GB2312"/>
          <w:sz w:val="32"/>
          <w:szCs w:val="32"/>
        </w:rPr>
        <w:t>%，机关服务</w:t>
      </w:r>
      <w:r>
        <w:rPr>
          <w:rFonts w:hint="eastAsia" w:eastAsia="仿宋_GB2312"/>
          <w:sz w:val="32"/>
          <w:szCs w:val="32"/>
        </w:rPr>
        <w:t>222.18万</w:t>
      </w:r>
      <w:r>
        <w:rPr>
          <w:rFonts w:eastAsia="仿宋_GB2312"/>
          <w:sz w:val="32"/>
          <w:szCs w:val="32"/>
        </w:rPr>
        <w:t>元，占总支出的</w:t>
      </w:r>
      <w:r>
        <w:rPr>
          <w:rFonts w:hint="eastAsia" w:eastAsia="仿宋_GB2312"/>
          <w:sz w:val="32"/>
          <w:szCs w:val="32"/>
        </w:rPr>
        <w:t>225.5</w:t>
      </w:r>
      <w:r>
        <w:rPr>
          <w:rFonts w:eastAsia="仿宋_GB2312"/>
          <w:sz w:val="32"/>
          <w:szCs w:val="32"/>
        </w:rPr>
        <w:t>%，住房公积金</w:t>
      </w:r>
      <w:r>
        <w:rPr>
          <w:rFonts w:hint="eastAsia" w:eastAsia="仿宋_GB2312"/>
          <w:sz w:val="32"/>
          <w:szCs w:val="32"/>
        </w:rPr>
        <w:t>48.07万</w:t>
      </w:r>
      <w:r>
        <w:rPr>
          <w:rFonts w:eastAsia="仿宋_GB2312"/>
          <w:sz w:val="32"/>
          <w:szCs w:val="32"/>
        </w:rPr>
        <w:t>元，占总支出的</w:t>
      </w:r>
      <w:r>
        <w:rPr>
          <w:rFonts w:hint="eastAsia" w:eastAsia="仿宋_GB2312"/>
          <w:sz w:val="32"/>
          <w:szCs w:val="32"/>
        </w:rPr>
        <w:t>5.5</w:t>
      </w:r>
      <w:r>
        <w:rPr>
          <w:rFonts w:eastAsia="仿宋_GB2312"/>
          <w:sz w:val="32"/>
          <w:szCs w:val="32"/>
        </w:rPr>
        <w:t>%,其他环境监测监察支出</w:t>
      </w:r>
      <w:r>
        <w:rPr>
          <w:rFonts w:hint="eastAsia" w:eastAsia="仿宋_GB2312"/>
          <w:sz w:val="32"/>
          <w:szCs w:val="32"/>
        </w:rPr>
        <w:t>30.79万</w:t>
      </w:r>
      <w:r>
        <w:rPr>
          <w:rFonts w:eastAsia="仿宋_GB2312"/>
          <w:sz w:val="32"/>
          <w:szCs w:val="32"/>
        </w:rPr>
        <w:t>元，占总支出的</w:t>
      </w:r>
      <w:r>
        <w:rPr>
          <w:rFonts w:hint="eastAsia" w:eastAsia="仿宋_GB2312"/>
          <w:sz w:val="32"/>
          <w:szCs w:val="32"/>
        </w:rPr>
        <w:t>3.5</w:t>
      </w:r>
      <w:r>
        <w:rPr>
          <w:rFonts w:eastAsia="仿宋_GB2312"/>
          <w:sz w:val="32"/>
          <w:szCs w:val="32"/>
        </w:rPr>
        <w:t>%,其他污染防治支出</w:t>
      </w:r>
      <w:r>
        <w:rPr>
          <w:rFonts w:hint="eastAsia" w:eastAsia="仿宋_GB2312"/>
          <w:sz w:val="32"/>
          <w:szCs w:val="32"/>
        </w:rPr>
        <w:t>97.20万</w:t>
      </w:r>
      <w:r>
        <w:rPr>
          <w:rFonts w:eastAsia="仿宋_GB2312"/>
          <w:sz w:val="32"/>
          <w:szCs w:val="32"/>
        </w:rPr>
        <w:t>元，占总支出的</w:t>
      </w:r>
      <w:r>
        <w:rPr>
          <w:rFonts w:hint="eastAsia" w:eastAsia="仿宋_GB2312"/>
          <w:sz w:val="32"/>
          <w:szCs w:val="32"/>
        </w:rPr>
        <w:t>11.2</w:t>
      </w:r>
      <w:r>
        <w:rPr>
          <w:rFonts w:eastAsia="仿宋_GB2312"/>
          <w:sz w:val="32"/>
          <w:szCs w:val="32"/>
        </w:rPr>
        <w:t>%，环境监测与信息支持</w:t>
      </w:r>
      <w:r>
        <w:rPr>
          <w:rFonts w:hint="eastAsia" w:eastAsia="仿宋_GB2312"/>
          <w:sz w:val="32"/>
          <w:szCs w:val="32"/>
        </w:rPr>
        <w:t>8.13万</w:t>
      </w:r>
      <w:r>
        <w:rPr>
          <w:rFonts w:eastAsia="仿宋_GB2312"/>
          <w:sz w:val="32"/>
          <w:szCs w:val="32"/>
        </w:rPr>
        <w:t>元，占总支出的</w:t>
      </w:r>
      <w:r>
        <w:rPr>
          <w:rFonts w:hint="eastAsia" w:eastAsia="仿宋_GB2312"/>
          <w:sz w:val="32"/>
          <w:szCs w:val="32"/>
        </w:rPr>
        <w:t>1.0</w:t>
      </w:r>
      <w:r>
        <w:rPr>
          <w:rFonts w:eastAsia="仿宋_GB2312"/>
          <w:sz w:val="32"/>
          <w:szCs w:val="32"/>
        </w:rPr>
        <w:t>%，</w:t>
      </w:r>
      <w:r>
        <w:rPr>
          <w:rFonts w:hint="eastAsia" w:eastAsia="仿宋_GB2312"/>
          <w:sz w:val="32"/>
          <w:szCs w:val="32"/>
        </w:rPr>
        <w:t>其他环境保护管理事务支出165.18万</w:t>
      </w:r>
      <w:r>
        <w:rPr>
          <w:rFonts w:eastAsia="仿宋_GB2312"/>
          <w:sz w:val="32"/>
          <w:szCs w:val="32"/>
        </w:rPr>
        <w:t>元,占总支出的</w:t>
      </w:r>
      <w:r>
        <w:rPr>
          <w:rFonts w:hint="eastAsia" w:eastAsia="仿宋_GB2312"/>
          <w:sz w:val="32"/>
          <w:szCs w:val="32"/>
        </w:rPr>
        <w:t>19.0</w:t>
      </w:r>
      <w:r>
        <w:rPr>
          <w:rFonts w:eastAsia="仿宋_GB2312"/>
          <w:sz w:val="32"/>
          <w:szCs w:val="32"/>
        </w:rPr>
        <w:t>%。</w:t>
      </w:r>
    </w:p>
    <w:p w14:paraId="2A1121D2">
      <w:pPr>
        <w:snapToGrid w:val="0"/>
        <w:spacing w:line="560" w:lineRule="exact"/>
        <w:ind w:firstLine="640" w:firstLineChars="200"/>
        <w:rPr>
          <w:rFonts w:eastAsia="仿宋_GB2312"/>
          <w:sz w:val="32"/>
          <w:szCs w:val="32"/>
        </w:rPr>
      </w:pPr>
      <w:r>
        <w:rPr>
          <w:rFonts w:eastAsia="仿宋_GB2312"/>
          <w:sz w:val="32"/>
          <w:szCs w:val="32"/>
        </w:rPr>
        <w:t>3</w:t>
      </w:r>
      <w:r>
        <w:rPr>
          <w:rFonts w:hint="eastAsia" w:eastAsia="仿宋_GB2312"/>
          <w:sz w:val="32"/>
          <w:szCs w:val="32"/>
        </w:rPr>
        <w:t>、</w:t>
      </w:r>
      <w:r>
        <w:rPr>
          <w:rFonts w:eastAsia="仿宋_GB2312"/>
          <w:sz w:val="32"/>
          <w:szCs w:val="32"/>
        </w:rPr>
        <w:t>“三公”经费支出情况：</w:t>
      </w:r>
      <w:r>
        <w:rPr>
          <w:rFonts w:eastAsia="仿宋_GB2312"/>
          <w:color w:val="000000"/>
          <w:sz w:val="32"/>
          <w:szCs w:val="32"/>
        </w:rPr>
        <w:t>2019年“三公”经费财政拨款支出决算</w:t>
      </w:r>
      <w:r>
        <w:rPr>
          <w:rFonts w:hint="eastAsia" w:eastAsia="仿宋_GB2312"/>
          <w:color w:val="000000"/>
          <w:sz w:val="32"/>
          <w:szCs w:val="32"/>
        </w:rPr>
        <w:t>数为11.53万元</w:t>
      </w:r>
      <w:r>
        <w:rPr>
          <w:rFonts w:eastAsia="仿宋_GB2312"/>
          <w:color w:val="000000"/>
          <w:sz w:val="32"/>
          <w:szCs w:val="32"/>
        </w:rPr>
        <w:t>，</w:t>
      </w:r>
      <w:r>
        <w:rPr>
          <w:rFonts w:hint="eastAsia" w:eastAsia="仿宋_GB2312"/>
          <w:color w:val="000000"/>
          <w:sz w:val="32"/>
          <w:szCs w:val="32"/>
        </w:rPr>
        <w:t>其中</w:t>
      </w:r>
      <w:r>
        <w:rPr>
          <w:rFonts w:eastAsia="仿宋_GB2312"/>
          <w:color w:val="000000"/>
          <w:sz w:val="32"/>
          <w:szCs w:val="32"/>
        </w:rPr>
        <w:t>因公出国（境）费支出决算0万元，占0%；公务用车购置及运行维护费支出决算7.53万元，占65.3%；公务接待费支出决算4万元，占34.7%。</w:t>
      </w:r>
    </w:p>
    <w:p w14:paraId="440FBD07">
      <w:pPr>
        <w:widowControl/>
        <w:adjustRightInd w:val="0"/>
        <w:snapToGrid w:val="0"/>
        <w:spacing w:line="560" w:lineRule="exact"/>
        <w:ind w:firstLine="480" w:firstLineChars="150"/>
        <w:jc w:val="left"/>
        <w:rPr>
          <w:rFonts w:ascii="楷体_GB2312" w:eastAsia="楷体_GB2312"/>
          <w:color w:val="000000"/>
          <w:kern w:val="0"/>
          <w:sz w:val="32"/>
          <w:szCs w:val="32"/>
          <w:lang w:val="zh-CN"/>
        </w:rPr>
      </w:pPr>
      <w:r>
        <w:rPr>
          <w:rFonts w:ascii="楷体_GB2312" w:eastAsia="楷体_GB2312"/>
          <w:color w:val="000000"/>
          <w:kern w:val="0"/>
          <w:sz w:val="32"/>
          <w:szCs w:val="32"/>
          <w:lang w:val="zh-CN"/>
        </w:rPr>
        <w:t>（</w:t>
      </w:r>
      <w:r>
        <w:rPr>
          <w:rFonts w:hint="eastAsia" w:ascii="楷体_GB2312" w:eastAsia="楷体_GB2312"/>
          <w:color w:val="000000"/>
          <w:kern w:val="0"/>
          <w:sz w:val="32"/>
          <w:szCs w:val="32"/>
          <w:lang w:val="zh-CN"/>
        </w:rPr>
        <w:t>五</w:t>
      </w:r>
      <w:r>
        <w:rPr>
          <w:rFonts w:ascii="楷体_GB2312" w:eastAsia="楷体_GB2312"/>
          <w:color w:val="000000"/>
          <w:kern w:val="0"/>
          <w:sz w:val="32"/>
          <w:szCs w:val="32"/>
          <w:lang w:val="zh-CN"/>
        </w:rPr>
        <w:t>）支出绩效情况</w:t>
      </w:r>
    </w:p>
    <w:p w14:paraId="320DB709">
      <w:pPr>
        <w:spacing w:line="560" w:lineRule="exact"/>
        <w:ind w:firstLine="627" w:firstLineChars="196"/>
        <w:jc w:val="left"/>
        <w:rPr>
          <w:rFonts w:eastAsia="仿宋_GB2312"/>
          <w:sz w:val="32"/>
          <w:szCs w:val="32"/>
        </w:rPr>
      </w:pPr>
      <w:r>
        <w:rPr>
          <w:rFonts w:eastAsia="仿宋_GB2312"/>
          <w:sz w:val="32"/>
          <w:szCs w:val="32"/>
        </w:rPr>
        <w:t>201</w:t>
      </w:r>
      <w:r>
        <w:rPr>
          <w:rFonts w:hint="eastAsia" w:eastAsia="仿宋_GB2312"/>
          <w:sz w:val="32"/>
          <w:szCs w:val="32"/>
        </w:rPr>
        <w:t>9</w:t>
      </w:r>
      <w:r>
        <w:rPr>
          <w:rFonts w:eastAsia="仿宋_GB2312"/>
          <w:sz w:val="32"/>
          <w:szCs w:val="32"/>
        </w:rPr>
        <w:t>年6月基本支出执行进度为49%，9月支出执行进度为75%，11月支出执行进度为91%，12月支出执行进度为100%；项目支出按进度拨付。</w:t>
      </w:r>
    </w:p>
    <w:p w14:paraId="575D12B4">
      <w:pPr>
        <w:spacing w:line="560" w:lineRule="exact"/>
        <w:ind w:firstLine="640" w:firstLineChars="200"/>
        <w:rPr>
          <w:rFonts w:eastAsia="仿宋_GB2312"/>
          <w:sz w:val="32"/>
          <w:szCs w:val="32"/>
        </w:rPr>
      </w:pPr>
      <w:r>
        <w:rPr>
          <w:rFonts w:eastAsia="仿宋_GB2312"/>
          <w:sz w:val="32"/>
          <w:szCs w:val="32"/>
        </w:rPr>
        <w:t>我局在经费支出安排上，全面保障机关正常运转，首先保障工资福利支出，其次为各股室、</w:t>
      </w:r>
      <w:r>
        <w:rPr>
          <w:rFonts w:hint="eastAsia" w:eastAsia="仿宋_GB2312"/>
          <w:sz w:val="32"/>
          <w:szCs w:val="32"/>
        </w:rPr>
        <w:t>站、</w:t>
      </w:r>
      <w:r>
        <w:rPr>
          <w:rFonts w:eastAsia="仿宋_GB2312"/>
          <w:sz w:val="32"/>
          <w:szCs w:val="32"/>
        </w:rPr>
        <w:t>队的工作开展做好后勤保障，并自觉接受财政监督检查,严格遵守各项财经纪律，加强单位的财务管理，制定了财务监督管理相关制度，加强预算编制和执行，统一全局财务收支管理，规范管理、节约和发挥每笔经费的最大效应，确保每年财政预算使用收支平衡，保证了工作的正常开展和目标任务的完成。</w:t>
      </w:r>
    </w:p>
    <w:p w14:paraId="071DBD2B">
      <w:pPr>
        <w:spacing w:line="560" w:lineRule="exact"/>
        <w:ind w:firstLine="640" w:firstLineChars="200"/>
        <w:rPr>
          <w:rFonts w:eastAsia="仿宋_GB2312"/>
          <w:sz w:val="32"/>
          <w:szCs w:val="32"/>
        </w:rPr>
      </w:pPr>
      <w:r>
        <w:rPr>
          <w:rFonts w:eastAsia="仿宋_GB2312"/>
          <w:sz w:val="32"/>
          <w:szCs w:val="32"/>
        </w:rPr>
        <w:t>我局认真执行中央八项规定、省、市十项规定,严格管控三公经费的支出，并先后根据单位实际情况制定了《米易</w:t>
      </w:r>
      <w:r>
        <w:rPr>
          <w:rFonts w:hint="eastAsia" w:eastAsia="仿宋_GB2312"/>
          <w:sz w:val="32"/>
          <w:szCs w:val="32"/>
        </w:rPr>
        <w:t>生态环境</w:t>
      </w:r>
      <w:r>
        <w:rPr>
          <w:rFonts w:eastAsia="仿宋_GB2312"/>
          <w:sz w:val="32"/>
          <w:szCs w:val="32"/>
        </w:rPr>
        <w:t>局内部控制制度》、《车辆维修保养管理规定》、《公务接待、工作用餐、公务出差等审批制度》等，建立和完善财务收支审批制度、会计人员岗位责任制度等各项内部控制管理制度，相关人员在工作过程中严格遵守规章制度，有效地实施了内部监督和控制，保证了会计工作的真实性、完整性以及单位财产的安全，加强了对本单位财产物资的监督和管理，杜绝了各种漏洞的发生，会计监督到位，经济运行透明，经济责任得以明确和落实。在规定的时间范围内，及时在米易县公众信息网中公开本单位的预、决算信息，自觉接受广大人民群众的监督。</w:t>
      </w:r>
    </w:p>
    <w:p w14:paraId="189822A4">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5B8BB52B">
      <w:pPr>
        <w:spacing w:line="560" w:lineRule="exact"/>
        <w:ind w:firstLine="640" w:firstLineChars="200"/>
        <w:rPr>
          <w:rFonts w:eastAsia="楷体_GB2312"/>
          <w:sz w:val="32"/>
          <w:szCs w:val="32"/>
        </w:rPr>
      </w:pPr>
      <w:r>
        <w:rPr>
          <w:rFonts w:eastAsia="楷体_GB2312"/>
          <w:sz w:val="32"/>
          <w:szCs w:val="32"/>
        </w:rPr>
        <w:t>（一）评价结论</w:t>
      </w:r>
    </w:p>
    <w:p w14:paraId="04899B8F">
      <w:pPr>
        <w:spacing w:line="560" w:lineRule="exact"/>
        <w:ind w:firstLine="640" w:firstLineChars="200"/>
        <w:rPr>
          <w:rFonts w:eastAsia="仿宋_GB2312"/>
          <w:sz w:val="32"/>
          <w:szCs w:val="32"/>
        </w:rPr>
      </w:pPr>
      <w:r>
        <w:rPr>
          <w:rFonts w:eastAsia="仿宋_GB2312"/>
          <w:sz w:val="32"/>
          <w:szCs w:val="32"/>
        </w:rPr>
        <w:t>综上所述，不管是在资金预算编制方面，还是预算执行、支出绩效方面，都按相关规定严格执行，并合理安排支出，使财政资金发挥最大的效益。所以我局总体评价为优。其中在预算编制方面得分25分，预算执行方面得分32分，支出绩效自评得分38分，合计总得分95分。</w:t>
      </w:r>
    </w:p>
    <w:p w14:paraId="6554E7A8">
      <w:pPr>
        <w:spacing w:line="560" w:lineRule="exact"/>
        <w:ind w:firstLine="640" w:firstLineChars="200"/>
        <w:rPr>
          <w:rFonts w:eastAsia="楷体_GB2312"/>
          <w:sz w:val="32"/>
          <w:szCs w:val="32"/>
        </w:rPr>
      </w:pPr>
      <w:r>
        <w:rPr>
          <w:rFonts w:eastAsia="楷体_GB2312"/>
          <w:sz w:val="32"/>
          <w:szCs w:val="32"/>
        </w:rPr>
        <w:t>（二）存在的问题</w:t>
      </w:r>
    </w:p>
    <w:p w14:paraId="658539C5">
      <w:pPr>
        <w:spacing w:line="560" w:lineRule="exact"/>
        <w:ind w:firstLine="640" w:firstLineChars="200"/>
        <w:rPr>
          <w:rFonts w:eastAsia="仿宋_GB2312"/>
          <w:sz w:val="32"/>
          <w:szCs w:val="32"/>
        </w:rPr>
      </w:pPr>
      <w:r>
        <w:rPr>
          <w:rFonts w:eastAsia="仿宋_GB2312"/>
          <w:sz w:val="32"/>
          <w:szCs w:val="32"/>
        </w:rPr>
        <w:t>1.由于</w:t>
      </w:r>
      <w:r>
        <w:rPr>
          <w:rFonts w:hint="eastAsia" w:eastAsia="仿宋_GB2312"/>
          <w:color w:val="434343"/>
          <w:sz w:val="32"/>
          <w:szCs w:val="32"/>
        </w:rPr>
        <w:t>生态环境</w:t>
      </w:r>
      <w:r>
        <w:rPr>
          <w:rFonts w:eastAsia="仿宋_GB2312"/>
          <w:color w:val="434343"/>
          <w:sz w:val="32"/>
          <w:szCs w:val="32"/>
        </w:rPr>
        <w:t>专项工作增加，造成</w:t>
      </w:r>
      <w:r>
        <w:rPr>
          <w:rFonts w:eastAsia="仿宋_GB2312"/>
          <w:sz w:val="32"/>
          <w:szCs w:val="32"/>
        </w:rPr>
        <w:t>年初预算编制预见性不高，</w:t>
      </w:r>
      <w:r>
        <w:rPr>
          <w:rFonts w:eastAsia="仿宋_GB2312"/>
          <w:color w:val="434343"/>
          <w:sz w:val="32"/>
          <w:szCs w:val="32"/>
        </w:rPr>
        <w:t>导致年内预算追加，预算编制的合理性有待进一步提高。</w:t>
      </w:r>
    </w:p>
    <w:p w14:paraId="21958AD4">
      <w:pPr>
        <w:spacing w:line="560" w:lineRule="exact"/>
        <w:ind w:firstLine="640" w:firstLineChars="200"/>
        <w:rPr>
          <w:rFonts w:eastAsia="仿宋_GB2312"/>
          <w:sz w:val="32"/>
          <w:szCs w:val="32"/>
        </w:rPr>
      </w:pPr>
      <w:r>
        <w:rPr>
          <w:rFonts w:eastAsia="仿宋_GB2312"/>
          <w:color w:val="434343"/>
          <w:sz w:val="32"/>
          <w:szCs w:val="32"/>
        </w:rPr>
        <w:t>2.公用经费支出管理尚需完善。公用经费的核算有待进一步加强，在核算过程中部分支出难以区分公用经费与项目经费，费用使用中存在使用界限不清现象。</w:t>
      </w:r>
    </w:p>
    <w:p w14:paraId="3C46ACA3">
      <w:pPr>
        <w:spacing w:line="560" w:lineRule="exact"/>
        <w:ind w:firstLine="640" w:firstLineChars="200"/>
        <w:rPr>
          <w:rFonts w:eastAsia="楷体_GB2312"/>
          <w:sz w:val="32"/>
          <w:szCs w:val="32"/>
        </w:rPr>
      </w:pPr>
      <w:r>
        <w:rPr>
          <w:rFonts w:eastAsia="楷体_GB2312"/>
          <w:sz w:val="32"/>
          <w:szCs w:val="32"/>
        </w:rPr>
        <w:t>（三）改进的建议</w:t>
      </w:r>
    </w:p>
    <w:p w14:paraId="3A7487CE">
      <w:pPr>
        <w:spacing w:line="560" w:lineRule="exact"/>
        <w:ind w:firstLine="640" w:firstLineChars="200"/>
        <w:rPr>
          <w:rFonts w:eastAsia="仿宋_GB2312"/>
          <w:sz w:val="32"/>
          <w:szCs w:val="32"/>
        </w:rPr>
      </w:pPr>
      <w:r>
        <w:rPr>
          <w:rFonts w:eastAsia="仿宋_GB2312"/>
          <w:sz w:val="32"/>
          <w:szCs w:val="32"/>
        </w:rPr>
        <w:t>1.建议加强政策学习，提高思想认识。认真学习《预算法》等相关法规、制度，提高单位领导对全面预算管理的重视程度，增强财务人员的预算意识，坚持先有预算、后有支出，没有预算不得支出。</w:t>
      </w:r>
    </w:p>
    <w:p w14:paraId="5D897D77">
      <w:pPr>
        <w:spacing w:line="560" w:lineRule="exact"/>
        <w:ind w:firstLine="640" w:firstLineChars="200"/>
        <w:rPr>
          <w:rFonts w:eastAsia="仿宋_GB2312"/>
          <w:sz w:val="32"/>
          <w:szCs w:val="32"/>
        </w:rPr>
      </w:pPr>
      <w:r>
        <w:rPr>
          <w:rFonts w:eastAsia="仿宋_GB2312"/>
          <w:sz w:val="32"/>
          <w:szCs w:val="32"/>
        </w:rPr>
        <w:t>2.建议细化预算指标，提高预算科学性。预算编制前根据年度内单位可预见的工作任务，确定单位年度预算目标，细化预算指标，科学合理编制部门预算，推进预算编制科学化、准确化。年度预算编制后，根据实际情况，定期做好预算执行分析，掌握预算执行进度，及时找出预算实际执行情况与预算目标之间存在的差距，纠正偏差，为下一次科学、准确地编制部门预算积累经验。</w:t>
      </w:r>
    </w:p>
    <w:p w14:paraId="77221531">
      <w:pPr>
        <w:spacing w:line="560" w:lineRule="exact"/>
        <w:rPr>
          <w:rFonts w:ascii="黑体" w:hAnsi="黑体" w:eastAsia="黑体" w:cs="黑体"/>
          <w:sz w:val="32"/>
          <w:szCs w:val="32"/>
        </w:rPr>
      </w:pPr>
    </w:p>
    <w:p w14:paraId="56B1492A">
      <w:pPr>
        <w:spacing w:line="560" w:lineRule="exact"/>
        <w:rPr>
          <w:rFonts w:ascii="黑体" w:hAnsi="黑体" w:eastAsia="黑体" w:cs="黑体"/>
          <w:sz w:val="32"/>
          <w:szCs w:val="32"/>
        </w:rPr>
      </w:pPr>
    </w:p>
    <w:p w14:paraId="1342CC2F">
      <w:pPr>
        <w:spacing w:line="560" w:lineRule="exact"/>
        <w:rPr>
          <w:rFonts w:ascii="黑体" w:hAnsi="黑体" w:eastAsia="黑体" w:cs="黑体"/>
          <w:sz w:val="32"/>
          <w:szCs w:val="32"/>
        </w:rPr>
      </w:pPr>
    </w:p>
    <w:p w14:paraId="3F8E8C08">
      <w:pPr>
        <w:spacing w:line="560" w:lineRule="exact"/>
        <w:rPr>
          <w:rFonts w:ascii="黑体" w:hAnsi="黑体" w:eastAsia="黑体" w:cs="黑体"/>
          <w:sz w:val="32"/>
          <w:szCs w:val="32"/>
        </w:rPr>
      </w:pPr>
    </w:p>
    <w:p w14:paraId="76BFDBEF">
      <w:pPr>
        <w:spacing w:line="560" w:lineRule="exact"/>
        <w:rPr>
          <w:rFonts w:ascii="黑体" w:hAnsi="黑体" w:eastAsia="黑体" w:cs="黑体"/>
          <w:sz w:val="32"/>
          <w:szCs w:val="32"/>
        </w:rPr>
      </w:pPr>
    </w:p>
    <w:p w14:paraId="5ED9CB83">
      <w:pPr>
        <w:spacing w:line="560" w:lineRule="exact"/>
        <w:rPr>
          <w:rFonts w:ascii="黑体" w:hAnsi="黑体" w:eastAsia="黑体" w:cs="黑体"/>
          <w:sz w:val="32"/>
          <w:szCs w:val="32"/>
        </w:rPr>
      </w:pPr>
    </w:p>
    <w:p w14:paraId="7A95EC35">
      <w:pPr>
        <w:spacing w:line="560" w:lineRule="exact"/>
        <w:rPr>
          <w:rFonts w:ascii="黑体" w:hAnsi="黑体" w:eastAsia="黑体" w:cs="黑体"/>
          <w:sz w:val="32"/>
          <w:szCs w:val="32"/>
        </w:rPr>
      </w:pPr>
    </w:p>
    <w:p w14:paraId="7E46DF02">
      <w:pPr>
        <w:spacing w:line="560" w:lineRule="exact"/>
        <w:rPr>
          <w:rFonts w:ascii="黑体" w:hAnsi="黑体" w:eastAsia="黑体" w:cs="黑体"/>
          <w:sz w:val="32"/>
          <w:szCs w:val="32"/>
        </w:rPr>
      </w:pPr>
    </w:p>
    <w:p w14:paraId="5ED9C55B">
      <w:pPr>
        <w:spacing w:line="560" w:lineRule="exact"/>
        <w:rPr>
          <w:rFonts w:ascii="黑体" w:hAnsi="黑体" w:eastAsia="黑体" w:cs="黑体"/>
          <w:sz w:val="32"/>
          <w:szCs w:val="32"/>
        </w:rPr>
      </w:pPr>
    </w:p>
    <w:p w14:paraId="6B440DA5">
      <w:pPr>
        <w:spacing w:line="560" w:lineRule="exact"/>
        <w:rPr>
          <w:rFonts w:ascii="黑体" w:hAnsi="黑体" w:eastAsia="黑体" w:cs="黑体"/>
          <w:sz w:val="32"/>
          <w:szCs w:val="32"/>
        </w:rPr>
      </w:pPr>
    </w:p>
    <w:p w14:paraId="39E0FB17">
      <w:pPr>
        <w:spacing w:line="560" w:lineRule="exact"/>
        <w:rPr>
          <w:rFonts w:ascii="黑体" w:hAnsi="黑体" w:eastAsia="黑体" w:cs="黑体"/>
          <w:sz w:val="32"/>
          <w:szCs w:val="32"/>
        </w:rPr>
      </w:pPr>
    </w:p>
    <w:p w14:paraId="004D235B">
      <w:pPr>
        <w:spacing w:line="560" w:lineRule="exact"/>
        <w:rPr>
          <w:rFonts w:ascii="黑体" w:hAnsi="黑体" w:eastAsia="黑体" w:cs="黑体"/>
          <w:sz w:val="32"/>
          <w:szCs w:val="32"/>
        </w:rPr>
      </w:pPr>
    </w:p>
    <w:p w14:paraId="760A102B">
      <w:pPr>
        <w:spacing w:line="560" w:lineRule="exact"/>
        <w:rPr>
          <w:rFonts w:ascii="黑体" w:hAnsi="黑体" w:eastAsia="黑体" w:cs="黑体"/>
          <w:sz w:val="32"/>
          <w:szCs w:val="32"/>
        </w:rPr>
      </w:pPr>
    </w:p>
    <w:p w14:paraId="3DAC54EC">
      <w:pPr>
        <w:spacing w:line="560" w:lineRule="exact"/>
        <w:rPr>
          <w:rFonts w:ascii="黑体" w:hAnsi="黑体" w:eastAsia="黑体" w:cs="黑体"/>
          <w:sz w:val="32"/>
          <w:szCs w:val="32"/>
        </w:rPr>
      </w:pPr>
    </w:p>
    <w:p w14:paraId="10813137">
      <w:pPr>
        <w:spacing w:line="560" w:lineRule="exact"/>
        <w:rPr>
          <w:rFonts w:ascii="黑体" w:hAnsi="黑体" w:eastAsia="黑体" w:cs="黑体"/>
          <w:sz w:val="32"/>
          <w:szCs w:val="32"/>
        </w:rPr>
      </w:pPr>
    </w:p>
    <w:p w14:paraId="7926AB4F">
      <w:pPr>
        <w:pStyle w:val="3"/>
        <w:spacing w:before="0" w:after="0" w:line="560" w:lineRule="exact"/>
        <w:rPr>
          <w:rFonts w:ascii="黑体" w:hAnsi="黑体" w:eastAsia="黑体"/>
        </w:rPr>
      </w:pPr>
      <w:bookmarkStart w:id="90" w:name="_Toc49849566"/>
      <w:r>
        <w:rPr>
          <w:rFonts w:hint="eastAsia" w:ascii="黑体" w:hAnsi="黑体" w:eastAsia="黑体"/>
        </w:rPr>
        <w:t>附件2</w:t>
      </w:r>
      <w:bookmarkEnd w:id="90"/>
    </w:p>
    <w:p w14:paraId="67FAABF1">
      <w:pPr>
        <w:spacing w:line="560" w:lineRule="exact"/>
        <w:rPr>
          <w:rFonts w:ascii="仿宋_GB2312" w:hAnsi="仿宋_GB2312" w:eastAsia="仿宋_GB2312" w:cs="仿宋_GB2312"/>
          <w:sz w:val="32"/>
          <w:szCs w:val="32"/>
        </w:rPr>
      </w:pPr>
    </w:p>
    <w:p w14:paraId="0E767D20">
      <w:pPr>
        <w:spacing w:line="560" w:lineRule="exact"/>
        <w:jc w:val="center"/>
        <w:rPr>
          <w:rFonts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rPr>
        <w:t>环境空气质量自动站搬迁费用项目</w:t>
      </w:r>
    </w:p>
    <w:p w14:paraId="7E5766E4">
      <w:pPr>
        <w:spacing w:line="56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14:paraId="2BB82B94">
      <w:pPr>
        <w:autoSpaceDE w:val="0"/>
        <w:autoSpaceDN w:val="0"/>
        <w:adjustRightInd w:val="0"/>
        <w:spacing w:line="560" w:lineRule="exact"/>
        <w:jc w:val="center"/>
        <w:rPr>
          <w:rFonts w:eastAsia="仿宋_GB2312"/>
          <w:kern w:val="0"/>
          <w:sz w:val="32"/>
          <w:szCs w:val="32"/>
        </w:rPr>
      </w:pPr>
    </w:p>
    <w:p w14:paraId="20322BF4">
      <w:pPr>
        <w:autoSpaceDE w:val="0"/>
        <w:autoSpaceDN w:val="0"/>
        <w:adjustRightInd w:val="0"/>
        <w:spacing w:line="560" w:lineRule="exact"/>
        <w:ind w:firstLine="640" w:firstLineChars="200"/>
        <w:jc w:val="left"/>
        <w:rPr>
          <w:rFonts w:eastAsia="黑体"/>
          <w:kern w:val="0"/>
          <w:sz w:val="32"/>
          <w:szCs w:val="32"/>
        </w:rPr>
      </w:pPr>
      <w:r>
        <w:rPr>
          <w:rFonts w:eastAsia="黑体"/>
          <w:kern w:val="0"/>
          <w:sz w:val="32"/>
          <w:szCs w:val="32"/>
        </w:rPr>
        <w:t>一、项目概况</w:t>
      </w:r>
    </w:p>
    <w:p w14:paraId="50C66B02">
      <w:pPr>
        <w:autoSpaceDE w:val="0"/>
        <w:autoSpaceDN w:val="0"/>
        <w:adjustRightInd w:val="0"/>
        <w:spacing w:line="560" w:lineRule="exact"/>
        <w:ind w:firstLine="640" w:firstLineChars="200"/>
        <w:jc w:val="left"/>
        <w:rPr>
          <w:rFonts w:eastAsia="楷体_GB2312"/>
          <w:kern w:val="0"/>
          <w:sz w:val="32"/>
          <w:szCs w:val="32"/>
        </w:rPr>
      </w:pPr>
      <w:r>
        <w:rPr>
          <w:rFonts w:eastAsia="楷体_GB2312"/>
          <w:kern w:val="0"/>
          <w:sz w:val="32"/>
          <w:szCs w:val="32"/>
        </w:rPr>
        <w:t>（一）项目基本情况。</w:t>
      </w:r>
    </w:p>
    <w:p w14:paraId="5A5542C0">
      <w:pPr>
        <w:autoSpaceDE w:val="0"/>
        <w:autoSpaceDN w:val="0"/>
        <w:adjustRightInd w:val="0"/>
        <w:spacing w:line="560" w:lineRule="exact"/>
        <w:ind w:firstLine="643" w:firstLineChars="200"/>
        <w:jc w:val="left"/>
        <w:rPr>
          <w:rFonts w:eastAsia="仿宋_GB2312"/>
          <w:color w:val="000000"/>
          <w:kern w:val="0"/>
          <w:sz w:val="32"/>
          <w:szCs w:val="32"/>
        </w:rPr>
      </w:pPr>
      <w:r>
        <w:rPr>
          <w:rFonts w:eastAsia="仿宋_GB2312"/>
          <w:b/>
          <w:kern w:val="0"/>
          <w:sz w:val="32"/>
          <w:szCs w:val="32"/>
        </w:rPr>
        <w:t>1．</w:t>
      </w:r>
      <w:r>
        <w:rPr>
          <w:rFonts w:hint="eastAsia" w:eastAsia="仿宋_GB2312"/>
          <w:b/>
          <w:kern w:val="0"/>
          <w:sz w:val="32"/>
          <w:szCs w:val="32"/>
        </w:rPr>
        <w:t>主管部门职能。</w:t>
      </w:r>
      <w:r>
        <w:rPr>
          <w:rFonts w:hint="eastAsia" w:eastAsia="仿宋_GB2312"/>
          <w:color w:val="000000"/>
          <w:kern w:val="0"/>
          <w:sz w:val="32"/>
          <w:szCs w:val="32"/>
        </w:rPr>
        <w:t>项目主要职能是24小时对米易县县城环境质量进行监测，实施对外发布数据。为大众提供健康指导，为环境管理提供数据支撑。主要监测项目有二氧化硫、二氧化氮、可吸入颗粒物、细颗粒物、一氧化碳、臭氧和气象参数。根据前期调查，选取了米易县审计局楼顶作为米易县县城环境质量搬迁备选点。于2018年2月开始，委托攀枝花市环境监测中心站对米易县审计局点位和原县政府点位进行了为期15天的六项污染物浓度比对，比对结果显示：除二氧化硫和一氧化碳外其他指标均有所下降，而影响米易县城环境空气质量的主要是臭氧和颗粒物。经县领导批示同意，米易县环境保护局将米易县县城空气质量考核点位由县政府点位搬迁至审计局点位，建设完成验收后交由四川省环境保护厅制定的第三方机构进行运维。</w:t>
      </w:r>
    </w:p>
    <w:p w14:paraId="3E4B1606">
      <w:pPr>
        <w:autoSpaceDE w:val="0"/>
        <w:autoSpaceDN w:val="0"/>
        <w:adjustRightInd w:val="0"/>
        <w:spacing w:line="560" w:lineRule="exact"/>
        <w:ind w:firstLine="640" w:firstLineChars="200"/>
        <w:jc w:val="left"/>
        <w:rPr>
          <w:rFonts w:eastAsia="仿宋_GB2312"/>
          <w:color w:val="000000"/>
          <w:kern w:val="0"/>
          <w:sz w:val="32"/>
          <w:szCs w:val="32"/>
        </w:rPr>
      </w:pPr>
      <w:r>
        <w:rPr>
          <w:rFonts w:eastAsia="仿宋_GB2312"/>
          <w:color w:val="000000"/>
          <w:kern w:val="0"/>
          <w:sz w:val="32"/>
          <w:szCs w:val="32"/>
        </w:rPr>
        <w:t>2．项目立项、资金申报的依据</w:t>
      </w:r>
      <w:r>
        <w:rPr>
          <w:rFonts w:hint="eastAsia" w:eastAsia="仿宋_GB2312"/>
          <w:color w:val="000000"/>
          <w:kern w:val="0"/>
          <w:sz w:val="32"/>
          <w:szCs w:val="32"/>
        </w:rPr>
        <w:t>。根据米易县环境保护局关于县城环境空气自动站搬迁及仪器设备采购项目立项的函（米环函</w:t>
      </w:r>
      <w:r>
        <w:rPr>
          <w:rFonts w:hint="eastAsia" w:ascii="仿宋_GB2312" w:eastAsia="仿宋_GB2312"/>
          <w:color w:val="000000"/>
          <w:kern w:val="0"/>
          <w:sz w:val="32"/>
          <w:szCs w:val="32"/>
        </w:rPr>
        <w:t>〔</w:t>
      </w:r>
      <w:r>
        <w:rPr>
          <w:rFonts w:hint="eastAsia" w:eastAsia="仿宋_GB2312"/>
          <w:color w:val="000000"/>
          <w:kern w:val="0"/>
          <w:sz w:val="32"/>
          <w:szCs w:val="32"/>
        </w:rPr>
        <w:t>2018</w:t>
      </w:r>
      <w:r>
        <w:rPr>
          <w:rFonts w:hint="eastAsia" w:ascii="仿宋_GB2312" w:eastAsia="仿宋_GB2312"/>
          <w:color w:val="000000"/>
          <w:kern w:val="0"/>
          <w:sz w:val="32"/>
          <w:szCs w:val="32"/>
        </w:rPr>
        <w:t>〕91号</w:t>
      </w:r>
      <w:r>
        <w:rPr>
          <w:rFonts w:hint="eastAsia" w:eastAsia="仿宋_GB2312"/>
          <w:color w:val="000000"/>
          <w:kern w:val="0"/>
          <w:sz w:val="32"/>
          <w:szCs w:val="32"/>
        </w:rPr>
        <w:t>）文件，米易县国资办与2018年7月13日给予立项。</w:t>
      </w:r>
    </w:p>
    <w:p w14:paraId="0D315B08">
      <w:pPr>
        <w:autoSpaceDE w:val="0"/>
        <w:autoSpaceDN w:val="0"/>
        <w:adjustRightInd w:val="0"/>
        <w:spacing w:line="560" w:lineRule="exact"/>
        <w:ind w:firstLine="640" w:firstLineChars="200"/>
        <w:jc w:val="left"/>
        <w:rPr>
          <w:rFonts w:eastAsia="仿宋_GB2312"/>
          <w:color w:val="000000"/>
          <w:kern w:val="0"/>
          <w:sz w:val="32"/>
          <w:szCs w:val="32"/>
        </w:rPr>
      </w:pPr>
      <w:r>
        <w:rPr>
          <w:rFonts w:eastAsia="仿宋_GB2312"/>
          <w:color w:val="000000"/>
          <w:kern w:val="0"/>
          <w:sz w:val="32"/>
          <w:szCs w:val="32"/>
        </w:rPr>
        <w:t>3．资金管理办法制定情况，资金支持具体项目的条件、范围与支持方式概况。</w:t>
      </w:r>
      <w:r>
        <w:rPr>
          <w:rFonts w:hint="eastAsia" w:eastAsia="仿宋_GB2312"/>
          <w:color w:val="000000"/>
          <w:kern w:val="0"/>
          <w:sz w:val="32"/>
          <w:szCs w:val="32"/>
        </w:rPr>
        <w:t>所申请资金均用于县城环境空气自动站搬迁及仪器设备采购。所有设备经过安装、调试、验收后支付资金。</w:t>
      </w:r>
    </w:p>
    <w:p w14:paraId="0BAA44B8">
      <w:pPr>
        <w:autoSpaceDE w:val="0"/>
        <w:autoSpaceDN w:val="0"/>
        <w:adjustRightInd w:val="0"/>
        <w:spacing w:line="560" w:lineRule="exact"/>
        <w:ind w:firstLine="640" w:firstLineChars="200"/>
        <w:jc w:val="left"/>
        <w:rPr>
          <w:rFonts w:eastAsia="仿宋_GB2312"/>
          <w:color w:val="000000"/>
          <w:kern w:val="0"/>
          <w:sz w:val="32"/>
          <w:szCs w:val="32"/>
        </w:rPr>
      </w:pPr>
      <w:r>
        <w:rPr>
          <w:rFonts w:eastAsia="仿宋_GB2312"/>
          <w:color w:val="000000"/>
          <w:kern w:val="0"/>
          <w:sz w:val="32"/>
          <w:szCs w:val="32"/>
        </w:rPr>
        <w:t>4．资金分配的原则及考虑因素</w:t>
      </w:r>
      <w:r>
        <w:rPr>
          <w:rFonts w:hint="eastAsia" w:eastAsia="仿宋_GB2312"/>
          <w:color w:val="000000"/>
          <w:kern w:val="0"/>
          <w:sz w:val="32"/>
          <w:szCs w:val="32"/>
        </w:rPr>
        <w:t>。资金按照实际招投标中标金额支付，空气自动站搬迁。</w:t>
      </w:r>
    </w:p>
    <w:p w14:paraId="6855F8AD">
      <w:pPr>
        <w:autoSpaceDE w:val="0"/>
        <w:autoSpaceDN w:val="0"/>
        <w:adjustRightInd w:val="0"/>
        <w:spacing w:line="560" w:lineRule="exact"/>
        <w:ind w:firstLine="640" w:firstLineChars="200"/>
        <w:jc w:val="left"/>
        <w:rPr>
          <w:rFonts w:eastAsia="楷体_GB2312"/>
          <w:color w:val="000000"/>
          <w:kern w:val="0"/>
          <w:sz w:val="32"/>
          <w:szCs w:val="32"/>
        </w:rPr>
      </w:pPr>
      <w:r>
        <w:rPr>
          <w:rFonts w:eastAsia="楷体_GB2312"/>
          <w:color w:val="000000"/>
          <w:kern w:val="0"/>
          <w:sz w:val="32"/>
          <w:szCs w:val="32"/>
        </w:rPr>
        <w:t>（二）项目绩效目标。</w:t>
      </w:r>
    </w:p>
    <w:p w14:paraId="2C2CD1BE">
      <w:pPr>
        <w:autoSpaceDE w:val="0"/>
        <w:autoSpaceDN w:val="0"/>
        <w:adjustRightInd w:val="0"/>
        <w:spacing w:line="560" w:lineRule="exact"/>
        <w:ind w:firstLine="640" w:firstLineChars="200"/>
        <w:jc w:val="left"/>
        <w:rPr>
          <w:rFonts w:eastAsia="仿宋_GB2312"/>
          <w:color w:val="000000"/>
          <w:kern w:val="0"/>
          <w:sz w:val="32"/>
          <w:szCs w:val="32"/>
        </w:rPr>
      </w:pPr>
      <w:r>
        <w:rPr>
          <w:rFonts w:eastAsia="仿宋_GB2312"/>
          <w:color w:val="000000"/>
          <w:kern w:val="0"/>
          <w:sz w:val="32"/>
          <w:szCs w:val="32"/>
        </w:rPr>
        <w:t>1．项目主要内容。</w:t>
      </w:r>
      <w:r>
        <w:rPr>
          <w:rFonts w:hint="eastAsia" w:eastAsia="仿宋_GB2312"/>
          <w:color w:val="000000"/>
          <w:kern w:val="0"/>
          <w:sz w:val="32"/>
          <w:szCs w:val="32"/>
        </w:rPr>
        <w:t>环境空气质量分析仪器（包括站房）采购、电源架设。</w:t>
      </w:r>
    </w:p>
    <w:p w14:paraId="3B6299E7">
      <w:pPr>
        <w:autoSpaceDE w:val="0"/>
        <w:autoSpaceDN w:val="0"/>
        <w:adjustRightInd w:val="0"/>
        <w:spacing w:line="560" w:lineRule="exact"/>
        <w:ind w:firstLine="640" w:firstLineChars="200"/>
        <w:jc w:val="left"/>
        <w:rPr>
          <w:rFonts w:eastAsia="仿宋_GB2312"/>
          <w:color w:val="000000"/>
          <w:kern w:val="0"/>
          <w:sz w:val="32"/>
          <w:szCs w:val="32"/>
        </w:rPr>
      </w:pPr>
      <w:r>
        <w:rPr>
          <w:rFonts w:eastAsia="仿宋_GB2312"/>
          <w:color w:val="000000"/>
          <w:kern w:val="0"/>
          <w:sz w:val="32"/>
          <w:szCs w:val="32"/>
        </w:rPr>
        <w:t>2．项目应实现的具体绩效目标，包括目标的量化、细化情况以及项目实施进度计划等。</w:t>
      </w:r>
      <w:r>
        <w:rPr>
          <w:rFonts w:hint="eastAsia" w:eastAsia="仿宋_GB2312"/>
          <w:color w:val="000000"/>
          <w:kern w:val="0"/>
          <w:sz w:val="32"/>
          <w:szCs w:val="32"/>
        </w:rPr>
        <w:t>根据前期比对与建成后实际数据相符，各项污染物浓度均有所下降，审计局点位能更好的反映出米易县城实际污染物浓度水平。</w:t>
      </w:r>
    </w:p>
    <w:p w14:paraId="01AA0C52">
      <w:pPr>
        <w:autoSpaceDE w:val="0"/>
        <w:autoSpaceDN w:val="0"/>
        <w:adjustRightInd w:val="0"/>
        <w:spacing w:line="560" w:lineRule="exact"/>
        <w:ind w:firstLine="640" w:firstLineChars="200"/>
        <w:jc w:val="left"/>
        <w:rPr>
          <w:rFonts w:eastAsia="仿宋_GB2312"/>
          <w:color w:val="000000"/>
          <w:kern w:val="0"/>
          <w:sz w:val="32"/>
          <w:szCs w:val="32"/>
        </w:rPr>
      </w:pPr>
      <w:r>
        <w:rPr>
          <w:rFonts w:eastAsia="仿宋_GB2312"/>
          <w:color w:val="000000"/>
          <w:kern w:val="0"/>
          <w:sz w:val="32"/>
          <w:szCs w:val="32"/>
        </w:rPr>
        <w:t>3．</w:t>
      </w:r>
      <w:r>
        <w:rPr>
          <w:rFonts w:hint="eastAsia" w:eastAsia="仿宋_GB2312"/>
          <w:color w:val="000000"/>
          <w:kern w:val="0"/>
          <w:sz w:val="32"/>
          <w:szCs w:val="32"/>
        </w:rPr>
        <w:t>项目资金与实际建设内容相符。根据前期比对与建成后实际数据相符。</w:t>
      </w:r>
    </w:p>
    <w:p w14:paraId="1D86BA9D">
      <w:pPr>
        <w:autoSpaceDE w:val="0"/>
        <w:autoSpaceDN w:val="0"/>
        <w:adjustRightInd w:val="0"/>
        <w:spacing w:line="560" w:lineRule="exact"/>
        <w:ind w:firstLine="640" w:firstLineChars="200"/>
        <w:jc w:val="left"/>
        <w:rPr>
          <w:rFonts w:eastAsia="楷体_GB2312"/>
          <w:color w:val="000000"/>
          <w:kern w:val="0"/>
          <w:sz w:val="32"/>
          <w:szCs w:val="32"/>
        </w:rPr>
      </w:pPr>
      <w:r>
        <w:rPr>
          <w:rFonts w:eastAsia="楷体_GB2312"/>
          <w:color w:val="000000"/>
          <w:kern w:val="0"/>
          <w:sz w:val="32"/>
          <w:szCs w:val="32"/>
        </w:rPr>
        <w:t>（三）项目自评步骤及方法。</w:t>
      </w:r>
    </w:p>
    <w:p w14:paraId="76578096">
      <w:pPr>
        <w:autoSpaceDE w:val="0"/>
        <w:autoSpaceDN w:val="0"/>
        <w:adjustRightInd w:val="0"/>
        <w:spacing w:line="560" w:lineRule="exact"/>
        <w:ind w:firstLine="640" w:firstLineChars="200"/>
        <w:jc w:val="left"/>
        <w:rPr>
          <w:rFonts w:eastAsia="仿宋_GB2312"/>
          <w:color w:val="000000"/>
          <w:kern w:val="0"/>
          <w:sz w:val="32"/>
          <w:szCs w:val="32"/>
        </w:rPr>
      </w:pPr>
      <w:r>
        <w:rPr>
          <w:rFonts w:eastAsia="仿宋_GB2312"/>
          <w:color w:val="000000"/>
          <w:kern w:val="0"/>
          <w:sz w:val="32"/>
          <w:szCs w:val="32"/>
        </w:rPr>
        <w:t>说明项目绩效自评采用的组织实施步骤及方法。</w:t>
      </w:r>
    </w:p>
    <w:p w14:paraId="174DBD96">
      <w:pPr>
        <w:autoSpaceDE w:val="0"/>
        <w:autoSpaceDN w:val="0"/>
        <w:adjustRightInd w:val="0"/>
        <w:spacing w:line="560" w:lineRule="exact"/>
        <w:ind w:firstLine="640" w:firstLineChars="200"/>
        <w:jc w:val="left"/>
        <w:rPr>
          <w:rFonts w:eastAsia="黑体"/>
          <w:color w:val="000000"/>
          <w:kern w:val="0"/>
          <w:sz w:val="32"/>
          <w:szCs w:val="32"/>
        </w:rPr>
      </w:pPr>
      <w:r>
        <w:rPr>
          <w:rFonts w:eastAsia="黑体"/>
          <w:color w:val="000000"/>
          <w:kern w:val="0"/>
          <w:sz w:val="32"/>
          <w:szCs w:val="32"/>
        </w:rPr>
        <w:t>二、项目资金申报及使用情况</w:t>
      </w:r>
    </w:p>
    <w:p w14:paraId="030A8643">
      <w:pPr>
        <w:autoSpaceDE w:val="0"/>
        <w:autoSpaceDN w:val="0"/>
        <w:adjustRightInd w:val="0"/>
        <w:spacing w:line="560" w:lineRule="exact"/>
        <w:ind w:firstLine="640" w:firstLineChars="200"/>
        <w:jc w:val="left"/>
        <w:rPr>
          <w:rFonts w:eastAsia="楷体_GB2312"/>
          <w:color w:val="000000"/>
          <w:kern w:val="0"/>
          <w:sz w:val="32"/>
          <w:szCs w:val="32"/>
        </w:rPr>
      </w:pPr>
      <w:r>
        <w:rPr>
          <w:rFonts w:eastAsia="楷体_GB2312"/>
          <w:color w:val="000000"/>
          <w:kern w:val="0"/>
          <w:sz w:val="32"/>
          <w:szCs w:val="32"/>
        </w:rPr>
        <w:t>（一）项目资金申报及批复情况。</w:t>
      </w:r>
    </w:p>
    <w:p w14:paraId="4A5430F3">
      <w:pPr>
        <w:autoSpaceDE w:val="0"/>
        <w:autoSpaceDN w:val="0"/>
        <w:adjustRightInd w:val="0"/>
        <w:spacing w:line="56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2018年5月19日，米易县环境保护局申报190万元，用于自动站搬迁（米环请</w:t>
      </w:r>
      <w:r>
        <w:rPr>
          <w:rFonts w:hint="eastAsia" w:ascii="仿宋_GB2312" w:eastAsia="仿宋_GB2312"/>
          <w:color w:val="000000"/>
          <w:kern w:val="0"/>
          <w:sz w:val="32"/>
          <w:szCs w:val="32"/>
        </w:rPr>
        <w:t>〔2018〕10号</w:t>
      </w:r>
      <w:r>
        <w:rPr>
          <w:rFonts w:hint="eastAsia" w:eastAsia="仿宋_GB2312"/>
          <w:color w:val="000000"/>
          <w:kern w:val="0"/>
          <w:sz w:val="32"/>
          <w:szCs w:val="32"/>
        </w:rPr>
        <w:t>），县财政局于2018年6月2日，同意安排资金。县政府与2018年7月3日，同意安排资金。</w:t>
      </w:r>
    </w:p>
    <w:p w14:paraId="5F964F47">
      <w:pPr>
        <w:autoSpaceDE w:val="0"/>
        <w:autoSpaceDN w:val="0"/>
        <w:adjustRightInd w:val="0"/>
        <w:spacing w:line="560" w:lineRule="exact"/>
        <w:ind w:firstLine="640" w:firstLineChars="200"/>
        <w:jc w:val="left"/>
        <w:rPr>
          <w:rFonts w:eastAsia="楷体_GB2312"/>
          <w:color w:val="000000"/>
          <w:kern w:val="0"/>
          <w:sz w:val="32"/>
          <w:szCs w:val="32"/>
        </w:rPr>
      </w:pPr>
      <w:r>
        <w:rPr>
          <w:rFonts w:eastAsia="楷体_GB2312"/>
          <w:color w:val="000000"/>
          <w:kern w:val="0"/>
          <w:sz w:val="32"/>
          <w:szCs w:val="32"/>
        </w:rPr>
        <w:t>（二）资金计划、到位及使用情况。</w:t>
      </w:r>
      <w:r>
        <w:rPr>
          <w:rFonts w:hint="eastAsia" w:eastAsia="楷体_GB2312"/>
          <w:color w:val="000000"/>
          <w:kern w:val="0"/>
          <w:sz w:val="32"/>
          <w:szCs w:val="32"/>
        </w:rPr>
        <w:t>计划2018年完成县城空气质量搬迁项目。2018年11月9日到账，2018年12月12日，录入平台、申请支付，于2019年1月11日完成支付。</w:t>
      </w:r>
    </w:p>
    <w:p w14:paraId="1963B516">
      <w:pPr>
        <w:autoSpaceDE w:val="0"/>
        <w:autoSpaceDN w:val="0"/>
        <w:adjustRightInd w:val="0"/>
        <w:spacing w:line="560" w:lineRule="exact"/>
        <w:ind w:firstLine="640" w:firstLineChars="200"/>
        <w:jc w:val="left"/>
        <w:rPr>
          <w:rFonts w:eastAsia="楷体_GB2312"/>
          <w:color w:val="000000"/>
          <w:kern w:val="0"/>
          <w:sz w:val="32"/>
          <w:szCs w:val="32"/>
        </w:rPr>
      </w:pPr>
      <w:r>
        <w:rPr>
          <w:rFonts w:eastAsia="楷体_GB2312"/>
          <w:color w:val="000000"/>
          <w:kern w:val="0"/>
          <w:sz w:val="32"/>
          <w:szCs w:val="32"/>
        </w:rPr>
        <w:t>1</w:t>
      </w:r>
      <w:r>
        <w:rPr>
          <w:rFonts w:hint="eastAsia" w:eastAsia="楷体_GB2312"/>
          <w:color w:val="000000"/>
          <w:kern w:val="0"/>
          <w:sz w:val="32"/>
          <w:szCs w:val="32"/>
        </w:rPr>
        <w:t>.</w:t>
      </w:r>
      <w:r>
        <w:rPr>
          <w:rFonts w:eastAsia="楷体_GB2312"/>
          <w:color w:val="000000"/>
          <w:kern w:val="0"/>
          <w:sz w:val="32"/>
          <w:szCs w:val="32"/>
        </w:rPr>
        <w:t>资金计划。</w:t>
      </w:r>
    </w:p>
    <w:p w14:paraId="72124593">
      <w:pPr>
        <w:autoSpaceDE w:val="0"/>
        <w:autoSpaceDN w:val="0"/>
        <w:adjustRightInd w:val="0"/>
        <w:spacing w:line="56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县级财政资金安排。</w:t>
      </w:r>
    </w:p>
    <w:p w14:paraId="2C5DBFE1">
      <w:pPr>
        <w:autoSpaceDE w:val="0"/>
        <w:autoSpaceDN w:val="0"/>
        <w:adjustRightInd w:val="0"/>
        <w:spacing w:line="560" w:lineRule="exact"/>
        <w:ind w:firstLine="640" w:firstLineChars="200"/>
        <w:jc w:val="left"/>
        <w:rPr>
          <w:rFonts w:eastAsia="楷体_GB2312"/>
          <w:color w:val="000000"/>
          <w:kern w:val="0"/>
          <w:sz w:val="32"/>
          <w:szCs w:val="32"/>
        </w:rPr>
      </w:pPr>
      <w:r>
        <w:rPr>
          <w:rFonts w:eastAsia="楷体_GB2312"/>
          <w:color w:val="000000"/>
          <w:kern w:val="0"/>
          <w:sz w:val="32"/>
          <w:szCs w:val="32"/>
        </w:rPr>
        <w:t>2</w:t>
      </w:r>
      <w:r>
        <w:rPr>
          <w:rFonts w:hint="eastAsia" w:eastAsia="楷体_GB2312"/>
          <w:color w:val="000000"/>
          <w:kern w:val="0"/>
          <w:sz w:val="32"/>
          <w:szCs w:val="32"/>
        </w:rPr>
        <w:t>.</w:t>
      </w:r>
      <w:r>
        <w:rPr>
          <w:rFonts w:eastAsia="楷体_GB2312"/>
          <w:color w:val="000000"/>
          <w:kern w:val="0"/>
          <w:sz w:val="32"/>
          <w:szCs w:val="32"/>
        </w:rPr>
        <w:t>资金到位。</w:t>
      </w:r>
    </w:p>
    <w:p w14:paraId="292B9470">
      <w:pPr>
        <w:autoSpaceDE w:val="0"/>
        <w:autoSpaceDN w:val="0"/>
        <w:adjustRightInd w:val="0"/>
        <w:spacing w:line="560" w:lineRule="exact"/>
        <w:ind w:firstLine="640" w:firstLineChars="200"/>
        <w:jc w:val="left"/>
        <w:rPr>
          <w:rFonts w:eastAsia="仿宋_GB2312"/>
          <w:color w:val="000000"/>
          <w:kern w:val="0"/>
          <w:sz w:val="32"/>
          <w:szCs w:val="32"/>
        </w:rPr>
      </w:pPr>
      <w:r>
        <w:rPr>
          <w:rFonts w:hint="eastAsia" w:eastAsia="楷体_GB2312"/>
          <w:color w:val="000000"/>
          <w:kern w:val="0"/>
          <w:sz w:val="32"/>
          <w:szCs w:val="32"/>
        </w:rPr>
        <w:t>2018年11月9日该项目资金全部到账</w:t>
      </w:r>
      <w:r>
        <w:rPr>
          <w:rFonts w:hint="eastAsia" w:eastAsia="仿宋_GB2312"/>
          <w:color w:val="000000"/>
          <w:kern w:val="0"/>
          <w:sz w:val="32"/>
          <w:szCs w:val="32"/>
        </w:rPr>
        <w:t>。</w:t>
      </w:r>
      <w:r>
        <w:rPr>
          <w:rFonts w:eastAsia="仿宋_GB2312"/>
          <w:color w:val="000000"/>
          <w:kern w:val="0"/>
          <w:sz w:val="32"/>
          <w:szCs w:val="32"/>
        </w:rPr>
        <w:t>到位率</w:t>
      </w:r>
      <w:r>
        <w:rPr>
          <w:rFonts w:hint="eastAsia" w:eastAsia="仿宋_GB2312"/>
          <w:color w:val="000000"/>
          <w:kern w:val="0"/>
          <w:sz w:val="32"/>
          <w:szCs w:val="32"/>
        </w:rPr>
        <w:t>100%。</w:t>
      </w:r>
    </w:p>
    <w:p w14:paraId="2EBCFB70">
      <w:pPr>
        <w:autoSpaceDE w:val="0"/>
        <w:autoSpaceDN w:val="0"/>
        <w:adjustRightInd w:val="0"/>
        <w:spacing w:line="560" w:lineRule="exact"/>
        <w:ind w:firstLine="640" w:firstLineChars="200"/>
        <w:jc w:val="left"/>
        <w:rPr>
          <w:rFonts w:eastAsia="楷体_GB2312"/>
          <w:color w:val="000000"/>
          <w:kern w:val="0"/>
          <w:sz w:val="32"/>
          <w:szCs w:val="32"/>
        </w:rPr>
      </w:pPr>
      <w:r>
        <w:rPr>
          <w:rFonts w:eastAsia="楷体_GB2312"/>
          <w:color w:val="000000"/>
          <w:kern w:val="0"/>
          <w:sz w:val="32"/>
          <w:szCs w:val="32"/>
        </w:rPr>
        <w:t>3</w:t>
      </w:r>
      <w:r>
        <w:rPr>
          <w:rFonts w:hint="eastAsia" w:eastAsia="楷体_GB2312"/>
          <w:color w:val="000000"/>
          <w:kern w:val="0"/>
          <w:sz w:val="32"/>
          <w:szCs w:val="32"/>
        </w:rPr>
        <w:t>.</w:t>
      </w:r>
      <w:r>
        <w:rPr>
          <w:rFonts w:eastAsia="楷体_GB2312"/>
          <w:color w:val="000000"/>
          <w:kern w:val="0"/>
          <w:sz w:val="32"/>
          <w:szCs w:val="32"/>
        </w:rPr>
        <w:t>资金使用。</w:t>
      </w:r>
    </w:p>
    <w:p w14:paraId="644D671B">
      <w:pPr>
        <w:autoSpaceDE w:val="0"/>
        <w:autoSpaceDN w:val="0"/>
        <w:adjustRightInd w:val="0"/>
        <w:spacing w:line="56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仪器设备采购中标金额163.8万元，电源架设4600元。共164.26万元。该项目资金使用规范，均按合同规定实施，于2019年1月完成该项目资金支付。</w:t>
      </w:r>
    </w:p>
    <w:p w14:paraId="6ADF4FC9">
      <w:pPr>
        <w:autoSpaceDE w:val="0"/>
        <w:autoSpaceDN w:val="0"/>
        <w:adjustRightInd w:val="0"/>
        <w:spacing w:line="560" w:lineRule="exact"/>
        <w:ind w:firstLine="640" w:firstLineChars="200"/>
        <w:jc w:val="left"/>
        <w:rPr>
          <w:rFonts w:eastAsia="楷体_GB2312"/>
          <w:color w:val="000000"/>
          <w:kern w:val="0"/>
          <w:sz w:val="32"/>
          <w:szCs w:val="32"/>
        </w:rPr>
      </w:pPr>
      <w:r>
        <w:rPr>
          <w:rFonts w:eastAsia="楷体_GB2312"/>
          <w:color w:val="000000"/>
          <w:kern w:val="0"/>
          <w:sz w:val="32"/>
          <w:szCs w:val="32"/>
        </w:rPr>
        <w:t>（三）项目财务管理情况。</w:t>
      </w:r>
    </w:p>
    <w:p w14:paraId="0B31692D">
      <w:pPr>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我单位严格按照资金管理办法，专款专用，确保资金安全，充分发挥资金效益，</w:t>
      </w:r>
      <w:r>
        <w:rPr>
          <w:rFonts w:eastAsia="仿宋_GB2312"/>
          <w:color w:val="000000"/>
          <w:kern w:val="0"/>
          <w:sz w:val="32"/>
          <w:szCs w:val="32"/>
        </w:rPr>
        <w:t>严格执行财务管理制度，账务处理及时，会计核算规范。</w:t>
      </w:r>
    </w:p>
    <w:p w14:paraId="53026D1F">
      <w:pPr>
        <w:autoSpaceDE w:val="0"/>
        <w:autoSpaceDN w:val="0"/>
        <w:adjustRightInd w:val="0"/>
        <w:spacing w:line="560" w:lineRule="exact"/>
        <w:ind w:firstLine="640" w:firstLineChars="200"/>
        <w:jc w:val="left"/>
        <w:rPr>
          <w:rFonts w:eastAsia="黑体"/>
          <w:color w:val="000000"/>
          <w:kern w:val="0"/>
          <w:sz w:val="32"/>
          <w:szCs w:val="32"/>
        </w:rPr>
      </w:pPr>
      <w:r>
        <w:rPr>
          <w:rFonts w:eastAsia="黑体"/>
          <w:color w:val="000000"/>
          <w:kern w:val="0"/>
          <w:sz w:val="32"/>
          <w:szCs w:val="32"/>
        </w:rPr>
        <w:t>三、项目实施及管理情况</w:t>
      </w:r>
    </w:p>
    <w:p w14:paraId="089935C7">
      <w:pPr>
        <w:autoSpaceDE w:val="0"/>
        <w:autoSpaceDN w:val="0"/>
        <w:adjustRightInd w:val="0"/>
        <w:spacing w:line="560" w:lineRule="exact"/>
        <w:ind w:firstLine="640" w:firstLineChars="200"/>
        <w:jc w:val="left"/>
        <w:rPr>
          <w:rFonts w:eastAsia="仿宋_GB2312"/>
          <w:color w:val="000000"/>
          <w:kern w:val="0"/>
          <w:sz w:val="32"/>
          <w:szCs w:val="32"/>
        </w:rPr>
      </w:pPr>
      <w:r>
        <w:rPr>
          <w:rFonts w:eastAsia="仿宋_GB2312"/>
          <w:color w:val="000000"/>
          <w:kern w:val="0"/>
          <w:sz w:val="32"/>
          <w:szCs w:val="32"/>
        </w:rPr>
        <w:t>结合项目组织实施管理办法，重点围绕以下内容进行分析评价，并对自评中发现的问题分析说明。</w:t>
      </w:r>
    </w:p>
    <w:p w14:paraId="13D7177D">
      <w:pPr>
        <w:autoSpaceDE w:val="0"/>
        <w:autoSpaceDN w:val="0"/>
        <w:adjustRightInd w:val="0"/>
        <w:spacing w:line="560" w:lineRule="exact"/>
        <w:ind w:firstLine="640" w:firstLineChars="200"/>
        <w:jc w:val="left"/>
        <w:rPr>
          <w:rFonts w:eastAsia="仿宋_GB2312"/>
          <w:color w:val="000000"/>
          <w:kern w:val="0"/>
          <w:sz w:val="32"/>
          <w:szCs w:val="32"/>
        </w:rPr>
      </w:pPr>
      <w:r>
        <w:rPr>
          <w:rFonts w:eastAsia="楷体_GB2312"/>
          <w:color w:val="000000"/>
          <w:kern w:val="0"/>
          <w:sz w:val="32"/>
          <w:szCs w:val="32"/>
        </w:rPr>
        <w:t>（</w:t>
      </w:r>
      <w:r>
        <w:rPr>
          <w:rFonts w:eastAsia="仿宋_GB2312"/>
          <w:color w:val="000000"/>
          <w:kern w:val="0"/>
          <w:sz w:val="32"/>
          <w:szCs w:val="32"/>
        </w:rPr>
        <w:t>一）项目组织架构及实施流程。</w:t>
      </w:r>
    </w:p>
    <w:p w14:paraId="1E8BE6BD">
      <w:pPr>
        <w:autoSpaceDE w:val="0"/>
        <w:autoSpaceDN w:val="0"/>
        <w:adjustRightInd w:val="0"/>
        <w:spacing w:line="56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本项目由米易生态环境局统一实施，实施流程主要包括：前期调研、采购设备立项、招投标、仪器设备安装、验收、交由第三方运维。</w:t>
      </w:r>
    </w:p>
    <w:p w14:paraId="1066EB6D">
      <w:pPr>
        <w:autoSpaceDE w:val="0"/>
        <w:autoSpaceDN w:val="0"/>
        <w:adjustRightInd w:val="0"/>
        <w:spacing w:line="560" w:lineRule="exact"/>
        <w:ind w:firstLine="640" w:firstLineChars="200"/>
        <w:jc w:val="left"/>
        <w:rPr>
          <w:rFonts w:eastAsia="仿宋_GB2312"/>
          <w:color w:val="000000"/>
          <w:kern w:val="0"/>
          <w:sz w:val="32"/>
          <w:szCs w:val="32"/>
        </w:rPr>
      </w:pPr>
      <w:r>
        <w:rPr>
          <w:rFonts w:eastAsia="楷体_GB2312"/>
          <w:color w:val="000000"/>
          <w:kern w:val="0"/>
          <w:sz w:val="32"/>
          <w:szCs w:val="32"/>
        </w:rPr>
        <w:t>（二）项目管理情况。</w:t>
      </w:r>
    </w:p>
    <w:p w14:paraId="5BE6DAE1">
      <w:pPr>
        <w:autoSpaceDE w:val="0"/>
        <w:autoSpaceDN w:val="0"/>
        <w:adjustRightInd w:val="0"/>
        <w:spacing w:line="56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该项目属于政府采购项目，项目委托四川省国际招标有限责任公司按照法律法规进行招标。</w:t>
      </w:r>
    </w:p>
    <w:p w14:paraId="35474216">
      <w:pPr>
        <w:autoSpaceDE w:val="0"/>
        <w:autoSpaceDN w:val="0"/>
        <w:adjustRightInd w:val="0"/>
        <w:spacing w:line="560" w:lineRule="exact"/>
        <w:ind w:firstLine="640" w:firstLineChars="200"/>
        <w:jc w:val="left"/>
        <w:rPr>
          <w:rFonts w:eastAsia="楷体_GB2312"/>
          <w:color w:val="000000"/>
          <w:kern w:val="0"/>
          <w:sz w:val="32"/>
          <w:szCs w:val="32"/>
        </w:rPr>
      </w:pPr>
      <w:r>
        <w:rPr>
          <w:rFonts w:eastAsia="楷体_GB2312"/>
          <w:color w:val="000000"/>
          <w:kern w:val="0"/>
          <w:sz w:val="32"/>
          <w:szCs w:val="32"/>
        </w:rPr>
        <w:t>（三）项目监管情况。</w:t>
      </w:r>
    </w:p>
    <w:p w14:paraId="4DF52555">
      <w:pPr>
        <w:autoSpaceDE w:val="0"/>
        <w:autoSpaceDN w:val="0"/>
        <w:adjustRightInd w:val="0"/>
        <w:spacing w:line="56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该项目，前期请攀枝花市环境产业协会对县政府点位和审计局点位进行了15天的比对监测，确定审计局点位能更加真实的反映米易县城环境空气质量水平。报县政府后，县政府同意搬迁，按照国资办要求进行立项，委托第三方机构进行招投标工作并确定中标单位，签订合同。按照签订合同要求进行监管。在项目实施过程中，我站派专人跟进项目，主动与市站联系沟通，确保仪器设备安装符合规范。安装调试完毕后，请市局专家对该项目进行验收，出具验收报告，报送省总站确认。验收完成后，支付按合同要求支付该项目费用。</w:t>
      </w:r>
    </w:p>
    <w:p w14:paraId="6BA523AB">
      <w:pPr>
        <w:autoSpaceDE w:val="0"/>
        <w:autoSpaceDN w:val="0"/>
        <w:adjustRightInd w:val="0"/>
        <w:spacing w:line="560" w:lineRule="exact"/>
        <w:ind w:firstLine="640" w:firstLineChars="200"/>
        <w:jc w:val="left"/>
        <w:rPr>
          <w:rFonts w:eastAsia="黑体"/>
          <w:color w:val="000000"/>
          <w:kern w:val="0"/>
          <w:sz w:val="32"/>
          <w:szCs w:val="32"/>
        </w:rPr>
      </w:pPr>
      <w:r>
        <w:rPr>
          <w:rFonts w:eastAsia="黑体"/>
          <w:color w:val="000000"/>
          <w:kern w:val="0"/>
          <w:sz w:val="32"/>
          <w:szCs w:val="32"/>
        </w:rPr>
        <w:t>四、项目绩效情况</w:t>
      </w:r>
    </w:p>
    <w:p w14:paraId="05AE7E70">
      <w:pPr>
        <w:autoSpaceDE w:val="0"/>
        <w:autoSpaceDN w:val="0"/>
        <w:adjustRightInd w:val="0"/>
        <w:spacing w:line="560" w:lineRule="exact"/>
        <w:ind w:firstLine="640" w:firstLineChars="200"/>
        <w:jc w:val="left"/>
        <w:rPr>
          <w:rFonts w:eastAsia="楷体_GB2312"/>
          <w:color w:val="000000"/>
          <w:kern w:val="0"/>
          <w:sz w:val="32"/>
          <w:szCs w:val="32"/>
        </w:rPr>
      </w:pPr>
      <w:r>
        <w:rPr>
          <w:rFonts w:eastAsia="楷体_GB2312"/>
          <w:color w:val="000000"/>
          <w:kern w:val="0"/>
          <w:sz w:val="32"/>
          <w:szCs w:val="32"/>
        </w:rPr>
        <w:t>（一）项目完成情况。</w:t>
      </w:r>
    </w:p>
    <w:p w14:paraId="2EC5FA2F">
      <w:pPr>
        <w:autoSpaceDE w:val="0"/>
        <w:autoSpaceDN w:val="0"/>
        <w:adjustRightInd w:val="0"/>
        <w:spacing w:line="56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该项目已全部完成。2018年8月14日，确认中标单位。8月27日，签订采购合同。11月19日完成安装调试。11月27日验收合格，报送四川省环境监测总站。12月1日开始交由第三方运维。</w:t>
      </w:r>
    </w:p>
    <w:p w14:paraId="58682A0A">
      <w:pPr>
        <w:autoSpaceDE w:val="0"/>
        <w:autoSpaceDN w:val="0"/>
        <w:adjustRightInd w:val="0"/>
        <w:spacing w:line="560" w:lineRule="exact"/>
        <w:ind w:firstLine="640" w:firstLineChars="200"/>
        <w:jc w:val="left"/>
        <w:rPr>
          <w:rFonts w:eastAsia="楷体_GB2312"/>
          <w:color w:val="000000"/>
          <w:kern w:val="0"/>
          <w:sz w:val="32"/>
          <w:szCs w:val="32"/>
        </w:rPr>
      </w:pPr>
      <w:r>
        <w:rPr>
          <w:rFonts w:eastAsia="楷体_GB2312"/>
          <w:color w:val="000000"/>
          <w:kern w:val="0"/>
          <w:sz w:val="32"/>
          <w:szCs w:val="32"/>
        </w:rPr>
        <w:t>（二）项目效益情况。</w:t>
      </w:r>
    </w:p>
    <w:p w14:paraId="59126CAD">
      <w:pPr>
        <w:autoSpaceDE w:val="0"/>
        <w:autoSpaceDN w:val="0"/>
        <w:adjustRightInd w:val="0"/>
        <w:spacing w:line="56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该项目建成后与去年同期相比，各项污染物浓度均下降。截止4月30日，与2018年同期相比二氧化硫下降了47.1%，二氧化氮下降了9.4%，PM</w:t>
      </w:r>
      <w:r>
        <w:rPr>
          <w:rFonts w:hint="eastAsia" w:eastAsia="仿宋_GB2312"/>
          <w:color w:val="000000"/>
          <w:kern w:val="0"/>
          <w:sz w:val="32"/>
          <w:szCs w:val="32"/>
          <w:vertAlign w:val="subscript"/>
        </w:rPr>
        <w:t>10</w:t>
      </w:r>
      <w:r>
        <w:rPr>
          <w:rFonts w:hint="eastAsia" w:eastAsia="仿宋_GB2312"/>
          <w:color w:val="000000"/>
          <w:kern w:val="0"/>
          <w:sz w:val="32"/>
          <w:szCs w:val="32"/>
        </w:rPr>
        <w:t>下降了32.5%，臭氧下降了9.1%，一氧化碳下降了42.2%，PM</w:t>
      </w:r>
      <w:r>
        <w:rPr>
          <w:rFonts w:hint="eastAsia" w:eastAsia="仿宋_GB2312"/>
          <w:color w:val="000000"/>
          <w:kern w:val="0"/>
          <w:sz w:val="32"/>
          <w:szCs w:val="32"/>
          <w:vertAlign w:val="subscript"/>
        </w:rPr>
        <w:t>2.5</w:t>
      </w:r>
      <w:r>
        <w:rPr>
          <w:rFonts w:hint="eastAsia" w:eastAsia="仿宋_GB2312"/>
          <w:color w:val="000000"/>
          <w:kern w:val="0"/>
          <w:sz w:val="32"/>
          <w:szCs w:val="32"/>
        </w:rPr>
        <w:t>下降了16.2%，优的天数上升了21天。能更好的反映米易县城实际空气质量水平，有利于打造我县康养旅游品牌。</w:t>
      </w:r>
    </w:p>
    <w:p w14:paraId="19CA66E7">
      <w:pPr>
        <w:autoSpaceDE w:val="0"/>
        <w:autoSpaceDN w:val="0"/>
        <w:adjustRightInd w:val="0"/>
        <w:spacing w:line="560" w:lineRule="exact"/>
        <w:ind w:firstLine="640" w:firstLineChars="200"/>
        <w:jc w:val="left"/>
        <w:rPr>
          <w:rFonts w:eastAsia="黑体"/>
          <w:color w:val="000000"/>
          <w:kern w:val="0"/>
          <w:sz w:val="32"/>
          <w:szCs w:val="32"/>
        </w:rPr>
      </w:pPr>
      <w:r>
        <w:rPr>
          <w:rFonts w:eastAsia="黑体"/>
          <w:color w:val="000000"/>
          <w:kern w:val="0"/>
          <w:sz w:val="32"/>
          <w:szCs w:val="32"/>
        </w:rPr>
        <w:t>五、评价结论及建议</w:t>
      </w:r>
    </w:p>
    <w:p w14:paraId="2EFEAA6C">
      <w:pPr>
        <w:autoSpaceDE w:val="0"/>
        <w:autoSpaceDN w:val="0"/>
        <w:adjustRightInd w:val="0"/>
        <w:spacing w:line="560" w:lineRule="exact"/>
        <w:ind w:firstLine="640" w:firstLineChars="200"/>
        <w:jc w:val="left"/>
        <w:rPr>
          <w:rFonts w:eastAsia="楷体_GB2312"/>
          <w:color w:val="000000"/>
          <w:kern w:val="0"/>
          <w:sz w:val="32"/>
          <w:szCs w:val="32"/>
        </w:rPr>
      </w:pPr>
      <w:r>
        <w:rPr>
          <w:rFonts w:eastAsia="楷体_GB2312"/>
          <w:color w:val="000000"/>
          <w:kern w:val="0"/>
          <w:sz w:val="32"/>
          <w:szCs w:val="32"/>
        </w:rPr>
        <w:t>（一）评价结论。</w:t>
      </w:r>
    </w:p>
    <w:p w14:paraId="30AECDD9">
      <w:pPr>
        <w:autoSpaceDE w:val="0"/>
        <w:autoSpaceDN w:val="0"/>
        <w:adjustRightInd w:val="0"/>
        <w:spacing w:line="56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该项目涉及仪器设备采购和电源架设两部分，按照相关法律法规完成采购步骤，请专家对该项目进行验收，并按合同要求支付资金。该项目截止现在，运行情况稳定。各项污染物浓度水平与同期相比均有所下降，与预期目标相符，为大众提供了健康指导，为环境管理提供数据支撑。更好的反映米易县城实际空气质量水平，有利于打造我县康养旅游品牌。</w:t>
      </w:r>
    </w:p>
    <w:p w14:paraId="1D0425FC">
      <w:pPr>
        <w:autoSpaceDE w:val="0"/>
        <w:autoSpaceDN w:val="0"/>
        <w:adjustRightInd w:val="0"/>
        <w:spacing w:line="560" w:lineRule="exact"/>
        <w:ind w:firstLine="640" w:firstLineChars="200"/>
        <w:jc w:val="left"/>
        <w:rPr>
          <w:rFonts w:eastAsia="楷体_GB2312"/>
          <w:color w:val="000000"/>
          <w:kern w:val="0"/>
          <w:sz w:val="32"/>
          <w:szCs w:val="32"/>
        </w:rPr>
      </w:pPr>
      <w:r>
        <w:rPr>
          <w:rFonts w:eastAsia="楷体_GB2312"/>
          <w:color w:val="000000"/>
          <w:kern w:val="0"/>
          <w:sz w:val="32"/>
          <w:szCs w:val="32"/>
        </w:rPr>
        <w:t>（二）存在的问题。</w:t>
      </w:r>
    </w:p>
    <w:p w14:paraId="17B01BBE">
      <w:pPr>
        <w:autoSpaceDE w:val="0"/>
        <w:autoSpaceDN w:val="0"/>
        <w:adjustRightInd w:val="0"/>
        <w:spacing w:line="56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项目组织实施后，初步实现了既定的年度绩效目标。但是资金拨入到位较快，支付滞后。</w:t>
      </w:r>
    </w:p>
    <w:p w14:paraId="72A37D96">
      <w:pPr>
        <w:autoSpaceDE w:val="0"/>
        <w:autoSpaceDN w:val="0"/>
        <w:adjustRightInd w:val="0"/>
        <w:spacing w:line="560" w:lineRule="exact"/>
        <w:ind w:firstLine="640" w:firstLineChars="200"/>
        <w:jc w:val="left"/>
        <w:rPr>
          <w:rFonts w:eastAsia="楷体_GB2312"/>
          <w:color w:val="000000"/>
          <w:kern w:val="0"/>
          <w:sz w:val="32"/>
          <w:szCs w:val="32"/>
        </w:rPr>
      </w:pPr>
      <w:r>
        <w:rPr>
          <w:rFonts w:eastAsia="楷体_GB2312"/>
          <w:color w:val="000000"/>
          <w:kern w:val="0"/>
          <w:sz w:val="32"/>
          <w:szCs w:val="32"/>
        </w:rPr>
        <w:t>（三）相关建议。</w:t>
      </w:r>
    </w:p>
    <w:p w14:paraId="198755F3">
      <w:pPr>
        <w:autoSpaceDE w:val="0"/>
        <w:autoSpaceDN w:val="0"/>
        <w:adjustRightInd w:val="0"/>
        <w:spacing w:line="56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建议加快清算支付，加大对环境监测设备资金投入。市环境监测站不断加大力度对各区县站的培训和专业技术指导，提高专业技术人员的专业技能。</w:t>
      </w:r>
    </w:p>
    <w:p w14:paraId="5469D549">
      <w:pPr>
        <w:spacing w:line="560" w:lineRule="exact"/>
        <w:jc w:val="center"/>
        <w:outlineLvl w:val="0"/>
        <w:rPr>
          <w:rStyle w:val="24"/>
          <w:rFonts w:ascii="黑体" w:hAnsi="黑体" w:eastAsia="黑体"/>
          <w:b w:val="0"/>
        </w:rPr>
      </w:pPr>
    </w:p>
    <w:p w14:paraId="63865C0B">
      <w:pPr>
        <w:spacing w:line="560" w:lineRule="exact"/>
        <w:jc w:val="center"/>
        <w:outlineLvl w:val="0"/>
        <w:rPr>
          <w:rStyle w:val="24"/>
          <w:rFonts w:ascii="黑体" w:hAnsi="黑体" w:eastAsia="黑体"/>
          <w:b w:val="0"/>
        </w:rPr>
      </w:pPr>
    </w:p>
    <w:p w14:paraId="03F7E9A2">
      <w:pPr>
        <w:spacing w:line="560" w:lineRule="exact"/>
        <w:jc w:val="center"/>
        <w:outlineLvl w:val="0"/>
        <w:rPr>
          <w:rStyle w:val="24"/>
          <w:rFonts w:ascii="黑体" w:hAnsi="黑体" w:eastAsia="黑体"/>
          <w:b w:val="0"/>
        </w:rPr>
      </w:pPr>
    </w:p>
    <w:p w14:paraId="634E70CE">
      <w:pPr>
        <w:spacing w:line="560" w:lineRule="exact"/>
        <w:jc w:val="center"/>
        <w:outlineLvl w:val="0"/>
        <w:rPr>
          <w:rStyle w:val="24"/>
          <w:rFonts w:ascii="黑体" w:hAnsi="黑体" w:eastAsia="黑体"/>
          <w:b w:val="0"/>
        </w:rPr>
      </w:pPr>
    </w:p>
    <w:p w14:paraId="62BD1AAA">
      <w:pPr>
        <w:spacing w:line="560" w:lineRule="exact"/>
        <w:jc w:val="center"/>
        <w:outlineLvl w:val="0"/>
        <w:rPr>
          <w:rStyle w:val="24"/>
          <w:rFonts w:ascii="黑体" w:hAnsi="黑体" w:eastAsia="黑体"/>
          <w:b w:val="0"/>
        </w:rPr>
      </w:pPr>
    </w:p>
    <w:p w14:paraId="6D0F28E4">
      <w:pPr>
        <w:spacing w:line="560" w:lineRule="exact"/>
        <w:jc w:val="center"/>
        <w:outlineLvl w:val="0"/>
        <w:rPr>
          <w:rStyle w:val="24"/>
          <w:rFonts w:ascii="黑体" w:hAnsi="黑体" w:eastAsia="黑体"/>
          <w:b w:val="0"/>
        </w:rPr>
      </w:pPr>
    </w:p>
    <w:p w14:paraId="52A70690">
      <w:pPr>
        <w:spacing w:line="560" w:lineRule="exact"/>
        <w:jc w:val="center"/>
        <w:outlineLvl w:val="0"/>
        <w:rPr>
          <w:rStyle w:val="24"/>
          <w:rFonts w:ascii="黑体" w:hAnsi="黑体" w:eastAsia="黑体"/>
          <w:b w:val="0"/>
        </w:rPr>
      </w:pPr>
      <w:bookmarkStart w:id="91" w:name="_Toc15396618"/>
      <w:bookmarkStart w:id="92" w:name="_Toc49849567"/>
      <w:r>
        <w:rPr>
          <w:rFonts w:hint="eastAsia" w:ascii="黑体" w:hAnsi="黑体" w:eastAsia="黑体"/>
          <w:color w:val="000000"/>
          <w:sz w:val="44"/>
          <w:szCs w:val="44"/>
        </w:rPr>
        <w:t>第</w:t>
      </w:r>
      <w:r>
        <w:rPr>
          <w:rStyle w:val="24"/>
          <w:rFonts w:hint="eastAsia" w:ascii="黑体" w:hAnsi="黑体" w:eastAsia="黑体"/>
          <w:b w:val="0"/>
        </w:rPr>
        <w:t>五部分 附表</w:t>
      </w:r>
      <w:bookmarkEnd w:id="88"/>
      <w:bookmarkEnd w:id="91"/>
      <w:bookmarkEnd w:id="92"/>
    </w:p>
    <w:p w14:paraId="40ADC04D">
      <w:pPr>
        <w:spacing w:line="560" w:lineRule="exact"/>
        <w:jc w:val="center"/>
        <w:outlineLvl w:val="0"/>
        <w:rPr>
          <w:rFonts w:ascii="仿宋" w:hAnsi="仿宋" w:eastAsia="仿宋"/>
          <w:b/>
          <w:color w:val="000000"/>
          <w:sz w:val="44"/>
          <w:szCs w:val="44"/>
        </w:rPr>
      </w:pPr>
    </w:p>
    <w:p w14:paraId="0CEB2A7A">
      <w:pPr>
        <w:pStyle w:val="3"/>
        <w:spacing w:before="0" w:after="0" w:line="560" w:lineRule="exact"/>
        <w:rPr>
          <w:rFonts w:ascii="仿宋" w:hAnsi="仿宋" w:eastAsia="仿宋"/>
          <w:color w:val="000000"/>
        </w:rPr>
      </w:pPr>
      <w:bookmarkStart w:id="93" w:name="_Toc15396619"/>
      <w:bookmarkStart w:id="94" w:name="_Toc49849568"/>
      <w:r>
        <w:rPr>
          <w:rFonts w:hint="eastAsia" w:ascii="仿宋" w:hAnsi="仿宋" w:eastAsia="仿宋"/>
          <w:b w:val="0"/>
          <w:color w:val="000000"/>
        </w:rPr>
        <w:t>一、收</w:t>
      </w:r>
      <w:r>
        <w:rPr>
          <w:rStyle w:val="25"/>
          <w:rFonts w:hint="eastAsia" w:ascii="仿宋" w:hAnsi="仿宋" w:eastAsia="仿宋"/>
          <w:b w:val="0"/>
          <w:bCs w:val="0"/>
        </w:rPr>
        <w:t>入支出决算总表</w:t>
      </w:r>
      <w:bookmarkEnd w:id="93"/>
      <w:bookmarkEnd w:id="94"/>
    </w:p>
    <w:p w14:paraId="49761E94">
      <w:pPr>
        <w:pStyle w:val="3"/>
        <w:spacing w:before="0" w:after="0" w:line="560" w:lineRule="exact"/>
        <w:rPr>
          <w:rFonts w:ascii="仿宋" w:hAnsi="仿宋" w:eastAsia="仿宋"/>
          <w:color w:val="000000"/>
        </w:rPr>
      </w:pPr>
      <w:bookmarkStart w:id="95" w:name="_Toc15396620"/>
      <w:bookmarkStart w:id="96" w:name="_Toc49849569"/>
      <w:r>
        <w:rPr>
          <w:rFonts w:hint="eastAsia" w:ascii="仿宋" w:hAnsi="仿宋" w:eastAsia="仿宋"/>
          <w:b w:val="0"/>
          <w:color w:val="000000"/>
        </w:rPr>
        <w:t>二、收</w:t>
      </w:r>
      <w:r>
        <w:rPr>
          <w:rStyle w:val="25"/>
          <w:rFonts w:hint="eastAsia" w:ascii="仿宋" w:hAnsi="仿宋" w:eastAsia="仿宋"/>
          <w:b w:val="0"/>
          <w:bCs w:val="0"/>
        </w:rPr>
        <w:t>入决算表</w:t>
      </w:r>
      <w:bookmarkEnd w:id="95"/>
      <w:bookmarkEnd w:id="96"/>
    </w:p>
    <w:p w14:paraId="154C5FBC">
      <w:pPr>
        <w:pStyle w:val="3"/>
        <w:spacing w:before="0" w:after="0" w:line="560" w:lineRule="exact"/>
        <w:rPr>
          <w:rFonts w:ascii="仿宋" w:hAnsi="仿宋" w:eastAsia="仿宋"/>
          <w:color w:val="000000"/>
        </w:rPr>
      </w:pPr>
      <w:bookmarkStart w:id="97" w:name="_Toc15396621"/>
      <w:bookmarkStart w:id="98" w:name="_Toc49849570"/>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97"/>
      <w:bookmarkEnd w:id="98"/>
    </w:p>
    <w:p w14:paraId="2ECC1527">
      <w:pPr>
        <w:pStyle w:val="3"/>
        <w:spacing w:before="0" w:after="0" w:line="560" w:lineRule="exact"/>
        <w:rPr>
          <w:rFonts w:ascii="仿宋" w:hAnsi="仿宋" w:eastAsia="仿宋"/>
          <w:b w:val="0"/>
          <w:color w:val="000000"/>
        </w:rPr>
      </w:pPr>
      <w:bookmarkStart w:id="99" w:name="_Toc15396622"/>
      <w:bookmarkStart w:id="100" w:name="_Toc49849571"/>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99"/>
      <w:bookmarkEnd w:id="100"/>
    </w:p>
    <w:p w14:paraId="508ACB1C">
      <w:pPr>
        <w:pStyle w:val="3"/>
        <w:spacing w:before="0" w:after="0" w:line="560" w:lineRule="exact"/>
        <w:rPr>
          <w:rStyle w:val="25"/>
          <w:rFonts w:ascii="仿宋" w:hAnsi="仿宋" w:eastAsia="仿宋"/>
          <w:b w:val="0"/>
          <w:bCs w:val="0"/>
        </w:rPr>
      </w:pPr>
      <w:bookmarkStart w:id="101" w:name="_Toc49849572"/>
      <w:bookmarkStart w:id="102"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01"/>
      <w:bookmarkEnd w:id="102"/>
      <w:bookmarkStart w:id="103" w:name="_Toc15396624"/>
    </w:p>
    <w:p w14:paraId="2A8AAF46">
      <w:pPr>
        <w:pStyle w:val="3"/>
        <w:spacing w:before="0" w:after="0" w:line="560" w:lineRule="exact"/>
        <w:rPr>
          <w:rFonts w:ascii="仿宋" w:hAnsi="仿宋" w:eastAsia="仿宋"/>
          <w:color w:val="000000"/>
        </w:rPr>
      </w:pPr>
      <w:bookmarkStart w:id="104" w:name="_Toc49849573"/>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03"/>
      <w:bookmarkEnd w:id="104"/>
    </w:p>
    <w:p w14:paraId="7E127696">
      <w:pPr>
        <w:pStyle w:val="3"/>
        <w:spacing w:before="0" w:after="0" w:line="560" w:lineRule="exact"/>
        <w:rPr>
          <w:rFonts w:ascii="仿宋" w:hAnsi="仿宋" w:eastAsia="仿宋"/>
          <w:color w:val="000000"/>
        </w:rPr>
      </w:pPr>
      <w:bookmarkStart w:id="105" w:name="_Toc15396625"/>
      <w:bookmarkStart w:id="106" w:name="_Toc49849574"/>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05"/>
      <w:bookmarkEnd w:id="106"/>
    </w:p>
    <w:p w14:paraId="44FB5BF6">
      <w:pPr>
        <w:pStyle w:val="3"/>
        <w:spacing w:before="0" w:after="0" w:line="560" w:lineRule="exact"/>
        <w:rPr>
          <w:rFonts w:ascii="仿宋" w:hAnsi="仿宋" w:eastAsia="仿宋"/>
          <w:color w:val="000000"/>
        </w:rPr>
      </w:pPr>
      <w:bookmarkStart w:id="107" w:name="_Toc15396626"/>
      <w:bookmarkStart w:id="108" w:name="_Toc49849575"/>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07"/>
      <w:bookmarkEnd w:id="108"/>
    </w:p>
    <w:p w14:paraId="0D01D563">
      <w:pPr>
        <w:pStyle w:val="3"/>
        <w:spacing w:before="0" w:after="0" w:line="560" w:lineRule="exact"/>
        <w:rPr>
          <w:rFonts w:ascii="仿宋" w:hAnsi="仿宋" w:eastAsia="仿宋"/>
          <w:color w:val="000000"/>
        </w:rPr>
      </w:pPr>
      <w:bookmarkStart w:id="109" w:name="_Toc49849576"/>
      <w:bookmarkStart w:id="110"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09"/>
      <w:bookmarkEnd w:id="110"/>
    </w:p>
    <w:p w14:paraId="220C7230">
      <w:pPr>
        <w:pStyle w:val="3"/>
        <w:spacing w:before="0" w:after="0" w:line="560" w:lineRule="exact"/>
        <w:rPr>
          <w:rFonts w:ascii="仿宋" w:hAnsi="仿宋" w:eastAsia="仿宋"/>
          <w:color w:val="000000"/>
        </w:rPr>
      </w:pPr>
      <w:bookmarkStart w:id="111" w:name="_Toc49849577"/>
      <w:bookmarkStart w:id="112"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11"/>
      <w:bookmarkEnd w:id="112"/>
    </w:p>
    <w:p w14:paraId="54909FEC">
      <w:pPr>
        <w:pStyle w:val="3"/>
        <w:spacing w:before="0" w:after="0" w:line="560" w:lineRule="exact"/>
        <w:rPr>
          <w:rFonts w:ascii="仿宋" w:hAnsi="仿宋" w:eastAsia="仿宋"/>
          <w:color w:val="000000"/>
        </w:rPr>
      </w:pPr>
      <w:bookmarkStart w:id="113" w:name="_Toc49849578"/>
      <w:bookmarkStart w:id="114"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13"/>
      <w:bookmarkEnd w:id="114"/>
    </w:p>
    <w:p w14:paraId="057B13B7">
      <w:pPr>
        <w:pStyle w:val="3"/>
        <w:spacing w:before="0" w:after="0" w:line="560" w:lineRule="exact"/>
        <w:rPr>
          <w:rFonts w:ascii="仿宋" w:hAnsi="仿宋" w:eastAsia="仿宋"/>
          <w:color w:val="000000"/>
        </w:rPr>
      </w:pPr>
      <w:bookmarkStart w:id="115" w:name="_Toc49849579"/>
      <w:bookmarkStart w:id="116"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15"/>
      <w:bookmarkEnd w:id="116"/>
    </w:p>
    <w:p w14:paraId="6B08C252">
      <w:pPr>
        <w:pStyle w:val="3"/>
        <w:spacing w:before="0" w:after="0" w:line="560" w:lineRule="exact"/>
        <w:rPr>
          <w:rStyle w:val="25"/>
          <w:rFonts w:ascii="仿宋" w:hAnsi="仿宋" w:eastAsia="仿宋"/>
          <w:b w:val="0"/>
          <w:bCs w:val="0"/>
        </w:rPr>
      </w:pPr>
      <w:bookmarkStart w:id="117" w:name="_Toc49849580"/>
      <w:bookmarkStart w:id="118"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117"/>
      <w:bookmarkEnd w:id="118"/>
    </w:p>
    <w:p w14:paraId="1B2928E6">
      <w:pPr>
        <w:spacing w:line="560" w:lineRule="exact"/>
        <w:rPr>
          <w:rStyle w:val="25"/>
          <w:rFonts w:ascii="仿宋" w:hAnsi="仿宋" w:eastAsia="仿宋"/>
          <w:b w:val="0"/>
        </w:rPr>
      </w:pPr>
      <w:bookmarkStart w:id="119" w:name="_Toc49849581"/>
      <w:r>
        <w:rPr>
          <w:rStyle w:val="25"/>
          <w:rFonts w:hint="eastAsia" w:ascii="仿宋" w:hAnsi="仿宋" w:eastAsia="仿宋"/>
          <w:b w:val="0"/>
        </w:rPr>
        <w:t>十四、机关运行经费、资产占用情况及政府采购支出信息表</w:t>
      </w:r>
      <w:bookmarkEnd w:id="119"/>
    </w:p>
    <w:sectPr>
      <w:footerReference r:id="rId3"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00" w:usb3="00000000" w:csb0="00040001" w:csb1="00000000"/>
  </w:font>
  <w:font w:name="Arial Unicode MS">
    <w:altName w:val="Times New Roman"/>
    <w:panose1 w:val="020B0604020202020204"/>
    <w:charset w:val="86"/>
    <w:family w:val="swiss"/>
    <w:pitch w:val="default"/>
    <w:sig w:usb0="00000000" w:usb1="00000000" w:usb2="0000003F" w:usb3="00000000" w:csb0="003F01FF" w:csb1="00000000"/>
  </w:font>
  <w:font w:name="方正小标宋简体">
    <w:altName w:val="方正小标宋_GBK"/>
    <w:panose1 w:val="02010601030101010101"/>
    <w:charset w:val="86"/>
    <w:family w:val="script"/>
    <w:pitch w:val="default"/>
    <w:sig w:usb0="00000000" w:usb1="00000000" w:usb2="0000001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2B66EEED">
        <w:pPr>
          <w:pStyle w:val="8"/>
          <w:jc w:val="center"/>
        </w:pPr>
        <w:r>
          <w:fldChar w:fldCharType="begin"/>
        </w:r>
        <w:r>
          <w:instrText xml:space="preserve">PAGE   \* MERGEFORMAT</w:instrText>
        </w:r>
        <w:r>
          <w:fldChar w:fldCharType="separate"/>
        </w:r>
        <w:r>
          <w:rPr>
            <w:lang w:val="zh-CN"/>
          </w:rPr>
          <w:t>2</w:t>
        </w:r>
        <w:r>
          <w:rPr>
            <w:lang w:val="zh-CN"/>
          </w:rPr>
          <w:fldChar w:fldCharType="end"/>
        </w:r>
      </w:p>
    </w:sdtContent>
  </w:sdt>
  <w:p w14:paraId="5F2A7F06">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0BDF"/>
    <w:rsid w:val="000068C0"/>
    <w:rsid w:val="000222C6"/>
    <w:rsid w:val="0002549F"/>
    <w:rsid w:val="0003124B"/>
    <w:rsid w:val="0003766C"/>
    <w:rsid w:val="000468DB"/>
    <w:rsid w:val="00047DF1"/>
    <w:rsid w:val="00050851"/>
    <w:rsid w:val="0006487A"/>
    <w:rsid w:val="00065417"/>
    <w:rsid w:val="00065F8F"/>
    <w:rsid w:val="00066EC8"/>
    <w:rsid w:val="00070A43"/>
    <w:rsid w:val="000768F2"/>
    <w:rsid w:val="0009184B"/>
    <w:rsid w:val="00094236"/>
    <w:rsid w:val="0009593C"/>
    <w:rsid w:val="00097322"/>
    <w:rsid w:val="000A08E7"/>
    <w:rsid w:val="000A6A92"/>
    <w:rsid w:val="000B047F"/>
    <w:rsid w:val="000B5923"/>
    <w:rsid w:val="000B5A48"/>
    <w:rsid w:val="000B6FF3"/>
    <w:rsid w:val="000C3467"/>
    <w:rsid w:val="000C3CA6"/>
    <w:rsid w:val="000C5DCB"/>
    <w:rsid w:val="000C6D8C"/>
    <w:rsid w:val="000C7A85"/>
    <w:rsid w:val="000D1267"/>
    <w:rsid w:val="000D1BC0"/>
    <w:rsid w:val="000D1D50"/>
    <w:rsid w:val="000D5782"/>
    <w:rsid w:val="000E6613"/>
    <w:rsid w:val="000E7119"/>
    <w:rsid w:val="000E7D9C"/>
    <w:rsid w:val="000E7DBE"/>
    <w:rsid w:val="001063D3"/>
    <w:rsid w:val="00114E9B"/>
    <w:rsid w:val="00115F17"/>
    <w:rsid w:val="00126F36"/>
    <w:rsid w:val="00137119"/>
    <w:rsid w:val="00142216"/>
    <w:rsid w:val="00144D6A"/>
    <w:rsid w:val="0014729F"/>
    <w:rsid w:val="00147583"/>
    <w:rsid w:val="00150EB9"/>
    <w:rsid w:val="00157BAB"/>
    <w:rsid w:val="001654D1"/>
    <w:rsid w:val="001726F0"/>
    <w:rsid w:val="00174518"/>
    <w:rsid w:val="0018106D"/>
    <w:rsid w:val="001877A7"/>
    <w:rsid w:val="00191536"/>
    <w:rsid w:val="00196687"/>
    <w:rsid w:val="001B3932"/>
    <w:rsid w:val="001B5438"/>
    <w:rsid w:val="001C0962"/>
    <w:rsid w:val="001D7531"/>
    <w:rsid w:val="001E59C7"/>
    <w:rsid w:val="001E737D"/>
    <w:rsid w:val="001F0592"/>
    <w:rsid w:val="001F527F"/>
    <w:rsid w:val="001F63A3"/>
    <w:rsid w:val="001F7506"/>
    <w:rsid w:val="002006CD"/>
    <w:rsid w:val="00202B36"/>
    <w:rsid w:val="00204B7A"/>
    <w:rsid w:val="00204CDE"/>
    <w:rsid w:val="0021101A"/>
    <w:rsid w:val="00220536"/>
    <w:rsid w:val="00223A39"/>
    <w:rsid w:val="00235629"/>
    <w:rsid w:val="00251FC2"/>
    <w:rsid w:val="00260C38"/>
    <w:rsid w:val="002616C0"/>
    <w:rsid w:val="00265372"/>
    <w:rsid w:val="002662AA"/>
    <w:rsid w:val="00280496"/>
    <w:rsid w:val="002900F7"/>
    <w:rsid w:val="00293458"/>
    <w:rsid w:val="0029381C"/>
    <w:rsid w:val="00294DC9"/>
    <w:rsid w:val="00295495"/>
    <w:rsid w:val="00295CFC"/>
    <w:rsid w:val="00296A02"/>
    <w:rsid w:val="002A31DE"/>
    <w:rsid w:val="002B2613"/>
    <w:rsid w:val="002B2DE6"/>
    <w:rsid w:val="002B5F61"/>
    <w:rsid w:val="002C2F56"/>
    <w:rsid w:val="002C7E18"/>
    <w:rsid w:val="002D19B0"/>
    <w:rsid w:val="002D6D05"/>
    <w:rsid w:val="002E1481"/>
    <w:rsid w:val="002F1818"/>
    <w:rsid w:val="002F567B"/>
    <w:rsid w:val="00313479"/>
    <w:rsid w:val="00317426"/>
    <w:rsid w:val="003216A9"/>
    <w:rsid w:val="00324927"/>
    <w:rsid w:val="003342EE"/>
    <w:rsid w:val="00335A74"/>
    <w:rsid w:val="00343C4D"/>
    <w:rsid w:val="00345072"/>
    <w:rsid w:val="00354083"/>
    <w:rsid w:val="0036561B"/>
    <w:rsid w:val="0037013F"/>
    <w:rsid w:val="00375FB3"/>
    <w:rsid w:val="00380C92"/>
    <w:rsid w:val="00393942"/>
    <w:rsid w:val="003A484F"/>
    <w:rsid w:val="003A4883"/>
    <w:rsid w:val="003A60D8"/>
    <w:rsid w:val="003B0BE0"/>
    <w:rsid w:val="003B0C1B"/>
    <w:rsid w:val="003B688C"/>
    <w:rsid w:val="003C0291"/>
    <w:rsid w:val="003C39AE"/>
    <w:rsid w:val="003C7B60"/>
    <w:rsid w:val="003D0C0F"/>
    <w:rsid w:val="003D1FB2"/>
    <w:rsid w:val="003D66DA"/>
    <w:rsid w:val="003E1310"/>
    <w:rsid w:val="003E6F55"/>
    <w:rsid w:val="00406254"/>
    <w:rsid w:val="004076AB"/>
    <w:rsid w:val="00416CD4"/>
    <w:rsid w:val="004223DE"/>
    <w:rsid w:val="00423B15"/>
    <w:rsid w:val="00434489"/>
    <w:rsid w:val="00437085"/>
    <w:rsid w:val="00437946"/>
    <w:rsid w:val="00443880"/>
    <w:rsid w:val="00443BFF"/>
    <w:rsid w:val="004464F4"/>
    <w:rsid w:val="00454B58"/>
    <w:rsid w:val="00463A93"/>
    <w:rsid w:val="00471401"/>
    <w:rsid w:val="00473F31"/>
    <w:rsid w:val="00480447"/>
    <w:rsid w:val="0048263A"/>
    <w:rsid w:val="00487E5D"/>
    <w:rsid w:val="004A711F"/>
    <w:rsid w:val="004B199D"/>
    <w:rsid w:val="004B4690"/>
    <w:rsid w:val="004C38CF"/>
    <w:rsid w:val="004D7495"/>
    <w:rsid w:val="004E0081"/>
    <w:rsid w:val="004E0A2D"/>
    <w:rsid w:val="004E206B"/>
    <w:rsid w:val="004E6DF7"/>
    <w:rsid w:val="004E795B"/>
    <w:rsid w:val="004F0FBD"/>
    <w:rsid w:val="004F403E"/>
    <w:rsid w:val="004F6503"/>
    <w:rsid w:val="00504961"/>
    <w:rsid w:val="00505A47"/>
    <w:rsid w:val="00511913"/>
    <w:rsid w:val="00512FDA"/>
    <w:rsid w:val="00514D82"/>
    <w:rsid w:val="00520DA0"/>
    <w:rsid w:val="00531BF0"/>
    <w:rsid w:val="00532A77"/>
    <w:rsid w:val="00550071"/>
    <w:rsid w:val="00555820"/>
    <w:rsid w:val="005664BB"/>
    <w:rsid w:val="00566FFA"/>
    <w:rsid w:val="0057481D"/>
    <w:rsid w:val="00575F0B"/>
    <w:rsid w:val="0058486E"/>
    <w:rsid w:val="00585B33"/>
    <w:rsid w:val="0059014D"/>
    <w:rsid w:val="005B5C64"/>
    <w:rsid w:val="005C6BD0"/>
    <w:rsid w:val="005C6C4C"/>
    <w:rsid w:val="005D1C8B"/>
    <w:rsid w:val="005D468D"/>
    <w:rsid w:val="005D5CED"/>
    <w:rsid w:val="005E334D"/>
    <w:rsid w:val="005F1A4C"/>
    <w:rsid w:val="005F3350"/>
    <w:rsid w:val="00605688"/>
    <w:rsid w:val="006070AF"/>
    <w:rsid w:val="00607E6C"/>
    <w:rsid w:val="006101B1"/>
    <w:rsid w:val="00610576"/>
    <w:rsid w:val="00614E44"/>
    <w:rsid w:val="0062270A"/>
    <w:rsid w:val="00622830"/>
    <w:rsid w:val="00623DA0"/>
    <w:rsid w:val="00630AEF"/>
    <w:rsid w:val="006325F8"/>
    <w:rsid w:val="00633463"/>
    <w:rsid w:val="00634C9A"/>
    <w:rsid w:val="006436D4"/>
    <w:rsid w:val="006440E4"/>
    <w:rsid w:val="006506A9"/>
    <w:rsid w:val="00650B5A"/>
    <w:rsid w:val="00657627"/>
    <w:rsid w:val="0066343B"/>
    <w:rsid w:val="0066365F"/>
    <w:rsid w:val="00664777"/>
    <w:rsid w:val="006748A4"/>
    <w:rsid w:val="00681A31"/>
    <w:rsid w:val="00682FEE"/>
    <w:rsid w:val="00683E73"/>
    <w:rsid w:val="006A3141"/>
    <w:rsid w:val="006A4B5B"/>
    <w:rsid w:val="006A5E34"/>
    <w:rsid w:val="006A6A86"/>
    <w:rsid w:val="006B2422"/>
    <w:rsid w:val="006B2B9A"/>
    <w:rsid w:val="006C1937"/>
    <w:rsid w:val="006C3B8F"/>
    <w:rsid w:val="006C4CD9"/>
    <w:rsid w:val="006F020C"/>
    <w:rsid w:val="00705C62"/>
    <w:rsid w:val="007104D8"/>
    <w:rsid w:val="007127B7"/>
    <w:rsid w:val="0071798E"/>
    <w:rsid w:val="00727533"/>
    <w:rsid w:val="00736230"/>
    <w:rsid w:val="007416B6"/>
    <w:rsid w:val="00743FB5"/>
    <w:rsid w:val="007450CB"/>
    <w:rsid w:val="00746F48"/>
    <w:rsid w:val="0075404D"/>
    <w:rsid w:val="00754FEF"/>
    <w:rsid w:val="0076182A"/>
    <w:rsid w:val="00765809"/>
    <w:rsid w:val="00767B7E"/>
    <w:rsid w:val="0077048E"/>
    <w:rsid w:val="00771D8A"/>
    <w:rsid w:val="00771EE1"/>
    <w:rsid w:val="0077345D"/>
    <w:rsid w:val="007770C3"/>
    <w:rsid w:val="00782DC2"/>
    <w:rsid w:val="00784D24"/>
    <w:rsid w:val="00785FBA"/>
    <w:rsid w:val="00786E4A"/>
    <w:rsid w:val="007875EB"/>
    <w:rsid w:val="0079426B"/>
    <w:rsid w:val="007A13B9"/>
    <w:rsid w:val="007A3030"/>
    <w:rsid w:val="007D1682"/>
    <w:rsid w:val="007D312A"/>
    <w:rsid w:val="007D396B"/>
    <w:rsid w:val="007D3F19"/>
    <w:rsid w:val="007E23B0"/>
    <w:rsid w:val="007F1991"/>
    <w:rsid w:val="007F2C2F"/>
    <w:rsid w:val="007F55FC"/>
    <w:rsid w:val="007F5665"/>
    <w:rsid w:val="00800112"/>
    <w:rsid w:val="00812CE4"/>
    <w:rsid w:val="00813348"/>
    <w:rsid w:val="0081797D"/>
    <w:rsid w:val="008253BB"/>
    <w:rsid w:val="00833962"/>
    <w:rsid w:val="0083425E"/>
    <w:rsid w:val="00836587"/>
    <w:rsid w:val="0083706E"/>
    <w:rsid w:val="008408F6"/>
    <w:rsid w:val="008423A5"/>
    <w:rsid w:val="00850625"/>
    <w:rsid w:val="00853718"/>
    <w:rsid w:val="00855221"/>
    <w:rsid w:val="00860645"/>
    <w:rsid w:val="00871F71"/>
    <w:rsid w:val="00872D4A"/>
    <w:rsid w:val="00872FD8"/>
    <w:rsid w:val="00885AF4"/>
    <w:rsid w:val="008939CD"/>
    <w:rsid w:val="00895F31"/>
    <w:rsid w:val="008A0967"/>
    <w:rsid w:val="008B768C"/>
    <w:rsid w:val="008C4DB1"/>
    <w:rsid w:val="008C4EAF"/>
    <w:rsid w:val="008C5176"/>
    <w:rsid w:val="008C7FD0"/>
    <w:rsid w:val="008E1814"/>
    <w:rsid w:val="008E1DE7"/>
    <w:rsid w:val="008E2912"/>
    <w:rsid w:val="008E53B1"/>
    <w:rsid w:val="008E707C"/>
    <w:rsid w:val="008F707C"/>
    <w:rsid w:val="00900B08"/>
    <w:rsid w:val="00902155"/>
    <w:rsid w:val="00902FA3"/>
    <w:rsid w:val="00923564"/>
    <w:rsid w:val="0092392E"/>
    <w:rsid w:val="009315F9"/>
    <w:rsid w:val="00933499"/>
    <w:rsid w:val="00934876"/>
    <w:rsid w:val="00935C98"/>
    <w:rsid w:val="00941237"/>
    <w:rsid w:val="00946945"/>
    <w:rsid w:val="00951248"/>
    <w:rsid w:val="0095152F"/>
    <w:rsid w:val="00952C38"/>
    <w:rsid w:val="00954C49"/>
    <w:rsid w:val="00955E37"/>
    <w:rsid w:val="0097099F"/>
    <w:rsid w:val="00971997"/>
    <w:rsid w:val="00971FFC"/>
    <w:rsid w:val="00977D0B"/>
    <w:rsid w:val="009824EC"/>
    <w:rsid w:val="0098660A"/>
    <w:rsid w:val="009931C3"/>
    <w:rsid w:val="009A5435"/>
    <w:rsid w:val="009A5CB8"/>
    <w:rsid w:val="009A7528"/>
    <w:rsid w:val="009B1E2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74359"/>
    <w:rsid w:val="00A90919"/>
    <w:rsid w:val="00A91760"/>
    <w:rsid w:val="00A93B00"/>
    <w:rsid w:val="00A93C21"/>
    <w:rsid w:val="00AB64C9"/>
    <w:rsid w:val="00AC3C6A"/>
    <w:rsid w:val="00AC3EB7"/>
    <w:rsid w:val="00AC7282"/>
    <w:rsid w:val="00AD0F83"/>
    <w:rsid w:val="00AD5620"/>
    <w:rsid w:val="00AD656B"/>
    <w:rsid w:val="00AD7C1B"/>
    <w:rsid w:val="00AE16BA"/>
    <w:rsid w:val="00AE1EBE"/>
    <w:rsid w:val="00AE4EA6"/>
    <w:rsid w:val="00AE5D57"/>
    <w:rsid w:val="00AE6A72"/>
    <w:rsid w:val="00B03C9D"/>
    <w:rsid w:val="00B060AE"/>
    <w:rsid w:val="00B07B08"/>
    <w:rsid w:val="00B10517"/>
    <w:rsid w:val="00B14E76"/>
    <w:rsid w:val="00B161B8"/>
    <w:rsid w:val="00B2048C"/>
    <w:rsid w:val="00B310B9"/>
    <w:rsid w:val="00B35F3F"/>
    <w:rsid w:val="00B36CBB"/>
    <w:rsid w:val="00B425E0"/>
    <w:rsid w:val="00B43610"/>
    <w:rsid w:val="00B440AA"/>
    <w:rsid w:val="00B44B70"/>
    <w:rsid w:val="00B50DD2"/>
    <w:rsid w:val="00B50F8A"/>
    <w:rsid w:val="00B53C56"/>
    <w:rsid w:val="00B53ED5"/>
    <w:rsid w:val="00B57B03"/>
    <w:rsid w:val="00B57DAF"/>
    <w:rsid w:val="00B7368C"/>
    <w:rsid w:val="00B77EA6"/>
    <w:rsid w:val="00B81598"/>
    <w:rsid w:val="00B841F1"/>
    <w:rsid w:val="00B858B2"/>
    <w:rsid w:val="00B944D6"/>
    <w:rsid w:val="00BB153C"/>
    <w:rsid w:val="00BB4DF0"/>
    <w:rsid w:val="00BC289F"/>
    <w:rsid w:val="00BC2D50"/>
    <w:rsid w:val="00BC5361"/>
    <w:rsid w:val="00BC5460"/>
    <w:rsid w:val="00BC6B50"/>
    <w:rsid w:val="00BC7710"/>
    <w:rsid w:val="00BD0E25"/>
    <w:rsid w:val="00BD6C04"/>
    <w:rsid w:val="00BE60E1"/>
    <w:rsid w:val="00BF5BD6"/>
    <w:rsid w:val="00BF767C"/>
    <w:rsid w:val="00C03E31"/>
    <w:rsid w:val="00C05AD6"/>
    <w:rsid w:val="00C17C2E"/>
    <w:rsid w:val="00C208B0"/>
    <w:rsid w:val="00C30E69"/>
    <w:rsid w:val="00C33E72"/>
    <w:rsid w:val="00C354B2"/>
    <w:rsid w:val="00C35554"/>
    <w:rsid w:val="00C42709"/>
    <w:rsid w:val="00C5011D"/>
    <w:rsid w:val="00C51A27"/>
    <w:rsid w:val="00C533CC"/>
    <w:rsid w:val="00C5751C"/>
    <w:rsid w:val="00C61BFC"/>
    <w:rsid w:val="00C62B85"/>
    <w:rsid w:val="00C65438"/>
    <w:rsid w:val="00C91CBB"/>
    <w:rsid w:val="00CA214A"/>
    <w:rsid w:val="00CA2AE4"/>
    <w:rsid w:val="00CB380B"/>
    <w:rsid w:val="00CB4E70"/>
    <w:rsid w:val="00CB66B1"/>
    <w:rsid w:val="00CB797E"/>
    <w:rsid w:val="00CC09B6"/>
    <w:rsid w:val="00CC0A28"/>
    <w:rsid w:val="00CC5A5A"/>
    <w:rsid w:val="00CC666F"/>
    <w:rsid w:val="00CD0EE0"/>
    <w:rsid w:val="00CD1E3F"/>
    <w:rsid w:val="00CE44F6"/>
    <w:rsid w:val="00CE49DA"/>
    <w:rsid w:val="00CE7B61"/>
    <w:rsid w:val="00D00095"/>
    <w:rsid w:val="00D114F0"/>
    <w:rsid w:val="00D160FA"/>
    <w:rsid w:val="00D17C49"/>
    <w:rsid w:val="00D2038D"/>
    <w:rsid w:val="00D20620"/>
    <w:rsid w:val="00D24509"/>
    <w:rsid w:val="00D254F7"/>
    <w:rsid w:val="00D25553"/>
    <w:rsid w:val="00D26091"/>
    <w:rsid w:val="00D2685C"/>
    <w:rsid w:val="00D348B0"/>
    <w:rsid w:val="00D34E7C"/>
    <w:rsid w:val="00D35489"/>
    <w:rsid w:val="00D36AFE"/>
    <w:rsid w:val="00D51276"/>
    <w:rsid w:val="00D53333"/>
    <w:rsid w:val="00D54047"/>
    <w:rsid w:val="00D7035F"/>
    <w:rsid w:val="00D742E3"/>
    <w:rsid w:val="00D82805"/>
    <w:rsid w:val="00D85C6B"/>
    <w:rsid w:val="00D91923"/>
    <w:rsid w:val="00DA634F"/>
    <w:rsid w:val="00DA65AC"/>
    <w:rsid w:val="00DB0771"/>
    <w:rsid w:val="00DB1913"/>
    <w:rsid w:val="00DB7BE4"/>
    <w:rsid w:val="00DC2CB0"/>
    <w:rsid w:val="00DC343D"/>
    <w:rsid w:val="00DC410D"/>
    <w:rsid w:val="00DC5A81"/>
    <w:rsid w:val="00DC68CA"/>
    <w:rsid w:val="00DC7CBA"/>
    <w:rsid w:val="00DD73B7"/>
    <w:rsid w:val="00DE7DBF"/>
    <w:rsid w:val="00DF28BC"/>
    <w:rsid w:val="00DF34B9"/>
    <w:rsid w:val="00E01053"/>
    <w:rsid w:val="00E07ACF"/>
    <w:rsid w:val="00E2277C"/>
    <w:rsid w:val="00E30EEC"/>
    <w:rsid w:val="00E331A1"/>
    <w:rsid w:val="00E33202"/>
    <w:rsid w:val="00E336A9"/>
    <w:rsid w:val="00E3507F"/>
    <w:rsid w:val="00E472B1"/>
    <w:rsid w:val="00E50624"/>
    <w:rsid w:val="00E5633A"/>
    <w:rsid w:val="00E568DF"/>
    <w:rsid w:val="00E6203D"/>
    <w:rsid w:val="00E624C8"/>
    <w:rsid w:val="00E64269"/>
    <w:rsid w:val="00E66797"/>
    <w:rsid w:val="00E66EB6"/>
    <w:rsid w:val="00E82267"/>
    <w:rsid w:val="00E837BB"/>
    <w:rsid w:val="00E853CE"/>
    <w:rsid w:val="00E867B6"/>
    <w:rsid w:val="00E87F08"/>
    <w:rsid w:val="00EA010F"/>
    <w:rsid w:val="00ED1516"/>
    <w:rsid w:val="00ED1B63"/>
    <w:rsid w:val="00ED3C1F"/>
    <w:rsid w:val="00ED3F30"/>
    <w:rsid w:val="00ED4085"/>
    <w:rsid w:val="00ED420E"/>
    <w:rsid w:val="00ED6FBE"/>
    <w:rsid w:val="00EE2F57"/>
    <w:rsid w:val="00EE783B"/>
    <w:rsid w:val="00EF4C34"/>
    <w:rsid w:val="00EF6F35"/>
    <w:rsid w:val="00EF77C6"/>
    <w:rsid w:val="00F05438"/>
    <w:rsid w:val="00F11984"/>
    <w:rsid w:val="00F1361C"/>
    <w:rsid w:val="00F15065"/>
    <w:rsid w:val="00F156F0"/>
    <w:rsid w:val="00F160C7"/>
    <w:rsid w:val="00F2408F"/>
    <w:rsid w:val="00F240E9"/>
    <w:rsid w:val="00F273F7"/>
    <w:rsid w:val="00F36D8F"/>
    <w:rsid w:val="00F37F3E"/>
    <w:rsid w:val="00F40003"/>
    <w:rsid w:val="00F417B1"/>
    <w:rsid w:val="00F45853"/>
    <w:rsid w:val="00F51A91"/>
    <w:rsid w:val="00F602DF"/>
    <w:rsid w:val="00F60FFD"/>
    <w:rsid w:val="00F70AA9"/>
    <w:rsid w:val="00F754A1"/>
    <w:rsid w:val="00F81FD9"/>
    <w:rsid w:val="00F841AA"/>
    <w:rsid w:val="00F84A94"/>
    <w:rsid w:val="00F87E96"/>
    <w:rsid w:val="00FA0840"/>
    <w:rsid w:val="00FA23E8"/>
    <w:rsid w:val="00FC22B9"/>
    <w:rsid w:val="00FD0D28"/>
    <w:rsid w:val="00FD3CC1"/>
    <w:rsid w:val="00FD43CC"/>
    <w:rsid w:val="00FF1E02"/>
    <w:rsid w:val="00FF30B4"/>
    <w:rsid w:val="00FF7532"/>
    <w:rsid w:val="10C055FF"/>
    <w:rsid w:val="16BB723D"/>
    <w:rsid w:val="240371BF"/>
    <w:rsid w:val="29FD04D3"/>
    <w:rsid w:val="319F7F4E"/>
    <w:rsid w:val="4ECE2238"/>
    <w:rsid w:val="6BED2AB0"/>
    <w:rsid w:val="72734D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0"/>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0"/>
    <w:rPr>
      <w:rFonts w:ascii="Times New Roman" w:hAnsi="Times New Roman"/>
      <w:b/>
      <w:bCs/>
      <w:kern w:val="44"/>
      <w:sz w:val="44"/>
      <w:szCs w:val="44"/>
    </w:rPr>
  </w:style>
  <w:style w:type="character" w:customStyle="1" w:styleId="25">
    <w:name w:val="标题 2 Char"/>
    <w:basedOn w:val="13"/>
    <w:link w:val="3"/>
    <w:qFormat/>
    <w:uiPriority w:val="0"/>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0">
    <w:name w:val="默认"/>
    <w:basedOn w:val="1"/>
    <w:next w:val="1"/>
    <w:qFormat/>
    <w:uiPriority w:val="0"/>
    <w:pPr>
      <w:widowControl/>
    </w:pPr>
    <w:rPr>
      <w:rFonts w:ascii="Helvetica Neue" w:hAnsi="Helvetica Neue" w:eastAsia="Arial Unicode MS" w:cs="Arial Unicode MS"/>
      <w:color w:val="000000"/>
      <w:sz w:val="22"/>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400">
                <a:latin typeface="仿宋_GB2312" panose="02010609030101010101" pitchFamily="3" charset="-122"/>
                <a:ea typeface="仿宋_GB2312" panose="02010609030101010101" pitchFamily="3" charset="-122"/>
              </a:rPr>
              <a:t>单位</a:t>
            </a:r>
            <a:r>
              <a:rPr lang="en-US" altLang="zh-CN" sz="1400">
                <a:latin typeface="仿宋_GB2312" panose="02010609030101010101" pitchFamily="3" charset="-122"/>
                <a:ea typeface="仿宋_GB2312" panose="02010609030101010101" pitchFamily="3" charset="-122"/>
              </a:rPr>
              <a:t>:</a:t>
            </a:r>
            <a:r>
              <a:rPr lang="zh-CN" altLang="en-US" sz="1400">
                <a:latin typeface="仿宋_GB2312" panose="02010609030101010101" pitchFamily="3" charset="-122"/>
                <a:ea typeface="仿宋_GB2312" panose="02010609030101010101" pitchFamily="3" charset="-122"/>
              </a:rPr>
              <a:t>万元</a:t>
            </a:r>
            <a:endParaRPr lang="zh-CN" altLang="en-US" sz="1400">
              <a:latin typeface="仿宋_GB2312" panose="02010609030101010101" pitchFamily="3" charset="-122"/>
              <a:ea typeface="仿宋_GB2312" panose="02010609030101010101" pitchFamily="3" charset="-122"/>
            </a:endParaRPr>
          </a:p>
        </c:rich>
      </c:tx>
      <c:layout>
        <c:manualLayout>
          <c:xMode val="edge"/>
          <c:yMode val="edge"/>
          <c:x val="0.75763848210563"/>
          <c:y val="0.0181405895691613"/>
        </c:manualLayout>
      </c:layout>
      <c:overlay val="0"/>
    </c:title>
    <c:autoTitleDeleted val="0"/>
    <c:plotArea>
      <c:layout/>
      <c:barChart>
        <c:barDir val="col"/>
        <c:grouping val="clustered"/>
        <c:varyColors val="0"/>
        <c:ser>
          <c:idx val="0"/>
          <c:order val="0"/>
          <c:tx>
            <c:strRef>
              <c:f>Sheet1!$B$1</c:f>
              <c:strCache>
                <c:ptCount val="1"/>
                <c:pt idx="0">
                  <c:v>2018年度</c:v>
                </c:pt>
              </c:strCache>
            </c:strRef>
          </c:tx>
          <c:invertIfNegative val="0"/>
          <c:dLbls>
            <c:delete val="1"/>
          </c:dLbls>
          <c:cat>
            <c:strRef>
              <c:f>Sheet1!$A$2:$A$3</c:f>
              <c:strCache>
                <c:ptCount val="2"/>
                <c:pt idx="0">
                  <c:v>收入</c:v>
                </c:pt>
                <c:pt idx="1">
                  <c:v>支出</c:v>
                </c:pt>
              </c:strCache>
            </c:strRef>
          </c:cat>
          <c:val>
            <c:numRef>
              <c:f>Sheet1!$B$2:$B$3</c:f>
              <c:numCache>
                <c:formatCode>General</c:formatCode>
                <c:ptCount val="2"/>
                <c:pt idx="0">
                  <c:v>928.61</c:v>
                </c:pt>
                <c:pt idx="1">
                  <c:v>657.66</c:v>
                </c:pt>
              </c:numCache>
            </c:numRef>
          </c:val>
        </c:ser>
        <c:ser>
          <c:idx val="1"/>
          <c:order val="1"/>
          <c:tx>
            <c:strRef>
              <c:f>Sheet1!$C$1</c:f>
              <c:strCache>
                <c:ptCount val="1"/>
                <c:pt idx="0">
                  <c:v>2019年度</c:v>
                </c:pt>
              </c:strCache>
            </c:strRef>
          </c:tx>
          <c:invertIfNegative val="0"/>
          <c:dLbls>
            <c:delete val="1"/>
          </c:dLbls>
          <c:cat>
            <c:strRef>
              <c:f>Sheet1!$A$2:$A$3</c:f>
              <c:strCache>
                <c:ptCount val="2"/>
                <c:pt idx="0">
                  <c:v>收入</c:v>
                </c:pt>
                <c:pt idx="1">
                  <c:v>支出</c:v>
                </c:pt>
              </c:strCache>
            </c:strRef>
          </c:cat>
          <c:val>
            <c:numRef>
              <c:f>Sheet1!$C$2:$C$3</c:f>
              <c:numCache>
                <c:formatCode>General</c:formatCode>
                <c:ptCount val="2"/>
                <c:pt idx="0">
                  <c:v>921.52</c:v>
                </c:pt>
                <c:pt idx="1">
                  <c:v>1048.4</c:v>
                </c:pt>
              </c:numCache>
            </c:numRef>
          </c:val>
        </c:ser>
        <c:dLbls>
          <c:showLegendKey val="0"/>
          <c:showVal val="0"/>
          <c:showCatName val="0"/>
          <c:showSerName val="0"/>
          <c:showPercent val="0"/>
          <c:showBubbleSize val="0"/>
        </c:dLbls>
        <c:gapWidth val="150"/>
        <c:axId val="59345152"/>
        <c:axId val="59379712"/>
      </c:barChart>
      <c:catAx>
        <c:axId val="5934515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9379712"/>
        <c:crosses val="autoZero"/>
        <c:auto val="1"/>
        <c:lblAlgn val="ctr"/>
        <c:lblOffset val="100"/>
        <c:noMultiLvlLbl val="0"/>
      </c:catAx>
      <c:valAx>
        <c:axId val="59379712"/>
        <c:scaling>
          <c:orientation val="minMax"/>
        </c:scaling>
        <c:delete val="0"/>
        <c:axPos val="l"/>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9345152"/>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6d7e0e86-ba40-4f3e-b194-16c3dc55b51e}"/>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单位：万元</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其它收入</c:v>
                </c:pt>
              </c:strCache>
            </c:strRef>
          </c:cat>
          <c:val>
            <c:numRef>
              <c:f>Sheet1!$B$2:$B$3</c:f>
              <c:numCache>
                <c:formatCode>General</c:formatCode>
                <c:ptCount val="2"/>
                <c:pt idx="0">
                  <c:v>632.52</c:v>
                </c:pt>
                <c:pt idx="1">
                  <c:v>289</c:v>
                </c:pt>
              </c:numCache>
            </c:numRef>
          </c:val>
        </c:ser>
        <c:dLbls>
          <c:showLegendKey val="0"/>
          <c:showVal val="0"/>
          <c:showCatName val="1"/>
          <c:showSerName val="0"/>
          <c:showPercent val="1"/>
          <c:showBubbleSize val="0"/>
        </c:dLbls>
      </c:pie3DChart>
    </c:plotArea>
    <c:plotVisOnly val="1"/>
    <c:dispBlanksAs val="gap"/>
    <c:showDLblsOverMax val="0"/>
    <c:extLst>
      <c:ext uri="{0b15fc19-7d7d-44ad-8c2d-2c3a37ce22c3}">
        <chartProps xmlns="https://web.wps.cn/et/2018/main" chartId="{e91a19bc-c6c7-456c-89ff-51972ea055a1}"/>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111493858543273"/>
          <c:y val="0.175833070866142"/>
          <c:w val="0.798009658241541"/>
          <c:h val="0.728333858267717"/>
        </c:manualLayout>
      </c:layout>
      <c:pie3DChart>
        <c:varyColors val="1"/>
        <c:ser>
          <c:idx val="0"/>
          <c:order val="0"/>
          <c:tx>
            <c:strRef>
              <c:f>Sheet1!$B$1</c:f>
              <c:strCache>
                <c:ptCount val="1"/>
                <c:pt idx="0">
                  <c:v>销售额</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569.4</c:v>
                </c:pt>
                <c:pt idx="1">
                  <c:v>479</c:v>
                </c:pt>
              </c:numCache>
            </c:numRef>
          </c:val>
        </c:ser>
        <c:dLbls>
          <c:showLegendKey val="0"/>
          <c:showVal val="0"/>
          <c:showCatName val="1"/>
          <c:showSerName val="0"/>
          <c:showPercent val="1"/>
          <c:showBubbleSize val="0"/>
        </c:dLbls>
      </c:pie3DChart>
    </c:plotArea>
    <c:plotVisOnly val="1"/>
    <c:dispBlanksAs val="gap"/>
    <c:showDLblsOverMax val="0"/>
    <c:extLst>
      <c:ext uri="{0b15fc19-7d7d-44ad-8c2d-2c3a37ce22c3}">
        <chartProps xmlns="https://web.wps.cn/et/2018/main" chartId="{3a276ffa-a070-4faa-a5ff-d9814acfc56f}"/>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2018年度</c:v>
                </c:pt>
              </c:strCache>
            </c:strRef>
          </c:tx>
          <c:invertIfNegative val="0"/>
          <c:dLbls>
            <c:delete val="1"/>
          </c:dLbls>
          <c:cat>
            <c:strRef>
              <c:f>Sheet1!$A$2:$A$3</c:f>
              <c:strCache>
                <c:ptCount val="2"/>
                <c:pt idx="0">
                  <c:v>收入</c:v>
                </c:pt>
                <c:pt idx="1">
                  <c:v>支出</c:v>
                </c:pt>
              </c:strCache>
            </c:strRef>
          </c:cat>
          <c:val>
            <c:numRef>
              <c:f>Sheet1!$B$2:$B$3</c:f>
              <c:numCache>
                <c:formatCode>General</c:formatCode>
                <c:ptCount val="2"/>
                <c:pt idx="0">
                  <c:v>928.61</c:v>
                </c:pt>
                <c:pt idx="1">
                  <c:v>657.66</c:v>
                </c:pt>
              </c:numCache>
            </c:numRef>
          </c:val>
        </c:ser>
        <c:ser>
          <c:idx val="1"/>
          <c:order val="1"/>
          <c:tx>
            <c:strRef>
              <c:f>Sheet1!$C$1</c:f>
              <c:strCache>
                <c:ptCount val="1"/>
                <c:pt idx="0">
                  <c:v>2019年度</c:v>
                </c:pt>
              </c:strCache>
            </c:strRef>
          </c:tx>
          <c:invertIfNegative val="0"/>
          <c:dLbls>
            <c:delete val="1"/>
          </c:dLbls>
          <c:cat>
            <c:strRef>
              <c:f>Sheet1!$A$2:$A$3</c:f>
              <c:strCache>
                <c:ptCount val="2"/>
                <c:pt idx="0">
                  <c:v>收入</c:v>
                </c:pt>
                <c:pt idx="1">
                  <c:v>支出</c:v>
                </c:pt>
              </c:strCache>
            </c:strRef>
          </c:cat>
          <c:val>
            <c:numRef>
              <c:f>Sheet1!$C$2:$C$3</c:f>
              <c:numCache>
                <c:formatCode>General</c:formatCode>
                <c:ptCount val="2"/>
                <c:pt idx="0">
                  <c:v>632.52</c:v>
                </c:pt>
                <c:pt idx="1">
                  <c:v>870.7</c:v>
                </c:pt>
              </c:numCache>
            </c:numRef>
          </c:val>
        </c:ser>
        <c:dLbls>
          <c:showLegendKey val="0"/>
          <c:showVal val="0"/>
          <c:showCatName val="0"/>
          <c:showSerName val="0"/>
          <c:showPercent val="0"/>
          <c:showBubbleSize val="0"/>
        </c:dLbls>
        <c:gapWidth val="150"/>
        <c:axId val="108718336"/>
        <c:axId val="117799936"/>
      </c:barChart>
      <c:catAx>
        <c:axId val="10871833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799936"/>
        <c:crosses val="autoZero"/>
        <c:auto val="1"/>
        <c:lblAlgn val="ctr"/>
        <c:lblOffset val="100"/>
        <c:noMultiLvlLbl val="0"/>
      </c:catAx>
      <c:valAx>
        <c:axId val="117799936"/>
        <c:scaling>
          <c:orientation val="minMax"/>
        </c:scaling>
        <c:delete val="0"/>
        <c:axPos val="l"/>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8718336"/>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161b35af-ea1a-4461-b70a-85739a06f8a1}"/>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2018年度</c:v>
                </c:pt>
              </c:strCache>
            </c:strRef>
          </c:tx>
          <c:invertIfNegative val="0"/>
          <c:dLbls>
            <c:delete val="1"/>
          </c:dLbls>
          <c:cat>
            <c:strRef>
              <c:f>Sheet1!$A$2</c:f>
              <c:strCache>
                <c:ptCount val="1"/>
                <c:pt idx="0">
                  <c:v>一般公共预算财政拨款支出</c:v>
                </c:pt>
              </c:strCache>
            </c:strRef>
          </c:cat>
          <c:val>
            <c:numRef>
              <c:f>Sheet1!$B$2</c:f>
              <c:numCache>
                <c:formatCode>General</c:formatCode>
                <c:ptCount val="1"/>
                <c:pt idx="0">
                  <c:v>657.66</c:v>
                </c:pt>
              </c:numCache>
            </c:numRef>
          </c:val>
        </c:ser>
        <c:ser>
          <c:idx val="1"/>
          <c:order val="1"/>
          <c:tx>
            <c:strRef>
              <c:f>Sheet1!$C$1</c:f>
              <c:strCache>
                <c:ptCount val="1"/>
                <c:pt idx="0">
                  <c:v>2019年度</c:v>
                </c:pt>
              </c:strCache>
            </c:strRef>
          </c:tx>
          <c:invertIfNegative val="0"/>
          <c:dLbls>
            <c:delete val="1"/>
          </c:dLbls>
          <c:cat>
            <c:strRef>
              <c:f>Sheet1!$A$2</c:f>
              <c:strCache>
                <c:ptCount val="1"/>
                <c:pt idx="0">
                  <c:v>一般公共预算财政拨款支出</c:v>
                </c:pt>
              </c:strCache>
            </c:strRef>
          </c:cat>
          <c:val>
            <c:numRef>
              <c:f>Sheet1!$C$2</c:f>
              <c:numCache>
                <c:formatCode>General</c:formatCode>
                <c:ptCount val="1"/>
                <c:pt idx="0">
                  <c:v>870.7</c:v>
                </c:pt>
              </c:numCache>
            </c:numRef>
          </c:val>
        </c:ser>
        <c:dLbls>
          <c:showLegendKey val="0"/>
          <c:showVal val="0"/>
          <c:showCatName val="0"/>
          <c:showSerName val="0"/>
          <c:showPercent val="0"/>
          <c:showBubbleSize val="0"/>
        </c:dLbls>
        <c:gapWidth val="150"/>
        <c:axId val="155656192"/>
        <c:axId val="155659648"/>
      </c:barChart>
      <c:catAx>
        <c:axId val="15565619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5659648"/>
        <c:crosses val="autoZero"/>
        <c:auto val="1"/>
        <c:lblAlgn val="ctr"/>
        <c:lblOffset val="100"/>
        <c:noMultiLvlLbl val="0"/>
      </c:catAx>
      <c:valAx>
        <c:axId val="155659648"/>
        <c:scaling>
          <c:orientation val="minMax"/>
        </c:scaling>
        <c:delete val="0"/>
        <c:axPos val="l"/>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5656192"/>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c4750362-7e33-4539-a7ee-f4b3a48eeab6}"/>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销售额</c:v>
                </c:pt>
              </c:strCache>
            </c:strRef>
          </c:tx>
          <c:explosion val="0"/>
          <c:dPt>
            <c:idx val="0"/>
            <c:bubble3D val="0"/>
          </c:dPt>
          <c:dPt>
            <c:idx val="1"/>
            <c:bubble3D val="0"/>
          </c:dPt>
          <c:dPt>
            <c:idx val="2"/>
            <c:bubble3D val="0"/>
          </c:dPt>
          <c:dPt>
            <c:idx val="3"/>
            <c:bubble3D val="0"/>
          </c:dPt>
          <c:dLbls>
            <c:delete val="1"/>
          </c:dLbls>
          <c:cat>
            <c:strRef>
              <c:f>Sheet1!$A$2:$A$5</c:f>
              <c:strCache>
                <c:ptCount val="4"/>
                <c:pt idx="0">
                  <c:v>社会保障和就业支出</c:v>
                </c:pt>
                <c:pt idx="1">
                  <c:v>节能环保支出</c:v>
                </c:pt>
                <c:pt idx="2">
                  <c:v>卫生健康支出</c:v>
                </c:pt>
                <c:pt idx="3">
                  <c:v>住房保障支出</c:v>
                </c:pt>
              </c:strCache>
            </c:strRef>
          </c:cat>
          <c:val>
            <c:numRef>
              <c:f>Sheet1!$B$2:$B$5</c:f>
              <c:numCache>
                <c:formatCode>General</c:formatCode>
                <c:ptCount val="4"/>
                <c:pt idx="0">
                  <c:v>8.2</c:v>
                </c:pt>
                <c:pt idx="1">
                  <c:v>3.2</c:v>
                </c:pt>
                <c:pt idx="2">
                  <c:v>1.4</c:v>
                </c:pt>
                <c:pt idx="3">
                  <c:v>1.2</c:v>
                </c:pt>
              </c:numCache>
            </c:numRef>
          </c:val>
        </c:ser>
        <c:dLbls>
          <c:showLegendKey val="0"/>
          <c:showVal val="0"/>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1dd45af4-829a-49d7-ac80-5cbcc0dffb25}"/>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销售额</c:v>
                </c:pt>
              </c:strCache>
            </c:strRef>
          </c:tx>
          <c:explosion val="0"/>
          <c:dPt>
            <c:idx val="0"/>
            <c:bubble3D val="0"/>
          </c:dPt>
          <c:dPt>
            <c:idx val="1"/>
            <c:bubble3D val="0"/>
          </c:dPt>
          <c:dLbls>
            <c:delete val="1"/>
          </c:dLbls>
          <c:cat>
            <c:strRef>
              <c:f>Sheet1!$A$2:$A$3</c:f>
              <c:strCache>
                <c:ptCount val="2"/>
                <c:pt idx="0">
                  <c:v>公务用车购置及运行维护费支出</c:v>
                </c:pt>
                <c:pt idx="1">
                  <c:v>公务接待费支出</c:v>
                </c:pt>
              </c:strCache>
            </c:strRef>
          </c:cat>
          <c:val>
            <c:numRef>
              <c:f>Sheet1!$B$2:$B$3</c:f>
              <c:numCache>
                <c:formatCode>General</c:formatCode>
                <c:ptCount val="2"/>
                <c:pt idx="0">
                  <c:v>7.53</c:v>
                </c:pt>
                <c:pt idx="1">
                  <c:v>4</c:v>
                </c:pt>
              </c:numCache>
            </c:numRef>
          </c:val>
        </c:ser>
        <c:dLbls>
          <c:showLegendKey val="0"/>
          <c:showVal val="0"/>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2f7c9f75-8e48-4237-a78c-3c12e51f3baf}"/>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86621EB0-5AC4-4C27-B84C-E4FAFAE5F5AC}">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42</Pages>
  <Words>3163</Words>
  <Characters>18032</Characters>
  <Lines>150</Lines>
  <Paragraphs>42</Paragraphs>
  <TotalTime>139</TotalTime>
  <ScaleCrop>false</ScaleCrop>
  <LinksUpToDate>false</LinksUpToDate>
  <CharactersWithSpaces>21153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2020-08-31T18:15:00Z</dcterms:created>
  <dc:creator>曹颖</dc:creator>
  <cp:lastModifiedBy> 回甘</cp:lastModifiedBy>
  <cp:lastPrinted>2020-07-23T10:58:00Z</cp:lastPrinted>
  <dcterms:modified xsi:type="dcterms:W3CDTF">2026-08-19T08:49:13Z</dcterms:modified>
  <dc:title>四川省***</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50FFEDD240A3F2F989FD846A077A7B71_42</vt:lpwstr>
  </property>
</Properties>
</file>