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75272">
      <w:pPr>
        <w:jc w:val="center"/>
        <w:rPr>
          <w:rFonts w:hint="eastAsia" w:asciiTheme="majorEastAsia" w:hAnsiTheme="majorEastAsia" w:eastAsiaTheme="majorEastAsia" w:cstheme="majorEastAsia"/>
          <w:sz w:val="44"/>
          <w:szCs w:val="44"/>
          <w:lang w:val="en-US" w:eastAsia="zh-CN"/>
        </w:rPr>
      </w:pPr>
      <w:bookmarkStart w:id="22" w:name="_GoBack"/>
      <w:bookmarkEnd w:id="22"/>
      <w:r>
        <w:rPr>
          <w:rFonts w:hint="eastAsia" w:asciiTheme="majorEastAsia" w:hAnsiTheme="majorEastAsia" w:eastAsiaTheme="majorEastAsia" w:cstheme="majorEastAsia"/>
          <w:sz w:val="44"/>
          <w:szCs w:val="44"/>
          <w:lang w:val="en-US" w:eastAsia="zh-CN"/>
        </w:rPr>
        <w:t>2018年度</w:t>
      </w:r>
    </w:p>
    <w:p w14:paraId="4849B3AA">
      <w:pPr>
        <w:jc w:val="both"/>
        <w:rPr>
          <w:rFonts w:hint="eastAsia" w:asciiTheme="majorEastAsia" w:hAnsiTheme="majorEastAsia" w:eastAsiaTheme="majorEastAsia" w:cstheme="majorEastAsia"/>
          <w:sz w:val="44"/>
          <w:szCs w:val="44"/>
          <w:lang w:val="en-US" w:eastAsia="zh-CN"/>
        </w:rPr>
      </w:pPr>
    </w:p>
    <w:p w14:paraId="07896878">
      <w:pPr>
        <w:jc w:val="center"/>
        <w:rPr>
          <w:rFonts w:hint="eastAsia" w:asciiTheme="majorEastAsia" w:hAnsiTheme="majorEastAsia" w:eastAsiaTheme="majorEastAsia" w:cstheme="majorEastAsia"/>
          <w:sz w:val="44"/>
          <w:szCs w:val="44"/>
          <w:lang w:val="en-US" w:eastAsia="zh-CN"/>
        </w:rPr>
      </w:pPr>
    </w:p>
    <w:p w14:paraId="3CADBD64">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四川省米易县麻陇彝族乡人民政府部门决算编制说明</w:t>
      </w:r>
    </w:p>
    <w:p w14:paraId="39C7E01C">
      <w:pPr>
        <w:jc w:val="center"/>
        <w:rPr>
          <w:rFonts w:hint="eastAsia" w:asciiTheme="majorEastAsia" w:hAnsiTheme="majorEastAsia" w:eastAsiaTheme="majorEastAsia" w:cstheme="majorEastAsia"/>
          <w:sz w:val="44"/>
          <w:szCs w:val="44"/>
          <w:lang w:val="en-US" w:eastAsia="zh-CN"/>
        </w:rPr>
      </w:pPr>
    </w:p>
    <w:p w14:paraId="69029DE6">
      <w:pPr>
        <w:jc w:val="center"/>
        <w:rPr>
          <w:rFonts w:hint="eastAsia" w:asciiTheme="majorEastAsia" w:hAnsiTheme="majorEastAsia" w:eastAsiaTheme="majorEastAsia" w:cstheme="majorEastAsia"/>
          <w:sz w:val="36"/>
          <w:szCs w:val="36"/>
          <w:lang w:val="en-US" w:eastAsia="zh-CN"/>
        </w:rPr>
      </w:pPr>
    </w:p>
    <w:p w14:paraId="209DB771">
      <w:pPr>
        <w:jc w:val="center"/>
        <w:rPr>
          <w:rFonts w:hint="eastAsia" w:asciiTheme="majorEastAsia" w:hAnsiTheme="majorEastAsia" w:eastAsiaTheme="majorEastAsia" w:cstheme="majorEastAsia"/>
          <w:sz w:val="36"/>
          <w:szCs w:val="36"/>
          <w:lang w:val="en-US" w:eastAsia="zh-CN"/>
        </w:rPr>
      </w:pPr>
    </w:p>
    <w:p w14:paraId="314206BF">
      <w:pPr>
        <w:jc w:val="center"/>
        <w:rPr>
          <w:rFonts w:hint="eastAsia" w:asciiTheme="majorEastAsia" w:hAnsiTheme="majorEastAsia" w:eastAsiaTheme="majorEastAsia" w:cstheme="majorEastAsia"/>
          <w:sz w:val="36"/>
          <w:szCs w:val="36"/>
          <w:lang w:val="en-US" w:eastAsia="zh-CN"/>
        </w:rPr>
      </w:pPr>
    </w:p>
    <w:p w14:paraId="221BFDAF">
      <w:pPr>
        <w:jc w:val="center"/>
        <w:rPr>
          <w:rFonts w:hint="eastAsia" w:asciiTheme="majorEastAsia" w:hAnsiTheme="majorEastAsia" w:eastAsiaTheme="majorEastAsia" w:cstheme="majorEastAsia"/>
          <w:sz w:val="36"/>
          <w:szCs w:val="36"/>
          <w:lang w:val="en-US" w:eastAsia="zh-CN"/>
        </w:rPr>
      </w:pPr>
    </w:p>
    <w:p w14:paraId="26E1A9AF">
      <w:pPr>
        <w:jc w:val="center"/>
        <w:rPr>
          <w:rFonts w:hint="eastAsia" w:asciiTheme="majorEastAsia" w:hAnsiTheme="majorEastAsia" w:eastAsiaTheme="majorEastAsia" w:cstheme="majorEastAsia"/>
          <w:sz w:val="36"/>
          <w:szCs w:val="36"/>
          <w:lang w:val="en-US" w:eastAsia="zh-CN"/>
        </w:rPr>
      </w:pPr>
    </w:p>
    <w:p w14:paraId="70B03D94">
      <w:pPr>
        <w:jc w:val="center"/>
        <w:rPr>
          <w:rFonts w:hint="eastAsia" w:asciiTheme="majorEastAsia" w:hAnsiTheme="majorEastAsia" w:eastAsiaTheme="majorEastAsia" w:cstheme="majorEastAsia"/>
          <w:sz w:val="36"/>
          <w:szCs w:val="36"/>
          <w:lang w:val="en-US" w:eastAsia="zh-CN"/>
        </w:rPr>
      </w:pPr>
    </w:p>
    <w:p w14:paraId="29C6929D">
      <w:pPr>
        <w:jc w:val="center"/>
        <w:rPr>
          <w:rFonts w:hint="eastAsia" w:asciiTheme="majorEastAsia" w:hAnsiTheme="majorEastAsia" w:eastAsiaTheme="majorEastAsia" w:cstheme="majorEastAsia"/>
          <w:sz w:val="36"/>
          <w:szCs w:val="36"/>
          <w:lang w:val="en-US" w:eastAsia="zh-CN"/>
        </w:rPr>
      </w:pPr>
    </w:p>
    <w:p w14:paraId="74A64A2A">
      <w:pPr>
        <w:jc w:val="center"/>
        <w:rPr>
          <w:rFonts w:hint="eastAsia" w:asciiTheme="majorEastAsia" w:hAnsiTheme="majorEastAsia" w:eastAsiaTheme="majorEastAsia" w:cstheme="majorEastAsia"/>
          <w:sz w:val="36"/>
          <w:szCs w:val="36"/>
          <w:lang w:val="en-US" w:eastAsia="zh-CN"/>
        </w:rPr>
      </w:pPr>
    </w:p>
    <w:p w14:paraId="11933F11">
      <w:pPr>
        <w:jc w:val="center"/>
        <w:rPr>
          <w:rFonts w:hint="eastAsia" w:asciiTheme="majorEastAsia" w:hAnsiTheme="majorEastAsia" w:eastAsiaTheme="majorEastAsia" w:cstheme="majorEastAsia"/>
          <w:sz w:val="36"/>
          <w:szCs w:val="36"/>
          <w:lang w:val="en-US" w:eastAsia="zh-CN"/>
        </w:rPr>
      </w:pPr>
    </w:p>
    <w:p w14:paraId="5F5099C8">
      <w:pPr>
        <w:jc w:val="center"/>
        <w:rPr>
          <w:rFonts w:hint="eastAsia" w:asciiTheme="majorEastAsia" w:hAnsiTheme="majorEastAsia" w:eastAsiaTheme="majorEastAsia" w:cstheme="majorEastAsia"/>
          <w:sz w:val="36"/>
          <w:szCs w:val="36"/>
          <w:lang w:val="en-US" w:eastAsia="zh-CN"/>
        </w:rPr>
      </w:pPr>
    </w:p>
    <w:p w14:paraId="2500D695">
      <w:pPr>
        <w:jc w:val="center"/>
        <w:rPr>
          <w:rFonts w:hint="eastAsia" w:asciiTheme="majorEastAsia" w:hAnsiTheme="majorEastAsia" w:eastAsiaTheme="majorEastAsia" w:cstheme="majorEastAsia"/>
          <w:sz w:val="36"/>
          <w:szCs w:val="36"/>
          <w:lang w:val="en-US" w:eastAsia="zh-CN"/>
        </w:rPr>
      </w:pPr>
    </w:p>
    <w:p w14:paraId="355964A9">
      <w:pPr>
        <w:jc w:val="center"/>
        <w:rPr>
          <w:rFonts w:hint="eastAsia" w:asciiTheme="majorEastAsia" w:hAnsiTheme="majorEastAsia" w:eastAsiaTheme="majorEastAsia" w:cstheme="majorEastAsia"/>
          <w:sz w:val="36"/>
          <w:szCs w:val="36"/>
          <w:lang w:val="en-US" w:eastAsia="zh-CN"/>
        </w:rPr>
      </w:pPr>
    </w:p>
    <w:p w14:paraId="506682D2">
      <w:pPr>
        <w:jc w:val="center"/>
        <w:rPr>
          <w:rFonts w:hint="eastAsia" w:asciiTheme="majorEastAsia" w:hAnsiTheme="majorEastAsia" w:eastAsiaTheme="majorEastAsia" w:cstheme="majorEastAsia"/>
          <w:sz w:val="36"/>
          <w:szCs w:val="36"/>
          <w:lang w:val="en-US" w:eastAsia="zh-CN"/>
        </w:rPr>
      </w:pPr>
    </w:p>
    <w:p w14:paraId="5761EBDD">
      <w:pPr>
        <w:jc w:val="center"/>
        <w:rPr>
          <w:rFonts w:hint="eastAsia" w:asciiTheme="majorEastAsia" w:hAnsiTheme="majorEastAsia" w:eastAsiaTheme="majorEastAsia" w:cstheme="majorEastAsia"/>
          <w:sz w:val="36"/>
          <w:szCs w:val="36"/>
          <w:lang w:val="en-US" w:eastAsia="zh-CN"/>
        </w:rPr>
      </w:pPr>
    </w:p>
    <w:p w14:paraId="7813349A">
      <w:pPr>
        <w:jc w:val="center"/>
        <w:rPr>
          <w:rFonts w:hint="eastAsia" w:asciiTheme="majorEastAsia" w:hAnsiTheme="majorEastAsia" w:eastAsiaTheme="majorEastAsia" w:cstheme="majorEastAsia"/>
          <w:sz w:val="36"/>
          <w:szCs w:val="36"/>
          <w:lang w:val="en-US" w:eastAsia="zh-CN"/>
        </w:rPr>
      </w:pPr>
    </w:p>
    <w:p w14:paraId="02C534C0">
      <w:pPr>
        <w:jc w:val="center"/>
        <w:rPr>
          <w:rFonts w:hint="eastAsia" w:asciiTheme="majorEastAsia" w:hAnsiTheme="majorEastAsia" w:eastAsiaTheme="majorEastAsia" w:cstheme="majorEastAsia"/>
          <w:sz w:val="36"/>
          <w:szCs w:val="36"/>
          <w:lang w:val="en-US" w:eastAsia="zh-CN"/>
        </w:rPr>
      </w:pPr>
    </w:p>
    <w:p w14:paraId="01DD9BDC">
      <w:pPr>
        <w:jc w:val="center"/>
        <w:rPr>
          <w:rFonts w:hint="eastAsia" w:asciiTheme="majorEastAsia" w:hAnsiTheme="majorEastAsia" w:eastAsiaTheme="majorEastAsia" w:cstheme="majorEastAsia"/>
          <w:sz w:val="36"/>
          <w:szCs w:val="36"/>
          <w:lang w:val="en-US" w:eastAsia="zh-CN"/>
        </w:rPr>
      </w:pPr>
    </w:p>
    <w:p w14:paraId="02D085D1">
      <w:pPr>
        <w:jc w:val="center"/>
        <w:rPr>
          <w:rFonts w:hint="eastAsia" w:asciiTheme="majorEastAsia" w:hAnsiTheme="majorEastAsia" w:eastAsiaTheme="majorEastAsia" w:cstheme="majorEastAsia"/>
          <w:sz w:val="36"/>
          <w:szCs w:val="36"/>
          <w:lang w:val="en-US" w:eastAsia="zh-CN"/>
        </w:rPr>
      </w:pPr>
    </w:p>
    <w:p w14:paraId="28CAE527">
      <w:pPr>
        <w:jc w:val="center"/>
        <w:rPr>
          <w:rFonts w:hint="eastAsia" w:asciiTheme="majorEastAsia" w:hAnsiTheme="majorEastAsia" w:eastAsiaTheme="majorEastAsia" w:cstheme="majorEastAsia"/>
          <w:sz w:val="36"/>
          <w:szCs w:val="36"/>
          <w:lang w:val="en-US" w:eastAsia="zh-CN"/>
        </w:rPr>
      </w:pPr>
    </w:p>
    <w:p w14:paraId="3DAD6BF6">
      <w:pPr>
        <w:widowControl/>
        <w:jc w:val="center"/>
        <w:rPr>
          <w:rFonts w:hint="eastAsia" w:ascii="黑体" w:hAnsi="黑体" w:eastAsia="黑体"/>
          <w:color w:val="000000"/>
          <w:sz w:val="48"/>
          <w:szCs w:val="48"/>
        </w:rPr>
      </w:pPr>
      <w:r>
        <w:rPr>
          <w:rFonts w:hint="eastAsia" w:ascii="黑体" w:hAnsi="黑体" w:eastAsia="黑体"/>
          <w:color w:val="000000"/>
          <w:sz w:val="48"/>
          <w:szCs w:val="48"/>
        </w:rPr>
        <w:t>目录</w:t>
      </w:r>
    </w:p>
    <w:p w14:paraId="3A075022">
      <w:pPr>
        <w:widowControl/>
        <w:jc w:val="center"/>
        <w:rPr>
          <w:rFonts w:hint="eastAsia" w:ascii="黑体" w:hAnsi="黑体" w:eastAsia="黑体"/>
          <w:color w:val="000000"/>
          <w:sz w:val="48"/>
          <w:szCs w:val="48"/>
        </w:rPr>
      </w:pPr>
    </w:p>
    <w:p w14:paraId="0FA9F114">
      <w:pPr>
        <w:pStyle w:val="6"/>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TOC \o "1-2" \h \z \u </w:instrText>
      </w:r>
      <w:r>
        <w:rPr>
          <w:rFonts w:ascii="仿宋" w:hAnsi="仿宋" w:eastAsia="仿宋"/>
          <w:sz w:val="28"/>
          <w:szCs w:val="28"/>
        </w:rPr>
        <w:fldChar w:fldCharType="separate"/>
      </w:r>
    </w:p>
    <w:p w14:paraId="0280AED6">
      <w:pPr>
        <w:pStyle w:val="6"/>
        <w:rPr>
          <w:rFonts w:ascii="仿宋" w:hAnsi="仿宋" w:eastAsia="仿宋"/>
          <w:sz w:val="28"/>
          <w:szCs w:val="28"/>
        </w:rPr>
      </w:pPr>
      <w:r>
        <w:rPr>
          <w:rFonts w:hint="eastAsia" w:ascii="仿宋" w:hAnsi="仿宋" w:eastAsia="仿宋"/>
          <w:sz w:val="28"/>
          <w:szCs w:val="28"/>
        </w:rPr>
        <w:t>公开时间：</w:t>
      </w:r>
      <w:r>
        <w:rPr>
          <w:rFonts w:ascii="仿宋" w:hAnsi="仿宋" w:eastAsia="仿宋"/>
          <w:sz w:val="28"/>
          <w:szCs w:val="28"/>
        </w:rPr>
        <w:t>2019</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3</w:t>
      </w:r>
      <w:r>
        <w:rPr>
          <w:rFonts w:hint="eastAsia" w:ascii="仿宋" w:hAnsi="仿宋" w:eastAsia="仿宋"/>
          <w:sz w:val="28"/>
          <w:szCs w:val="28"/>
        </w:rPr>
        <w:t>日</w:t>
      </w:r>
    </w:p>
    <w:p w14:paraId="26466CF5">
      <w:pPr>
        <w:pStyle w:val="6"/>
        <w:rPr>
          <w:rFonts w:ascii="仿宋" w:hAnsi="仿宋" w:eastAsia="仿宋"/>
          <w:sz w:val="28"/>
          <w:szCs w:val="28"/>
        </w:rPr>
      </w:pPr>
    </w:p>
    <w:p w14:paraId="0AFB43BE">
      <w:pPr>
        <w:pStyle w:val="6"/>
        <w:rPr>
          <w:rFonts w:ascii="仿宋" w:hAnsi="仿宋" w:eastAsia="仿宋"/>
          <w:sz w:val="28"/>
          <w:szCs w:val="28"/>
        </w:rPr>
      </w:pPr>
      <w:r>
        <w:fldChar w:fldCharType="begin"/>
      </w:r>
      <w:r>
        <w:instrText xml:space="preserve"> HYPERLINK \l "_Toc15396599" </w:instrText>
      </w:r>
      <w:r>
        <w:fldChar w:fldCharType="separate"/>
      </w:r>
      <w:r>
        <w:rPr>
          <w:rFonts w:hint="eastAsia" w:ascii="仿宋" w:hAnsi="仿宋" w:eastAsia="仿宋"/>
          <w:sz w:val="28"/>
          <w:szCs w:val="28"/>
        </w:rPr>
        <w:t>第一部分</w:t>
      </w:r>
      <w:r>
        <w:rPr>
          <w:rFonts w:ascii="仿宋" w:hAnsi="仿宋" w:eastAsia="仿宋"/>
          <w:sz w:val="28"/>
          <w:szCs w:val="28"/>
        </w:rPr>
        <w:t xml:space="preserve"> </w:t>
      </w:r>
      <w:r>
        <w:rPr>
          <w:rFonts w:hint="eastAsia" w:ascii="仿宋" w:hAnsi="仿宋" w:eastAsia="仿宋"/>
          <w:sz w:val="28"/>
          <w:szCs w:val="28"/>
        </w:rPr>
        <w:t>部门概况</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14:paraId="0A33C59F">
      <w:pPr>
        <w:pStyle w:val="6"/>
        <w:rPr>
          <w:rFonts w:ascii="仿宋" w:hAnsi="仿宋" w:eastAsia="仿宋"/>
          <w:sz w:val="28"/>
          <w:szCs w:val="28"/>
        </w:rPr>
      </w:pPr>
      <w:r>
        <w:fldChar w:fldCharType="begin"/>
      </w:r>
      <w:r>
        <w:instrText xml:space="preserve"> HYPERLINK \l "_Toc15396600" </w:instrText>
      </w:r>
      <w:r>
        <w:fldChar w:fldCharType="separate"/>
      </w:r>
      <w:r>
        <w:rPr>
          <w:rFonts w:hint="eastAsia"/>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14:paraId="67C77D14">
      <w:pPr>
        <w:pStyle w:val="6"/>
        <w:rPr>
          <w:rFonts w:ascii="仿宋" w:hAnsi="仿宋" w:eastAsia="仿宋"/>
          <w:sz w:val="28"/>
          <w:szCs w:val="28"/>
        </w:rPr>
      </w:pPr>
      <w:r>
        <w:fldChar w:fldCharType="begin"/>
      </w:r>
      <w:r>
        <w:instrText xml:space="preserve"> HYPERLINK \l "_Toc15396601" </w:instrText>
      </w:r>
      <w:r>
        <w:fldChar w:fldCharType="separate"/>
      </w:r>
      <w:r>
        <w:rPr>
          <w:rFonts w:hint="eastAsia"/>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4E2F7ED8">
      <w:pPr>
        <w:pStyle w:val="6"/>
        <w:rPr>
          <w:rFonts w:ascii="仿宋" w:hAnsi="仿宋" w:eastAsia="仿宋"/>
          <w:sz w:val="28"/>
          <w:szCs w:val="28"/>
        </w:rPr>
      </w:pPr>
      <w:r>
        <w:fldChar w:fldCharType="begin"/>
      </w:r>
      <w:r>
        <w:instrText xml:space="preserve"> HYPERLINK \l "_Toc15396602" </w:instrText>
      </w:r>
      <w:r>
        <w:fldChar w:fldCharType="separate"/>
      </w:r>
      <w:r>
        <w:rPr>
          <w:rFonts w:hint="eastAsia" w:ascii="仿宋" w:hAnsi="仿宋" w:eastAsia="仿宋"/>
          <w:sz w:val="28"/>
          <w:szCs w:val="28"/>
        </w:rPr>
        <w:t>第二部分</w:t>
      </w:r>
      <w:r>
        <w:rPr>
          <w:rFonts w:ascii="仿宋" w:hAnsi="仿宋" w:eastAsia="仿宋"/>
          <w:sz w:val="28"/>
          <w:szCs w:val="28"/>
        </w:rPr>
        <w:t xml:space="preserve"> 2018</w:t>
      </w:r>
      <w:r>
        <w:rPr>
          <w:rFonts w:hint="eastAsia" w:ascii="仿宋" w:hAnsi="仿宋" w:eastAsia="仿宋"/>
          <w:sz w:val="28"/>
          <w:szCs w:val="28"/>
        </w:rPr>
        <w:t>年度部门决算情况说明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_Toc15396602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7BDBEBA1">
      <w:pPr>
        <w:pStyle w:val="6"/>
        <w:rPr>
          <w:rFonts w:ascii="仿宋" w:hAnsi="仿宋" w:eastAsia="仿宋"/>
          <w:sz w:val="28"/>
          <w:szCs w:val="28"/>
        </w:rPr>
      </w:pPr>
      <w:r>
        <w:fldChar w:fldCharType="begin"/>
      </w:r>
      <w:r>
        <w:instrText xml:space="preserve"> HYPERLINK \l "_Toc15396603" </w:instrText>
      </w:r>
      <w:r>
        <w:fldChar w:fldCharType="separate"/>
      </w:r>
      <w:r>
        <w:rPr>
          <w:rFonts w:hint="eastAsia"/>
        </w:rPr>
        <w:t>一、收入支出决算总体情况说明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7650B26A">
      <w:pPr>
        <w:pStyle w:val="6"/>
        <w:rPr>
          <w:rFonts w:ascii="仿宋" w:hAnsi="仿宋" w:eastAsia="仿宋"/>
          <w:sz w:val="28"/>
          <w:szCs w:val="28"/>
        </w:rPr>
      </w:pPr>
      <w:r>
        <w:fldChar w:fldCharType="begin"/>
      </w:r>
      <w:r>
        <w:instrText xml:space="preserve"> HYPERLINK \l "_Toc15396604" </w:instrText>
      </w:r>
      <w:r>
        <w:fldChar w:fldCharType="separate"/>
      </w:r>
      <w:r>
        <w:rPr>
          <w:rFonts w:hint="eastAsia"/>
        </w:rPr>
        <w:t>二、收入决算情况说明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1AE6C8D">
      <w:pPr>
        <w:pStyle w:val="6"/>
        <w:rPr>
          <w:rFonts w:ascii="仿宋" w:hAnsi="仿宋" w:eastAsia="仿宋"/>
          <w:sz w:val="28"/>
          <w:szCs w:val="28"/>
        </w:rPr>
      </w:pPr>
      <w:r>
        <w:fldChar w:fldCharType="begin"/>
      </w:r>
      <w:r>
        <w:instrText xml:space="preserve"> HYPERLINK \l "_Toc15396605" </w:instrText>
      </w:r>
      <w:r>
        <w:fldChar w:fldCharType="separate"/>
      </w:r>
      <w:r>
        <w:rPr>
          <w:rFonts w:hint="eastAsia"/>
        </w:rPr>
        <w:t>三、支出决算情况说明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30493529">
      <w:pPr>
        <w:pStyle w:val="6"/>
        <w:rPr>
          <w:rFonts w:ascii="仿宋" w:hAnsi="仿宋" w:eastAsia="仿宋"/>
          <w:sz w:val="28"/>
          <w:szCs w:val="28"/>
        </w:rPr>
      </w:pPr>
      <w:r>
        <w:fldChar w:fldCharType="begin"/>
      </w:r>
      <w:r>
        <w:instrText xml:space="preserve"> HYPERLINK \l "_Toc15396606" </w:instrText>
      </w:r>
      <w:r>
        <w:fldChar w:fldCharType="separate"/>
      </w:r>
      <w:r>
        <w:rPr>
          <w:rFonts w:hint="eastAsia"/>
        </w:rPr>
        <w:t>四、财政拨款收入支出决算总体情况说明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4FBE5268">
      <w:pPr>
        <w:pStyle w:val="6"/>
        <w:rPr>
          <w:rFonts w:ascii="仿宋" w:hAnsi="仿宋" w:eastAsia="仿宋"/>
          <w:sz w:val="28"/>
          <w:szCs w:val="28"/>
        </w:rPr>
      </w:pPr>
      <w:r>
        <w:fldChar w:fldCharType="begin"/>
      </w:r>
      <w:r>
        <w:instrText xml:space="preserve"> HYPERLINK \l "_Toc15396607" </w:instrText>
      </w:r>
      <w:r>
        <w:fldChar w:fldCharType="separate"/>
      </w:r>
      <w:r>
        <w:rPr>
          <w:rFonts w:hint="eastAsia"/>
        </w:rPr>
        <w:t>五、一般公共预算财政拨款支出决算情况说明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084C3F0A">
      <w:pPr>
        <w:pStyle w:val="6"/>
        <w:rPr>
          <w:rFonts w:ascii="仿宋" w:hAnsi="仿宋" w:eastAsia="仿宋"/>
          <w:sz w:val="28"/>
          <w:szCs w:val="28"/>
        </w:rPr>
      </w:pPr>
      <w:r>
        <w:fldChar w:fldCharType="begin"/>
      </w:r>
      <w:r>
        <w:instrText xml:space="preserve"> HYPERLINK \l "_Toc15396608" </w:instrText>
      </w:r>
      <w:r>
        <w:fldChar w:fldCharType="separate"/>
      </w:r>
      <w:r>
        <w:rPr>
          <w:rFonts w:hint="eastAsia"/>
        </w:rPr>
        <w:t>六、一般公共预算财政拨款基本支出决算情况说明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2D52C23D">
      <w:pPr>
        <w:pStyle w:val="6"/>
        <w:rPr>
          <w:rFonts w:ascii="仿宋" w:hAnsi="仿宋" w:eastAsia="仿宋"/>
          <w:sz w:val="28"/>
          <w:szCs w:val="28"/>
        </w:rPr>
      </w:pPr>
      <w:r>
        <w:fldChar w:fldCharType="begin"/>
      </w:r>
      <w:r>
        <w:instrText xml:space="preserve"> HYPERLINK \l "_Toc15396609" </w:instrText>
      </w:r>
      <w:r>
        <w:fldChar w:fldCharType="separate"/>
      </w:r>
      <w:r>
        <w:rPr>
          <w:rFonts w:hint="eastAsia"/>
        </w:rPr>
        <w:t>七、“三公”经费财政拨款支出决算情况说明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AE74B52">
      <w:pPr>
        <w:pStyle w:val="6"/>
        <w:rPr>
          <w:rFonts w:ascii="仿宋" w:hAnsi="仿宋" w:eastAsia="仿宋"/>
          <w:sz w:val="28"/>
          <w:szCs w:val="28"/>
        </w:rPr>
      </w:pPr>
      <w:r>
        <w:fldChar w:fldCharType="begin"/>
      </w:r>
      <w:r>
        <w:instrText xml:space="preserve"> HYPERLINK \l "_Toc15396610" </w:instrText>
      </w:r>
      <w:r>
        <w:fldChar w:fldCharType="separate"/>
      </w:r>
      <w:r>
        <w:rPr>
          <w:rFonts w:hint="eastAsia"/>
        </w:rPr>
        <w:t>八、政府性基金预算支出决算情况说明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2F55B601">
      <w:pPr>
        <w:pStyle w:val="6"/>
        <w:rPr>
          <w:rFonts w:ascii="仿宋" w:hAnsi="仿宋" w:eastAsia="仿宋"/>
          <w:sz w:val="28"/>
          <w:szCs w:val="28"/>
        </w:rPr>
      </w:pPr>
      <w:r>
        <w:fldChar w:fldCharType="begin"/>
      </w:r>
      <w:r>
        <w:instrText xml:space="preserve"> HYPERLINK \l "_Toc15396611" </w:instrText>
      </w:r>
      <w:r>
        <w:fldChar w:fldCharType="separate"/>
      </w:r>
      <w:r>
        <w:rPr>
          <w:rFonts w:hint="eastAsia"/>
        </w:rPr>
        <w:t>九、</w:t>
      </w:r>
      <w:r>
        <w:t xml:space="preserve"> </w:t>
      </w:r>
      <w:r>
        <w:rPr>
          <w:rFonts w:hint="eastAsia"/>
        </w:rPr>
        <w:t>国有资本经营预算支出决算情况说明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771D6A15">
      <w:pPr>
        <w:pStyle w:val="6"/>
        <w:rPr>
          <w:rFonts w:ascii="仿宋" w:hAnsi="仿宋" w:eastAsia="仿宋"/>
          <w:sz w:val="28"/>
          <w:szCs w:val="28"/>
        </w:rPr>
      </w:pPr>
      <w:r>
        <w:fldChar w:fldCharType="begin"/>
      </w:r>
      <w:r>
        <w:instrText xml:space="preserve"> HYPERLINK \l "_Toc15396612" </w:instrText>
      </w:r>
      <w:r>
        <w:fldChar w:fldCharType="separate"/>
      </w:r>
      <w:r>
        <w:rPr>
          <w:rFonts w:hint="eastAsia"/>
        </w:rPr>
        <w:t>十一、其他重要事项的情况说明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706A9FCE">
      <w:pPr>
        <w:pStyle w:val="6"/>
        <w:rPr>
          <w:rFonts w:ascii="仿宋" w:hAnsi="仿宋" w:eastAsia="仿宋"/>
          <w:sz w:val="28"/>
          <w:szCs w:val="28"/>
        </w:rPr>
      </w:pPr>
      <w:r>
        <w:fldChar w:fldCharType="begin"/>
      </w:r>
      <w:r>
        <w:instrText xml:space="preserve"> HYPERLINK \l "_Toc15396613" </w:instrText>
      </w:r>
      <w:r>
        <w:fldChar w:fldCharType="separate"/>
      </w:r>
      <w:r>
        <w:rPr>
          <w:rFonts w:hint="eastAsia" w:ascii="仿宋" w:hAnsi="仿宋" w:eastAsia="仿宋"/>
          <w:sz w:val="28"/>
          <w:szCs w:val="28"/>
        </w:rPr>
        <w:t>第三部分</w:t>
      </w:r>
      <w:r>
        <w:rPr>
          <w:rFonts w:ascii="仿宋" w:hAnsi="仿宋" w:eastAsia="仿宋"/>
          <w:sz w:val="28"/>
          <w:szCs w:val="28"/>
        </w:rPr>
        <w:t xml:space="preserve"> </w:t>
      </w:r>
      <w:r>
        <w:rPr>
          <w:rFonts w:hint="eastAsia" w:ascii="仿宋" w:hAnsi="仿宋" w:eastAsia="仿宋"/>
          <w:sz w:val="28"/>
          <w:szCs w:val="28"/>
        </w:rPr>
        <w:t>名词解释</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_Toc15396613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3A9B8E23">
      <w:pPr>
        <w:pStyle w:val="6"/>
        <w:rPr>
          <w:rFonts w:ascii="仿宋" w:hAnsi="仿宋" w:eastAsia="仿宋"/>
          <w:sz w:val="28"/>
          <w:szCs w:val="28"/>
        </w:rPr>
      </w:pPr>
      <w:r>
        <w:fldChar w:fldCharType="begin"/>
      </w:r>
      <w:r>
        <w:instrText xml:space="preserve"> HYPERLINK \l "_Toc15396614" </w:instrText>
      </w:r>
      <w:r>
        <w:fldChar w:fldCharType="separate"/>
      </w:r>
      <w:r>
        <w:rPr>
          <w:rFonts w:hint="eastAsia" w:ascii="仿宋" w:hAnsi="仿宋" w:eastAsia="仿宋"/>
          <w:sz w:val="28"/>
          <w:szCs w:val="28"/>
        </w:rPr>
        <w:t>第四部分</w:t>
      </w:r>
      <w:r>
        <w:rPr>
          <w:rFonts w:ascii="仿宋" w:hAnsi="仿宋" w:eastAsia="仿宋"/>
          <w:sz w:val="28"/>
          <w:szCs w:val="28"/>
        </w:rPr>
        <w:t xml:space="preserve"> </w:t>
      </w:r>
      <w:r>
        <w:rPr>
          <w:rFonts w:hint="eastAsia" w:ascii="仿宋" w:hAnsi="仿宋" w:eastAsia="仿宋"/>
          <w:sz w:val="28"/>
          <w:szCs w:val="28"/>
        </w:rPr>
        <w:t>附件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_Toc15396614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083FD727">
      <w:pPr>
        <w:pStyle w:val="6"/>
        <w:rPr>
          <w:rFonts w:ascii="仿宋" w:hAnsi="仿宋" w:eastAsia="仿宋"/>
          <w:sz w:val="28"/>
          <w:szCs w:val="28"/>
        </w:rPr>
      </w:pPr>
      <w:r>
        <w:fldChar w:fldCharType="begin"/>
      </w:r>
      <w:r>
        <w:instrText xml:space="preserve"> HYPERLINK \l "_Toc15396615" </w:instrText>
      </w:r>
      <w:r>
        <w:fldChar w:fldCharType="separate"/>
      </w:r>
      <w:r>
        <w:rPr>
          <w:rFonts w:hint="eastAsia"/>
        </w:rPr>
        <w:t>附件</w:t>
      </w:r>
      <w: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29711057">
      <w:pPr>
        <w:pStyle w:val="6"/>
        <w:rPr>
          <w:rFonts w:ascii="仿宋" w:hAnsi="仿宋" w:eastAsia="仿宋"/>
          <w:sz w:val="28"/>
          <w:szCs w:val="28"/>
        </w:rPr>
      </w:pPr>
      <w:r>
        <w:fldChar w:fldCharType="begin"/>
      </w:r>
      <w:r>
        <w:instrText xml:space="preserve"> HYPERLINK \l "_Toc15396617" </w:instrText>
      </w:r>
      <w:r>
        <w:fldChar w:fldCharType="separate"/>
      </w:r>
      <w:r>
        <w:rPr>
          <w:rFonts w:hint="eastAsia"/>
        </w:rPr>
        <w:t>附件</w:t>
      </w:r>
      <w: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1FC44134">
      <w:pPr>
        <w:pStyle w:val="6"/>
        <w:rPr>
          <w:rFonts w:ascii="仿宋" w:hAnsi="仿宋" w:eastAsia="仿宋"/>
          <w:sz w:val="28"/>
          <w:szCs w:val="28"/>
        </w:rPr>
      </w:pPr>
      <w:r>
        <w:fldChar w:fldCharType="begin"/>
      </w:r>
      <w:r>
        <w:instrText xml:space="preserve"> HYPERLINK \l "_Toc15396618" </w:instrText>
      </w:r>
      <w:r>
        <w:fldChar w:fldCharType="separate"/>
      </w:r>
      <w:r>
        <w:rPr>
          <w:rFonts w:hint="eastAsia" w:ascii="仿宋" w:hAnsi="仿宋" w:eastAsia="仿宋"/>
          <w:sz w:val="28"/>
          <w:szCs w:val="28"/>
        </w:rPr>
        <w:t>第五部分</w:t>
      </w:r>
      <w:r>
        <w:rPr>
          <w:rFonts w:ascii="仿宋" w:hAnsi="仿宋" w:eastAsia="仿宋"/>
          <w:sz w:val="28"/>
          <w:szCs w:val="28"/>
        </w:rPr>
        <w:t xml:space="preserve"> </w:t>
      </w:r>
      <w:r>
        <w:rPr>
          <w:rFonts w:hint="eastAsia" w:ascii="仿宋" w:hAnsi="仿宋" w:eastAsia="仿宋"/>
          <w:sz w:val="28"/>
          <w:szCs w:val="28"/>
        </w:rPr>
        <w:t>附表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CB64F8C">
      <w:pPr>
        <w:pStyle w:val="6"/>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Fonts w:hint="eastAsia"/>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059EACF">
      <w:pPr>
        <w:pStyle w:val="6"/>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Fonts w:hint="eastAsia"/>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5A75C17">
      <w:pPr>
        <w:pStyle w:val="6"/>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Fonts w:hint="eastAsia"/>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CC5B9AF">
      <w:pPr>
        <w:pStyle w:val="6"/>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Fonts w:hint="eastAsia"/>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C39B0F0">
      <w:pPr>
        <w:pStyle w:val="6"/>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2F29C64">
      <w:pPr>
        <w:pStyle w:val="6"/>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Fonts w:hint="eastAsia"/>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2670593">
      <w:pPr>
        <w:pStyle w:val="6"/>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Fonts w:hint="eastAsia"/>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E1F04DA">
      <w:pPr>
        <w:pStyle w:val="6"/>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Fonts w:hint="eastAsia"/>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1858982">
      <w:pPr>
        <w:pStyle w:val="6"/>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Fonts w:hint="eastAsia"/>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76CA8DC">
      <w:pPr>
        <w:pStyle w:val="6"/>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Fonts w:hint="eastAsia"/>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1B95BC8">
      <w:pPr>
        <w:pStyle w:val="6"/>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Fonts w:hint="eastAsia"/>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285C7FA">
      <w:pPr>
        <w:pStyle w:val="6"/>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Fonts w:hint="eastAsia"/>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7BA266B">
      <w:pPr>
        <w:pStyle w:val="6"/>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Fonts w:hint="eastAsia"/>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A2CA239">
      <w:pPr>
        <w:pStyle w:val="6"/>
        <w:rPr>
          <w:rFonts w:ascii="仿宋" w:hAnsi="仿宋" w:eastAsia="仿宋"/>
          <w:sz w:val="28"/>
          <w:szCs w:val="28"/>
        </w:rPr>
      </w:pPr>
      <w:r>
        <w:rPr>
          <w:rFonts w:ascii="仿宋" w:hAnsi="仿宋" w:eastAsia="仿宋"/>
          <w:sz w:val="28"/>
          <w:szCs w:val="28"/>
        </w:rPr>
        <w:fldChar w:fldCharType="end"/>
      </w:r>
      <w:r>
        <w:rPr>
          <w:rFonts w:hint="eastAsia" w:ascii="仿宋" w:hAnsi="仿宋" w:eastAsia="仿宋"/>
          <w:sz w:val="28"/>
          <w:szCs w:val="28"/>
        </w:rPr>
        <w:t xml:space="preserve"> 十四、2018年政府采购执行情况表</w:t>
      </w:r>
    </w:p>
    <w:p w14:paraId="7B3F21BE">
      <w:pPr>
        <w:pStyle w:val="6"/>
        <w:rPr>
          <w:rFonts w:ascii="仿宋" w:hAnsi="仿宋" w:eastAsia="仿宋"/>
          <w:sz w:val="28"/>
          <w:szCs w:val="28"/>
        </w:rPr>
      </w:pPr>
      <w:r>
        <w:rPr>
          <w:rFonts w:hint="eastAsia" w:ascii="仿宋" w:hAnsi="仿宋" w:eastAsia="仿宋"/>
          <w:sz w:val="28"/>
          <w:szCs w:val="28"/>
        </w:rPr>
        <w:t>十五、2018年度机关运行经费及国有资产占用情况表</w:t>
      </w:r>
    </w:p>
    <w:p w14:paraId="3524C849">
      <w:pPr>
        <w:jc w:val="center"/>
        <w:rPr>
          <w:rFonts w:hint="eastAsia" w:asciiTheme="majorEastAsia" w:hAnsiTheme="majorEastAsia" w:eastAsiaTheme="majorEastAsia" w:cstheme="majorEastAsia"/>
          <w:sz w:val="36"/>
          <w:szCs w:val="36"/>
          <w:lang w:val="en-US" w:eastAsia="zh-CN"/>
        </w:rPr>
      </w:pPr>
    </w:p>
    <w:p w14:paraId="50D7120D">
      <w:pPr>
        <w:jc w:val="both"/>
        <w:rPr>
          <w:rFonts w:hint="eastAsia" w:asciiTheme="majorEastAsia" w:hAnsiTheme="majorEastAsia" w:eastAsiaTheme="majorEastAsia" w:cstheme="majorEastAsia"/>
          <w:sz w:val="36"/>
          <w:szCs w:val="36"/>
          <w:lang w:val="en-US" w:eastAsia="zh-CN"/>
        </w:rPr>
      </w:pPr>
    </w:p>
    <w:p w14:paraId="7AF3E96F">
      <w:pPr>
        <w:jc w:val="center"/>
        <w:rPr>
          <w:rFonts w:hint="eastAsia" w:asciiTheme="majorEastAsia" w:hAnsiTheme="majorEastAsia" w:eastAsiaTheme="majorEastAsia" w:cstheme="majorEastAsia"/>
          <w:sz w:val="36"/>
          <w:szCs w:val="36"/>
          <w:lang w:val="en-US" w:eastAsia="zh-CN"/>
        </w:rPr>
      </w:pPr>
    </w:p>
    <w:p w14:paraId="3FB87F8E">
      <w:pPr>
        <w:numPr>
          <w:ilvl w:val="0"/>
          <w:numId w:val="1"/>
        </w:numPr>
        <w:jc w:val="center"/>
        <w:rPr>
          <w:rFonts w:hint="eastAsia" w:asciiTheme="majorEastAsia" w:hAnsiTheme="majorEastAsia" w:eastAsiaTheme="majorEastAsia" w:cstheme="majorEastAsia"/>
          <w:sz w:val="36"/>
          <w:szCs w:val="36"/>
          <w:lang w:val="en-US" w:eastAsia="zh-CN"/>
        </w:rPr>
      </w:pPr>
      <w:r>
        <w:rPr>
          <w:rFonts w:hint="eastAsia" w:asciiTheme="majorEastAsia" w:hAnsiTheme="majorEastAsia" w:eastAsiaTheme="majorEastAsia" w:cstheme="majorEastAsia"/>
          <w:sz w:val="36"/>
          <w:szCs w:val="36"/>
          <w:lang w:val="en-US" w:eastAsia="zh-CN"/>
        </w:rPr>
        <w:t>部门概况</w:t>
      </w:r>
    </w:p>
    <w:p w14:paraId="64029EA1">
      <w:pPr>
        <w:numPr>
          <w:ilvl w:val="0"/>
          <w:numId w:val="0"/>
        </w:numPr>
        <w:jc w:val="both"/>
        <w:rPr>
          <w:rFonts w:hint="eastAsia" w:asciiTheme="majorEastAsia" w:hAnsiTheme="majorEastAsia" w:eastAsiaTheme="majorEastAsia" w:cstheme="majorEastAsia"/>
          <w:sz w:val="36"/>
          <w:szCs w:val="36"/>
          <w:lang w:val="en-US" w:eastAsia="zh-CN"/>
        </w:rPr>
      </w:pPr>
    </w:p>
    <w:p w14:paraId="3ADBF60E">
      <w:pPr>
        <w:numPr>
          <w:ilvl w:val="0"/>
          <w:numId w:val="2"/>
        </w:numPr>
        <w:jc w:val="both"/>
        <w:rPr>
          <w:rFonts w:hint="eastAsia" w:asciiTheme="majorEastAsia" w:hAnsiTheme="majorEastAsia" w:eastAsiaTheme="majorEastAsia" w:cstheme="majorEastAsia"/>
          <w:sz w:val="36"/>
          <w:szCs w:val="36"/>
          <w:lang w:val="en-US" w:eastAsia="zh-CN"/>
        </w:rPr>
      </w:pPr>
      <w:r>
        <w:rPr>
          <w:rFonts w:hint="eastAsia" w:asciiTheme="majorEastAsia" w:hAnsiTheme="majorEastAsia" w:eastAsiaTheme="majorEastAsia" w:cstheme="majorEastAsia"/>
          <w:sz w:val="36"/>
          <w:szCs w:val="36"/>
          <w:lang w:val="en-US" w:eastAsia="zh-CN"/>
        </w:rPr>
        <w:t>基本职能及主要工作</w:t>
      </w:r>
    </w:p>
    <w:p w14:paraId="23C0D7A6">
      <w:pPr>
        <w:numPr>
          <w:ilvl w:val="0"/>
          <w:numId w:val="3"/>
        </w:numPr>
        <w:jc w:val="both"/>
        <w:rPr>
          <w:rFonts w:hint="eastAsia" w:asciiTheme="majorEastAsia" w:hAnsiTheme="majorEastAsia" w:eastAsiaTheme="majorEastAsia" w:cstheme="majorEastAsia"/>
          <w:sz w:val="36"/>
          <w:szCs w:val="36"/>
          <w:lang w:val="en-US" w:eastAsia="zh-CN"/>
        </w:rPr>
      </w:pPr>
      <w:r>
        <w:rPr>
          <w:rFonts w:hint="eastAsia" w:asciiTheme="majorEastAsia" w:hAnsiTheme="majorEastAsia" w:eastAsiaTheme="majorEastAsia" w:cstheme="majorEastAsia"/>
          <w:sz w:val="36"/>
          <w:szCs w:val="36"/>
          <w:lang w:val="en-US" w:eastAsia="zh-CN"/>
        </w:rPr>
        <w:t>主要职能</w:t>
      </w:r>
    </w:p>
    <w:p w14:paraId="7A059916">
      <w:pPr>
        <w:numPr>
          <w:ilvl w:val="0"/>
          <w:numId w:val="0"/>
        </w:numPr>
        <w:ind w:firstLine="640" w:firstLineChars="200"/>
        <w:jc w:val="both"/>
        <w:rPr>
          <w:rFonts w:hint="eastAsia" w:ascii="仿宋_GB2312" w:hAnsi="仿宋_GB2312" w:eastAsia="仿宋_GB2312" w:cs="仿宋_GB2312"/>
          <w:b w:val="0"/>
          <w:i w:val="0"/>
          <w:caps w:val="0"/>
          <w:color w:val="333333"/>
          <w:spacing w:val="0"/>
          <w:sz w:val="32"/>
          <w:szCs w:val="32"/>
          <w:shd w:val="clear" w:fill="FFFFFF"/>
          <w:lang w:eastAsia="zh-CN"/>
        </w:rPr>
      </w:pPr>
      <w:r>
        <w:rPr>
          <w:rFonts w:ascii="仿宋_GB2312" w:hAnsi="仿宋_GB2312" w:eastAsia="仿宋_GB2312" w:cs="仿宋_GB2312"/>
          <w:b w:val="0"/>
          <w:i w:val="0"/>
          <w:caps w:val="0"/>
          <w:color w:val="333333"/>
          <w:spacing w:val="0"/>
          <w:sz w:val="32"/>
          <w:szCs w:val="32"/>
          <w:shd w:val="clear" w:fill="FFFFFF"/>
        </w:rPr>
        <w:t>米易县</w:t>
      </w:r>
      <w:r>
        <w:rPr>
          <w:rFonts w:hint="eastAsia" w:hAnsi="仿宋_GB2312" w:cs="仿宋_GB2312"/>
          <w:b w:val="0"/>
          <w:i w:val="0"/>
          <w:caps w:val="0"/>
          <w:color w:val="333333"/>
          <w:spacing w:val="0"/>
          <w:sz w:val="32"/>
          <w:szCs w:val="32"/>
          <w:shd w:val="clear" w:fill="FFFFFF"/>
          <w:lang w:eastAsia="zh-CN"/>
        </w:rPr>
        <w:t>麻陇彝族乡</w:t>
      </w:r>
      <w:r>
        <w:rPr>
          <w:rFonts w:ascii="仿宋_GB2312" w:hAnsi="仿宋_GB2312" w:eastAsia="仿宋_GB2312" w:cs="仿宋_GB2312"/>
          <w:b w:val="0"/>
          <w:i w:val="0"/>
          <w:caps w:val="0"/>
          <w:color w:val="333333"/>
          <w:spacing w:val="0"/>
          <w:sz w:val="32"/>
          <w:szCs w:val="32"/>
          <w:shd w:val="clear" w:fill="FFFFFF"/>
        </w:rPr>
        <w:t>人民政府基本职能是负责辖区内综合事务管理：落实政策、促进发展、维护稳定、加强管理、提供服务。下属事业机构配合相应县级职能主管部门对农业、便民服务、计生服务、畜牧兽医进行分类管理和服务</w:t>
      </w:r>
      <w:r>
        <w:rPr>
          <w:rFonts w:hint="eastAsia" w:ascii="仿宋_GB2312" w:hAnsi="仿宋_GB2312" w:eastAsia="仿宋_GB2312" w:cs="仿宋_GB2312"/>
          <w:b w:val="0"/>
          <w:i w:val="0"/>
          <w:caps w:val="0"/>
          <w:color w:val="333333"/>
          <w:spacing w:val="0"/>
          <w:sz w:val="32"/>
          <w:szCs w:val="32"/>
          <w:shd w:val="clear" w:fill="FFFFFF"/>
          <w:lang w:eastAsia="zh-CN"/>
        </w:rPr>
        <w:t>。</w:t>
      </w:r>
    </w:p>
    <w:p w14:paraId="70AE4C89">
      <w:pPr>
        <w:numPr>
          <w:ilvl w:val="0"/>
          <w:numId w:val="0"/>
        </w:numPr>
        <w:jc w:val="both"/>
        <w:rPr>
          <w:rFonts w:hint="eastAsia" w:ascii="仿宋_GB2312" w:hAnsi="仿宋_GB2312" w:eastAsia="仿宋_GB2312" w:cs="仿宋_GB2312"/>
          <w:b w:val="0"/>
          <w:i w:val="0"/>
          <w:caps w:val="0"/>
          <w:color w:val="333333"/>
          <w:spacing w:val="0"/>
          <w:sz w:val="32"/>
          <w:szCs w:val="32"/>
          <w:shd w:val="clear" w:fill="FFFFFF"/>
          <w:lang w:val="en-US" w:eastAsia="zh-CN"/>
        </w:rPr>
      </w:pPr>
      <w:r>
        <w:rPr>
          <w:rFonts w:hint="eastAsia" w:ascii="仿宋_GB2312" w:hAnsi="仿宋_GB2312" w:eastAsia="仿宋_GB2312" w:cs="仿宋_GB2312"/>
          <w:b w:val="0"/>
          <w:i w:val="0"/>
          <w:caps w:val="0"/>
          <w:color w:val="333333"/>
          <w:spacing w:val="0"/>
          <w:sz w:val="32"/>
          <w:szCs w:val="32"/>
          <w:shd w:val="clear" w:fill="FFFFFF"/>
          <w:lang w:eastAsia="zh-CN"/>
        </w:rPr>
        <w:t>（二）</w:t>
      </w:r>
      <w:r>
        <w:rPr>
          <w:rFonts w:hint="eastAsia" w:ascii="仿宋_GB2312" w:hAnsi="仿宋_GB2312" w:eastAsia="仿宋_GB2312" w:cs="仿宋_GB2312"/>
          <w:b w:val="0"/>
          <w:i w:val="0"/>
          <w:caps w:val="0"/>
          <w:color w:val="333333"/>
          <w:spacing w:val="0"/>
          <w:sz w:val="32"/>
          <w:szCs w:val="32"/>
          <w:shd w:val="clear" w:fill="FFFFFF"/>
          <w:lang w:val="en-US" w:eastAsia="zh-CN"/>
        </w:rPr>
        <w:t>2018年重点工作完成情况。</w:t>
      </w:r>
    </w:p>
    <w:p w14:paraId="17F34713">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2018年，实现乡域生产总值</w:t>
      </w:r>
      <w:r>
        <w:rPr>
          <w:rFonts w:hint="eastAsia" w:ascii="仿宋_GB2312" w:eastAsia="仿宋_GB2312"/>
          <w:sz w:val="32"/>
          <w:szCs w:val="32"/>
          <w:lang w:val="en-US" w:eastAsia="zh-CN"/>
        </w:rPr>
        <w:t>10340</w:t>
      </w:r>
      <w:r>
        <w:rPr>
          <w:rFonts w:hint="eastAsia" w:ascii="仿宋_GB2312" w:eastAsia="仿宋_GB2312"/>
          <w:sz w:val="32"/>
          <w:szCs w:val="32"/>
        </w:rPr>
        <w:t>万元，占目标任务的</w:t>
      </w:r>
      <w:r>
        <w:rPr>
          <w:rFonts w:hint="eastAsia" w:ascii="仿宋_GB2312" w:eastAsia="仿宋_GB2312"/>
          <w:sz w:val="32"/>
          <w:szCs w:val="32"/>
          <w:lang w:val="en-US" w:eastAsia="zh-CN"/>
        </w:rPr>
        <w:t>108.5</w:t>
      </w:r>
      <w:r>
        <w:rPr>
          <w:rFonts w:hint="eastAsia" w:ascii="仿宋_GB2312" w:eastAsia="仿宋_GB2312"/>
          <w:sz w:val="32"/>
          <w:szCs w:val="32"/>
        </w:rPr>
        <w:t>%；农民人均可支配收入达</w:t>
      </w:r>
      <w:r>
        <w:rPr>
          <w:rFonts w:hint="eastAsia" w:ascii="仿宋_GB2312" w:eastAsia="仿宋_GB2312"/>
          <w:sz w:val="32"/>
          <w:szCs w:val="32"/>
          <w:lang w:val="en-US" w:eastAsia="zh-CN"/>
        </w:rPr>
        <w:t>17380</w:t>
      </w:r>
      <w:r>
        <w:rPr>
          <w:rFonts w:hint="eastAsia" w:ascii="仿宋_GB2312" w:eastAsia="仿宋_GB2312"/>
          <w:sz w:val="32"/>
          <w:szCs w:val="32"/>
        </w:rPr>
        <w:t>元，同比增</w:t>
      </w:r>
      <w:r>
        <w:rPr>
          <w:rFonts w:hint="eastAsia" w:ascii="仿宋_GB2312" w:eastAsia="仿宋_GB2312"/>
          <w:sz w:val="32"/>
          <w:szCs w:val="32"/>
          <w:lang w:eastAsia="zh-CN"/>
        </w:rPr>
        <w:t>长</w:t>
      </w:r>
      <w:r>
        <w:rPr>
          <w:rFonts w:hint="eastAsia" w:ascii="仿宋_GB2312" w:eastAsia="仿宋_GB2312"/>
          <w:sz w:val="32"/>
          <w:szCs w:val="32"/>
          <w:lang w:val="en-US" w:eastAsia="zh-CN"/>
        </w:rPr>
        <w:t>10%</w:t>
      </w:r>
      <w:r>
        <w:rPr>
          <w:rFonts w:hint="eastAsia" w:ascii="仿宋_GB2312" w:eastAsia="仿宋_GB2312"/>
          <w:sz w:val="32"/>
          <w:szCs w:val="32"/>
        </w:rPr>
        <w:t>；完成固定资产投资</w:t>
      </w:r>
      <w:r>
        <w:rPr>
          <w:rFonts w:hint="eastAsia" w:ascii="仿宋_GB2312" w:eastAsia="仿宋_GB2312"/>
          <w:sz w:val="32"/>
          <w:szCs w:val="32"/>
          <w:lang w:val="en-US" w:eastAsia="zh-CN"/>
        </w:rPr>
        <w:t>20159</w:t>
      </w:r>
      <w:r>
        <w:rPr>
          <w:rFonts w:hint="eastAsia" w:ascii="仿宋_GB2312" w:eastAsia="仿宋_GB2312"/>
          <w:sz w:val="32"/>
          <w:szCs w:val="32"/>
        </w:rPr>
        <w:t>万元，占目标任务的</w:t>
      </w:r>
      <w:r>
        <w:rPr>
          <w:rFonts w:hint="eastAsia" w:ascii="仿宋_GB2312" w:eastAsia="仿宋_GB2312"/>
          <w:sz w:val="32"/>
          <w:szCs w:val="32"/>
          <w:lang w:val="en-US" w:eastAsia="zh-CN"/>
        </w:rPr>
        <w:t>107.9</w:t>
      </w:r>
      <w:r>
        <w:rPr>
          <w:rFonts w:hint="eastAsia" w:ascii="仿宋_GB2312" w:eastAsia="仿宋_GB2312"/>
          <w:sz w:val="32"/>
          <w:szCs w:val="32"/>
        </w:rPr>
        <w:t>%；完成招商引资17338万元，占目标任务的</w:t>
      </w:r>
      <w:r>
        <w:rPr>
          <w:rFonts w:hint="eastAsia" w:ascii="仿宋_GB2312" w:eastAsia="仿宋_GB2312"/>
          <w:sz w:val="32"/>
          <w:szCs w:val="32"/>
          <w:lang w:val="en-US" w:eastAsia="zh-CN"/>
        </w:rPr>
        <w:t>115</w:t>
      </w:r>
      <w:r>
        <w:rPr>
          <w:rFonts w:hint="eastAsia" w:ascii="仿宋_GB2312" w:eastAsia="仿宋_GB2312"/>
          <w:sz w:val="32"/>
          <w:szCs w:val="32"/>
        </w:rPr>
        <w:t>%。争取</w:t>
      </w:r>
      <w:r>
        <w:rPr>
          <w:rFonts w:hint="eastAsia" w:ascii="仿宋_GB2312" w:eastAsia="仿宋_GB2312"/>
          <w:sz w:val="32"/>
          <w:szCs w:val="32"/>
          <w:lang w:eastAsia="zh-CN"/>
        </w:rPr>
        <w:t>省委农工委、市民宗委、市交通局、市林业局等</w:t>
      </w:r>
      <w:r>
        <w:rPr>
          <w:rFonts w:hint="eastAsia" w:ascii="仿宋_GB2312" w:eastAsia="仿宋_GB2312"/>
          <w:sz w:val="32"/>
          <w:szCs w:val="32"/>
        </w:rPr>
        <w:t>上级资金</w:t>
      </w:r>
      <w:r>
        <w:rPr>
          <w:rFonts w:hint="eastAsia" w:ascii="仿宋_GB2312" w:eastAsia="仿宋_GB2312"/>
          <w:sz w:val="32"/>
          <w:szCs w:val="32"/>
          <w:lang w:val="en-US" w:eastAsia="zh-CN"/>
        </w:rPr>
        <w:t>500余</w:t>
      </w:r>
      <w:r>
        <w:rPr>
          <w:rFonts w:hint="eastAsia" w:ascii="仿宋_GB2312" w:eastAsia="仿宋_GB2312"/>
          <w:sz w:val="32"/>
          <w:szCs w:val="32"/>
        </w:rPr>
        <w:t>万元</w:t>
      </w:r>
      <w:r>
        <w:rPr>
          <w:rFonts w:hint="eastAsia" w:ascii="仿宋_GB2312" w:eastAsia="仿宋_GB2312"/>
          <w:sz w:val="32"/>
          <w:szCs w:val="32"/>
          <w:lang w:eastAsia="zh-CN"/>
        </w:rPr>
        <w:t>。</w:t>
      </w:r>
    </w:p>
    <w:p w14:paraId="31A81501">
      <w:pPr>
        <w:spacing w:line="600" w:lineRule="exact"/>
        <w:ind w:firstLine="643" w:firstLineChars="200"/>
        <w:rPr>
          <w:rFonts w:hint="eastAsia" w:ascii="黑体" w:hAnsi="黑体" w:eastAsia="黑体"/>
          <w:sz w:val="32"/>
          <w:szCs w:val="32"/>
          <w:lang w:eastAsia="zh-CN"/>
        </w:rPr>
      </w:pPr>
      <w:r>
        <w:rPr>
          <w:rFonts w:hint="eastAsia" w:ascii="仿宋" w:hAnsi="仿宋" w:eastAsia="仿宋" w:cs="仿宋"/>
          <w:b/>
          <w:bCs w:val="0"/>
          <w:sz w:val="32"/>
          <w:szCs w:val="32"/>
        </w:rPr>
        <w:t>农业产业</w:t>
      </w:r>
      <w:r>
        <w:rPr>
          <w:rFonts w:hint="eastAsia" w:ascii="仿宋" w:hAnsi="仿宋" w:eastAsia="仿宋" w:cs="仿宋"/>
          <w:b/>
          <w:bCs w:val="0"/>
          <w:sz w:val="32"/>
          <w:szCs w:val="32"/>
          <w:lang w:eastAsia="zh-CN"/>
        </w:rPr>
        <w:t>稳步推进</w:t>
      </w:r>
      <w:r>
        <w:rPr>
          <w:rFonts w:hint="eastAsia" w:ascii="仿宋" w:hAnsi="仿宋" w:eastAsia="仿宋" w:cs="仿宋"/>
          <w:b/>
          <w:bCs w:val="0"/>
          <w:sz w:val="32"/>
          <w:szCs w:val="32"/>
        </w:rPr>
        <w:t>。</w:t>
      </w:r>
      <w:r>
        <w:rPr>
          <w:rFonts w:hint="eastAsia" w:ascii="仿宋_GB2312" w:eastAsia="仿宋_GB2312"/>
          <w:sz w:val="32"/>
          <w:szCs w:val="32"/>
          <w:lang w:eastAsia="zh-CN"/>
        </w:rPr>
        <w:t>我乡是纯农业乡镇，任何时候都不能忽视“三农”工作。在工作中我们切实转变种养生产方式，注重科技示范，注重市场导向，创新经营方式，实现增效增收，为全乡高质量发展奠定了坚实基础。</w:t>
      </w:r>
      <w:r>
        <w:rPr>
          <w:rFonts w:hint="eastAsia" w:ascii="仿宋_GB2312" w:eastAsia="仿宋_GB2312"/>
          <w:b/>
          <w:sz w:val="32"/>
          <w:szCs w:val="32"/>
        </w:rPr>
        <w:t>一是</w:t>
      </w:r>
      <w:r>
        <w:rPr>
          <w:rFonts w:hint="eastAsia" w:ascii="仿宋_GB2312" w:eastAsia="仿宋_GB2312"/>
          <w:b/>
          <w:sz w:val="32"/>
          <w:szCs w:val="32"/>
          <w:lang w:eastAsia="zh-CN"/>
        </w:rPr>
        <w:t>树立品牌意识</w:t>
      </w:r>
      <w:r>
        <w:rPr>
          <w:rFonts w:hint="eastAsia" w:ascii="仿宋_GB2312" w:eastAsia="仿宋_GB2312"/>
          <w:b/>
          <w:sz w:val="32"/>
          <w:szCs w:val="32"/>
        </w:rPr>
        <w:t>。</w:t>
      </w:r>
      <w:r>
        <w:rPr>
          <w:rFonts w:hint="eastAsia" w:ascii="仿宋_GB2312" w:eastAsia="仿宋_GB2312"/>
          <w:sz w:val="32"/>
          <w:szCs w:val="32"/>
        </w:rPr>
        <w:t>结合农业供给侧结构性改革，</w:t>
      </w:r>
      <w:r>
        <w:rPr>
          <w:rFonts w:hint="eastAsia" w:ascii="仿宋_GB2312" w:eastAsia="仿宋_GB2312"/>
          <w:sz w:val="32"/>
          <w:szCs w:val="32"/>
          <w:lang w:eastAsia="zh-CN"/>
        </w:rPr>
        <w:t>坚持市场为导向，积极打造农业有机品牌，树立市场</w:t>
      </w:r>
      <w:r>
        <w:rPr>
          <w:rFonts w:hint="eastAsia" w:ascii="仿宋_GB2312" w:eastAsia="仿宋_GB2312"/>
          <w:sz w:val="32"/>
          <w:szCs w:val="32"/>
        </w:rPr>
        <w:t>竞争</w:t>
      </w:r>
      <w:r>
        <w:rPr>
          <w:rFonts w:hint="eastAsia" w:ascii="仿宋_GB2312" w:eastAsia="仿宋_GB2312"/>
          <w:sz w:val="32"/>
          <w:szCs w:val="32"/>
          <w:lang w:eastAsia="zh-CN"/>
        </w:rPr>
        <w:t>和品牌</w:t>
      </w:r>
      <w:r>
        <w:rPr>
          <w:rFonts w:hint="eastAsia" w:ascii="仿宋_GB2312" w:eastAsia="仿宋_GB2312"/>
          <w:sz w:val="32"/>
          <w:szCs w:val="32"/>
        </w:rPr>
        <w:t>意识。</w:t>
      </w:r>
      <w:r>
        <w:rPr>
          <w:rFonts w:hint="eastAsia" w:ascii="仿宋_GB2312" w:eastAsia="仿宋_GB2312"/>
          <w:sz w:val="32"/>
          <w:szCs w:val="32"/>
          <w:lang w:eastAsia="zh-CN"/>
        </w:rPr>
        <w:t>抓住打造全省有机产品认证示范县的契机，认真打造</w:t>
      </w:r>
      <w:r>
        <w:rPr>
          <w:rFonts w:hint="eastAsia" w:ascii="仿宋_GB2312" w:eastAsia="仿宋_GB2312"/>
          <w:sz w:val="32"/>
          <w:szCs w:val="32"/>
        </w:rPr>
        <w:t>有机油桃、有机土豆、有机“</w:t>
      </w:r>
      <w:r>
        <w:rPr>
          <w:rFonts w:hint="eastAsia" w:ascii="仿宋_GB2312" w:eastAsia="仿宋_GB2312"/>
          <w:sz w:val="32"/>
          <w:szCs w:val="32"/>
          <w:lang w:eastAsia="zh-CN"/>
        </w:rPr>
        <w:t>彝乡阿</w:t>
      </w:r>
      <w:r>
        <w:rPr>
          <w:rFonts w:hint="eastAsia" w:ascii="仿宋_GB2312" w:eastAsia="仿宋_GB2312"/>
          <w:sz w:val="32"/>
          <w:szCs w:val="32"/>
        </w:rPr>
        <w:t>黑”</w:t>
      </w:r>
      <w:r>
        <w:rPr>
          <w:rFonts w:hint="eastAsia" w:ascii="仿宋_GB2312" w:eastAsia="仿宋_GB2312"/>
          <w:sz w:val="32"/>
          <w:szCs w:val="32"/>
          <w:lang w:eastAsia="zh-CN"/>
        </w:rPr>
        <w:t>（黑毛猪）</w:t>
      </w:r>
      <w:r>
        <w:rPr>
          <w:rFonts w:hint="eastAsia" w:ascii="仿宋_GB2312" w:eastAsia="仿宋_GB2312"/>
          <w:sz w:val="32"/>
          <w:szCs w:val="32"/>
        </w:rPr>
        <w:t>三张</w:t>
      </w:r>
      <w:r>
        <w:rPr>
          <w:rFonts w:hint="eastAsia" w:ascii="仿宋_GB2312" w:eastAsia="仿宋_GB2312"/>
          <w:sz w:val="32"/>
          <w:szCs w:val="32"/>
          <w:lang w:eastAsia="zh-CN"/>
        </w:rPr>
        <w:t>农业特色品牌；</w:t>
      </w:r>
      <w:r>
        <w:rPr>
          <w:rFonts w:hint="eastAsia" w:ascii="仿宋_GB2312" w:eastAsia="仿宋_GB2312"/>
          <w:sz w:val="32"/>
          <w:szCs w:val="32"/>
        </w:rPr>
        <w:t>依托</w:t>
      </w:r>
      <w:r>
        <w:rPr>
          <w:rFonts w:hint="eastAsia" w:ascii="仿宋_GB2312" w:eastAsia="仿宋_GB2312"/>
          <w:sz w:val="32"/>
          <w:szCs w:val="32"/>
          <w:lang w:eastAsia="zh-CN"/>
        </w:rPr>
        <w:t>米易县</w:t>
      </w:r>
      <w:r>
        <w:rPr>
          <w:rFonts w:hint="eastAsia" w:ascii="仿宋_GB2312" w:eastAsia="仿宋_GB2312"/>
          <w:sz w:val="32"/>
          <w:szCs w:val="32"/>
        </w:rPr>
        <w:t>高山印象</w:t>
      </w:r>
      <w:r>
        <w:rPr>
          <w:rFonts w:hint="eastAsia" w:ascii="仿宋_GB2312" w:eastAsia="仿宋_GB2312"/>
          <w:sz w:val="32"/>
          <w:szCs w:val="32"/>
          <w:lang w:eastAsia="zh-CN"/>
        </w:rPr>
        <w:t>种养殖</w:t>
      </w:r>
      <w:r>
        <w:rPr>
          <w:rFonts w:hint="eastAsia" w:ascii="仿宋_GB2312" w:eastAsia="仿宋_GB2312"/>
          <w:sz w:val="32"/>
          <w:szCs w:val="32"/>
        </w:rPr>
        <w:t>专业合作社建成</w:t>
      </w:r>
      <w:r>
        <w:rPr>
          <w:rFonts w:hint="eastAsia" w:ascii="仿宋_GB2312" w:eastAsia="仿宋_GB2312"/>
          <w:sz w:val="32"/>
          <w:szCs w:val="32"/>
          <w:lang w:eastAsia="zh-CN"/>
        </w:rPr>
        <w:t>“彝乡阿</w:t>
      </w:r>
      <w:r>
        <w:rPr>
          <w:rFonts w:hint="eastAsia" w:ascii="仿宋_GB2312" w:eastAsia="仿宋_GB2312"/>
          <w:sz w:val="32"/>
          <w:szCs w:val="32"/>
        </w:rPr>
        <w:t>黑”</w:t>
      </w:r>
      <w:r>
        <w:rPr>
          <w:rFonts w:hint="eastAsia" w:ascii="仿宋_GB2312" w:eastAsia="仿宋_GB2312"/>
          <w:sz w:val="32"/>
          <w:szCs w:val="32"/>
          <w:lang w:eastAsia="zh-CN"/>
        </w:rPr>
        <w:t>（黑毛猪）</w:t>
      </w:r>
      <w:r>
        <w:rPr>
          <w:rFonts w:hint="eastAsia" w:ascii="仿宋_GB2312" w:eastAsia="仿宋_GB2312"/>
          <w:sz w:val="32"/>
          <w:szCs w:val="32"/>
        </w:rPr>
        <w:t>养殖基地</w:t>
      </w:r>
      <w:r>
        <w:rPr>
          <w:rFonts w:hint="eastAsia" w:ascii="仿宋_GB2312" w:eastAsia="仿宋_GB2312"/>
          <w:sz w:val="32"/>
          <w:szCs w:val="32"/>
          <w:lang w:eastAsia="zh-CN"/>
        </w:rPr>
        <w:t>，并成功注册商标；依托</w:t>
      </w:r>
      <w:r>
        <w:rPr>
          <w:rFonts w:hint="eastAsia" w:ascii="仿宋_GB2312" w:eastAsia="仿宋_GB2312"/>
          <w:color w:val="auto"/>
          <w:sz w:val="32"/>
          <w:szCs w:val="32"/>
          <w:lang w:eastAsia="zh-CN"/>
        </w:rPr>
        <w:t>马井村佳乡种养殖专业合作社，</w:t>
      </w:r>
      <w:r>
        <w:rPr>
          <w:rFonts w:hint="eastAsia" w:ascii="仿宋_GB2312" w:eastAsia="仿宋_GB2312"/>
          <w:sz w:val="32"/>
          <w:szCs w:val="32"/>
        </w:rPr>
        <w:t>培育</w:t>
      </w:r>
      <w:r>
        <w:rPr>
          <w:rFonts w:hint="eastAsia" w:ascii="仿宋_GB2312" w:eastAsia="仿宋_GB2312"/>
          <w:sz w:val="32"/>
          <w:szCs w:val="32"/>
          <w:lang w:eastAsia="zh-CN"/>
        </w:rPr>
        <w:t>马井村</w:t>
      </w:r>
      <w:r>
        <w:rPr>
          <w:rFonts w:hint="eastAsia" w:ascii="仿宋_GB2312" w:eastAsia="仿宋_GB2312"/>
          <w:sz w:val="32"/>
          <w:szCs w:val="32"/>
        </w:rPr>
        <w:t>生态“跑山鸡”</w:t>
      </w:r>
      <w:r>
        <w:rPr>
          <w:rFonts w:hint="eastAsia" w:ascii="仿宋_GB2312" w:eastAsia="仿宋_GB2312"/>
          <w:sz w:val="32"/>
          <w:szCs w:val="32"/>
          <w:lang w:eastAsia="zh-CN"/>
        </w:rPr>
        <w:t>养殖；通过招商引资在马井实施</w:t>
      </w:r>
      <w:r>
        <w:rPr>
          <w:rFonts w:hint="eastAsia" w:ascii="仿宋_GB2312" w:eastAsia="仿宋_GB2312"/>
          <w:sz w:val="32"/>
          <w:szCs w:val="32"/>
          <w:lang w:val="en-US" w:eastAsia="zh-CN"/>
        </w:rPr>
        <w:t>2400亩青花椒基地；与四川山禾中药材公司签订合同，种植红豆杉；启动试种魔芋林下产业。</w:t>
      </w:r>
      <w:r>
        <w:rPr>
          <w:rFonts w:hint="eastAsia" w:ascii="仿宋_GB2312" w:eastAsia="仿宋_GB2312"/>
          <w:sz w:val="32"/>
          <w:szCs w:val="32"/>
          <w:lang w:eastAsia="zh-CN"/>
        </w:rPr>
        <w:t>二</w:t>
      </w:r>
      <w:r>
        <w:rPr>
          <w:rFonts w:hint="eastAsia" w:ascii="仿宋_GB2312" w:eastAsia="仿宋_GB2312"/>
          <w:b/>
          <w:color w:val="auto"/>
          <w:sz w:val="32"/>
          <w:szCs w:val="32"/>
        </w:rPr>
        <w:t>是</w:t>
      </w:r>
      <w:r>
        <w:rPr>
          <w:rFonts w:hint="eastAsia" w:ascii="仿宋_GB2312" w:eastAsia="仿宋_GB2312"/>
          <w:b/>
          <w:color w:val="auto"/>
          <w:sz w:val="32"/>
          <w:szCs w:val="32"/>
          <w:lang w:eastAsia="zh-CN"/>
        </w:rPr>
        <w:t>加大农业基础</w:t>
      </w:r>
      <w:r>
        <w:rPr>
          <w:rFonts w:hint="eastAsia" w:ascii="仿宋_GB2312" w:eastAsia="仿宋_GB2312"/>
          <w:b/>
          <w:color w:val="auto"/>
          <w:sz w:val="32"/>
          <w:szCs w:val="32"/>
        </w:rPr>
        <w:t>设施</w:t>
      </w:r>
      <w:r>
        <w:rPr>
          <w:rFonts w:hint="eastAsia" w:ascii="仿宋_GB2312" w:eastAsia="仿宋_GB2312"/>
          <w:b/>
          <w:color w:val="auto"/>
          <w:sz w:val="32"/>
          <w:szCs w:val="32"/>
          <w:lang w:eastAsia="zh-CN"/>
        </w:rPr>
        <w:t>建设</w:t>
      </w:r>
      <w:r>
        <w:rPr>
          <w:rFonts w:hint="eastAsia" w:ascii="仿宋_GB2312" w:eastAsia="仿宋_GB2312"/>
          <w:b/>
          <w:color w:val="auto"/>
          <w:sz w:val="32"/>
          <w:szCs w:val="32"/>
        </w:rPr>
        <w:t>。</w:t>
      </w:r>
      <w:r>
        <w:rPr>
          <w:rFonts w:hint="eastAsia" w:ascii="Times New Roman" w:hAnsi="Times New Roman" w:eastAsia="仿宋_GB2312" w:cs="Times New Roman"/>
          <w:kern w:val="2"/>
          <w:sz w:val="32"/>
          <w:szCs w:val="32"/>
          <w:lang w:val="en-US" w:eastAsia="zh-CN" w:bidi="ar-SA"/>
        </w:rPr>
        <w:t>加大对农业基础设施建设资金投入，配套完善农业基础设施，修建沟渠7千米；</w:t>
      </w:r>
      <w:r>
        <w:rPr>
          <w:rFonts w:hint="eastAsia" w:ascii="仿宋_GB2312" w:eastAsia="仿宋_GB2312"/>
          <w:sz w:val="32"/>
          <w:szCs w:val="32"/>
        </w:rPr>
        <w:t>建设生产用水管道2千米；整治机耕道10千米；实施700亩高效节水项目；</w:t>
      </w:r>
      <w:r>
        <w:rPr>
          <w:rFonts w:hint="eastAsia" w:ascii="仿宋_GB2312" w:eastAsia="仿宋_GB2312"/>
          <w:sz w:val="32"/>
          <w:szCs w:val="32"/>
          <w:lang w:eastAsia="zh-CN"/>
        </w:rPr>
        <w:t>架设</w:t>
      </w:r>
      <w:r>
        <w:rPr>
          <w:rFonts w:hint="eastAsia" w:ascii="仿宋_GB2312" w:eastAsia="仿宋_GB2312"/>
          <w:sz w:val="32"/>
          <w:szCs w:val="32"/>
        </w:rPr>
        <w:t>引水管道4公里；</w:t>
      </w:r>
      <w:r>
        <w:rPr>
          <w:rFonts w:hint="eastAsia" w:ascii="仿宋_GB2312" w:eastAsia="仿宋_GB2312"/>
          <w:sz w:val="32"/>
          <w:szCs w:val="32"/>
          <w:lang w:eastAsia="zh-CN"/>
        </w:rPr>
        <w:t>统筹安排乡村振兴，量力而行，逐步实施。</w:t>
      </w:r>
      <w:r>
        <w:rPr>
          <w:rFonts w:hint="eastAsia" w:ascii="仿宋" w:hAnsi="仿宋" w:eastAsia="仿宋" w:cs="仿宋"/>
          <w:b/>
          <w:kern w:val="2"/>
          <w:sz w:val="32"/>
          <w:szCs w:val="32"/>
          <w:lang w:val="en-US" w:eastAsia="zh-CN" w:bidi="ar-SA"/>
        </w:rPr>
        <w:t>第三产业初见成效。</w:t>
      </w:r>
      <w:r>
        <w:rPr>
          <w:rFonts w:hint="eastAsia" w:ascii="Times New Roman" w:hAnsi="Times New Roman" w:eastAsia="仿宋_GB2312" w:cs="Times New Roman"/>
          <w:sz w:val="32"/>
          <w:szCs w:val="32"/>
          <w:lang w:eastAsia="zh-CN"/>
        </w:rPr>
        <w:t>坚持以</w:t>
      </w:r>
      <w:r>
        <w:rPr>
          <w:rFonts w:hint="default" w:ascii="Times New Roman" w:hAnsi="Times New Roman" w:eastAsia="仿宋_GB2312" w:cs="Times New Roman"/>
          <w:sz w:val="32"/>
          <w:szCs w:val="32"/>
        </w:rPr>
        <w:t>“农业稳乡、旅游兴乡、富民强乡”</w:t>
      </w:r>
      <w:r>
        <w:rPr>
          <w:rFonts w:hint="eastAsia" w:ascii="Times New Roman" w:hAnsi="Times New Roman" w:eastAsia="仿宋_GB2312" w:cs="Times New Roman"/>
          <w:sz w:val="32"/>
          <w:szCs w:val="32"/>
          <w:lang w:eastAsia="zh-CN"/>
        </w:rPr>
        <w:t>为发展目标</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推进一三产互动融合发展，充分挖掘旅游资源，</w:t>
      </w:r>
      <w:r>
        <w:rPr>
          <w:rFonts w:hint="default" w:ascii="Times New Roman" w:hAnsi="Times New Roman" w:eastAsia="仿宋_GB2312" w:cs="Times New Roman"/>
          <w:sz w:val="32"/>
          <w:szCs w:val="32"/>
        </w:rPr>
        <w:t>积极探索旅游产业。</w:t>
      </w:r>
      <w:r>
        <w:rPr>
          <w:rFonts w:hint="eastAsia" w:ascii="Times New Roman" w:hAnsi="Times New Roman" w:eastAsia="仿宋_GB2312" w:cs="Times New Roman"/>
          <w:sz w:val="32"/>
          <w:szCs w:val="32"/>
          <w:lang w:eastAsia="zh-CN"/>
        </w:rPr>
        <w:t>结合乡村振兴战略，</w:t>
      </w:r>
      <w:r>
        <w:rPr>
          <w:rFonts w:hint="eastAsia" w:ascii="仿宋" w:hAnsi="仿宋" w:eastAsia="仿宋" w:cs="仿宋"/>
          <w:sz w:val="32"/>
          <w:szCs w:val="32"/>
          <w:lang w:eastAsia="zh-CN"/>
        </w:rPr>
        <w:t>通过</w:t>
      </w:r>
      <w:r>
        <w:rPr>
          <w:rFonts w:hint="eastAsia" w:ascii="仿宋" w:hAnsi="仿宋" w:eastAsia="仿宋" w:cs="仿宋"/>
          <w:sz w:val="33"/>
          <w:szCs w:val="33"/>
        </w:rPr>
        <w:t>认真研究、</w:t>
      </w:r>
      <w:r>
        <w:rPr>
          <w:rFonts w:hint="eastAsia" w:ascii="仿宋" w:hAnsi="仿宋" w:eastAsia="仿宋" w:cs="仿宋"/>
          <w:sz w:val="32"/>
          <w:szCs w:val="32"/>
          <w:lang w:eastAsia="zh-CN"/>
        </w:rPr>
        <w:t>统</w:t>
      </w:r>
      <w:r>
        <w:rPr>
          <w:rFonts w:hint="eastAsia" w:ascii="Times New Roman" w:hAnsi="Times New Roman" w:eastAsia="仿宋_GB2312" w:cs="Times New Roman"/>
          <w:sz w:val="32"/>
          <w:szCs w:val="32"/>
          <w:lang w:eastAsia="zh-CN"/>
        </w:rPr>
        <w:t>筹规划编制了《麻陇彝族乡总体规划》、《麻陇彝族乡集镇发展控制性详规》、《彝文化主题公园规划》。着力完善峡谷激情漂流项目；实施19户“彝家乐”民俗旅游接待农户及彝文化主题公园民俗“展览馆”建设、姆陇广场建设；继续打造百里樱花长廊项目，推进“美丽麻陇”建设。</w:t>
      </w:r>
    </w:p>
    <w:p w14:paraId="7682FA3B">
      <w:pPr>
        <w:spacing w:line="600" w:lineRule="exact"/>
        <w:ind w:firstLine="643" w:firstLineChars="200"/>
        <w:rPr>
          <w:rFonts w:hint="default" w:ascii="Times New Roman" w:hAnsi="Times New Roman" w:eastAsia="仿宋_GB2312" w:cs="Times New Roman"/>
          <w:kern w:val="2"/>
          <w:sz w:val="32"/>
          <w:szCs w:val="32"/>
          <w:lang w:val="en-US" w:eastAsia="zh-CN" w:bidi="ar-SA"/>
        </w:rPr>
      </w:pPr>
      <w:r>
        <w:rPr>
          <w:rFonts w:hint="eastAsia" w:ascii="仿宋" w:hAnsi="仿宋" w:eastAsia="仿宋" w:cs="仿宋"/>
          <w:b/>
          <w:bCs w:val="0"/>
          <w:sz w:val="32"/>
          <w:szCs w:val="32"/>
          <w:lang w:eastAsia="zh-CN"/>
        </w:rPr>
        <w:t>加大资金投入，夯实基础设施建设</w:t>
      </w:r>
      <w:r>
        <w:rPr>
          <w:rFonts w:hint="eastAsia" w:ascii="仿宋" w:hAnsi="仿宋" w:eastAsia="仿宋" w:cs="仿宋"/>
          <w:b/>
          <w:bCs w:val="0"/>
          <w:sz w:val="32"/>
          <w:szCs w:val="32"/>
        </w:rPr>
        <w:t>。</w:t>
      </w:r>
      <w:r>
        <w:rPr>
          <w:rFonts w:hint="eastAsia" w:ascii="Times New Roman" w:hAnsi="Times New Roman" w:eastAsia="仿宋_GB2312" w:cs="Times New Roman"/>
          <w:sz w:val="32"/>
          <w:szCs w:val="32"/>
          <w:lang w:eastAsia="zh-CN"/>
        </w:rPr>
        <w:t>积极争取上级资金，</w:t>
      </w:r>
      <w:r>
        <w:rPr>
          <w:rFonts w:hint="default" w:ascii="Times New Roman" w:hAnsi="Times New Roman" w:eastAsia="仿宋_GB2312" w:cs="Times New Roman"/>
          <w:sz w:val="32"/>
          <w:szCs w:val="32"/>
        </w:rPr>
        <w:t>充分整合</w:t>
      </w:r>
      <w:r>
        <w:rPr>
          <w:rFonts w:hint="eastAsia" w:ascii="Times New Roman" w:hAnsi="Times New Roman" w:eastAsia="仿宋_GB2312" w:cs="Times New Roman"/>
          <w:sz w:val="32"/>
          <w:szCs w:val="32"/>
          <w:lang w:eastAsia="zh-CN"/>
        </w:rPr>
        <w:t>帮扶单位、</w:t>
      </w:r>
      <w:r>
        <w:rPr>
          <w:rFonts w:hint="default" w:ascii="Times New Roman" w:hAnsi="Times New Roman" w:eastAsia="仿宋_GB2312" w:cs="Times New Roman"/>
          <w:sz w:val="32"/>
          <w:szCs w:val="32"/>
        </w:rPr>
        <w:t>扶贫、民宗、交通、烟草、一事一议</w:t>
      </w:r>
      <w:r>
        <w:rPr>
          <w:rFonts w:hint="eastAsia" w:ascii="Times New Roman" w:hAnsi="Times New Roman" w:eastAsia="仿宋_GB2312" w:cs="Times New Roman"/>
          <w:sz w:val="32"/>
          <w:szCs w:val="32"/>
          <w:lang w:eastAsia="zh-CN"/>
        </w:rPr>
        <w:t>、易地搬迁</w:t>
      </w:r>
      <w:r>
        <w:rPr>
          <w:rFonts w:hint="default" w:ascii="Times New Roman" w:hAnsi="Times New Roman" w:eastAsia="仿宋_GB2312" w:cs="Times New Roman"/>
          <w:sz w:val="32"/>
          <w:szCs w:val="32"/>
        </w:rPr>
        <w:t>等资金，</w:t>
      </w:r>
      <w:r>
        <w:rPr>
          <w:rFonts w:hint="eastAsia" w:ascii="Times New Roman" w:hAnsi="Times New Roman" w:eastAsia="仿宋_GB2312" w:cs="Times New Roman"/>
          <w:kern w:val="2"/>
          <w:sz w:val="32"/>
          <w:szCs w:val="32"/>
          <w:lang w:val="en-US" w:eastAsia="zh-CN" w:bidi="ar-SA"/>
        </w:rPr>
        <w:t>切实解决群众</w:t>
      </w:r>
      <w:r>
        <w:rPr>
          <w:rFonts w:hint="default" w:ascii="Times New Roman" w:hAnsi="Times New Roman" w:eastAsia="仿宋_GB2312" w:cs="Times New Roman"/>
          <w:kern w:val="2"/>
          <w:sz w:val="32"/>
          <w:szCs w:val="32"/>
          <w:lang w:val="en-US" w:eastAsia="zh-CN" w:bidi="ar-SA"/>
        </w:rPr>
        <w:t>最迫切需要解决的道路、</w:t>
      </w:r>
      <w:r>
        <w:rPr>
          <w:rFonts w:hint="eastAsia" w:ascii="Times New Roman" w:hAnsi="Times New Roman" w:eastAsia="仿宋_GB2312" w:cs="Times New Roman"/>
          <w:kern w:val="2"/>
          <w:sz w:val="32"/>
          <w:szCs w:val="32"/>
          <w:lang w:val="en-US" w:eastAsia="zh-CN" w:bidi="ar-SA"/>
        </w:rPr>
        <w:t>小桥</w:t>
      </w:r>
      <w:r>
        <w:rPr>
          <w:rFonts w:hint="default" w:ascii="Times New Roman" w:hAnsi="Times New Roman" w:eastAsia="仿宋_GB2312" w:cs="Times New Roman"/>
          <w:kern w:val="2"/>
          <w:sz w:val="32"/>
          <w:szCs w:val="32"/>
          <w:lang w:val="en-US" w:eastAsia="zh-CN" w:bidi="ar-SA"/>
        </w:rPr>
        <w:t>等民生项目。</w:t>
      </w:r>
      <w:r>
        <w:rPr>
          <w:rFonts w:hint="eastAsia" w:ascii="仿宋_GB2312" w:eastAsia="仿宋_GB2312"/>
          <w:sz w:val="32"/>
          <w:szCs w:val="32"/>
        </w:rPr>
        <w:t>硬化村社道路</w:t>
      </w:r>
      <w:r>
        <w:rPr>
          <w:rFonts w:hint="eastAsia" w:ascii="仿宋_GB2312" w:eastAsia="仿宋_GB2312"/>
          <w:sz w:val="32"/>
          <w:szCs w:val="32"/>
          <w:lang w:val="en-US" w:eastAsia="zh-CN"/>
        </w:rPr>
        <w:t>16.6</w:t>
      </w:r>
      <w:r>
        <w:rPr>
          <w:rFonts w:hint="eastAsia" w:ascii="仿宋_GB2312" w:eastAsia="仿宋_GB2312"/>
          <w:sz w:val="32"/>
          <w:szCs w:val="32"/>
        </w:rPr>
        <w:t>公里；</w:t>
      </w:r>
      <w:r>
        <w:rPr>
          <w:rFonts w:hint="eastAsia" w:ascii="仿宋_GB2312" w:eastAsia="仿宋_GB2312"/>
          <w:bCs/>
          <w:sz w:val="32"/>
          <w:szCs w:val="32"/>
        </w:rPr>
        <w:t>新修社道路5公里，小</w:t>
      </w:r>
      <w:r>
        <w:rPr>
          <w:rFonts w:hint="eastAsia" w:ascii="仿宋_GB2312" w:eastAsia="仿宋_GB2312"/>
          <w:sz w:val="32"/>
          <w:szCs w:val="32"/>
        </w:rPr>
        <w:t xml:space="preserve">桥5座， </w:t>
      </w:r>
      <w:r>
        <w:rPr>
          <w:rFonts w:hint="eastAsia" w:ascii="仿宋_GB2312" w:eastAsia="仿宋_GB2312"/>
          <w:sz w:val="32"/>
          <w:szCs w:val="32"/>
          <w:lang w:eastAsia="zh-CN"/>
        </w:rPr>
        <w:t>启动新建</w:t>
      </w:r>
      <w:r>
        <w:rPr>
          <w:rFonts w:hint="eastAsia" w:ascii="仿宋_GB2312" w:eastAsia="仿宋_GB2312"/>
          <w:sz w:val="32"/>
          <w:szCs w:val="32"/>
        </w:rPr>
        <w:t>6公里社道；</w:t>
      </w:r>
      <w:r>
        <w:rPr>
          <w:rFonts w:hint="eastAsia" w:ascii="仿宋_GB2312" w:eastAsia="仿宋_GB2312"/>
          <w:sz w:val="32"/>
          <w:szCs w:val="32"/>
          <w:lang w:eastAsia="zh-CN"/>
        </w:rPr>
        <w:t>硬化</w:t>
      </w:r>
      <w:r>
        <w:rPr>
          <w:rFonts w:hint="eastAsia" w:ascii="仿宋_GB2312" w:eastAsia="仿宋_GB2312"/>
          <w:sz w:val="32"/>
          <w:szCs w:val="32"/>
          <w:lang w:val="en-US" w:eastAsia="zh-CN"/>
        </w:rPr>
        <w:t>14.3公里社道及1座小桥建设；</w:t>
      </w:r>
      <w:r>
        <w:rPr>
          <w:rFonts w:hint="eastAsia" w:ascii="仿宋_GB2312" w:eastAsia="仿宋_GB2312"/>
          <w:sz w:val="32"/>
          <w:szCs w:val="32"/>
        </w:rPr>
        <w:t>麻晃引水工程</w:t>
      </w:r>
      <w:r>
        <w:rPr>
          <w:rFonts w:hint="eastAsia" w:ascii="仿宋_GB2312" w:eastAsia="仿宋_GB2312"/>
          <w:sz w:val="32"/>
          <w:szCs w:val="32"/>
          <w:lang w:eastAsia="zh-CN"/>
        </w:rPr>
        <w:t>麻陇段主体工程全线完工</w:t>
      </w:r>
      <w:r>
        <w:rPr>
          <w:rFonts w:hint="eastAsia" w:ascii="仿宋_GB2312" w:eastAsia="仿宋_GB2312"/>
          <w:sz w:val="32"/>
          <w:szCs w:val="32"/>
        </w:rPr>
        <w:t>；切实抓好麻陇加油站建设</w:t>
      </w:r>
      <w:r>
        <w:rPr>
          <w:rFonts w:hint="eastAsia" w:ascii="仿宋_GB2312" w:eastAsia="仿宋_GB2312"/>
          <w:sz w:val="32"/>
          <w:szCs w:val="32"/>
          <w:lang w:eastAsia="zh-CN"/>
        </w:rPr>
        <w:t>前期工作；启动建设麻陇烟站建设。</w:t>
      </w:r>
    </w:p>
    <w:p w14:paraId="44D67965">
      <w:pPr>
        <w:spacing w:line="600" w:lineRule="exact"/>
        <w:ind w:firstLine="643" w:firstLineChars="200"/>
        <w:rPr>
          <w:rFonts w:hint="eastAsia" w:ascii="Times New Roman" w:hAnsi="Times New Roman" w:eastAsia="仿宋_GB2312" w:cs="Times New Roman"/>
          <w:sz w:val="32"/>
          <w:szCs w:val="32"/>
          <w:lang w:eastAsia="zh-CN"/>
        </w:rPr>
      </w:pPr>
      <w:r>
        <w:rPr>
          <w:rFonts w:hint="eastAsia" w:ascii="仿宋" w:hAnsi="仿宋" w:eastAsia="仿宋" w:cs="仿宋"/>
          <w:b/>
          <w:bCs w:val="0"/>
          <w:sz w:val="32"/>
          <w:szCs w:val="32"/>
          <w:lang w:eastAsia="zh-CN"/>
        </w:rPr>
        <w:t>加强惠民工程，筑牢民生保障基础</w:t>
      </w:r>
      <w:r>
        <w:rPr>
          <w:rFonts w:hint="eastAsia" w:ascii="仿宋" w:hAnsi="仿宋" w:eastAsia="仿宋" w:cs="仿宋"/>
          <w:b/>
          <w:bCs w:val="0"/>
          <w:sz w:val="32"/>
          <w:szCs w:val="32"/>
        </w:rPr>
        <w:t>。</w:t>
      </w:r>
      <w:r>
        <w:rPr>
          <w:rFonts w:hint="eastAsia" w:ascii="仿宋_GB2312" w:eastAsia="仿宋_GB2312"/>
          <w:sz w:val="32"/>
          <w:szCs w:val="32"/>
        </w:rPr>
        <w:t>升级打造极具彝族特色的校园文化；实施青少年社会实践基地（点）建设；依托社会捐助在庄房、红岩成立教育基金，帮助贫困家庭子女完成学业。麻陇乡卫生院与县四合一医院共建医疗联盟，提高医疗服务水平；全面实施新型农村合作医疗，参合率达98%；开展老年人健康体检；加强人口和计划生育工作。积极组织</w:t>
      </w:r>
      <w:r>
        <w:rPr>
          <w:rFonts w:hint="eastAsia" w:ascii="仿宋_GB2312" w:hAnsi="宋体" w:eastAsia="仿宋_GB2312"/>
          <w:color w:val="000000"/>
          <w:sz w:val="32"/>
          <w:szCs w:val="32"/>
        </w:rPr>
        <w:t>“舞动彝乡”表演队参加各种活动；成立文艺表演队妇联；</w:t>
      </w:r>
      <w:r>
        <w:rPr>
          <w:rFonts w:hint="eastAsia" w:ascii="仿宋_GB2312" w:hAnsi="宋体" w:eastAsia="仿宋_GB2312"/>
          <w:color w:val="000000"/>
          <w:sz w:val="32"/>
          <w:szCs w:val="32"/>
          <w:lang w:eastAsia="zh-CN"/>
        </w:rPr>
        <w:t>积极参加全县火把节及庆祝改革开放</w:t>
      </w:r>
      <w:r>
        <w:rPr>
          <w:rFonts w:hint="eastAsia" w:ascii="仿宋_GB2312" w:hAnsi="宋体" w:eastAsia="仿宋_GB2312"/>
          <w:color w:val="000000"/>
          <w:sz w:val="32"/>
          <w:szCs w:val="32"/>
          <w:lang w:val="en-US" w:eastAsia="zh-CN"/>
        </w:rPr>
        <w:t>40周年</w:t>
      </w:r>
      <w:r>
        <w:rPr>
          <w:rFonts w:hint="eastAsia" w:ascii="仿宋_GB2312" w:hAnsi="宋体" w:eastAsia="仿宋_GB2312"/>
          <w:color w:val="000000"/>
          <w:sz w:val="32"/>
          <w:szCs w:val="32"/>
          <w:lang w:eastAsia="zh-CN"/>
        </w:rPr>
        <w:t>系列活动；</w:t>
      </w:r>
      <w:r>
        <w:rPr>
          <w:rFonts w:hint="eastAsia" w:ascii="仿宋_GB2312" w:eastAsia="仿宋_GB2312"/>
          <w:sz w:val="32"/>
          <w:szCs w:val="32"/>
          <w:lang w:eastAsia="zh-CN"/>
        </w:rPr>
        <w:t>抓好农村产权制度改革；</w:t>
      </w:r>
      <w:r>
        <w:rPr>
          <w:rFonts w:hint="default" w:ascii="Times New Roman" w:hAnsi="Times New Roman" w:eastAsia="仿宋_GB2312" w:cs="Times New Roman"/>
          <w:color w:val="000000"/>
          <w:sz w:val="32"/>
          <w:szCs w:val="32"/>
        </w:rPr>
        <w:t>深入开展城乡居民最低生活保障制度，实现动态管理下的应保尽保；加强农村五保老人的供养力度，实现老有所养、老有所医、老有所乐；</w:t>
      </w:r>
      <w:r>
        <w:rPr>
          <w:rFonts w:hint="default" w:ascii="Times New Roman" w:hAnsi="Times New Roman" w:eastAsia="仿宋_GB2312" w:cs="Times New Roman"/>
          <w:sz w:val="32"/>
          <w:szCs w:val="32"/>
        </w:rPr>
        <w:t>粮食直补、退耕还林、老龄生活补助等各项惠农惠民政策全面落实</w:t>
      </w:r>
      <w:r>
        <w:rPr>
          <w:rFonts w:hint="eastAsia" w:ascii="Times New Roman" w:hAnsi="Times New Roman" w:eastAsia="仿宋_GB2312" w:cs="Times New Roman"/>
          <w:sz w:val="32"/>
          <w:szCs w:val="32"/>
          <w:lang w:eastAsia="zh-CN"/>
        </w:rPr>
        <w:t>。</w:t>
      </w:r>
    </w:p>
    <w:p w14:paraId="475AE131">
      <w:pPr>
        <w:autoSpaceDE w:val="0"/>
        <w:autoSpaceDN w:val="0"/>
        <w:adjustRightInd w:val="0"/>
        <w:spacing w:line="600" w:lineRule="exact"/>
        <w:ind w:firstLine="643" w:firstLineChars="200"/>
        <w:jc w:val="left"/>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bCs w:val="0"/>
          <w:sz w:val="32"/>
          <w:szCs w:val="32"/>
          <w:lang w:eastAsia="zh-CN"/>
        </w:rPr>
        <w:t>加强环境保护，助推乡村振兴</w:t>
      </w:r>
      <w:r>
        <w:rPr>
          <w:rFonts w:hint="eastAsia" w:ascii="仿宋_GB2312" w:hAnsi="仿宋_GB2312" w:eastAsia="仿宋_GB2312" w:cs="仿宋_GB2312"/>
          <w:b/>
          <w:bCs w:val="0"/>
          <w:sz w:val="32"/>
          <w:szCs w:val="32"/>
        </w:rPr>
        <w:t>。</w:t>
      </w:r>
      <w:r>
        <w:rPr>
          <w:rFonts w:hint="eastAsia" w:ascii="仿宋" w:hAnsi="仿宋" w:eastAsia="仿宋" w:cs="仿宋"/>
          <w:b w:val="0"/>
          <w:bCs/>
          <w:sz w:val="32"/>
          <w:szCs w:val="32"/>
          <w:lang w:eastAsia="zh-CN"/>
        </w:rPr>
        <w:t>坚持</w:t>
      </w:r>
      <w:r>
        <w:rPr>
          <w:rFonts w:hint="eastAsia" w:ascii="Times New Roman" w:hAnsi="Times New Roman" w:eastAsia="仿宋_GB2312" w:cs="Times New Roman"/>
          <w:sz w:val="32"/>
          <w:szCs w:val="32"/>
          <w:lang w:eastAsia="zh-CN"/>
        </w:rPr>
        <w:t>绿水青山就是金山银山的发展理念，</w:t>
      </w:r>
      <w:r>
        <w:rPr>
          <w:rFonts w:hint="default" w:ascii="Times New Roman" w:hAnsi="Times New Roman" w:eastAsia="仿宋_GB2312" w:cs="Times New Roman"/>
          <w:sz w:val="32"/>
          <w:szCs w:val="32"/>
        </w:rPr>
        <w:t>扎实开展</w:t>
      </w:r>
      <w:r>
        <w:rPr>
          <w:rFonts w:hint="eastAsia" w:ascii="Times New Roman" w:hAnsi="Times New Roman" w:eastAsia="仿宋_GB2312" w:cs="Times New Roman"/>
          <w:sz w:val="32"/>
          <w:szCs w:val="32"/>
          <w:lang w:eastAsia="zh-CN"/>
        </w:rPr>
        <w:t>好</w:t>
      </w:r>
    </w:p>
    <w:p w14:paraId="06CF9287">
      <w:pPr>
        <w:autoSpaceDE w:val="0"/>
        <w:autoSpaceDN w:val="0"/>
        <w:adjustRightInd w:val="0"/>
        <w:spacing w:line="600" w:lineRule="exact"/>
        <w:ind w:firstLine="640" w:firstLineChars="200"/>
        <w:jc w:val="left"/>
        <w:rPr>
          <w:rFonts w:hint="eastAsia" w:ascii="黑体" w:hAnsi="黑体" w:eastAsia="黑体"/>
          <w:sz w:val="32"/>
          <w:szCs w:val="32"/>
          <w:lang w:eastAsia="zh-CN"/>
        </w:rPr>
      </w:pPr>
      <w:r>
        <w:rPr>
          <w:rFonts w:hint="default" w:ascii="Times New Roman" w:hAnsi="Times New Roman" w:eastAsia="仿宋_GB2312" w:cs="Times New Roman"/>
          <w:sz w:val="32"/>
          <w:szCs w:val="32"/>
          <w:lang w:val="en-US"/>
        </w:rPr>
        <w:t>环保督察</w:t>
      </w:r>
      <w:r>
        <w:rPr>
          <w:rFonts w:hint="default" w:ascii="Times New Roman" w:hAnsi="Times New Roman" w:eastAsia="仿宋_GB2312" w:cs="Times New Roman"/>
          <w:sz w:val="32"/>
          <w:szCs w:val="32"/>
        </w:rPr>
        <w:t>工作，全覆盖不留死角进行拉网式排查，守护好省级自然保护区白坡山，抓好农村面源污染，</w:t>
      </w:r>
      <w:r>
        <w:rPr>
          <w:rFonts w:hint="eastAsia" w:ascii="Times New Roman" w:hAnsi="Times New Roman" w:eastAsia="仿宋_GB2312" w:cs="Times New Roman"/>
          <w:sz w:val="32"/>
          <w:szCs w:val="32"/>
          <w:lang w:eastAsia="zh-CN"/>
        </w:rPr>
        <w:t>全面落实</w:t>
      </w:r>
      <w:r>
        <w:rPr>
          <w:rFonts w:hint="default" w:ascii="Times New Roman" w:hAnsi="Times New Roman" w:eastAsia="仿宋_GB2312" w:cs="Times New Roman"/>
          <w:sz w:val="32"/>
          <w:szCs w:val="32"/>
        </w:rPr>
        <w:t>河长制工作，彻底整治</w:t>
      </w:r>
      <w:r>
        <w:rPr>
          <w:rFonts w:hint="eastAsia" w:ascii="Times New Roman" w:hAnsi="Times New Roman" w:eastAsia="仿宋_GB2312" w:cs="Times New Roman"/>
          <w:sz w:val="32"/>
          <w:szCs w:val="32"/>
          <w:lang w:eastAsia="zh-CN"/>
        </w:rPr>
        <w:t>集镇</w:t>
      </w:r>
      <w:r>
        <w:rPr>
          <w:rFonts w:hint="default" w:ascii="Times New Roman" w:hAnsi="Times New Roman" w:eastAsia="仿宋_GB2312" w:cs="Times New Roman"/>
          <w:sz w:val="32"/>
          <w:szCs w:val="32"/>
        </w:rPr>
        <w:t>垃圾填埋场、人工湿地等。坚持问题和目标导向，加大“两违”</w:t>
      </w:r>
      <w:r>
        <w:rPr>
          <w:rFonts w:hint="eastAsia" w:ascii="Times New Roman" w:hAnsi="Times New Roman" w:eastAsia="仿宋_GB2312" w:cs="Times New Roman"/>
          <w:sz w:val="32"/>
          <w:szCs w:val="32"/>
          <w:lang w:eastAsia="zh-CN"/>
        </w:rPr>
        <w:t>拆除</w:t>
      </w:r>
      <w:r>
        <w:rPr>
          <w:rFonts w:hint="default" w:ascii="Times New Roman" w:hAnsi="Times New Roman" w:eastAsia="仿宋_GB2312" w:cs="Times New Roman"/>
          <w:sz w:val="32"/>
          <w:szCs w:val="32"/>
        </w:rPr>
        <w:t>、企业违法排污行为、货车超载超限治理违规倾倒抛洒和道路保洁、毁林开垦整治等“四个专项”行动工作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加强火源管控去年无一例重大火灾发生。</w:t>
      </w:r>
    </w:p>
    <w:p w14:paraId="75A9D9A5">
      <w:pPr>
        <w:spacing w:line="600" w:lineRule="exact"/>
        <w:ind w:firstLine="640" w:firstLineChars="200"/>
        <w:rPr>
          <w:rFonts w:hint="eastAsia" w:ascii="Times New Roman" w:hAnsi="Times New Roman" w:eastAsia="仿宋_GB2312" w:cs="Times New Roman"/>
          <w:sz w:val="32"/>
          <w:szCs w:val="32"/>
          <w:lang w:eastAsia="zh-CN"/>
        </w:rPr>
      </w:pPr>
    </w:p>
    <w:p w14:paraId="0E62F51F">
      <w:pPr>
        <w:numPr>
          <w:ilvl w:val="0"/>
          <w:numId w:val="0"/>
        </w:numPr>
        <w:ind w:firstLine="643" w:firstLineChars="200"/>
        <w:jc w:val="both"/>
        <w:rPr>
          <w:rFonts w:hint="eastAsia" w:ascii="仿宋_GB2312" w:eastAsia="仿宋_GB2312"/>
          <w:sz w:val="32"/>
          <w:szCs w:val="32"/>
          <w:lang w:eastAsia="zh-CN"/>
        </w:rPr>
      </w:pPr>
      <w:r>
        <w:rPr>
          <w:rFonts w:hint="eastAsia" w:ascii="仿宋_GB2312" w:hAnsi="仿宋_GB2312" w:eastAsia="仿宋_GB2312" w:cs="仿宋_GB2312"/>
          <w:b/>
          <w:bCs/>
          <w:sz w:val="32"/>
          <w:szCs w:val="32"/>
          <w:lang w:val="en-US" w:eastAsia="zh-CN"/>
        </w:rPr>
        <w:t>坚持目标导向，</w:t>
      </w:r>
      <w:r>
        <w:rPr>
          <w:rFonts w:hint="eastAsia" w:ascii="仿宋_GB2312" w:hAnsi="仿宋_GB2312" w:eastAsia="仿宋_GB2312" w:cs="仿宋_GB2312"/>
          <w:b/>
          <w:bCs/>
          <w:sz w:val="32"/>
          <w:szCs w:val="32"/>
        </w:rPr>
        <w:t>脱贫攻坚巩固提升成</w:t>
      </w:r>
      <w:r>
        <w:rPr>
          <w:rFonts w:hint="eastAsia" w:ascii="仿宋_GB2312" w:hAnsi="仿宋_GB2312" w:eastAsia="仿宋_GB2312" w:cs="仿宋_GB2312"/>
          <w:b/>
          <w:bCs/>
          <w:sz w:val="32"/>
          <w:szCs w:val="32"/>
          <w:lang w:eastAsia="zh-CN"/>
        </w:rPr>
        <w:t>果。</w:t>
      </w:r>
      <w:r>
        <w:rPr>
          <w:rFonts w:hint="eastAsia" w:ascii="仿宋_GB2312" w:eastAsia="仿宋_GB2312"/>
          <w:sz w:val="32"/>
          <w:szCs w:val="32"/>
          <w:lang w:eastAsia="zh-CN"/>
        </w:rPr>
        <w:t>加强</w:t>
      </w:r>
      <w:r>
        <w:rPr>
          <w:rFonts w:hint="eastAsia" w:ascii="仿宋_GB2312" w:eastAsia="仿宋_GB2312"/>
          <w:sz w:val="32"/>
          <w:szCs w:val="32"/>
        </w:rPr>
        <w:t>巩固</w:t>
      </w:r>
      <w:r>
        <w:rPr>
          <w:rFonts w:hint="eastAsia" w:ascii="仿宋_GB2312" w:eastAsia="仿宋_GB2312"/>
          <w:sz w:val="32"/>
          <w:szCs w:val="32"/>
          <w:lang w:eastAsia="zh-CN"/>
        </w:rPr>
        <w:t>提升</w:t>
      </w:r>
      <w:r>
        <w:rPr>
          <w:rFonts w:hint="eastAsia" w:ascii="仿宋_GB2312" w:eastAsia="仿宋_GB2312"/>
          <w:sz w:val="32"/>
          <w:szCs w:val="32"/>
        </w:rPr>
        <w:t>脱贫</w:t>
      </w:r>
      <w:r>
        <w:rPr>
          <w:rFonts w:hint="eastAsia" w:ascii="仿宋_GB2312" w:eastAsia="仿宋_GB2312"/>
          <w:sz w:val="32"/>
          <w:szCs w:val="32"/>
          <w:lang w:eastAsia="zh-CN"/>
        </w:rPr>
        <w:t>攻坚</w:t>
      </w:r>
      <w:r>
        <w:rPr>
          <w:rFonts w:hint="eastAsia" w:ascii="仿宋_GB2312" w:eastAsia="仿宋_GB2312"/>
          <w:sz w:val="32"/>
          <w:szCs w:val="32"/>
        </w:rPr>
        <w:t>成果</w:t>
      </w:r>
      <w:r>
        <w:rPr>
          <w:rFonts w:hint="eastAsia" w:ascii="仿宋_GB2312" w:eastAsia="仿宋_GB2312"/>
          <w:sz w:val="32"/>
          <w:szCs w:val="32"/>
          <w:lang w:eastAsia="zh-CN"/>
        </w:rPr>
        <w:t>，</w:t>
      </w:r>
      <w:r>
        <w:rPr>
          <w:rFonts w:hint="eastAsia" w:ascii="仿宋_GB2312" w:eastAsia="仿宋_GB2312"/>
          <w:sz w:val="32"/>
          <w:szCs w:val="32"/>
        </w:rPr>
        <w:t>发放了人均到户产业资金45.7万元，按照长短结合、以短养长的思路管理好林果业，发展好养殖业；深化实施“红旗扶贫团队”工作，为贫困户发展出主意、想办法、添措施</w:t>
      </w:r>
      <w:r>
        <w:rPr>
          <w:rFonts w:hint="eastAsia" w:ascii="仿宋_GB2312" w:eastAsia="仿宋_GB2312"/>
          <w:sz w:val="32"/>
          <w:szCs w:val="32"/>
          <w:lang w:eastAsia="zh-CN"/>
        </w:rPr>
        <w:t>，</w:t>
      </w:r>
      <w:r>
        <w:rPr>
          <w:rFonts w:hint="eastAsia" w:ascii="仿宋_GB2312" w:eastAsia="仿宋_GB2312"/>
          <w:bCs/>
          <w:sz w:val="32"/>
          <w:szCs w:val="32"/>
        </w:rPr>
        <w:t>村集体收入</w:t>
      </w:r>
      <w:r>
        <w:rPr>
          <w:rFonts w:hint="eastAsia" w:ascii="仿宋_GB2312" w:eastAsia="仿宋_GB2312"/>
          <w:bCs/>
          <w:sz w:val="32"/>
          <w:szCs w:val="32"/>
          <w:lang w:eastAsia="zh-CN"/>
        </w:rPr>
        <w:t>逐年增长，</w:t>
      </w:r>
      <w:r>
        <w:rPr>
          <w:rFonts w:hint="eastAsia" w:ascii="仿宋_GB2312" w:eastAsia="仿宋_GB2312"/>
          <w:sz w:val="32"/>
          <w:szCs w:val="32"/>
          <w:lang w:eastAsia="zh-CN"/>
        </w:rPr>
        <w:t>成功接受省级第二轮脱贫攻坚督导检查。</w:t>
      </w:r>
      <w:r>
        <w:rPr>
          <w:rFonts w:hint="eastAsia" w:ascii="仿宋_GB2312" w:eastAsia="仿宋_GB2312"/>
          <w:sz w:val="32"/>
          <w:szCs w:val="32"/>
        </w:rPr>
        <w:t>深入开展自发搬迁贫困人口精准扶贫精准脱贫工作，</w:t>
      </w:r>
      <w:r>
        <w:rPr>
          <w:rFonts w:hint="eastAsia" w:ascii="仿宋_GB2312" w:hAnsi="仿宋_GB2312" w:eastAsia="仿宋_GB2312" w:cs="仿宋_GB2312"/>
          <w:sz w:val="32"/>
          <w:szCs w:val="32"/>
        </w:rPr>
        <w:t>全乡</w:t>
      </w:r>
      <w:r>
        <w:rPr>
          <w:rFonts w:hint="eastAsia" w:ascii="仿宋_GB2312" w:hAnsi="仿宋_GB2312" w:eastAsia="仿宋_GB2312" w:cs="仿宋_GB2312"/>
          <w:sz w:val="32"/>
          <w:szCs w:val="32"/>
          <w:lang w:eastAsia="zh-CN"/>
        </w:rPr>
        <w:t>识别</w:t>
      </w:r>
      <w:r>
        <w:rPr>
          <w:rFonts w:hint="eastAsia" w:ascii="仿宋_GB2312" w:hAnsi="仿宋_GB2312" w:eastAsia="仿宋_GB2312" w:cs="仿宋_GB2312"/>
          <w:sz w:val="32"/>
          <w:szCs w:val="32"/>
        </w:rPr>
        <w:t>自发搬迁</w:t>
      </w:r>
      <w:r>
        <w:rPr>
          <w:rFonts w:hint="eastAsia" w:ascii="仿宋_GB2312" w:hAnsi="仿宋_GB2312" w:eastAsia="仿宋_GB2312" w:cs="仿宋_GB2312"/>
          <w:sz w:val="32"/>
          <w:szCs w:val="32"/>
          <w:lang w:eastAsia="zh-CN"/>
        </w:rPr>
        <w:t>贫困户</w:t>
      </w:r>
      <w:r>
        <w:rPr>
          <w:rFonts w:hint="eastAsia" w:ascii="仿宋_GB2312" w:hAnsi="仿宋_GB2312" w:eastAsia="仿宋_GB2312" w:cs="仿宋_GB2312"/>
          <w:sz w:val="32"/>
          <w:szCs w:val="32"/>
          <w:lang w:val="en-US" w:eastAsia="zh-CN"/>
        </w:rPr>
        <w:t>249</w:t>
      </w:r>
      <w:r>
        <w:rPr>
          <w:rFonts w:hint="eastAsia" w:ascii="仿宋_GB2312" w:hAnsi="仿宋_GB2312" w:eastAsia="仿宋_GB2312" w:cs="仿宋_GB2312"/>
          <w:sz w:val="32"/>
          <w:szCs w:val="32"/>
        </w:rPr>
        <w:t>户1</w:t>
      </w:r>
      <w:r>
        <w:rPr>
          <w:rFonts w:hint="eastAsia" w:ascii="仿宋_GB2312" w:hAnsi="仿宋_GB2312" w:eastAsia="仿宋_GB2312" w:cs="仿宋_GB2312"/>
          <w:sz w:val="32"/>
          <w:szCs w:val="32"/>
          <w:lang w:val="en-US" w:eastAsia="zh-CN"/>
        </w:rPr>
        <w:t>256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开展“感恩奋进、共奔小康”教育活动；</w:t>
      </w:r>
      <w:r>
        <w:rPr>
          <w:rFonts w:hint="eastAsia" w:ascii="仿宋_GB2312" w:eastAsia="仿宋_GB2312"/>
          <w:sz w:val="32"/>
          <w:szCs w:val="32"/>
        </w:rPr>
        <w:t>深入实施每月一次卫生“集中大突击”、每月一次“流动红旗”大评比机制，引领群众转变陈规陋习，崇尚美好新生活</w:t>
      </w:r>
      <w:r>
        <w:rPr>
          <w:rFonts w:hint="eastAsia" w:ascii="仿宋_GB2312" w:eastAsia="仿宋_GB2312"/>
          <w:sz w:val="32"/>
          <w:szCs w:val="32"/>
          <w:lang w:eastAsia="zh-CN"/>
        </w:rPr>
        <w:t>。</w:t>
      </w:r>
    </w:p>
    <w:p w14:paraId="54944358">
      <w:pPr>
        <w:spacing w:line="60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坚持平安和谐，着力在保稳定上出重拳，确保了社会安定有序。</w:t>
      </w:r>
    </w:p>
    <w:p w14:paraId="547DC384">
      <w:pPr>
        <w:numPr>
          <w:ilvl w:val="0"/>
          <w:numId w:val="0"/>
        </w:numPr>
        <w:ind w:firstLine="1285" w:firstLineChars="400"/>
        <w:jc w:val="both"/>
        <w:rPr>
          <w:rFonts w:hint="eastAsia" w:ascii="Times New Roman" w:hAnsi="Times New Roman" w:eastAsia="仿宋_GB2312" w:cs="Times New Roman"/>
          <w:color w:val="000000"/>
          <w:sz w:val="32"/>
          <w:szCs w:val="32"/>
          <w:lang w:eastAsia="zh-CN"/>
        </w:rPr>
      </w:pPr>
      <w:r>
        <w:rPr>
          <w:rFonts w:hint="eastAsia" w:ascii="仿宋" w:hAnsi="仿宋" w:eastAsia="仿宋" w:cs="仿宋"/>
          <w:b/>
          <w:bCs w:val="0"/>
          <w:sz w:val="32"/>
          <w:szCs w:val="32"/>
        </w:rPr>
        <w:t>实施综合治理，社会保持安定有序。</w:t>
      </w:r>
      <w:r>
        <w:rPr>
          <w:rFonts w:hint="eastAsia" w:ascii="仿宋" w:hAnsi="仿宋" w:eastAsia="仿宋" w:cs="仿宋"/>
          <w:sz w:val="32"/>
          <w:szCs w:val="32"/>
        </w:rPr>
        <w:t>坚持“有黑扫黑、无黑除恶、无恶治乱”的工作原则，全面深入开展扫黑除恶专项斗争</w:t>
      </w:r>
      <w:r>
        <w:rPr>
          <w:rFonts w:hint="eastAsia" w:ascii="仿宋" w:hAnsi="仿宋" w:eastAsia="仿宋" w:cs="仿宋"/>
          <w:sz w:val="32"/>
          <w:szCs w:val="32"/>
          <w:lang w:eastAsia="zh-CN"/>
        </w:rPr>
        <w:t>。</w:t>
      </w:r>
      <w:r>
        <w:rPr>
          <w:rFonts w:hint="default" w:ascii="Times New Roman" w:hAnsi="Times New Roman" w:eastAsia="仿宋_GB2312" w:cs="Times New Roman"/>
          <w:sz w:val="32"/>
          <w:szCs w:val="32"/>
        </w:rPr>
        <w:t>切实加大社会治安综合治理力度，强化“七五”普法实效；建立民生诉求台账，加大矛盾纠纷排查调处工作力度，及时化解苗头性、趋向性的问题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成功调解了矛盾纠纷 </w:t>
      </w:r>
      <w:r>
        <w:rPr>
          <w:rFonts w:hint="default"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rPr>
        <w:t xml:space="preserve"> 起</w:t>
      </w:r>
      <w:r>
        <w:rPr>
          <w:rFonts w:hint="eastAsia" w:ascii="Times New Roman" w:hAnsi="Times New Roman" w:eastAsia="仿宋_GB2312" w:cs="Times New Roman"/>
          <w:sz w:val="32"/>
          <w:szCs w:val="32"/>
          <w:lang w:eastAsia="zh-CN"/>
        </w:rPr>
        <w:t>，化解</w:t>
      </w:r>
      <w:r>
        <w:rPr>
          <w:rFonts w:hint="eastAsia" w:ascii="Times New Roman" w:hAnsi="Times New Roman" w:eastAsia="仿宋_GB2312" w:cs="Times New Roman"/>
          <w:sz w:val="32"/>
          <w:szCs w:val="32"/>
        </w:rPr>
        <w:t>解信访积案</w:t>
      </w:r>
      <w:r>
        <w:rPr>
          <w:rFonts w:hint="eastAsia" w:ascii="Times New Roman" w:hAnsi="Times New Roman" w:eastAsia="仿宋_GB2312" w:cs="Times New Roman"/>
          <w:sz w:val="32"/>
          <w:szCs w:val="32"/>
          <w:lang w:eastAsia="zh-CN"/>
        </w:rPr>
        <w:t>归零</w:t>
      </w:r>
      <w:r>
        <w:rPr>
          <w:rFonts w:hint="eastAsia"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加强校园周边、重点村庄的治安巡逻，维护社会稳定，促进社会和谐</w:t>
      </w:r>
      <w:r>
        <w:rPr>
          <w:rFonts w:hint="eastAsia" w:ascii="Times New Roman" w:hAnsi="Times New Roman" w:eastAsia="仿宋_GB2312" w:cs="Times New Roman"/>
          <w:color w:val="000000"/>
          <w:sz w:val="32"/>
          <w:szCs w:val="32"/>
          <w:lang w:eastAsia="zh-CN"/>
        </w:rPr>
        <w:t>。</w:t>
      </w:r>
    </w:p>
    <w:p w14:paraId="073B30F4">
      <w:pPr>
        <w:numPr>
          <w:ilvl w:val="0"/>
          <w:numId w:val="0"/>
        </w:numPr>
        <w:ind w:firstLine="964" w:firstLineChars="300"/>
        <w:jc w:val="both"/>
        <w:rPr>
          <w:rFonts w:hint="eastAsia" w:ascii="仿宋_GB2312" w:eastAsia="仿宋_GB2312"/>
          <w:sz w:val="32"/>
          <w:szCs w:val="32"/>
          <w:lang w:eastAsia="zh-CN"/>
        </w:rPr>
      </w:pPr>
      <w:r>
        <w:rPr>
          <w:rFonts w:hint="eastAsia" w:ascii="仿宋" w:hAnsi="仿宋" w:eastAsia="仿宋" w:cs="仿宋"/>
          <w:b/>
          <w:bCs/>
          <w:sz w:val="32"/>
          <w:szCs w:val="32"/>
        </w:rPr>
        <w:t>狠抓</w:t>
      </w:r>
      <w:r>
        <w:rPr>
          <w:rFonts w:hint="eastAsia" w:ascii="仿宋" w:hAnsi="仿宋" w:eastAsia="仿宋" w:cs="仿宋"/>
          <w:b/>
          <w:bCs/>
          <w:sz w:val="32"/>
          <w:szCs w:val="32"/>
          <w:lang w:eastAsia="zh-CN"/>
        </w:rPr>
        <w:t>日常监管</w:t>
      </w:r>
      <w:r>
        <w:rPr>
          <w:rFonts w:hint="eastAsia" w:ascii="仿宋" w:hAnsi="仿宋" w:eastAsia="仿宋" w:cs="仿宋"/>
          <w:b/>
          <w:bCs/>
          <w:sz w:val="32"/>
          <w:szCs w:val="32"/>
        </w:rPr>
        <w:t>，安全生产形势良好。</w:t>
      </w:r>
      <w:r>
        <w:rPr>
          <w:rFonts w:hint="default" w:ascii="Times New Roman" w:hAnsi="Times New Roman" w:eastAsia="仿宋_GB2312" w:cs="Times New Roman"/>
          <w:bCs/>
          <w:sz w:val="32"/>
          <w:szCs w:val="32"/>
        </w:rPr>
        <w:t>安全重于泰山，安全工作始终</w:t>
      </w:r>
      <w:r>
        <w:rPr>
          <w:rFonts w:hint="default" w:ascii="Times New Roman" w:hAnsi="Times New Roman" w:eastAsia="仿宋_GB2312" w:cs="Times New Roman"/>
          <w:sz w:val="32"/>
          <w:szCs w:val="32"/>
        </w:rPr>
        <w:t>坚持教育在先、警示在先。加大乡内企业、施工现场、道路交通、地质灾害、塘库及民爆物品、危化品及烟花爆竹等安全生产督察工作，认真查处和纠正不法行为。开展地质灾害应急演练9次，</w:t>
      </w:r>
      <w:r>
        <w:rPr>
          <w:rFonts w:hint="default" w:ascii="Times New Roman" w:hAnsi="Times New Roman" w:eastAsia="仿宋_GB2312" w:cs="Times New Roman"/>
          <w:color w:val="000000"/>
          <w:sz w:val="32"/>
          <w:szCs w:val="32"/>
        </w:rPr>
        <w:t>自然灾害、安全事故、群体事件等应急防范管理体系建设全面得到加强。民兵预备役、档案、残联</w:t>
      </w:r>
      <w:r>
        <w:rPr>
          <w:rFonts w:hint="eastAsia" w:ascii="Times New Roman" w:hAnsi="Times New Roman" w:eastAsia="仿宋_GB2312" w:cs="Times New Roman"/>
          <w:color w:val="000000"/>
          <w:sz w:val="32"/>
          <w:szCs w:val="32"/>
          <w:lang w:eastAsia="zh-CN"/>
        </w:rPr>
        <w:t>、工青妇、关心下一代</w:t>
      </w:r>
      <w:r>
        <w:rPr>
          <w:rFonts w:hint="default" w:ascii="Times New Roman" w:hAnsi="Times New Roman" w:eastAsia="仿宋_GB2312" w:cs="Times New Roman"/>
          <w:color w:val="000000"/>
          <w:sz w:val="32"/>
          <w:szCs w:val="32"/>
        </w:rPr>
        <w:t>等工作均取得了显著成效</w:t>
      </w:r>
      <w:r>
        <w:rPr>
          <w:rFonts w:hint="eastAsia" w:ascii="Times New Roman" w:hAnsi="Times New Roman" w:eastAsia="仿宋_GB2312" w:cs="Times New Roman"/>
          <w:color w:val="000000"/>
          <w:sz w:val="32"/>
          <w:szCs w:val="32"/>
          <w:lang w:eastAsia="zh-CN"/>
        </w:rPr>
        <w:t>。</w:t>
      </w:r>
      <w:r>
        <w:rPr>
          <w:rFonts w:hint="eastAsia" w:ascii="仿宋_GB2312" w:eastAsia="仿宋_GB2312"/>
          <w:sz w:val="32"/>
          <w:szCs w:val="32"/>
          <w:lang w:eastAsia="zh-CN"/>
        </w:rPr>
        <w:t>二、机构设置</w:t>
      </w:r>
    </w:p>
    <w:p w14:paraId="0F56A624">
      <w:pPr>
        <w:numPr>
          <w:ilvl w:val="0"/>
          <w:numId w:val="0"/>
        </w:numPr>
        <w:ind w:firstLine="640" w:firstLineChars="2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rPr>
        <w:t>2018年人员编制32名，其中：行政编制13名、参公编制1人、事业编制18名、财政供养人员实有32名，其中：行政</w:t>
      </w:r>
      <w:r>
        <w:rPr>
          <w:rFonts w:hint="eastAsia" w:ascii="新宋体" w:hAnsi="新宋体" w:eastAsia="新宋体"/>
          <w:b/>
          <w:color w:val="000000"/>
          <w:sz w:val="32"/>
          <w:szCs w:val="32"/>
        </w:rPr>
        <w:t>人</w:t>
      </w:r>
      <w:r>
        <w:rPr>
          <w:rFonts w:hint="eastAsia" w:ascii="新宋体" w:hAnsi="新宋体" w:eastAsia="新宋体"/>
          <w:color w:val="000000"/>
          <w:sz w:val="32"/>
          <w:szCs w:val="32"/>
        </w:rPr>
        <w:t>员13名、参公编制1名、事业人员18名</w:t>
      </w:r>
      <w:r>
        <w:rPr>
          <w:rFonts w:hint="eastAsia" w:ascii="新宋体" w:hAnsi="新宋体" w:eastAsia="新宋体"/>
          <w:color w:val="000000"/>
          <w:sz w:val="32"/>
          <w:szCs w:val="32"/>
          <w:lang w:val="en-US" w:eastAsia="zh-CN"/>
        </w:rPr>
        <w:t>,乡机关内设党政办公室、经济办公室、社会事务办公室、安全生产监督管理所、事业机构内设农业综合服务中心、便民惠民服务中心、畜牧兽医站。</w:t>
      </w:r>
    </w:p>
    <w:p w14:paraId="420D8EF9">
      <w:pPr>
        <w:numPr>
          <w:ilvl w:val="0"/>
          <w:numId w:val="0"/>
        </w:numPr>
        <w:ind w:firstLine="640" w:firstLineChars="200"/>
        <w:rPr>
          <w:rFonts w:hint="eastAsia" w:ascii="新宋体" w:hAnsi="新宋体" w:eastAsia="新宋体"/>
          <w:color w:val="000000"/>
          <w:sz w:val="32"/>
          <w:szCs w:val="32"/>
          <w:lang w:val="en-US" w:eastAsia="zh-CN"/>
        </w:rPr>
      </w:pPr>
    </w:p>
    <w:p w14:paraId="521DF335">
      <w:pPr>
        <w:numPr>
          <w:ilvl w:val="0"/>
          <w:numId w:val="0"/>
        </w:numPr>
        <w:ind w:firstLine="640" w:firstLineChars="200"/>
        <w:rPr>
          <w:rFonts w:hint="eastAsia" w:ascii="新宋体" w:hAnsi="新宋体" w:eastAsia="新宋体"/>
          <w:color w:val="000000"/>
          <w:sz w:val="32"/>
          <w:szCs w:val="32"/>
          <w:lang w:val="en-US" w:eastAsia="zh-CN"/>
        </w:rPr>
      </w:pPr>
    </w:p>
    <w:p w14:paraId="49B9DB5D">
      <w:pPr>
        <w:numPr>
          <w:ilvl w:val="0"/>
          <w:numId w:val="0"/>
        </w:numPr>
        <w:ind w:firstLine="640" w:firstLineChars="200"/>
        <w:rPr>
          <w:rFonts w:hint="eastAsia" w:ascii="新宋体" w:hAnsi="新宋体" w:eastAsia="新宋体"/>
          <w:color w:val="000000"/>
          <w:sz w:val="32"/>
          <w:szCs w:val="32"/>
          <w:lang w:val="en-US" w:eastAsia="zh-CN"/>
        </w:rPr>
      </w:pPr>
    </w:p>
    <w:p w14:paraId="4F91482E">
      <w:pPr>
        <w:numPr>
          <w:ilvl w:val="0"/>
          <w:numId w:val="0"/>
        </w:numPr>
        <w:ind w:firstLine="640" w:firstLineChars="2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第二部分  年度部门决算情况说明</w:t>
      </w:r>
    </w:p>
    <w:p w14:paraId="4C216477">
      <w:pPr>
        <w:numPr>
          <w:ilvl w:val="0"/>
          <w:numId w:val="0"/>
        </w:numPr>
        <w:ind w:firstLine="640" w:firstLineChars="200"/>
        <w:rPr>
          <w:rFonts w:hint="eastAsia" w:ascii="新宋体" w:hAnsi="新宋体" w:eastAsia="新宋体"/>
          <w:color w:val="000000"/>
          <w:sz w:val="32"/>
          <w:szCs w:val="32"/>
          <w:lang w:val="en-US" w:eastAsia="zh-CN"/>
        </w:rPr>
      </w:pPr>
    </w:p>
    <w:p w14:paraId="0DD8AB66">
      <w:pPr>
        <w:numPr>
          <w:ilvl w:val="0"/>
          <w:numId w:val="0"/>
        </w:numPr>
        <w:ind w:leftChars="0"/>
        <w:rPr>
          <w:rFonts w:hint="eastAsia" w:ascii="新宋体" w:hAnsi="新宋体" w:eastAsia="新宋体"/>
          <w:color w:val="000000"/>
          <w:sz w:val="32"/>
          <w:szCs w:val="32"/>
          <w:lang w:val="en-US" w:eastAsia="zh-CN"/>
        </w:rPr>
      </w:pPr>
    </w:p>
    <w:p w14:paraId="43E2C51E">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1、收入支出决算总体情况说明</w:t>
      </w:r>
    </w:p>
    <w:p w14:paraId="3AE58CDD">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2018年度收、支总计2476.73万元。2017年收、支总计2558.81万元。与2017年相比，收、支总计减少82.08万元，下降3.21%。主要变动原因是项目减少。</w:t>
      </w:r>
    </w:p>
    <w:p w14:paraId="710BEDD2">
      <w:pPr>
        <w:numPr>
          <w:ilvl w:val="0"/>
          <w:numId w:val="0"/>
        </w:numPr>
        <w:ind w:leftChars="0"/>
        <w:rPr>
          <w:rFonts w:hint="eastAsia" w:ascii="新宋体" w:hAnsi="新宋体" w:eastAsia="新宋体"/>
          <w:color w:val="000000"/>
          <w:sz w:val="32"/>
          <w:szCs w:val="32"/>
          <w:lang w:val="en-US" w:eastAsia="zh-CN"/>
        </w:rPr>
      </w:pPr>
    </w:p>
    <w:p w14:paraId="008C691B">
      <w:pPr>
        <w:numPr>
          <w:ilvl w:val="0"/>
          <w:numId w:val="0"/>
        </w:numPr>
        <w:ind w:leftChars="0"/>
        <w:rPr>
          <w:rFonts w:hint="eastAsia" w:ascii="新宋体" w:hAnsi="新宋体" w:eastAsia="新宋体"/>
          <w:color w:val="000000"/>
          <w:sz w:val="32"/>
          <w:szCs w:val="32"/>
          <w:lang w:val="en-US" w:eastAsia="zh-CN"/>
        </w:rPr>
      </w:pPr>
    </w:p>
    <w:p w14:paraId="0BFCBCD7">
      <w:pPr>
        <w:numPr>
          <w:ilvl w:val="0"/>
          <w:numId w:val="0"/>
        </w:numPr>
        <w:ind w:leftChars="0"/>
        <w:rPr>
          <w:rFonts w:hint="eastAsia" w:ascii="新宋体" w:hAnsi="新宋体" w:eastAsia="新宋体"/>
          <w:color w:val="000000"/>
          <w:sz w:val="32"/>
          <w:szCs w:val="32"/>
          <w:lang w:val="en-US" w:eastAsia="zh-CN"/>
        </w:rPr>
      </w:pPr>
    </w:p>
    <w:p w14:paraId="563CDA48">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新宋体" w:hAnsi="新宋体" w:eastAsia="新宋体"/>
          <w:color w:val="000000"/>
          <w:sz w:val="32"/>
          <w:szCs w:val="32"/>
          <w:lang w:val="en-US" w:eastAsia="zh-CN"/>
        </w:rPr>
        <w:t xml:space="preserve"> </w:t>
      </w:r>
    </w:p>
    <w:p w14:paraId="1F11E7CF">
      <w:pPr>
        <w:numPr>
          <w:ilvl w:val="0"/>
          <w:numId w:val="0"/>
        </w:numPr>
        <w:ind w:leftChars="0"/>
        <w:rPr>
          <w:rFonts w:hint="eastAsia" w:ascii="新宋体" w:hAnsi="新宋体" w:eastAsia="新宋体"/>
          <w:color w:val="000000"/>
          <w:sz w:val="32"/>
          <w:szCs w:val="32"/>
          <w:lang w:val="en-US" w:eastAsia="zh-CN"/>
        </w:rPr>
      </w:pPr>
    </w:p>
    <w:p w14:paraId="19AA79C9">
      <w:pPr>
        <w:numPr>
          <w:ilvl w:val="0"/>
          <w:numId w:val="0"/>
        </w:numPr>
        <w:ind w:leftChars="0"/>
        <w:rPr>
          <w:rFonts w:hint="eastAsia" w:ascii="新宋体" w:hAnsi="新宋体" w:eastAsia="新宋体"/>
          <w:color w:val="000000"/>
          <w:sz w:val="32"/>
          <w:szCs w:val="32"/>
          <w:lang w:val="en-US" w:eastAsia="zh-CN"/>
        </w:rPr>
      </w:pPr>
    </w:p>
    <w:p w14:paraId="4085C86D">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CB4153A">
      <w:pPr>
        <w:numPr>
          <w:ilvl w:val="0"/>
          <w:numId w:val="0"/>
        </w:numPr>
        <w:ind w:leftChars="0"/>
        <w:rPr>
          <w:rFonts w:hint="eastAsia" w:ascii="新宋体" w:hAnsi="新宋体" w:eastAsia="新宋体"/>
          <w:color w:val="000000"/>
          <w:sz w:val="32"/>
          <w:szCs w:val="32"/>
          <w:lang w:val="en-US" w:eastAsia="zh-CN"/>
        </w:rPr>
      </w:pPr>
    </w:p>
    <w:p w14:paraId="085454D2">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p>
    <w:p w14:paraId="245F5CED">
      <w:pPr>
        <w:numPr>
          <w:ilvl w:val="0"/>
          <w:numId w:val="4"/>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收入决算情况说明</w:t>
      </w:r>
    </w:p>
    <w:p w14:paraId="71006B8A">
      <w:pPr>
        <w:numPr>
          <w:ilvl w:val="0"/>
          <w:numId w:val="0"/>
        </w:numPr>
        <w:ind w:firstLine="640"/>
        <w:rPr>
          <w:rFonts w:hint="eastAsia" w:ascii="Times New Roman" w:eastAsia="仿宋_GB2312" w:cs="Times New Roman"/>
          <w:color w:val="auto"/>
          <w:sz w:val="32"/>
          <w:szCs w:val="32"/>
          <w:lang w:val="en-US" w:eastAsia="zh-CN"/>
        </w:rPr>
      </w:pPr>
      <w:r>
        <w:rPr>
          <w:rFonts w:hint="eastAsia" w:ascii="新宋体" w:hAnsi="新宋体" w:eastAsia="新宋体"/>
          <w:color w:val="000000"/>
          <w:sz w:val="32"/>
          <w:szCs w:val="32"/>
          <w:lang w:val="en-US" w:eastAsia="zh-CN"/>
        </w:rPr>
        <w:t>2018年本年收入合计</w:t>
      </w:r>
      <w:r>
        <w:rPr>
          <w:rFonts w:hint="eastAsia" w:ascii="Times New Roman" w:eastAsia="仿宋_GB2312" w:cs="Times New Roman"/>
          <w:color w:val="auto"/>
          <w:sz w:val="32"/>
          <w:szCs w:val="32"/>
          <w:lang w:val="en-US" w:eastAsia="zh-CN"/>
        </w:rPr>
        <w:t>1182.23万元，其中一般公共财政预算拨款收入897.39万元，占75.91%;政府性基金预算财政拨款收入284.84万元，占24.09%；国有资本经营预算财政拨款收入0万元，占0%；经营收入0万元，占0%；附属单位上缴收入0万元，占0%；其他收入0万元，占0%。</w:t>
      </w:r>
    </w:p>
    <w:p w14:paraId="0BDA83F6">
      <w:pPr>
        <w:numPr>
          <w:ilvl w:val="0"/>
          <w:numId w:val="0"/>
        </w:numPr>
        <w:ind w:firstLine="640"/>
        <w:rPr>
          <w:rFonts w:hint="eastAsia" w:ascii="Times New Roman" w:eastAsia="仿宋_GB2312" w:cs="Times New Roman"/>
          <w:color w:val="auto"/>
          <w:sz w:val="32"/>
          <w:szCs w:val="32"/>
          <w:lang w:val="en-US" w:eastAsia="zh-CN"/>
        </w:rPr>
      </w:pPr>
    </w:p>
    <w:p w14:paraId="02C4E0D2">
      <w:pPr>
        <w:numPr>
          <w:ilvl w:val="0"/>
          <w:numId w:val="0"/>
        </w:numPr>
        <w:ind w:firstLine="640"/>
        <w:rPr>
          <w:rFonts w:hint="eastAsia" w:ascii="Times New Roman" w:eastAsia="仿宋_GB2312" w:cs="Times New Roman"/>
          <w:color w:val="auto"/>
          <w:sz w:val="32"/>
          <w:szCs w:val="32"/>
          <w:lang w:val="en-US" w:eastAsia="zh-CN"/>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45FC43C0">
      <w:pPr>
        <w:numPr>
          <w:ilvl w:val="0"/>
          <w:numId w:val="0"/>
        </w:numPr>
        <w:ind w:firstLine="640"/>
        <w:rPr>
          <w:rFonts w:hint="eastAsia" w:ascii="Times New Roman" w:eastAsia="仿宋_GB2312" w:cs="Times New Roman"/>
          <w:color w:val="auto"/>
          <w:sz w:val="32"/>
          <w:szCs w:val="32"/>
          <w:lang w:val="en-US" w:eastAsia="zh-CN"/>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7D26098">
      <w:pPr>
        <w:numPr>
          <w:ilvl w:val="0"/>
          <w:numId w:val="4"/>
        </w:numPr>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支出决算情况说明</w:t>
      </w:r>
    </w:p>
    <w:p w14:paraId="515489D0">
      <w:pPr>
        <w:numPr>
          <w:ilvl w:val="0"/>
          <w:numId w:val="0"/>
        </w:numPr>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2018年本年支出合计1294.50万元，其中：基本支出424.00万元，占32.75%；项目支出870.50万元，占67.25%；上缴上级支出0万元，占0%；经营支出0万元，占0%；对附属单位补助支出0万元，占0%。</w:t>
      </w:r>
    </w:p>
    <w:p w14:paraId="04C5A90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D94E0A0">
      <w:pPr>
        <w:numPr>
          <w:ilvl w:val="0"/>
          <w:numId w:val="0"/>
        </w:numPr>
        <w:ind w:leftChars="0"/>
        <w:rPr>
          <w:rFonts w:hint="eastAsia" w:ascii="Times New Roman" w:eastAsia="仿宋_GB2312" w:cs="Times New Roman"/>
          <w:color w:val="auto"/>
          <w:sz w:val="32"/>
          <w:szCs w:val="32"/>
          <w:lang w:val="en-US" w:eastAsia="zh-CN"/>
        </w:rPr>
      </w:pPr>
    </w:p>
    <w:p w14:paraId="42D1314F">
      <w:pPr>
        <w:numPr>
          <w:ilvl w:val="0"/>
          <w:numId w:val="0"/>
        </w:numPr>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w:t>
      </w: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F2518A8">
      <w:pPr>
        <w:numPr>
          <w:ilvl w:val="0"/>
          <w:numId w:val="5"/>
        </w:numPr>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财政拨款收入支出决算总体情况说明</w:t>
      </w:r>
    </w:p>
    <w:p w14:paraId="146B0EE8">
      <w:pPr>
        <w:numPr>
          <w:ilvl w:val="0"/>
          <w:numId w:val="0"/>
        </w:numPr>
        <w:ind w:firstLine="640" w:firstLineChars="2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2018年度收、支总计2476.73万元。2017年度收、支总计2558.81万元。与2017年相比，收、支总计减少82.08万元，下降3.21%。主要变动原因是项目减少。</w:t>
      </w:r>
    </w:p>
    <w:p w14:paraId="1D6ED71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64ACCD0D">
      <w:pPr>
        <w:numPr>
          <w:ilvl w:val="0"/>
          <w:numId w:val="0"/>
        </w:numPr>
        <w:ind w:firstLine="640" w:firstLineChars="200"/>
        <w:rPr>
          <w:rFonts w:hint="eastAsia" w:ascii="新宋体" w:hAnsi="新宋体" w:eastAsia="新宋体"/>
          <w:color w:val="000000"/>
          <w:sz w:val="32"/>
          <w:szCs w:val="32"/>
          <w:lang w:val="en-US" w:eastAsia="zh-CN"/>
        </w:rPr>
      </w:pPr>
    </w:p>
    <w:p w14:paraId="33EAABFB">
      <w:pPr>
        <w:numPr>
          <w:ilvl w:val="0"/>
          <w:numId w:val="0"/>
        </w:numPr>
        <w:ind w:firstLine="640" w:firstLineChars="200"/>
      </w:pPr>
      <w:r>
        <w:rPr>
          <w:rFonts w:hint="eastAsia" w:ascii="新宋体" w:hAnsi="新宋体" w:eastAsia="新宋体"/>
          <w:color w:val="000000"/>
          <w:sz w:val="32"/>
          <w:szCs w:val="32"/>
          <w:lang w:val="en-US" w:eastAsia="zh-CN"/>
        </w:rPr>
        <w:t xml:space="preserve">            </w:t>
      </w:r>
      <w:r>
        <w:drawing>
          <wp:inline distT="0" distB="0" distL="114300" distR="114300">
            <wp:extent cx="4572000" cy="2743200"/>
            <wp:effectExtent l="4445" t="4445" r="14605" b="14605"/>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B640731">
      <w:pPr>
        <w:numPr>
          <w:ilvl w:val="0"/>
          <w:numId w:val="0"/>
        </w:numPr>
        <w:ind w:firstLine="420" w:firstLineChars="200"/>
      </w:pPr>
    </w:p>
    <w:p w14:paraId="7A326309">
      <w:pPr>
        <w:numPr>
          <w:ilvl w:val="0"/>
          <w:numId w:val="0"/>
        </w:numPr>
        <w:ind w:firstLine="420" w:firstLineChars="200"/>
      </w:pPr>
    </w:p>
    <w:p w14:paraId="505EB390">
      <w:pPr>
        <w:numPr>
          <w:ilvl w:val="0"/>
          <w:numId w:val="0"/>
        </w:numPr>
        <w:ind w:firstLine="420" w:firstLineChars="200"/>
        <w:rPr>
          <w:rFonts w:hint="eastAsia"/>
          <w:lang w:val="en-US" w:eastAsia="zh-CN"/>
        </w:rPr>
      </w:pPr>
    </w:p>
    <w:p w14:paraId="3E80EC27">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5、一般公共预算财政拨款支出决算情况说明</w:t>
      </w:r>
    </w:p>
    <w:p w14:paraId="6A464063">
      <w:pPr>
        <w:numPr>
          <w:ilvl w:val="0"/>
          <w:numId w:val="6"/>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一般公共预算财政拨款支出决算总体情况</w:t>
      </w:r>
    </w:p>
    <w:p w14:paraId="2C281EEC">
      <w:pPr>
        <w:numPr>
          <w:ilvl w:val="0"/>
          <w:numId w:val="0"/>
        </w:numPr>
        <w:ind w:firstLine="640" w:firstLineChars="2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2018年一般公共预算财政拨款支出1009.65万元，占本年支出合计的78%。与2017年相比，一般公共预算财政拨款增加115.52万元，增长12.92%，主要变动原因是新进人员经费增加，日常公用经费增加。</w:t>
      </w:r>
    </w:p>
    <w:p w14:paraId="5E3EA6EA">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6B2DD03E">
      <w:pPr>
        <w:numPr>
          <w:ilvl w:val="0"/>
          <w:numId w:val="0"/>
        </w:numPr>
        <w:ind w:firstLine="640" w:firstLineChars="200"/>
        <w:rPr>
          <w:rFonts w:hint="eastAsia" w:ascii="新宋体" w:hAnsi="新宋体" w:eastAsia="新宋体"/>
          <w:color w:val="000000"/>
          <w:sz w:val="32"/>
          <w:szCs w:val="32"/>
          <w:lang w:val="en-US" w:eastAsia="zh-CN"/>
        </w:rPr>
      </w:pPr>
    </w:p>
    <w:p w14:paraId="5792296D">
      <w:pPr>
        <w:numPr>
          <w:ilvl w:val="0"/>
          <w:numId w:val="0"/>
        </w:numPr>
        <w:ind w:firstLine="640" w:firstLineChars="200"/>
      </w:pPr>
      <w:r>
        <w:rPr>
          <w:rFonts w:hint="eastAsia" w:ascii="新宋体" w:hAnsi="新宋体" w:eastAsia="新宋体"/>
          <w:color w:val="000000"/>
          <w:sz w:val="32"/>
          <w:szCs w:val="32"/>
          <w:lang w:val="en-US" w:eastAsia="zh-CN"/>
        </w:rPr>
        <w:t xml:space="preserve">            </w:t>
      </w: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1E34B4">
      <w:pPr>
        <w:numPr>
          <w:ilvl w:val="0"/>
          <w:numId w:val="0"/>
        </w:numPr>
        <w:ind w:firstLine="420" w:firstLineChars="200"/>
      </w:pPr>
    </w:p>
    <w:p w14:paraId="07151EC2">
      <w:pPr>
        <w:numPr>
          <w:ilvl w:val="0"/>
          <w:numId w:val="0"/>
        </w:numPr>
        <w:rPr>
          <w:rFonts w:hint="eastAsia"/>
          <w:lang w:val="en-US" w:eastAsia="zh-CN"/>
        </w:rPr>
      </w:pPr>
    </w:p>
    <w:p w14:paraId="145A89FF">
      <w:pPr>
        <w:pStyle w:val="13"/>
        <w:snapToGrid w:val="0"/>
        <w:spacing w:before="0" w:beforeAutospacing="0" w:after="0" w:afterAutospacing="0" w:line="600" w:lineRule="exact"/>
        <w:ind w:firstLine="645"/>
        <w:rPr>
          <w:rFonts w:hint="eastAsia" w:ascii="Times New Roman" w:eastAsia="仿宋_GB2312" w:cs="Times New Roman"/>
          <w:color w:val="auto"/>
          <w:sz w:val="32"/>
          <w:szCs w:val="32"/>
          <w:lang w:val="en-US" w:eastAsia="zh-CN"/>
        </w:rPr>
      </w:pPr>
      <w:r>
        <w:rPr>
          <w:rFonts w:hint="eastAsia" w:ascii="新宋体" w:hAnsi="新宋体" w:eastAsia="新宋体"/>
          <w:color w:val="000000"/>
          <w:sz w:val="32"/>
          <w:szCs w:val="32"/>
          <w:lang w:val="en-US" w:eastAsia="zh-CN"/>
        </w:rPr>
        <w:t>（二）</w:t>
      </w:r>
      <w:r>
        <w:rPr>
          <w:rFonts w:hint="eastAsia" w:ascii="Times New Roman" w:eastAsia="仿宋_GB2312" w:cs="Times New Roman"/>
          <w:color w:val="auto"/>
          <w:sz w:val="32"/>
          <w:szCs w:val="32"/>
        </w:rPr>
        <w:t>2018年</w:t>
      </w:r>
      <w:r>
        <w:rPr>
          <w:rFonts w:hint="eastAsia" w:ascii="Times New Roman" w:eastAsia="仿宋_GB2312" w:cs="Times New Roman"/>
          <w:color w:val="auto"/>
          <w:sz w:val="32"/>
          <w:szCs w:val="32"/>
          <w:lang w:eastAsia="zh-CN"/>
        </w:rPr>
        <w:t>麻陇彝族乡</w:t>
      </w:r>
      <w:r>
        <w:rPr>
          <w:rFonts w:hint="eastAsia" w:ascii="Times New Roman" w:eastAsia="仿宋_GB2312" w:cs="Times New Roman"/>
          <w:color w:val="auto"/>
          <w:sz w:val="32"/>
          <w:szCs w:val="32"/>
        </w:rPr>
        <w:t>支出决算总额为</w:t>
      </w:r>
      <w:r>
        <w:rPr>
          <w:rFonts w:hint="eastAsia" w:ascii="Times New Roman" w:eastAsia="仿宋_GB2312" w:cs="Times New Roman"/>
          <w:color w:val="auto"/>
          <w:sz w:val="32"/>
          <w:szCs w:val="32"/>
          <w:lang w:val="en-US" w:eastAsia="zh-CN"/>
        </w:rPr>
        <w:t>1294.50</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主要用于以下方面：</w:t>
      </w:r>
      <w:r>
        <w:rPr>
          <w:rFonts w:hint="eastAsia" w:ascii="Times New Roman" w:eastAsia="仿宋_GB2312" w:cs="Times New Roman"/>
          <w:color w:val="auto"/>
          <w:sz w:val="32"/>
          <w:szCs w:val="32"/>
        </w:rPr>
        <w:t>一般公共服务支出</w:t>
      </w:r>
      <w:r>
        <w:rPr>
          <w:rFonts w:hint="eastAsia" w:ascii="Times New Roman" w:eastAsia="仿宋_GB2312" w:cs="Times New Roman"/>
          <w:color w:val="auto"/>
          <w:sz w:val="32"/>
          <w:szCs w:val="32"/>
          <w:lang w:val="en-US" w:eastAsia="zh-CN"/>
        </w:rPr>
        <w:t>498.67</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38.52%；</w:t>
      </w:r>
      <w:r>
        <w:rPr>
          <w:rFonts w:hint="eastAsia" w:ascii="Times New Roman" w:eastAsia="仿宋_GB2312" w:cs="Times New Roman"/>
          <w:color w:val="auto"/>
          <w:sz w:val="32"/>
          <w:szCs w:val="32"/>
        </w:rPr>
        <w:t>公共安全支出</w:t>
      </w:r>
      <w:r>
        <w:rPr>
          <w:rFonts w:hint="eastAsia" w:ascii="Times New Roman" w:eastAsia="仿宋_GB2312" w:cs="Times New Roman"/>
          <w:color w:val="auto"/>
          <w:sz w:val="32"/>
          <w:szCs w:val="32"/>
          <w:lang w:val="en-US" w:eastAsia="zh-CN"/>
        </w:rPr>
        <w:t>2.34</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0.18%；</w:t>
      </w:r>
      <w:r>
        <w:rPr>
          <w:rFonts w:hint="eastAsia" w:ascii="Times New Roman" w:eastAsia="仿宋_GB2312" w:cs="Times New Roman"/>
          <w:color w:val="auto"/>
          <w:sz w:val="32"/>
          <w:szCs w:val="32"/>
        </w:rPr>
        <w:t>社会保障和就业</w:t>
      </w:r>
      <w:r>
        <w:rPr>
          <w:rFonts w:hint="eastAsia" w:ascii="Times New Roman" w:eastAsia="仿宋_GB2312" w:cs="Times New Roman"/>
          <w:color w:val="auto"/>
          <w:sz w:val="32"/>
          <w:szCs w:val="32"/>
          <w:lang w:eastAsia="zh-CN"/>
        </w:rPr>
        <w:t>支出</w:t>
      </w:r>
      <w:r>
        <w:rPr>
          <w:rFonts w:hint="eastAsia" w:ascii="Times New Roman" w:eastAsia="仿宋_GB2312" w:cs="Times New Roman"/>
          <w:color w:val="auto"/>
          <w:sz w:val="32"/>
          <w:szCs w:val="32"/>
        </w:rPr>
        <w:t>1</w:t>
      </w:r>
      <w:r>
        <w:rPr>
          <w:rFonts w:hint="eastAsia" w:ascii="Times New Roman" w:eastAsia="仿宋_GB2312" w:cs="Times New Roman"/>
          <w:color w:val="auto"/>
          <w:sz w:val="32"/>
          <w:szCs w:val="32"/>
          <w:lang w:val="en-US" w:eastAsia="zh-CN"/>
        </w:rPr>
        <w:t>44.22</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11.14%；</w:t>
      </w:r>
      <w:r>
        <w:rPr>
          <w:rFonts w:hint="eastAsia" w:ascii="Times New Roman" w:eastAsia="仿宋_GB2312" w:cs="Times New Roman"/>
          <w:color w:val="auto"/>
          <w:sz w:val="32"/>
          <w:szCs w:val="32"/>
        </w:rPr>
        <w:t>城乡社区支出</w:t>
      </w:r>
      <w:r>
        <w:rPr>
          <w:rFonts w:hint="eastAsia" w:ascii="Times New Roman" w:eastAsia="仿宋_GB2312" w:cs="Times New Roman"/>
          <w:color w:val="auto"/>
          <w:sz w:val="32"/>
          <w:szCs w:val="32"/>
          <w:lang w:val="en-US" w:eastAsia="zh-CN"/>
        </w:rPr>
        <w:t>284.84万元</w:t>
      </w:r>
      <w:r>
        <w:rPr>
          <w:rFonts w:hint="eastAsia" w:ascii="Times New Roman" w:eastAsia="仿宋_GB2312" w:cs="Times New Roman"/>
          <w:color w:val="auto"/>
          <w:sz w:val="32"/>
          <w:szCs w:val="32"/>
        </w:rPr>
        <w:t>，</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22%；</w:t>
      </w:r>
      <w:r>
        <w:rPr>
          <w:rFonts w:hint="eastAsia" w:ascii="Times New Roman" w:eastAsia="仿宋_GB2312" w:cs="Times New Roman"/>
          <w:color w:val="auto"/>
          <w:sz w:val="32"/>
          <w:szCs w:val="32"/>
        </w:rPr>
        <w:t>农林水支出3</w:t>
      </w:r>
      <w:r>
        <w:rPr>
          <w:rFonts w:hint="eastAsia" w:ascii="Times New Roman" w:eastAsia="仿宋_GB2312" w:cs="Times New Roman"/>
          <w:color w:val="auto"/>
          <w:sz w:val="32"/>
          <w:szCs w:val="32"/>
          <w:lang w:val="en-US" w:eastAsia="zh-CN"/>
        </w:rPr>
        <w:t>19.40</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24.67%；</w:t>
      </w:r>
      <w:r>
        <w:rPr>
          <w:rFonts w:hint="eastAsia" w:ascii="Times New Roman" w:eastAsia="仿宋_GB2312" w:cs="Times New Roman"/>
          <w:color w:val="auto"/>
          <w:sz w:val="32"/>
          <w:szCs w:val="32"/>
        </w:rPr>
        <w:t>住房保障支出</w:t>
      </w:r>
      <w:r>
        <w:rPr>
          <w:rFonts w:hint="eastAsia" w:ascii="Times New Roman" w:eastAsia="仿宋_GB2312" w:cs="Times New Roman"/>
          <w:color w:val="auto"/>
          <w:sz w:val="32"/>
          <w:szCs w:val="32"/>
          <w:lang w:val="en-US" w:eastAsia="zh-CN"/>
        </w:rPr>
        <w:t>37.71</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，占</w:t>
      </w:r>
      <w:r>
        <w:rPr>
          <w:rFonts w:hint="eastAsia" w:ascii="Times New Roman" w:eastAsia="仿宋_GB2312" w:cs="Times New Roman"/>
          <w:color w:val="auto"/>
          <w:sz w:val="32"/>
          <w:szCs w:val="32"/>
          <w:lang w:val="en-US" w:eastAsia="zh-CN"/>
        </w:rPr>
        <w:t>2.91%。</w:t>
      </w:r>
    </w:p>
    <w:p w14:paraId="3401E03E">
      <w:pPr>
        <w:spacing w:line="600" w:lineRule="exact"/>
        <w:ind w:firstLine="420" w:firstLineChars="200"/>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1442720</wp:posOffset>
            </wp:positionH>
            <wp:positionV relativeFrom="paragraph">
              <wp:posOffset>518795</wp:posOffset>
            </wp:positionV>
            <wp:extent cx="4343400" cy="2077085"/>
            <wp:effectExtent l="5080" t="4445" r="13970" b="13970"/>
            <wp:wrapNone/>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21F21E56">
      <w:pPr>
        <w:pStyle w:val="13"/>
        <w:snapToGrid w:val="0"/>
        <w:spacing w:before="0" w:beforeAutospacing="0" w:after="0" w:afterAutospacing="0" w:line="600" w:lineRule="exact"/>
        <w:ind w:firstLine="645"/>
        <w:rPr>
          <w:rFonts w:hint="eastAsia" w:ascii="Times New Roman" w:eastAsia="仿宋_GB2312" w:cs="Times New Roman"/>
          <w:color w:val="auto"/>
          <w:sz w:val="32"/>
          <w:szCs w:val="32"/>
          <w:lang w:val="en-US" w:eastAsia="zh-CN"/>
        </w:rPr>
      </w:pPr>
    </w:p>
    <w:p w14:paraId="2D4368F7">
      <w:pPr>
        <w:pStyle w:val="13"/>
        <w:snapToGrid w:val="0"/>
        <w:spacing w:before="0" w:beforeAutospacing="0" w:after="0" w:afterAutospacing="0" w:line="600" w:lineRule="exact"/>
        <w:ind w:firstLine="645"/>
        <w:rPr>
          <w:rFonts w:hint="eastAsia" w:ascii="Times New Roman" w:eastAsia="仿宋_GB2312" w:cs="Times New Roman"/>
          <w:color w:val="auto"/>
          <w:sz w:val="32"/>
          <w:szCs w:val="32"/>
          <w:lang w:val="en-US" w:eastAsia="zh-CN"/>
        </w:rPr>
      </w:pPr>
    </w:p>
    <w:p w14:paraId="4F709423">
      <w:pPr>
        <w:pStyle w:val="13"/>
        <w:snapToGrid w:val="0"/>
        <w:spacing w:before="0" w:beforeAutospacing="0" w:after="0" w:afterAutospacing="0" w:line="600" w:lineRule="exact"/>
        <w:ind w:firstLine="645"/>
        <w:rPr>
          <w:rFonts w:hint="eastAsia" w:ascii="Times New Roman" w:eastAsia="仿宋_GB2312" w:cs="Times New Roman"/>
          <w:color w:val="auto"/>
          <w:sz w:val="32"/>
          <w:szCs w:val="32"/>
          <w:lang w:val="en-US" w:eastAsia="zh-CN"/>
        </w:rPr>
      </w:pPr>
    </w:p>
    <w:p w14:paraId="4A0BBABE">
      <w:pPr>
        <w:pStyle w:val="13"/>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w:t>
      </w:r>
    </w:p>
    <w:p w14:paraId="437C961F">
      <w:pPr>
        <w:pStyle w:val="13"/>
        <w:snapToGrid w:val="0"/>
        <w:spacing w:before="0" w:beforeAutospacing="0" w:after="0" w:afterAutospacing="0" w:line="600" w:lineRule="exact"/>
        <w:rPr>
          <w:rFonts w:hint="eastAsia" w:ascii="Times New Roman" w:eastAsia="仿宋_GB2312" w:cs="Times New Roman"/>
          <w:color w:val="auto"/>
          <w:sz w:val="32"/>
          <w:szCs w:val="32"/>
          <w:lang w:val="en-US" w:eastAsia="zh-CN"/>
        </w:rPr>
      </w:pPr>
    </w:p>
    <w:p w14:paraId="3E9C1652">
      <w:pPr>
        <w:pStyle w:val="13"/>
        <w:snapToGrid w:val="0"/>
        <w:spacing w:before="0" w:beforeAutospacing="0" w:after="0" w:afterAutospacing="0" w:line="600" w:lineRule="exact"/>
        <w:rPr>
          <w:rFonts w:hint="eastAsia" w:ascii="Times New Roman" w:eastAsia="仿宋_GB2312" w:cs="Times New Roman"/>
          <w:color w:val="auto"/>
          <w:sz w:val="32"/>
          <w:szCs w:val="32"/>
          <w:lang w:val="en-US" w:eastAsia="zh-CN"/>
        </w:rPr>
      </w:pPr>
    </w:p>
    <w:p w14:paraId="7B59AACC">
      <w:pPr>
        <w:pStyle w:val="13"/>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w:t>
      </w:r>
    </w:p>
    <w:p w14:paraId="2C7A40B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bookmarkStart w:id="0" w:name="_Toc15377212"/>
      <w:r>
        <w:rPr>
          <w:rStyle w:val="10"/>
          <w:rFonts w:ascii="仿宋" w:hAnsi="仿宋" w:eastAsia="仿宋" w:cs="仿宋"/>
          <w:i w:val="0"/>
          <w:caps w:val="0"/>
          <w:color w:val="000000"/>
          <w:spacing w:val="0"/>
          <w:sz w:val="32"/>
          <w:szCs w:val="32"/>
          <w:u w:val="none"/>
          <w:shd w:val="clear" w:fill="FFFFFF"/>
        </w:rPr>
        <w:t>（三）一般公共预算财政拨款支出决算具体情况</w:t>
      </w:r>
      <w:bookmarkEnd w:id="0"/>
    </w:p>
    <w:p w14:paraId="75F1B3E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bookmarkStart w:id="1" w:name="_Toc15377213"/>
      <w:bookmarkEnd w:id="1"/>
      <w:bookmarkStart w:id="2" w:name="_Toc15377444"/>
      <w:bookmarkEnd w:id="2"/>
      <w:bookmarkStart w:id="3" w:name="_Toc15378460"/>
      <w:r>
        <w:rPr>
          <w:rStyle w:val="10"/>
          <w:rFonts w:ascii="Times New Roman" w:hAnsi="Times New Roman" w:eastAsia="微软雅黑" w:cs="Times New Roman"/>
          <w:i w:val="0"/>
          <w:caps w:val="0"/>
          <w:color w:val="000000"/>
          <w:spacing w:val="0"/>
          <w:sz w:val="32"/>
          <w:szCs w:val="32"/>
          <w:u w:val="none"/>
          <w:shd w:val="clear" w:fill="FFFFFF"/>
        </w:rPr>
        <w:t>2018</w:t>
      </w:r>
      <w:bookmarkEnd w:id="3"/>
      <w:r>
        <w:rPr>
          <w:rStyle w:val="10"/>
          <w:rFonts w:hint="eastAsia" w:ascii="仿宋" w:hAnsi="仿宋" w:eastAsia="仿宋" w:cs="仿宋"/>
          <w:i w:val="0"/>
          <w:caps w:val="0"/>
          <w:color w:val="000000"/>
          <w:spacing w:val="0"/>
          <w:sz w:val="32"/>
          <w:szCs w:val="32"/>
          <w:shd w:val="clear" w:fill="FFFFFF"/>
        </w:rPr>
        <w:t>年</w:t>
      </w:r>
      <w:r>
        <w:rPr>
          <w:rStyle w:val="10"/>
          <w:rFonts w:hint="eastAsia" w:ascii="仿宋" w:hAnsi="仿宋" w:eastAsia="仿宋" w:cs="仿宋"/>
          <w:i w:val="0"/>
          <w:caps w:val="0"/>
          <w:color w:val="000000"/>
          <w:spacing w:val="0"/>
          <w:sz w:val="32"/>
          <w:szCs w:val="32"/>
          <w:shd w:val="clear" w:fill="FFFFFF"/>
          <w:lang w:val="en-US" w:eastAsia="zh-CN"/>
        </w:rPr>
        <w:t>一</w:t>
      </w:r>
      <w:r>
        <w:rPr>
          <w:rStyle w:val="10"/>
          <w:rFonts w:hint="eastAsia" w:ascii="仿宋" w:hAnsi="仿宋" w:eastAsia="仿宋" w:cs="仿宋"/>
          <w:i w:val="0"/>
          <w:caps w:val="0"/>
          <w:color w:val="000000"/>
          <w:spacing w:val="0"/>
          <w:sz w:val="32"/>
          <w:szCs w:val="32"/>
          <w:shd w:val="clear" w:fill="FFFFFF"/>
        </w:rPr>
        <w:t>般公共预算支出决算数为</w:t>
      </w:r>
      <w:r>
        <w:rPr>
          <w:rStyle w:val="10"/>
          <w:rFonts w:hint="eastAsia" w:ascii="仿宋" w:hAnsi="仿宋" w:eastAsia="仿宋" w:cs="仿宋"/>
          <w:i w:val="0"/>
          <w:caps w:val="0"/>
          <w:color w:val="000000"/>
          <w:spacing w:val="0"/>
          <w:sz w:val="32"/>
          <w:szCs w:val="32"/>
          <w:shd w:val="clear" w:fill="FFFFFF"/>
          <w:lang w:val="en-US" w:eastAsia="zh-CN"/>
        </w:rPr>
        <w:t>1009.65</w:t>
      </w:r>
      <w:r>
        <w:rPr>
          <w:rStyle w:val="10"/>
          <w:rFonts w:hint="eastAsia" w:ascii="仿宋" w:hAnsi="仿宋" w:eastAsia="仿宋" w:cs="仿宋"/>
          <w:i w:val="0"/>
          <w:caps w:val="0"/>
          <w:color w:val="000000"/>
          <w:spacing w:val="0"/>
          <w:sz w:val="32"/>
          <w:szCs w:val="32"/>
          <w:shd w:val="clear" w:fill="FFFFFF"/>
        </w:rPr>
        <w:t>万元</w:t>
      </w:r>
      <w:r>
        <w:rPr>
          <w:rFonts w:hint="eastAsia" w:ascii="仿宋" w:hAnsi="仿宋" w:eastAsia="仿宋" w:cs="仿宋"/>
          <w:i w:val="0"/>
          <w:caps w:val="0"/>
          <w:color w:val="000000"/>
          <w:spacing w:val="0"/>
          <w:sz w:val="32"/>
          <w:szCs w:val="32"/>
          <w:shd w:val="clear" w:fill="FFFFFF"/>
        </w:rPr>
        <w:t>，</w:t>
      </w:r>
      <w:r>
        <w:rPr>
          <w:rStyle w:val="10"/>
          <w:rFonts w:hint="eastAsia" w:ascii="仿宋" w:hAnsi="仿宋" w:eastAsia="仿宋" w:cs="仿宋"/>
          <w:i w:val="0"/>
          <w:caps w:val="0"/>
          <w:color w:val="000000"/>
          <w:spacing w:val="0"/>
          <w:sz w:val="32"/>
          <w:szCs w:val="32"/>
          <w:shd w:val="clear" w:fill="FFFFFF"/>
        </w:rPr>
        <w:t>完成预算</w:t>
      </w:r>
      <w:r>
        <w:rPr>
          <w:rStyle w:val="10"/>
          <w:rFonts w:hint="default" w:ascii="Times New Roman" w:hAnsi="Times New Roman" w:eastAsia="微软雅黑" w:cs="Times New Roman"/>
          <w:i w:val="0"/>
          <w:caps w:val="0"/>
          <w:color w:val="000000"/>
          <w:spacing w:val="0"/>
          <w:sz w:val="32"/>
          <w:szCs w:val="32"/>
          <w:shd w:val="clear" w:fill="FFFFFF"/>
        </w:rPr>
        <w:t>100%</w:t>
      </w:r>
      <w:r>
        <w:rPr>
          <w:rStyle w:val="10"/>
          <w:rFonts w:hint="eastAsia" w:ascii="仿宋" w:hAnsi="仿宋" w:eastAsia="仿宋" w:cs="仿宋"/>
          <w:i w:val="0"/>
          <w:caps w:val="0"/>
          <w:color w:val="000000"/>
          <w:spacing w:val="0"/>
          <w:sz w:val="32"/>
          <w:szCs w:val="32"/>
          <w:shd w:val="clear" w:fill="FFFFFF"/>
        </w:rPr>
        <w:t>。其中：</w:t>
      </w:r>
    </w:p>
    <w:p w14:paraId="1445794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r>
        <w:rPr>
          <w:rStyle w:val="10"/>
          <w:rFonts w:hint="eastAsia" w:ascii="仿宋" w:hAnsi="仿宋" w:eastAsia="仿宋" w:cs="仿宋"/>
          <w:i w:val="0"/>
          <w:caps w:val="0"/>
          <w:color w:val="000000"/>
          <w:spacing w:val="0"/>
          <w:sz w:val="32"/>
          <w:szCs w:val="32"/>
          <w:shd w:val="clear" w:fill="FFFFFF"/>
        </w:rPr>
        <w:t>一般公共服务（类）政府办公厅（室）及相关机构事务（款）行政运行（项）</w:t>
      </w:r>
      <w:r>
        <w:rPr>
          <w:rFonts w:hint="eastAsia" w:ascii="微软雅黑" w:hAnsi="微软雅黑" w:eastAsia="微软雅黑" w:cs="微软雅黑"/>
          <w:i w:val="0"/>
          <w:caps w:val="0"/>
          <w:color w:val="333333"/>
          <w:spacing w:val="0"/>
          <w:sz w:val="27"/>
          <w:szCs w:val="27"/>
          <w:shd w:val="clear" w:fill="FFFFFF"/>
        </w:rPr>
        <w:t>: </w:t>
      </w:r>
      <w:r>
        <w:rPr>
          <w:rFonts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171.36</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245FC05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一般公共服务（类）政府办公厅（室）及相关机构事务（款）一般行政管理事务（项）：</w:t>
      </w:r>
      <w:r>
        <w:rPr>
          <w:rFonts w:hint="eastAsia" w:ascii="仿宋_GB2312" w:hAnsi="仿宋_GB2312" w:eastAsia="仿宋_GB2312" w:cs="仿宋_GB2312"/>
          <w:i w:val="0"/>
          <w:caps w:val="0"/>
          <w:color w:val="000000"/>
          <w:spacing w:val="0"/>
          <w:sz w:val="32"/>
          <w:szCs w:val="32"/>
          <w:shd w:val="clear" w:fill="FFFFFF"/>
        </w:rPr>
        <w:t>支出决算为</w:t>
      </w:r>
      <w:r>
        <w:rPr>
          <w:rFonts w:hint="default" w:ascii="Times New Roman" w:hAnsi="Times New Roman" w:eastAsia="微软雅黑" w:cs="Times New Roman"/>
          <w:i w:val="0"/>
          <w:caps w:val="0"/>
          <w:color w:val="000000"/>
          <w:spacing w:val="0"/>
          <w:sz w:val="32"/>
          <w:szCs w:val="32"/>
          <w:shd w:val="clear" w:fill="FFFFFF"/>
        </w:rPr>
        <w:t>1</w:t>
      </w:r>
      <w:r>
        <w:rPr>
          <w:rFonts w:hint="eastAsia" w:ascii="Times New Roman" w:hAnsi="Times New Roman" w:eastAsia="微软雅黑" w:cs="Times New Roman"/>
          <w:i w:val="0"/>
          <w:caps w:val="0"/>
          <w:color w:val="000000"/>
          <w:spacing w:val="0"/>
          <w:sz w:val="32"/>
          <w:szCs w:val="32"/>
          <w:shd w:val="clear" w:fill="FFFFFF"/>
          <w:lang w:val="en-US" w:eastAsia="zh-CN"/>
        </w:rPr>
        <w:t>52.36</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1F8C18C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一般公共服务（类）政府办公厅（室）及相关机构事务（款）事业运行（项）：</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167.99</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617DE46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一般公共服务（类）其他一般公共服务支出（款）其他一般公共服务支出（项）：</w:t>
      </w:r>
      <w:r>
        <w:rPr>
          <w:rFonts w:hint="eastAsia" w:ascii="仿宋_GB2312" w:hAnsi="仿宋_GB2312" w:eastAsia="仿宋_GB2312" w:cs="仿宋_GB2312"/>
          <w:i w:val="0"/>
          <w:caps w:val="0"/>
          <w:color w:val="000000"/>
          <w:spacing w:val="0"/>
          <w:sz w:val="32"/>
          <w:szCs w:val="32"/>
          <w:shd w:val="clear" w:fill="FFFFFF"/>
        </w:rPr>
        <w:t>支出决算为</w:t>
      </w:r>
      <w:r>
        <w:rPr>
          <w:rFonts w:hint="default" w:ascii="Times New Roman" w:hAnsi="Times New Roman" w:eastAsia="微软雅黑" w:cs="Times New Roman"/>
          <w:i w:val="0"/>
          <w:caps w:val="0"/>
          <w:color w:val="000000"/>
          <w:spacing w:val="0"/>
          <w:sz w:val="32"/>
          <w:szCs w:val="32"/>
          <w:shd w:val="clear" w:fill="FFFFFF"/>
        </w:rPr>
        <w:t>6.</w:t>
      </w:r>
      <w:r>
        <w:rPr>
          <w:rFonts w:hint="eastAsia" w:ascii="Times New Roman" w:hAnsi="Times New Roman" w:eastAsia="微软雅黑" w:cs="Times New Roman"/>
          <w:i w:val="0"/>
          <w:caps w:val="0"/>
          <w:color w:val="000000"/>
          <w:spacing w:val="0"/>
          <w:sz w:val="32"/>
          <w:szCs w:val="32"/>
          <w:shd w:val="clear" w:fill="FFFFFF"/>
          <w:lang w:val="en-US" w:eastAsia="zh-CN"/>
        </w:rPr>
        <w:t>96</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5DA2A9D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default" w:ascii="Times New Roman" w:hAnsi="Times New Roman" w:eastAsia="微软雅黑" w:cs="Times New Roman"/>
          <w:i w:val="0"/>
          <w:caps w:val="0"/>
          <w:color w:val="000000"/>
          <w:spacing w:val="0"/>
          <w:sz w:val="32"/>
          <w:szCs w:val="32"/>
          <w:shd w:val="clear" w:fill="FFFFFF"/>
        </w:rPr>
        <w:t>2.</w:t>
      </w:r>
      <w:r>
        <w:rPr>
          <w:rStyle w:val="10"/>
          <w:rFonts w:hint="eastAsia" w:ascii="仿宋" w:hAnsi="仿宋" w:eastAsia="仿宋" w:cs="仿宋"/>
          <w:i w:val="0"/>
          <w:caps w:val="0"/>
          <w:color w:val="000000"/>
          <w:spacing w:val="0"/>
          <w:sz w:val="32"/>
          <w:szCs w:val="32"/>
          <w:shd w:val="clear" w:fill="FFFFFF"/>
        </w:rPr>
        <w:t>公共安全（类）公安（款）治安管理（项）</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2.34</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0252346A">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643" w:leftChars="0" w:right="0" w:rightChars="0" w:firstLine="643" w:firstLineChars="200"/>
        <w:rPr>
          <w:rFonts w:hint="eastAsia" w:ascii="宋体" w:hAnsi="宋体" w:eastAsia="宋体" w:cs="宋体"/>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lang w:val="en-US" w:eastAsia="zh-CN"/>
        </w:rPr>
        <w:t>3.</w:t>
      </w:r>
      <w:r>
        <w:rPr>
          <w:rStyle w:val="10"/>
          <w:rFonts w:hint="eastAsia" w:ascii="仿宋" w:hAnsi="仿宋" w:eastAsia="仿宋" w:cs="仿宋"/>
          <w:i w:val="0"/>
          <w:caps w:val="0"/>
          <w:color w:val="000000"/>
          <w:spacing w:val="0"/>
          <w:sz w:val="32"/>
          <w:szCs w:val="32"/>
          <w:shd w:val="clear" w:fill="FFFFFF"/>
        </w:rPr>
        <w:t>社会保障和就业（类）</w:t>
      </w:r>
      <w:r>
        <w:rPr>
          <w:rStyle w:val="10"/>
          <w:rFonts w:hint="eastAsia" w:ascii="仿宋" w:hAnsi="仿宋" w:eastAsia="仿宋" w:cs="仿宋"/>
          <w:i w:val="0"/>
          <w:caps w:val="0"/>
          <w:color w:val="000000"/>
          <w:spacing w:val="0"/>
          <w:sz w:val="32"/>
          <w:szCs w:val="32"/>
          <w:shd w:val="clear" w:fill="FFFFFF"/>
          <w:lang w:val="en-US" w:eastAsia="zh-CN"/>
        </w:rPr>
        <w:t>民政管理事务（</w:t>
      </w:r>
      <w:r>
        <w:rPr>
          <w:rStyle w:val="10"/>
          <w:rFonts w:hint="eastAsia" w:ascii="仿宋" w:hAnsi="仿宋" w:eastAsia="仿宋" w:cs="仿宋"/>
          <w:i w:val="0"/>
          <w:caps w:val="0"/>
          <w:color w:val="000000"/>
          <w:spacing w:val="0"/>
          <w:sz w:val="32"/>
          <w:szCs w:val="32"/>
          <w:shd w:val="clear" w:fill="FFFFFF"/>
        </w:rPr>
        <w:t>款）</w:t>
      </w:r>
      <w:r>
        <w:rPr>
          <w:rStyle w:val="10"/>
          <w:rFonts w:hint="eastAsia" w:ascii="仿宋" w:hAnsi="仿宋" w:eastAsia="仿宋" w:cs="仿宋"/>
          <w:i w:val="0"/>
          <w:caps w:val="0"/>
          <w:color w:val="000000"/>
          <w:spacing w:val="0"/>
          <w:sz w:val="32"/>
          <w:szCs w:val="32"/>
          <w:shd w:val="clear" w:fill="FFFFFF"/>
          <w:lang w:val="en-US" w:eastAsia="zh-CN"/>
        </w:rPr>
        <w:t>基层政权与社区建设（</w:t>
      </w:r>
      <w:r>
        <w:rPr>
          <w:rStyle w:val="10"/>
          <w:rFonts w:hint="eastAsia" w:ascii="仿宋" w:hAnsi="仿宋" w:eastAsia="仿宋" w:cs="仿宋"/>
          <w:i w:val="0"/>
          <w:caps w:val="0"/>
          <w:color w:val="000000"/>
          <w:spacing w:val="0"/>
          <w:sz w:val="32"/>
          <w:szCs w:val="32"/>
          <w:shd w:val="clear" w:fill="FFFFFF"/>
        </w:rPr>
        <w:t>项）</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97.17</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680AEE77">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right="0" w:rightChars="0" w:firstLine="643" w:firstLineChars="200"/>
        <w:rPr>
          <w:rFonts w:hint="eastAsia" w:ascii="仿宋_GB2312" w:hAnsi="仿宋_GB2312" w:eastAsia="仿宋_GB2312" w:cs="仿宋_GB2312"/>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rPr>
        <w:t>社会保障和就业（类）行政事业单位离退休（款）未归口管理的行政单位离退休（项）</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4.23</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2881FA4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仿宋_GB2312" w:hAnsi="仿宋_GB2312" w:eastAsia="仿宋_GB2312" w:cs="仿宋_GB2312"/>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rPr>
        <w:t>社会保障和就业（类）行政事业单位离退休（款）机关事业单位基本养老保险缴费支出（项）：</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36.72</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09D577F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仿宋_GB2312" w:hAnsi="仿宋_GB2312" w:eastAsia="仿宋_GB2312" w:cs="仿宋_GB2312"/>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rPr>
        <w:t>社会保障和就业（类）行政事业单位离退休（款）机关事业单位</w:t>
      </w:r>
      <w:r>
        <w:rPr>
          <w:rStyle w:val="10"/>
          <w:rFonts w:hint="eastAsia" w:ascii="仿宋" w:hAnsi="仿宋" w:eastAsia="仿宋" w:cs="仿宋"/>
          <w:i w:val="0"/>
          <w:caps w:val="0"/>
          <w:color w:val="000000"/>
          <w:spacing w:val="0"/>
          <w:sz w:val="32"/>
          <w:szCs w:val="32"/>
          <w:shd w:val="clear" w:fill="FFFFFF"/>
          <w:lang w:val="en-US" w:eastAsia="zh-CN"/>
        </w:rPr>
        <w:t>职业年金缴费支出</w:t>
      </w:r>
      <w:r>
        <w:rPr>
          <w:rStyle w:val="10"/>
          <w:rFonts w:hint="eastAsia" w:ascii="仿宋" w:hAnsi="仿宋" w:eastAsia="仿宋" w:cs="仿宋"/>
          <w:i w:val="0"/>
          <w:caps w:val="0"/>
          <w:color w:val="000000"/>
          <w:spacing w:val="0"/>
          <w:sz w:val="32"/>
          <w:szCs w:val="32"/>
          <w:shd w:val="clear" w:fill="FFFFFF"/>
        </w:rPr>
        <w:t>（项）：</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2.97</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3F89394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社会保障和就业（类）抚恤（款）死亡抚恤（项）</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3.02</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775089A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643"/>
        <w:rPr>
          <w:rFonts w:hint="eastAsia" w:ascii="仿宋_GB2312" w:hAnsi="仿宋_GB2312" w:eastAsia="仿宋_GB2312" w:cs="仿宋_GB2312"/>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rPr>
        <w:t>社会保障和就业（类）其他生活救助（款）其他城市生活救助（项）</w:t>
      </w:r>
      <w:r>
        <w:rPr>
          <w:rStyle w:val="10"/>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0.12</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35FABE7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643"/>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lang w:val="en-US" w:eastAsia="zh-CN"/>
        </w:rPr>
        <w:t>节能环保支出（类）自然生态保护（款）农村环境保护（项）：</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7.3</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0D88170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right="0" w:firstLine="643" w:firstLineChars="200"/>
        <w:rPr>
          <w:rFonts w:hint="eastAsia" w:ascii="微软雅黑" w:hAnsi="微软雅黑" w:eastAsia="微软雅黑" w:cs="微软雅黑"/>
          <w:i w:val="0"/>
          <w:caps w:val="0"/>
          <w:color w:val="333333"/>
          <w:spacing w:val="0"/>
          <w:sz w:val="27"/>
          <w:szCs w:val="27"/>
        </w:rPr>
      </w:pPr>
      <w:r>
        <w:rPr>
          <w:rStyle w:val="10"/>
          <w:rFonts w:hint="eastAsia" w:ascii="Times New Roman" w:hAnsi="Times New Roman" w:eastAsia="微软雅黑" w:cs="Times New Roman"/>
          <w:i w:val="0"/>
          <w:caps w:val="0"/>
          <w:color w:val="000000"/>
          <w:spacing w:val="0"/>
          <w:sz w:val="32"/>
          <w:szCs w:val="32"/>
          <w:shd w:val="clear" w:fill="FFFFFF"/>
          <w:lang w:val="en-US" w:eastAsia="zh-CN"/>
        </w:rPr>
        <w:t>4</w:t>
      </w:r>
      <w:r>
        <w:rPr>
          <w:rStyle w:val="10"/>
          <w:rFonts w:hint="default" w:ascii="Times New Roman" w:hAnsi="Times New Roman" w:eastAsia="微软雅黑" w:cs="Times New Roman"/>
          <w:i w:val="0"/>
          <w:caps w:val="0"/>
          <w:color w:val="000000"/>
          <w:spacing w:val="0"/>
          <w:sz w:val="32"/>
          <w:szCs w:val="32"/>
          <w:shd w:val="clear" w:fill="FFFFFF"/>
        </w:rPr>
        <w:t>.</w:t>
      </w:r>
      <w:r>
        <w:rPr>
          <w:rStyle w:val="10"/>
          <w:rFonts w:hint="eastAsia" w:ascii="仿宋" w:hAnsi="仿宋" w:eastAsia="仿宋" w:cs="仿宋"/>
          <w:i w:val="0"/>
          <w:caps w:val="0"/>
          <w:color w:val="000000"/>
          <w:spacing w:val="0"/>
          <w:sz w:val="32"/>
          <w:szCs w:val="32"/>
          <w:shd w:val="clear" w:fill="FFFFFF"/>
        </w:rPr>
        <w:t>农林水（类）农业（款）农业生产支持补贴（项）</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68.57</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79E04CD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643"/>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r>
        <w:rPr>
          <w:rStyle w:val="10"/>
          <w:rFonts w:hint="eastAsia" w:ascii="仿宋" w:hAnsi="仿宋" w:eastAsia="仿宋" w:cs="仿宋"/>
          <w:i w:val="0"/>
          <w:caps w:val="0"/>
          <w:color w:val="000000" w:themeColor="text1"/>
          <w:spacing w:val="0"/>
          <w:sz w:val="32"/>
          <w:szCs w:val="32"/>
          <w:shd w:val="clear" w:fill="FFFFFF"/>
          <w14:textFill>
            <w14:solidFill>
              <w14:schemeClr w14:val="tx1"/>
            </w14:solidFill>
          </w14:textFill>
        </w:rPr>
        <w:t>农林水（类）水利（款）</w:t>
      </w:r>
      <w:r>
        <w:rPr>
          <w:rStyle w:val="10"/>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其他农业支出</w:t>
      </w:r>
      <w:r>
        <w:rPr>
          <w:rStyle w:val="10"/>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Style w:val="10"/>
          <w:rFonts w:hint="eastAsia" w:ascii="仿宋" w:hAnsi="仿宋" w:eastAsia="仿宋" w:cs="仿宋"/>
          <w:i w:val="0"/>
          <w:caps w:val="0"/>
          <w:color w:val="000000" w:themeColor="text1"/>
          <w:spacing w:val="0"/>
          <w:sz w:val="32"/>
          <w:szCs w:val="32"/>
          <w:shd w:val="clear" w:fill="FFFFFF"/>
          <w14:textFill>
            <w14:solidFill>
              <w14:schemeClr w14:val="tx1"/>
            </w14:solidFill>
          </w14:textFill>
        </w:rPr>
        <w:t>项）</w:t>
      </w:r>
      <w:r>
        <w:rPr>
          <w:rStyle w:val="10"/>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支出决算为</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19.30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万元，完成预算</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100%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，决算数与预算数持平；</w:t>
      </w:r>
    </w:p>
    <w:p w14:paraId="5D98E40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农林水（类）农村综合改革（款）对村级一事一议的补助</w:t>
      </w:r>
      <w:r>
        <w:rPr>
          <w:rStyle w:val="10"/>
          <w:rFonts w:hint="default" w:ascii="Times New Roman" w:hAnsi="Times New Roman" w:eastAsia="微软雅黑" w:cs="Times New Roman"/>
          <w:i w:val="0"/>
          <w:caps w:val="0"/>
          <w:color w:val="000000"/>
          <w:spacing w:val="0"/>
          <w:sz w:val="32"/>
          <w:szCs w:val="32"/>
          <w:shd w:val="clear" w:fill="FFFFFF"/>
        </w:rPr>
        <w:t>(</w:t>
      </w:r>
      <w:r>
        <w:rPr>
          <w:rStyle w:val="10"/>
          <w:rFonts w:hint="eastAsia" w:ascii="仿宋" w:hAnsi="仿宋" w:eastAsia="仿宋" w:cs="仿宋"/>
          <w:i w:val="0"/>
          <w:caps w:val="0"/>
          <w:color w:val="000000"/>
          <w:spacing w:val="0"/>
          <w:sz w:val="32"/>
          <w:szCs w:val="32"/>
          <w:shd w:val="clear" w:fill="FFFFFF"/>
        </w:rPr>
        <w:t>项）</w:t>
      </w:r>
      <w:r>
        <w:rPr>
          <w:rStyle w:val="10"/>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50</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21E0B85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 w:hAnsi="仿宋" w:eastAsia="仿宋" w:cs="仿宋"/>
          <w:i w:val="0"/>
          <w:caps w:val="0"/>
          <w:color w:val="000000"/>
          <w:spacing w:val="0"/>
          <w:sz w:val="32"/>
          <w:szCs w:val="32"/>
          <w:shd w:val="clear" w:fill="FFFFFF"/>
        </w:rPr>
        <w:t>农林水（类）农村综合改革（款）对村民委员会和村党支部的补助</w:t>
      </w:r>
      <w:r>
        <w:rPr>
          <w:rStyle w:val="10"/>
          <w:rFonts w:hint="default" w:ascii="Times New Roman" w:hAnsi="Times New Roman" w:eastAsia="微软雅黑" w:cs="Times New Roman"/>
          <w:i w:val="0"/>
          <w:caps w:val="0"/>
          <w:color w:val="000000"/>
          <w:spacing w:val="0"/>
          <w:sz w:val="32"/>
          <w:szCs w:val="32"/>
          <w:shd w:val="clear" w:fill="FFFFFF"/>
        </w:rPr>
        <w:t>(</w:t>
      </w:r>
      <w:r>
        <w:rPr>
          <w:rStyle w:val="10"/>
          <w:rFonts w:hint="eastAsia" w:ascii="仿宋" w:hAnsi="仿宋" w:eastAsia="仿宋" w:cs="仿宋"/>
          <w:i w:val="0"/>
          <w:caps w:val="0"/>
          <w:color w:val="000000"/>
          <w:spacing w:val="0"/>
          <w:sz w:val="32"/>
          <w:szCs w:val="32"/>
          <w:shd w:val="clear" w:fill="FFFFFF"/>
        </w:rPr>
        <w:t>项）</w:t>
      </w:r>
      <w:r>
        <w:rPr>
          <w:rStyle w:val="10"/>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111.53</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2370964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3" w:beforeAutospacing="0" w:after="120" w:afterAutospacing="0"/>
        <w:ind w:left="0" w:right="0" w:firstLine="643"/>
        <w:rPr>
          <w:rFonts w:hint="eastAsia" w:ascii="宋体" w:hAnsi="宋体" w:eastAsia="宋体" w:cs="宋体"/>
          <w:i w:val="0"/>
          <w:caps w:val="0"/>
          <w:color w:val="000000"/>
          <w:spacing w:val="0"/>
          <w:sz w:val="32"/>
          <w:szCs w:val="32"/>
          <w:shd w:val="clear" w:fill="FFFFFF"/>
        </w:rPr>
      </w:pPr>
      <w:r>
        <w:rPr>
          <w:rStyle w:val="10"/>
          <w:rFonts w:hint="eastAsia" w:ascii="仿宋" w:hAnsi="仿宋" w:eastAsia="仿宋" w:cs="仿宋"/>
          <w:i w:val="0"/>
          <w:caps w:val="0"/>
          <w:color w:val="000000"/>
          <w:spacing w:val="0"/>
          <w:sz w:val="32"/>
          <w:szCs w:val="32"/>
          <w:shd w:val="clear" w:fill="FFFFFF"/>
        </w:rPr>
        <w:t>农林水（类）农村综合改革（款）对村集体经济组织的补助</w:t>
      </w:r>
      <w:r>
        <w:rPr>
          <w:rStyle w:val="10"/>
          <w:rFonts w:hint="default" w:ascii="Times New Roman" w:hAnsi="Times New Roman" w:eastAsia="微软雅黑" w:cs="Times New Roman"/>
          <w:i w:val="0"/>
          <w:caps w:val="0"/>
          <w:color w:val="000000"/>
          <w:spacing w:val="0"/>
          <w:sz w:val="32"/>
          <w:szCs w:val="32"/>
          <w:shd w:val="clear" w:fill="FFFFFF"/>
        </w:rPr>
        <w:t>(</w:t>
      </w:r>
      <w:r>
        <w:rPr>
          <w:rStyle w:val="10"/>
          <w:rFonts w:hint="eastAsia" w:ascii="仿宋" w:hAnsi="仿宋" w:eastAsia="仿宋" w:cs="仿宋"/>
          <w:i w:val="0"/>
          <w:caps w:val="0"/>
          <w:color w:val="000000"/>
          <w:spacing w:val="0"/>
          <w:sz w:val="32"/>
          <w:szCs w:val="32"/>
          <w:shd w:val="clear" w:fill="FFFFFF"/>
        </w:rPr>
        <w:t>项）</w:t>
      </w:r>
      <w:r>
        <w:rPr>
          <w:rStyle w:val="10"/>
          <w:rFonts w:hint="default" w:ascii="Times New Roman" w:hAnsi="Times New Roman" w:eastAsia="微软雅黑" w:cs="Times New Roman"/>
          <w:i w:val="0"/>
          <w:caps w:val="0"/>
          <w:color w:val="000000"/>
          <w:spacing w:val="0"/>
          <w:sz w:val="32"/>
          <w:szCs w:val="32"/>
          <w:shd w:val="clear" w:fill="FFFFFF"/>
        </w:rPr>
        <w:t>:</w:t>
      </w:r>
      <w:r>
        <w:rPr>
          <w:rFonts w:hint="eastAsia" w:ascii="宋体" w:hAnsi="宋体" w:eastAsia="宋体" w:cs="宋体"/>
          <w:i w:val="0"/>
          <w:caps w:val="0"/>
          <w:color w:val="000000"/>
          <w:spacing w:val="0"/>
          <w:sz w:val="32"/>
          <w:szCs w:val="32"/>
          <w:shd w:val="clear" w:fill="FFFFFF"/>
        </w:rPr>
        <w:t>支出决算为</w:t>
      </w:r>
      <w:r>
        <w:rPr>
          <w:rFonts w:hint="eastAsia" w:ascii="宋体" w:hAnsi="宋体" w:eastAsia="宋体" w:cs="宋体"/>
          <w:i w:val="0"/>
          <w:caps w:val="0"/>
          <w:color w:val="000000"/>
          <w:spacing w:val="0"/>
          <w:sz w:val="32"/>
          <w:szCs w:val="32"/>
          <w:shd w:val="clear" w:fill="FFFFFF"/>
          <w:lang w:val="en-US" w:eastAsia="zh-CN"/>
        </w:rPr>
        <w:t>70</w:t>
      </w:r>
      <w:r>
        <w:rPr>
          <w:rFonts w:hint="eastAsia" w:ascii="宋体" w:hAnsi="宋体" w:eastAsia="宋体" w:cs="宋体"/>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宋体" w:hAnsi="宋体" w:eastAsia="宋体" w:cs="宋体"/>
          <w:i w:val="0"/>
          <w:caps w:val="0"/>
          <w:color w:val="000000"/>
          <w:spacing w:val="0"/>
          <w:sz w:val="32"/>
          <w:szCs w:val="32"/>
          <w:shd w:val="clear" w:fill="FFFFFF"/>
        </w:rPr>
        <w:t>，决算数与预算数持平；</w:t>
      </w:r>
    </w:p>
    <w:p w14:paraId="1106D59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default" w:ascii="Times New Roman" w:hAnsi="Times New Roman" w:eastAsia="微软雅黑" w:cs="Times New Roman"/>
          <w:i w:val="0"/>
          <w:caps w:val="0"/>
          <w:color w:val="000000"/>
          <w:spacing w:val="0"/>
          <w:sz w:val="32"/>
          <w:szCs w:val="32"/>
          <w:shd w:val="clear" w:fill="FFFFFF"/>
        </w:rPr>
        <w:t>5.</w:t>
      </w:r>
      <w:r>
        <w:rPr>
          <w:rStyle w:val="10"/>
          <w:rFonts w:hint="eastAsia" w:ascii="仿宋" w:hAnsi="仿宋" w:eastAsia="仿宋" w:cs="仿宋"/>
          <w:i w:val="0"/>
          <w:caps w:val="0"/>
          <w:color w:val="000000"/>
          <w:spacing w:val="0"/>
          <w:sz w:val="32"/>
          <w:szCs w:val="32"/>
          <w:shd w:val="clear" w:fill="FFFFFF"/>
        </w:rPr>
        <w:t>住房保障（类）住房改革支出（款）住房公积金（项）</w:t>
      </w:r>
      <w:r>
        <w:rPr>
          <w:rStyle w:val="10"/>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支出决算为</w:t>
      </w:r>
      <w:r>
        <w:rPr>
          <w:rFonts w:hint="eastAsia" w:ascii="仿宋_GB2312" w:hAnsi="仿宋_GB2312" w:eastAsia="仿宋_GB2312" w:cs="仿宋_GB2312"/>
          <w:i w:val="0"/>
          <w:caps w:val="0"/>
          <w:color w:val="000000"/>
          <w:spacing w:val="0"/>
          <w:sz w:val="32"/>
          <w:szCs w:val="32"/>
          <w:shd w:val="clear" w:fill="FFFFFF"/>
          <w:lang w:val="en-US" w:eastAsia="zh-CN"/>
        </w:rPr>
        <w:t>37.71</w:t>
      </w:r>
      <w:r>
        <w:rPr>
          <w:rFonts w:hint="eastAsia" w:ascii="仿宋_GB2312" w:hAnsi="仿宋_GB2312" w:eastAsia="仿宋_GB2312" w:cs="仿宋_GB2312"/>
          <w:i w:val="0"/>
          <w:caps w:val="0"/>
          <w:color w:val="000000"/>
          <w:spacing w:val="0"/>
          <w:sz w:val="32"/>
          <w:szCs w:val="32"/>
          <w:shd w:val="clear" w:fill="FFFFFF"/>
        </w:rPr>
        <w:t>万元，完成预算</w:t>
      </w:r>
      <w:r>
        <w:rPr>
          <w:rFonts w:hint="default" w:ascii="Times New Roman" w:hAnsi="Times New Roman" w:eastAsia="微软雅黑" w:cs="Times New Roman"/>
          <w:i w:val="0"/>
          <w:caps w:val="0"/>
          <w:color w:val="000000"/>
          <w:spacing w:val="0"/>
          <w:sz w:val="32"/>
          <w:szCs w:val="32"/>
          <w:shd w:val="clear" w:fill="FFFFFF"/>
        </w:rPr>
        <w:t>100%</w:t>
      </w:r>
      <w:r>
        <w:rPr>
          <w:rFonts w:hint="eastAsia" w:ascii="仿宋_GB2312" w:hAnsi="仿宋_GB2312" w:eastAsia="仿宋_GB2312" w:cs="仿宋_GB2312"/>
          <w:i w:val="0"/>
          <w:caps w:val="0"/>
          <w:color w:val="000000"/>
          <w:spacing w:val="0"/>
          <w:sz w:val="32"/>
          <w:szCs w:val="32"/>
          <w:shd w:val="clear" w:fill="FFFFFF"/>
        </w:rPr>
        <w:t>，决算数与预算数持平。</w:t>
      </w:r>
    </w:p>
    <w:p w14:paraId="06EE1953"/>
    <w:p w14:paraId="5ED36F04">
      <w:pPr>
        <w:pStyle w:val="13"/>
        <w:numPr>
          <w:ilvl w:val="0"/>
          <w:numId w:val="0"/>
        </w:numPr>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rPr>
        <w:t>农林水支出3</w:t>
      </w:r>
      <w:r>
        <w:rPr>
          <w:rFonts w:hint="eastAsia" w:ascii="Times New Roman" w:eastAsia="仿宋_GB2312" w:cs="Times New Roman"/>
          <w:color w:val="auto"/>
          <w:sz w:val="32"/>
          <w:szCs w:val="32"/>
          <w:lang w:val="en-US" w:eastAsia="zh-CN"/>
        </w:rPr>
        <w:t>19.40</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完成预算</w:t>
      </w:r>
      <w:r>
        <w:rPr>
          <w:rFonts w:hint="eastAsia" w:ascii="Times New Roman" w:eastAsia="仿宋_GB2312" w:cs="Times New Roman"/>
          <w:color w:val="auto"/>
          <w:sz w:val="32"/>
          <w:szCs w:val="32"/>
          <w:lang w:val="en-US" w:eastAsia="zh-CN"/>
        </w:rPr>
        <w:t>24.67%；数等于预算数。</w:t>
      </w:r>
    </w:p>
    <w:p w14:paraId="19B2FEB9">
      <w:pPr>
        <w:pStyle w:val="13"/>
        <w:numPr>
          <w:ilvl w:val="0"/>
          <w:numId w:val="0"/>
        </w:numPr>
        <w:snapToGrid w:val="0"/>
        <w:spacing w:before="0" w:beforeAutospacing="0" w:after="0" w:afterAutospacing="0" w:line="600" w:lineRule="exact"/>
        <w:ind w:firstLine="640" w:firstLineChars="20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6.</w:t>
      </w:r>
      <w:r>
        <w:rPr>
          <w:rFonts w:hint="eastAsia" w:ascii="Times New Roman" w:eastAsia="仿宋_GB2312" w:cs="Times New Roman"/>
          <w:color w:val="auto"/>
          <w:sz w:val="32"/>
          <w:szCs w:val="32"/>
        </w:rPr>
        <w:t>住房保障支出</w:t>
      </w:r>
      <w:r>
        <w:rPr>
          <w:rFonts w:hint="eastAsia" w:ascii="Times New Roman" w:eastAsia="仿宋_GB2312" w:cs="Times New Roman"/>
          <w:color w:val="auto"/>
          <w:sz w:val="32"/>
          <w:szCs w:val="32"/>
          <w:lang w:val="en-US" w:eastAsia="zh-CN"/>
        </w:rPr>
        <w:t>37.71</w:t>
      </w:r>
      <w:r>
        <w:rPr>
          <w:rFonts w:hint="eastAsia" w:ascii="Times New Roman" w:eastAsia="仿宋_GB2312" w:cs="Times New Roman"/>
          <w:color w:val="auto"/>
          <w:sz w:val="32"/>
          <w:szCs w:val="32"/>
        </w:rPr>
        <w:t>万元</w:t>
      </w:r>
      <w:r>
        <w:rPr>
          <w:rFonts w:hint="eastAsia" w:ascii="Times New Roman" w:eastAsia="仿宋_GB2312" w:cs="Times New Roman"/>
          <w:color w:val="auto"/>
          <w:sz w:val="32"/>
          <w:szCs w:val="32"/>
          <w:lang w:eastAsia="zh-CN"/>
        </w:rPr>
        <w:t>，完成预算</w:t>
      </w:r>
      <w:r>
        <w:rPr>
          <w:rFonts w:hint="eastAsia" w:ascii="Times New Roman" w:eastAsia="仿宋_GB2312" w:cs="Times New Roman"/>
          <w:color w:val="auto"/>
          <w:sz w:val="32"/>
          <w:szCs w:val="32"/>
          <w:lang w:val="en-US" w:eastAsia="zh-CN"/>
        </w:rPr>
        <w:t>2.91%；决算数等于预算数。</w:t>
      </w:r>
    </w:p>
    <w:p w14:paraId="345582AA">
      <w:pPr>
        <w:pStyle w:val="13"/>
        <w:numPr>
          <w:ilvl w:val="0"/>
          <w:numId w:val="0"/>
        </w:numPr>
        <w:snapToGrid w:val="0"/>
        <w:spacing w:before="0" w:beforeAutospacing="0" w:after="0" w:afterAutospacing="0" w:line="600" w:lineRule="exact"/>
        <w:rPr>
          <w:rFonts w:hint="eastAsia" w:ascii="Times New Roman" w:eastAsia="仿宋_GB2312" w:cs="Times New Roman"/>
          <w:color w:val="auto"/>
          <w:sz w:val="32"/>
          <w:szCs w:val="32"/>
          <w:lang w:val="en-US" w:eastAsia="zh-CN"/>
        </w:rPr>
      </w:pPr>
    </w:p>
    <w:p w14:paraId="0DFD6D95">
      <w:pPr>
        <w:pStyle w:val="13"/>
        <w:numPr>
          <w:ilvl w:val="0"/>
          <w:numId w:val="8"/>
        </w:numPr>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一般公共预算财政拨款基本支出决算情况说明</w:t>
      </w:r>
    </w:p>
    <w:p w14:paraId="1D86E506">
      <w:pPr>
        <w:pStyle w:val="13"/>
        <w:numPr>
          <w:ilvl w:val="0"/>
          <w:numId w:val="0"/>
        </w:numPr>
        <w:snapToGrid w:val="0"/>
        <w:spacing w:before="0" w:beforeAutospacing="0" w:after="0" w:afterAutospacing="0" w:line="600" w:lineRule="exact"/>
        <w:ind w:firstLine="640" w:firstLineChars="20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2018一般公共预算财政拨款基本支出424.00万元，其中：人员经费413.62万元，主要包括：基本工资、津贴补贴、奖金、伙食费补助、绩效工资、机关事业单位基本养老保险缴费、职业年金缴费、其他社会保障支出、其他工资福利支出、离退休费、抚恤金、生活补助、医疗费、奖励金、住房公积金、住房补贴、对其他单位和个人的补助等。</w:t>
      </w:r>
    </w:p>
    <w:p w14:paraId="0068526D">
      <w:pPr>
        <w:pStyle w:val="13"/>
        <w:numPr>
          <w:ilvl w:val="0"/>
          <w:numId w:val="0"/>
        </w:numPr>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公用经费10.38万元，主要包括：办公费、印刷费、水电费、邮电费、差旅费、维修费、会议费、培训费、劳务费、其他商品和服务支出等。</w:t>
      </w:r>
    </w:p>
    <w:p w14:paraId="0A2B7246">
      <w:pPr>
        <w:pStyle w:val="13"/>
        <w:numPr>
          <w:ilvl w:val="0"/>
          <w:numId w:val="8"/>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“三公”经费财政拨款支出决算总体情况说明。</w:t>
      </w:r>
    </w:p>
    <w:p w14:paraId="686F3E70">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bookmarkStart w:id="4" w:name="_Toc15377216"/>
      <w:r>
        <w:rPr>
          <w:rFonts w:hint="eastAsia" w:ascii="仿宋_GB2312" w:hAnsi="仿宋_GB2312" w:eastAsia="仿宋_GB2312" w:cs="仿宋_GB2312"/>
          <w:color w:val="333333"/>
          <w:sz w:val="32"/>
          <w:szCs w:val="32"/>
          <w:shd w:val="clear" w:color="auto" w:fill="FFFFFF"/>
        </w:rPr>
        <w:t>（一）“三公”经费财政拨款支出决算总体情况说明</w:t>
      </w:r>
      <w:bookmarkEnd w:id="4"/>
    </w:p>
    <w:p w14:paraId="0A27604E">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rPr>
        <w:t>2018年“三公”经费财政拨款支出决算为</w:t>
      </w:r>
      <w:r>
        <w:rPr>
          <w:rFonts w:hint="eastAsia" w:ascii="仿宋_GB2312" w:hAnsi="仿宋_GB2312" w:eastAsia="仿宋_GB2312" w:cs="仿宋_GB2312"/>
          <w:color w:val="333333"/>
          <w:sz w:val="32"/>
          <w:szCs w:val="32"/>
          <w:shd w:val="clear" w:color="auto" w:fill="FFFFFF"/>
          <w:lang w:val="en-US" w:eastAsia="zh-CN"/>
        </w:rPr>
        <w:t>32.27</w:t>
      </w:r>
      <w:r>
        <w:rPr>
          <w:rFonts w:hint="eastAsia" w:ascii="仿宋_GB2312" w:hAnsi="仿宋_GB2312" w:eastAsia="仿宋_GB2312" w:cs="仿宋_GB2312"/>
          <w:color w:val="333333"/>
          <w:sz w:val="32"/>
          <w:szCs w:val="32"/>
          <w:shd w:val="clear" w:color="auto" w:fill="FFFFFF"/>
        </w:rPr>
        <w:t>万</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完成预算100%。</w:t>
      </w:r>
      <w:r>
        <w:rPr>
          <w:rFonts w:hint="eastAsia" w:ascii="仿宋_GB2312" w:hAnsi="仿宋_GB2312" w:eastAsia="仿宋_GB2312" w:cs="仿宋_GB2312"/>
          <w:color w:val="333333"/>
          <w:sz w:val="32"/>
          <w:szCs w:val="32"/>
          <w:shd w:val="clear" w:color="auto" w:fill="FFFFFF"/>
          <w:lang w:eastAsia="zh-CN"/>
        </w:rPr>
        <w:t>与预算数持平。</w:t>
      </w:r>
    </w:p>
    <w:p w14:paraId="5B722DF0">
      <w:pPr>
        <w:spacing w:line="600" w:lineRule="exact"/>
        <w:ind w:firstLine="64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（上述“预算”口径为调整预算数，包括政府性基金支出决算情况。）</w:t>
      </w:r>
    </w:p>
    <w:p w14:paraId="77CD122D">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bookmarkStart w:id="5" w:name="_Toc15377217"/>
      <w:r>
        <w:rPr>
          <w:rFonts w:hint="eastAsia" w:ascii="仿宋_GB2312" w:hAnsi="仿宋_GB2312" w:eastAsia="仿宋_GB2312" w:cs="仿宋_GB2312"/>
          <w:color w:val="333333"/>
          <w:sz w:val="32"/>
          <w:szCs w:val="32"/>
          <w:shd w:val="clear" w:color="auto" w:fill="FFFFFF"/>
        </w:rPr>
        <w:t>（二）“三公”经费财政拨款支出决算具体情况说明</w:t>
      </w:r>
      <w:bookmarkEnd w:id="5"/>
    </w:p>
    <w:p w14:paraId="7D610DCE">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rPr>
        <w:t>2018年“三公”经费财政拨款支出决算中，因公出国（境）费支出决算0万元，占0%；公务用车购置及运行维护费支出决算</w:t>
      </w:r>
      <w:r>
        <w:rPr>
          <w:rFonts w:hint="eastAsia" w:ascii="仿宋_GB2312" w:hAnsi="仿宋_GB2312" w:eastAsia="仿宋_GB2312" w:cs="仿宋_GB2312"/>
          <w:color w:val="333333"/>
          <w:sz w:val="32"/>
          <w:szCs w:val="32"/>
          <w:shd w:val="clear" w:color="auto" w:fill="FFFFFF"/>
          <w:lang w:val="en-US" w:eastAsia="zh-CN"/>
        </w:rPr>
        <w:t>32.27</w:t>
      </w:r>
      <w:r>
        <w:rPr>
          <w:rFonts w:hint="eastAsia" w:ascii="仿宋_GB2312" w:hAnsi="仿宋_GB2312" w:eastAsia="仿宋_GB2312" w:cs="仿宋_GB2312"/>
          <w:color w:val="333333"/>
          <w:sz w:val="32"/>
          <w:szCs w:val="32"/>
          <w:shd w:val="clear" w:color="auto" w:fill="FFFFFF"/>
        </w:rPr>
        <w:t>万元，占0%；公务接待费支出决算0万元，占</w:t>
      </w:r>
      <w:r>
        <w:rPr>
          <w:rFonts w:hint="eastAsia" w:ascii="仿宋_GB2312" w:hAnsi="仿宋_GB2312" w:eastAsia="仿宋_GB2312" w:cs="仿宋_GB2312"/>
          <w:color w:val="333333"/>
          <w:sz w:val="32"/>
          <w:szCs w:val="32"/>
          <w:shd w:val="clear" w:color="auto" w:fill="FFFFFF"/>
          <w:lang w:val="en-US" w:eastAsia="zh-CN"/>
        </w:rPr>
        <w:t>0%。</w:t>
      </w:r>
    </w:p>
    <w:p w14:paraId="53D313F3">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p>
    <w:p w14:paraId="7D1DFADA">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p>
    <w:p w14:paraId="642E74E5">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p>
    <w:p w14:paraId="4F31D4DB">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p>
    <w:p w14:paraId="2F338573">
      <w:pPr>
        <w:pStyle w:val="7"/>
        <w:spacing w:before="0" w:beforeAutospacing="0" w:after="0" w:afterAutospacing="0" w:line="600" w:lineRule="exact"/>
        <w:ind w:firstLine="480" w:firstLineChars="200"/>
        <w:jc w:val="both"/>
        <w:rPr>
          <w:rFonts w:hint="eastAsia" w:ascii="仿宋_GB2312" w:hAnsi="仿宋_GB2312" w:eastAsia="仿宋" w:cs="仿宋_GB2312"/>
          <w:color w:val="333333"/>
          <w:sz w:val="32"/>
          <w:szCs w:val="32"/>
          <w:shd w:val="clear" w:color="auto" w:fill="FFFFFF"/>
          <w:lang w:eastAsia="zh-CN"/>
        </w:rPr>
      </w:pPr>
      <w:r>
        <w:drawing>
          <wp:anchor distT="0" distB="0" distL="114300" distR="114300" simplePos="0" relativeHeight="251660288" behindDoc="1" locked="0" layoutInCell="1" allowOverlap="1">
            <wp:simplePos x="0" y="0"/>
            <wp:positionH relativeFrom="column">
              <wp:posOffset>411480</wp:posOffset>
            </wp:positionH>
            <wp:positionV relativeFrom="paragraph">
              <wp:posOffset>337820</wp:posOffset>
            </wp:positionV>
            <wp:extent cx="4486275" cy="2228850"/>
            <wp:effectExtent l="5080" t="4445" r="4445" b="14605"/>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：“三公”经费财政拨款支出结构）（饼状图</w:t>
      </w:r>
      <w:r>
        <w:rPr>
          <w:rFonts w:hint="eastAsia" w:ascii="仿宋" w:hAnsi="仿宋" w:eastAsia="仿宋"/>
          <w:color w:val="000000"/>
          <w:sz w:val="32"/>
          <w:szCs w:val="32"/>
          <w:lang w:eastAsia="zh-CN"/>
        </w:rPr>
        <w:t>）</w:t>
      </w:r>
    </w:p>
    <w:p w14:paraId="67D759EF">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lang w:eastAsia="zh-CN"/>
        </w:rPr>
      </w:pPr>
    </w:p>
    <w:p w14:paraId="60118CBE">
      <w:pPr>
        <w:pStyle w:val="7"/>
        <w:spacing w:before="0" w:beforeAutospacing="0" w:after="0" w:afterAutospacing="0" w:line="600" w:lineRule="exact"/>
        <w:ind w:firstLine="640" w:firstLineChars="200"/>
        <w:jc w:val="both"/>
        <w:rPr>
          <w:rFonts w:hint="eastAsia" w:ascii="仿宋_GB2312" w:hAnsi="仿宋_GB2312" w:eastAsia="仿宋_GB2312" w:cs="仿宋_GB2312"/>
          <w:color w:val="333333"/>
          <w:sz w:val="32"/>
          <w:szCs w:val="32"/>
          <w:shd w:val="clear" w:color="auto" w:fill="FFFFFF"/>
        </w:rPr>
      </w:pPr>
    </w:p>
    <w:p w14:paraId="1B267E77">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14:paraId="029E842A">
      <w:pPr>
        <w:spacing w:line="600" w:lineRule="exact"/>
        <w:ind w:firstLine="640"/>
        <w:rPr>
          <w:rFonts w:hint="eastAsia" w:ascii="仿宋_GB2312" w:hAnsi="仿宋_GB2312" w:eastAsia="仿宋_GB2312" w:cs="仿宋_GB2312"/>
          <w:b/>
          <w:color w:val="000000"/>
          <w:sz w:val="32"/>
          <w:szCs w:val="32"/>
        </w:rPr>
      </w:pPr>
    </w:p>
    <w:p w14:paraId="45C452A7">
      <w:pPr>
        <w:spacing w:line="600" w:lineRule="exact"/>
        <w:rPr>
          <w:rFonts w:hint="eastAsia" w:ascii="仿宋_GB2312" w:hAnsi="仿宋_GB2312" w:eastAsia="仿宋_GB2312" w:cs="仿宋_GB2312"/>
          <w:b/>
          <w:color w:val="000000"/>
          <w:sz w:val="32"/>
          <w:szCs w:val="32"/>
        </w:rPr>
      </w:pPr>
    </w:p>
    <w:p w14:paraId="0899AC0B">
      <w:pPr>
        <w:spacing w:line="600" w:lineRule="exact"/>
        <w:ind w:firstLine="640"/>
        <w:rPr>
          <w:rFonts w:hint="eastAsia" w:ascii="仿宋_GB2312" w:hAnsi="仿宋_GB2312" w:eastAsia="仿宋_GB2312" w:cs="仿宋_GB2312"/>
          <w:b/>
          <w:color w:val="000000"/>
          <w:sz w:val="32"/>
          <w:szCs w:val="32"/>
        </w:rPr>
      </w:pPr>
    </w:p>
    <w:p w14:paraId="4183857D">
      <w:pPr>
        <w:spacing w:line="600" w:lineRule="exact"/>
        <w:ind w:firstLine="640"/>
        <w:rPr>
          <w:rFonts w:hint="eastAsia" w:ascii="仿宋_GB2312" w:hAnsi="仿宋_GB2312" w:eastAsia="仿宋_GB2312" w:cs="仿宋_GB2312"/>
          <w:b/>
          <w:color w:val="000000"/>
          <w:sz w:val="32"/>
          <w:szCs w:val="32"/>
        </w:rPr>
      </w:pPr>
    </w:p>
    <w:p w14:paraId="429ECD3F">
      <w:pPr>
        <w:spacing w:line="600" w:lineRule="exact"/>
        <w:ind w:firstLine="64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333333"/>
          <w:kern w:val="0"/>
          <w:sz w:val="32"/>
          <w:szCs w:val="32"/>
          <w:shd w:val="clear" w:color="auto" w:fill="FFFFFF"/>
        </w:rPr>
        <w:t>0万元，完成预算0%。全</w:t>
      </w:r>
      <w:r>
        <w:rPr>
          <w:rFonts w:hint="eastAsia" w:ascii="仿宋_GB2312" w:hAnsi="仿宋_GB2312" w:eastAsia="仿宋_GB2312" w:cs="仿宋_GB2312"/>
          <w:color w:val="000000"/>
          <w:sz w:val="32"/>
          <w:szCs w:val="32"/>
        </w:rPr>
        <w:t>年安排因公出国（境）团组0次</w:t>
      </w:r>
      <w:r>
        <w:rPr>
          <w:rFonts w:hint="eastAsia" w:ascii="仿宋_GB2312" w:hAnsi="仿宋_GB2312" w:eastAsia="仿宋_GB2312" w:cs="仿宋_GB2312"/>
          <w:color w:val="333333"/>
          <w:kern w:val="0"/>
          <w:sz w:val="32"/>
          <w:szCs w:val="32"/>
          <w:shd w:val="clear" w:color="auto" w:fill="FFFFFF"/>
        </w:rPr>
        <w:t>，出国（境）0人。因公出国（境）支出决算比2017年增加/减少0万元，增长/下降0%。</w:t>
      </w:r>
    </w:p>
    <w:p w14:paraId="2A735F2A">
      <w:pPr>
        <w:spacing w:line="600" w:lineRule="exact"/>
        <w:ind w:firstLine="64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2.公务用车购置及运行维护费支出</w:t>
      </w:r>
      <w:r>
        <w:rPr>
          <w:rFonts w:hint="eastAsia" w:ascii="仿宋_GB2312" w:hAnsi="仿宋_GB2312" w:eastAsia="仿宋_GB2312" w:cs="仿宋_GB2312"/>
          <w:b/>
          <w:bCs/>
          <w:color w:val="333333"/>
          <w:kern w:val="0"/>
          <w:sz w:val="32"/>
          <w:szCs w:val="32"/>
          <w:shd w:val="clear" w:color="auto" w:fill="FFFFFF"/>
          <w:lang w:val="en-US" w:eastAsia="zh-CN"/>
        </w:rPr>
        <w:t>32.27</w:t>
      </w:r>
      <w:r>
        <w:rPr>
          <w:rFonts w:hint="eastAsia" w:ascii="仿宋_GB2312" w:hAnsi="仿宋_GB2312" w:eastAsia="仿宋_GB2312" w:cs="仿宋_GB2312"/>
          <w:color w:val="333333"/>
          <w:kern w:val="0"/>
          <w:sz w:val="32"/>
          <w:szCs w:val="32"/>
          <w:shd w:val="clear" w:color="auto" w:fill="FFFFFF"/>
        </w:rPr>
        <w:t>万元,完成预算</w:t>
      </w:r>
      <w:r>
        <w:rPr>
          <w:rFonts w:hint="eastAsia" w:ascii="仿宋_GB2312" w:hAnsi="仿宋_GB2312" w:eastAsia="仿宋_GB2312" w:cs="仿宋_GB2312"/>
          <w:color w:val="333333"/>
          <w:kern w:val="0"/>
          <w:sz w:val="32"/>
          <w:szCs w:val="32"/>
          <w:shd w:val="clear" w:color="auto" w:fill="FFFFFF"/>
          <w:lang w:val="en-US" w:eastAsia="zh-CN"/>
        </w:rPr>
        <w:t>10</w:t>
      </w:r>
      <w:r>
        <w:rPr>
          <w:rFonts w:hint="eastAsia" w:ascii="仿宋_GB2312" w:hAnsi="仿宋_GB2312" w:eastAsia="仿宋_GB2312" w:cs="仿宋_GB2312"/>
          <w:color w:val="333333"/>
          <w:kern w:val="0"/>
          <w:sz w:val="32"/>
          <w:szCs w:val="32"/>
          <w:shd w:val="clear" w:color="auto" w:fill="FFFFFF"/>
        </w:rPr>
        <w:t>0%。公务用车购置及运行维护费支出决算比2017年增加</w:t>
      </w:r>
      <w:r>
        <w:rPr>
          <w:rFonts w:hint="eastAsia" w:ascii="仿宋_GB2312" w:hAnsi="仿宋_GB2312" w:eastAsia="仿宋_GB2312" w:cs="仿宋_GB2312"/>
          <w:color w:val="333333"/>
          <w:kern w:val="0"/>
          <w:sz w:val="32"/>
          <w:szCs w:val="32"/>
          <w:shd w:val="clear" w:color="auto" w:fill="FFFFFF"/>
          <w:lang w:val="en-US" w:eastAsia="zh-CN"/>
        </w:rPr>
        <w:t>25.77</w:t>
      </w:r>
      <w:r>
        <w:rPr>
          <w:rFonts w:hint="eastAsia" w:ascii="仿宋_GB2312" w:hAnsi="仿宋_GB2312" w:eastAsia="仿宋_GB2312" w:cs="仿宋_GB2312"/>
          <w:color w:val="333333"/>
          <w:kern w:val="0"/>
          <w:sz w:val="32"/>
          <w:szCs w:val="32"/>
          <w:shd w:val="clear" w:color="auto" w:fill="FFFFFF"/>
        </w:rPr>
        <w:t>万元，增长</w:t>
      </w:r>
      <w:r>
        <w:rPr>
          <w:rFonts w:hint="eastAsia" w:ascii="仿宋_GB2312" w:hAnsi="仿宋_GB2312" w:eastAsia="仿宋_GB2312" w:cs="仿宋_GB2312"/>
          <w:color w:val="333333"/>
          <w:kern w:val="0"/>
          <w:sz w:val="32"/>
          <w:szCs w:val="32"/>
          <w:shd w:val="clear" w:color="auto" w:fill="FFFFFF"/>
          <w:lang w:val="en-US" w:eastAsia="zh-CN"/>
        </w:rPr>
        <w:t>8</w:t>
      </w:r>
      <w:r>
        <w:rPr>
          <w:rFonts w:hint="eastAsia" w:ascii="仿宋_GB2312" w:hAnsi="仿宋_GB2312" w:eastAsia="仿宋_GB2312" w:cs="仿宋_GB2312"/>
          <w:color w:val="333333"/>
          <w:kern w:val="0"/>
          <w:sz w:val="32"/>
          <w:szCs w:val="32"/>
          <w:shd w:val="clear" w:color="auto" w:fill="FFFFFF"/>
        </w:rPr>
        <w:t>0%。</w:t>
      </w:r>
    </w:p>
    <w:p w14:paraId="25381AA2">
      <w:pPr>
        <w:spacing w:line="600" w:lineRule="exact"/>
        <w:ind w:firstLine="640" w:firstLineChars="20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333333"/>
          <w:kern w:val="0"/>
          <w:sz w:val="32"/>
          <w:szCs w:val="32"/>
          <w:shd w:val="clear" w:color="auto" w:fill="FFFFFF"/>
        </w:rPr>
        <w:t>公务用车购置支出</w:t>
      </w:r>
      <w:r>
        <w:rPr>
          <w:rFonts w:hint="eastAsia" w:ascii="仿宋_GB2312" w:hAnsi="仿宋_GB2312" w:eastAsia="仿宋_GB2312" w:cs="仿宋_GB2312"/>
          <w:color w:val="333333"/>
          <w:kern w:val="0"/>
          <w:sz w:val="32"/>
          <w:szCs w:val="32"/>
          <w:shd w:val="clear" w:color="auto" w:fill="FFFFFF"/>
        </w:rPr>
        <w:t>0万元。全年按规定更新购置公务用车0辆，其中：轿车0辆、金额0万元，越野车0辆、金额0万元，载客汽车0辆、金额0万元。</w:t>
      </w:r>
    </w:p>
    <w:p w14:paraId="7CBD286B">
      <w:pPr>
        <w:spacing w:line="600" w:lineRule="exact"/>
        <w:ind w:firstLine="64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公务用车运行维护费支出</w:t>
      </w:r>
      <w:r>
        <w:rPr>
          <w:rFonts w:hint="eastAsia" w:ascii="仿宋_GB2312" w:hAnsi="仿宋_GB2312" w:eastAsia="仿宋_GB2312" w:cs="仿宋_GB2312"/>
          <w:b/>
          <w:bCs/>
          <w:color w:val="333333"/>
          <w:kern w:val="0"/>
          <w:sz w:val="32"/>
          <w:szCs w:val="32"/>
          <w:shd w:val="clear" w:color="auto" w:fill="FFFFFF"/>
          <w:lang w:val="en-US" w:eastAsia="zh-CN"/>
        </w:rPr>
        <w:t>32.27</w:t>
      </w:r>
      <w:r>
        <w:rPr>
          <w:rFonts w:hint="eastAsia" w:ascii="仿宋_GB2312" w:hAnsi="仿宋_GB2312" w:eastAsia="仿宋_GB2312" w:cs="仿宋_GB2312"/>
          <w:color w:val="333333"/>
          <w:kern w:val="0"/>
          <w:sz w:val="32"/>
          <w:szCs w:val="32"/>
          <w:shd w:val="clear" w:color="auto" w:fill="FFFFFF"/>
        </w:rPr>
        <w:t>万元。主要用于</w:t>
      </w:r>
      <w:r>
        <w:rPr>
          <w:rFonts w:hint="eastAsia" w:ascii="仿宋_GB2312" w:hAnsi="仿宋_GB2312" w:eastAsia="仿宋_GB2312" w:cs="仿宋_GB2312"/>
          <w:color w:val="333333"/>
          <w:kern w:val="0"/>
          <w:sz w:val="32"/>
          <w:szCs w:val="32"/>
          <w:shd w:val="clear" w:color="auto" w:fill="FFFFFF"/>
          <w:lang w:eastAsia="zh-CN"/>
        </w:rPr>
        <w:t>因工作</w:t>
      </w:r>
      <w:r>
        <w:rPr>
          <w:rFonts w:hint="eastAsia" w:ascii="仿宋_GB2312" w:hAnsi="仿宋_GB2312" w:eastAsia="仿宋_GB2312" w:cs="仿宋_GB2312"/>
          <w:color w:val="333333"/>
          <w:kern w:val="0"/>
          <w:sz w:val="32"/>
          <w:szCs w:val="32"/>
          <w:shd w:val="clear" w:color="auto" w:fill="FFFFFF"/>
        </w:rPr>
        <w:t>所需的公务用车燃料费、维修费、过路过桥费、保险费</w:t>
      </w:r>
      <w:r>
        <w:rPr>
          <w:rFonts w:hint="eastAsia" w:ascii="仿宋_GB2312" w:hAnsi="仿宋_GB2312" w:eastAsia="仿宋_GB2312" w:cs="仿宋_GB2312"/>
          <w:color w:val="333333"/>
          <w:kern w:val="0"/>
          <w:sz w:val="32"/>
          <w:szCs w:val="32"/>
          <w:shd w:val="clear" w:color="auto" w:fill="FFFFFF"/>
          <w:lang w:eastAsia="zh-CN"/>
        </w:rPr>
        <w:t>，脱贫攻坚下村、装载机维护道路费等</w:t>
      </w:r>
      <w:r>
        <w:rPr>
          <w:rFonts w:hint="eastAsia" w:ascii="仿宋_GB2312" w:hAnsi="仿宋_GB2312" w:eastAsia="仿宋_GB2312" w:cs="仿宋_GB2312"/>
          <w:color w:val="333333"/>
          <w:kern w:val="0"/>
          <w:sz w:val="32"/>
          <w:szCs w:val="32"/>
          <w:shd w:val="clear" w:color="auto" w:fill="FFFFFF"/>
        </w:rPr>
        <w:t>支出。</w:t>
      </w:r>
    </w:p>
    <w:p w14:paraId="7EAB9658">
      <w:pPr>
        <w:pStyle w:val="7"/>
        <w:spacing w:before="0" w:beforeAutospacing="0" w:after="0" w:afterAutospacing="0" w:line="600" w:lineRule="exact"/>
        <w:ind w:firstLine="643" w:firstLineChars="200"/>
        <w:jc w:val="both"/>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color w:val="333333"/>
          <w:sz w:val="32"/>
          <w:szCs w:val="32"/>
          <w:shd w:val="clear" w:color="auto" w:fill="FFFFFF"/>
        </w:rPr>
        <w:t>3.公务接待费支出</w:t>
      </w:r>
      <w:r>
        <w:rPr>
          <w:rFonts w:hint="eastAsia" w:ascii="仿宋_GB2312" w:hAnsi="仿宋_GB2312" w:eastAsia="仿宋_GB2312" w:cs="仿宋_GB2312"/>
          <w:color w:val="333333"/>
          <w:sz w:val="32"/>
          <w:szCs w:val="32"/>
          <w:shd w:val="clear" w:color="auto" w:fill="FFFFFF"/>
        </w:rPr>
        <w:t>0万元，完成预算</w:t>
      </w:r>
      <w:r>
        <w:rPr>
          <w:rFonts w:hint="eastAsia" w:ascii="仿宋_GB2312" w:hAnsi="仿宋_GB2312" w:eastAsia="仿宋_GB2312" w:cs="仿宋_GB2312"/>
          <w:color w:val="333333"/>
          <w:sz w:val="32"/>
          <w:szCs w:val="32"/>
          <w:shd w:val="clear" w:color="auto" w:fill="FFFFFF"/>
          <w:lang w:val="en-US" w:eastAsia="zh-CN"/>
        </w:rPr>
        <w:t>0</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eastAsia="zh-CN"/>
        </w:rPr>
        <w:t>全年</w:t>
      </w:r>
      <w:r>
        <w:rPr>
          <w:rFonts w:hint="eastAsia" w:ascii="仿宋_GB2312" w:hAnsi="仿宋_GB2312" w:eastAsia="仿宋_GB2312" w:cs="仿宋_GB2312"/>
          <w:color w:val="333333"/>
          <w:sz w:val="32"/>
          <w:szCs w:val="32"/>
          <w:shd w:val="clear" w:color="auto" w:fill="FFFFFF"/>
        </w:rPr>
        <w:t>公务接待费支出决算</w:t>
      </w:r>
      <w:r>
        <w:rPr>
          <w:rFonts w:hint="eastAsia" w:ascii="仿宋_GB2312" w:hAnsi="仿宋_GB2312" w:eastAsia="仿宋_GB2312" w:cs="仿宋_GB2312"/>
          <w:color w:val="333333"/>
          <w:sz w:val="32"/>
          <w:szCs w:val="32"/>
          <w:shd w:val="clear" w:color="auto" w:fill="FFFFFF"/>
          <w:lang w:eastAsia="zh-CN"/>
        </w:rPr>
        <w:t>比</w:t>
      </w:r>
      <w:r>
        <w:rPr>
          <w:rFonts w:hint="eastAsia" w:ascii="仿宋_GB2312" w:hAnsi="仿宋_GB2312" w:eastAsia="仿宋_GB2312" w:cs="仿宋_GB2312"/>
          <w:color w:val="333333"/>
          <w:sz w:val="32"/>
          <w:szCs w:val="32"/>
          <w:shd w:val="clear" w:color="auto" w:fill="FFFFFF"/>
        </w:rPr>
        <w:t>2017</w:t>
      </w:r>
      <w:r>
        <w:rPr>
          <w:rFonts w:hint="eastAsia" w:ascii="仿宋_GB2312" w:hAnsi="仿宋_GB2312" w:eastAsia="仿宋_GB2312" w:cs="仿宋_GB2312"/>
          <w:color w:val="333333"/>
          <w:sz w:val="32"/>
          <w:szCs w:val="32"/>
          <w:shd w:val="clear" w:color="auto" w:fill="FFFFFF"/>
          <w:lang w:eastAsia="zh-CN"/>
        </w:rPr>
        <w:t>减少</w:t>
      </w:r>
      <w:r>
        <w:rPr>
          <w:rFonts w:hint="eastAsia" w:ascii="仿宋_GB2312" w:hAnsi="仿宋_GB2312" w:eastAsia="仿宋_GB2312" w:cs="仿宋_GB2312"/>
          <w:color w:val="333333"/>
          <w:sz w:val="32"/>
          <w:szCs w:val="32"/>
          <w:shd w:val="clear" w:color="auto" w:fill="FFFFFF"/>
          <w:lang w:val="en-US" w:eastAsia="zh-CN"/>
        </w:rPr>
        <w:t>2.58万元</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sz w:val="32"/>
          <w:szCs w:val="32"/>
        </w:rPr>
        <w:t xml:space="preserve">主要原因是2018年我单位严格执行“八项”规定，加强了“三公”经费管理，不必要的接待减少。         </w:t>
      </w:r>
    </w:p>
    <w:p w14:paraId="383D1487">
      <w:pPr>
        <w:pStyle w:val="7"/>
        <w:numPr>
          <w:ilvl w:val="0"/>
          <w:numId w:val="0"/>
        </w:numPr>
        <w:spacing w:before="0" w:beforeAutospacing="0" w:after="0" w:afterAutospacing="0" w:line="600" w:lineRule="exact"/>
        <w:jc w:val="both"/>
        <w:rPr>
          <w:rFonts w:ascii="Times New Roman" w:hAnsi="Times New Roman" w:eastAsia="方正仿宋_GBK" w:cs="Times New Roman"/>
          <w:color w:val="333333"/>
          <w:sz w:val="33"/>
          <w:szCs w:val="33"/>
          <w:shd w:val="clear" w:color="auto" w:fill="FFFFFF"/>
        </w:rPr>
      </w:pPr>
      <w:r>
        <w:rPr>
          <w:rFonts w:hint="eastAsia" w:ascii="新宋体" w:hAnsi="新宋体" w:eastAsia="新宋体"/>
          <w:sz w:val="32"/>
          <w:szCs w:val="32"/>
        </w:rPr>
        <w:t xml:space="preserve">        </w:t>
      </w:r>
    </w:p>
    <w:p w14:paraId="57CA38FC">
      <w:pPr>
        <w:pStyle w:val="13"/>
        <w:numPr>
          <w:ilvl w:val="0"/>
          <w:numId w:val="8"/>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政府性基金预算支出决算情况说明</w:t>
      </w:r>
    </w:p>
    <w:p w14:paraId="20847A49">
      <w:pPr>
        <w:pStyle w:val="13"/>
        <w:numPr>
          <w:ilvl w:val="0"/>
          <w:numId w:val="0"/>
        </w:numPr>
        <w:snapToGrid w:val="0"/>
        <w:spacing w:before="0" w:beforeAutospacing="0" w:after="0" w:afterAutospacing="0" w:line="600" w:lineRule="exact"/>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2018年政府性基金预算拨款284.84万元。</w:t>
      </w:r>
      <w:r>
        <w:rPr>
          <w:rFonts w:ascii="仿宋_GB2312" w:hAnsi="仿宋_GB2312" w:eastAsia="仿宋_GB2312" w:cs="仿宋_GB2312"/>
          <w:b w:val="0"/>
          <w:i w:val="0"/>
          <w:caps w:val="0"/>
          <w:color w:val="000000"/>
          <w:spacing w:val="0"/>
          <w:sz w:val="32"/>
          <w:szCs w:val="32"/>
          <w:shd w:val="clear" w:fill="FFFFFF"/>
        </w:rPr>
        <w:t>主要用于征地和拆迁补偿支出、补助被征地农民支出。</w:t>
      </w:r>
    </w:p>
    <w:p w14:paraId="1AB7D275">
      <w:pPr>
        <w:pStyle w:val="13"/>
        <w:numPr>
          <w:ilvl w:val="0"/>
          <w:numId w:val="0"/>
        </w:numPr>
        <w:snapToGrid w:val="0"/>
        <w:spacing w:before="0" w:beforeAutospacing="0" w:after="0" w:afterAutospacing="0" w:line="600" w:lineRule="exact"/>
        <w:ind w:leftChars="0"/>
        <w:rPr>
          <w:rFonts w:hint="eastAsia" w:ascii="Times New Roman" w:eastAsia="仿宋_GB2312" w:cs="Times New Roman"/>
          <w:color w:val="auto"/>
          <w:sz w:val="32"/>
          <w:szCs w:val="32"/>
          <w:lang w:val="en-US" w:eastAsia="zh-CN"/>
        </w:rPr>
      </w:pPr>
    </w:p>
    <w:p w14:paraId="23FD2928">
      <w:pPr>
        <w:pStyle w:val="13"/>
        <w:numPr>
          <w:ilvl w:val="0"/>
          <w:numId w:val="8"/>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国有资本经营预算支出决算情况说明</w:t>
      </w:r>
    </w:p>
    <w:p w14:paraId="7693B936">
      <w:pPr>
        <w:pStyle w:val="13"/>
        <w:numPr>
          <w:ilvl w:val="0"/>
          <w:numId w:val="0"/>
        </w:numPr>
        <w:snapToGrid w:val="0"/>
        <w:spacing w:before="0" w:beforeAutospacing="0" w:after="0" w:afterAutospacing="0" w:line="600" w:lineRule="exact"/>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2018年国有资本经营预算拨款支出0万元。</w:t>
      </w:r>
    </w:p>
    <w:p w14:paraId="4E05D8E9">
      <w:pPr>
        <w:pStyle w:val="13"/>
        <w:snapToGrid w:val="0"/>
        <w:spacing w:before="0" w:beforeAutospacing="0" w:after="0" w:afterAutospacing="0" w:line="600" w:lineRule="exact"/>
        <w:rPr>
          <w:rFonts w:hint="eastAsia" w:ascii="Times New Roman" w:eastAsia="仿宋_GB2312" w:cs="Times New Roman"/>
          <w:color w:val="auto"/>
          <w:sz w:val="32"/>
          <w:szCs w:val="32"/>
          <w:lang w:val="en-US" w:eastAsia="zh-CN"/>
        </w:rPr>
      </w:pPr>
    </w:p>
    <w:p w14:paraId="52483039">
      <w:pPr>
        <w:pStyle w:val="13"/>
        <w:numPr>
          <w:ilvl w:val="0"/>
          <w:numId w:val="8"/>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预算绩效情况说明</w:t>
      </w:r>
    </w:p>
    <w:p w14:paraId="70B6ED12">
      <w:pPr>
        <w:numPr>
          <w:ilvl w:val="0"/>
          <w:numId w:val="9"/>
        </w:numPr>
        <w:spacing w:line="580" w:lineRule="exact"/>
        <w:ind w:firstLine="643" w:firstLineChars="200"/>
        <w:rPr>
          <w:rFonts w:eastAsia="仿宋"/>
          <w:b/>
          <w:bCs/>
          <w:sz w:val="32"/>
          <w:szCs w:val="32"/>
        </w:rPr>
      </w:pPr>
      <w:r>
        <w:rPr>
          <w:rFonts w:eastAsia="仿宋"/>
          <w:b/>
          <w:bCs/>
          <w:sz w:val="32"/>
          <w:szCs w:val="32"/>
        </w:rPr>
        <w:t>预算绩效管理工作开展情况。</w:t>
      </w:r>
    </w:p>
    <w:p w14:paraId="0CA7CBED">
      <w:pPr>
        <w:spacing w:line="580" w:lineRule="exact"/>
        <w:ind w:firstLine="640" w:firstLineChars="200"/>
        <w:rPr>
          <w:rFonts w:eastAsia="仿宋_GB2312"/>
          <w:sz w:val="32"/>
          <w:szCs w:val="32"/>
        </w:rPr>
      </w:pPr>
      <w:r>
        <w:rPr>
          <w:rFonts w:eastAsia="仿宋_GB2312"/>
          <w:sz w:val="32"/>
          <w:szCs w:val="32"/>
        </w:rPr>
        <w:t>根据预算绩效管理要求，本</w:t>
      </w:r>
      <w:r>
        <w:rPr>
          <w:rFonts w:hint="eastAsia" w:eastAsia="仿宋_GB2312"/>
          <w:sz w:val="32"/>
          <w:szCs w:val="32"/>
          <w:lang w:eastAsia="zh-CN"/>
        </w:rPr>
        <w:t>单位</w:t>
      </w:r>
      <w:r>
        <w:rPr>
          <w:rFonts w:eastAsia="仿宋_GB2312"/>
          <w:sz w:val="32"/>
          <w:szCs w:val="32"/>
        </w:rPr>
        <w:t>在年初预算编制阶段，组织对</w:t>
      </w:r>
      <w:r>
        <w:rPr>
          <w:rFonts w:eastAsia="仿宋_GB2312"/>
          <w:kern w:val="0"/>
          <w:sz w:val="32"/>
          <w:szCs w:val="32"/>
        </w:rPr>
        <w:t>2018年农村公共服务运行维护</w:t>
      </w:r>
      <w:r>
        <w:rPr>
          <w:rFonts w:eastAsia="仿宋_GB2312"/>
          <w:sz w:val="32"/>
          <w:szCs w:val="32"/>
        </w:rPr>
        <w:t>项目开展了预算事前绩效评估，对</w:t>
      </w:r>
      <w:r>
        <w:rPr>
          <w:rFonts w:eastAsia="仿宋_GB2312"/>
          <w:kern w:val="0"/>
          <w:sz w:val="32"/>
          <w:szCs w:val="32"/>
        </w:rPr>
        <w:t>2018年农村公共服务运行维护</w:t>
      </w:r>
      <w:r>
        <w:rPr>
          <w:rFonts w:eastAsia="仿宋_GB2312"/>
          <w:sz w:val="32"/>
          <w:szCs w:val="32"/>
        </w:rPr>
        <w:t>项目编制了绩效目标，预算执行过程中，选取</w:t>
      </w:r>
      <w:r>
        <w:rPr>
          <w:rFonts w:eastAsia="仿宋_GB2312"/>
          <w:kern w:val="0"/>
          <w:sz w:val="32"/>
          <w:szCs w:val="32"/>
        </w:rPr>
        <w:t>2018年农村公共服务运行维护</w:t>
      </w:r>
      <w:r>
        <w:rPr>
          <w:rFonts w:eastAsia="仿宋_GB2312"/>
          <w:sz w:val="32"/>
          <w:szCs w:val="32"/>
        </w:rPr>
        <w:t>项目开展绩效监控，年终执行完毕后，对选取</w:t>
      </w:r>
      <w:r>
        <w:rPr>
          <w:rFonts w:eastAsia="仿宋_GB2312"/>
          <w:kern w:val="0"/>
          <w:sz w:val="32"/>
          <w:szCs w:val="32"/>
        </w:rPr>
        <w:t>2018年农村公共服务运行维护</w:t>
      </w:r>
      <w:r>
        <w:rPr>
          <w:rFonts w:eastAsia="仿宋_GB2312"/>
          <w:sz w:val="32"/>
          <w:szCs w:val="32"/>
        </w:rPr>
        <w:t>项目开展了绩效目标完成情况梳理填报。</w:t>
      </w:r>
    </w:p>
    <w:p w14:paraId="7EAA8CBE">
      <w:pPr>
        <w:spacing w:line="580" w:lineRule="exact"/>
        <w:ind w:firstLine="640" w:firstLineChars="200"/>
        <w:rPr>
          <w:rFonts w:eastAsia="仿宋_GB2312"/>
          <w:sz w:val="32"/>
          <w:szCs w:val="32"/>
        </w:rPr>
      </w:pPr>
      <w:r>
        <w:rPr>
          <w:rFonts w:eastAsia="仿宋_GB2312"/>
          <w:sz w:val="32"/>
          <w:szCs w:val="32"/>
        </w:rPr>
        <w:t>本</w:t>
      </w:r>
      <w:r>
        <w:rPr>
          <w:rFonts w:hint="eastAsia" w:eastAsia="仿宋_GB2312"/>
          <w:sz w:val="32"/>
          <w:szCs w:val="32"/>
          <w:lang w:eastAsia="zh-CN"/>
        </w:rPr>
        <w:t>单位</w:t>
      </w:r>
      <w:r>
        <w:rPr>
          <w:rFonts w:eastAsia="仿宋_GB2312"/>
          <w:sz w:val="32"/>
          <w:szCs w:val="32"/>
        </w:rPr>
        <w:t>按要求对2018年部门整体支出开展绩效自评，从评价情况来看通过开展整体支出绩效自评，不仅</w:t>
      </w:r>
      <w:r>
        <w:rPr>
          <w:rFonts w:eastAsia="仿宋_GB2312"/>
          <w:sz w:val="32"/>
          <w:szCs w:val="32"/>
          <w:shd w:val="clear" w:color="auto" w:fill="FFFFFF"/>
        </w:rPr>
        <w:t>建立健全了财务管理制度和约束机制，依法、有效地使用财政资金，提高财政资金使用效率，合理分配人、财、物，完成了我镇职能目标，更实现了较高的工作效率。</w:t>
      </w:r>
      <w:r>
        <w:rPr>
          <w:rFonts w:eastAsia="仿宋_GB2312"/>
          <w:sz w:val="32"/>
          <w:szCs w:val="32"/>
        </w:rPr>
        <w:t>本部门还自行组织了</w:t>
      </w:r>
      <w:r>
        <w:rPr>
          <w:rFonts w:eastAsia="仿宋_GB2312"/>
          <w:kern w:val="0"/>
          <w:sz w:val="32"/>
          <w:szCs w:val="32"/>
        </w:rPr>
        <w:t>2018年农村公共服务运行维护</w:t>
      </w:r>
      <w:r>
        <w:rPr>
          <w:rFonts w:eastAsia="仿宋_GB2312"/>
          <w:sz w:val="32"/>
          <w:szCs w:val="32"/>
        </w:rPr>
        <w:t>项目绩效评价，从评价情况来看</w:t>
      </w:r>
      <w:r>
        <w:rPr>
          <w:rFonts w:eastAsia="仿宋_GB2312"/>
          <w:kern w:val="0"/>
          <w:sz w:val="32"/>
          <w:szCs w:val="32"/>
        </w:rPr>
        <w:t>农村公共服务运行维护项目实施后，村内基层组织活动得以扎实、有序推进，对巩固基层工作，促进干群关系提供了有力保障；农村公共服务运行维护项目的实施促进了村内道路、水利灌溉条件的改善，对促进农村经济社会各项事业发展起到了积极推动作用</w:t>
      </w:r>
      <w:r>
        <w:rPr>
          <w:rFonts w:eastAsia="仿宋_GB2312"/>
          <w:sz w:val="32"/>
          <w:szCs w:val="32"/>
        </w:rPr>
        <w:t>。</w:t>
      </w:r>
    </w:p>
    <w:p w14:paraId="56257817">
      <w:pPr>
        <w:numPr>
          <w:ilvl w:val="0"/>
          <w:numId w:val="9"/>
        </w:numPr>
        <w:spacing w:line="580" w:lineRule="exact"/>
        <w:ind w:firstLine="643" w:firstLineChars="200"/>
        <w:rPr>
          <w:rFonts w:eastAsia="仿宋_GB2312"/>
          <w:sz w:val="32"/>
          <w:szCs w:val="32"/>
        </w:rPr>
      </w:pPr>
      <w:r>
        <w:rPr>
          <w:rFonts w:eastAsia="仿宋"/>
          <w:b/>
          <w:bCs/>
          <w:sz w:val="32"/>
          <w:szCs w:val="32"/>
        </w:rPr>
        <w:t>项目绩效目标完成情况。</w:t>
      </w:r>
      <w:r>
        <w:rPr>
          <w:rFonts w:eastAsia="楷体_GB2312"/>
          <w:b/>
          <w:bCs/>
          <w:sz w:val="32"/>
          <w:szCs w:val="32"/>
        </w:rPr>
        <w:br w:type="textWrapping"/>
      </w:r>
      <w:r>
        <w:rPr>
          <w:rFonts w:eastAsia="仿宋_GB2312"/>
          <w:sz w:val="32"/>
          <w:szCs w:val="32"/>
        </w:rPr>
        <w:t xml:space="preserve">  本部门在2018年度部门决算中反映</w:t>
      </w:r>
      <w:r>
        <w:rPr>
          <w:rFonts w:eastAsia="仿宋_GB2312"/>
          <w:kern w:val="0"/>
          <w:sz w:val="32"/>
          <w:szCs w:val="32"/>
        </w:rPr>
        <w:t>2018年农村公共服务运行维护项目</w:t>
      </w:r>
      <w:r>
        <w:rPr>
          <w:rFonts w:eastAsia="仿宋_GB2312"/>
          <w:sz w:val="32"/>
          <w:szCs w:val="32"/>
        </w:rPr>
        <w:t xml:space="preserve">等项目绩效目标实际完成情况。 </w:t>
      </w:r>
    </w:p>
    <w:p w14:paraId="0D61136E">
      <w:pPr>
        <w:numPr>
          <w:ilvl w:val="0"/>
          <w:numId w:val="10"/>
        </w:numPr>
        <w:spacing w:line="580" w:lineRule="exact"/>
        <w:ind w:firstLine="640" w:firstLineChars="200"/>
        <w:rPr>
          <w:rFonts w:eastAsia="仿宋_GB2312"/>
          <w:sz w:val="32"/>
          <w:szCs w:val="32"/>
        </w:rPr>
      </w:pPr>
      <w:r>
        <w:rPr>
          <w:rFonts w:eastAsia="仿宋_GB2312"/>
          <w:kern w:val="0"/>
          <w:sz w:val="32"/>
          <w:szCs w:val="32"/>
        </w:rPr>
        <w:t>2018年农村公共服务运行维护</w:t>
      </w:r>
      <w:r>
        <w:rPr>
          <w:rFonts w:eastAsia="仿宋_GB2312"/>
          <w:sz w:val="32"/>
          <w:szCs w:val="32"/>
        </w:rPr>
        <w:t>项目绩效目标完成情况综述。项目全年预算数3</w:t>
      </w:r>
      <w:r>
        <w:rPr>
          <w:rFonts w:hint="eastAsia" w:eastAsia="仿宋_GB2312"/>
          <w:sz w:val="32"/>
          <w:szCs w:val="32"/>
          <w:lang w:val="en-US" w:eastAsia="zh-CN"/>
        </w:rPr>
        <w:t>9.8</w:t>
      </w:r>
      <w:r>
        <w:rPr>
          <w:rFonts w:eastAsia="仿宋_GB2312"/>
          <w:sz w:val="32"/>
          <w:szCs w:val="32"/>
        </w:rPr>
        <w:t>万元，执行数为3</w:t>
      </w:r>
      <w:r>
        <w:rPr>
          <w:rFonts w:hint="eastAsia" w:eastAsia="仿宋_GB2312"/>
          <w:sz w:val="32"/>
          <w:szCs w:val="32"/>
          <w:lang w:val="en-US" w:eastAsia="zh-CN"/>
        </w:rPr>
        <w:t>9.8</w:t>
      </w:r>
      <w:r>
        <w:rPr>
          <w:rFonts w:eastAsia="仿宋_GB2312"/>
          <w:sz w:val="32"/>
          <w:szCs w:val="32"/>
        </w:rPr>
        <w:t>万元，完成预算的100%。通过此项目实施，</w:t>
      </w:r>
      <w:r>
        <w:rPr>
          <w:rFonts w:eastAsia="仿宋_GB2312"/>
          <w:kern w:val="0"/>
          <w:sz w:val="32"/>
          <w:szCs w:val="32"/>
        </w:rPr>
        <w:t>村内基层组织活动得以扎实、有序推进，对巩固基层工作，促进干群关系提供了有力保障；农村公共服务运行维护项目的实施促进了村内道路、水利灌溉条件的改善，对促进农村经济社会各项事业发展起到了积极推动作用</w:t>
      </w:r>
      <w:r>
        <w:rPr>
          <w:rFonts w:eastAsia="仿宋_GB2312"/>
          <w:sz w:val="32"/>
          <w:szCs w:val="32"/>
        </w:rPr>
        <w:t>。</w:t>
      </w:r>
    </w:p>
    <w:tbl>
      <w:tblPr>
        <w:tblStyle w:val="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4"/>
        <w:gridCol w:w="1053"/>
        <w:gridCol w:w="1025"/>
        <w:gridCol w:w="2392"/>
        <w:gridCol w:w="2394"/>
        <w:gridCol w:w="2392"/>
      </w:tblGrid>
      <w:tr w14:paraId="63162452">
        <w:tblPrEx>
          <w:tblCellMar>
            <w:top w:w="0" w:type="dxa"/>
            <w:left w:w="0" w:type="dxa"/>
            <w:bottom w:w="0" w:type="dxa"/>
            <w:right w:w="0" w:type="dxa"/>
          </w:tblCellMar>
        </w:tblPrEx>
        <w:trPr>
          <w:trHeight w:val="1034" w:hRule="atLeast"/>
        </w:trPr>
        <w:tc>
          <w:tcPr>
            <w:tcW w:w="9960" w:type="dxa"/>
            <w:gridSpan w:val="6"/>
            <w:noWrap w:val="0"/>
            <w:tcMar>
              <w:top w:w="15" w:type="dxa"/>
              <w:left w:w="15" w:type="dxa"/>
              <w:bottom w:w="0" w:type="dxa"/>
              <w:right w:w="15" w:type="dxa"/>
            </w:tcMar>
            <w:vAlign w:val="center"/>
          </w:tcPr>
          <w:p w14:paraId="1C0989CC">
            <w:pPr>
              <w:pStyle w:val="16"/>
              <w:widowControl/>
              <w:ind w:left="4173" w:leftChars="1310" w:hanging="1422" w:hangingChars="395"/>
              <w:textAlignment w:val="center"/>
              <w:rPr>
                <w:color w:val="000000"/>
                <w:sz w:val="36"/>
                <w:szCs w:val="36"/>
              </w:rPr>
            </w:pPr>
            <w:r>
              <w:rPr>
                <w:rFonts w:eastAsia="黑体"/>
                <w:bCs/>
                <w:color w:val="000000"/>
                <w:kern w:val="0"/>
                <w:sz w:val="36"/>
                <w:szCs w:val="36"/>
              </w:rPr>
              <w:t>项目支出绩效目标完成情况表</w:t>
            </w:r>
            <w:r>
              <w:rPr>
                <w:b/>
                <w:bCs/>
                <w:color w:val="000000"/>
                <w:kern w:val="0"/>
                <w:sz w:val="36"/>
                <w:szCs w:val="36"/>
              </w:rPr>
              <w:br w:type="textWrapping"/>
            </w:r>
            <w:r>
              <w:rPr>
                <w:color w:val="000000"/>
                <w:kern w:val="0"/>
                <w:sz w:val="36"/>
                <w:szCs w:val="36"/>
              </w:rPr>
              <w:t>(2018年度)</w:t>
            </w:r>
          </w:p>
        </w:tc>
      </w:tr>
      <w:tr w14:paraId="56CCC8B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9E66B01">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C6D3BE">
            <w:pPr>
              <w:widowControl/>
              <w:jc w:val="center"/>
              <w:textAlignment w:val="center"/>
              <w:rPr>
                <w:color w:val="000000"/>
                <w:sz w:val="24"/>
              </w:rPr>
            </w:pPr>
            <w:r>
              <w:rPr>
                <w:rFonts w:eastAsia="仿宋_GB2312"/>
                <w:kern w:val="0"/>
                <w:sz w:val="32"/>
                <w:szCs w:val="32"/>
              </w:rPr>
              <w:t>2018年农村公共服务运行维护项目</w:t>
            </w:r>
          </w:p>
        </w:tc>
      </w:tr>
      <w:tr w14:paraId="495FB08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D778745">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20FC6CE">
            <w:pPr>
              <w:widowControl/>
              <w:jc w:val="center"/>
              <w:textAlignment w:val="center"/>
              <w:rPr>
                <w:color w:val="000000"/>
                <w:sz w:val="24"/>
              </w:rPr>
            </w:pPr>
          </w:p>
        </w:tc>
      </w:tr>
      <w:tr w14:paraId="3E2EB246">
        <w:tblPrEx>
          <w:tblCellMar>
            <w:top w:w="0" w:type="dxa"/>
            <w:left w:w="0" w:type="dxa"/>
            <w:bottom w:w="0" w:type="dxa"/>
            <w:right w:w="0" w:type="dxa"/>
          </w:tblCellMar>
        </w:tblPrEx>
        <w:trPr>
          <w:trHeight w:val="276" w:hRule="atLeast"/>
        </w:trPr>
        <w:tc>
          <w:tcPr>
            <w:tcW w:w="7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8790B2D">
            <w:pPr>
              <w:widowControl/>
              <w:jc w:val="center"/>
              <w:textAlignment w:val="center"/>
              <w:rPr>
                <w:color w:val="000000"/>
                <w:sz w:val="24"/>
              </w:rPr>
            </w:pPr>
            <w:r>
              <w:rPr>
                <w:color w:val="000000"/>
                <w:kern w:val="0"/>
                <w:sz w:val="24"/>
              </w:rPr>
              <w:t>预算执行情况(万元)</w:t>
            </w:r>
          </w:p>
        </w:tc>
        <w:tc>
          <w:tcPr>
            <w:tcW w:w="20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AADEAE2">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FCEE084">
            <w:pPr>
              <w:widowControl/>
              <w:jc w:val="center"/>
              <w:textAlignment w:val="center"/>
              <w:rPr>
                <w:color w:val="000000"/>
                <w:sz w:val="24"/>
              </w:rPr>
            </w:pPr>
            <w:r>
              <w:rPr>
                <w:rFonts w:hint="eastAsia"/>
                <w:color w:val="000000"/>
                <w:sz w:val="24"/>
                <w:lang w:val="en-US" w:eastAsia="zh-CN"/>
              </w:rPr>
              <w:t>39.8</w:t>
            </w:r>
            <w:r>
              <w:rPr>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CB5CAF1">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325B3D3">
            <w:pPr>
              <w:widowControl/>
              <w:jc w:val="center"/>
              <w:textAlignment w:val="center"/>
              <w:rPr>
                <w:color w:val="000000"/>
                <w:sz w:val="24"/>
              </w:rPr>
            </w:pPr>
            <w:r>
              <w:rPr>
                <w:rFonts w:hint="eastAsia"/>
                <w:color w:val="000000"/>
                <w:sz w:val="24"/>
                <w:lang w:val="en-US" w:eastAsia="zh-CN"/>
              </w:rPr>
              <w:t>39.8</w:t>
            </w:r>
            <w:r>
              <w:rPr>
                <w:color w:val="000000"/>
                <w:sz w:val="24"/>
              </w:rPr>
              <w:t>万元</w:t>
            </w:r>
          </w:p>
        </w:tc>
      </w:tr>
      <w:tr w14:paraId="535AAA5A">
        <w:tblPrEx>
          <w:tblCellMar>
            <w:top w:w="0" w:type="dxa"/>
            <w:left w:w="0" w:type="dxa"/>
            <w:bottom w:w="0" w:type="dxa"/>
            <w:right w:w="0" w:type="dxa"/>
          </w:tblCellMar>
        </w:tblPrEx>
        <w:trPr>
          <w:trHeight w:val="276"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FEC2B9">
            <w:pPr>
              <w:widowControl/>
              <w:jc w:val="left"/>
              <w:rPr>
                <w:color w:val="000000"/>
                <w:sz w:val="24"/>
              </w:rPr>
            </w:pPr>
          </w:p>
        </w:tc>
        <w:tc>
          <w:tcPr>
            <w:tcW w:w="20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48C63F7">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DB3F701">
            <w:pPr>
              <w:widowControl/>
              <w:jc w:val="center"/>
              <w:textAlignment w:val="center"/>
              <w:rPr>
                <w:color w:val="000000"/>
                <w:sz w:val="24"/>
              </w:rPr>
            </w:pPr>
            <w:r>
              <w:rPr>
                <w:rFonts w:hint="eastAsia"/>
                <w:color w:val="000000"/>
                <w:sz w:val="24"/>
                <w:lang w:val="en-US" w:eastAsia="zh-CN"/>
              </w:rPr>
              <w:t>39.8</w:t>
            </w:r>
            <w:r>
              <w:rPr>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DF1BBF2">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C7D29D9">
            <w:pPr>
              <w:widowControl/>
              <w:jc w:val="center"/>
              <w:textAlignment w:val="center"/>
              <w:rPr>
                <w:color w:val="000000"/>
                <w:sz w:val="24"/>
              </w:rPr>
            </w:pPr>
            <w:r>
              <w:rPr>
                <w:rFonts w:hint="eastAsia"/>
                <w:color w:val="000000"/>
                <w:sz w:val="24"/>
                <w:lang w:val="en-US" w:eastAsia="zh-CN"/>
              </w:rPr>
              <w:t>39.8</w:t>
            </w:r>
            <w:r>
              <w:rPr>
                <w:color w:val="000000"/>
                <w:sz w:val="24"/>
              </w:rPr>
              <w:t>万元</w:t>
            </w:r>
          </w:p>
        </w:tc>
      </w:tr>
      <w:tr w14:paraId="55F551B3">
        <w:tblPrEx>
          <w:tblCellMar>
            <w:top w:w="0" w:type="dxa"/>
            <w:left w:w="0" w:type="dxa"/>
            <w:bottom w:w="0" w:type="dxa"/>
            <w:right w:w="0" w:type="dxa"/>
          </w:tblCellMar>
        </w:tblPrEx>
        <w:trPr>
          <w:trHeight w:val="1511"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8DE4E">
            <w:pPr>
              <w:widowControl/>
              <w:jc w:val="left"/>
              <w:rPr>
                <w:color w:val="000000"/>
                <w:sz w:val="24"/>
              </w:rPr>
            </w:pPr>
          </w:p>
        </w:tc>
        <w:tc>
          <w:tcPr>
            <w:tcW w:w="20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812B84C">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6AC941">
            <w:pPr>
              <w:widowControl/>
              <w:jc w:val="center"/>
              <w:textAlignment w:val="center"/>
              <w:rPr>
                <w:color w:val="000000"/>
                <w:sz w:val="24"/>
              </w:rPr>
            </w:pPr>
            <w:r>
              <w:rPr>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C42F4CD">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91A436B">
            <w:pPr>
              <w:jc w:val="center"/>
              <w:rPr>
                <w:color w:val="000000"/>
                <w:sz w:val="24"/>
              </w:rPr>
            </w:pPr>
            <w:r>
              <w:rPr>
                <w:color w:val="000000"/>
                <w:sz w:val="24"/>
              </w:rPr>
              <w:t>0</w:t>
            </w:r>
          </w:p>
        </w:tc>
      </w:tr>
      <w:tr w14:paraId="168EF286">
        <w:tblPrEx>
          <w:tblCellMar>
            <w:top w:w="0" w:type="dxa"/>
            <w:left w:w="0" w:type="dxa"/>
            <w:bottom w:w="0" w:type="dxa"/>
            <w:right w:w="0" w:type="dxa"/>
          </w:tblCellMar>
        </w:tblPrEx>
        <w:trPr>
          <w:trHeight w:val="276" w:hRule="atLeast"/>
        </w:trPr>
        <w:tc>
          <w:tcPr>
            <w:tcW w:w="7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0A6B838">
            <w:pPr>
              <w:widowControl/>
              <w:jc w:val="center"/>
              <w:textAlignment w:val="center"/>
              <w:rPr>
                <w:color w:val="000000"/>
                <w:sz w:val="24"/>
              </w:rPr>
            </w:pPr>
            <w:r>
              <w:rPr>
                <w:color w:val="000000"/>
                <w:kern w:val="0"/>
                <w:sz w:val="24"/>
              </w:rPr>
              <w:t>年度目标完成情况</w:t>
            </w:r>
          </w:p>
        </w:tc>
        <w:tc>
          <w:tcPr>
            <w:tcW w:w="447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5C3FEFE">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1CDF82B">
            <w:pPr>
              <w:widowControl/>
              <w:jc w:val="center"/>
              <w:textAlignment w:val="center"/>
              <w:rPr>
                <w:color w:val="000000"/>
                <w:sz w:val="24"/>
              </w:rPr>
            </w:pPr>
            <w:r>
              <w:rPr>
                <w:color w:val="000000"/>
                <w:kern w:val="0"/>
                <w:sz w:val="24"/>
              </w:rPr>
              <w:t>实际完成目标</w:t>
            </w:r>
          </w:p>
        </w:tc>
      </w:tr>
      <w:tr w14:paraId="3717380E">
        <w:tblPrEx>
          <w:tblCellMar>
            <w:top w:w="0" w:type="dxa"/>
            <w:left w:w="0" w:type="dxa"/>
            <w:bottom w:w="0" w:type="dxa"/>
            <w:right w:w="0" w:type="dxa"/>
          </w:tblCellMar>
        </w:tblPrEx>
        <w:trPr>
          <w:trHeight w:val="1159"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5D386">
            <w:pPr>
              <w:widowControl/>
              <w:jc w:val="left"/>
              <w:rPr>
                <w:color w:val="000000"/>
                <w:sz w:val="24"/>
              </w:rPr>
            </w:pPr>
          </w:p>
        </w:tc>
        <w:tc>
          <w:tcPr>
            <w:tcW w:w="447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0306AD2">
            <w:pPr>
              <w:widowControl/>
              <w:jc w:val="center"/>
              <w:textAlignment w:val="center"/>
              <w:rPr>
                <w:rFonts w:hint="eastAsia" w:eastAsiaTheme="minorEastAsia"/>
                <w:color w:val="000000"/>
                <w:sz w:val="24"/>
                <w:lang w:eastAsia="zh-CN"/>
              </w:rPr>
            </w:pPr>
            <w:r>
              <w:rPr>
                <w:color w:val="000000"/>
                <w:kern w:val="0"/>
                <w:sz w:val="24"/>
              </w:rPr>
              <w:t xml:space="preserve">     通过农村公共服务运行维护项目的实施，促进了村内道路</w:t>
            </w:r>
            <w:r>
              <w:rPr>
                <w:rFonts w:hint="eastAsia"/>
                <w:color w:val="000000"/>
                <w:kern w:val="0"/>
                <w:sz w:val="24"/>
                <w:lang w:eastAsia="zh-CN"/>
              </w:rPr>
              <w:t>维护</w:t>
            </w:r>
            <w:r>
              <w:rPr>
                <w:color w:val="000000"/>
                <w:kern w:val="0"/>
                <w:sz w:val="24"/>
              </w:rPr>
              <w:t>、</w:t>
            </w:r>
            <w:r>
              <w:rPr>
                <w:rFonts w:hint="eastAsia"/>
                <w:color w:val="000000"/>
                <w:kern w:val="0"/>
                <w:sz w:val="24"/>
                <w:lang w:eastAsia="zh-CN"/>
              </w:rPr>
              <w:t>养殖场维修，清淤道路等</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B0A81C1">
            <w:pPr>
              <w:widowControl/>
              <w:jc w:val="center"/>
              <w:textAlignment w:val="center"/>
              <w:rPr>
                <w:color w:val="000000"/>
                <w:sz w:val="24"/>
              </w:rPr>
            </w:pPr>
            <w:r>
              <w:rPr>
                <w:rFonts w:hint="eastAsia"/>
                <w:color w:val="000000"/>
                <w:sz w:val="24"/>
                <w:lang w:eastAsia="zh-CN"/>
              </w:rPr>
              <w:t>该</w:t>
            </w:r>
            <w:r>
              <w:rPr>
                <w:color w:val="000000"/>
                <w:sz w:val="24"/>
              </w:rPr>
              <w:t>项目实施后，为群众提供了良好的生活环境</w:t>
            </w:r>
            <w:r>
              <w:rPr>
                <w:rFonts w:hint="eastAsia"/>
                <w:color w:val="000000"/>
                <w:sz w:val="24"/>
                <w:lang w:eastAsia="zh-CN"/>
              </w:rPr>
              <w:t>，大大方便群众的出行，</w:t>
            </w:r>
            <w:r>
              <w:rPr>
                <w:color w:val="000000"/>
                <w:sz w:val="24"/>
              </w:rPr>
              <w:t>对促进农村经济社会各项事业发展起到了积极作用。</w:t>
            </w:r>
          </w:p>
        </w:tc>
      </w:tr>
      <w:tr w14:paraId="3402A93A">
        <w:tblPrEx>
          <w:tblCellMar>
            <w:top w:w="0" w:type="dxa"/>
            <w:left w:w="0" w:type="dxa"/>
            <w:bottom w:w="0" w:type="dxa"/>
            <w:right w:w="0" w:type="dxa"/>
          </w:tblCellMar>
        </w:tblPrEx>
        <w:trPr>
          <w:trHeight w:val="1042" w:hRule="atLeast"/>
        </w:trPr>
        <w:tc>
          <w:tcPr>
            <w:tcW w:w="7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2BACFED">
            <w:pPr>
              <w:widowControl/>
              <w:jc w:val="center"/>
              <w:textAlignment w:val="center"/>
              <w:rPr>
                <w:color w:val="000000"/>
                <w:sz w:val="24"/>
              </w:rPr>
            </w:pPr>
            <w:r>
              <w:rPr>
                <w:color w:val="000000"/>
                <w:sz w:val="24"/>
              </w:rPr>
              <w:t>绩效指标完成情况</w:t>
            </w: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99823C">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5D52A78">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60B9C7D">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69703D8">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547BC90">
            <w:pPr>
              <w:widowControl/>
              <w:jc w:val="center"/>
              <w:textAlignment w:val="center"/>
              <w:rPr>
                <w:color w:val="000000"/>
                <w:sz w:val="24"/>
              </w:rPr>
            </w:pPr>
            <w:r>
              <w:rPr>
                <w:color w:val="000000"/>
                <w:kern w:val="0"/>
                <w:sz w:val="24"/>
              </w:rPr>
              <w:t>实际完成指标值(包含数字及文字描述)</w:t>
            </w:r>
          </w:p>
        </w:tc>
      </w:tr>
      <w:tr w14:paraId="6794825D">
        <w:tblPrEx>
          <w:tblCellMar>
            <w:top w:w="0" w:type="dxa"/>
            <w:left w:w="0" w:type="dxa"/>
            <w:bottom w:w="0" w:type="dxa"/>
            <w:right w:w="0" w:type="dxa"/>
          </w:tblCellMar>
        </w:tblPrEx>
        <w:trPr>
          <w:trHeight w:val="953"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9FB79">
            <w:pPr>
              <w:widowControl/>
              <w:jc w:val="left"/>
              <w:rPr>
                <w:color w:val="000000"/>
                <w:sz w:val="24"/>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0250E5">
            <w:pPr>
              <w:widowControl/>
              <w:jc w:val="center"/>
              <w:textAlignment w:val="center"/>
              <w:rPr>
                <w:color w:val="000000"/>
                <w:sz w:val="24"/>
              </w:rPr>
            </w:pPr>
            <w:r>
              <w:rPr>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C93E653">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8D384E4">
            <w:pPr>
              <w:widowControl/>
              <w:jc w:val="center"/>
              <w:textAlignment w:val="center"/>
              <w:rPr>
                <w:color w:val="000000"/>
                <w:sz w:val="24"/>
              </w:rPr>
            </w:pPr>
            <w:r>
              <w:rPr>
                <w:color w:val="000000"/>
                <w:sz w:val="24"/>
              </w:rPr>
              <w:t>专项会议</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0D9F44E">
            <w:pPr>
              <w:widowControl/>
              <w:jc w:val="center"/>
              <w:textAlignment w:val="center"/>
              <w:rPr>
                <w:rFonts w:hint="eastAsia" w:eastAsiaTheme="minorEastAsia"/>
                <w:color w:val="000000"/>
                <w:sz w:val="24"/>
                <w:lang w:val="en-US" w:eastAsia="zh-CN"/>
              </w:rPr>
            </w:pPr>
            <w:r>
              <w:rPr>
                <w:rFonts w:hint="eastAsia"/>
                <w:color w:val="000000"/>
                <w:sz w:val="24"/>
                <w:lang w:val="en-US" w:eastAsia="zh-CN"/>
              </w:rPr>
              <w:t>6</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6D87CEF">
            <w:pPr>
              <w:widowControl/>
              <w:jc w:val="center"/>
              <w:textAlignment w:val="center"/>
              <w:rPr>
                <w:rFonts w:hint="eastAsia" w:eastAsiaTheme="minorEastAsia"/>
                <w:color w:val="000000"/>
                <w:sz w:val="24"/>
                <w:lang w:val="en-US" w:eastAsia="zh-CN"/>
              </w:rPr>
            </w:pPr>
            <w:r>
              <w:rPr>
                <w:rFonts w:hint="eastAsia"/>
                <w:color w:val="000000"/>
                <w:sz w:val="24"/>
                <w:lang w:val="en-US" w:eastAsia="zh-CN"/>
              </w:rPr>
              <w:t>6</w:t>
            </w:r>
          </w:p>
        </w:tc>
      </w:tr>
      <w:tr w14:paraId="119DDE7C">
        <w:tblPrEx>
          <w:tblCellMar>
            <w:top w:w="0" w:type="dxa"/>
            <w:left w:w="0" w:type="dxa"/>
            <w:bottom w:w="0" w:type="dxa"/>
            <w:right w:w="0" w:type="dxa"/>
          </w:tblCellMar>
        </w:tblPrEx>
        <w:trPr>
          <w:trHeight w:val="1042"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F4D5D">
            <w:pPr>
              <w:widowControl/>
              <w:jc w:val="left"/>
              <w:rPr>
                <w:color w:val="000000"/>
                <w:sz w:val="24"/>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CC377BB">
            <w:pPr>
              <w:widowControl/>
              <w:jc w:val="center"/>
              <w:textAlignment w:val="center"/>
              <w:rPr>
                <w:color w:val="000000"/>
                <w:sz w:val="24"/>
              </w:rPr>
            </w:pPr>
            <w:r>
              <w:rPr>
                <w:color w:val="000000"/>
                <w:kern w:val="0"/>
                <w:sz w:val="24"/>
              </w:rPr>
              <w:t>可持续性影响指标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D14F0EF">
            <w:pPr>
              <w:widowControl/>
              <w:jc w:val="center"/>
              <w:textAlignment w:val="center"/>
              <w:rPr>
                <w:color w:val="000000"/>
                <w:sz w:val="24"/>
              </w:rPr>
            </w:pPr>
            <w:r>
              <w:rPr>
                <w:color w:val="000000"/>
                <w:kern w:val="0"/>
                <w:sz w:val="24"/>
              </w:rPr>
              <w:t>可持续性影响效益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F723AEA">
            <w:pPr>
              <w:widowControl/>
              <w:jc w:val="center"/>
              <w:textAlignment w:val="center"/>
              <w:rPr>
                <w:color w:val="000000"/>
                <w:sz w:val="24"/>
              </w:rPr>
            </w:pPr>
            <w:r>
              <w:rPr>
                <w:color w:val="000000"/>
                <w:sz w:val="24"/>
              </w:rPr>
              <w:t>持续性</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FDAA49D">
            <w:pPr>
              <w:widowControl/>
              <w:jc w:val="center"/>
              <w:textAlignment w:val="center"/>
              <w:rPr>
                <w:color w:val="000000"/>
                <w:sz w:val="24"/>
              </w:rPr>
            </w:pPr>
            <w:r>
              <w:rPr>
                <w:color w:val="000000"/>
                <w:sz w:val="24"/>
              </w:rPr>
              <w:t>持续提高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F762353">
            <w:pPr>
              <w:widowControl/>
              <w:jc w:val="center"/>
              <w:textAlignment w:val="center"/>
              <w:rPr>
                <w:color w:val="000000"/>
                <w:sz w:val="24"/>
              </w:rPr>
            </w:pPr>
            <w:r>
              <w:rPr>
                <w:color w:val="000000"/>
                <w:sz w:val="24"/>
              </w:rPr>
              <w:t>持续提高</w:t>
            </w:r>
          </w:p>
        </w:tc>
      </w:tr>
      <w:tr w14:paraId="4F1393FE">
        <w:tblPrEx>
          <w:tblCellMar>
            <w:top w:w="0" w:type="dxa"/>
            <w:left w:w="0" w:type="dxa"/>
            <w:bottom w:w="0" w:type="dxa"/>
            <w:right w:w="0" w:type="dxa"/>
          </w:tblCellMar>
        </w:tblPrEx>
        <w:trPr>
          <w:trHeight w:val="1042"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0C60D1">
            <w:pPr>
              <w:widowControl/>
              <w:jc w:val="left"/>
              <w:rPr>
                <w:color w:val="000000"/>
                <w:sz w:val="24"/>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E4DF170">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68604AF">
            <w:pPr>
              <w:widowControl/>
              <w:jc w:val="center"/>
              <w:textAlignment w:val="center"/>
              <w:rPr>
                <w:color w:val="000000"/>
                <w:sz w:val="24"/>
              </w:rPr>
            </w:pPr>
            <w:r>
              <w:rPr>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590E40D">
            <w:pPr>
              <w:widowControl/>
              <w:jc w:val="center"/>
              <w:textAlignment w:val="center"/>
              <w:rPr>
                <w:color w:val="000000"/>
                <w:sz w:val="24"/>
              </w:rPr>
            </w:pPr>
            <w:r>
              <w:rPr>
                <w:color w:val="000000"/>
                <w:sz w:val="24"/>
              </w:rPr>
              <w:t>公平公正性</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45A3186">
            <w:pPr>
              <w:widowControl/>
              <w:jc w:val="center"/>
              <w:textAlignment w:val="center"/>
              <w:rPr>
                <w:color w:val="000000"/>
                <w:sz w:val="24"/>
              </w:rPr>
            </w:pPr>
            <w:r>
              <w:rPr>
                <w:color w:val="000000"/>
                <w:sz w:val="24"/>
              </w:rPr>
              <w:t>持续提高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9E6EE32">
            <w:pPr>
              <w:widowControl/>
              <w:jc w:val="center"/>
              <w:textAlignment w:val="center"/>
              <w:rPr>
                <w:color w:val="000000"/>
                <w:sz w:val="24"/>
              </w:rPr>
            </w:pPr>
            <w:r>
              <w:rPr>
                <w:color w:val="000000"/>
                <w:sz w:val="24"/>
              </w:rPr>
              <w:t>持续提高</w:t>
            </w:r>
          </w:p>
        </w:tc>
      </w:tr>
      <w:tr w14:paraId="126345E8">
        <w:tblPrEx>
          <w:tblCellMar>
            <w:top w:w="0" w:type="dxa"/>
            <w:left w:w="0" w:type="dxa"/>
            <w:bottom w:w="0" w:type="dxa"/>
            <w:right w:w="0" w:type="dxa"/>
          </w:tblCellMar>
        </w:tblPrEx>
        <w:trPr>
          <w:trHeight w:val="1050" w:hRule="atLeast"/>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A40811">
            <w:pPr>
              <w:widowControl/>
              <w:jc w:val="left"/>
              <w:rPr>
                <w:color w:val="000000"/>
                <w:sz w:val="24"/>
              </w:rPr>
            </w:pPr>
          </w:p>
        </w:tc>
        <w:tc>
          <w:tcPr>
            <w:tcW w:w="105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623B075">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2AC8092">
            <w:pPr>
              <w:widowControl/>
              <w:jc w:val="center"/>
              <w:textAlignment w:val="center"/>
              <w:rPr>
                <w:color w:val="000000"/>
                <w:sz w:val="24"/>
              </w:rPr>
            </w:pPr>
            <w:r>
              <w:rPr>
                <w:color w:val="00000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81EBCEB">
            <w:pPr>
              <w:widowControl/>
              <w:jc w:val="center"/>
              <w:textAlignment w:val="center"/>
              <w:rPr>
                <w:color w:val="000000"/>
                <w:sz w:val="24"/>
              </w:rPr>
            </w:pPr>
            <w:r>
              <w:rPr>
                <w:color w:val="000000"/>
                <w:sz w:val="24"/>
              </w:rPr>
              <w:t>社会对象满意度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C9718D9">
            <w:pPr>
              <w:widowControl/>
              <w:jc w:val="center"/>
              <w:textAlignment w:val="center"/>
              <w:rPr>
                <w:color w:val="000000"/>
                <w:sz w:val="24"/>
              </w:rPr>
            </w:pPr>
            <w:r>
              <w:rPr>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474F572">
            <w:pPr>
              <w:widowControl/>
              <w:jc w:val="center"/>
              <w:textAlignment w:val="center"/>
              <w:rPr>
                <w:color w:val="000000"/>
                <w:sz w:val="24"/>
              </w:rPr>
            </w:pPr>
            <w:r>
              <w:rPr>
                <w:color w:val="000000"/>
                <w:sz w:val="24"/>
              </w:rPr>
              <w:t>98%</w:t>
            </w:r>
          </w:p>
        </w:tc>
      </w:tr>
    </w:tbl>
    <w:p w14:paraId="021B62A3">
      <w:pPr>
        <w:pStyle w:val="13"/>
        <w:numPr>
          <w:ilvl w:val="0"/>
          <w:numId w:val="0"/>
        </w:numPr>
        <w:snapToGrid w:val="0"/>
        <w:spacing w:before="0" w:beforeAutospacing="0" w:after="0" w:afterAutospacing="0" w:line="600" w:lineRule="exact"/>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（三）部门开展绩效评价结果</w:t>
      </w:r>
    </w:p>
    <w:p w14:paraId="12B6B026">
      <w:pPr>
        <w:spacing w:line="580" w:lineRule="exact"/>
        <w:ind w:firstLine="640" w:firstLineChars="200"/>
        <w:jc w:val="left"/>
        <w:rPr>
          <w:rFonts w:eastAsia="仿宋_GB2312"/>
          <w:sz w:val="32"/>
          <w:szCs w:val="32"/>
        </w:rPr>
      </w:pPr>
      <w:r>
        <w:rPr>
          <w:rFonts w:eastAsia="仿宋_GB2312"/>
          <w:sz w:val="32"/>
          <w:szCs w:val="32"/>
        </w:rPr>
        <w:t>本</w:t>
      </w:r>
      <w:r>
        <w:rPr>
          <w:rFonts w:hint="eastAsia" w:eastAsia="仿宋_GB2312"/>
          <w:sz w:val="32"/>
          <w:szCs w:val="32"/>
          <w:lang w:eastAsia="zh-CN"/>
        </w:rPr>
        <w:t>单位</w:t>
      </w:r>
      <w:r>
        <w:rPr>
          <w:rFonts w:eastAsia="仿宋_GB2312"/>
          <w:sz w:val="32"/>
          <w:szCs w:val="32"/>
        </w:rPr>
        <w:t>按要求对2018年部门整体支出绩效评价情况开展自</w:t>
      </w:r>
      <w:r>
        <w:rPr>
          <w:rFonts w:hint="eastAsia" w:eastAsia="仿宋_GB2312"/>
          <w:sz w:val="32"/>
          <w:szCs w:val="32"/>
        </w:rPr>
        <w:t>查</w:t>
      </w:r>
      <w:r>
        <w:rPr>
          <w:rFonts w:eastAsia="仿宋_GB2312"/>
          <w:sz w:val="32"/>
          <w:szCs w:val="32"/>
        </w:rPr>
        <w:t>《</w:t>
      </w:r>
      <w:r>
        <w:rPr>
          <w:rFonts w:hint="eastAsia" w:eastAsia="仿宋_GB2312"/>
          <w:sz w:val="32"/>
          <w:szCs w:val="32"/>
          <w:lang w:eastAsia="zh-CN"/>
        </w:rPr>
        <w:t>米易县麻陇彝族乡人民政府</w:t>
      </w:r>
      <w:r>
        <w:rPr>
          <w:rFonts w:eastAsia="仿宋_GB2312"/>
          <w:sz w:val="32"/>
          <w:szCs w:val="32"/>
        </w:rPr>
        <w:t>2018年部门整体支出绩效评价报告》见附件</w:t>
      </w:r>
      <w:r>
        <w:rPr>
          <w:rFonts w:hint="eastAsia" w:eastAsia="仿宋_GB2312"/>
          <w:sz w:val="32"/>
          <w:szCs w:val="32"/>
          <w:lang w:val="en-US" w:eastAsia="zh-CN"/>
        </w:rPr>
        <w:t>1</w:t>
      </w:r>
      <w:r>
        <w:rPr>
          <w:rFonts w:eastAsia="仿宋_GB2312"/>
          <w:sz w:val="32"/>
          <w:szCs w:val="32"/>
        </w:rPr>
        <w:t>。</w:t>
      </w:r>
    </w:p>
    <w:p w14:paraId="7284C30B">
      <w:pPr>
        <w:spacing w:line="580" w:lineRule="exact"/>
        <w:ind w:firstLine="640" w:firstLineChars="200"/>
        <w:rPr>
          <w:rFonts w:eastAsia="方正小标宋简体"/>
          <w:sz w:val="44"/>
          <w:szCs w:val="44"/>
        </w:rPr>
      </w:pPr>
      <w:r>
        <w:rPr>
          <w:rFonts w:eastAsia="仿宋_GB2312"/>
          <w:sz w:val="32"/>
          <w:szCs w:val="32"/>
        </w:rPr>
        <w:t>本</w:t>
      </w:r>
      <w:r>
        <w:rPr>
          <w:rFonts w:hint="eastAsia" w:eastAsia="仿宋_GB2312"/>
          <w:sz w:val="32"/>
          <w:szCs w:val="32"/>
          <w:lang w:eastAsia="zh-CN"/>
        </w:rPr>
        <w:t>单位</w:t>
      </w:r>
      <w:r>
        <w:rPr>
          <w:rFonts w:eastAsia="仿宋_GB2312"/>
          <w:sz w:val="32"/>
          <w:szCs w:val="32"/>
        </w:rPr>
        <w:t>自行组织</w:t>
      </w:r>
      <w:r>
        <w:rPr>
          <w:rFonts w:eastAsia="仿宋_GB2312"/>
          <w:kern w:val="0"/>
          <w:sz w:val="32"/>
          <w:szCs w:val="32"/>
        </w:rPr>
        <w:t>2018年农村公共服务运行维护</w:t>
      </w:r>
      <w:r>
        <w:rPr>
          <w:rFonts w:eastAsia="仿宋_GB2312"/>
          <w:sz w:val="32"/>
          <w:szCs w:val="32"/>
        </w:rPr>
        <w:t>项目开展了绩效评价，《</w:t>
      </w:r>
      <w:r>
        <w:rPr>
          <w:rFonts w:eastAsia="仿宋_GB2312"/>
          <w:kern w:val="0"/>
          <w:sz w:val="32"/>
          <w:szCs w:val="32"/>
        </w:rPr>
        <w:t>2018年农村公共服务运行维护</w:t>
      </w:r>
      <w:r>
        <w:rPr>
          <w:rFonts w:eastAsia="仿宋_GB2312"/>
          <w:sz w:val="32"/>
          <w:szCs w:val="32"/>
        </w:rPr>
        <w:t>项目绩效评价报告》见附件。</w:t>
      </w:r>
    </w:p>
    <w:p w14:paraId="74F80C82">
      <w:pPr>
        <w:pStyle w:val="13"/>
        <w:numPr>
          <w:ilvl w:val="0"/>
          <w:numId w:val="0"/>
        </w:numPr>
        <w:snapToGrid w:val="0"/>
        <w:spacing w:before="0" w:beforeAutospacing="0" w:after="0" w:afterAutospacing="0" w:line="600" w:lineRule="exact"/>
        <w:ind w:leftChars="200"/>
        <w:rPr>
          <w:rFonts w:hint="eastAsia" w:ascii="Times New Roman" w:eastAsia="仿宋_GB2312" w:cs="Times New Roman"/>
          <w:color w:val="auto"/>
          <w:sz w:val="32"/>
          <w:szCs w:val="32"/>
          <w:lang w:val="en-US" w:eastAsia="zh-CN"/>
        </w:rPr>
      </w:pPr>
    </w:p>
    <w:p w14:paraId="3D95CC33">
      <w:pPr>
        <w:pStyle w:val="13"/>
        <w:numPr>
          <w:ilvl w:val="0"/>
          <w:numId w:val="8"/>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其他重要事项的情况说明</w:t>
      </w:r>
    </w:p>
    <w:p w14:paraId="7B387C6A">
      <w:pPr>
        <w:pStyle w:val="13"/>
        <w:numPr>
          <w:ilvl w:val="0"/>
          <w:numId w:val="0"/>
        </w:numPr>
        <w:snapToGrid w:val="0"/>
        <w:spacing w:before="0" w:beforeAutospacing="0" w:after="0" w:afterAutospacing="0" w:line="600" w:lineRule="exact"/>
        <w:ind w:leftChars="0"/>
        <w:rPr>
          <w:rFonts w:hint="eastAsia" w:asci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eastAsia="仿宋_GB2312" w:cs="Times New Roman"/>
          <w:color w:val="auto"/>
          <w:sz w:val="32"/>
          <w:szCs w:val="32"/>
          <w:lang w:val="en-US" w:eastAsia="zh-CN"/>
        </w:rPr>
        <w:t>（一）2018年，麻陇彝族乡人民政府机关运行经费支出</w:t>
      </w:r>
      <w:r>
        <w:rPr>
          <w:rFonts w:hint="eastAsia" w:ascii="Times New Roman" w:eastAsia="仿宋_GB2312" w:cs="Times New Roman"/>
          <w:color w:val="FF0000"/>
          <w:sz w:val="32"/>
          <w:szCs w:val="32"/>
          <w:lang w:val="en-US" w:eastAsia="zh-CN"/>
        </w:rPr>
        <w:t xml:space="preserve"> </w:t>
      </w:r>
      <w:r>
        <w:rPr>
          <w:rFonts w:hint="eastAsia" w:ascii="Times New Roman" w:eastAsia="仿宋_GB2312" w:cs="Times New Roman"/>
          <w:color w:val="000000" w:themeColor="text1"/>
          <w:sz w:val="32"/>
          <w:szCs w:val="32"/>
          <w:lang w:val="en-US" w:eastAsia="zh-CN"/>
          <w14:textFill>
            <w14:solidFill>
              <w14:schemeClr w14:val="tx1"/>
            </w14:solidFill>
          </w14:textFill>
        </w:rPr>
        <w:t>10.38 万元，2017年为12.06万元 比2017年减少1.68万元，下降11.20%  主要原因是我乡严格控制开支，减少了不必要的支出。</w:t>
      </w:r>
    </w:p>
    <w:p w14:paraId="04EDF30E">
      <w:pPr>
        <w:pStyle w:val="13"/>
        <w:numPr>
          <w:ilvl w:val="0"/>
          <w:numId w:val="0"/>
        </w:numPr>
        <w:snapToGrid w:val="0"/>
        <w:spacing w:before="0" w:beforeAutospacing="0" w:after="0" w:afterAutospacing="0" w:line="600" w:lineRule="exact"/>
        <w:ind w:left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（二）2018年，麻陇彝族乡人民政府政府采购总支出0万元，其中:政府采购货物支出0万元、政府采购工程0万元、政府采购服务0万元。授予中小企业合同金额0万元。占政府采购总支出的0%。</w:t>
      </w:r>
    </w:p>
    <w:p w14:paraId="58BAE414">
      <w:pPr>
        <w:pStyle w:val="13"/>
        <w:numPr>
          <w:ilvl w:val="0"/>
          <w:numId w:val="6"/>
        </w:numPr>
        <w:snapToGrid w:val="0"/>
        <w:spacing w:before="0" w:beforeAutospacing="0" w:after="0" w:afterAutospacing="0" w:line="600" w:lineRule="exact"/>
        <w:ind w:left="0" w:leftChars="0" w:firstLine="0" w:firstLineChars="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国有资产占有使用情况</w:t>
      </w:r>
    </w:p>
    <w:p w14:paraId="50F0C289">
      <w:pPr>
        <w:pStyle w:val="13"/>
        <w:numPr>
          <w:ilvl w:val="0"/>
          <w:numId w:val="0"/>
        </w:numPr>
        <w:snapToGrid w:val="0"/>
        <w:spacing w:before="0" w:beforeAutospacing="0" w:after="0" w:afterAutospacing="0" w:line="600" w:lineRule="exact"/>
        <w:ind w:leftChars="0" w:firstLine="640" w:firstLineChars="200"/>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截至2018年12月31日，麻陇彝族乡人民政府共有车辆4辆，其中领导干部车辆0辆、一般公务用车3辆、应急保障用车1辆、特种专业技术用车0辆、其他用车0辆、单价在50万元以上通用设备0台。单价在100万元以上的专用设备0台。</w:t>
      </w:r>
    </w:p>
    <w:p w14:paraId="6EED65E1">
      <w:pPr>
        <w:numPr>
          <w:ilvl w:val="0"/>
          <w:numId w:val="0"/>
        </w:numPr>
        <w:ind w:firstLine="640" w:firstLineChars="2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p>
    <w:p w14:paraId="12B540EC">
      <w:pPr>
        <w:numPr>
          <w:ilvl w:val="0"/>
          <w:numId w:val="0"/>
        </w:numPr>
        <w:rPr>
          <w:rFonts w:hint="eastAsia" w:ascii="新宋体" w:hAnsi="新宋体" w:eastAsia="新宋体"/>
          <w:color w:val="000000"/>
          <w:sz w:val="32"/>
          <w:szCs w:val="32"/>
          <w:lang w:val="en-US" w:eastAsia="zh-CN"/>
        </w:rPr>
      </w:pPr>
    </w:p>
    <w:p w14:paraId="59BA4534">
      <w:pPr>
        <w:numPr>
          <w:ilvl w:val="0"/>
          <w:numId w:val="0"/>
        </w:numPr>
        <w:ind w:leftChars="0" w:firstLine="2240" w:firstLineChars="70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第三部分    名词解释</w:t>
      </w:r>
    </w:p>
    <w:p w14:paraId="5514E3CB">
      <w:pPr>
        <w:numPr>
          <w:ilvl w:val="0"/>
          <w:numId w:val="0"/>
        </w:numPr>
        <w:ind w:leftChars="0"/>
        <w:rPr>
          <w:rFonts w:hint="eastAsia" w:ascii="新宋体" w:hAnsi="新宋体" w:eastAsia="新宋体"/>
          <w:color w:val="000000"/>
          <w:sz w:val="32"/>
          <w:szCs w:val="32"/>
          <w:lang w:val="en-US" w:eastAsia="zh-CN"/>
        </w:rPr>
      </w:pPr>
    </w:p>
    <w:p w14:paraId="330A6C94">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财政拨款收入：指单位从同级财政部门取得的财政预算资金。</w:t>
      </w:r>
    </w:p>
    <w:p w14:paraId="5D02FD63">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基本支出：指为保障机构正常运转、完成日常工作任务而发生的人员支出和公用支出。</w:t>
      </w:r>
    </w:p>
    <w:p w14:paraId="1889FB0C">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项目支出：指在基本支出之外为完成特定行政任务和事业发展目标所发生的支出。</w:t>
      </w:r>
    </w:p>
    <w:p w14:paraId="732F7690">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63CF1B">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机关运行经费：指为保障行政单位（含参照公务员法管理的事业单位）运行用于购买货物和服务的各项资金，包括办公及印刷费、邮电费、差旅费、会议费、培训费、福利费、日常维修费、专用材料及一般设备购置费、办公用房水电费、办公用房取暖费、办公用房物业管理费、公务用车运行维护费以及其他费用。</w:t>
      </w:r>
    </w:p>
    <w:p w14:paraId="760F7A06">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结余分配：指事业单位按照事业单位会计制度的规定从非财政补助结余中分配的事业基金和职工福利基金等。</w:t>
      </w:r>
    </w:p>
    <w:p w14:paraId="3026534F">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年初结转和结余：指以前年度尚未完成、结转到本年按有关规定继续使用的资金。</w:t>
      </w:r>
    </w:p>
    <w:p w14:paraId="06172055">
      <w:pPr>
        <w:numPr>
          <w:ilvl w:val="0"/>
          <w:numId w:val="11"/>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年末结转和结余：指单位按有关规定结转到下年或以后年度继续使用的资金。</w:t>
      </w:r>
    </w:p>
    <w:p w14:paraId="16AA7700">
      <w:pPr>
        <w:numPr>
          <w:ilvl w:val="0"/>
          <w:numId w:val="11"/>
        </w:numPr>
        <w:ind w:leftChars="0"/>
        <w:rPr>
          <w:rFonts w:hint="eastAsia" w:asciiTheme="minorEastAsia" w:hAnsiTheme="minorEastAsia" w:eastAsiaTheme="minorEastAsia" w:cstheme="minorEastAsia"/>
          <w:color w:val="000000" w:themeColor="text1"/>
          <w:sz w:val="32"/>
          <w:szCs w:val="32"/>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sz w:val="32"/>
          <w:szCs w:val="32"/>
          <w:shd w:val="clear" w:color="auto" w:fill="auto"/>
          <w:lang w:val="en-US" w:eastAsia="zh-CN"/>
        </w:rPr>
        <w:t>一般公共服务支出：</w:t>
      </w:r>
      <w:r>
        <w:rPr>
          <w:rFonts w:hint="eastAsia" w:asciiTheme="minorEastAsia" w:hAnsiTheme="minorEastAsia" w:eastAsiaTheme="minorEastAsia" w:cstheme="minorEastAsia"/>
          <w:b w:val="0"/>
          <w:i w:val="0"/>
          <w:caps w:val="0"/>
          <w:color w:val="333333"/>
          <w:spacing w:val="0"/>
          <w:sz w:val="32"/>
          <w:szCs w:val="32"/>
          <w:shd w:val="clear" w:color="auto" w:fill="auto"/>
        </w:rPr>
        <w:t>一般公共服务"是政府收支分类科目中的一个“类”级科目，</w:t>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其下包括人大</w:t>
      </w:r>
      <w:r>
        <w:rPr>
          <w:rFonts w:hint="eastAsia" w:asciiTheme="minorEastAsia" w:hAnsiTheme="minorEastAsia" w:eastAsiaTheme="minorEastAsia" w:cstheme="minorEastAsia"/>
          <w:b w:val="0"/>
          <w:i w:val="0"/>
          <w:caps w:val="0"/>
          <w:color w:val="000000" w:themeColor="text1"/>
          <w:spacing w:val="0"/>
          <w:sz w:val="32"/>
          <w:szCs w:val="32"/>
          <w:u w:val="none"/>
          <w:shd w:val="clear" w:color="FFFFFF" w:fill="D9D9D9"/>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FFFFFF" w:fill="D9D9D9"/>
          <w14:textFill>
            <w14:solidFill>
              <w14:schemeClr w14:val="tx1"/>
            </w14:solidFill>
          </w14:textFill>
        </w:rPr>
        <w:instrText xml:space="preserve"> HYPERLINK "http://www.so.com/s?q=%E4%BA%8B%E5%8A%A1&amp;ie=utf-8&amp;src=internal_wenda_recommend_textn"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FFFFFF" w:fill="D9D9D9"/>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FFFFFF" w:fill="D9D9D9"/>
          <w14:textFill>
            <w14:solidFill>
              <w14:schemeClr w14:val="tx1"/>
            </w14:solidFill>
          </w14:textFill>
        </w:rPr>
        <w:t>事务</w:t>
      </w:r>
      <w:r>
        <w:rPr>
          <w:rFonts w:hint="eastAsia" w:asciiTheme="minorEastAsia" w:hAnsiTheme="minorEastAsia" w:eastAsiaTheme="minorEastAsia" w:cstheme="minorEastAsia"/>
          <w:b w:val="0"/>
          <w:i w:val="0"/>
          <w:caps w:val="0"/>
          <w:color w:val="000000" w:themeColor="text1"/>
          <w:spacing w:val="0"/>
          <w:sz w:val="32"/>
          <w:szCs w:val="32"/>
          <w:u w:val="none"/>
          <w:shd w:val="clear" w:color="FFFFFF" w:fill="D9D9D9"/>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、政协事务、</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"http://www.so.com/s?q=%E6%94%BF%E5%BA%9C&amp;ie=utf-8&amp;src=internal_wenda_recommend_textn"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政府</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"http://www.so.com/s?q=%E5%8A%9E%E5%85%AC%E5%8E%85&amp;ie=utf-8&amp;src=internal_wenda_recommend_textn"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办公厅</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及相关</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"http://www.so.com/s?q=%E6%9C%BA%E6%9E%84&amp;ie=utf-8&amp;src=internal_wenda_recommend_textn"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机构</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事务、发展与改革事务、</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"http://www.so.com/s?q=%E7%BB%9F%E8%AE%A1%E4%BF%A1%E6%81%AF&amp;ie=utf-8&amp;src=internal_wenda_recommend_textn"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统计信息</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事务、</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"http://www.so.com/s?q=%E8%B4%A2%E6%94%BF&amp;ie=utf-8&amp;src=internal_wenda_recommend_textn"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财政</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color="auto" w:fill="auto"/>
          <w14:textFill>
            <w14:solidFill>
              <w14:schemeClr w14:val="tx1"/>
            </w14:solidFill>
          </w14:textFill>
        </w:rPr>
        <w:t>事务等。一般公共服务主要反映政府提供一般公共服务的</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instrText xml:space="preserve"> HYPERLINK "http://www.so.com/s?q=%E6%94%AF%E5%87%BA&amp;ie=utf-8&amp;src=internal_wenda_recommend_textn" \t "https://wenda.so.com/q/_blank"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t>支出</w:t>
      </w: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14:textFill>
            <w14:solidFill>
              <w14:schemeClr w14:val="tx1"/>
            </w14:solidFill>
          </w14:textFill>
        </w:rPr>
        <w:fldChar w:fldCharType="end"/>
      </w:r>
      <w:r>
        <w:rPr>
          <w:rFonts w:hint="eastAsia" w:asciiTheme="minorEastAsia" w:hAnsiTheme="minorEastAsia" w:cstheme="minorEastAsia"/>
          <w:b w:val="0"/>
          <w:i w:val="0"/>
          <w:caps w:val="0"/>
          <w:color w:val="000000" w:themeColor="text1"/>
          <w:spacing w:val="0"/>
          <w:sz w:val="32"/>
          <w:szCs w:val="32"/>
          <w:u w:val="none"/>
          <w:shd w:val="clear" w:color="auto" w:fill="auto"/>
          <w:lang w:eastAsia="zh-CN"/>
          <w14:textFill>
            <w14:solidFill>
              <w14:schemeClr w14:val="tx1"/>
            </w14:solidFill>
          </w14:textFill>
        </w:rPr>
        <w:t>。</w:t>
      </w:r>
    </w:p>
    <w:p w14:paraId="2251F011">
      <w:pPr>
        <w:numPr>
          <w:ilvl w:val="0"/>
          <w:numId w:val="11"/>
        </w:numPr>
        <w:ind w:leftChars="0"/>
        <w:rPr>
          <w:rFonts w:hint="eastAsia" w:asciiTheme="minorEastAsia" w:hAnsiTheme="minorEastAsia" w:eastAsiaTheme="minorEastAsia" w:cstheme="minorEastAsia"/>
          <w:color w:val="000000" w:themeColor="text1"/>
          <w:sz w:val="32"/>
          <w:szCs w:val="32"/>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i w:val="0"/>
          <w:caps w:val="0"/>
          <w:color w:val="000000" w:themeColor="text1"/>
          <w:spacing w:val="0"/>
          <w:sz w:val="32"/>
          <w:szCs w:val="32"/>
          <w:u w:val="none"/>
          <w:shd w:val="clear" w:color="auto" w:fill="auto"/>
          <w:lang w:eastAsia="zh-CN"/>
          <w14:textFill>
            <w14:solidFill>
              <w14:schemeClr w14:val="tx1"/>
            </w14:solidFill>
          </w14:textFill>
        </w:rPr>
        <w:t>政府性基金预算财政拨款</w:t>
      </w:r>
      <w:r>
        <w:rPr>
          <w:rFonts w:hint="eastAsia" w:asciiTheme="minorEastAsia" w:hAnsiTheme="minorEastAsia" w:cstheme="minorEastAsia"/>
          <w:b w:val="0"/>
          <w:i w:val="0"/>
          <w:caps w:val="0"/>
          <w:color w:val="000000" w:themeColor="text1"/>
          <w:spacing w:val="0"/>
          <w:sz w:val="32"/>
          <w:szCs w:val="32"/>
          <w:u w:val="none"/>
          <w:shd w:val="clear" w:color="auto" w:fill="auto"/>
          <w:lang w:eastAsia="zh-CN"/>
          <w14:textFill>
            <w14:solidFill>
              <w14:schemeClr w14:val="tx1"/>
            </w14:solidFill>
          </w14:textFill>
        </w:rPr>
        <w:t>：</w:t>
      </w:r>
      <w:r>
        <w:rPr>
          <w:rFonts w:hint="eastAsia" w:asciiTheme="minorEastAsia" w:hAnsiTheme="minorEastAsia" w:eastAsiaTheme="minorEastAsia" w:cstheme="minorEastAsia"/>
          <w:b w:val="0"/>
          <w:i w:val="0"/>
          <w:caps w:val="0"/>
          <w:color w:val="333333"/>
          <w:spacing w:val="0"/>
          <w:sz w:val="32"/>
          <w:szCs w:val="32"/>
          <w:shd w:val="clear" w:fill="FFFFFF"/>
        </w:rPr>
        <w:t>是国家通过向社会征收以及出让土地、发行彩票等方式取得收入，并专项用于支持特定基础设施建设和社会事业发展的财政收支预算，是政府预算体系的重要组成部分。</w:t>
      </w:r>
    </w:p>
    <w:p w14:paraId="1F364667">
      <w:pPr>
        <w:numPr>
          <w:ilvl w:val="0"/>
          <w:numId w:val="12"/>
        </w:numPr>
        <w:ind w:leftChars="0"/>
        <w:rPr>
          <w:rFonts w:hint="eastAsia" w:asciiTheme="minorEastAsia" w:hAnsiTheme="minorEastAsia" w:eastAsiaTheme="minorEastAsia" w:cstheme="minorEastAsia"/>
          <w:b w:val="0"/>
          <w:i w:val="0"/>
          <w:caps w:val="0"/>
          <w:color w:val="333333"/>
          <w:spacing w:val="0"/>
          <w:sz w:val="32"/>
          <w:szCs w:val="32"/>
          <w:shd w:val="clear" w:fill="FFFFFF"/>
        </w:rPr>
      </w:pPr>
      <w:r>
        <w:rPr>
          <w:rFonts w:hint="eastAsia" w:asciiTheme="minorEastAsia" w:hAnsiTheme="minorEastAsia" w:eastAsiaTheme="minorEastAsia" w:cstheme="minorEastAsia"/>
          <w:color w:val="000000"/>
          <w:sz w:val="32"/>
          <w:szCs w:val="32"/>
          <w:lang w:val="en-US" w:eastAsia="zh-CN"/>
        </w:rPr>
        <w:t>国有资本经营预算：</w:t>
      </w:r>
      <w:r>
        <w:rPr>
          <w:rFonts w:hint="eastAsia" w:asciiTheme="minorEastAsia" w:hAnsiTheme="minorEastAsia" w:eastAsiaTheme="minorEastAsia" w:cstheme="minorEastAsia"/>
          <w:b w:val="0"/>
          <w:i w:val="0"/>
          <w:caps w:val="0"/>
          <w:color w:val="333333"/>
          <w:spacing w:val="0"/>
          <w:sz w:val="32"/>
          <w:szCs w:val="32"/>
          <w:shd w:val="clear" w:fill="FFFFFF"/>
        </w:rPr>
        <w:t>是国家以所有者身份对国有资本实行存量调整和增量分配而发生的各项收支预算，是政府预算的重要组成部分。根据《预算法实施条例》第二十条的规定，各级政府预算按照</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instrText xml:space="preserve"> HYPERLINK "https://baike.so.com/doc/6167081-6380312.html" \t "https://baike.so.com/doc/_blank"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t>复式预算编制</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fill="FFFFFF"/>
          <w14:textFill>
            <w14:solidFill>
              <w14:schemeClr w14:val="tx1"/>
            </w14:solidFill>
          </w14:textFill>
        </w:rPr>
        <w:t>，分为一般公共预算、政府性基金预算、</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instrText xml:space="preserve"> HYPERLINK "https://baike.so.com/doc/5512115-5747877.html" \t "https://baike.so.com/doc/_blank"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t>国有资产</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end"/>
      </w:r>
      <w:r>
        <w:rPr>
          <w:rFonts w:hint="eastAsia" w:asciiTheme="minorEastAsia" w:hAnsiTheme="minorEastAsia" w:eastAsiaTheme="minorEastAsia" w:cstheme="minorEastAsia"/>
          <w:b w:val="0"/>
          <w:i w:val="0"/>
          <w:caps w:val="0"/>
          <w:color w:val="000000" w:themeColor="text1"/>
          <w:spacing w:val="0"/>
          <w:sz w:val="32"/>
          <w:szCs w:val="32"/>
          <w:shd w:val="clear" w:fill="FFFFFF"/>
          <w14:textFill>
            <w14:solidFill>
              <w14:schemeClr w14:val="tx1"/>
            </w14:solidFill>
          </w14:textFill>
        </w:rPr>
        <w:t>(本)经营预算、</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begin"/>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instrText xml:space="preserve"> HYPERLINK "https://baike.so.com/doc/7881904-8155999.html" \t "https://baike.so.com/doc/_blank" </w:instrTex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separate"/>
      </w:r>
      <w:r>
        <w:rPr>
          <w:rStyle w:val="12"/>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t>社会保险基金预算</w:t>
      </w:r>
      <w:r>
        <w:rPr>
          <w:rFonts w:hint="eastAsia" w:asciiTheme="minorEastAsia" w:hAnsiTheme="minorEastAsia" w:eastAsiaTheme="minorEastAsia" w:cstheme="minorEastAsia"/>
          <w:b w:val="0"/>
          <w:i w:val="0"/>
          <w:caps w:val="0"/>
          <w:color w:val="000000" w:themeColor="text1"/>
          <w:spacing w:val="0"/>
          <w:sz w:val="32"/>
          <w:szCs w:val="32"/>
          <w:u w:val="none"/>
          <w:shd w:val="clear" w:fill="FFFFFF"/>
          <w14:textFill>
            <w14:solidFill>
              <w14:schemeClr w14:val="tx1"/>
            </w14:solidFill>
          </w14:textFill>
        </w:rPr>
        <w:fldChar w:fldCharType="end"/>
      </w:r>
      <w:r>
        <w:rPr>
          <w:rFonts w:hint="eastAsia" w:asciiTheme="minorEastAsia" w:hAnsiTheme="minorEastAsia" w:eastAsiaTheme="minorEastAsia" w:cstheme="minorEastAsia"/>
          <w:b w:val="0"/>
          <w:i w:val="0"/>
          <w:caps w:val="0"/>
          <w:color w:val="333333"/>
          <w:spacing w:val="0"/>
          <w:sz w:val="32"/>
          <w:szCs w:val="32"/>
          <w:shd w:val="clear" w:fill="FFFFFF"/>
        </w:rPr>
        <w:t>。</w:t>
      </w:r>
    </w:p>
    <w:p w14:paraId="63FBF37B">
      <w:pPr>
        <w:numPr>
          <w:ilvl w:val="0"/>
          <w:numId w:val="12"/>
        </w:numPr>
        <w:ind w:leftChars="0"/>
        <w:rPr>
          <w:rFonts w:hint="eastAsia" w:asciiTheme="minorEastAsia" w:hAnsiTheme="minorEastAsia" w:eastAsiaTheme="minorEastAsia" w:cstheme="minorEastAsia"/>
          <w:b w:val="0"/>
          <w:i w:val="0"/>
          <w:caps w:val="0"/>
          <w:color w:val="333333"/>
          <w:spacing w:val="0"/>
          <w:sz w:val="32"/>
          <w:szCs w:val="32"/>
          <w:shd w:val="clear" w:fill="FFFFFF"/>
          <w:lang w:val="en-US" w:eastAsia="zh-CN"/>
        </w:rPr>
      </w:pPr>
      <w:r>
        <w:rPr>
          <w:rFonts w:hint="eastAsia" w:eastAsia="仿宋_GB2312"/>
          <w:color w:val="000000"/>
          <w:kern w:val="0"/>
          <w:sz w:val="32"/>
          <w:szCs w:val="32"/>
        </w:rPr>
        <w:t xml:space="preserve"> </w:t>
      </w:r>
      <w:r>
        <w:rPr>
          <w:rFonts w:eastAsia="仿宋_GB2312"/>
          <w:color w:val="000000"/>
          <w:kern w:val="0"/>
          <w:sz w:val="32"/>
          <w:szCs w:val="32"/>
        </w:rPr>
        <w:t>10.公共安全（类）公安（款）治安管理（项）：指各级公安机关开展治安管理工作的支出，包括所属巡警队、特警队、派出所、110等方面的支出。</w:t>
      </w:r>
      <w:r>
        <w:rPr>
          <w:rFonts w:eastAsia="仿宋_GB2312"/>
          <w:color w:val="000000"/>
          <w:kern w:val="0"/>
          <w:sz w:val="32"/>
          <w:szCs w:val="32"/>
        </w:rPr>
        <w:br w:type="textWrapping"/>
      </w:r>
      <w:r>
        <w:rPr>
          <w:rFonts w:eastAsia="仿宋_GB2312"/>
          <w:color w:val="000000"/>
          <w:kern w:val="0"/>
          <w:sz w:val="32"/>
          <w:szCs w:val="32"/>
        </w:rPr>
        <w:t xml:space="preserve">   </w:t>
      </w:r>
      <w:r>
        <w:rPr>
          <w:rFonts w:hint="eastAsia" w:eastAsia="仿宋_GB2312"/>
          <w:color w:val="000000"/>
          <w:kern w:val="0"/>
          <w:sz w:val="32"/>
          <w:szCs w:val="32"/>
        </w:rPr>
        <w:t xml:space="preserve"> </w:t>
      </w:r>
      <w:r>
        <w:rPr>
          <w:rFonts w:eastAsia="仿宋_GB2312"/>
          <w:color w:val="000000"/>
          <w:kern w:val="0"/>
          <w:sz w:val="32"/>
          <w:szCs w:val="32"/>
        </w:rPr>
        <w:t>1</w:t>
      </w:r>
      <w:r>
        <w:rPr>
          <w:rFonts w:hint="eastAsia" w:eastAsia="仿宋_GB2312"/>
          <w:color w:val="000000"/>
          <w:kern w:val="0"/>
          <w:sz w:val="32"/>
          <w:szCs w:val="32"/>
          <w:lang w:val="en-US" w:eastAsia="zh-CN"/>
        </w:rPr>
        <w:t>3、</w:t>
      </w:r>
      <w:r>
        <w:rPr>
          <w:rFonts w:eastAsia="仿宋_GB2312"/>
          <w:color w:val="000000"/>
          <w:kern w:val="0"/>
          <w:sz w:val="32"/>
          <w:szCs w:val="32"/>
        </w:rPr>
        <w:t>社会保障和就业（类）行政事业单位离退休（款）未归口管理的行政单位离退休（项）：指未实行归口管理的行政单位（包括实行公务员管理的事业单位）开支的离退休支出；机关事业单位基本养老保险缴费支出（项）指机关事业单位实施养老保险制度由单位缴纳的基本养老保险费支出；机关事业单位职业年金缴费支出（项）指指机关事业单位实施养老保险制度由单位实际缴纳的职业年金支出。</w:t>
      </w:r>
      <w:r>
        <w:rPr>
          <w:rFonts w:eastAsia="仿宋_GB2312"/>
          <w:color w:val="000000"/>
          <w:kern w:val="0"/>
          <w:sz w:val="32"/>
          <w:szCs w:val="32"/>
        </w:rPr>
        <w:br w:type="textWrapping"/>
      </w:r>
      <w:r>
        <w:rPr>
          <w:rFonts w:hint="eastAsia" w:eastAsia="仿宋_GB2312"/>
          <w:color w:val="000000"/>
          <w:kern w:val="0"/>
          <w:sz w:val="32"/>
          <w:szCs w:val="32"/>
        </w:rPr>
        <w:t xml:space="preserve">    </w:t>
      </w:r>
      <w:r>
        <w:rPr>
          <w:rFonts w:eastAsia="仿宋_GB2312"/>
          <w:color w:val="000000"/>
          <w:kern w:val="0"/>
          <w:sz w:val="32"/>
          <w:szCs w:val="32"/>
        </w:rPr>
        <w:t>1</w:t>
      </w:r>
      <w:r>
        <w:rPr>
          <w:rFonts w:hint="eastAsia" w:eastAsia="仿宋_GB2312"/>
          <w:color w:val="000000"/>
          <w:kern w:val="0"/>
          <w:sz w:val="32"/>
          <w:szCs w:val="32"/>
          <w:lang w:val="en-US" w:eastAsia="zh-CN"/>
        </w:rPr>
        <w:t>4、</w:t>
      </w:r>
      <w:r>
        <w:rPr>
          <w:rFonts w:eastAsia="仿宋_GB2312"/>
          <w:color w:val="000000"/>
          <w:kern w:val="0"/>
          <w:sz w:val="32"/>
          <w:szCs w:val="32"/>
        </w:rPr>
        <w:t>城乡社区（类）国有土地使用权出让收入及对应专项债务收入安排的支出（款）征地和拆迁补偿支出（项）指地方人民政府在征地和收购土地过程中支付的土地赔偿费、安置补助费、地上附着和青苗补偿费、拆迁补偿费支出。</w:t>
      </w:r>
      <w:r>
        <w:rPr>
          <w:rFonts w:eastAsia="仿宋_GB2312"/>
          <w:color w:val="000000"/>
          <w:kern w:val="0"/>
          <w:sz w:val="32"/>
          <w:szCs w:val="32"/>
        </w:rPr>
        <w:br w:type="textWrapping"/>
      </w:r>
      <w:r>
        <w:rPr>
          <w:rFonts w:eastAsia="仿宋_GB2312"/>
          <w:color w:val="000000"/>
          <w:kern w:val="0"/>
          <w:sz w:val="32"/>
          <w:szCs w:val="32"/>
        </w:rPr>
        <w:t>     城乡社区（类）国有土地使用权出让收入及对应专项债务收入安排的支出（款）补助被征地农民支出（项）指土地出让收入用于补助被征地农民社会保障支出以及保持被征地农民原有生活水平支出。</w:t>
      </w:r>
      <w:r>
        <w:rPr>
          <w:rFonts w:eastAsia="仿宋_GB2312"/>
          <w:color w:val="000000"/>
          <w:kern w:val="0"/>
          <w:sz w:val="32"/>
          <w:szCs w:val="32"/>
        </w:rPr>
        <w:br w:type="textWrapping"/>
      </w:r>
      <w:r>
        <w:rPr>
          <w:rFonts w:eastAsia="仿宋_GB2312"/>
          <w:color w:val="000000"/>
          <w:kern w:val="0"/>
          <w:sz w:val="32"/>
          <w:szCs w:val="32"/>
        </w:rPr>
        <w:t xml:space="preserve">  </w:t>
      </w:r>
      <w:r>
        <w:rPr>
          <w:rFonts w:hint="eastAsia" w:eastAsia="仿宋_GB2312"/>
          <w:color w:val="000000"/>
          <w:kern w:val="0"/>
          <w:sz w:val="32"/>
          <w:szCs w:val="32"/>
        </w:rPr>
        <w:t xml:space="preserve">  </w:t>
      </w:r>
      <w:r>
        <w:rPr>
          <w:rFonts w:eastAsia="仿宋_GB2312"/>
          <w:color w:val="000000"/>
          <w:kern w:val="0"/>
          <w:sz w:val="32"/>
          <w:szCs w:val="32"/>
        </w:rPr>
        <w:t>1</w:t>
      </w:r>
      <w:r>
        <w:rPr>
          <w:rFonts w:hint="eastAsia" w:eastAsia="仿宋_GB2312"/>
          <w:color w:val="000000"/>
          <w:kern w:val="0"/>
          <w:sz w:val="32"/>
          <w:szCs w:val="32"/>
          <w:lang w:val="en-US" w:eastAsia="zh-CN"/>
        </w:rPr>
        <w:t>5、</w:t>
      </w:r>
      <w:r>
        <w:rPr>
          <w:rFonts w:eastAsia="仿宋_GB2312"/>
          <w:color w:val="000000"/>
          <w:kern w:val="0"/>
          <w:sz w:val="32"/>
          <w:szCs w:val="32"/>
        </w:rPr>
        <w:t>农林水（类）农业（款）农业生产支持补贴（项）：指对种粮农民直接补贴，对农业生产资料补贴、技术物化补贴，推广先进适用农技农艺技术等方面支出；对高校毕业生到基层任职补助（项）指按规定对高校毕业生到基层任职的补助支出。</w:t>
      </w:r>
      <w:r>
        <w:rPr>
          <w:rFonts w:eastAsia="仿宋_GB2312"/>
          <w:color w:val="000000"/>
          <w:kern w:val="0"/>
          <w:sz w:val="32"/>
          <w:szCs w:val="32"/>
        </w:rPr>
        <w:br w:type="textWrapping"/>
      </w:r>
    </w:p>
    <w:p w14:paraId="1FEE81E9">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p>
    <w:p w14:paraId="75BB9068">
      <w:pPr>
        <w:numPr>
          <w:ilvl w:val="0"/>
          <w:numId w:val="0"/>
        </w:numPr>
        <w:ind w:leftChars="0"/>
        <w:rPr>
          <w:rFonts w:hint="eastAsia" w:ascii="新宋体" w:hAnsi="新宋体" w:eastAsia="新宋体"/>
          <w:color w:val="000000"/>
          <w:sz w:val="32"/>
          <w:szCs w:val="32"/>
          <w:lang w:val="en-US" w:eastAsia="zh-CN"/>
        </w:rPr>
      </w:pPr>
    </w:p>
    <w:p w14:paraId="1B3F313D">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p>
    <w:p w14:paraId="365A80C8">
      <w:pPr>
        <w:numPr>
          <w:ilvl w:val="0"/>
          <w:numId w:val="0"/>
        </w:numPr>
        <w:ind w:leftChars="0"/>
        <w:rPr>
          <w:rFonts w:hint="eastAsia" w:ascii="新宋体" w:hAnsi="新宋体" w:eastAsia="新宋体"/>
          <w:color w:val="000000"/>
          <w:sz w:val="32"/>
          <w:szCs w:val="32"/>
          <w:lang w:val="en-US" w:eastAsia="zh-CN"/>
        </w:rPr>
      </w:pPr>
      <w:r>
        <w:rPr>
          <w:rFonts w:hint="eastAsia" w:ascii="新宋体" w:hAnsi="新宋体" w:eastAsia="新宋体"/>
          <w:color w:val="000000"/>
          <w:sz w:val="32"/>
          <w:szCs w:val="32"/>
          <w:lang w:val="en-US" w:eastAsia="zh-CN"/>
        </w:rPr>
        <w:t xml:space="preserve">           </w:t>
      </w:r>
    </w:p>
    <w:p w14:paraId="201C5C4C">
      <w:pPr>
        <w:numPr>
          <w:ilvl w:val="0"/>
          <w:numId w:val="0"/>
        </w:numPr>
        <w:spacing w:line="600" w:lineRule="exact"/>
        <w:outlineLvl w:val="0"/>
        <w:rPr>
          <w:rStyle w:val="14"/>
          <w:rFonts w:hint="eastAsia" w:ascii="黑体" w:hAnsi="黑体" w:eastAsia="黑体"/>
          <w:b w:val="0"/>
        </w:rPr>
      </w:pPr>
    </w:p>
    <w:p w14:paraId="6477A468">
      <w:pPr>
        <w:numPr>
          <w:ilvl w:val="0"/>
          <w:numId w:val="0"/>
        </w:numPr>
        <w:spacing w:line="600" w:lineRule="exact"/>
        <w:outlineLvl w:val="0"/>
        <w:rPr>
          <w:rStyle w:val="14"/>
          <w:rFonts w:hint="eastAsia" w:ascii="黑体" w:hAnsi="黑体" w:eastAsia="黑体"/>
          <w:b w:val="0"/>
          <w:lang w:val="en-US" w:eastAsia="zh-CN"/>
        </w:rPr>
      </w:pPr>
      <w:r>
        <w:rPr>
          <w:rStyle w:val="14"/>
          <w:rFonts w:hint="eastAsia" w:ascii="黑体" w:hAnsi="黑体" w:eastAsia="黑体"/>
          <w:b w:val="0"/>
          <w:lang w:val="en-US" w:eastAsia="zh-CN"/>
        </w:rPr>
        <w:t xml:space="preserve">            第四部分 附件</w:t>
      </w:r>
    </w:p>
    <w:p w14:paraId="61987F65">
      <w:pPr>
        <w:spacing w:line="600" w:lineRule="exact"/>
        <w:jc w:val="center"/>
        <w:outlineLvl w:val="0"/>
        <w:rPr>
          <w:rStyle w:val="14"/>
        </w:rPr>
      </w:pPr>
    </w:p>
    <w:p w14:paraId="7493B41B">
      <w:pPr>
        <w:pStyle w:val="3"/>
        <w:rPr>
          <w:rFonts w:hint="eastAsia" w:ascii="黑体" w:hAnsi="黑体" w:eastAsia="黑体" w:cs="方正小标宋简体"/>
          <w:sz w:val="36"/>
          <w:szCs w:val="36"/>
        </w:rPr>
      </w:pPr>
      <w:bookmarkStart w:id="6" w:name="_Toc15396615"/>
      <w:r>
        <w:rPr>
          <w:rStyle w:val="14"/>
          <w:rFonts w:hint="eastAsia" w:ascii="仿宋" w:hAnsi="仿宋" w:eastAsia="仿宋"/>
          <w:b w:val="0"/>
          <w:bCs w:val="0"/>
          <w:sz w:val="32"/>
          <w:szCs w:val="32"/>
        </w:rPr>
        <w:t>附件</w:t>
      </w:r>
      <w:r>
        <w:rPr>
          <w:rStyle w:val="14"/>
          <w:rFonts w:ascii="仿宋" w:hAnsi="仿宋" w:eastAsia="仿宋"/>
          <w:b w:val="0"/>
          <w:bCs w:val="0"/>
          <w:sz w:val="32"/>
          <w:szCs w:val="32"/>
        </w:rPr>
        <w:t>1</w:t>
      </w:r>
      <w:bookmarkEnd w:id="6"/>
      <w:bookmarkStart w:id="7" w:name="_Toc15396616"/>
      <w:r>
        <w:rPr>
          <w:rStyle w:val="14"/>
          <w:rFonts w:hint="eastAsia" w:ascii="仿宋" w:hAnsi="仿宋" w:eastAsia="仿宋"/>
          <w:b w:val="0"/>
          <w:bCs w:val="0"/>
          <w:sz w:val="32"/>
          <w:szCs w:val="32"/>
        </w:rPr>
        <w:t>:</w:t>
      </w:r>
      <w:r>
        <w:rPr>
          <w:rFonts w:hint="eastAsia" w:ascii="黑体" w:hAnsi="黑体" w:eastAsia="黑体" w:cs="方正小标宋简体"/>
          <w:sz w:val="36"/>
          <w:szCs w:val="36"/>
        </w:rPr>
        <w:t>米易县</w:t>
      </w:r>
      <w:r>
        <w:rPr>
          <w:rFonts w:hint="eastAsia" w:ascii="黑体" w:hAnsi="黑体" w:eastAsia="黑体" w:cs="方正小标宋简体"/>
          <w:sz w:val="36"/>
          <w:szCs w:val="36"/>
          <w:lang w:eastAsia="zh-CN"/>
        </w:rPr>
        <w:t>麻陇彝族乡人民政府</w:t>
      </w: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年部门整体支出绩效自评报告</w:t>
      </w:r>
      <w:bookmarkEnd w:id="7"/>
    </w:p>
    <w:p w14:paraId="196C77BC">
      <w:pPr>
        <w:rPr>
          <w:rFonts w:hint="eastAsia" w:ascii="黑体" w:hAnsi="黑体" w:eastAsia="黑体" w:cs="方正小标宋简体"/>
          <w:sz w:val="36"/>
          <w:szCs w:val="36"/>
        </w:rPr>
      </w:pPr>
    </w:p>
    <w:p w14:paraId="01104D18">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72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rPr>
        <w:t>一、</w:t>
      </w:r>
      <w:r>
        <w:rPr>
          <w:rFonts w:hint="eastAsia" w:ascii="仿宋" w:hAnsi="仿宋" w:eastAsia="仿宋" w:cs="仿宋"/>
          <w:b/>
          <w:bCs/>
          <w:sz w:val="32"/>
          <w:szCs w:val="32"/>
          <w:lang w:val="zh-CN"/>
        </w:rPr>
        <w:t>部门概况</w:t>
      </w:r>
    </w:p>
    <w:p w14:paraId="6AF5AE25">
      <w:pPr>
        <w:widowControl/>
        <w:shd w:val="clear" w:color="auto" w:fill="FFFFFF"/>
        <w:spacing w:line="600" w:lineRule="exact"/>
        <w:ind w:firstLine="640" w:firstLineChars="200"/>
        <w:jc w:val="left"/>
        <w:rPr>
          <w:rFonts w:hint="eastAsia" w:ascii="仿宋_GB2312" w:hAnsi="仿宋_GB2312" w:eastAsia="仿宋_GB2312" w:cs="仿宋_GB2312"/>
          <w:color w:val="2B2B2B"/>
          <w:kern w:val="0"/>
          <w:sz w:val="32"/>
          <w:szCs w:val="32"/>
        </w:rPr>
      </w:pPr>
      <w:r>
        <w:rPr>
          <w:rFonts w:hint="eastAsia" w:ascii="仿宋_GB2312" w:hAnsi="仿宋_GB2312" w:eastAsia="仿宋_GB2312" w:cs="仿宋_GB2312"/>
          <w:color w:val="2B2B2B"/>
          <w:kern w:val="0"/>
          <w:sz w:val="32"/>
          <w:szCs w:val="32"/>
        </w:rPr>
        <w:t>2018年是改革开放40周年，是全面贯彻党的十九大精神的开局之年，也是全县着力“四个提升”，决战全面小康的关键之年，一年来</w:t>
      </w:r>
      <w:r>
        <w:rPr>
          <w:rFonts w:hint="eastAsia" w:ascii="仿宋_GB2312" w:hAnsi="仿宋_GB2312" w:cs="仿宋_GB2312"/>
          <w:color w:val="2B2B2B"/>
          <w:kern w:val="0"/>
          <w:sz w:val="32"/>
          <w:szCs w:val="32"/>
          <w:lang w:eastAsia="zh-CN"/>
        </w:rPr>
        <w:t>麻陇彝族</w:t>
      </w:r>
      <w:r>
        <w:rPr>
          <w:rFonts w:hint="eastAsia" w:ascii="仿宋_GB2312" w:hAnsi="仿宋_GB2312" w:eastAsia="仿宋_GB2312" w:cs="仿宋_GB2312"/>
          <w:color w:val="2B2B2B"/>
          <w:kern w:val="0"/>
          <w:sz w:val="32"/>
          <w:szCs w:val="32"/>
        </w:rPr>
        <w:t>族乡人民政府在在县委、县政府和乡党委的坚强领导下，深入贯彻党的十九大和十九届二中、三中全会精神，认真落实省委十一届三次、四次全会，市委十届五次全会和县委十四届四次、五次全会决策部署，紧紧围绕市委“一二三五”工作思路和县委“一城三区三基地”建设推进米易高质量发展目标要求，不忘初心，牢记使命，围绕发展乡村旅游，打造全域旅游目的地的目标，团结带领全乡干部群众坚定推进强党建、稳增长、促改革、调结构、惠民生、防风险等各项工作，继往开来、抢抓机遇、奋力拼搏、勇于担当、敢打硬仗、迎难而上，揭开了历史性发展新开端。</w:t>
      </w:r>
    </w:p>
    <w:p w14:paraId="140D8DAE">
      <w:pPr>
        <w:widowControl/>
        <w:shd w:val="clear" w:color="auto" w:fill="FFFFFF"/>
        <w:spacing w:line="600" w:lineRule="exact"/>
        <w:ind w:firstLine="640" w:firstLineChars="200"/>
        <w:jc w:val="left"/>
        <w:rPr>
          <w:rFonts w:hint="default" w:ascii="仿宋_GB2312" w:hAnsi="仿宋_GB2312" w:eastAsia="仿宋_GB2312" w:cs="仿宋_GB2312"/>
          <w:color w:val="2B2B2B"/>
          <w:kern w:val="0"/>
          <w:sz w:val="32"/>
          <w:szCs w:val="32"/>
          <w:lang w:val="en-US" w:eastAsia="zh-CN"/>
        </w:rPr>
      </w:pPr>
      <w:r>
        <w:rPr>
          <w:rFonts w:hint="eastAsia" w:ascii="仿宋_GB2312" w:hAnsi="仿宋_GB2312" w:eastAsia="仿宋_GB2312" w:cs="仿宋_GB2312"/>
          <w:color w:val="2B2B2B"/>
          <w:kern w:val="0"/>
          <w:sz w:val="32"/>
          <w:szCs w:val="32"/>
          <w:lang w:val="en-US" w:eastAsia="zh-CN"/>
        </w:rPr>
        <w:t>2018年，</w:t>
      </w:r>
      <w:r>
        <w:rPr>
          <w:rFonts w:hint="default" w:ascii="仿宋_GB2312" w:hAnsi="仿宋_GB2312" w:eastAsia="仿宋_GB2312" w:cs="仿宋_GB2312"/>
          <w:color w:val="2B2B2B"/>
          <w:kern w:val="0"/>
          <w:sz w:val="32"/>
          <w:szCs w:val="32"/>
          <w:lang w:val="en-US" w:eastAsia="zh-CN"/>
        </w:rPr>
        <w:t>实现乡域生产总值</w:t>
      </w:r>
      <w:r>
        <w:rPr>
          <w:rFonts w:hint="eastAsia" w:ascii="仿宋_GB2312" w:hAnsi="仿宋_GB2312" w:eastAsia="仿宋_GB2312" w:cs="仿宋_GB2312"/>
          <w:color w:val="2B2B2B"/>
          <w:kern w:val="0"/>
          <w:sz w:val="32"/>
          <w:szCs w:val="32"/>
          <w:lang w:val="en-US" w:eastAsia="zh-CN"/>
        </w:rPr>
        <w:t>10340</w:t>
      </w:r>
      <w:r>
        <w:rPr>
          <w:rFonts w:hint="default" w:ascii="仿宋_GB2312" w:hAnsi="仿宋_GB2312" w:eastAsia="仿宋_GB2312" w:cs="仿宋_GB2312"/>
          <w:color w:val="2B2B2B"/>
          <w:kern w:val="0"/>
          <w:sz w:val="32"/>
          <w:szCs w:val="32"/>
          <w:lang w:val="en-US" w:eastAsia="zh-CN"/>
        </w:rPr>
        <w:t>万元，占目标任务的</w:t>
      </w:r>
      <w:r>
        <w:rPr>
          <w:rFonts w:hint="eastAsia" w:ascii="仿宋_GB2312" w:hAnsi="仿宋_GB2312" w:eastAsia="仿宋_GB2312" w:cs="仿宋_GB2312"/>
          <w:color w:val="2B2B2B"/>
          <w:kern w:val="0"/>
          <w:sz w:val="32"/>
          <w:szCs w:val="32"/>
          <w:lang w:val="en-US" w:eastAsia="zh-CN"/>
        </w:rPr>
        <w:t>108.5</w:t>
      </w:r>
      <w:r>
        <w:rPr>
          <w:rFonts w:hint="default" w:ascii="仿宋_GB2312" w:hAnsi="仿宋_GB2312" w:eastAsia="仿宋_GB2312" w:cs="仿宋_GB2312"/>
          <w:color w:val="2B2B2B"/>
          <w:kern w:val="0"/>
          <w:sz w:val="32"/>
          <w:szCs w:val="32"/>
          <w:lang w:val="en-US" w:eastAsia="zh-CN"/>
        </w:rPr>
        <w:t>%，农民人均可支配收入达</w:t>
      </w:r>
      <w:r>
        <w:rPr>
          <w:rFonts w:hint="eastAsia" w:ascii="仿宋_GB2312" w:hAnsi="仿宋_GB2312" w:eastAsia="仿宋_GB2312" w:cs="仿宋_GB2312"/>
          <w:color w:val="2B2B2B"/>
          <w:kern w:val="0"/>
          <w:sz w:val="32"/>
          <w:szCs w:val="32"/>
          <w:lang w:val="en-US" w:eastAsia="zh-CN"/>
        </w:rPr>
        <w:t>17380</w:t>
      </w:r>
      <w:r>
        <w:rPr>
          <w:rFonts w:hint="default" w:ascii="仿宋_GB2312" w:hAnsi="仿宋_GB2312" w:eastAsia="仿宋_GB2312" w:cs="仿宋_GB2312"/>
          <w:color w:val="2B2B2B"/>
          <w:kern w:val="0"/>
          <w:sz w:val="32"/>
          <w:szCs w:val="32"/>
          <w:lang w:val="en-US" w:eastAsia="zh-CN"/>
        </w:rPr>
        <w:t>元，同比增</w:t>
      </w:r>
      <w:r>
        <w:rPr>
          <w:rFonts w:hint="eastAsia" w:ascii="仿宋_GB2312" w:hAnsi="仿宋_GB2312" w:eastAsia="仿宋_GB2312" w:cs="仿宋_GB2312"/>
          <w:color w:val="2B2B2B"/>
          <w:kern w:val="0"/>
          <w:sz w:val="32"/>
          <w:szCs w:val="32"/>
          <w:lang w:val="en-US" w:eastAsia="zh-CN"/>
        </w:rPr>
        <w:t>长10</w:t>
      </w:r>
      <w:r>
        <w:rPr>
          <w:rFonts w:hint="default" w:ascii="仿宋_GB2312" w:hAnsi="仿宋_GB2312" w:eastAsia="仿宋_GB2312" w:cs="仿宋_GB2312"/>
          <w:color w:val="2B2B2B"/>
          <w:kern w:val="0"/>
          <w:sz w:val="32"/>
          <w:szCs w:val="32"/>
          <w:lang w:val="en-US" w:eastAsia="zh-CN"/>
        </w:rPr>
        <w:t>%；完成固定资产投资</w:t>
      </w:r>
      <w:r>
        <w:rPr>
          <w:rFonts w:hint="eastAsia" w:ascii="仿宋_GB2312" w:hAnsi="仿宋_GB2312" w:eastAsia="仿宋_GB2312" w:cs="仿宋_GB2312"/>
          <w:color w:val="2B2B2B"/>
          <w:kern w:val="0"/>
          <w:sz w:val="32"/>
          <w:szCs w:val="32"/>
          <w:lang w:val="en-US" w:eastAsia="zh-CN"/>
        </w:rPr>
        <w:t>20159</w:t>
      </w:r>
      <w:r>
        <w:rPr>
          <w:rFonts w:hint="default" w:ascii="仿宋_GB2312" w:hAnsi="仿宋_GB2312" w:eastAsia="仿宋_GB2312" w:cs="仿宋_GB2312"/>
          <w:color w:val="2B2B2B"/>
          <w:kern w:val="0"/>
          <w:sz w:val="32"/>
          <w:szCs w:val="32"/>
          <w:lang w:val="en-US" w:eastAsia="zh-CN"/>
        </w:rPr>
        <w:t>万元，占目标任务的</w:t>
      </w:r>
      <w:r>
        <w:rPr>
          <w:rFonts w:hint="eastAsia" w:ascii="仿宋_GB2312" w:hAnsi="仿宋_GB2312" w:eastAsia="仿宋_GB2312" w:cs="仿宋_GB2312"/>
          <w:color w:val="2B2B2B"/>
          <w:kern w:val="0"/>
          <w:sz w:val="32"/>
          <w:szCs w:val="32"/>
          <w:lang w:val="en-US" w:eastAsia="zh-CN"/>
        </w:rPr>
        <w:t>107.9</w:t>
      </w:r>
      <w:r>
        <w:rPr>
          <w:rFonts w:hint="default" w:ascii="仿宋_GB2312" w:hAnsi="仿宋_GB2312" w:eastAsia="仿宋_GB2312" w:cs="仿宋_GB2312"/>
          <w:color w:val="2B2B2B"/>
          <w:kern w:val="0"/>
          <w:sz w:val="32"/>
          <w:szCs w:val="32"/>
          <w:lang w:val="en-US" w:eastAsia="zh-CN"/>
        </w:rPr>
        <w:t>%；完成招商引资17338万元，占目标任务的115%。争取上级资金219万元，其中：省委农工委新业态发展资金50万元，市民宗委两项资金109万元，市林业局生态修复资金60万元，并适时向市、县有关部门积极争取资金。</w:t>
      </w:r>
    </w:p>
    <w:p w14:paraId="58135E4C">
      <w:pPr>
        <w:spacing w:line="600" w:lineRule="exact"/>
        <w:ind w:firstLine="640" w:firstLineChars="200"/>
        <w:rPr>
          <w:rFonts w:hint="eastAsia" w:ascii="仿宋_GB2312" w:hAnsi="仿宋_GB2312" w:eastAsia="仿宋_GB2312" w:cs="仿宋_GB2312"/>
          <w:b w:val="0"/>
          <w:bCs/>
          <w:color w:val="000000"/>
          <w:sz w:val="32"/>
          <w:szCs w:val="32"/>
          <w:lang w:val="en-US" w:eastAsia="zh-CN"/>
        </w:rPr>
      </w:pPr>
      <w:r>
        <w:rPr>
          <w:rFonts w:hint="eastAsia" w:ascii="仿宋_GB2312" w:hAnsi="宋体" w:eastAsia="仿宋_GB2312" w:cs="仿宋_GB2312"/>
          <w:b w:val="0"/>
          <w:i w:val="0"/>
          <w:caps w:val="0"/>
          <w:color w:val="333333"/>
          <w:spacing w:val="0"/>
          <w:kern w:val="0"/>
          <w:sz w:val="32"/>
          <w:szCs w:val="32"/>
          <w:shd w:val="clear" w:color="auto" w:fill="FFFFFF"/>
          <w:lang w:val="en-US" w:eastAsia="zh-CN" w:bidi="ar-SA"/>
        </w:rPr>
        <w:t>麻陇乡核定编制数为：行政编制17人，全额拨款事业编制17人，机关工勤编制2人；现实有编制情况为：行政编制14人，全额拨款事业编制16人，机关工勤1人,新聘工勤1人；乡机关内设党政办公室、经济办公室、社会事务办公室、安全生产监督</w:t>
      </w:r>
      <w:r>
        <w:rPr>
          <w:rFonts w:hint="eastAsia" w:ascii="仿宋_GB2312" w:hAnsi="仿宋_GB2312" w:eastAsia="仿宋_GB2312" w:cs="仿宋_GB2312"/>
          <w:b w:val="0"/>
          <w:i w:val="0"/>
          <w:caps w:val="0"/>
          <w:color w:val="000000"/>
          <w:spacing w:val="0"/>
          <w:sz w:val="32"/>
          <w:szCs w:val="32"/>
          <w:shd w:val="clear" w:color="auto" w:fill="FFFFFF"/>
        </w:rPr>
        <w:t>管理所。事业机构内设农业综合服务中心、便民惠民服务中心、畜牧兽医站。</w:t>
      </w:r>
    </w:p>
    <w:p w14:paraId="02E77F7A">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720"/>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二、部门财政资金收支情况</w:t>
      </w:r>
    </w:p>
    <w:p w14:paraId="7035C1D3">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sz w:val="32"/>
          <w:szCs w:val="32"/>
          <w:lang w:val="zh-CN"/>
        </w:rPr>
      </w:pPr>
      <w:r>
        <w:rPr>
          <w:rFonts w:hint="eastAsia" w:ascii="仿宋" w:hAnsi="仿宋" w:eastAsia="仿宋" w:cs="仿宋"/>
          <w:b/>
          <w:bCs/>
          <w:sz w:val="32"/>
          <w:szCs w:val="32"/>
          <w:lang w:val="zh-CN"/>
        </w:rPr>
        <w:t>（一）部门财政资金收入情况</w:t>
      </w:r>
    </w:p>
    <w:p w14:paraId="60FF9C87">
      <w:pPr>
        <w:pStyle w:val="13"/>
        <w:snapToGrid w:val="0"/>
        <w:spacing w:before="0" w:beforeAutospacing="0" w:after="0" w:afterAutospacing="0" w:line="600" w:lineRule="exact"/>
        <w:ind w:firstLine="640" w:firstLineChars="200"/>
        <w:rPr>
          <w:rFonts w:hint="eastAsia" w:ascii="Times New Roman" w:eastAsia="仿宋_GB2312" w:cs="Times New Roman"/>
          <w:color w:val="auto"/>
          <w:sz w:val="32"/>
          <w:szCs w:val="32"/>
        </w:rPr>
      </w:pPr>
      <w:r>
        <w:rPr>
          <w:rFonts w:hint="eastAsia" w:ascii="Times New Roman" w:eastAsia="仿宋_GB2312" w:cs="Times New Roman"/>
          <w:color w:val="auto"/>
          <w:sz w:val="32"/>
          <w:szCs w:val="32"/>
        </w:rPr>
        <w:t>2018年</w:t>
      </w:r>
      <w:r>
        <w:rPr>
          <w:rFonts w:hint="eastAsia" w:ascii="Times New Roman" w:eastAsia="仿宋_GB2312" w:cs="Times New Roman"/>
          <w:color w:val="auto"/>
          <w:sz w:val="32"/>
          <w:szCs w:val="32"/>
          <w:lang w:eastAsia="zh-CN"/>
        </w:rPr>
        <w:t>麻陇彝族乡</w:t>
      </w:r>
      <w:r>
        <w:rPr>
          <w:rFonts w:hint="eastAsia" w:ascii="Times New Roman" w:eastAsia="仿宋_GB2312" w:cs="Times New Roman"/>
          <w:color w:val="auto"/>
          <w:sz w:val="32"/>
          <w:szCs w:val="32"/>
        </w:rPr>
        <w:t>收入决算总额为</w:t>
      </w:r>
      <w:r>
        <w:rPr>
          <w:rFonts w:hint="eastAsia" w:ascii="Times New Roman" w:eastAsia="仿宋_GB2312" w:cs="Times New Roman"/>
          <w:color w:val="auto"/>
          <w:sz w:val="32"/>
          <w:szCs w:val="32"/>
          <w:lang w:val="en-US" w:eastAsia="zh-CN"/>
        </w:rPr>
        <w:t>1182.23</w:t>
      </w:r>
      <w:r>
        <w:rPr>
          <w:rFonts w:hint="eastAsia" w:ascii="Times New Roman" w:eastAsia="仿宋_GB2312" w:cs="Times New Roman"/>
          <w:color w:val="auto"/>
          <w:sz w:val="32"/>
          <w:szCs w:val="32"/>
        </w:rPr>
        <w:t>万元。其中一般公共预算财政拨款</w:t>
      </w:r>
      <w:r>
        <w:rPr>
          <w:rFonts w:hint="eastAsia" w:ascii="Times New Roman" w:eastAsia="仿宋_GB2312" w:cs="Times New Roman"/>
          <w:color w:val="auto"/>
          <w:sz w:val="32"/>
          <w:szCs w:val="32"/>
          <w:lang w:val="en-US" w:eastAsia="zh-CN"/>
        </w:rPr>
        <w:t>897.39</w:t>
      </w:r>
      <w:r>
        <w:rPr>
          <w:rFonts w:hint="eastAsia" w:ascii="Times New Roman" w:eastAsia="仿宋_GB2312" w:cs="Times New Roman"/>
          <w:color w:val="auto"/>
          <w:sz w:val="32"/>
          <w:szCs w:val="32"/>
        </w:rPr>
        <w:t>万元，政府性基金财政拨款收入</w:t>
      </w:r>
      <w:r>
        <w:rPr>
          <w:rFonts w:hint="eastAsia" w:ascii="Times New Roman" w:eastAsia="仿宋_GB2312" w:cs="Times New Roman"/>
          <w:color w:val="auto"/>
          <w:sz w:val="32"/>
          <w:szCs w:val="32"/>
          <w:lang w:val="en-US" w:eastAsia="zh-CN"/>
        </w:rPr>
        <w:t>284.84</w:t>
      </w:r>
      <w:r>
        <w:rPr>
          <w:rFonts w:hint="eastAsia" w:ascii="Times New Roman" w:eastAsia="仿宋_GB2312" w:cs="Times New Roman"/>
          <w:color w:val="auto"/>
          <w:sz w:val="32"/>
          <w:szCs w:val="32"/>
        </w:rPr>
        <w:t>万元，年初结转和结余</w:t>
      </w:r>
      <w:r>
        <w:rPr>
          <w:rFonts w:hint="eastAsia" w:ascii="Times New Roman" w:eastAsia="仿宋_GB2312" w:cs="Times New Roman"/>
          <w:color w:val="auto"/>
          <w:sz w:val="32"/>
          <w:szCs w:val="32"/>
          <w:lang w:val="en-US" w:eastAsia="zh-CN"/>
        </w:rPr>
        <w:t>182.23</w:t>
      </w:r>
      <w:r>
        <w:rPr>
          <w:rFonts w:hint="eastAsia" w:ascii="Times New Roman" w:eastAsia="仿宋_GB2312" w:cs="Times New Roman"/>
          <w:color w:val="auto"/>
          <w:sz w:val="32"/>
          <w:szCs w:val="32"/>
        </w:rPr>
        <w:t>万元。</w:t>
      </w:r>
    </w:p>
    <w:p w14:paraId="1BCB7AF3">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（二）部门财政资金支出情况</w:t>
      </w:r>
    </w:p>
    <w:p w14:paraId="1B2DBE15">
      <w:pPr>
        <w:pStyle w:val="13"/>
        <w:snapToGrid w:val="0"/>
        <w:spacing w:before="0" w:beforeAutospacing="0" w:after="0" w:afterAutospacing="0" w:line="600" w:lineRule="exact"/>
        <w:ind w:firstLine="645"/>
        <w:rPr>
          <w:rFonts w:hint="eastAsia" w:ascii="Times New Roman" w:eastAsia="仿宋_GB2312" w:cs="Times New Roman"/>
          <w:color w:val="auto"/>
          <w:sz w:val="32"/>
          <w:szCs w:val="32"/>
        </w:rPr>
      </w:pPr>
      <w:r>
        <w:rPr>
          <w:rFonts w:hint="eastAsia" w:ascii="Times New Roman" w:eastAsia="仿宋_GB2312" w:cs="Times New Roman"/>
          <w:color w:val="auto"/>
          <w:sz w:val="32"/>
          <w:szCs w:val="32"/>
        </w:rPr>
        <w:t>2018年</w:t>
      </w:r>
      <w:r>
        <w:rPr>
          <w:rFonts w:hint="eastAsia" w:ascii="Times New Roman" w:eastAsia="仿宋_GB2312" w:cs="Times New Roman"/>
          <w:color w:val="auto"/>
          <w:sz w:val="32"/>
          <w:szCs w:val="32"/>
          <w:lang w:eastAsia="zh-CN"/>
        </w:rPr>
        <w:t>麻陇彝族乡</w:t>
      </w:r>
      <w:r>
        <w:rPr>
          <w:rFonts w:hint="eastAsia" w:ascii="Times New Roman" w:eastAsia="仿宋_GB2312" w:cs="Times New Roman"/>
          <w:color w:val="auto"/>
          <w:sz w:val="32"/>
          <w:szCs w:val="32"/>
        </w:rPr>
        <w:t>支出决算总额为</w:t>
      </w:r>
      <w:r>
        <w:rPr>
          <w:rFonts w:hint="eastAsia" w:ascii="Times New Roman" w:eastAsia="仿宋_GB2312" w:cs="Times New Roman"/>
          <w:color w:val="auto"/>
          <w:sz w:val="32"/>
          <w:szCs w:val="32"/>
          <w:lang w:val="en-US" w:eastAsia="zh-CN"/>
        </w:rPr>
        <w:t>1294.50</w:t>
      </w:r>
      <w:r>
        <w:rPr>
          <w:rFonts w:hint="eastAsia" w:ascii="Times New Roman" w:eastAsia="仿宋_GB2312" w:cs="Times New Roman"/>
          <w:color w:val="auto"/>
          <w:sz w:val="32"/>
          <w:szCs w:val="32"/>
        </w:rPr>
        <w:t>万元，其中一般公共服务支出</w:t>
      </w:r>
      <w:r>
        <w:rPr>
          <w:rFonts w:hint="eastAsia" w:ascii="Times New Roman" w:eastAsia="仿宋_GB2312" w:cs="Times New Roman"/>
          <w:color w:val="auto"/>
          <w:sz w:val="32"/>
          <w:szCs w:val="32"/>
          <w:lang w:val="en-US" w:eastAsia="zh-CN"/>
        </w:rPr>
        <w:t>498.67</w:t>
      </w:r>
      <w:r>
        <w:rPr>
          <w:rFonts w:hint="eastAsia" w:ascii="Times New Roman" w:eastAsia="仿宋_GB2312" w:cs="Times New Roman"/>
          <w:color w:val="auto"/>
          <w:sz w:val="32"/>
          <w:szCs w:val="32"/>
        </w:rPr>
        <w:t>万元，公共安全支出</w:t>
      </w:r>
      <w:r>
        <w:rPr>
          <w:rFonts w:hint="eastAsia" w:ascii="Times New Roman" w:eastAsia="仿宋_GB2312" w:cs="Times New Roman"/>
          <w:color w:val="auto"/>
          <w:sz w:val="32"/>
          <w:szCs w:val="32"/>
          <w:lang w:val="en-US" w:eastAsia="zh-CN"/>
        </w:rPr>
        <w:t>2.34</w:t>
      </w:r>
      <w:r>
        <w:rPr>
          <w:rFonts w:hint="eastAsia" w:ascii="Times New Roman" w:eastAsia="仿宋_GB2312" w:cs="Times New Roman"/>
          <w:color w:val="auto"/>
          <w:sz w:val="32"/>
          <w:szCs w:val="32"/>
        </w:rPr>
        <w:t>万元，社会保障和就业1</w:t>
      </w:r>
      <w:r>
        <w:rPr>
          <w:rFonts w:hint="eastAsia" w:ascii="Times New Roman" w:eastAsia="仿宋_GB2312" w:cs="Times New Roman"/>
          <w:color w:val="auto"/>
          <w:sz w:val="32"/>
          <w:szCs w:val="32"/>
          <w:lang w:val="en-US" w:eastAsia="zh-CN"/>
        </w:rPr>
        <w:t>44.22</w:t>
      </w:r>
      <w:r>
        <w:rPr>
          <w:rFonts w:hint="eastAsia" w:ascii="Times New Roman" w:eastAsia="仿宋_GB2312" w:cs="Times New Roman"/>
          <w:color w:val="auto"/>
          <w:sz w:val="32"/>
          <w:szCs w:val="32"/>
        </w:rPr>
        <w:t>万元，城乡社区支出</w:t>
      </w:r>
      <w:r>
        <w:rPr>
          <w:rFonts w:hint="eastAsia" w:ascii="Times New Roman" w:eastAsia="仿宋_GB2312" w:cs="Times New Roman"/>
          <w:color w:val="auto"/>
          <w:sz w:val="32"/>
          <w:szCs w:val="32"/>
          <w:lang w:val="en-US" w:eastAsia="zh-CN"/>
        </w:rPr>
        <w:t>284.84万元</w:t>
      </w:r>
      <w:r>
        <w:rPr>
          <w:rFonts w:hint="eastAsia" w:ascii="Times New Roman" w:eastAsia="仿宋_GB2312" w:cs="Times New Roman"/>
          <w:color w:val="auto"/>
          <w:sz w:val="32"/>
          <w:szCs w:val="32"/>
        </w:rPr>
        <w:t>，农林水支出3</w:t>
      </w:r>
      <w:r>
        <w:rPr>
          <w:rFonts w:hint="eastAsia" w:ascii="Times New Roman" w:eastAsia="仿宋_GB2312" w:cs="Times New Roman"/>
          <w:color w:val="auto"/>
          <w:sz w:val="32"/>
          <w:szCs w:val="32"/>
          <w:lang w:val="en-US" w:eastAsia="zh-CN"/>
        </w:rPr>
        <w:t>19.40</w:t>
      </w:r>
      <w:r>
        <w:rPr>
          <w:rFonts w:hint="eastAsia" w:ascii="Times New Roman" w:eastAsia="仿宋_GB2312" w:cs="Times New Roman"/>
          <w:color w:val="auto"/>
          <w:sz w:val="32"/>
          <w:szCs w:val="32"/>
        </w:rPr>
        <w:t>万元，住房保障支出</w:t>
      </w:r>
      <w:r>
        <w:rPr>
          <w:rFonts w:hint="eastAsia" w:ascii="Times New Roman" w:eastAsia="仿宋_GB2312" w:cs="Times New Roman"/>
          <w:color w:val="auto"/>
          <w:sz w:val="32"/>
          <w:szCs w:val="32"/>
          <w:lang w:val="en-US" w:eastAsia="zh-CN"/>
        </w:rPr>
        <w:t>37.71</w:t>
      </w:r>
      <w:r>
        <w:rPr>
          <w:rFonts w:hint="eastAsia" w:ascii="Times New Roman" w:eastAsia="仿宋_GB2312" w:cs="Times New Roman"/>
          <w:color w:val="auto"/>
          <w:sz w:val="32"/>
          <w:szCs w:val="32"/>
        </w:rPr>
        <w:t>万元。</w:t>
      </w:r>
    </w:p>
    <w:p w14:paraId="6889A1E4">
      <w:pPr>
        <w:widowControl/>
        <w:shd w:val="clear" w:color="auto" w:fill="FFFFFF"/>
        <w:spacing w:line="580" w:lineRule="atLeast"/>
        <w:ind w:firstLine="640"/>
        <w:jc w:val="left"/>
        <w:rPr>
          <w:rFonts w:hint="eastAsia" w:hAnsi="宋体" w:eastAsia="仿宋_GB2312"/>
          <w:color w:val="auto"/>
          <w:kern w:val="0"/>
          <w:sz w:val="32"/>
          <w:szCs w:val="32"/>
        </w:rPr>
      </w:pPr>
      <w:r>
        <w:rPr>
          <w:rFonts w:hint="eastAsia" w:ascii="楷体_GB2312" w:hAnsi="楷体_GB2312" w:eastAsia="楷体_GB2312" w:cs="楷体_GB2312"/>
          <w:b/>
          <w:bCs/>
          <w:color w:val="auto"/>
          <w:sz w:val="32"/>
          <w:szCs w:val="32"/>
        </w:rPr>
        <w:t>(一)</w:t>
      </w:r>
      <w:r>
        <w:rPr>
          <w:rFonts w:hint="eastAsia" w:hAnsi="宋体" w:eastAsia="仿宋_GB2312"/>
          <w:color w:val="auto"/>
          <w:kern w:val="0"/>
          <w:sz w:val="32"/>
          <w:szCs w:val="32"/>
        </w:rPr>
        <w:t>一般公共服务支出</w:t>
      </w:r>
      <w:r>
        <w:rPr>
          <w:rFonts w:hint="eastAsia" w:hAnsi="宋体" w:eastAsia="仿宋_GB2312"/>
          <w:color w:val="auto"/>
          <w:kern w:val="0"/>
          <w:sz w:val="32"/>
          <w:szCs w:val="32"/>
          <w:lang w:val="en-US" w:eastAsia="zh-CN"/>
        </w:rPr>
        <w:t>498.67</w:t>
      </w:r>
      <w:r>
        <w:rPr>
          <w:rFonts w:hint="eastAsia" w:hAnsi="宋体" w:eastAsia="仿宋_GB2312"/>
          <w:color w:val="auto"/>
          <w:kern w:val="0"/>
          <w:sz w:val="32"/>
          <w:szCs w:val="32"/>
        </w:rPr>
        <w:t>万元，主要用于政府机关正常运转的日常基本支出，完成特定的行政工作任务或发展工作的项目支出。</w:t>
      </w:r>
    </w:p>
    <w:p w14:paraId="67EE6E9A">
      <w:pPr>
        <w:widowControl/>
        <w:shd w:val="clear" w:color="auto" w:fill="FFFFFF"/>
        <w:spacing w:line="580" w:lineRule="atLeast"/>
        <w:ind w:firstLine="640"/>
        <w:jc w:val="left"/>
        <w:rPr>
          <w:rFonts w:hint="eastAsia" w:hAnsi="宋体" w:eastAsia="仿宋_GB2312"/>
          <w:color w:val="auto"/>
          <w:kern w:val="0"/>
          <w:sz w:val="32"/>
          <w:szCs w:val="32"/>
        </w:rPr>
      </w:pPr>
      <w:r>
        <w:rPr>
          <w:rFonts w:hint="eastAsia" w:ascii="楷体_GB2312" w:hAnsi="楷体_GB2312" w:eastAsia="楷体_GB2312" w:cs="楷体_GB2312"/>
          <w:b/>
          <w:bCs/>
          <w:color w:val="auto"/>
          <w:sz w:val="32"/>
          <w:szCs w:val="32"/>
        </w:rPr>
        <w:t>(二)</w:t>
      </w:r>
      <w:r>
        <w:rPr>
          <w:rFonts w:hint="eastAsia" w:hAnsi="宋体" w:eastAsia="仿宋_GB2312"/>
          <w:color w:val="auto"/>
          <w:kern w:val="0"/>
          <w:sz w:val="32"/>
          <w:szCs w:val="32"/>
        </w:rPr>
        <w:t>社会保障和就业支出1</w:t>
      </w:r>
      <w:r>
        <w:rPr>
          <w:rFonts w:hint="eastAsia" w:hAnsi="宋体" w:eastAsia="仿宋_GB2312"/>
          <w:color w:val="auto"/>
          <w:kern w:val="0"/>
          <w:sz w:val="32"/>
          <w:szCs w:val="32"/>
          <w:lang w:val="en-US" w:eastAsia="zh-CN"/>
        </w:rPr>
        <w:t>44.22</w:t>
      </w:r>
      <w:r>
        <w:rPr>
          <w:rFonts w:hint="eastAsia" w:hAnsi="宋体" w:eastAsia="仿宋_GB2312"/>
          <w:color w:val="auto"/>
          <w:kern w:val="0"/>
          <w:sz w:val="32"/>
          <w:szCs w:val="32"/>
        </w:rPr>
        <w:t>万元，主要用于退休人员工资及遗属生活困难补助。</w:t>
      </w:r>
    </w:p>
    <w:p w14:paraId="276830DE">
      <w:pPr>
        <w:widowControl/>
        <w:shd w:val="clear" w:color="auto" w:fill="FFFFFF"/>
        <w:spacing w:line="580" w:lineRule="atLeast"/>
        <w:ind w:firstLine="640"/>
        <w:jc w:val="left"/>
        <w:rPr>
          <w:rFonts w:hint="eastAsia" w:hAnsi="宋体" w:eastAsia="仿宋_GB2312"/>
          <w:color w:val="auto"/>
          <w:kern w:val="0"/>
          <w:sz w:val="32"/>
          <w:szCs w:val="32"/>
        </w:rPr>
      </w:pPr>
      <w:r>
        <w:rPr>
          <w:rFonts w:hint="eastAsia" w:ascii="楷体_GB2312" w:hAnsi="楷体_GB2312" w:eastAsia="楷体_GB2312" w:cs="楷体_GB2312"/>
          <w:b/>
          <w:bCs/>
          <w:color w:val="auto"/>
          <w:sz w:val="32"/>
          <w:szCs w:val="32"/>
        </w:rPr>
        <w:t>(三)</w:t>
      </w:r>
      <w:r>
        <w:rPr>
          <w:rFonts w:hint="eastAsia" w:hAnsi="宋体" w:eastAsia="仿宋_GB2312"/>
          <w:color w:val="auto"/>
          <w:kern w:val="0"/>
          <w:sz w:val="32"/>
          <w:szCs w:val="32"/>
        </w:rPr>
        <w:t>城乡社区支出</w:t>
      </w:r>
      <w:r>
        <w:rPr>
          <w:rFonts w:hint="eastAsia" w:hAnsi="宋体" w:eastAsia="仿宋_GB2312"/>
          <w:color w:val="auto"/>
          <w:kern w:val="0"/>
          <w:sz w:val="32"/>
          <w:szCs w:val="32"/>
          <w:lang w:val="en-US" w:eastAsia="zh-CN"/>
        </w:rPr>
        <w:t>284.84</w:t>
      </w:r>
      <w:r>
        <w:rPr>
          <w:rFonts w:hint="eastAsia" w:hAnsi="宋体" w:eastAsia="仿宋_GB2312"/>
          <w:color w:val="auto"/>
          <w:kern w:val="0"/>
          <w:sz w:val="32"/>
          <w:szCs w:val="32"/>
        </w:rPr>
        <w:t>万元，用于我</w:t>
      </w:r>
      <w:r>
        <w:rPr>
          <w:rFonts w:hint="eastAsia" w:hAnsi="宋体" w:eastAsia="仿宋_GB2312"/>
          <w:color w:val="auto"/>
          <w:kern w:val="0"/>
          <w:sz w:val="32"/>
          <w:szCs w:val="32"/>
          <w:lang w:eastAsia="zh-CN"/>
        </w:rPr>
        <w:t>乡</w:t>
      </w:r>
      <w:r>
        <w:rPr>
          <w:rFonts w:hint="eastAsia" w:hAnsi="宋体" w:eastAsia="仿宋_GB2312"/>
          <w:color w:val="auto"/>
          <w:kern w:val="0"/>
          <w:sz w:val="32"/>
          <w:szCs w:val="32"/>
        </w:rPr>
        <w:t>政府性基金支出。</w:t>
      </w:r>
    </w:p>
    <w:p w14:paraId="5521ACC4">
      <w:pPr>
        <w:widowControl/>
        <w:shd w:val="clear" w:color="auto" w:fill="FFFFFF"/>
        <w:spacing w:line="580" w:lineRule="atLeast"/>
        <w:jc w:val="left"/>
        <w:rPr>
          <w:rFonts w:hint="eastAsia" w:hAnsi="宋体" w:eastAsia="仿宋_GB2312"/>
          <w:color w:val="auto"/>
          <w:kern w:val="0"/>
          <w:sz w:val="32"/>
          <w:szCs w:val="32"/>
        </w:rPr>
      </w:pPr>
      <w:r>
        <w:rPr>
          <w:rFonts w:hint="eastAsia" w:ascii="方正仿宋简体" w:hAnsi="宋体" w:eastAsia="方正仿宋简体" w:cs="宋体"/>
          <w:color w:val="auto"/>
          <w:kern w:val="0"/>
          <w:sz w:val="32"/>
          <w:szCs w:val="32"/>
        </w:rPr>
        <w:t xml:space="preserve">    </w:t>
      </w:r>
      <w:r>
        <w:rPr>
          <w:rFonts w:hint="eastAsia" w:ascii="楷体_GB2312" w:hAnsi="楷体_GB2312" w:eastAsia="楷体_GB2312" w:cs="楷体_GB2312"/>
          <w:b/>
          <w:bCs/>
          <w:color w:val="auto"/>
          <w:sz w:val="32"/>
          <w:szCs w:val="32"/>
        </w:rPr>
        <w:t>(四)</w:t>
      </w:r>
      <w:r>
        <w:rPr>
          <w:rFonts w:hint="eastAsia" w:hAnsi="宋体" w:eastAsia="仿宋_GB2312"/>
          <w:color w:val="auto"/>
          <w:kern w:val="0"/>
          <w:sz w:val="32"/>
          <w:szCs w:val="32"/>
        </w:rPr>
        <w:t>农林水事业支出3</w:t>
      </w:r>
      <w:r>
        <w:rPr>
          <w:rFonts w:hint="eastAsia" w:hAnsi="宋体" w:eastAsia="仿宋_GB2312"/>
          <w:color w:val="auto"/>
          <w:kern w:val="0"/>
          <w:sz w:val="32"/>
          <w:szCs w:val="32"/>
          <w:lang w:val="en-US" w:eastAsia="zh-CN"/>
        </w:rPr>
        <w:t>19.40</w:t>
      </w:r>
      <w:r>
        <w:rPr>
          <w:rFonts w:hint="eastAsia" w:hAnsi="宋体" w:eastAsia="仿宋_GB2312"/>
          <w:color w:val="auto"/>
          <w:kern w:val="0"/>
          <w:sz w:val="32"/>
          <w:szCs w:val="32"/>
        </w:rPr>
        <w:t>万元，主要用于政府下属事业单位正常运转的日常基本支出，各项涉农补贴项目资金。</w:t>
      </w:r>
    </w:p>
    <w:p w14:paraId="6FE082D9">
      <w:pPr>
        <w:widowControl/>
        <w:shd w:val="clear" w:color="auto" w:fill="FFFFFF"/>
        <w:spacing w:line="580" w:lineRule="atLeast"/>
        <w:jc w:val="left"/>
        <w:rPr>
          <w:rFonts w:hint="eastAsia" w:hAnsi="宋体" w:eastAsia="仿宋_GB2312"/>
          <w:color w:val="auto"/>
          <w:kern w:val="0"/>
          <w:sz w:val="32"/>
          <w:szCs w:val="32"/>
        </w:rPr>
      </w:pPr>
      <w:r>
        <w:rPr>
          <w:rFonts w:hint="eastAsia" w:ascii="方正仿宋简体" w:hAnsi="宋体" w:eastAsia="方正仿宋简体" w:cs="宋体"/>
          <w:color w:val="auto"/>
          <w:kern w:val="0"/>
          <w:sz w:val="32"/>
          <w:szCs w:val="32"/>
        </w:rPr>
        <w:t xml:space="preserve">   </w:t>
      </w:r>
      <w:r>
        <w:rPr>
          <w:rFonts w:hint="eastAsia" w:ascii="楷体_GB2312" w:hAnsi="楷体_GB2312" w:eastAsia="楷体_GB2312" w:cs="楷体_GB2312"/>
          <w:b/>
          <w:bCs/>
          <w:color w:val="auto"/>
          <w:sz w:val="32"/>
          <w:szCs w:val="32"/>
        </w:rPr>
        <w:t xml:space="preserve"> (五)</w:t>
      </w:r>
      <w:r>
        <w:rPr>
          <w:rFonts w:hint="eastAsia" w:hAnsi="宋体" w:eastAsia="仿宋_GB2312"/>
          <w:color w:val="auto"/>
          <w:kern w:val="0"/>
          <w:sz w:val="32"/>
          <w:szCs w:val="32"/>
        </w:rPr>
        <w:t>住房保障支出</w:t>
      </w:r>
      <w:r>
        <w:rPr>
          <w:rFonts w:hint="eastAsia" w:hAnsi="宋体" w:eastAsia="仿宋_GB2312"/>
          <w:color w:val="auto"/>
          <w:kern w:val="0"/>
          <w:sz w:val="32"/>
          <w:szCs w:val="32"/>
          <w:lang w:val="en-US" w:eastAsia="zh-CN"/>
        </w:rPr>
        <w:t>37.71</w:t>
      </w:r>
      <w:r>
        <w:rPr>
          <w:rFonts w:hint="eastAsia" w:hAnsi="宋体" w:eastAsia="仿宋_GB2312"/>
          <w:color w:val="auto"/>
          <w:kern w:val="0"/>
          <w:sz w:val="32"/>
          <w:szCs w:val="32"/>
        </w:rPr>
        <w:t>万元，主要用于对职工住房公积金、住房补贴。</w:t>
      </w:r>
    </w:p>
    <w:p w14:paraId="45BF4C8B">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720"/>
        <w:textAlignment w:val="auto"/>
        <w:outlineLvl w:val="9"/>
        <w:rPr>
          <w:rFonts w:hint="eastAsia" w:ascii="仿宋" w:hAnsi="仿宋" w:eastAsia="仿宋" w:cs="仿宋"/>
          <w:b/>
          <w:bCs/>
          <w:sz w:val="32"/>
          <w:szCs w:val="32"/>
        </w:rPr>
      </w:pPr>
      <w:r>
        <w:rPr>
          <w:rFonts w:hint="eastAsia" w:ascii="仿宋" w:hAnsi="仿宋" w:eastAsia="仿宋" w:cs="仿宋"/>
          <w:b/>
          <w:bCs/>
          <w:sz w:val="32"/>
          <w:szCs w:val="32"/>
          <w:lang w:val="zh-CN"/>
        </w:rPr>
        <w:t xml:space="preserve"> </w:t>
      </w:r>
      <w:r>
        <w:rPr>
          <w:rFonts w:hint="eastAsia" w:ascii="仿宋" w:hAnsi="仿宋" w:eastAsia="仿宋" w:cs="仿宋"/>
          <w:b/>
          <w:bCs/>
          <w:sz w:val="32"/>
          <w:szCs w:val="32"/>
        </w:rPr>
        <w:t>三、部门财政支出管理情况</w:t>
      </w:r>
    </w:p>
    <w:p w14:paraId="11A439B5">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w:t>
      </w:r>
      <w:r>
        <w:rPr>
          <w:rFonts w:hint="eastAsia" w:ascii="仿宋" w:hAnsi="仿宋" w:eastAsia="仿宋" w:cs="仿宋"/>
          <w:b/>
          <w:bCs/>
          <w:sz w:val="32"/>
          <w:szCs w:val="32"/>
        </w:rPr>
        <w:t>一</w:t>
      </w:r>
      <w:r>
        <w:rPr>
          <w:rFonts w:hint="eastAsia" w:ascii="仿宋" w:hAnsi="仿宋" w:eastAsia="仿宋" w:cs="仿宋"/>
          <w:b/>
          <w:bCs/>
          <w:sz w:val="32"/>
          <w:szCs w:val="32"/>
          <w:lang w:val="zh-CN"/>
        </w:rPr>
        <w:t>）预算编制情况</w:t>
      </w:r>
    </w:p>
    <w:p w14:paraId="4C9C3E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376" w:right="0" w:firstLine="640"/>
        <w:jc w:val="left"/>
        <w:rPr>
          <w:rFonts w:hint="eastAsia" w:ascii="仿宋" w:hAnsi="仿宋" w:eastAsia="仿宋" w:cs="仿宋"/>
          <w:sz w:val="32"/>
          <w:szCs w:val="32"/>
          <w:lang w:val="zh-CN"/>
        </w:rPr>
      </w:pPr>
      <w:r>
        <w:rPr>
          <w:rFonts w:hint="eastAsia" w:ascii="仿宋" w:hAnsi="仿宋" w:eastAsia="仿宋" w:cs="仿宋"/>
          <w:sz w:val="32"/>
          <w:szCs w:val="32"/>
        </w:rPr>
        <w:t>米易县</w:t>
      </w:r>
      <w:r>
        <w:rPr>
          <w:rFonts w:hint="eastAsia" w:ascii="仿宋" w:hAnsi="仿宋" w:eastAsia="仿宋" w:cs="仿宋"/>
          <w:sz w:val="32"/>
          <w:szCs w:val="32"/>
          <w:lang w:eastAsia="zh-CN"/>
        </w:rPr>
        <w:t>麻陇彝族乡</w:t>
      </w:r>
      <w:r>
        <w:rPr>
          <w:rFonts w:hint="eastAsia" w:ascii="仿宋" w:hAnsi="仿宋" w:eastAsia="仿宋" w:cs="仿宋"/>
          <w:sz w:val="32"/>
          <w:szCs w:val="32"/>
        </w:rPr>
        <w:t>人民政府按上级要求按时编制201</w:t>
      </w:r>
      <w:r>
        <w:rPr>
          <w:rFonts w:hint="eastAsia" w:ascii="仿宋" w:hAnsi="仿宋" w:eastAsia="仿宋" w:cs="仿宋"/>
          <w:sz w:val="32"/>
          <w:szCs w:val="32"/>
          <w:lang w:val="en-US" w:eastAsia="zh-CN"/>
        </w:rPr>
        <w:t>8</w:t>
      </w:r>
      <w:r>
        <w:rPr>
          <w:rFonts w:hint="eastAsia" w:ascii="仿宋" w:hAnsi="仿宋" w:eastAsia="仿宋" w:cs="仿宋"/>
          <w:sz w:val="32"/>
          <w:szCs w:val="32"/>
        </w:rPr>
        <w:t>年预算，经</w:t>
      </w:r>
      <w:r>
        <w:rPr>
          <w:rFonts w:hint="eastAsia" w:ascii="仿宋" w:hAnsi="仿宋" w:eastAsia="仿宋" w:cs="仿宋"/>
          <w:sz w:val="32"/>
          <w:szCs w:val="32"/>
          <w:lang w:eastAsia="zh-CN"/>
        </w:rPr>
        <w:t>乡</w:t>
      </w:r>
      <w:r>
        <w:rPr>
          <w:rFonts w:hint="eastAsia" w:ascii="仿宋" w:hAnsi="仿宋" w:eastAsia="仿宋" w:cs="仿宋"/>
          <w:sz w:val="32"/>
          <w:szCs w:val="32"/>
        </w:rPr>
        <w:t>人大批复后，</w:t>
      </w:r>
      <w:r>
        <w:rPr>
          <w:rFonts w:hint="eastAsia" w:ascii="仿宋" w:hAnsi="仿宋" w:eastAsia="仿宋" w:cs="仿宋"/>
          <w:color w:val="auto"/>
          <w:sz w:val="32"/>
          <w:szCs w:val="32"/>
        </w:rPr>
        <w:t>于201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日进行网</w:t>
      </w:r>
      <w:r>
        <w:rPr>
          <w:rFonts w:hint="eastAsia" w:ascii="仿宋" w:hAnsi="仿宋" w:eastAsia="仿宋" w:cs="仿宋"/>
          <w:sz w:val="32"/>
          <w:szCs w:val="32"/>
        </w:rPr>
        <w:t>上公开。</w:t>
      </w:r>
      <w:r>
        <w:rPr>
          <w:rFonts w:hint="default" w:ascii="仿宋" w:hAnsi="仿宋" w:eastAsia="仿宋" w:cs="仿宋"/>
          <w:sz w:val="32"/>
          <w:szCs w:val="32"/>
          <w:lang w:val="en-US" w:eastAsia="zh-CN"/>
        </w:rPr>
        <w:t>2018</w:t>
      </w:r>
      <w:r>
        <w:rPr>
          <w:rFonts w:hint="eastAsia" w:ascii="仿宋" w:hAnsi="仿宋" w:eastAsia="仿宋" w:cs="仿宋"/>
          <w:sz w:val="32"/>
          <w:szCs w:val="32"/>
          <w:lang w:val="en-US" w:eastAsia="zh-CN"/>
        </w:rPr>
        <w:t>年麻陇彝族乡人民政府收入预算总额为564.01万元，其中：工资福利支出395.70万元，日常公用支出156.25万元，对个人和家庭的补助支出6.07万元，其他资本性支出6万元。</w:t>
      </w:r>
      <w:r>
        <w:rPr>
          <w:rFonts w:hint="eastAsia" w:ascii="仿宋" w:hAnsi="仿宋" w:eastAsia="仿宋" w:cs="仿宋"/>
          <w:sz w:val="32"/>
          <w:szCs w:val="32"/>
          <w:lang w:eastAsia="zh-CN"/>
        </w:rPr>
        <w:t>2018年收入预算总额与上年度同比增长24.27%，比上年有所增加，主要是人员经费和脱贫攻坚。</w:t>
      </w:r>
    </w:p>
    <w:p w14:paraId="4DF7B55F">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（二）执行管理情况</w:t>
      </w:r>
    </w:p>
    <w:p w14:paraId="2CBD920A">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rPr>
        <w:t>我单位在执行过程中不断完善相关财务制度、支付细则，按上级要求进行各项资金清理等</w:t>
      </w:r>
      <w:r>
        <w:rPr>
          <w:rFonts w:hint="eastAsia" w:ascii="仿宋" w:hAnsi="仿宋" w:eastAsia="仿宋" w:cs="仿宋"/>
          <w:sz w:val="32"/>
          <w:szCs w:val="32"/>
          <w:lang w:val="zh-CN"/>
        </w:rPr>
        <w:t>工作，</w:t>
      </w:r>
      <w:r>
        <w:rPr>
          <w:rFonts w:hint="eastAsia" w:ascii="仿宋" w:hAnsi="仿宋" w:eastAsia="仿宋" w:cs="仿宋"/>
          <w:sz w:val="32"/>
          <w:szCs w:val="32"/>
        </w:rPr>
        <w:t>强化监督机制，确保各项经费按时拨付。</w:t>
      </w:r>
      <w:r>
        <w:rPr>
          <w:rFonts w:hint="eastAsia" w:ascii="仿宋" w:hAnsi="仿宋" w:eastAsia="仿宋" w:cs="仿宋"/>
          <w:sz w:val="32"/>
          <w:szCs w:val="32"/>
          <w:lang w:val="zh-CN"/>
        </w:rPr>
        <w:t>经对我单位责任范围内</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lang w:val="zh-CN"/>
        </w:rPr>
        <w:t>年财政资金管理与使用等情况的清理，各项资金的拨付及管理均采用国库集中支付，且严格执行资金审批拨付制度，清理过程中未发现资金违法违规使用等问题。</w:t>
      </w:r>
    </w:p>
    <w:p w14:paraId="4809C375">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（三）决算编制情况</w:t>
      </w:r>
    </w:p>
    <w:p w14:paraId="3CFD1753">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1、2018年麻陇彝族乡人民政府支出决算总额为1294.50万元，其中：一般公共服务支出：498.67万元，农林水支出元319.40万元，社会保障和就业支出144.22万元，住房保障支出37.71万元。城乡社区支出（基金支出）284.84万元，公共安全支出2.34万元，结转结余支出为69.96万元。</w:t>
      </w:r>
    </w:p>
    <w:p w14:paraId="3D441002">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麻陇彝族族乡人民政府2018年无因公出国（境）情况；公务接待费支出0万元；2018年车辆运行维护费支出32.27万元，用于因公办事、下村、灾害救济、装载机道路维修维护等所需的公务用车燃料费、维修费、过路过桥费、保险费支出。</w:t>
      </w:r>
    </w:p>
    <w:p w14:paraId="5C8CCD78">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（四）支出绩效情况</w:t>
      </w:r>
    </w:p>
    <w:p w14:paraId="2F4810B6">
      <w:pPr>
        <w:spacing w:line="6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zh-CN"/>
        </w:rPr>
        <w:t>201</w:t>
      </w:r>
      <w:r>
        <w:rPr>
          <w:rFonts w:hint="eastAsia" w:ascii="仿宋" w:hAnsi="仿宋" w:eastAsia="仿宋" w:cs="仿宋"/>
          <w:sz w:val="32"/>
          <w:szCs w:val="32"/>
          <w:lang w:val="en-US" w:eastAsia="zh-CN"/>
        </w:rPr>
        <w:t>8</w:t>
      </w:r>
      <w:r>
        <w:rPr>
          <w:rFonts w:hint="eastAsia" w:ascii="仿宋" w:hAnsi="仿宋" w:eastAsia="仿宋" w:cs="仿宋"/>
          <w:sz w:val="32"/>
          <w:szCs w:val="32"/>
          <w:lang w:val="zh-CN"/>
        </w:rPr>
        <w:t>年麻陇彝族乡人民政府财政拨款支出</w:t>
      </w:r>
      <w:r>
        <w:rPr>
          <w:rFonts w:hint="eastAsia" w:ascii="仿宋" w:hAnsi="仿宋" w:eastAsia="仿宋" w:cs="仿宋"/>
          <w:sz w:val="32"/>
          <w:szCs w:val="32"/>
        </w:rPr>
        <w:t>为</w:t>
      </w:r>
      <w:r>
        <w:rPr>
          <w:rFonts w:hint="eastAsia" w:ascii="仿宋" w:hAnsi="仿宋" w:eastAsia="仿宋" w:cs="仿宋"/>
          <w:sz w:val="32"/>
          <w:szCs w:val="32"/>
          <w:lang w:val="en-US" w:eastAsia="zh-CN"/>
        </w:rPr>
        <w:t>我单位</w:t>
      </w:r>
      <w:r>
        <w:rPr>
          <w:rFonts w:hint="eastAsia" w:ascii="仿宋" w:hAnsi="仿宋" w:eastAsia="仿宋" w:cs="仿宋"/>
          <w:sz w:val="32"/>
          <w:szCs w:val="32"/>
          <w:lang w:val="zh-CN"/>
        </w:rPr>
        <w:t>机构正常运转、完成日常工作任务以及社会事业发展相关工作</w:t>
      </w:r>
      <w:r>
        <w:rPr>
          <w:rFonts w:hint="eastAsia" w:ascii="仿宋" w:hAnsi="仿宋" w:eastAsia="仿宋" w:cs="仿宋"/>
          <w:sz w:val="32"/>
          <w:szCs w:val="32"/>
        </w:rPr>
        <w:t>提供了有力保障，</w:t>
      </w:r>
      <w:r>
        <w:rPr>
          <w:rFonts w:hint="eastAsia" w:ascii="仿宋" w:hAnsi="仿宋" w:eastAsia="仿宋" w:cs="仿宋"/>
          <w:sz w:val="32"/>
          <w:szCs w:val="32"/>
          <w:lang w:val="en-US" w:eastAsia="zh-CN"/>
        </w:rPr>
        <w:t xml:space="preserve">2018年我乡加大对农业基础设施建设资金投入，配套完善农业基础设施，投资49.78万元；修建沟渠3.712千米，投资39万元；整治团山堡堰3.2千米。 </w:t>
      </w:r>
      <w:r>
        <w:rPr>
          <w:rFonts w:hint="eastAsia" w:ascii="仿宋" w:hAnsi="仿宋" w:eastAsia="仿宋" w:cs="仿宋"/>
          <w:sz w:val="32"/>
          <w:szCs w:val="32"/>
          <w:lang w:val="zh-CN" w:eastAsia="zh-CN"/>
        </w:rPr>
        <w:t>我乡积极争取上级资金，</w:t>
      </w:r>
      <w:r>
        <w:rPr>
          <w:rFonts w:hint="default" w:ascii="仿宋" w:hAnsi="仿宋" w:eastAsia="仿宋" w:cs="仿宋"/>
          <w:sz w:val="32"/>
          <w:szCs w:val="32"/>
          <w:lang w:val="zh-CN"/>
        </w:rPr>
        <w:t>充分整合</w:t>
      </w:r>
      <w:r>
        <w:rPr>
          <w:rFonts w:hint="eastAsia" w:ascii="仿宋" w:hAnsi="仿宋" w:eastAsia="仿宋" w:cs="仿宋"/>
          <w:sz w:val="32"/>
          <w:szCs w:val="32"/>
          <w:lang w:val="zh-CN" w:eastAsia="zh-CN"/>
        </w:rPr>
        <w:t>帮扶单位、</w:t>
      </w:r>
      <w:r>
        <w:rPr>
          <w:rFonts w:hint="default" w:ascii="仿宋" w:hAnsi="仿宋" w:eastAsia="仿宋" w:cs="仿宋"/>
          <w:sz w:val="32"/>
          <w:szCs w:val="32"/>
          <w:lang w:val="zh-CN"/>
        </w:rPr>
        <w:t>扶贫、民宗、交通、烟草、一事一议等资金，</w:t>
      </w:r>
      <w:r>
        <w:rPr>
          <w:rFonts w:hint="eastAsia" w:ascii="仿宋" w:hAnsi="仿宋" w:eastAsia="仿宋" w:cs="仿宋"/>
          <w:sz w:val="32"/>
          <w:szCs w:val="32"/>
          <w:lang w:val="en-US" w:eastAsia="zh-CN"/>
        </w:rPr>
        <w:t>道路硬化22.9千米，共投资1375.2464万元；新修板桥2座，共投资70万元；水泥桥3座，投资143.7717万元。急群众之所急，想群众之所想，切实解决群众</w:t>
      </w:r>
      <w:r>
        <w:rPr>
          <w:rFonts w:hint="default" w:ascii="仿宋" w:hAnsi="仿宋" w:eastAsia="仿宋" w:cs="仿宋"/>
          <w:sz w:val="32"/>
          <w:szCs w:val="32"/>
          <w:lang w:val="en-US" w:eastAsia="zh-CN"/>
        </w:rPr>
        <w:t>最迫切需要解决的道路、沟渠、饮水等民生项目。</w:t>
      </w:r>
      <w:r>
        <w:rPr>
          <w:rFonts w:hint="eastAsia" w:ascii="仿宋" w:hAnsi="仿宋" w:eastAsia="仿宋" w:cs="仿宋"/>
          <w:sz w:val="32"/>
          <w:szCs w:val="32"/>
          <w:lang w:val="en-US" w:eastAsia="zh-CN"/>
        </w:rPr>
        <w:t>全力推进</w:t>
      </w:r>
      <w:r>
        <w:rPr>
          <w:rFonts w:hint="default" w:ascii="仿宋" w:hAnsi="仿宋" w:eastAsia="仿宋" w:cs="仿宋"/>
          <w:sz w:val="32"/>
          <w:szCs w:val="32"/>
          <w:lang w:val="en-US" w:eastAsia="zh-CN"/>
        </w:rPr>
        <w:t>重点项目麻晃引水工程</w:t>
      </w:r>
      <w:r>
        <w:rPr>
          <w:rFonts w:hint="eastAsia" w:ascii="仿宋" w:hAnsi="仿宋" w:eastAsia="仿宋" w:cs="仿宋"/>
          <w:sz w:val="32"/>
          <w:szCs w:val="32"/>
          <w:lang w:val="en-US" w:eastAsia="zh-CN"/>
        </w:rPr>
        <w:t>建设，目前，麻陇标段的</w:t>
      </w:r>
      <w:r>
        <w:rPr>
          <w:rFonts w:hint="default" w:ascii="仿宋" w:hAnsi="仿宋" w:eastAsia="仿宋" w:cs="仿宋"/>
          <w:sz w:val="32"/>
          <w:szCs w:val="32"/>
          <w:lang w:val="en-US" w:eastAsia="zh-CN"/>
        </w:rPr>
        <w:t>麻晃引水工程</w:t>
      </w:r>
      <w:r>
        <w:rPr>
          <w:rFonts w:hint="eastAsia" w:ascii="仿宋" w:hAnsi="仿宋" w:eastAsia="仿宋" w:cs="仿宋"/>
          <w:sz w:val="32"/>
          <w:szCs w:val="32"/>
          <w:lang w:val="en-US" w:eastAsia="zh-CN"/>
        </w:rPr>
        <w:t>已完成了试水</w:t>
      </w:r>
      <w:r>
        <w:rPr>
          <w:rFonts w:hint="default" w:ascii="仿宋" w:hAnsi="仿宋" w:eastAsia="仿宋" w:cs="仿宋"/>
          <w:sz w:val="32"/>
          <w:szCs w:val="32"/>
          <w:lang w:val="en-US" w:eastAsia="zh-CN"/>
        </w:rPr>
        <w:t>。</w:t>
      </w:r>
    </w:p>
    <w:p w14:paraId="47652C3D">
      <w:pPr>
        <w:keepNext w:val="0"/>
        <w:keepLines w:val="0"/>
        <w:pageBreakBefore w:val="0"/>
        <w:kinsoku/>
        <w:wordWrap/>
        <w:overflowPunct/>
        <w:topLinePunct w:val="0"/>
        <w:autoSpaceDE/>
        <w:autoSpaceDN/>
        <w:bidi w:val="0"/>
        <w:adjustRightInd w:val="0"/>
        <w:snapToGrid w:val="0"/>
        <w:spacing w:line="600" w:lineRule="exact"/>
        <w:ind w:left="0" w:leftChars="0" w:right="0" w:rightChars="0" w:firstLine="720"/>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四、评价结论及建议</w:t>
      </w:r>
    </w:p>
    <w:p w14:paraId="50AE08EE">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（一）评价结论</w:t>
      </w:r>
    </w:p>
    <w:p w14:paraId="15D6827C">
      <w:pPr>
        <w:keepNext w:val="0"/>
        <w:keepLines w:val="0"/>
        <w:pageBreakBefore w:val="0"/>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根据部门整体支出绩效评价指标规定的内容，经我单位认真自评，</w:t>
      </w:r>
      <w:r>
        <w:rPr>
          <w:rFonts w:hint="eastAsia" w:ascii="仿宋" w:hAnsi="仿宋" w:eastAsia="仿宋" w:cs="仿宋"/>
          <w:sz w:val="32"/>
          <w:szCs w:val="32"/>
          <w:lang w:val="zh-CN"/>
        </w:rPr>
        <w:t>201</w:t>
      </w:r>
      <w:r>
        <w:rPr>
          <w:rFonts w:hint="eastAsia" w:ascii="仿宋" w:hAnsi="仿宋" w:eastAsia="仿宋" w:cs="仿宋"/>
          <w:sz w:val="32"/>
          <w:szCs w:val="32"/>
          <w:lang w:val="en-US" w:eastAsia="zh-CN"/>
        </w:rPr>
        <w:t>8</w:t>
      </w:r>
      <w:r>
        <w:rPr>
          <w:rFonts w:hint="eastAsia" w:ascii="仿宋" w:hAnsi="仿宋" w:eastAsia="仿宋" w:cs="仿宋"/>
          <w:sz w:val="32"/>
          <w:szCs w:val="32"/>
          <w:lang w:val="zh-CN"/>
        </w:rPr>
        <w:t>年度米易县麻陇彝族乡人民政府支出绩效评价（自评）总分</w:t>
      </w:r>
      <w:r>
        <w:rPr>
          <w:rFonts w:hint="eastAsia" w:ascii="仿宋" w:hAnsi="仿宋" w:eastAsia="仿宋" w:cs="仿宋"/>
          <w:color w:val="auto"/>
          <w:sz w:val="32"/>
          <w:szCs w:val="32"/>
          <w:lang w:val="zh-CN"/>
        </w:rPr>
        <w:t>为</w:t>
      </w:r>
      <w:r>
        <w:rPr>
          <w:rFonts w:hint="eastAsia" w:ascii="仿宋" w:hAnsi="仿宋" w:eastAsia="仿宋" w:cs="仿宋"/>
          <w:color w:val="auto"/>
          <w:sz w:val="32"/>
          <w:szCs w:val="32"/>
          <w:lang w:val="en-US" w:eastAsia="zh-CN"/>
        </w:rPr>
        <w:t>98</w:t>
      </w:r>
      <w:r>
        <w:rPr>
          <w:rFonts w:hint="eastAsia" w:ascii="仿宋" w:hAnsi="仿宋" w:eastAsia="仿宋" w:cs="仿宋"/>
          <w:color w:val="auto"/>
          <w:sz w:val="32"/>
          <w:szCs w:val="32"/>
          <w:lang w:val="zh-CN"/>
        </w:rPr>
        <w:t>分。</w:t>
      </w:r>
      <w:r>
        <w:rPr>
          <w:rFonts w:hint="eastAsia" w:ascii="仿宋" w:hAnsi="仿宋" w:eastAsia="仿宋" w:cs="仿宋"/>
          <w:sz w:val="32"/>
          <w:szCs w:val="32"/>
          <w:lang w:val="en-US" w:eastAsia="zh-CN"/>
        </w:rPr>
        <w:t>2018年</w:t>
      </w:r>
      <w:r>
        <w:rPr>
          <w:rFonts w:hint="eastAsia" w:ascii="仿宋" w:hAnsi="仿宋" w:eastAsia="仿宋" w:cs="仿宋"/>
          <w:sz w:val="32"/>
          <w:szCs w:val="32"/>
        </w:rPr>
        <w:t>我单位严格按照县级部门预算</w:t>
      </w:r>
      <w:r>
        <w:rPr>
          <w:rFonts w:hint="eastAsia" w:ascii="仿宋" w:hAnsi="仿宋" w:eastAsia="仿宋" w:cs="仿宋"/>
          <w:sz w:val="32"/>
          <w:szCs w:val="32"/>
          <w:lang w:eastAsia="zh-CN"/>
        </w:rPr>
        <w:t>、决算</w:t>
      </w:r>
      <w:r>
        <w:rPr>
          <w:rFonts w:hint="eastAsia" w:ascii="仿宋" w:hAnsi="仿宋" w:eastAsia="仿宋" w:cs="仿宋"/>
          <w:sz w:val="32"/>
          <w:szCs w:val="32"/>
        </w:rPr>
        <w:t>编制通知和有关要求，按时完成预算</w:t>
      </w:r>
      <w:r>
        <w:rPr>
          <w:rFonts w:hint="eastAsia" w:ascii="仿宋" w:hAnsi="仿宋" w:eastAsia="仿宋" w:cs="仿宋"/>
          <w:sz w:val="32"/>
          <w:szCs w:val="32"/>
          <w:lang w:eastAsia="zh-CN"/>
        </w:rPr>
        <w:t>、决算</w:t>
      </w:r>
      <w:r>
        <w:rPr>
          <w:rFonts w:hint="eastAsia" w:ascii="仿宋" w:hAnsi="仿宋" w:eastAsia="仿宋" w:cs="仿宋"/>
          <w:sz w:val="32"/>
          <w:szCs w:val="32"/>
        </w:rPr>
        <w:t>编制等工作，并按时提交预</w:t>
      </w:r>
      <w:r>
        <w:rPr>
          <w:rFonts w:hint="eastAsia" w:ascii="仿宋" w:hAnsi="仿宋" w:eastAsia="仿宋" w:cs="仿宋"/>
          <w:sz w:val="32"/>
          <w:szCs w:val="32"/>
          <w:lang w:eastAsia="zh-CN"/>
        </w:rPr>
        <w:t>决</w:t>
      </w:r>
      <w:r>
        <w:rPr>
          <w:rFonts w:hint="eastAsia" w:ascii="仿宋" w:hAnsi="仿宋" w:eastAsia="仿宋" w:cs="仿宋"/>
          <w:sz w:val="32"/>
          <w:szCs w:val="32"/>
        </w:rPr>
        <w:t>算草案</w:t>
      </w:r>
      <w:r>
        <w:rPr>
          <w:rFonts w:hint="eastAsia" w:ascii="仿宋" w:hAnsi="仿宋" w:eastAsia="仿宋" w:cs="仿宋"/>
          <w:sz w:val="32"/>
          <w:szCs w:val="32"/>
          <w:lang w:eastAsia="zh-CN"/>
        </w:rPr>
        <w:t>报</w:t>
      </w:r>
      <w:r>
        <w:rPr>
          <w:rFonts w:hint="eastAsia" w:ascii="仿宋" w:hAnsi="仿宋" w:eastAsia="仿宋" w:cs="仿宋"/>
          <w:sz w:val="32"/>
          <w:szCs w:val="32"/>
          <w:lang w:val="en-US" w:eastAsia="zh-CN"/>
        </w:rPr>
        <w:t>乡</w:t>
      </w:r>
      <w:r>
        <w:rPr>
          <w:rFonts w:hint="eastAsia" w:ascii="仿宋" w:hAnsi="仿宋" w:eastAsia="仿宋" w:cs="仿宋"/>
          <w:sz w:val="32"/>
          <w:szCs w:val="32"/>
          <w:lang w:eastAsia="zh-CN"/>
        </w:rPr>
        <w:t>人大常委会审议，及时在米易县公众信息网财政信息栏中公开。</w:t>
      </w:r>
      <w:r>
        <w:rPr>
          <w:rFonts w:hint="eastAsia" w:ascii="仿宋" w:hAnsi="仿宋" w:eastAsia="仿宋" w:cs="仿宋"/>
          <w:sz w:val="32"/>
          <w:szCs w:val="32"/>
          <w:lang w:val="zh-CN"/>
        </w:rPr>
        <w:t>我单位支出中各项资金的拨付及管理均采用国库集中支付，且严格执行资金审批拨付制度，</w:t>
      </w:r>
      <w:r>
        <w:rPr>
          <w:rFonts w:hint="eastAsia" w:ascii="仿宋" w:hAnsi="仿宋" w:eastAsia="仿宋" w:cs="仿宋"/>
          <w:sz w:val="32"/>
          <w:szCs w:val="32"/>
        </w:rPr>
        <w:t>各项支出确保了</w:t>
      </w:r>
      <w:r>
        <w:rPr>
          <w:rFonts w:hint="eastAsia" w:ascii="仿宋" w:hAnsi="仿宋" w:eastAsia="仿宋" w:cs="仿宋"/>
          <w:sz w:val="32"/>
          <w:szCs w:val="32"/>
          <w:lang w:val="zh-CN"/>
        </w:rPr>
        <w:t>机构正常运转，</w:t>
      </w:r>
      <w:r>
        <w:rPr>
          <w:rFonts w:hint="eastAsia" w:ascii="仿宋" w:hAnsi="仿宋" w:eastAsia="仿宋" w:cs="仿宋"/>
          <w:sz w:val="32"/>
          <w:szCs w:val="32"/>
        </w:rPr>
        <w:t>对各站所</w:t>
      </w:r>
      <w:r>
        <w:rPr>
          <w:rFonts w:hint="eastAsia" w:ascii="仿宋" w:hAnsi="仿宋" w:eastAsia="仿宋" w:cs="仿宋"/>
          <w:sz w:val="32"/>
          <w:szCs w:val="32"/>
          <w:lang w:val="zh-CN"/>
        </w:rPr>
        <w:t>完成日常工作任务以及社会事业发展相关工作</w:t>
      </w:r>
      <w:r>
        <w:rPr>
          <w:rFonts w:hint="eastAsia" w:ascii="仿宋" w:hAnsi="仿宋" w:eastAsia="仿宋" w:cs="仿宋"/>
          <w:sz w:val="32"/>
          <w:szCs w:val="32"/>
        </w:rPr>
        <w:t>提供了有力支持</w:t>
      </w:r>
      <w:r>
        <w:rPr>
          <w:rFonts w:hint="eastAsia" w:ascii="仿宋" w:hAnsi="仿宋" w:eastAsia="仿宋" w:cs="仿宋"/>
          <w:sz w:val="32"/>
          <w:szCs w:val="32"/>
          <w:lang w:val="zh-CN"/>
        </w:rPr>
        <w:t>。</w:t>
      </w:r>
    </w:p>
    <w:p w14:paraId="23FF824A">
      <w:pPr>
        <w:keepNext w:val="0"/>
        <w:keepLines w:val="0"/>
        <w:pageBreakBefore w:val="0"/>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zh-CN" w:eastAsia="zh-CN"/>
        </w:rPr>
      </w:pPr>
      <w:r>
        <w:rPr>
          <w:rFonts w:hint="eastAsia" w:ascii="仿宋" w:hAnsi="仿宋" w:eastAsia="仿宋" w:cs="仿宋"/>
          <w:b/>
          <w:bCs/>
          <w:sz w:val="32"/>
          <w:szCs w:val="32"/>
          <w:lang w:val="zh-CN"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val="zh-CN" w:eastAsia="zh-CN"/>
        </w:rPr>
        <w:t>）存在问题</w:t>
      </w:r>
    </w:p>
    <w:p w14:paraId="4954AEF7">
      <w:pPr>
        <w:keepNext w:val="0"/>
        <w:keepLines w:val="0"/>
        <w:pageBreakBefore w:val="0"/>
        <w:numPr>
          <w:ilvl w:val="0"/>
          <w:numId w:val="0"/>
        </w:numPr>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我乡财务人员更换频繁，专业知识不足，对业务知识掌握不足，不能很好的完成部分财务工作。</w:t>
      </w:r>
    </w:p>
    <w:p w14:paraId="1AE61F32">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3" w:firstLineChars="200"/>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（三）改进建议</w:t>
      </w:r>
    </w:p>
    <w:p w14:paraId="007A18A5">
      <w:pPr>
        <w:keepNext w:val="0"/>
        <w:keepLines w:val="0"/>
        <w:pageBreakBefore w:val="0"/>
        <w:numPr>
          <w:ilvl w:val="0"/>
          <w:numId w:val="0"/>
        </w:numPr>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1、招聘具有相关专业知识的人员担任财务工作；2、加强财务人员的专业学习，提高工作能力，</w:t>
      </w:r>
      <w:r>
        <w:rPr>
          <w:rFonts w:hint="eastAsia" w:ascii="仿宋" w:hAnsi="仿宋" w:eastAsia="仿宋" w:cs="仿宋"/>
          <w:sz w:val="32"/>
          <w:szCs w:val="32"/>
          <w:lang w:val="zh-CN"/>
        </w:rPr>
        <w:t>强化财政资金的监管，健全内部控制制度，规范财政资金的申报、管理、使用等，强化源头管控，建立健全</w:t>
      </w:r>
      <w:r>
        <w:rPr>
          <w:rFonts w:hint="eastAsia" w:ascii="仿宋" w:hAnsi="仿宋" w:eastAsia="仿宋" w:cs="仿宋"/>
          <w:sz w:val="32"/>
          <w:szCs w:val="32"/>
        </w:rPr>
        <w:t>财务支出监督</w:t>
      </w:r>
      <w:r>
        <w:rPr>
          <w:rFonts w:hint="eastAsia" w:ascii="仿宋" w:hAnsi="仿宋" w:eastAsia="仿宋" w:cs="仿宋"/>
          <w:sz w:val="32"/>
          <w:szCs w:val="32"/>
          <w:lang w:val="zh-CN"/>
        </w:rPr>
        <w:t>的长效机制。</w:t>
      </w:r>
    </w:p>
    <w:p w14:paraId="532C4273">
      <w:pPr>
        <w:keepNext w:val="0"/>
        <w:keepLines w:val="0"/>
        <w:pageBreakBefore w:val="0"/>
        <w:widowControl/>
        <w:tabs>
          <w:tab w:val="left" w:pos="8595"/>
        </w:tabs>
        <w:kinsoku/>
        <w:wordWrap/>
        <w:overflowPunct/>
        <w:topLinePunct w:val="0"/>
        <w:autoSpaceDE/>
        <w:autoSpaceDN/>
        <w:bidi w:val="0"/>
        <w:spacing w:line="600" w:lineRule="exact"/>
        <w:ind w:right="0" w:rightChars="0" w:firstLine="4800" w:firstLineChars="1500"/>
        <w:jc w:val="right"/>
        <w:textAlignment w:val="auto"/>
        <w:outlineLvl w:val="9"/>
        <w:rPr>
          <w:rFonts w:hint="eastAsia" w:ascii="仿宋" w:hAnsi="仿宋" w:eastAsia="仿宋" w:cs="仿宋"/>
          <w:sz w:val="32"/>
          <w:szCs w:val="32"/>
          <w:lang w:val="zh-CN"/>
        </w:rPr>
      </w:pPr>
    </w:p>
    <w:p w14:paraId="02D1B53B">
      <w:pPr>
        <w:keepNext w:val="0"/>
        <w:keepLines w:val="0"/>
        <w:pageBreakBefore w:val="0"/>
        <w:widowControl/>
        <w:tabs>
          <w:tab w:val="left" w:pos="8595"/>
        </w:tabs>
        <w:kinsoku/>
        <w:wordWrap/>
        <w:overflowPunct/>
        <w:topLinePunct w:val="0"/>
        <w:autoSpaceDE/>
        <w:autoSpaceDN/>
        <w:bidi w:val="0"/>
        <w:spacing w:line="600" w:lineRule="exact"/>
        <w:ind w:right="0" w:rightChars="0" w:firstLine="4800" w:firstLineChars="1500"/>
        <w:jc w:val="right"/>
        <w:textAlignment w:val="auto"/>
        <w:outlineLvl w:val="9"/>
        <w:rPr>
          <w:rFonts w:hint="eastAsia" w:ascii="仿宋" w:hAnsi="仿宋" w:eastAsia="仿宋" w:cs="仿宋"/>
          <w:sz w:val="32"/>
          <w:szCs w:val="32"/>
          <w:lang w:val="zh-CN"/>
        </w:rPr>
      </w:pPr>
    </w:p>
    <w:p w14:paraId="2A697DAC">
      <w:pPr>
        <w:keepNext w:val="0"/>
        <w:keepLines w:val="0"/>
        <w:pageBreakBefore w:val="0"/>
        <w:widowControl/>
        <w:tabs>
          <w:tab w:val="left" w:pos="8595"/>
        </w:tabs>
        <w:kinsoku/>
        <w:wordWrap/>
        <w:overflowPunct/>
        <w:topLinePunct w:val="0"/>
        <w:autoSpaceDE/>
        <w:autoSpaceDN/>
        <w:bidi w:val="0"/>
        <w:spacing w:line="600" w:lineRule="exact"/>
        <w:ind w:right="0" w:rightChars="0" w:firstLine="3840" w:firstLineChars="1200"/>
        <w:jc w:val="both"/>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zh-CN"/>
        </w:rPr>
        <w:t>米易县麻陇彝族乡人民政府</w:t>
      </w:r>
    </w:p>
    <w:p w14:paraId="1C4B5025">
      <w:pPr>
        <w:keepNext w:val="0"/>
        <w:keepLines w:val="0"/>
        <w:pageBreakBefore w:val="0"/>
        <w:widowControl/>
        <w:tabs>
          <w:tab w:val="left" w:pos="8595"/>
        </w:tabs>
        <w:kinsoku/>
        <w:wordWrap/>
        <w:overflowPunct/>
        <w:topLinePunct w:val="0"/>
        <w:autoSpaceDE/>
        <w:autoSpaceDN/>
        <w:bidi w:val="0"/>
        <w:spacing w:line="600" w:lineRule="exact"/>
        <w:ind w:left="0" w:leftChars="0" w:right="0" w:rightChars="0" w:firstLine="640" w:firstLineChars="200"/>
        <w:jc w:val="right"/>
        <w:textAlignment w:val="auto"/>
        <w:outlineLvl w:val="9"/>
        <w:rPr>
          <w:rFonts w:hint="eastAsia" w:ascii="仿宋" w:hAnsi="仿宋" w:eastAsia="仿宋" w:cs="仿宋"/>
          <w:sz w:val="32"/>
          <w:szCs w:val="32"/>
          <w:lang w:val="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201</w:t>
      </w:r>
      <w:r>
        <w:rPr>
          <w:rFonts w:hint="eastAsia" w:ascii="仿宋" w:hAnsi="仿宋" w:eastAsia="仿宋" w:cs="仿宋"/>
          <w:sz w:val="32"/>
          <w:szCs w:val="32"/>
          <w:lang w:val="en-US" w:eastAsia="zh-CN"/>
        </w:rPr>
        <w:t>9</w:t>
      </w:r>
      <w:r>
        <w:rPr>
          <w:rFonts w:hint="eastAsia" w:ascii="仿宋" w:hAnsi="仿宋" w:eastAsia="仿宋" w:cs="仿宋"/>
          <w:sz w:val="32"/>
          <w:szCs w:val="32"/>
          <w:lang w:val="zh-CN"/>
        </w:rPr>
        <w:t>年</w:t>
      </w:r>
      <w:r>
        <w:rPr>
          <w:rFonts w:hint="eastAsia" w:ascii="仿宋" w:hAnsi="仿宋" w:eastAsia="仿宋" w:cs="仿宋"/>
          <w:sz w:val="32"/>
          <w:szCs w:val="32"/>
          <w:lang w:val="en-US" w:eastAsia="zh-CN"/>
        </w:rPr>
        <w:t>5</w:t>
      </w:r>
      <w:r>
        <w:rPr>
          <w:rFonts w:hint="eastAsia" w:ascii="仿宋" w:hAnsi="仿宋" w:eastAsia="仿宋" w:cs="仿宋"/>
          <w:sz w:val="32"/>
          <w:szCs w:val="32"/>
          <w:lang w:val="zh-CN"/>
        </w:rPr>
        <w:t>月</w:t>
      </w:r>
      <w:r>
        <w:rPr>
          <w:rFonts w:hint="eastAsia" w:ascii="仿宋" w:hAnsi="仿宋" w:eastAsia="仿宋" w:cs="仿宋"/>
          <w:sz w:val="32"/>
          <w:szCs w:val="32"/>
          <w:lang w:val="en-US" w:eastAsia="zh-CN"/>
        </w:rPr>
        <w:t>24</w:t>
      </w:r>
      <w:r>
        <w:rPr>
          <w:rFonts w:hint="eastAsia" w:ascii="仿宋" w:hAnsi="仿宋" w:eastAsia="仿宋" w:cs="仿宋"/>
          <w:sz w:val="32"/>
          <w:szCs w:val="32"/>
          <w:lang w:val="zh-CN"/>
        </w:rPr>
        <w:t>日</w:t>
      </w:r>
    </w:p>
    <w:p w14:paraId="5D58D58D">
      <w:pPr>
        <w:rPr>
          <w:rFonts w:hint="eastAsia" w:ascii="黑体" w:hAnsi="黑体" w:eastAsia="黑体" w:cs="方正小标宋简体"/>
          <w:sz w:val="36"/>
          <w:szCs w:val="36"/>
        </w:rPr>
      </w:pPr>
    </w:p>
    <w:p w14:paraId="3FF47B7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0"/>
        <w:jc w:val="left"/>
        <w:rPr>
          <w:rFonts w:hint="eastAsia" w:ascii="微软雅黑" w:hAnsi="微软雅黑" w:eastAsia="微软雅黑" w:cs="微软雅黑"/>
          <w:i w:val="0"/>
          <w:caps w:val="0"/>
          <w:color w:val="333333"/>
          <w:spacing w:val="0"/>
          <w:sz w:val="27"/>
          <w:szCs w:val="27"/>
        </w:rPr>
      </w:pPr>
      <w:r>
        <w:rPr>
          <w:rStyle w:val="10"/>
          <w:rFonts w:ascii="仿宋" w:hAnsi="仿宋" w:eastAsia="仿宋" w:cs="仿宋"/>
          <w:i w:val="0"/>
          <w:caps w:val="0"/>
          <w:color w:val="000000"/>
          <w:spacing w:val="0"/>
          <w:sz w:val="32"/>
          <w:szCs w:val="32"/>
          <w:shd w:val="clear" w:fill="FFFFFF"/>
        </w:rPr>
        <w:t>附件</w:t>
      </w:r>
      <w:r>
        <w:rPr>
          <w:rStyle w:val="10"/>
          <w:rFonts w:ascii="Times New Roman" w:hAnsi="Times New Roman" w:eastAsia="微软雅黑" w:cs="Times New Roman"/>
          <w:i w:val="0"/>
          <w:caps w:val="0"/>
          <w:color w:val="000000"/>
          <w:spacing w:val="0"/>
          <w:sz w:val="32"/>
          <w:szCs w:val="32"/>
          <w:shd w:val="clear" w:fill="FFFFFF"/>
        </w:rPr>
        <w:t>2</w:t>
      </w:r>
    </w:p>
    <w:p w14:paraId="508E3CE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00"/>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shd w:val="clear" w:fill="FFFFFF"/>
        </w:rPr>
        <w:t> </w:t>
      </w:r>
    </w:p>
    <w:p w14:paraId="21047F8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0"/>
        <w:jc w:val="center"/>
        <w:rPr>
          <w:rFonts w:hint="eastAsia" w:ascii="微软雅黑" w:hAnsi="微软雅黑" w:eastAsia="微软雅黑" w:cs="微软雅黑"/>
          <w:i w:val="0"/>
          <w:caps w:val="0"/>
          <w:color w:val="333333"/>
          <w:spacing w:val="0"/>
          <w:sz w:val="27"/>
          <w:szCs w:val="27"/>
        </w:rPr>
      </w:pPr>
      <w:r>
        <w:rPr>
          <w:rFonts w:hint="eastAsia" w:ascii="方正小标宋简体" w:hAnsi="方正小标宋简体" w:eastAsia="方正小标宋简体" w:cs="方正小标宋简体"/>
          <w:i w:val="0"/>
          <w:caps w:val="0"/>
          <w:color w:val="000000"/>
          <w:spacing w:val="0"/>
          <w:sz w:val="44"/>
          <w:szCs w:val="44"/>
          <w:shd w:val="clear" w:fill="FFFFFF"/>
          <w:lang w:val="en-US" w:eastAsia="zh-CN"/>
        </w:rPr>
        <w:t>米易县麻陇彝族</w:t>
      </w:r>
      <w:r>
        <w:rPr>
          <w:rFonts w:ascii="方正小标宋简体" w:hAnsi="方正小标宋简体" w:eastAsia="方正小标宋简体" w:cs="方正小标宋简体"/>
          <w:i w:val="0"/>
          <w:caps w:val="0"/>
          <w:color w:val="000000"/>
          <w:spacing w:val="0"/>
          <w:sz w:val="44"/>
          <w:szCs w:val="44"/>
          <w:shd w:val="clear" w:fill="FFFFFF"/>
        </w:rPr>
        <w:t>乡</w:t>
      </w:r>
      <w:r>
        <w:rPr>
          <w:rFonts w:hint="default" w:ascii="Times New Roman" w:hAnsi="Times New Roman" w:eastAsia="微软雅黑" w:cs="Times New Roman"/>
          <w:i w:val="0"/>
          <w:caps w:val="0"/>
          <w:color w:val="000000"/>
          <w:spacing w:val="0"/>
          <w:sz w:val="44"/>
          <w:szCs w:val="44"/>
          <w:shd w:val="clear" w:fill="FFFFFF"/>
        </w:rPr>
        <w:t>2018</w:t>
      </w:r>
      <w:r>
        <w:rPr>
          <w:rFonts w:hint="eastAsia" w:ascii="方正小标宋简体" w:hAnsi="方正小标宋简体" w:eastAsia="方正小标宋简体" w:cs="方正小标宋简体"/>
          <w:i w:val="0"/>
          <w:caps w:val="0"/>
          <w:color w:val="000000"/>
          <w:spacing w:val="0"/>
          <w:sz w:val="44"/>
          <w:szCs w:val="44"/>
          <w:shd w:val="clear" w:fill="FFFFFF"/>
        </w:rPr>
        <w:t>年项目支出绩效自评报告</w:t>
      </w:r>
    </w:p>
    <w:p w14:paraId="2B9F4D4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0"/>
        <w:jc w:val="center"/>
        <w:rPr>
          <w:rFonts w:hint="eastAsia" w:ascii="微软雅黑" w:hAnsi="微软雅黑" w:eastAsia="微软雅黑" w:cs="微软雅黑"/>
          <w:i w:val="0"/>
          <w:caps w:val="0"/>
          <w:color w:val="333333"/>
          <w:spacing w:val="0"/>
          <w:sz w:val="27"/>
          <w:szCs w:val="27"/>
        </w:rPr>
      </w:pPr>
      <w:r>
        <w:rPr>
          <w:rFonts w:ascii="仿宋_GB2312" w:hAnsi="仿宋_GB2312" w:eastAsia="仿宋_GB2312" w:cs="仿宋_GB2312"/>
          <w:i w:val="0"/>
          <w:caps w:val="0"/>
          <w:color w:val="000000"/>
          <w:spacing w:val="0"/>
          <w:sz w:val="32"/>
          <w:szCs w:val="32"/>
          <w:shd w:val="clear" w:fill="FFFFFF"/>
        </w:rPr>
        <w:t>（</w:t>
      </w:r>
      <w:r>
        <w:rPr>
          <w:rFonts w:hint="default" w:ascii="Times New Roman" w:hAnsi="Times New Roman" w:eastAsia="微软雅黑" w:cs="Times New Roman"/>
          <w:i w:val="0"/>
          <w:caps w:val="0"/>
          <w:color w:val="000000"/>
          <w:spacing w:val="0"/>
          <w:sz w:val="32"/>
          <w:szCs w:val="32"/>
          <w:shd w:val="clear" w:fill="FFFFFF"/>
        </w:rPr>
        <w:t>201</w:t>
      </w:r>
      <w:r>
        <w:rPr>
          <w:rFonts w:hint="eastAsia" w:ascii="Times New Roman" w:hAnsi="Times New Roman" w:eastAsia="微软雅黑" w:cs="Times New Roman"/>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年基层组织活动和农村公共服务运行维护建设项目）</w:t>
      </w:r>
    </w:p>
    <w:p w14:paraId="64FE56A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_GB2312" w:hAnsi="仿宋_GB2312" w:eastAsia="仿宋_GB2312" w:cs="仿宋_GB2312"/>
          <w:i w:val="0"/>
          <w:caps w:val="0"/>
          <w:color w:val="000000"/>
          <w:spacing w:val="0"/>
          <w:sz w:val="32"/>
          <w:szCs w:val="32"/>
          <w:shd w:val="clear" w:fill="FFFFFF"/>
        </w:rPr>
        <w:t>一、项目概况</w:t>
      </w:r>
    </w:p>
    <w:p w14:paraId="29C542A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一</w:t>
      </w:r>
      <w:r>
        <w:rPr>
          <w:rFonts w:hint="default" w:ascii="Times New Roman" w:hAnsi="Times New Roman" w:eastAsia="微软雅黑" w:cs="Times New Roman"/>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rPr>
        <w:t>评价工作开展及项目</w:t>
      </w:r>
      <w:r>
        <w:rPr>
          <w:rFonts w:hint="eastAsia" w:ascii="仿宋_GB2312" w:hAnsi="仿宋_GB2312" w:eastAsia="仿宋_GB2312" w:cs="仿宋_GB2312"/>
          <w:i w:val="0"/>
          <w:caps w:val="0"/>
          <w:color w:val="000000"/>
          <w:spacing w:val="0"/>
          <w:sz w:val="32"/>
          <w:szCs w:val="32"/>
          <w:shd w:val="clear" w:fill="FFFFFF"/>
        </w:rPr>
        <w:t>基本情况</w:t>
      </w:r>
    </w:p>
    <w:p w14:paraId="35664C5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1.</w:t>
      </w:r>
      <w:r>
        <w:rPr>
          <w:rFonts w:hint="eastAsia" w:ascii="仿宋_GB2312" w:hAnsi="仿宋_GB2312" w:eastAsia="仿宋_GB2312" w:cs="仿宋_GB2312"/>
          <w:i w:val="0"/>
          <w:caps w:val="0"/>
          <w:color w:val="000000"/>
          <w:spacing w:val="0"/>
          <w:sz w:val="32"/>
          <w:szCs w:val="32"/>
          <w:shd w:val="clear" w:fill="FFFFFF"/>
        </w:rPr>
        <w:t>根据米易县财政局相关安排，我</w:t>
      </w:r>
      <w:r>
        <w:rPr>
          <w:rFonts w:hint="eastAsia" w:ascii="仿宋_GB2312" w:hAnsi="仿宋_GB2312" w:eastAsia="仿宋_GB2312" w:cs="仿宋_GB2312"/>
          <w:i w:val="0"/>
          <w:caps w:val="0"/>
          <w:color w:val="000000"/>
          <w:spacing w:val="0"/>
          <w:sz w:val="32"/>
          <w:szCs w:val="32"/>
          <w:shd w:val="clear" w:fill="FFFFFF"/>
          <w:lang w:val="en-US" w:eastAsia="zh-CN"/>
        </w:rPr>
        <w:t>单位</w:t>
      </w:r>
      <w:r>
        <w:rPr>
          <w:rFonts w:hint="default" w:ascii="Times New Roman" w:hAnsi="Times New Roman" w:eastAsia="微软雅黑" w:cs="Times New Roman"/>
          <w:i w:val="0"/>
          <w:caps w:val="0"/>
          <w:color w:val="000000"/>
          <w:spacing w:val="0"/>
          <w:sz w:val="32"/>
          <w:szCs w:val="32"/>
          <w:shd w:val="clear" w:fill="FFFFFF"/>
        </w:rPr>
        <w:t>2018</w:t>
      </w:r>
      <w:r>
        <w:rPr>
          <w:rFonts w:hint="eastAsia" w:ascii="仿宋_GB2312" w:hAnsi="仿宋_GB2312" w:eastAsia="仿宋_GB2312" w:cs="仿宋_GB2312"/>
          <w:i w:val="0"/>
          <w:caps w:val="0"/>
          <w:color w:val="000000"/>
          <w:spacing w:val="0"/>
          <w:sz w:val="32"/>
          <w:szCs w:val="32"/>
          <w:shd w:val="clear" w:fill="FFFFFF"/>
        </w:rPr>
        <w:t>年严格按省农村综合改革领导小组办公室关于《四川省农村公共服务运行维护机制工作手册》及《米易县农村公共服务运行维护建设机制实施方案》的要求，指导和督促各村严格按要求使用基层组织活动经费，做好辖区内急需维护的项目，不断提升农村公共服务保障能力。</w:t>
      </w:r>
    </w:p>
    <w:p w14:paraId="51655ED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2.</w:t>
      </w:r>
      <w:r>
        <w:rPr>
          <w:rFonts w:hint="eastAsia" w:ascii="Times New Roman" w:hAnsi="Times New Roman" w:eastAsia="微软雅黑" w:cs="Times New Roman"/>
          <w:i w:val="0"/>
          <w:caps w:val="0"/>
          <w:color w:val="000000"/>
          <w:spacing w:val="0"/>
          <w:sz w:val="32"/>
          <w:szCs w:val="32"/>
          <w:shd w:val="clear" w:fill="FFFFFF"/>
          <w:lang w:val="en-US" w:eastAsia="zh-CN"/>
        </w:rPr>
        <w:t>麻陇彝族</w:t>
      </w:r>
      <w:r>
        <w:rPr>
          <w:rFonts w:hint="eastAsia" w:ascii="仿宋_GB2312" w:hAnsi="仿宋_GB2312" w:eastAsia="仿宋_GB2312" w:cs="仿宋_GB2312"/>
          <w:i w:val="0"/>
          <w:caps w:val="0"/>
          <w:color w:val="000000"/>
          <w:spacing w:val="0"/>
          <w:sz w:val="32"/>
          <w:szCs w:val="32"/>
          <w:shd w:val="clear" w:fill="FFFFFF"/>
        </w:rPr>
        <w:t>乡辖</w:t>
      </w:r>
      <w:r>
        <w:rPr>
          <w:rFonts w:hint="eastAsia" w:ascii="仿宋_GB2312" w:hAnsi="仿宋_GB2312" w:eastAsia="仿宋_GB2312" w:cs="仿宋_GB2312"/>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个行政村，基层组织活动经费严格按要求支出，</w:t>
      </w:r>
      <w:r>
        <w:rPr>
          <w:rFonts w:hint="eastAsia" w:ascii="仿宋_GB2312" w:hAnsi="仿宋_GB2312" w:eastAsia="仿宋_GB2312" w:cs="仿宋_GB2312"/>
          <w:i w:val="0"/>
          <w:caps w:val="0"/>
          <w:color w:val="000000"/>
          <w:spacing w:val="0"/>
          <w:sz w:val="32"/>
          <w:szCs w:val="32"/>
          <w:shd w:val="clear" w:fill="FFFFFF"/>
          <w:lang w:val="en-US" w:eastAsia="zh-CN"/>
        </w:rPr>
        <w:t>做到开源节流</w:t>
      </w:r>
      <w:r>
        <w:rPr>
          <w:rFonts w:hint="eastAsia" w:ascii="仿宋_GB2312" w:hAnsi="仿宋_GB2312" w:eastAsia="仿宋_GB2312" w:cs="仿宋_GB2312"/>
          <w:i w:val="0"/>
          <w:caps w:val="0"/>
          <w:color w:val="000000"/>
          <w:spacing w:val="0"/>
          <w:sz w:val="32"/>
          <w:szCs w:val="32"/>
          <w:shd w:val="clear" w:fill="FFFFFF"/>
        </w:rPr>
        <w:t>。</w:t>
      </w:r>
    </w:p>
    <w:p w14:paraId="6F05805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3.201</w:t>
      </w:r>
      <w:r>
        <w:rPr>
          <w:rFonts w:hint="eastAsia" w:ascii="Times New Roman" w:hAnsi="Times New Roman" w:eastAsia="微软雅黑" w:cs="Times New Roman"/>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年共申报了</w:t>
      </w:r>
      <w:r>
        <w:rPr>
          <w:rFonts w:hint="eastAsia" w:ascii="仿宋_GB2312" w:hAnsi="仿宋_GB2312" w:eastAsia="仿宋_GB2312" w:cs="仿宋_GB2312"/>
          <w:i w:val="0"/>
          <w:caps w:val="0"/>
          <w:color w:val="000000"/>
          <w:spacing w:val="0"/>
          <w:sz w:val="32"/>
          <w:szCs w:val="32"/>
          <w:shd w:val="clear" w:fill="FFFFFF"/>
          <w:lang w:val="en-US" w:eastAsia="zh-CN"/>
        </w:rPr>
        <w:t>15</w:t>
      </w:r>
      <w:r>
        <w:rPr>
          <w:rFonts w:hint="eastAsia" w:ascii="仿宋_GB2312" w:hAnsi="仿宋_GB2312" w:eastAsia="仿宋_GB2312" w:cs="仿宋_GB2312"/>
          <w:i w:val="0"/>
          <w:caps w:val="0"/>
          <w:color w:val="000000"/>
          <w:spacing w:val="0"/>
          <w:sz w:val="32"/>
          <w:szCs w:val="32"/>
          <w:shd w:val="clear" w:fill="FFFFFF"/>
        </w:rPr>
        <w:t>个农村公共服务运行项目，主要维护方向为村内道路、农村基础设施和环境项目类其他等，总投资</w:t>
      </w:r>
      <w:r>
        <w:rPr>
          <w:rFonts w:hint="eastAsia" w:ascii="仿宋_GB2312" w:hAnsi="仿宋_GB2312" w:eastAsia="仿宋_GB2312" w:cs="仿宋_GB2312"/>
          <w:i w:val="0"/>
          <w:caps w:val="0"/>
          <w:color w:val="000000"/>
          <w:spacing w:val="0"/>
          <w:sz w:val="32"/>
          <w:szCs w:val="32"/>
          <w:shd w:val="clear" w:fill="FFFFFF"/>
          <w:lang w:val="en-US" w:eastAsia="zh-CN"/>
        </w:rPr>
        <w:t>39.8</w:t>
      </w:r>
      <w:r>
        <w:rPr>
          <w:rFonts w:hint="eastAsia" w:ascii="仿宋_GB2312" w:hAnsi="仿宋_GB2312" w:eastAsia="仿宋_GB2312" w:cs="仿宋_GB2312"/>
          <w:i w:val="0"/>
          <w:caps w:val="0"/>
          <w:color w:val="000000"/>
          <w:spacing w:val="0"/>
          <w:sz w:val="32"/>
          <w:szCs w:val="32"/>
          <w:shd w:val="clear" w:fill="FFFFFF"/>
        </w:rPr>
        <w:t>万元</w:t>
      </w:r>
      <w:r>
        <w:rPr>
          <w:rFonts w:hint="eastAsia" w:ascii="微软雅黑" w:hAnsi="微软雅黑" w:eastAsia="微软雅黑" w:cs="微软雅黑"/>
          <w:i w:val="0"/>
          <w:caps w:val="0"/>
          <w:color w:val="333333"/>
          <w:spacing w:val="0"/>
          <w:sz w:val="27"/>
          <w:szCs w:val="27"/>
          <w:shd w:val="clear" w:fill="FFFFFF"/>
        </w:rPr>
        <w:t> </w:t>
      </w:r>
      <w:r>
        <w:rPr>
          <w:rFonts w:hint="eastAsia" w:ascii="仿宋_GB2312" w:hAnsi="仿宋_GB2312" w:eastAsia="仿宋_GB2312" w:cs="仿宋_GB2312"/>
          <w:i w:val="0"/>
          <w:caps w:val="0"/>
          <w:color w:val="000000"/>
          <w:spacing w:val="0"/>
          <w:sz w:val="32"/>
          <w:szCs w:val="32"/>
          <w:shd w:val="clear" w:fill="FFFFFF"/>
        </w:rPr>
        <w:t>，为保障项目顺利进行，各村成立了工作领导小组，理财小组和质量监督小组，通过召开村民代表会议，对实施项目、内容、施工队伍选择等情况进行表决，充分保证了村民参与权、知情权、监督权。</w:t>
      </w:r>
    </w:p>
    <w:p w14:paraId="56A6D9D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52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 4</w:t>
      </w:r>
      <w:r>
        <w:rPr>
          <w:rFonts w:hint="eastAsia" w:ascii="仿宋_GB2312" w:hAnsi="仿宋_GB2312" w:eastAsia="仿宋_GB2312" w:cs="仿宋_GB2312"/>
          <w:i w:val="0"/>
          <w:caps w:val="0"/>
          <w:color w:val="000000"/>
          <w:spacing w:val="0"/>
          <w:sz w:val="32"/>
          <w:szCs w:val="32"/>
          <w:shd w:val="clear" w:fill="FFFFFF"/>
        </w:rPr>
        <w:t>、项目资金管理办法按照《米易县农村公共服务运行维护机制示范点奖励资金管理暂行办法》，我乡资金分配根据各村人口、幅员面积、地理区位、可实施项目、群众受益人数及上年项目实施效果为标准。每个项目经村、乡、县逐级审批。</w:t>
      </w:r>
    </w:p>
    <w:p w14:paraId="0859C4A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（二）项目绩效目标</w:t>
      </w:r>
    </w:p>
    <w:p w14:paraId="244F488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560" w:lineRule="atLeast"/>
        <w:ind w:left="0" w:right="0" w:firstLine="640"/>
        <w:jc w:val="left"/>
        <w:rPr>
          <w:rFonts w:hint="eastAsia" w:ascii="微软雅黑" w:hAnsi="微软雅黑" w:eastAsia="微软雅黑" w:cs="微软雅黑"/>
          <w:i w:val="0"/>
          <w:caps w:val="0"/>
          <w:color w:val="333333"/>
          <w:spacing w:val="0"/>
          <w:sz w:val="27"/>
          <w:szCs w:val="27"/>
          <w:lang w:eastAsia="zh-CN"/>
        </w:rPr>
      </w:pPr>
      <w:r>
        <w:rPr>
          <w:rFonts w:hint="default" w:ascii="Times New Roman" w:hAnsi="Times New Roman" w:eastAsia="微软雅黑" w:cs="Times New Roman"/>
          <w:i w:val="0"/>
          <w:caps w:val="0"/>
          <w:color w:val="000000"/>
          <w:spacing w:val="0"/>
          <w:sz w:val="32"/>
          <w:szCs w:val="32"/>
          <w:shd w:val="clear" w:fill="FFFFFF"/>
        </w:rPr>
        <w:t>1</w:t>
      </w:r>
      <w:r>
        <w:rPr>
          <w:rFonts w:hint="eastAsia" w:ascii="仿宋_GB2312" w:hAnsi="仿宋_GB2312" w:eastAsia="仿宋_GB2312" w:cs="仿宋_GB2312"/>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lang w:val="en-US" w:eastAsia="zh-CN"/>
        </w:rPr>
        <w:t>麻陇彝族</w:t>
      </w:r>
      <w:r>
        <w:rPr>
          <w:rFonts w:hint="eastAsia" w:ascii="仿宋_GB2312" w:hAnsi="仿宋_GB2312" w:eastAsia="仿宋_GB2312" w:cs="仿宋_GB2312"/>
          <w:i w:val="0"/>
          <w:caps w:val="0"/>
          <w:color w:val="000000"/>
          <w:spacing w:val="0"/>
          <w:sz w:val="32"/>
          <w:szCs w:val="32"/>
          <w:shd w:val="clear" w:fill="FFFFFF"/>
        </w:rPr>
        <w:t>乡</w:t>
      </w:r>
      <w:r>
        <w:rPr>
          <w:rFonts w:hint="default" w:ascii="Times New Roman" w:hAnsi="Times New Roman" w:eastAsia="微软雅黑" w:cs="Times New Roman"/>
          <w:i w:val="0"/>
          <w:caps w:val="0"/>
          <w:color w:val="000000"/>
          <w:spacing w:val="0"/>
          <w:sz w:val="32"/>
          <w:szCs w:val="32"/>
          <w:shd w:val="clear" w:fill="FFFFFF"/>
        </w:rPr>
        <w:t>201</w:t>
      </w:r>
      <w:r>
        <w:rPr>
          <w:rFonts w:hint="eastAsia" w:ascii="Times New Roman" w:hAnsi="Times New Roman" w:eastAsia="微软雅黑" w:cs="Times New Roman"/>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年度项目共实施</w:t>
      </w:r>
      <w:r>
        <w:rPr>
          <w:rFonts w:hint="eastAsia" w:ascii="仿宋_GB2312" w:hAnsi="仿宋_GB2312" w:eastAsia="仿宋_GB2312" w:cs="仿宋_GB2312"/>
          <w:i w:val="0"/>
          <w:caps w:val="0"/>
          <w:color w:val="000000"/>
          <w:spacing w:val="0"/>
          <w:sz w:val="32"/>
          <w:szCs w:val="32"/>
          <w:shd w:val="clear" w:fill="FFFFFF"/>
          <w:lang w:val="en-US" w:eastAsia="zh-CN"/>
        </w:rPr>
        <w:t>15</w:t>
      </w:r>
      <w:r>
        <w:rPr>
          <w:rFonts w:hint="eastAsia" w:ascii="仿宋_GB2312" w:hAnsi="仿宋_GB2312" w:eastAsia="仿宋_GB2312" w:cs="仿宋_GB2312"/>
          <w:i w:val="0"/>
          <w:caps w:val="0"/>
          <w:color w:val="000000"/>
          <w:spacing w:val="0"/>
          <w:sz w:val="32"/>
          <w:szCs w:val="32"/>
          <w:shd w:val="clear" w:fill="FFFFFF"/>
        </w:rPr>
        <w:t>个，</w:t>
      </w:r>
      <w:r>
        <w:rPr>
          <w:rFonts w:hint="eastAsia" w:ascii="仿宋_GB2312" w:hAnsi="仿宋_GB2312" w:eastAsia="仿宋_GB2312" w:cs="仿宋_GB2312"/>
          <w:i w:val="0"/>
          <w:caps w:val="0"/>
          <w:color w:val="000000"/>
          <w:spacing w:val="0"/>
          <w:sz w:val="32"/>
          <w:szCs w:val="32"/>
          <w:shd w:val="clear" w:fill="FFFFFF"/>
          <w:lang w:val="en-US" w:eastAsia="zh-CN"/>
        </w:rPr>
        <w:t>村内道路项目维护12</w:t>
      </w:r>
      <w:r>
        <w:rPr>
          <w:rFonts w:hint="eastAsia" w:ascii="仿宋_GB2312" w:hAnsi="仿宋_GB2312" w:eastAsia="仿宋_GB2312" w:cs="仿宋_GB2312"/>
          <w:i w:val="0"/>
          <w:caps w:val="0"/>
          <w:color w:val="000000"/>
          <w:spacing w:val="0"/>
          <w:sz w:val="32"/>
          <w:szCs w:val="32"/>
          <w:shd w:val="clear" w:fill="FFFFFF"/>
        </w:rPr>
        <w:t>个，财政资金</w:t>
      </w:r>
      <w:r>
        <w:rPr>
          <w:rFonts w:hint="eastAsia" w:ascii="仿宋_GB2312" w:hAnsi="仿宋_GB2312" w:eastAsia="仿宋_GB2312" w:cs="仿宋_GB2312"/>
          <w:i w:val="0"/>
          <w:caps w:val="0"/>
          <w:color w:val="000000"/>
          <w:spacing w:val="0"/>
          <w:sz w:val="32"/>
          <w:szCs w:val="32"/>
          <w:shd w:val="clear" w:fill="FFFFFF"/>
          <w:lang w:val="en-US" w:eastAsia="zh-CN"/>
        </w:rPr>
        <w:t>22.7万</w:t>
      </w:r>
      <w:r>
        <w:rPr>
          <w:rFonts w:hint="eastAsia" w:ascii="仿宋_GB2312" w:hAnsi="仿宋_GB2312" w:eastAsia="仿宋_GB2312" w:cs="仿宋_GB2312"/>
          <w:i w:val="0"/>
          <w:caps w:val="0"/>
          <w:color w:val="000000"/>
          <w:spacing w:val="0"/>
          <w:sz w:val="32"/>
          <w:szCs w:val="32"/>
          <w:shd w:val="clear" w:fill="FFFFFF"/>
        </w:rPr>
        <w:t>元，占总补助金额的</w:t>
      </w:r>
      <w:r>
        <w:rPr>
          <w:rFonts w:hint="eastAsia" w:ascii="仿宋_GB2312" w:hAnsi="仿宋_GB2312" w:eastAsia="仿宋_GB2312" w:cs="仿宋_GB2312"/>
          <w:i w:val="0"/>
          <w:caps w:val="0"/>
          <w:color w:val="000000"/>
          <w:spacing w:val="0"/>
          <w:sz w:val="32"/>
          <w:szCs w:val="32"/>
          <w:shd w:val="clear" w:fill="FFFFFF"/>
          <w:lang w:val="en-US" w:eastAsia="zh-CN"/>
        </w:rPr>
        <w:t>57.04</w:t>
      </w:r>
      <w:r>
        <w:rPr>
          <w:rFonts w:hint="default" w:ascii="Times New Roman" w:hAnsi="Times New Roman" w:eastAsia="微软雅黑" w:cs="Times New Roman"/>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；农村基础设施和环境类的其他</w:t>
      </w:r>
      <w:r>
        <w:rPr>
          <w:rFonts w:hint="eastAsia" w:ascii="仿宋_GB2312" w:hAnsi="仿宋_GB2312" w:eastAsia="仿宋_GB2312" w:cs="仿宋_GB2312"/>
          <w:i w:val="0"/>
          <w:caps w:val="0"/>
          <w:color w:val="000000"/>
          <w:spacing w:val="0"/>
          <w:sz w:val="32"/>
          <w:szCs w:val="32"/>
          <w:shd w:val="clear" w:fill="FFFFFF"/>
          <w:lang w:val="en-US" w:eastAsia="zh-CN"/>
        </w:rPr>
        <w:t>3</w:t>
      </w:r>
      <w:r>
        <w:rPr>
          <w:rFonts w:hint="eastAsia" w:ascii="仿宋_GB2312" w:hAnsi="仿宋_GB2312" w:eastAsia="仿宋_GB2312" w:cs="仿宋_GB2312"/>
          <w:i w:val="0"/>
          <w:caps w:val="0"/>
          <w:color w:val="000000"/>
          <w:spacing w:val="0"/>
          <w:sz w:val="32"/>
          <w:szCs w:val="32"/>
          <w:shd w:val="clear" w:fill="FFFFFF"/>
        </w:rPr>
        <w:t>个，财政资金</w:t>
      </w:r>
      <w:r>
        <w:rPr>
          <w:rFonts w:hint="eastAsia" w:ascii="仿宋_GB2312" w:hAnsi="仿宋_GB2312" w:eastAsia="仿宋_GB2312" w:cs="仿宋_GB2312"/>
          <w:i w:val="0"/>
          <w:caps w:val="0"/>
          <w:color w:val="000000"/>
          <w:spacing w:val="0"/>
          <w:sz w:val="32"/>
          <w:szCs w:val="32"/>
          <w:shd w:val="clear" w:fill="FFFFFF"/>
          <w:lang w:val="en-US" w:eastAsia="zh-CN"/>
        </w:rPr>
        <w:t>17.1万</w:t>
      </w:r>
      <w:r>
        <w:rPr>
          <w:rFonts w:hint="eastAsia" w:ascii="仿宋_GB2312" w:hAnsi="仿宋_GB2312" w:eastAsia="仿宋_GB2312" w:cs="仿宋_GB2312"/>
          <w:i w:val="0"/>
          <w:caps w:val="0"/>
          <w:color w:val="000000"/>
          <w:spacing w:val="0"/>
          <w:sz w:val="32"/>
          <w:szCs w:val="32"/>
          <w:shd w:val="clear" w:fill="FFFFFF"/>
        </w:rPr>
        <w:t>元，占总补助金额的</w:t>
      </w:r>
      <w:r>
        <w:rPr>
          <w:rFonts w:hint="eastAsia" w:ascii="仿宋_GB2312" w:hAnsi="仿宋_GB2312" w:eastAsia="仿宋_GB2312" w:cs="仿宋_GB2312"/>
          <w:i w:val="0"/>
          <w:caps w:val="0"/>
          <w:color w:val="000000"/>
          <w:spacing w:val="0"/>
          <w:sz w:val="32"/>
          <w:szCs w:val="32"/>
          <w:shd w:val="clear" w:fill="FFFFFF"/>
          <w:lang w:val="en-US" w:eastAsia="zh-CN"/>
        </w:rPr>
        <w:t>42.96</w:t>
      </w:r>
      <w:r>
        <w:rPr>
          <w:rFonts w:hint="default" w:ascii="Times New Roman" w:hAnsi="Times New Roman" w:eastAsia="微软雅黑" w:cs="Times New Roman"/>
          <w:i w:val="0"/>
          <w:caps w:val="0"/>
          <w:color w:val="000000"/>
          <w:spacing w:val="0"/>
          <w:sz w:val="32"/>
          <w:szCs w:val="32"/>
          <w:shd w:val="clear" w:fill="FFFFFF"/>
        </w:rPr>
        <w:t>%</w:t>
      </w:r>
      <w:r>
        <w:rPr>
          <w:rFonts w:hint="eastAsia" w:ascii="Times New Roman" w:hAnsi="Times New Roman" w:eastAsia="微软雅黑" w:cs="Times New Roman"/>
          <w:i w:val="0"/>
          <w:caps w:val="0"/>
          <w:color w:val="000000"/>
          <w:spacing w:val="0"/>
          <w:sz w:val="32"/>
          <w:szCs w:val="32"/>
          <w:shd w:val="clear" w:fill="FFFFFF"/>
          <w:lang w:eastAsia="zh-CN"/>
        </w:rPr>
        <w:t>。</w:t>
      </w:r>
    </w:p>
    <w:p w14:paraId="5A8A7FE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2</w:t>
      </w:r>
      <w:r>
        <w:rPr>
          <w:rFonts w:hint="eastAsia" w:ascii="仿宋_GB2312" w:hAnsi="仿宋_GB2312" w:eastAsia="仿宋_GB2312" w:cs="仿宋_GB2312"/>
          <w:i w:val="0"/>
          <w:caps w:val="0"/>
          <w:color w:val="000000"/>
          <w:spacing w:val="0"/>
          <w:sz w:val="32"/>
          <w:szCs w:val="32"/>
          <w:shd w:val="clear" w:fill="FFFFFF"/>
        </w:rPr>
        <w:t>、各村申报项目内容与实际相符，申报项目合理可行。</w:t>
      </w:r>
    </w:p>
    <w:p w14:paraId="15E21E2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_GB2312" w:hAnsi="仿宋_GB2312" w:eastAsia="仿宋_GB2312" w:cs="仿宋_GB2312"/>
          <w:i w:val="0"/>
          <w:caps w:val="0"/>
          <w:color w:val="000000"/>
          <w:spacing w:val="0"/>
          <w:sz w:val="32"/>
          <w:szCs w:val="32"/>
          <w:shd w:val="clear" w:fill="FFFFFF"/>
        </w:rPr>
        <w:t>二、项目实施及管理情况</w:t>
      </w:r>
    </w:p>
    <w:p w14:paraId="3F1E611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（一）资金计划、到位及使用情况。</w:t>
      </w:r>
    </w:p>
    <w:tbl>
      <w:tblPr>
        <w:tblStyle w:val="8"/>
        <w:tblW w:w="8310" w:type="dxa"/>
        <w:tblInd w:w="0" w:type="dxa"/>
        <w:shd w:val="clear" w:color="auto" w:fill="FFFFFF"/>
        <w:tblLayout w:type="fixed"/>
        <w:tblCellMar>
          <w:top w:w="0" w:type="dxa"/>
          <w:left w:w="0" w:type="dxa"/>
          <w:bottom w:w="0" w:type="dxa"/>
          <w:right w:w="0" w:type="dxa"/>
        </w:tblCellMar>
      </w:tblPr>
      <w:tblGrid>
        <w:gridCol w:w="2775"/>
        <w:gridCol w:w="1455"/>
        <w:gridCol w:w="1500"/>
        <w:gridCol w:w="1605"/>
        <w:gridCol w:w="975"/>
      </w:tblGrid>
      <w:tr w14:paraId="01388251">
        <w:tblPrEx>
          <w:shd w:val="clear" w:color="auto" w:fill="FFFFFF"/>
          <w:tblCellMar>
            <w:top w:w="0" w:type="dxa"/>
            <w:left w:w="0" w:type="dxa"/>
            <w:bottom w:w="0" w:type="dxa"/>
            <w:right w:w="0" w:type="dxa"/>
          </w:tblCellMar>
        </w:tblPrEx>
        <w:trPr>
          <w:trHeight w:val="915" w:hRule="atLeast"/>
        </w:trPr>
        <w:tc>
          <w:tcPr>
            <w:tcW w:w="2775"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3F33678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 xml:space="preserve"> 云盘村村委会维修设施维护项目</w:t>
            </w:r>
          </w:p>
        </w:tc>
        <w:tc>
          <w:tcPr>
            <w:tcW w:w="1455" w:type="dxa"/>
            <w:tcBorders>
              <w:top w:val="single" w:color="000000" w:sz="8" w:space="0"/>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E93BB3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1.5 农村基础设施和环境项目类的其他</w:t>
            </w:r>
          </w:p>
        </w:tc>
        <w:tc>
          <w:tcPr>
            <w:tcW w:w="1500" w:type="dxa"/>
            <w:tcBorders>
              <w:top w:val="single" w:color="000000" w:sz="8" w:space="0"/>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62F793C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黄庭莲</w:t>
            </w:r>
          </w:p>
        </w:tc>
        <w:tc>
          <w:tcPr>
            <w:tcW w:w="1605" w:type="dxa"/>
            <w:tcBorders>
              <w:top w:val="single" w:color="000000" w:sz="8" w:space="0"/>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465826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8万</w:t>
            </w:r>
          </w:p>
        </w:tc>
        <w:tc>
          <w:tcPr>
            <w:tcW w:w="975" w:type="dxa"/>
            <w:tcBorders>
              <w:top w:val="single" w:color="000000" w:sz="8" w:space="0"/>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590B5B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8万</w:t>
            </w:r>
          </w:p>
        </w:tc>
      </w:tr>
      <w:tr w14:paraId="7DA7D887">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678E9FC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云盘村道路清理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584EC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025BAE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张德华</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214275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D942A5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1.5万</w:t>
            </w:r>
          </w:p>
        </w:tc>
      </w:tr>
      <w:tr w14:paraId="391E7F3F">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7172E97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中心村道路维护</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E80D04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E901B3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卢德权</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5FE3C9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lang w:val="en-US" w:eastAsia="zh-CN"/>
              </w:rPr>
              <w:t>1.5万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40D92DB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lang w:val="en-US" w:eastAsia="zh-CN"/>
              </w:rPr>
              <w:t>1.5万</w:t>
            </w:r>
          </w:p>
        </w:tc>
      </w:tr>
      <w:tr w14:paraId="69E56BF4">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21F02D4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中心村道路清理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C9BCC6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8EE736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杨日呷</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2D36D6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Style w:val="10"/>
                <w:rFonts w:hint="eastAsia" w:ascii="Times New Roman" w:hAnsi="Times New Roman" w:eastAsia="微软雅黑" w:cs="Times New Roman"/>
                <w:i w:val="0"/>
                <w:caps w:val="0"/>
                <w:color w:val="000000"/>
                <w:spacing w:val="0"/>
                <w:sz w:val="24"/>
                <w:szCs w:val="24"/>
                <w:lang w:val="en-US" w:eastAsia="zh-CN"/>
              </w:rPr>
              <w:t>0.5万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4EB03B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Style w:val="10"/>
                <w:rFonts w:hint="eastAsia" w:ascii="Times New Roman" w:hAnsi="Times New Roman" w:eastAsia="微软雅黑" w:cs="Times New Roman"/>
                <w:i w:val="0"/>
                <w:caps w:val="0"/>
                <w:color w:val="000000"/>
                <w:spacing w:val="0"/>
                <w:sz w:val="24"/>
                <w:szCs w:val="24"/>
                <w:lang w:val="en-US" w:eastAsia="zh-CN"/>
              </w:rPr>
              <w:t>0.5万</w:t>
            </w:r>
          </w:p>
        </w:tc>
      </w:tr>
      <w:tr w14:paraId="20D1E188">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558317A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照壁村道路维护</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43BC75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224185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苏海龙</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FDFD75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4.2万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69954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4.2万</w:t>
            </w:r>
          </w:p>
        </w:tc>
      </w:tr>
      <w:tr w14:paraId="625E1FFD">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1A7EED2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照壁村道路清理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D715DA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6BE8F7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李东</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6DEC01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2C19EB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1.5万</w:t>
            </w:r>
          </w:p>
        </w:tc>
      </w:tr>
      <w:tr w14:paraId="60765963">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5169562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上红岩至卢家梁子道路清理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192D9B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BE7CD5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杨李</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C987D5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074DB6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4万</w:t>
            </w:r>
          </w:p>
        </w:tc>
      </w:tr>
      <w:tr w14:paraId="2A5D7BAF">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6412E47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红岩村道路清理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A88FEB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6674683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都健华</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AEC0F7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7577DD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1万</w:t>
            </w:r>
          </w:p>
        </w:tc>
      </w:tr>
      <w:tr w14:paraId="0283482C">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524CC8A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黄草坪道路清理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45C12F3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F5650C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 xml:space="preserve"> 陆显华</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B166A4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FE56D6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4.5万</w:t>
            </w:r>
          </w:p>
        </w:tc>
      </w:tr>
      <w:tr w14:paraId="11EFF9A3">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4F3D06C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庄房村道路清理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5F8E7E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92B21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勒则拉日</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389F5EA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2万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C60EDB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微软雅黑"/>
                <w:lang w:val="en-US" w:eastAsia="zh-CN"/>
              </w:rPr>
            </w:pPr>
            <w:r>
              <w:rPr>
                <w:rStyle w:val="10"/>
                <w:rFonts w:hint="default" w:ascii="Times New Roman" w:hAnsi="Times New Roman" w:eastAsia="微软雅黑" w:cs="Times New Roman"/>
                <w:i w:val="0"/>
                <w:caps w:val="0"/>
                <w:color w:val="000000"/>
                <w:spacing w:val="0"/>
                <w:sz w:val="24"/>
                <w:szCs w:val="24"/>
              </w:rPr>
              <w:t>2</w:t>
            </w:r>
            <w:r>
              <w:rPr>
                <w:rStyle w:val="10"/>
                <w:rFonts w:hint="eastAsia" w:ascii="Times New Roman" w:hAnsi="Times New Roman" w:eastAsia="微软雅黑" w:cs="Times New Roman"/>
                <w:i w:val="0"/>
                <w:caps w:val="0"/>
                <w:color w:val="000000"/>
                <w:spacing w:val="0"/>
                <w:sz w:val="24"/>
                <w:szCs w:val="24"/>
                <w:lang w:val="en-US" w:eastAsia="zh-CN"/>
              </w:rPr>
              <w:t>万</w:t>
            </w:r>
          </w:p>
        </w:tc>
      </w:tr>
      <w:tr w14:paraId="45149BAE">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669F114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庄房村桥梁维修</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3C2186A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455239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罗见友</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D9B2F5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802ED1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1万</w:t>
            </w:r>
          </w:p>
        </w:tc>
      </w:tr>
      <w:tr w14:paraId="532CD27A">
        <w:tblPrEx>
          <w:tblCellMar>
            <w:top w:w="0" w:type="dxa"/>
            <w:left w:w="0" w:type="dxa"/>
            <w:bottom w:w="0" w:type="dxa"/>
            <w:right w:w="0" w:type="dxa"/>
          </w:tblCellMar>
        </w:tblPrEx>
        <w:trPr>
          <w:trHeight w:val="9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6FA9DDB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新田村道路清理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3946014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3170785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李德才</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891FBC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0.5万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B70975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lang w:val="en-US" w:eastAsia="zh-CN"/>
              </w:rPr>
              <w:t>0.5万</w:t>
            </w:r>
          </w:p>
        </w:tc>
      </w:tr>
      <w:tr w14:paraId="53F71E96">
        <w:tblPrEx>
          <w:tblCellMar>
            <w:top w:w="0" w:type="dxa"/>
            <w:left w:w="0" w:type="dxa"/>
            <w:bottom w:w="0" w:type="dxa"/>
            <w:right w:w="0" w:type="dxa"/>
          </w:tblCellMar>
        </w:tblPrEx>
        <w:trPr>
          <w:trHeight w:val="1200"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7C947E2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新田村村委会维修</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0BFEB05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1.5 农村基础设施和环境项目类的其他</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3291F30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石国富</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16B924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both"/>
              <w:textAlignment w:val="center"/>
              <w:rPr>
                <w:rFonts w:hint="eastAsia" w:eastAsiaTheme="minorEastAsia"/>
                <w:lang w:val="en-US" w:eastAsia="zh-CN"/>
              </w:rPr>
            </w:pPr>
            <w:r>
              <w:rPr>
                <w:rFonts w:hint="eastAsia"/>
                <w:lang w:val="en-US" w:eastAsia="zh-CN"/>
              </w:rPr>
              <w:t>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239A3D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5万</w:t>
            </w:r>
          </w:p>
        </w:tc>
      </w:tr>
      <w:tr w14:paraId="6EC40A59">
        <w:tblPrEx>
          <w:tblCellMar>
            <w:top w:w="0" w:type="dxa"/>
            <w:left w:w="0" w:type="dxa"/>
            <w:bottom w:w="0" w:type="dxa"/>
            <w:right w:w="0" w:type="dxa"/>
          </w:tblCellMar>
        </w:tblPrEx>
        <w:trPr>
          <w:trHeight w:val="12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05E22BF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马井村道路清理</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5A636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1.1 村内道路</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748B684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黄志华</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1A31804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0.5万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2AED0F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0.5万</w:t>
            </w:r>
          </w:p>
        </w:tc>
      </w:tr>
      <w:tr w14:paraId="15803B4B">
        <w:tblPrEx>
          <w:tblCellMar>
            <w:top w:w="0" w:type="dxa"/>
            <w:left w:w="0" w:type="dxa"/>
            <w:bottom w:w="0" w:type="dxa"/>
            <w:right w:w="0" w:type="dxa"/>
          </w:tblCellMar>
        </w:tblPrEx>
        <w:trPr>
          <w:trHeight w:val="1215" w:hRule="atLeast"/>
        </w:trPr>
        <w:tc>
          <w:tcPr>
            <w:tcW w:w="2775" w:type="dxa"/>
            <w:tcBorders>
              <w:top w:val="nil"/>
              <w:left w:val="single" w:color="000000" w:sz="8" w:space="0"/>
              <w:bottom w:val="single" w:color="000000" w:sz="8" w:space="0"/>
              <w:right w:val="single" w:color="000000" w:sz="8" w:space="0"/>
            </w:tcBorders>
            <w:shd w:val="clear" w:color="auto" w:fill="FFFFFF"/>
            <w:tcMar>
              <w:top w:w="15" w:type="dxa"/>
              <w:left w:w="15" w:type="dxa"/>
              <w:bottom w:w="15" w:type="dxa"/>
              <w:right w:w="15" w:type="dxa"/>
            </w:tcMar>
            <w:vAlign w:val="center"/>
          </w:tcPr>
          <w:p w14:paraId="2D97101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马井村养殖场维护</w:t>
            </w:r>
          </w:p>
        </w:tc>
        <w:tc>
          <w:tcPr>
            <w:tcW w:w="145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2A85FF9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default" w:ascii="Times New Roman" w:hAnsi="Times New Roman" w:eastAsia="微软雅黑" w:cs="Times New Roman"/>
                <w:i w:val="0"/>
                <w:caps w:val="0"/>
                <w:color w:val="000000"/>
                <w:spacing w:val="0"/>
                <w:sz w:val="32"/>
                <w:szCs w:val="32"/>
              </w:rPr>
              <w:t>1.5 农村基础设施和环境项目类的其他</w:t>
            </w:r>
          </w:p>
        </w:tc>
        <w:tc>
          <w:tcPr>
            <w:tcW w:w="1500"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5354BEF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pPr>
            <w:r>
              <w:rPr>
                <w:rFonts w:hint="eastAsia" w:ascii="仿宋_GB2312" w:hAnsi="仿宋_GB2312" w:eastAsia="仿宋_GB2312" w:cs="仿宋_GB2312"/>
                <w:i w:val="0"/>
                <w:caps w:val="0"/>
                <w:color w:val="000000"/>
                <w:spacing w:val="0"/>
                <w:sz w:val="32"/>
                <w:szCs w:val="32"/>
              </w:rPr>
              <w:t>雷洪刚</w:t>
            </w:r>
          </w:p>
        </w:tc>
        <w:tc>
          <w:tcPr>
            <w:tcW w:w="160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4468409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4.1万</w:t>
            </w:r>
          </w:p>
        </w:tc>
        <w:tc>
          <w:tcPr>
            <w:tcW w:w="975" w:type="dxa"/>
            <w:tcBorders>
              <w:top w:val="nil"/>
              <w:left w:val="nil"/>
              <w:bottom w:val="single" w:color="000000" w:sz="8" w:space="0"/>
              <w:right w:val="single" w:color="000000" w:sz="8" w:space="0"/>
            </w:tcBorders>
            <w:shd w:val="clear" w:color="auto" w:fill="FFFFFF"/>
            <w:tcMar>
              <w:top w:w="15" w:type="dxa"/>
              <w:left w:w="15" w:type="dxa"/>
              <w:bottom w:w="15" w:type="dxa"/>
              <w:right w:w="15" w:type="dxa"/>
            </w:tcMar>
            <w:vAlign w:val="center"/>
          </w:tcPr>
          <w:p w14:paraId="67D748D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255" w:afterAutospacing="0"/>
              <w:ind w:left="0" w:right="0"/>
              <w:jc w:val="center"/>
              <w:textAlignment w:val="center"/>
              <w:rPr>
                <w:rFonts w:hint="eastAsia" w:eastAsiaTheme="minorEastAsia"/>
                <w:lang w:val="en-US" w:eastAsia="zh-CN"/>
              </w:rPr>
            </w:pPr>
            <w:r>
              <w:rPr>
                <w:rFonts w:hint="eastAsia"/>
                <w:lang w:val="en-US" w:eastAsia="zh-CN"/>
              </w:rPr>
              <w:t>4.1万</w:t>
            </w:r>
          </w:p>
        </w:tc>
      </w:tr>
    </w:tbl>
    <w:p w14:paraId="1B1CBEF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我乡农村公共服务运行机制所有项目资金都是省，市，县各级补助资金，全部放在支付中心建立专账核算，每年项目施工完成，考评验收合格，待年底所有项目完成后统一到支付中心兑付，支付依据合规合法，资金与预算相符，争取每一分钱都用在急需实施的项目上</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lang w:val="en-US" w:eastAsia="zh-CN"/>
        </w:rPr>
        <w:t>真正做到惠民</w:t>
      </w:r>
      <w:r>
        <w:rPr>
          <w:rFonts w:hint="eastAsia" w:ascii="仿宋_GB2312" w:hAnsi="仿宋_GB2312" w:eastAsia="仿宋_GB2312" w:cs="仿宋_GB2312"/>
          <w:i w:val="0"/>
          <w:caps w:val="0"/>
          <w:color w:val="000000"/>
          <w:spacing w:val="0"/>
          <w:sz w:val="32"/>
          <w:szCs w:val="32"/>
          <w:shd w:val="clear" w:fill="FFFFFF"/>
        </w:rPr>
        <w:t>。</w:t>
      </w:r>
    </w:p>
    <w:p w14:paraId="72DD629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（二）项目财务管理情况</w:t>
      </w:r>
    </w:p>
    <w:p w14:paraId="6FF60B7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仿宋_GB2312" w:cs="微软雅黑"/>
          <w:i w:val="0"/>
          <w:caps w:val="0"/>
          <w:color w:val="333333"/>
          <w:spacing w:val="0"/>
          <w:sz w:val="27"/>
          <w:szCs w:val="27"/>
          <w:lang w:eastAsia="zh-CN"/>
        </w:rPr>
      </w:pPr>
      <w:r>
        <w:rPr>
          <w:rFonts w:hint="eastAsia" w:ascii="仿宋_GB2312" w:hAnsi="仿宋_GB2312" w:eastAsia="仿宋_GB2312" w:cs="仿宋_GB2312"/>
          <w:i w:val="0"/>
          <w:caps w:val="0"/>
          <w:color w:val="000000"/>
          <w:spacing w:val="0"/>
          <w:sz w:val="32"/>
          <w:szCs w:val="32"/>
          <w:shd w:val="clear" w:fill="FFFFFF"/>
        </w:rPr>
        <w:t>项目资金实行报账制，县财政局先把资金转付到</w:t>
      </w:r>
      <w:r>
        <w:rPr>
          <w:rFonts w:hint="eastAsia" w:ascii="仿宋_GB2312" w:hAnsi="仿宋_GB2312" w:eastAsia="仿宋_GB2312" w:cs="仿宋_GB2312"/>
          <w:i w:val="0"/>
          <w:caps w:val="0"/>
          <w:color w:val="000000"/>
          <w:spacing w:val="0"/>
          <w:sz w:val="32"/>
          <w:szCs w:val="32"/>
          <w:shd w:val="clear" w:fill="FFFFFF"/>
          <w:lang w:val="en-US" w:eastAsia="zh-CN"/>
        </w:rPr>
        <w:t>普威</w:t>
      </w:r>
      <w:r>
        <w:rPr>
          <w:rFonts w:hint="eastAsia" w:ascii="仿宋_GB2312" w:hAnsi="仿宋_GB2312" w:eastAsia="仿宋_GB2312" w:cs="仿宋_GB2312"/>
          <w:i w:val="0"/>
          <w:caps w:val="0"/>
          <w:color w:val="000000"/>
          <w:spacing w:val="0"/>
          <w:sz w:val="32"/>
          <w:szCs w:val="32"/>
          <w:shd w:val="clear" w:fill="FFFFFF"/>
        </w:rPr>
        <w:t>支付中心，由支付中心监管，待年底村、乡两级验收合格后向县财政局申请报账，再由支付中心统一支付到各项目实施方</w:t>
      </w:r>
      <w:r>
        <w:rPr>
          <w:rFonts w:hint="eastAsia" w:ascii="仿宋_GB2312" w:hAnsi="仿宋_GB2312" w:eastAsia="仿宋_GB2312" w:cs="仿宋_GB2312"/>
          <w:i w:val="0"/>
          <w:caps w:val="0"/>
          <w:color w:val="000000"/>
          <w:spacing w:val="0"/>
          <w:sz w:val="32"/>
          <w:szCs w:val="32"/>
          <w:shd w:val="clear" w:fill="FFFFFF"/>
          <w:lang w:eastAsia="zh-CN"/>
        </w:rPr>
        <w:t>。</w:t>
      </w:r>
    </w:p>
    <w:p w14:paraId="10193E9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（三）项目组织实施情况</w:t>
      </w:r>
    </w:p>
    <w:p w14:paraId="47ACAEA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000000"/>
          <w:spacing w:val="0"/>
          <w:sz w:val="32"/>
          <w:szCs w:val="32"/>
          <w:shd w:val="clear" w:fill="FFFFFF"/>
        </w:rPr>
        <w:t>为保证农村公共服务运行维护机制建设项目有效实施，按照《通知》精神，我</w:t>
      </w:r>
      <w:r>
        <w:rPr>
          <w:rFonts w:hint="eastAsia" w:ascii="仿宋" w:hAnsi="仿宋" w:eastAsia="仿宋" w:cs="仿宋"/>
          <w:i w:val="0"/>
          <w:caps w:val="0"/>
          <w:color w:val="000000"/>
          <w:spacing w:val="0"/>
          <w:sz w:val="32"/>
          <w:szCs w:val="32"/>
          <w:shd w:val="clear" w:fill="FFFFFF"/>
          <w:lang w:val="en-US" w:eastAsia="zh-CN"/>
        </w:rPr>
        <w:t>单位</w:t>
      </w:r>
      <w:r>
        <w:rPr>
          <w:rFonts w:hint="eastAsia" w:ascii="仿宋" w:hAnsi="仿宋" w:eastAsia="仿宋" w:cs="仿宋"/>
          <w:i w:val="0"/>
          <w:caps w:val="0"/>
          <w:color w:val="000000"/>
          <w:spacing w:val="0"/>
          <w:sz w:val="32"/>
          <w:szCs w:val="32"/>
          <w:shd w:val="clear" w:fill="FFFFFF"/>
        </w:rPr>
        <w:t>制定了项目资金分配方案、项目考评标准、年终项目考评办法、项目实施方案等工作机制，规定运维项目的具体操作流程，保证运维项目的操作严格按照程序操作。</w:t>
      </w:r>
    </w:p>
    <w:p w14:paraId="2231568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各村进行项目征求意见，召开村民大会决议讨论项目是否实施，选择项目实施方，成立项目理财小组和质量监督小组，对项目实行全程监督。</w:t>
      </w:r>
    </w:p>
    <w:p w14:paraId="4BBDDC1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_GB2312" w:hAnsi="仿宋_GB2312" w:eastAsia="仿宋_GB2312" w:cs="仿宋_GB2312"/>
          <w:i w:val="0"/>
          <w:caps w:val="0"/>
          <w:color w:val="000000"/>
          <w:spacing w:val="0"/>
          <w:sz w:val="32"/>
          <w:szCs w:val="32"/>
          <w:shd w:val="clear" w:fill="FFFFFF"/>
        </w:rPr>
        <w:t>三、项目绩效情况</w:t>
      </w:r>
    </w:p>
    <w:p w14:paraId="0707485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（一）项目完成情况</w:t>
      </w:r>
    </w:p>
    <w:p w14:paraId="26658EC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截至目前</w:t>
      </w:r>
      <w:r>
        <w:rPr>
          <w:rFonts w:hint="eastAsia" w:ascii="仿宋_GB2312" w:hAnsi="仿宋_GB2312" w:eastAsia="仿宋_GB2312" w:cs="仿宋_GB2312"/>
          <w:i w:val="0"/>
          <w:caps w:val="0"/>
          <w:color w:val="000000"/>
          <w:spacing w:val="0"/>
          <w:sz w:val="32"/>
          <w:szCs w:val="32"/>
          <w:shd w:val="clear" w:fill="FFFFFF"/>
          <w:lang w:val="en-US" w:eastAsia="zh-CN"/>
        </w:rPr>
        <w:t>麻陇彝族乡</w:t>
      </w:r>
      <w:r>
        <w:rPr>
          <w:rFonts w:hint="default" w:ascii="Times New Roman" w:hAnsi="Times New Roman" w:eastAsia="微软雅黑" w:cs="Times New Roman"/>
          <w:i w:val="0"/>
          <w:caps w:val="0"/>
          <w:color w:val="000000"/>
          <w:spacing w:val="0"/>
          <w:sz w:val="32"/>
          <w:szCs w:val="32"/>
          <w:shd w:val="clear" w:fill="FFFFFF"/>
        </w:rPr>
        <w:t>201</w:t>
      </w:r>
      <w:r>
        <w:rPr>
          <w:rFonts w:hint="eastAsia" w:ascii="Times New Roman" w:hAnsi="Times New Roman" w:eastAsia="微软雅黑" w:cs="Times New Roman"/>
          <w:i w:val="0"/>
          <w:caps w:val="0"/>
          <w:color w:val="000000"/>
          <w:spacing w:val="0"/>
          <w:sz w:val="32"/>
          <w:szCs w:val="32"/>
          <w:shd w:val="clear" w:fill="FFFFFF"/>
          <w:lang w:val="en-US" w:eastAsia="zh-CN"/>
        </w:rPr>
        <w:t>8</w:t>
      </w:r>
      <w:r>
        <w:rPr>
          <w:rFonts w:hint="eastAsia" w:ascii="仿宋_GB2312" w:hAnsi="仿宋_GB2312" w:eastAsia="仿宋_GB2312" w:cs="仿宋_GB2312"/>
          <w:i w:val="0"/>
          <w:caps w:val="0"/>
          <w:color w:val="000000"/>
          <w:spacing w:val="0"/>
          <w:sz w:val="32"/>
          <w:szCs w:val="32"/>
          <w:shd w:val="clear" w:fill="FFFFFF"/>
        </w:rPr>
        <w:t>年的农村公共服务运行机制</w:t>
      </w:r>
      <w:r>
        <w:rPr>
          <w:rFonts w:hint="eastAsia" w:ascii="仿宋_GB2312" w:hAnsi="仿宋_GB2312" w:eastAsia="仿宋_GB2312" w:cs="仿宋_GB2312"/>
          <w:i w:val="0"/>
          <w:caps w:val="0"/>
          <w:color w:val="000000"/>
          <w:spacing w:val="0"/>
          <w:sz w:val="32"/>
          <w:szCs w:val="32"/>
          <w:shd w:val="clear" w:fill="FFFFFF"/>
          <w:lang w:val="en-US" w:eastAsia="zh-CN"/>
        </w:rPr>
        <w:t>15</w:t>
      </w:r>
      <w:r>
        <w:rPr>
          <w:rFonts w:hint="eastAsia" w:ascii="仿宋_GB2312" w:hAnsi="仿宋_GB2312" w:eastAsia="仿宋_GB2312" w:cs="仿宋_GB2312"/>
          <w:i w:val="0"/>
          <w:caps w:val="0"/>
          <w:color w:val="000000"/>
          <w:spacing w:val="0"/>
          <w:sz w:val="32"/>
          <w:szCs w:val="32"/>
          <w:shd w:val="clear" w:fill="FFFFFF"/>
        </w:rPr>
        <w:t>个项目已全部按质按量完成，受到群众极大的肯定。</w:t>
      </w:r>
    </w:p>
    <w:p w14:paraId="5140C7A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（二）项目效益情况</w:t>
      </w:r>
    </w:p>
    <w:p w14:paraId="14D58CD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eastAsia" w:ascii="仿宋_GB2312" w:hAnsi="仿宋_GB2312" w:eastAsia="仿宋_GB2312" w:cs="仿宋_GB2312"/>
          <w:i w:val="0"/>
          <w:caps w:val="0"/>
          <w:color w:val="000000"/>
          <w:spacing w:val="0"/>
          <w:sz w:val="32"/>
          <w:szCs w:val="32"/>
          <w:shd w:val="clear" w:fill="FFFFFF"/>
        </w:rPr>
        <w:t>项目实施好后，各项基础设施建设为群众提供了便利，如、村内道路方便群众出行，</w:t>
      </w:r>
      <w:r>
        <w:rPr>
          <w:rFonts w:hint="eastAsia" w:ascii="仿宋_GB2312" w:hAnsi="仿宋_GB2312" w:eastAsia="仿宋_GB2312" w:cs="仿宋_GB2312"/>
          <w:i w:val="0"/>
          <w:caps w:val="0"/>
          <w:color w:val="000000"/>
          <w:spacing w:val="0"/>
          <w:sz w:val="32"/>
          <w:szCs w:val="32"/>
          <w:shd w:val="clear" w:fill="FFFFFF"/>
          <w:lang w:val="en-US" w:eastAsia="zh-CN"/>
        </w:rPr>
        <w:t>基础</w:t>
      </w:r>
      <w:r>
        <w:rPr>
          <w:rFonts w:hint="eastAsia" w:ascii="仿宋_GB2312" w:hAnsi="仿宋_GB2312" w:eastAsia="仿宋_GB2312" w:cs="仿宋_GB2312"/>
          <w:i w:val="0"/>
          <w:caps w:val="0"/>
          <w:color w:val="000000"/>
          <w:spacing w:val="0"/>
          <w:sz w:val="32"/>
          <w:szCs w:val="32"/>
          <w:shd w:val="clear" w:fill="FFFFFF"/>
        </w:rPr>
        <w:t>设施项目为群众耕作提供水源保障。</w:t>
      </w:r>
    </w:p>
    <w:p w14:paraId="38F6DC6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3"/>
        <w:rPr>
          <w:rFonts w:hint="eastAsia" w:ascii="微软雅黑" w:hAnsi="微软雅黑" w:eastAsia="微软雅黑" w:cs="微软雅黑"/>
          <w:i w:val="0"/>
          <w:caps w:val="0"/>
          <w:color w:val="333333"/>
          <w:spacing w:val="0"/>
          <w:sz w:val="27"/>
          <w:szCs w:val="27"/>
        </w:rPr>
      </w:pPr>
      <w:r>
        <w:rPr>
          <w:rStyle w:val="10"/>
          <w:rFonts w:hint="eastAsia" w:ascii="仿宋_GB2312" w:hAnsi="仿宋_GB2312" w:eastAsia="仿宋_GB2312" w:cs="仿宋_GB2312"/>
          <w:i w:val="0"/>
          <w:caps w:val="0"/>
          <w:color w:val="000000"/>
          <w:spacing w:val="0"/>
          <w:sz w:val="32"/>
          <w:szCs w:val="32"/>
          <w:shd w:val="clear" w:fill="FFFFFF"/>
        </w:rPr>
        <w:t>四、问题及建议</w:t>
      </w:r>
    </w:p>
    <w:p w14:paraId="0F52B95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line="600" w:lineRule="atLeast"/>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1</w:t>
      </w:r>
      <w:r>
        <w:rPr>
          <w:rFonts w:hint="eastAsia" w:ascii="仿宋_GB2312" w:hAnsi="仿宋_GB2312" w:eastAsia="仿宋_GB2312" w:cs="仿宋_GB2312"/>
          <w:i w:val="0"/>
          <w:caps w:val="0"/>
          <w:color w:val="000000"/>
          <w:spacing w:val="0"/>
          <w:sz w:val="32"/>
          <w:szCs w:val="32"/>
          <w:shd w:val="clear" w:fill="FFFFFF"/>
        </w:rPr>
        <w:t>、项目的实施方便了人民群众的生产生活，切实为群众提供了便利，但由于资金量小，每年需要整治的项目多，特别是雨季过后</w:t>
      </w:r>
      <w:r>
        <w:rPr>
          <w:rFonts w:hint="eastAsia" w:ascii="仿宋_GB2312" w:hAnsi="仿宋_GB2312" w:eastAsia="仿宋_GB2312" w:cs="仿宋_GB2312"/>
          <w:i w:val="0"/>
          <w:caps w:val="0"/>
          <w:color w:val="000000"/>
          <w:spacing w:val="0"/>
          <w:sz w:val="32"/>
          <w:szCs w:val="32"/>
          <w:shd w:val="clear" w:fill="FFFFFF"/>
          <w:lang w:val="en-US" w:eastAsia="zh-CN"/>
        </w:rPr>
        <w:t>我乡</w:t>
      </w:r>
      <w:r>
        <w:rPr>
          <w:rFonts w:hint="eastAsia" w:ascii="仿宋_GB2312" w:hAnsi="仿宋_GB2312" w:eastAsia="仿宋_GB2312" w:cs="仿宋_GB2312"/>
          <w:i w:val="0"/>
          <w:caps w:val="0"/>
          <w:color w:val="000000"/>
          <w:spacing w:val="0"/>
          <w:sz w:val="32"/>
          <w:szCs w:val="32"/>
          <w:shd w:val="clear" w:fill="FFFFFF"/>
        </w:rPr>
        <w:t>各村出现公路垮塌情况多，资金无法安排完各个实施类型。</w:t>
      </w:r>
    </w:p>
    <w:p w14:paraId="334750C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55" w:beforeAutospacing="0" w:after="255" w:afterAutospacing="0"/>
        <w:ind w:left="0" w:right="0" w:firstLine="640"/>
        <w:rPr>
          <w:rFonts w:hint="eastAsia" w:ascii="微软雅黑" w:hAnsi="微软雅黑" w:eastAsia="微软雅黑" w:cs="微软雅黑"/>
          <w:i w:val="0"/>
          <w:caps w:val="0"/>
          <w:color w:val="333333"/>
          <w:spacing w:val="0"/>
          <w:sz w:val="27"/>
          <w:szCs w:val="27"/>
        </w:rPr>
      </w:pPr>
      <w:r>
        <w:rPr>
          <w:rFonts w:hint="default" w:ascii="Times New Roman" w:hAnsi="Times New Roman" w:eastAsia="微软雅黑" w:cs="Times New Roman"/>
          <w:i w:val="0"/>
          <w:caps w:val="0"/>
          <w:color w:val="000000"/>
          <w:spacing w:val="0"/>
          <w:sz w:val="32"/>
          <w:szCs w:val="32"/>
          <w:shd w:val="clear" w:fill="FFFFFF"/>
        </w:rPr>
        <w:t>2</w:t>
      </w:r>
      <w:r>
        <w:rPr>
          <w:rFonts w:hint="eastAsia" w:ascii="仿宋_GB2312" w:hAnsi="仿宋_GB2312" w:eastAsia="仿宋_GB2312" w:cs="仿宋_GB2312"/>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rPr>
        <w:t>我乡幅员面积广，农户分散，基础设施特别是道路、沟堰等许多都是未硬化过的土路、土沟，雨季来临时特别容易发生垮塌，同时我乡摩托车用户很多，土路极易被压坏，路况非常差，急需修补，基础设施的维护只是针对已硬化的设施，所以我乡有很多需要维护的道路、沟堰等不能纳入项目范围。根据我乡实际情况，建议将困难偏远地区的土路、土沟也纳入项目范</w:t>
      </w:r>
    </w:p>
    <w:p w14:paraId="662A6A98"/>
    <w:p w14:paraId="2C87B6CD">
      <w:pPr>
        <w:rPr>
          <w:rFonts w:hint="eastAsia" w:ascii="黑体" w:hAnsi="黑体" w:eastAsia="黑体" w:cs="方正小标宋简体"/>
          <w:sz w:val="36"/>
          <w:szCs w:val="36"/>
        </w:rPr>
      </w:pPr>
    </w:p>
    <w:p w14:paraId="5AABF3C5">
      <w:pPr>
        <w:spacing w:line="600" w:lineRule="exact"/>
        <w:jc w:val="center"/>
        <w:outlineLvl w:val="0"/>
        <w:rPr>
          <w:rStyle w:val="14"/>
          <w:rFonts w:hint="eastAsia" w:ascii="黑体" w:hAnsi="黑体" w:eastAsia="黑体"/>
          <w:b w:val="0"/>
        </w:rPr>
      </w:pPr>
      <w:bookmarkStart w:id="8" w:name="_Toc15396618"/>
      <w:r>
        <w:rPr>
          <w:rFonts w:hint="eastAsia" w:ascii="黑体" w:hAnsi="黑体" w:eastAsia="黑体"/>
          <w:color w:val="000000"/>
          <w:sz w:val="44"/>
          <w:szCs w:val="44"/>
        </w:rPr>
        <w:t>第</w:t>
      </w:r>
      <w:r>
        <w:rPr>
          <w:rStyle w:val="14"/>
          <w:rFonts w:hint="eastAsia" w:ascii="黑体" w:hAnsi="黑体" w:eastAsia="黑体"/>
          <w:b w:val="0"/>
        </w:rPr>
        <w:t>五部分</w:t>
      </w:r>
      <w:r>
        <w:rPr>
          <w:rStyle w:val="14"/>
          <w:rFonts w:ascii="黑体" w:hAnsi="黑体" w:eastAsia="黑体"/>
          <w:b w:val="0"/>
        </w:rPr>
        <w:t xml:space="preserve"> </w:t>
      </w:r>
      <w:r>
        <w:rPr>
          <w:rStyle w:val="14"/>
          <w:rFonts w:hint="eastAsia" w:ascii="黑体" w:hAnsi="黑体" w:eastAsia="黑体"/>
          <w:b w:val="0"/>
        </w:rPr>
        <w:t>附表</w:t>
      </w:r>
      <w:bookmarkEnd w:id="8"/>
      <w:bookmarkStart w:id="9" w:name="_Toc15396619"/>
    </w:p>
    <w:p w14:paraId="3865B039">
      <w:pPr>
        <w:spacing w:line="600" w:lineRule="exact"/>
        <w:outlineLvl w:val="0"/>
        <w:rPr>
          <w:rFonts w:hint="eastAsia" w:ascii="仿宋" w:hAnsi="仿宋" w:eastAsia="仿宋"/>
          <w:bCs/>
          <w:color w:val="000000"/>
          <w:sz w:val="32"/>
          <w:szCs w:val="32"/>
        </w:rPr>
      </w:pPr>
      <w:r>
        <w:rPr>
          <w:rFonts w:hint="eastAsia" w:ascii="仿宋" w:hAnsi="仿宋" w:eastAsia="仿宋"/>
          <w:bCs/>
          <w:color w:val="000000"/>
          <w:sz w:val="32"/>
          <w:szCs w:val="32"/>
        </w:rPr>
        <w:t>一、收入支出决算总表</w:t>
      </w:r>
      <w:bookmarkEnd w:id="9"/>
    </w:p>
    <w:p w14:paraId="51D1E31B">
      <w:pPr>
        <w:pStyle w:val="3"/>
        <w:spacing w:line="400" w:lineRule="exact"/>
        <w:rPr>
          <w:rFonts w:ascii="仿宋" w:hAnsi="仿宋" w:eastAsia="仿宋"/>
          <w:b w:val="0"/>
          <w:color w:val="000000"/>
        </w:rPr>
      </w:pPr>
      <w:bookmarkStart w:id="10" w:name="_Toc15396620"/>
      <w:r>
        <w:rPr>
          <w:rFonts w:hint="eastAsia" w:ascii="仿宋" w:hAnsi="仿宋" w:eastAsia="仿宋"/>
          <w:b w:val="0"/>
          <w:color w:val="000000"/>
        </w:rPr>
        <w:t>二、收</w:t>
      </w:r>
      <w:r>
        <w:rPr>
          <w:rFonts w:hint="eastAsia"/>
          <w:b w:val="0"/>
          <w:bCs w:val="0"/>
          <w:color w:val="000000"/>
        </w:rPr>
        <w:t>入总表</w:t>
      </w:r>
      <w:bookmarkEnd w:id="10"/>
    </w:p>
    <w:p w14:paraId="1DB08771">
      <w:pPr>
        <w:pStyle w:val="3"/>
        <w:spacing w:line="400" w:lineRule="exact"/>
        <w:rPr>
          <w:rFonts w:ascii="仿宋" w:hAnsi="仿宋" w:eastAsia="仿宋"/>
          <w:color w:val="000000"/>
        </w:rPr>
      </w:pPr>
      <w:bookmarkStart w:id="11" w:name="_Toc15396621"/>
      <w:r>
        <w:rPr>
          <w:rStyle w:val="15"/>
          <w:rFonts w:hint="eastAsia" w:ascii="仿宋" w:hAnsi="仿宋" w:eastAsia="仿宋"/>
          <w:b w:val="0"/>
          <w:bCs w:val="0"/>
        </w:rPr>
        <w:t>三、</w:t>
      </w:r>
      <w:r>
        <w:rPr>
          <w:rFonts w:hint="eastAsia" w:ascii="仿宋" w:hAnsi="仿宋" w:eastAsia="仿宋"/>
          <w:b w:val="0"/>
          <w:color w:val="000000"/>
        </w:rPr>
        <w:t>支</w:t>
      </w:r>
      <w:r>
        <w:rPr>
          <w:rStyle w:val="15"/>
          <w:rFonts w:hint="eastAsia" w:ascii="仿宋" w:hAnsi="仿宋" w:eastAsia="仿宋"/>
          <w:b w:val="0"/>
          <w:bCs w:val="0"/>
        </w:rPr>
        <w:t>出总表</w:t>
      </w:r>
      <w:bookmarkEnd w:id="11"/>
    </w:p>
    <w:p w14:paraId="5337738F">
      <w:pPr>
        <w:pStyle w:val="3"/>
        <w:spacing w:line="400" w:lineRule="exact"/>
        <w:rPr>
          <w:rFonts w:ascii="仿宋" w:hAnsi="仿宋" w:eastAsia="仿宋"/>
          <w:b w:val="0"/>
          <w:color w:val="000000"/>
        </w:rPr>
      </w:pPr>
      <w:bookmarkStart w:id="12" w:name="_Toc15396622"/>
      <w:r>
        <w:rPr>
          <w:rStyle w:val="15"/>
          <w:rFonts w:hint="eastAsia" w:ascii="仿宋" w:hAnsi="仿宋" w:eastAsia="仿宋"/>
          <w:b w:val="0"/>
          <w:bCs w:val="0"/>
        </w:rPr>
        <w:t>四、</w:t>
      </w:r>
      <w:r>
        <w:rPr>
          <w:rFonts w:hint="eastAsia" w:ascii="仿宋" w:hAnsi="仿宋" w:eastAsia="仿宋"/>
          <w:b w:val="0"/>
          <w:color w:val="000000"/>
        </w:rPr>
        <w:t>财</w:t>
      </w:r>
      <w:r>
        <w:rPr>
          <w:rStyle w:val="15"/>
          <w:rFonts w:hint="eastAsia" w:ascii="仿宋" w:hAnsi="仿宋" w:eastAsia="仿宋"/>
          <w:b w:val="0"/>
          <w:bCs w:val="0"/>
        </w:rPr>
        <w:t>政拨款收入支出决算总表</w:t>
      </w:r>
      <w:bookmarkEnd w:id="12"/>
    </w:p>
    <w:p w14:paraId="17B61196">
      <w:pPr>
        <w:pStyle w:val="3"/>
        <w:spacing w:line="400" w:lineRule="exact"/>
        <w:rPr>
          <w:rFonts w:ascii="仿宋" w:hAnsi="仿宋" w:eastAsia="仿宋"/>
          <w:color w:val="000000"/>
        </w:rPr>
      </w:pPr>
      <w:bookmarkStart w:id="13" w:name="_Toc15396623"/>
      <w:r>
        <w:rPr>
          <w:rStyle w:val="15"/>
          <w:rFonts w:hint="eastAsia" w:ascii="仿宋" w:hAnsi="仿宋" w:eastAsia="仿宋"/>
          <w:b w:val="0"/>
          <w:bCs w:val="0"/>
        </w:rPr>
        <w:t>五、</w:t>
      </w:r>
      <w:r>
        <w:rPr>
          <w:rFonts w:hint="eastAsia" w:ascii="仿宋" w:hAnsi="仿宋" w:eastAsia="仿宋"/>
          <w:b w:val="0"/>
          <w:color w:val="000000"/>
        </w:rPr>
        <w:t>财</w:t>
      </w:r>
      <w:r>
        <w:rPr>
          <w:rStyle w:val="15"/>
          <w:rFonts w:hint="eastAsia" w:ascii="仿宋" w:hAnsi="仿宋" w:eastAsia="仿宋"/>
          <w:b w:val="0"/>
          <w:bCs w:val="0"/>
        </w:rPr>
        <w:t>政拨款支出决算明细表（政府经济分类科目）</w:t>
      </w:r>
      <w:bookmarkEnd w:id="13"/>
    </w:p>
    <w:p w14:paraId="763FEB92">
      <w:pPr>
        <w:pStyle w:val="3"/>
        <w:spacing w:line="400" w:lineRule="exact"/>
        <w:rPr>
          <w:rFonts w:ascii="仿宋" w:hAnsi="仿宋" w:eastAsia="仿宋"/>
          <w:color w:val="000000"/>
        </w:rPr>
      </w:pPr>
      <w:bookmarkStart w:id="14" w:name="_Toc15396624"/>
      <w:r>
        <w:rPr>
          <w:rStyle w:val="15"/>
          <w:rFonts w:hint="eastAsia" w:ascii="仿宋" w:hAnsi="仿宋" w:eastAsia="仿宋"/>
          <w:b w:val="0"/>
          <w:bCs w:val="0"/>
        </w:rPr>
        <w:t>六、</w:t>
      </w:r>
      <w:r>
        <w:rPr>
          <w:rFonts w:hint="eastAsia" w:ascii="仿宋" w:hAnsi="仿宋" w:eastAsia="仿宋"/>
          <w:b w:val="0"/>
          <w:color w:val="000000"/>
        </w:rPr>
        <w:t>一</w:t>
      </w:r>
      <w:r>
        <w:rPr>
          <w:rStyle w:val="15"/>
          <w:rFonts w:hint="eastAsia" w:ascii="仿宋" w:hAnsi="仿宋" w:eastAsia="仿宋"/>
          <w:b w:val="0"/>
          <w:bCs w:val="0"/>
        </w:rPr>
        <w:t>般公共预算财政拨款支出决算表</w:t>
      </w:r>
      <w:bookmarkEnd w:id="14"/>
    </w:p>
    <w:p w14:paraId="38B1DE20">
      <w:pPr>
        <w:pStyle w:val="3"/>
        <w:spacing w:line="400" w:lineRule="exact"/>
        <w:rPr>
          <w:rFonts w:ascii="仿宋" w:hAnsi="仿宋" w:eastAsia="仿宋"/>
          <w:color w:val="000000"/>
        </w:rPr>
      </w:pPr>
      <w:bookmarkStart w:id="15" w:name="_Toc15396625"/>
      <w:r>
        <w:rPr>
          <w:rStyle w:val="15"/>
          <w:rFonts w:hint="eastAsia" w:ascii="仿宋" w:hAnsi="仿宋" w:eastAsia="仿宋"/>
          <w:b w:val="0"/>
          <w:bCs w:val="0"/>
        </w:rPr>
        <w:t>七、</w:t>
      </w:r>
      <w:r>
        <w:rPr>
          <w:rFonts w:hint="eastAsia" w:ascii="仿宋" w:hAnsi="仿宋" w:eastAsia="仿宋"/>
          <w:b w:val="0"/>
          <w:color w:val="000000"/>
        </w:rPr>
        <w:t>一</w:t>
      </w:r>
      <w:r>
        <w:rPr>
          <w:rStyle w:val="15"/>
          <w:rFonts w:hint="eastAsia" w:ascii="仿宋" w:hAnsi="仿宋" w:eastAsia="仿宋"/>
          <w:b w:val="0"/>
          <w:bCs w:val="0"/>
        </w:rPr>
        <w:t>般公共预算财政拨款支出决算明细表</w:t>
      </w:r>
      <w:bookmarkEnd w:id="15"/>
    </w:p>
    <w:p w14:paraId="1FBDAFA8">
      <w:pPr>
        <w:pStyle w:val="3"/>
        <w:spacing w:line="400" w:lineRule="exact"/>
        <w:rPr>
          <w:rFonts w:ascii="仿宋" w:hAnsi="仿宋" w:eastAsia="仿宋"/>
          <w:color w:val="000000"/>
        </w:rPr>
      </w:pPr>
      <w:bookmarkStart w:id="16" w:name="_Toc15396626"/>
      <w:r>
        <w:rPr>
          <w:rStyle w:val="15"/>
          <w:rFonts w:hint="eastAsia" w:ascii="仿宋" w:hAnsi="仿宋" w:eastAsia="仿宋"/>
          <w:b w:val="0"/>
          <w:bCs w:val="0"/>
        </w:rPr>
        <w:t>八、</w:t>
      </w:r>
      <w:r>
        <w:rPr>
          <w:rFonts w:hint="eastAsia" w:ascii="仿宋" w:hAnsi="仿宋" w:eastAsia="仿宋"/>
          <w:b w:val="0"/>
          <w:color w:val="000000"/>
        </w:rPr>
        <w:t>一</w:t>
      </w:r>
      <w:r>
        <w:rPr>
          <w:rStyle w:val="15"/>
          <w:rFonts w:hint="eastAsia" w:ascii="仿宋" w:hAnsi="仿宋" w:eastAsia="仿宋"/>
          <w:b w:val="0"/>
          <w:bCs w:val="0"/>
        </w:rPr>
        <w:t>般公共预算财政拨款基本支出决算表</w:t>
      </w:r>
      <w:bookmarkEnd w:id="16"/>
    </w:p>
    <w:p w14:paraId="55FA0803">
      <w:pPr>
        <w:pStyle w:val="3"/>
        <w:spacing w:line="400" w:lineRule="exact"/>
        <w:rPr>
          <w:rFonts w:ascii="仿宋" w:hAnsi="仿宋" w:eastAsia="仿宋"/>
          <w:color w:val="000000"/>
        </w:rPr>
      </w:pPr>
      <w:bookmarkStart w:id="17" w:name="_Toc15396627"/>
      <w:r>
        <w:rPr>
          <w:rStyle w:val="15"/>
          <w:rFonts w:hint="eastAsia" w:ascii="仿宋" w:hAnsi="仿宋" w:eastAsia="仿宋"/>
          <w:b w:val="0"/>
          <w:bCs w:val="0"/>
        </w:rPr>
        <w:t>九、</w:t>
      </w:r>
      <w:r>
        <w:rPr>
          <w:rFonts w:hint="eastAsia" w:ascii="仿宋" w:hAnsi="仿宋" w:eastAsia="仿宋"/>
          <w:b w:val="0"/>
          <w:color w:val="000000"/>
        </w:rPr>
        <w:t>一</w:t>
      </w:r>
      <w:r>
        <w:rPr>
          <w:rStyle w:val="15"/>
          <w:rFonts w:hint="eastAsia" w:ascii="仿宋" w:hAnsi="仿宋" w:eastAsia="仿宋"/>
          <w:b w:val="0"/>
          <w:bCs w:val="0"/>
        </w:rPr>
        <w:t>般公共预算财政拨款项目支出决算表</w:t>
      </w:r>
      <w:bookmarkEnd w:id="17"/>
    </w:p>
    <w:p w14:paraId="3AA740D8">
      <w:pPr>
        <w:pStyle w:val="3"/>
        <w:spacing w:line="400" w:lineRule="exact"/>
        <w:rPr>
          <w:rFonts w:ascii="仿宋" w:hAnsi="仿宋" w:eastAsia="仿宋"/>
          <w:color w:val="000000"/>
        </w:rPr>
      </w:pPr>
      <w:bookmarkStart w:id="18" w:name="_Toc15396628"/>
      <w:r>
        <w:rPr>
          <w:rStyle w:val="15"/>
          <w:rFonts w:hint="eastAsia" w:ascii="仿宋" w:hAnsi="仿宋" w:eastAsia="仿宋"/>
          <w:b w:val="0"/>
          <w:bCs w:val="0"/>
        </w:rPr>
        <w:t>十、</w:t>
      </w:r>
      <w:r>
        <w:rPr>
          <w:rFonts w:hint="eastAsia" w:ascii="仿宋" w:hAnsi="仿宋" w:eastAsia="仿宋"/>
          <w:b w:val="0"/>
          <w:color w:val="000000"/>
        </w:rPr>
        <w:t>一</w:t>
      </w:r>
      <w:r>
        <w:rPr>
          <w:rStyle w:val="15"/>
          <w:rFonts w:hint="eastAsia" w:ascii="仿宋" w:hAnsi="仿宋" w:eastAsia="仿宋"/>
          <w:b w:val="0"/>
          <w:bCs w:val="0"/>
        </w:rPr>
        <w:t>般公共预算财政拨款“三公”经费支出决算表</w:t>
      </w:r>
      <w:bookmarkEnd w:id="18"/>
    </w:p>
    <w:p w14:paraId="0E7AC660">
      <w:pPr>
        <w:pStyle w:val="3"/>
        <w:spacing w:line="400" w:lineRule="exact"/>
        <w:rPr>
          <w:rFonts w:ascii="仿宋" w:hAnsi="仿宋" w:eastAsia="仿宋"/>
          <w:color w:val="000000"/>
        </w:rPr>
      </w:pPr>
      <w:bookmarkStart w:id="19" w:name="_Toc15396629"/>
      <w:r>
        <w:rPr>
          <w:rStyle w:val="15"/>
          <w:rFonts w:hint="eastAsia" w:ascii="仿宋" w:hAnsi="仿宋" w:eastAsia="仿宋"/>
          <w:b w:val="0"/>
          <w:bCs w:val="0"/>
        </w:rPr>
        <w:t>十一、</w:t>
      </w:r>
      <w:r>
        <w:rPr>
          <w:rFonts w:hint="eastAsia" w:ascii="仿宋" w:hAnsi="仿宋" w:eastAsia="仿宋"/>
          <w:b w:val="0"/>
          <w:color w:val="000000"/>
        </w:rPr>
        <w:t>政</w:t>
      </w:r>
      <w:r>
        <w:rPr>
          <w:rStyle w:val="15"/>
          <w:rFonts w:hint="eastAsia" w:ascii="仿宋" w:hAnsi="仿宋" w:eastAsia="仿宋"/>
          <w:b w:val="0"/>
          <w:bCs w:val="0"/>
        </w:rPr>
        <w:t>府性基金预算财政拨款收入支出决算表</w:t>
      </w:r>
      <w:bookmarkEnd w:id="19"/>
    </w:p>
    <w:p w14:paraId="28CC4B37">
      <w:pPr>
        <w:pStyle w:val="3"/>
        <w:spacing w:line="400" w:lineRule="exact"/>
        <w:rPr>
          <w:rFonts w:ascii="仿宋" w:hAnsi="仿宋" w:eastAsia="仿宋"/>
          <w:color w:val="000000"/>
        </w:rPr>
      </w:pPr>
      <w:bookmarkStart w:id="20" w:name="_Toc15396630"/>
      <w:r>
        <w:rPr>
          <w:rStyle w:val="15"/>
          <w:rFonts w:hint="eastAsia" w:ascii="仿宋" w:hAnsi="仿宋" w:eastAsia="仿宋"/>
          <w:b w:val="0"/>
          <w:bCs w:val="0"/>
        </w:rPr>
        <w:t>十二、</w:t>
      </w:r>
      <w:r>
        <w:rPr>
          <w:rFonts w:hint="eastAsia" w:ascii="仿宋" w:hAnsi="仿宋" w:eastAsia="仿宋"/>
          <w:b w:val="0"/>
          <w:color w:val="000000"/>
        </w:rPr>
        <w:t>政</w:t>
      </w:r>
      <w:r>
        <w:rPr>
          <w:rStyle w:val="15"/>
          <w:rFonts w:hint="eastAsia" w:ascii="仿宋" w:hAnsi="仿宋" w:eastAsia="仿宋"/>
          <w:b w:val="0"/>
          <w:bCs w:val="0"/>
        </w:rPr>
        <w:t>府性基金预算财政拨款“三公”经费支出决算表</w:t>
      </w:r>
      <w:bookmarkEnd w:id="20"/>
    </w:p>
    <w:p w14:paraId="528DA0C1">
      <w:pPr>
        <w:pStyle w:val="3"/>
        <w:spacing w:line="400" w:lineRule="exact"/>
        <w:rPr>
          <w:rStyle w:val="15"/>
          <w:rFonts w:hint="eastAsia" w:ascii="仿宋" w:hAnsi="仿宋" w:eastAsia="仿宋"/>
          <w:b w:val="0"/>
          <w:bCs w:val="0"/>
        </w:rPr>
      </w:pPr>
      <w:bookmarkStart w:id="21" w:name="_Toc15396631"/>
      <w:r>
        <w:rPr>
          <w:rStyle w:val="15"/>
          <w:rFonts w:hint="eastAsia" w:ascii="仿宋" w:hAnsi="仿宋" w:eastAsia="仿宋"/>
          <w:b w:val="0"/>
          <w:bCs w:val="0"/>
        </w:rPr>
        <w:t>十三、</w:t>
      </w:r>
      <w:r>
        <w:rPr>
          <w:rFonts w:hint="eastAsia" w:ascii="仿宋" w:hAnsi="仿宋" w:eastAsia="仿宋"/>
          <w:b w:val="0"/>
          <w:color w:val="000000"/>
        </w:rPr>
        <w:t>国</w:t>
      </w:r>
      <w:r>
        <w:rPr>
          <w:rStyle w:val="15"/>
          <w:rFonts w:hint="eastAsia" w:ascii="仿宋" w:hAnsi="仿宋" w:eastAsia="仿宋"/>
          <w:b w:val="0"/>
          <w:bCs w:val="0"/>
        </w:rPr>
        <w:t>有资本经营预算支出决算表</w:t>
      </w:r>
      <w:bookmarkEnd w:id="21"/>
    </w:p>
    <w:p w14:paraId="72BF8A5F">
      <w:pPr>
        <w:spacing w:line="400" w:lineRule="exact"/>
        <w:rPr>
          <w:rFonts w:hint="eastAsia" w:ascii="仿宋" w:hAnsi="仿宋" w:eastAsia="仿宋"/>
          <w:sz w:val="32"/>
          <w:szCs w:val="32"/>
        </w:rPr>
      </w:pPr>
      <w:r>
        <w:rPr>
          <w:rFonts w:hint="eastAsia" w:ascii="仿宋" w:hAnsi="仿宋" w:eastAsia="仿宋"/>
          <w:sz w:val="32"/>
          <w:szCs w:val="32"/>
        </w:rPr>
        <w:t>十四、2018年政府采购执行情况表</w:t>
      </w:r>
    </w:p>
    <w:p w14:paraId="10970FA5">
      <w:pPr>
        <w:spacing w:line="400" w:lineRule="exact"/>
        <w:rPr>
          <w:rFonts w:hint="eastAsia" w:ascii="仿宋" w:hAnsi="仿宋" w:eastAsia="仿宋"/>
          <w:sz w:val="32"/>
          <w:szCs w:val="32"/>
        </w:rPr>
      </w:pPr>
    </w:p>
    <w:p w14:paraId="632092D3">
      <w:pPr>
        <w:spacing w:line="400" w:lineRule="exact"/>
      </w:pPr>
      <w:r>
        <w:rPr>
          <w:rFonts w:hint="eastAsia" w:ascii="仿宋" w:hAnsi="仿宋" w:eastAsia="仿宋"/>
          <w:sz w:val="32"/>
          <w:szCs w:val="32"/>
        </w:rPr>
        <w:t>十五、2018年度机关运行经费及国有资产占用情况表</w:t>
      </w:r>
    </w:p>
    <w:p w14:paraId="160FF22C">
      <w:pPr>
        <w:spacing w:line="400" w:lineRule="exact"/>
      </w:pPr>
    </w:p>
    <w:p w14:paraId="4294F133">
      <w:pPr>
        <w:rPr>
          <w:rFonts w:hint="eastAsia" w:ascii="黑体" w:hAnsi="黑体" w:eastAsia="黑体" w:cs="方正小标宋简体"/>
          <w:sz w:val="36"/>
          <w:szCs w:val="36"/>
        </w:rPr>
      </w:pPr>
    </w:p>
    <w:p w14:paraId="3AC85F58">
      <w:pPr>
        <w:rPr>
          <w:rFonts w:hint="eastAsia" w:ascii="黑体" w:hAnsi="黑体" w:eastAsia="黑体" w:cs="方正小标宋简体"/>
          <w:sz w:val="36"/>
          <w:szCs w:val="36"/>
        </w:rPr>
      </w:pPr>
    </w:p>
    <w:p w14:paraId="785E63A3">
      <w:pPr>
        <w:widowControl w:val="0"/>
        <w:numPr>
          <w:ilvl w:val="0"/>
          <w:numId w:val="0"/>
        </w:numPr>
        <w:jc w:val="both"/>
        <w:rPr>
          <w:rFonts w:hint="eastAsia" w:ascii="新宋体" w:hAnsi="新宋体" w:eastAsia="新宋体"/>
          <w:color w:val="000000"/>
          <w:sz w:val="32"/>
          <w:szCs w:val="32"/>
          <w:lang w:val="en-US" w:eastAsia="zh-CN"/>
        </w:rPr>
      </w:pPr>
    </w:p>
    <w:p w14:paraId="1F0FAEF2">
      <w:pPr>
        <w:widowControl w:val="0"/>
        <w:numPr>
          <w:ilvl w:val="0"/>
          <w:numId w:val="0"/>
        </w:numPr>
        <w:jc w:val="both"/>
        <w:rPr>
          <w:rFonts w:hint="eastAsia" w:ascii="新宋体" w:hAnsi="新宋体" w:eastAsia="新宋体"/>
          <w:color w:val="000000"/>
          <w:sz w:val="32"/>
          <w:szCs w:val="32"/>
          <w:lang w:val="en-US" w:eastAsia="zh-CN"/>
        </w:rPr>
      </w:pPr>
    </w:p>
    <w:p w14:paraId="2EF62B02">
      <w:pPr>
        <w:widowControl w:val="0"/>
        <w:numPr>
          <w:ilvl w:val="0"/>
          <w:numId w:val="0"/>
        </w:numPr>
        <w:jc w:val="both"/>
        <w:rPr>
          <w:rFonts w:hint="eastAsia" w:ascii="新宋体" w:hAnsi="新宋体" w:eastAsia="新宋体"/>
          <w:color w:val="000000"/>
          <w:sz w:val="32"/>
          <w:szCs w:val="32"/>
          <w:lang w:val="en-US" w:eastAsia="zh-CN"/>
        </w:rPr>
      </w:pPr>
    </w:p>
    <w:p w14:paraId="3FEDBBB8">
      <w:pPr>
        <w:widowControl w:val="0"/>
        <w:numPr>
          <w:ilvl w:val="0"/>
          <w:numId w:val="0"/>
        </w:numPr>
        <w:jc w:val="both"/>
        <w:rPr>
          <w:rFonts w:hint="eastAsia" w:ascii="新宋体" w:hAnsi="新宋体" w:eastAsia="新宋体"/>
          <w:color w:val="000000"/>
          <w:sz w:val="32"/>
          <w:szCs w:val="32"/>
          <w:lang w:val="en-US" w:eastAsia="zh-CN"/>
        </w:rPr>
      </w:pPr>
    </w:p>
    <w:p w14:paraId="542ECBAE">
      <w:pPr>
        <w:widowControl w:val="0"/>
        <w:numPr>
          <w:ilvl w:val="0"/>
          <w:numId w:val="0"/>
        </w:numPr>
        <w:jc w:val="both"/>
        <w:rPr>
          <w:rFonts w:hint="eastAsia" w:ascii="新宋体" w:hAnsi="新宋体" w:eastAsia="新宋体"/>
          <w:color w:val="000000"/>
          <w:sz w:val="32"/>
          <w:szCs w:val="32"/>
          <w:lang w:val="en-US" w:eastAsia="zh-CN"/>
        </w:rPr>
      </w:pPr>
    </w:p>
    <w:p w14:paraId="272DFDF5">
      <w:pPr>
        <w:numPr>
          <w:ilvl w:val="0"/>
          <w:numId w:val="0"/>
        </w:numPr>
        <w:rPr>
          <w:rFonts w:hint="eastAsia" w:ascii="Times New Roman" w:eastAsia="仿宋_GB2312" w:cs="Times New Roman"/>
          <w:color w:val="auto"/>
          <w:sz w:val="32"/>
          <w:szCs w:val="32"/>
          <w:lang w:val="en-US" w:eastAsia="zh-CN"/>
        </w:rPr>
      </w:pPr>
    </w:p>
    <w:p w14:paraId="2A5E6040">
      <w:pPr>
        <w:numPr>
          <w:ilvl w:val="0"/>
          <w:numId w:val="0"/>
        </w:numPr>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  </w:t>
      </w:r>
    </w:p>
    <w:p w14:paraId="22ECAA24">
      <w:pPr>
        <w:numPr>
          <w:ilvl w:val="0"/>
          <w:numId w:val="0"/>
        </w:numPr>
        <w:ind w:leftChars="0"/>
        <w:rPr>
          <w:rFonts w:hint="eastAsia" w:ascii="新宋体" w:hAnsi="新宋体" w:eastAsia="新宋体"/>
          <w:color w:val="000000"/>
          <w:sz w:val="32"/>
          <w:szCs w:val="32"/>
          <w:lang w:val="en-US" w:eastAsia="zh-CN"/>
        </w:rPr>
      </w:pPr>
    </w:p>
    <w:p w14:paraId="5BDECEB2">
      <w:pPr>
        <w:numPr>
          <w:ilvl w:val="0"/>
          <w:numId w:val="0"/>
        </w:numPr>
        <w:jc w:val="both"/>
        <w:rPr>
          <w:rFonts w:hint="eastAsia" w:ascii="仿宋_GB2312"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微软雅黑">
    <w:altName w:val="黑体"/>
    <w:panose1 w:val="020B0503020204020204"/>
    <w:charset w:val="86"/>
    <w:family w:val="auto"/>
    <w:pitch w:val="default"/>
    <w:sig w:usb0="00000000" w:usb1="0000000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简体">
    <w:altName w:val="仿宋"/>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5D6F31"/>
    <w:multiLevelType w:val="singleLevel"/>
    <w:tmpl w:val="A15D6F31"/>
    <w:lvl w:ilvl="0" w:tentative="0">
      <w:start w:val="1"/>
      <w:numFmt w:val="decimal"/>
      <w:lvlText w:val="%1."/>
      <w:lvlJc w:val="left"/>
      <w:pPr>
        <w:tabs>
          <w:tab w:val="left" w:pos="312"/>
        </w:tabs>
      </w:pPr>
    </w:lvl>
  </w:abstractNum>
  <w:abstractNum w:abstractNumId="1">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2">
    <w:nsid w:val="B5F8E789"/>
    <w:multiLevelType w:val="singleLevel"/>
    <w:tmpl w:val="B5F8E789"/>
    <w:lvl w:ilvl="0" w:tentative="0">
      <w:start w:val="1"/>
      <w:numFmt w:val="chineseCounting"/>
      <w:suff w:val="space"/>
      <w:lvlText w:val="第%1部分"/>
      <w:lvlJc w:val="left"/>
      <w:rPr>
        <w:rFonts w:hint="eastAsia"/>
      </w:rPr>
    </w:lvl>
  </w:abstractNum>
  <w:abstractNum w:abstractNumId="3">
    <w:nsid w:val="BBE9C8C5"/>
    <w:multiLevelType w:val="singleLevel"/>
    <w:tmpl w:val="BBE9C8C5"/>
    <w:lvl w:ilvl="0" w:tentative="0">
      <w:start w:val="1"/>
      <w:numFmt w:val="chineseCounting"/>
      <w:suff w:val="nothing"/>
      <w:lvlText w:val="（%1）"/>
      <w:lvlJc w:val="left"/>
      <w:rPr>
        <w:rFonts w:hint="eastAsia"/>
      </w:rPr>
    </w:lvl>
  </w:abstractNum>
  <w:abstractNum w:abstractNumId="4">
    <w:nsid w:val="D691A42C"/>
    <w:multiLevelType w:val="singleLevel"/>
    <w:tmpl w:val="D691A42C"/>
    <w:lvl w:ilvl="0" w:tentative="0">
      <w:start w:val="2"/>
      <w:numFmt w:val="decimal"/>
      <w:suff w:val="nothing"/>
      <w:lvlText w:val="%1、"/>
      <w:lvlJc w:val="left"/>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EF424D37"/>
    <w:multiLevelType w:val="singleLevel"/>
    <w:tmpl w:val="EF424D37"/>
    <w:lvl w:ilvl="0" w:tentative="0">
      <w:start w:val="4"/>
      <w:numFmt w:val="decimal"/>
      <w:lvlText w:val="%1."/>
      <w:lvlJc w:val="left"/>
      <w:pPr>
        <w:tabs>
          <w:tab w:val="left" w:pos="312"/>
        </w:tabs>
      </w:pPr>
    </w:lvl>
  </w:abstractNum>
  <w:abstractNum w:abstractNumId="7">
    <w:nsid w:val="F3BAF9A6"/>
    <w:multiLevelType w:val="multilevel"/>
    <w:tmpl w:val="F3BAF9A6"/>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8">
    <w:nsid w:val="1F059BCF"/>
    <w:multiLevelType w:val="singleLevel"/>
    <w:tmpl w:val="1F059BCF"/>
    <w:lvl w:ilvl="0" w:tentative="0">
      <w:start w:val="1"/>
      <w:numFmt w:val="chineseCounting"/>
      <w:suff w:val="nothing"/>
      <w:lvlText w:val="（%1）"/>
      <w:lvlJc w:val="left"/>
      <w:rPr>
        <w:rFonts w:hint="eastAsia"/>
      </w:rPr>
    </w:lvl>
  </w:abstractNum>
  <w:abstractNum w:abstractNumId="9">
    <w:nsid w:val="2CD55BB9"/>
    <w:multiLevelType w:val="singleLevel"/>
    <w:tmpl w:val="2CD55BB9"/>
    <w:lvl w:ilvl="0" w:tentative="0">
      <w:start w:val="11"/>
      <w:numFmt w:val="decimal"/>
      <w:suff w:val="nothing"/>
      <w:lvlText w:val="%1、"/>
      <w:lvlJc w:val="left"/>
    </w:lvl>
  </w:abstractNum>
  <w:abstractNum w:abstractNumId="10">
    <w:nsid w:val="777166AF"/>
    <w:multiLevelType w:val="singleLevel"/>
    <w:tmpl w:val="777166AF"/>
    <w:lvl w:ilvl="0" w:tentative="0">
      <w:start w:val="6"/>
      <w:numFmt w:val="chineseCounting"/>
      <w:suff w:val="nothing"/>
      <w:lvlText w:val="%1、"/>
      <w:lvlJc w:val="left"/>
      <w:rPr>
        <w:rFonts w:hint="eastAsia"/>
      </w:rPr>
    </w:lvl>
  </w:abstractNum>
  <w:abstractNum w:abstractNumId="11">
    <w:nsid w:val="7D5B5D31"/>
    <w:multiLevelType w:val="singleLevel"/>
    <w:tmpl w:val="7D5B5D31"/>
    <w:lvl w:ilvl="0" w:tentative="0">
      <w:start w:val="1"/>
      <w:numFmt w:val="chineseCounting"/>
      <w:suff w:val="nothing"/>
      <w:lvlText w:val="%1、"/>
      <w:lvlJc w:val="left"/>
      <w:rPr>
        <w:rFonts w:hint="eastAsia"/>
      </w:rPr>
    </w:lvl>
  </w:abstractNum>
  <w:num w:numId="1">
    <w:abstractNumId w:val="2"/>
  </w:num>
  <w:num w:numId="2">
    <w:abstractNumId w:val="11"/>
  </w:num>
  <w:num w:numId="3">
    <w:abstractNumId w:val="8"/>
  </w:num>
  <w:num w:numId="4">
    <w:abstractNumId w:val="4"/>
  </w:num>
  <w:num w:numId="5">
    <w:abstractNumId w:val="6"/>
  </w:num>
  <w:num w:numId="6">
    <w:abstractNumId w:val="3"/>
  </w:num>
  <w:num w:numId="7">
    <w:abstractNumId w:val="7"/>
  </w:num>
  <w:num w:numId="8">
    <w:abstractNumId w:val="10"/>
  </w:num>
  <w:num w:numId="9">
    <w:abstractNumId w:val="5"/>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102F0"/>
    <w:rsid w:val="016A1882"/>
    <w:rsid w:val="06782E96"/>
    <w:rsid w:val="07945D55"/>
    <w:rsid w:val="083B2377"/>
    <w:rsid w:val="098905F6"/>
    <w:rsid w:val="0B800F86"/>
    <w:rsid w:val="1136378A"/>
    <w:rsid w:val="15387C46"/>
    <w:rsid w:val="16910365"/>
    <w:rsid w:val="1D564DC9"/>
    <w:rsid w:val="2014238D"/>
    <w:rsid w:val="2116187C"/>
    <w:rsid w:val="2C112585"/>
    <w:rsid w:val="2C9F5CC6"/>
    <w:rsid w:val="359A7BEE"/>
    <w:rsid w:val="373821A5"/>
    <w:rsid w:val="3DD97FD0"/>
    <w:rsid w:val="3EF62446"/>
    <w:rsid w:val="45456E68"/>
    <w:rsid w:val="4FE7390B"/>
    <w:rsid w:val="51A21850"/>
    <w:rsid w:val="52367EA7"/>
    <w:rsid w:val="54783DC1"/>
    <w:rsid w:val="57BB1944"/>
    <w:rsid w:val="5A222330"/>
    <w:rsid w:val="601145A0"/>
    <w:rsid w:val="60527A11"/>
    <w:rsid w:val="640F04AD"/>
    <w:rsid w:val="65203D62"/>
    <w:rsid w:val="67864238"/>
    <w:rsid w:val="682E1051"/>
    <w:rsid w:val="69E70D4F"/>
    <w:rsid w:val="70D102F0"/>
    <w:rsid w:val="760E4E6D"/>
    <w:rsid w:val="78DE620D"/>
    <w:rsid w:val="798A09F4"/>
    <w:rsid w:val="7A664AA6"/>
    <w:rsid w:val="7EE33163"/>
    <w:rsid w:val="DEFF8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9"/>
    <w:pPr>
      <w:keepNext/>
      <w:keepLines/>
      <w:spacing w:before="260" w:after="260" w:line="416" w:lineRule="auto"/>
      <w:outlineLvl w:val="1"/>
    </w:pPr>
    <w:rPr>
      <w:rFonts w:ascii="Cambria" w:hAnsi="Cambria"/>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6">
    <w:name w:val="toc 2"/>
    <w:basedOn w:val="1"/>
    <w:next w:val="1"/>
    <w:qFormat/>
    <w:uiPriority w:val="99"/>
    <w:pPr>
      <w:tabs>
        <w:tab w:val="right" w:leader="dot" w:pos="8296"/>
      </w:tabs>
      <w:ind w:left="420" w:leftChars="200"/>
    </w:p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 w:type="paragraph" w:customStyle="1" w:styleId="13">
    <w:name w:val="p0"/>
    <w:basedOn w:val="1"/>
    <w:qFormat/>
    <w:uiPriority w:val="0"/>
    <w:pPr>
      <w:widowControl/>
      <w:spacing w:before="100" w:beforeAutospacing="1" w:after="100" w:afterAutospacing="1"/>
      <w:jc w:val="left"/>
    </w:pPr>
    <w:rPr>
      <w:rFonts w:ascii="宋体" w:hAnsi="宋体" w:cs="宋体"/>
      <w:color w:val="000000"/>
      <w:kern w:val="0"/>
      <w:sz w:val="15"/>
      <w:szCs w:val="15"/>
    </w:rPr>
  </w:style>
  <w:style w:type="character" w:customStyle="1" w:styleId="14">
    <w:name w:val="标题 1 Char"/>
    <w:basedOn w:val="9"/>
    <w:link w:val="2"/>
    <w:qFormat/>
    <w:locked/>
    <w:uiPriority w:val="99"/>
    <w:rPr>
      <w:b/>
      <w:bCs/>
      <w:kern w:val="44"/>
      <w:sz w:val="44"/>
      <w:szCs w:val="44"/>
    </w:rPr>
  </w:style>
  <w:style w:type="character" w:customStyle="1" w:styleId="15">
    <w:name w:val="标题 2 Char"/>
    <w:basedOn w:val="9"/>
    <w:link w:val="3"/>
    <w:qFormat/>
    <w:locked/>
    <w:uiPriority w:val="99"/>
    <w:rPr>
      <w:rFonts w:ascii="Cambria" w:hAnsi="Cambria"/>
      <w:b/>
      <w:bCs/>
      <w:sz w:val="32"/>
      <w:szCs w:val="32"/>
    </w:rPr>
  </w:style>
  <w:style w:type="paragraph" w:styleId="16">
    <w:name w:val="List Paragraph"/>
    <w:basedOn w:val="1"/>
    <w:qFormat/>
    <w:uiPriority w:val="99"/>
    <w:pPr>
      <w:ind w:firstLine="420" w:firstLineChars="200"/>
    </w:pPr>
  </w:style>
  <w:style w:type="paragraph" w:customStyle="1" w:styleId="17">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1182.23万元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1294.5万元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1290.88万元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1267.93万元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2018年收入</c:v>
                </c:pt>
                <c:pt idx="1">
                  <c:v>2018年支出</c:v>
                </c:pt>
                <c:pt idx="2">
                  <c:v>2017年收入</c:v>
                </c:pt>
                <c:pt idx="3">
                  <c:v>2017年支出</c:v>
                </c:pt>
              </c:strCache>
            </c:strRef>
          </c:cat>
          <c:val>
            <c:numRef>
              <c:f>[工作簿1]Sheet1!$A$2:$D$2</c:f>
              <c:numCache>
                <c:formatCode>General</c:formatCode>
                <c:ptCount val="4"/>
                <c:pt idx="0">
                  <c:v>1182.23</c:v>
                </c:pt>
                <c:pt idx="1">
                  <c:v>1294.5</c:v>
                </c:pt>
                <c:pt idx="2">
                  <c:v>1290.88</c:v>
                </c:pt>
                <c:pt idx="3">
                  <c:v>1267.93</c:v>
                </c:pt>
              </c:numCache>
            </c:numRef>
          </c:val>
        </c:ser>
        <c:ser>
          <c:idx val="1"/>
          <c:order val="1"/>
          <c:spPr>
            <a:solidFill>
              <a:schemeClr val="accent2"/>
            </a:solidFill>
            <a:ln>
              <a:noFill/>
            </a:ln>
            <a:effectLst/>
          </c:spPr>
          <c:invertIfNegative val="0"/>
          <c:dLbls>
            <c:delete val="1"/>
          </c:dLbls>
          <c:cat>
            <c:strRef>
              <c:f>[工作簿1]Sheet1!$A$1:$D$1</c:f>
              <c:strCache>
                <c:ptCount val="4"/>
                <c:pt idx="0">
                  <c:v>2018年收入</c:v>
                </c:pt>
                <c:pt idx="1">
                  <c:v>2018年支出</c:v>
                </c:pt>
                <c:pt idx="2">
                  <c:v>2017年收入</c:v>
                </c:pt>
                <c:pt idx="3">
                  <c:v>2017年支出</c:v>
                </c:pt>
              </c:strCache>
            </c:strRef>
          </c:cat>
          <c:val>
            <c:numRef>
              <c:f>[工作簿1]Sheet1!$A$3:$D$3</c:f>
              <c:numCache>
                <c:formatCode>General</c:formatCode>
                <c:ptCount val="4"/>
              </c:numCache>
            </c:numRef>
          </c:val>
        </c:ser>
        <c:dLbls>
          <c:showLegendKey val="0"/>
          <c:showVal val="0"/>
          <c:showCatName val="0"/>
          <c:showSerName val="0"/>
          <c:showPercent val="0"/>
          <c:showBubbleSize val="0"/>
        </c:dLbls>
        <c:gapWidth val="219"/>
        <c:overlap val="-27"/>
        <c:axId val="613524193"/>
        <c:axId val="848618835"/>
      </c:barChart>
      <c:catAx>
        <c:axId val="6135241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8618835"/>
        <c:crosses val="autoZero"/>
        <c:auto val="1"/>
        <c:lblAlgn val="ctr"/>
        <c:lblOffset val="100"/>
        <c:noMultiLvlLbl val="0"/>
      </c:catAx>
      <c:valAx>
        <c:axId val="8486188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35241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4f10f6d-5ff5-4102-95c0-a529b58225d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897.39万元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12777777777778"/>
                      <c:h val="0.0643518518518519"/>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284.8万元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一般公共财政预算拨款收入</c:v>
                </c:pt>
                <c:pt idx="1">
                  <c:v>政府性基金预算财政拨款收入</c:v>
                </c:pt>
              </c:strCache>
            </c:strRef>
          </c:cat>
          <c:val>
            <c:numRef>
              <c:f>[工作簿1]Sheet1!$A$2:$B$2</c:f>
              <c:numCache>
                <c:formatCode>General</c:formatCode>
                <c:ptCount val="2"/>
                <c:pt idx="0">
                  <c:v>897.39</c:v>
                </c:pt>
                <c:pt idx="1">
                  <c:v>284.8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3d14891-10fb-47ce-8fab-6bb2b87271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424万元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870.5万元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基本支出</c:v>
                </c:pt>
                <c:pt idx="1">
                  <c:v>项目支出</c:v>
                </c:pt>
              </c:strCache>
            </c:strRef>
          </c:cat>
          <c:val>
            <c:numRef>
              <c:f>[工作簿1]Sheet1!$A$2:$B$2</c:f>
              <c:numCache>
                <c:formatCode>General</c:formatCode>
                <c:ptCount val="2"/>
                <c:pt idx="0">
                  <c:v>424</c:v>
                </c:pt>
                <c:pt idx="1">
                  <c:v>870.5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19a8bc-1fc4-472e-b652-9b77e4fc89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1182.23万元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1294.5万元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1290.88万元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1267.93万元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2018年收入</c:v>
                </c:pt>
                <c:pt idx="1">
                  <c:v>2018年支出</c:v>
                </c:pt>
                <c:pt idx="2">
                  <c:v>2017年收入</c:v>
                </c:pt>
                <c:pt idx="3">
                  <c:v>2017年支出</c:v>
                </c:pt>
              </c:strCache>
            </c:strRef>
          </c:cat>
          <c:val>
            <c:numRef>
              <c:f>[工作簿1]Sheet1!$A$2:$D$2</c:f>
              <c:numCache>
                <c:formatCode>General</c:formatCode>
                <c:ptCount val="4"/>
                <c:pt idx="0">
                  <c:v>1182.23</c:v>
                </c:pt>
                <c:pt idx="1">
                  <c:v>1294.5</c:v>
                </c:pt>
                <c:pt idx="2">
                  <c:v>1290.88</c:v>
                </c:pt>
                <c:pt idx="3">
                  <c:v>1267.93</c:v>
                </c:pt>
              </c:numCache>
            </c:numRef>
          </c:val>
        </c:ser>
        <c:ser>
          <c:idx val="1"/>
          <c:order val="1"/>
          <c:spPr>
            <a:solidFill>
              <a:schemeClr val="accent2"/>
            </a:solidFill>
            <a:ln>
              <a:noFill/>
            </a:ln>
            <a:effectLst/>
          </c:spPr>
          <c:invertIfNegative val="0"/>
          <c:dLbls>
            <c:delete val="1"/>
          </c:dLbls>
          <c:cat>
            <c:strRef>
              <c:f>[工作簿1]Sheet1!$A$1:$D$1</c:f>
              <c:strCache>
                <c:ptCount val="4"/>
                <c:pt idx="0">
                  <c:v>2018年收入</c:v>
                </c:pt>
                <c:pt idx="1">
                  <c:v>2018年支出</c:v>
                </c:pt>
                <c:pt idx="2">
                  <c:v>2017年收入</c:v>
                </c:pt>
                <c:pt idx="3">
                  <c:v>2017年支出</c:v>
                </c:pt>
              </c:strCache>
            </c:strRef>
          </c:cat>
          <c:val>
            <c:numRef>
              <c:f>[工作簿1]Sheet1!$A$3:$D$3</c:f>
              <c:numCache>
                <c:formatCode>General</c:formatCode>
                <c:ptCount val="4"/>
              </c:numCache>
            </c:numRef>
          </c:val>
        </c:ser>
        <c:dLbls>
          <c:showLegendKey val="0"/>
          <c:showVal val="0"/>
          <c:showCatName val="0"/>
          <c:showSerName val="0"/>
          <c:showPercent val="0"/>
          <c:showBubbleSize val="0"/>
        </c:dLbls>
        <c:gapWidth val="219"/>
        <c:overlap val="-27"/>
        <c:axId val="613524193"/>
        <c:axId val="848618835"/>
      </c:barChart>
      <c:catAx>
        <c:axId val="6135241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8618835"/>
        <c:crosses val="autoZero"/>
        <c:auto val="1"/>
        <c:lblAlgn val="ctr"/>
        <c:lblOffset val="100"/>
        <c:noMultiLvlLbl val="0"/>
      </c:catAx>
      <c:valAx>
        <c:axId val="8486188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35241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4c0f115-aa86-41d0-82c8-bcf06a4b7a7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1009.65万元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894.13万元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[工作簿1]Sheet1!$A$1:$B$1</c:f>
              <c:strCache>
                <c:ptCount val="2"/>
                <c:pt idx="0">
                  <c:v>2018年一般公共预算财政拨款支出</c:v>
                </c:pt>
                <c:pt idx="1">
                  <c:v>2017年一般公共预算财政拨款支出</c:v>
                </c:pt>
              </c:strCache>
            </c:strRef>
          </c:cat>
          <c:val>
            <c:numRef>
              <c:f>[工作簿1]Sheet1!$A$2:$B$2</c:f>
              <c:numCache>
                <c:formatCode>General</c:formatCode>
                <c:ptCount val="2"/>
                <c:pt idx="0">
                  <c:v>1009.65</c:v>
                </c:pt>
                <c:pt idx="1">
                  <c:v>894.13</c:v>
                </c:pt>
              </c:numCache>
            </c:numRef>
          </c:val>
        </c:ser>
        <c:dLbls>
          <c:showLegendKey val="0"/>
          <c:showVal val="1"/>
          <c:showCatName val="0"/>
          <c:showSerName val="0"/>
          <c:showPercent val="0"/>
          <c:showBubbleSize val="0"/>
        </c:dLbls>
        <c:gapWidth val="219"/>
        <c:overlap val="-27"/>
        <c:axId val="403679332"/>
        <c:axId val="455023937"/>
      </c:barChart>
      <c:catAx>
        <c:axId val="4036793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5023937"/>
        <c:crosses val="autoZero"/>
        <c:auto val="1"/>
        <c:lblAlgn val="ctr"/>
        <c:lblOffset val="100"/>
        <c:noMultiLvlLbl val="0"/>
      </c:catAx>
      <c:valAx>
        <c:axId val="455023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3679332"/>
        <c:crosses val="autoZero"/>
        <c:crossBetween val="between"/>
      </c:valAx>
      <c:spPr>
        <a:noFill/>
        <a:ln>
          <a:noFill/>
        </a:ln>
        <a:effectLst/>
      </c:spPr>
    </c:plotArea>
    <c:plotVisOnly val="1"/>
    <c:dispBlanksAs val="gap"/>
    <c:showDLblsOverMax val="0"/>
    <c:extLst>
      <c:ext uri="{0b15fc19-7d7d-44ad-8c2d-2c3a37ce22c3}">
        <chartProps xmlns="https://web.wps.cn/et/2018/main" chartId="{87c18727-3c1a-41f7-b8c2-95bdf3045c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498.67万元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2.34万元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144.22万元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284.84万元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319.4万元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37.71万元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[工作簿1]Sheet1!$A$1:$F$1</c:f>
              <c:strCache>
                <c:ptCount val="6"/>
                <c:pt idx="0">
                  <c:v>一般公共服务支出</c:v>
                </c:pt>
                <c:pt idx="1">
                  <c:v>公共安全支出</c:v>
                </c:pt>
                <c:pt idx="2">
                  <c:v>社会保障和就业支出</c:v>
                </c:pt>
                <c:pt idx="3">
                  <c:v>城乡社区支出</c:v>
                </c:pt>
                <c:pt idx="4">
                  <c:v>农林水支出</c:v>
                </c:pt>
                <c:pt idx="5">
                  <c:v>住房保障支出</c:v>
                </c:pt>
              </c:strCache>
            </c:strRef>
          </c:cat>
          <c:val>
            <c:numRef>
              <c:f>[工作簿1]Sheet1!$A$2:$F$2</c:f>
              <c:numCache>
                <c:formatCode>General</c:formatCode>
                <c:ptCount val="6"/>
                <c:pt idx="0">
                  <c:v>498.67</c:v>
                </c:pt>
                <c:pt idx="1">
                  <c:v>2.34</c:v>
                </c:pt>
                <c:pt idx="2">
                  <c:v>144.22</c:v>
                </c:pt>
                <c:pt idx="3">
                  <c:v>284.84</c:v>
                </c:pt>
                <c:pt idx="4">
                  <c:v>319.4</c:v>
                </c:pt>
                <c:pt idx="5">
                  <c:v>37.71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9e5741-c91f-44c7-bd3c-979b38efd3f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32.37万元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[工作簿1]Sheet1!$A$1:$C$1</c:f>
              <c:strCache>
                <c:ptCount val="3"/>
                <c:pt idx="0">
                  <c:v>因公出国（境）费支出</c:v>
                </c:pt>
                <c:pt idx="1">
                  <c:v>公务用车购置及运行维护费支出</c:v>
                </c:pt>
                <c:pt idx="2">
                  <c:v>公务接待费支出</c:v>
                </c:pt>
              </c:strCache>
            </c:strRef>
          </c:cat>
          <c:val>
            <c:numRef>
              <c:f>[工作簿1]Sheet1!$A$2:$C$2</c:f>
              <c:numCache>
                <c:formatCode>General</c:formatCode>
                <c:ptCount val="3"/>
                <c:pt idx="0">
                  <c:v>0</c:v>
                </c:pt>
                <c:pt idx="1">
                  <c:v>32.37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8072cc1-ee51-4657-8bf7-084f54e9d9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27</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2019-08-28T16:46:00Z</dcterms:created>
  <dc:creator>Administrator</dc:creator>
  <cp:lastModifiedBy> 回甘</cp:lastModifiedBy>
  <dcterms:modified xsi:type="dcterms:W3CDTF">2026-08-19T08:47:04Z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AE879295A1E4A50C08FD846A7DC4907D_42</vt:lpwstr>
  </property>
</Properties>
</file>