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2EDA7C">
      <w:pPr>
        <w:jc w:val="center"/>
        <w:outlineLvl w:val="0"/>
        <w:rPr>
          <w:rFonts w:eastAsia="方正小标宋简体"/>
          <w:color w:val="000000"/>
          <w:sz w:val="72"/>
          <w:szCs w:val="72"/>
        </w:rPr>
      </w:pPr>
      <w:bookmarkStart w:id="54" w:name="_GoBack"/>
      <w:bookmarkEnd w:id="54"/>
      <w:bookmarkStart w:id="0" w:name="_Toc15306267"/>
    </w:p>
    <w:p w14:paraId="3D59C836">
      <w:pPr>
        <w:outlineLvl w:val="0"/>
        <w:rPr>
          <w:rFonts w:eastAsia="方正小标宋简体"/>
          <w:color w:val="000000"/>
          <w:sz w:val="72"/>
          <w:szCs w:val="72"/>
        </w:rPr>
      </w:pPr>
    </w:p>
    <w:p w14:paraId="26A34C2F">
      <w:pPr>
        <w:jc w:val="center"/>
        <w:outlineLvl w:val="0"/>
        <w:rPr>
          <w:rFonts w:eastAsia="方正小标宋简体"/>
          <w:color w:val="000000"/>
          <w:sz w:val="72"/>
          <w:szCs w:val="72"/>
        </w:rPr>
      </w:pPr>
    </w:p>
    <w:bookmarkEnd w:id="0"/>
    <w:p w14:paraId="7BD15E1B">
      <w:pPr>
        <w:jc w:val="center"/>
        <w:rPr>
          <w:rFonts w:eastAsia="方正小标宋简体"/>
          <w:sz w:val="52"/>
          <w:szCs w:val="52"/>
        </w:rPr>
      </w:pPr>
      <w:r>
        <w:rPr>
          <w:rFonts w:eastAsia="方正小标宋简体"/>
          <w:sz w:val="52"/>
          <w:szCs w:val="52"/>
        </w:rPr>
        <w:t>2020年度</w:t>
      </w:r>
    </w:p>
    <w:p w14:paraId="7E8BE34B">
      <w:pPr>
        <w:jc w:val="center"/>
        <w:rPr>
          <w:rFonts w:eastAsia="方正小标宋简体"/>
          <w:sz w:val="52"/>
          <w:szCs w:val="52"/>
        </w:rPr>
      </w:pPr>
      <w:r>
        <w:rPr>
          <w:rFonts w:eastAsia="方正小标宋简体"/>
          <w:sz w:val="52"/>
          <w:szCs w:val="52"/>
        </w:rPr>
        <w:t>四川米易白马工业园区管理委员会</w:t>
      </w:r>
    </w:p>
    <w:p w14:paraId="75B12ADC">
      <w:pPr>
        <w:jc w:val="center"/>
        <w:rPr>
          <w:rFonts w:eastAsia="方正小标宋简体"/>
          <w:sz w:val="52"/>
          <w:szCs w:val="52"/>
        </w:rPr>
      </w:pPr>
      <w:r>
        <w:rPr>
          <w:rFonts w:eastAsia="方正小标宋简体"/>
          <w:sz w:val="52"/>
          <w:szCs w:val="52"/>
        </w:rPr>
        <w:t>部门决算编制说明</w:t>
      </w:r>
    </w:p>
    <w:p w14:paraId="0147DE60">
      <w:pPr>
        <w:adjustRightInd w:val="0"/>
        <w:snapToGrid w:val="0"/>
        <w:jc w:val="center"/>
        <w:outlineLvl w:val="0"/>
        <w:rPr>
          <w:rFonts w:eastAsia="方正小标宋简体"/>
          <w:color w:val="000000"/>
          <w:sz w:val="72"/>
          <w:szCs w:val="72"/>
        </w:rPr>
      </w:pPr>
    </w:p>
    <w:p w14:paraId="7B53E165">
      <w:pPr>
        <w:widowControl/>
        <w:jc w:val="center"/>
        <w:rPr>
          <w:rFonts w:eastAsia="黑体"/>
          <w:sz w:val="48"/>
          <w:szCs w:val="48"/>
        </w:rPr>
      </w:pPr>
      <w:r>
        <w:rPr>
          <w:rFonts w:eastAsia="方正小标宋简体"/>
          <w:color w:val="000000"/>
          <w:sz w:val="36"/>
          <w:szCs w:val="36"/>
        </w:rPr>
        <w:br w:type="page"/>
      </w:r>
      <w:r>
        <w:rPr>
          <w:rFonts w:hAnsi="黑体" w:eastAsia="黑体"/>
          <w:sz w:val="48"/>
          <w:szCs w:val="48"/>
        </w:rPr>
        <w:t>目录</w:t>
      </w:r>
    </w:p>
    <w:p w14:paraId="6ABC9C76">
      <w:pPr>
        <w:widowControl/>
        <w:jc w:val="center"/>
        <w:rPr>
          <w:rFonts w:eastAsia="黑体"/>
          <w:sz w:val="28"/>
          <w:szCs w:val="28"/>
        </w:rPr>
      </w:pPr>
      <w:r>
        <w:rPr>
          <w:rFonts w:eastAsia="黑体"/>
          <w:sz w:val="48"/>
          <w:szCs w:val="48"/>
        </w:rPr>
        <w:fldChar w:fldCharType="begin"/>
      </w:r>
      <w:r>
        <w:rPr>
          <w:rFonts w:eastAsia="黑体"/>
          <w:sz w:val="48"/>
          <w:szCs w:val="48"/>
        </w:rPr>
        <w:instrText xml:space="preserve"> TOC \o "1-2" \h \z \u </w:instrText>
      </w:r>
      <w:r>
        <w:rPr>
          <w:rFonts w:eastAsia="黑体"/>
          <w:sz w:val="48"/>
          <w:szCs w:val="48"/>
        </w:rPr>
        <w:fldChar w:fldCharType="separate"/>
      </w:r>
    </w:p>
    <w:p w14:paraId="6FD271AE">
      <w:pPr>
        <w:pStyle w:val="10"/>
        <w:rPr>
          <w:rFonts w:ascii="Times New Roman" w:hAnsi="Times New Roman"/>
        </w:rPr>
      </w:pPr>
      <w:r>
        <w:rPr>
          <w:rFonts w:ascii="Times New Roman"/>
        </w:rPr>
        <w:t>公开时间：</w:t>
      </w:r>
      <w:r>
        <w:rPr>
          <w:rFonts w:ascii="Times New Roman" w:hAnsi="Times New Roman"/>
        </w:rPr>
        <w:t>2021</w:t>
      </w:r>
      <w:r>
        <w:rPr>
          <w:rFonts w:ascii="Times New Roman"/>
        </w:rPr>
        <w:t>年</w:t>
      </w:r>
      <w:r>
        <w:rPr>
          <w:rFonts w:ascii="Times New Roman" w:hAnsi="Times New Roman"/>
        </w:rPr>
        <w:t>10</w:t>
      </w:r>
      <w:r>
        <w:rPr>
          <w:rFonts w:ascii="Times New Roman"/>
        </w:rPr>
        <w:t>月</w:t>
      </w:r>
      <w:r>
        <w:rPr>
          <w:rFonts w:hint="eastAsia" w:ascii="Times New Roman" w:hAnsi="Times New Roman"/>
        </w:rPr>
        <w:t>27</w:t>
      </w:r>
      <w:r>
        <w:rPr>
          <w:rFonts w:ascii="Times New Roman"/>
        </w:rPr>
        <w:t>日</w:t>
      </w:r>
    </w:p>
    <w:p w14:paraId="452D3902"/>
    <w:p w14:paraId="19D68F6D">
      <w:pPr>
        <w:pStyle w:val="10"/>
        <w:rPr>
          <w:rFonts w:ascii="Times New Roman" w:hAnsi="Times New Roman"/>
        </w:rPr>
      </w:pPr>
      <w:r>
        <w:fldChar w:fldCharType="begin"/>
      </w:r>
      <w:r>
        <w:instrText xml:space="preserve"> HYPERLINK \l "_Toc15396599" </w:instrText>
      </w:r>
      <w:r>
        <w:fldChar w:fldCharType="separate"/>
      </w:r>
      <w:r>
        <w:rPr>
          <w:rStyle w:val="16"/>
          <w:rFonts w:ascii="Times New Roman"/>
          <w:color w:val="auto"/>
        </w:rPr>
        <w:t>第一部分</w:t>
      </w:r>
      <w:r>
        <w:rPr>
          <w:rStyle w:val="16"/>
          <w:rFonts w:ascii="Times New Roman" w:hAnsi="Times New Roman"/>
          <w:color w:val="auto"/>
        </w:rPr>
        <w:t xml:space="preserve"> </w:t>
      </w:r>
      <w:r>
        <w:rPr>
          <w:rStyle w:val="16"/>
          <w:rFonts w:ascii="Times New Roman"/>
          <w:color w:val="auto"/>
        </w:rPr>
        <w:t>部门概况</w:t>
      </w:r>
      <w:r>
        <w:rPr>
          <w:rFonts w:ascii="Times New Roman" w:hAnsi="Times New Roman"/>
        </w:rPr>
        <w:tab/>
      </w:r>
      <w:r>
        <w:rPr>
          <w:rFonts w:ascii="Times New Roman" w:hAnsi="Times New Roman"/>
        </w:rPr>
        <w:t>4</w:t>
      </w:r>
      <w:r>
        <w:rPr>
          <w:rFonts w:ascii="Times New Roman" w:hAnsi="Times New Roman"/>
        </w:rPr>
        <w:fldChar w:fldCharType="end"/>
      </w:r>
    </w:p>
    <w:p w14:paraId="46594B19">
      <w:pPr>
        <w:pStyle w:val="11"/>
        <w:rPr>
          <w:rFonts w:ascii="Times New Roman"/>
        </w:rPr>
      </w:pPr>
      <w:r>
        <w:fldChar w:fldCharType="begin"/>
      </w:r>
      <w:r>
        <w:instrText xml:space="preserve"> HYPERLINK \l "_Toc15396600" </w:instrText>
      </w:r>
      <w:r>
        <w:fldChar w:fldCharType="separate"/>
      </w:r>
      <w:r>
        <w:rPr>
          <w:rStyle w:val="16"/>
          <w:rFonts w:ascii="Times New Roman" w:hAnsi="仿宋"/>
          <w:color w:val="auto"/>
        </w:rPr>
        <w:t>一、基本职能及主要工作</w:t>
      </w:r>
      <w:r>
        <w:rPr>
          <w:rFonts w:ascii="Times New Roman"/>
        </w:rPr>
        <w:tab/>
      </w:r>
      <w:r>
        <w:rPr>
          <w:rFonts w:ascii="Times New Roman"/>
        </w:rPr>
        <w:t>4</w:t>
      </w:r>
      <w:r>
        <w:rPr>
          <w:rFonts w:ascii="Times New Roman"/>
        </w:rPr>
        <w:fldChar w:fldCharType="end"/>
      </w:r>
    </w:p>
    <w:p w14:paraId="291A4B2D">
      <w:pPr>
        <w:pStyle w:val="11"/>
        <w:rPr>
          <w:rFonts w:ascii="Times New Roman"/>
        </w:rPr>
      </w:pPr>
      <w:r>
        <w:fldChar w:fldCharType="begin"/>
      </w:r>
      <w:r>
        <w:instrText xml:space="preserve"> HYPERLINK \l "_Toc15396601" </w:instrText>
      </w:r>
      <w:r>
        <w:fldChar w:fldCharType="separate"/>
      </w:r>
      <w:r>
        <w:rPr>
          <w:rStyle w:val="16"/>
          <w:rFonts w:ascii="Times New Roman" w:hAnsi="仿宋"/>
          <w:color w:val="auto"/>
        </w:rPr>
        <w:t>二、机构设置</w:t>
      </w:r>
      <w:r>
        <w:rPr>
          <w:rFonts w:ascii="Times New Roman"/>
        </w:rPr>
        <w:tab/>
      </w:r>
      <w:r>
        <w:rPr>
          <w:rFonts w:ascii="Times New Roman"/>
        </w:rPr>
        <w:t>8</w:t>
      </w:r>
      <w:r>
        <w:rPr>
          <w:rFonts w:ascii="Times New Roman"/>
        </w:rPr>
        <w:fldChar w:fldCharType="end"/>
      </w:r>
    </w:p>
    <w:p w14:paraId="394A6226">
      <w:pPr>
        <w:pStyle w:val="10"/>
        <w:rPr>
          <w:rFonts w:ascii="Times New Roman" w:hAnsi="Times New Roman"/>
        </w:rPr>
      </w:pPr>
      <w:r>
        <w:fldChar w:fldCharType="begin"/>
      </w:r>
      <w:r>
        <w:instrText xml:space="preserve"> HYPERLINK \l "_Toc15396602" </w:instrText>
      </w:r>
      <w:r>
        <w:fldChar w:fldCharType="separate"/>
      </w:r>
      <w:r>
        <w:rPr>
          <w:rStyle w:val="16"/>
          <w:rFonts w:ascii="Times New Roman"/>
          <w:color w:val="auto"/>
        </w:rPr>
        <w:t>第二部分</w:t>
      </w:r>
      <w:r>
        <w:rPr>
          <w:rStyle w:val="16"/>
          <w:rFonts w:ascii="Times New Roman" w:hAnsi="Times New Roman"/>
          <w:color w:val="auto"/>
        </w:rPr>
        <w:t xml:space="preserve"> 20</w:t>
      </w:r>
      <w:r>
        <w:rPr>
          <w:rStyle w:val="16"/>
          <w:rFonts w:hint="eastAsia" w:ascii="Times New Roman" w:hAnsi="Times New Roman"/>
          <w:color w:val="auto"/>
        </w:rPr>
        <w:t>20</w:t>
      </w:r>
      <w:r>
        <w:rPr>
          <w:rStyle w:val="16"/>
          <w:rFonts w:ascii="Times New Roman"/>
          <w:color w:val="auto"/>
        </w:rPr>
        <w:t>年度部门决算情况说明</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_Toc15396602 \h </w:instrText>
      </w:r>
      <w:r>
        <w:rPr>
          <w:rFonts w:ascii="Times New Roman" w:hAnsi="Times New Roman"/>
        </w:rPr>
        <w:fldChar w:fldCharType="separate"/>
      </w:r>
      <w:r>
        <w:rPr>
          <w:rFonts w:ascii="Times New Roman" w:hAnsi="Times New Roman"/>
        </w:rPr>
        <w:t>8</w:t>
      </w:r>
      <w:r>
        <w:rPr>
          <w:rFonts w:ascii="Times New Roman" w:hAnsi="Times New Roman"/>
        </w:rPr>
        <w:fldChar w:fldCharType="end"/>
      </w:r>
      <w:r>
        <w:rPr>
          <w:rFonts w:ascii="Times New Roman" w:hAnsi="Times New Roman"/>
        </w:rPr>
        <w:fldChar w:fldCharType="end"/>
      </w:r>
    </w:p>
    <w:p w14:paraId="6634A909">
      <w:pPr>
        <w:pStyle w:val="11"/>
        <w:rPr>
          <w:rFonts w:ascii="Times New Roman"/>
        </w:rPr>
      </w:pPr>
      <w:r>
        <w:fldChar w:fldCharType="begin"/>
      </w:r>
      <w:r>
        <w:instrText xml:space="preserve"> HYPERLINK \l "_Toc15396603" </w:instrText>
      </w:r>
      <w:r>
        <w:fldChar w:fldCharType="separate"/>
      </w:r>
      <w:r>
        <w:rPr>
          <w:rStyle w:val="16"/>
          <w:rFonts w:ascii="Times New Roman" w:hAnsi="仿宋"/>
          <w:color w:val="auto"/>
        </w:rPr>
        <w:t>一、收入支出决算总体情况说明</w:t>
      </w:r>
      <w:r>
        <w:rPr>
          <w:rFonts w:ascii="Times New Roman"/>
        </w:rPr>
        <w:tab/>
      </w:r>
      <w:r>
        <w:rPr>
          <w:rFonts w:ascii="Times New Roman"/>
        </w:rPr>
        <w:fldChar w:fldCharType="begin"/>
      </w:r>
      <w:r>
        <w:rPr>
          <w:rFonts w:ascii="Times New Roman"/>
        </w:rPr>
        <w:instrText xml:space="preserve"> PAGEREF _Toc15396603 \h </w:instrText>
      </w:r>
      <w:r>
        <w:rPr>
          <w:rFonts w:ascii="Times New Roman"/>
        </w:rPr>
        <w:fldChar w:fldCharType="separate"/>
      </w:r>
      <w:r>
        <w:rPr>
          <w:rFonts w:ascii="Times New Roman"/>
        </w:rPr>
        <w:t>8</w:t>
      </w:r>
      <w:r>
        <w:rPr>
          <w:rFonts w:ascii="Times New Roman"/>
        </w:rPr>
        <w:fldChar w:fldCharType="end"/>
      </w:r>
      <w:r>
        <w:rPr>
          <w:rFonts w:ascii="Times New Roman"/>
        </w:rPr>
        <w:fldChar w:fldCharType="end"/>
      </w:r>
    </w:p>
    <w:p w14:paraId="79851059">
      <w:pPr>
        <w:pStyle w:val="11"/>
        <w:rPr>
          <w:rFonts w:ascii="Times New Roman"/>
        </w:rPr>
      </w:pPr>
      <w:r>
        <w:fldChar w:fldCharType="begin"/>
      </w:r>
      <w:r>
        <w:instrText xml:space="preserve"> HYPERLINK \l "_Toc15396604" </w:instrText>
      </w:r>
      <w:r>
        <w:fldChar w:fldCharType="separate"/>
      </w:r>
      <w:r>
        <w:rPr>
          <w:rStyle w:val="16"/>
          <w:rFonts w:ascii="Times New Roman" w:hAnsi="仿宋"/>
          <w:color w:val="auto"/>
        </w:rPr>
        <w:t>二、收入决算情况说明</w:t>
      </w:r>
      <w:r>
        <w:rPr>
          <w:rFonts w:ascii="Times New Roman"/>
        </w:rPr>
        <w:tab/>
      </w:r>
      <w:r>
        <w:rPr>
          <w:rFonts w:ascii="Times New Roman"/>
        </w:rPr>
        <w:fldChar w:fldCharType="begin"/>
      </w:r>
      <w:r>
        <w:rPr>
          <w:rFonts w:ascii="Times New Roman"/>
        </w:rPr>
        <w:instrText xml:space="preserve"> PAGEREF _Toc15396604 \h </w:instrText>
      </w:r>
      <w:r>
        <w:rPr>
          <w:rFonts w:ascii="Times New Roman"/>
        </w:rPr>
        <w:fldChar w:fldCharType="separate"/>
      </w:r>
      <w:r>
        <w:rPr>
          <w:rFonts w:ascii="Times New Roman"/>
        </w:rPr>
        <w:t>9</w:t>
      </w:r>
      <w:r>
        <w:rPr>
          <w:rFonts w:ascii="Times New Roman"/>
        </w:rPr>
        <w:fldChar w:fldCharType="end"/>
      </w:r>
      <w:r>
        <w:rPr>
          <w:rFonts w:ascii="Times New Roman"/>
        </w:rPr>
        <w:fldChar w:fldCharType="end"/>
      </w:r>
    </w:p>
    <w:p w14:paraId="66406766">
      <w:pPr>
        <w:pStyle w:val="11"/>
        <w:rPr>
          <w:rFonts w:ascii="Times New Roman"/>
        </w:rPr>
      </w:pPr>
      <w:r>
        <w:fldChar w:fldCharType="begin"/>
      </w:r>
      <w:r>
        <w:instrText xml:space="preserve"> HYPERLINK \l "_Toc15396605" </w:instrText>
      </w:r>
      <w:r>
        <w:fldChar w:fldCharType="separate"/>
      </w:r>
      <w:r>
        <w:rPr>
          <w:rStyle w:val="16"/>
          <w:rFonts w:ascii="Times New Roman" w:hAnsi="仿宋"/>
          <w:color w:val="auto"/>
        </w:rPr>
        <w:t>三、支出决算情况说明</w:t>
      </w:r>
      <w:r>
        <w:rPr>
          <w:rFonts w:ascii="Times New Roman"/>
        </w:rPr>
        <w:tab/>
      </w:r>
      <w:r>
        <w:rPr>
          <w:rFonts w:ascii="Times New Roman"/>
        </w:rPr>
        <w:fldChar w:fldCharType="begin"/>
      </w:r>
      <w:r>
        <w:rPr>
          <w:rFonts w:ascii="Times New Roman"/>
        </w:rPr>
        <w:instrText xml:space="preserve"> PAGEREF _Toc15396605 \h </w:instrText>
      </w:r>
      <w:r>
        <w:rPr>
          <w:rFonts w:ascii="Times New Roman"/>
        </w:rPr>
        <w:fldChar w:fldCharType="separate"/>
      </w:r>
      <w:r>
        <w:rPr>
          <w:rFonts w:ascii="Times New Roman"/>
        </w:rPr>
        <w:t>9</w:t>
      </w:r>
      <w:r>
        <w:rPr>
          <w:rFonts w:ascii="Times New Roman"/>
        </w:rPr>
        <w:fldChar w:fldCharType="end"/>
      </w:r>
      <w:r>
        <w:rPr>
          <w:rFonts w:ascii="Times New Roman"/>
        </w:rPr>
        <w:fldChar w:fldCharType="end"/>
      </w:r>
    </w:p>
    <w:p w14:paraId="68EC030D">
      <w:pPr>
        <w:pStyle w:val="11"/>
        <w:rPr>
          <w:rFonts w:ascii="Times New Roman"/>
        </w:rPr>
      </w:pPr>
      <w:r>
        <w:fldChar w:fldCharType="begin"/>
      </w:r>
      <w:r>
        <w:instrText xml:space="preserve"> HYPERLINK \l "_Toc15396606" </w:instrText>
      </w:r>
      <w:r>
        <w:fldChar w:fldCharType="separate"/>
      </w:r>
      <w:r>
        <w:rPr>
          <w:rStyle w:val="16"/>
          <w:rFonts w:ascii="Times New Roman" w:hAnsi="仿宋"/>
          <w:color w:val="auto"/>
        </w:rPr>
        <w:t>四、财政拨款收入支出决算总体情况说明</w:t>
      </w:r>
      <w:r>
        <w:rPr>
          <w:rFonts w:ascii="Times New Roman"/>
        </w:rPr>
        <w:tab/>
      </w:r>
      <w:r>
        <w:rPr>
          <w:rFonts w:ascii="Times New Roman"/>
        </w:rPr>
        <w:fldChar w:fldCharType="begin"/>
      </w:r>
      <w:r>
        <w:rPr>
          <w:rFonts w:ascii="Times New Roman"/>
        </w:rPr>
        <w:instrText xml:space="preserve"> PAGEREF _Toc15396606 \h </w:instrText>
      </w:r>
      <w:r>
        <w:rPr>
          <w:rFonts w:ascii="Times New Roman"/>
        </w:rPr>
        <w:fldChar w:fldCharType="separate"/>
      </w:r>
      <w:r>
        <w:rPr>
          <w:rFonts w:ascii="Times New Roman"/>
        </w:rPr>
        <w:t>10</w:t>
      </w:r>
      <w:r>
        <w:rPr>
          <w:rFonts w:ascii="Times New Roman"/>
        </w:rPr>
        <w:fldChar w:fldCharType="end"/>
      </w:r>
      <w:r>
        <w:rPr>
          <w:rFonts w:ascii="Times New Roman"/>
        </w:rPr>
        <w:fldChar w:fldCharType="end"/>
      </w:r>
    </w:p>
    <w:p w14:paraId="72AF5037">
      <w:pPr>
        <w:pStyle w:val="11"/>
        <w:rPr>
          <w:rFonts w:ascii="Times New Roman"/>
        </w:rPr>
      </w:pPr>
      <w:r>
        <w:fldChar w:fldCharType="begin"/>
      </w:r>
      <w:r>
        <w:instrText xml:space="preserve"> HYPERLINK \l "_Toc15396607" </w:instrText>
      </w:r>
      <w:r>
        <w:fldChar w:fldCharType="separate"/>
      </w:r>
      <w:r>
        <w:rPr>
          <w:rStyle w:val="16"/>
          <w:rFonts w:ascii="Times New Roman" w:hAnsi="仿宋"/>
          <w:color w:val="auto"/>
        </w:rPr>
        <w:t>五、一般公共预算财政拨款支出决算情况说明</w:t>
      </w:r>
      <w:r>
        <w:rPr>
          <w:rFonts w:ascii="Times New Roman"/>
        </w:rPr>
        <w:tab/>
      </w:r>
      <w:r>
        <w:rPr>
          <w:rFonts w:ascii="Times New Roman"/>
        </w:rPr>
        <w:fldChar w:fldCharType="begin"/>
      </w:r>
      <w:r>
        <w:rPr>
          <w:rFonts w:ascii="Times New Roman"/>
        </w:rPr>
        <w:instrText xml:space="preserve"> PAGEREF _Toc15396607 \h </w:instrText>
      </w:r>
      <w:r>
        <w:rPr>
          <w:rFonts w:ascii="Times New Roman"/>
        </w:rPr>
        <w:fldChar w:fldCharType="separate"/>
      </w:r>
      <w:r>
        <w:rPr>
          <w:rFonts w:ascii="Times New Roman"/>
        </w:rPr>
        <w:t>11</w:t>
      </w:r>
      <w:r>
        <w:rPr>
          <w:rFonts w:ascii="Times New Roman"/>
        </w:rPr>
        <w:fldChar w:fldCharType="end"/>
      </w:r>
      <w:r>
        <w:rPr>
          <w:rFonts w:ascii="Times New Roman"/>
        </w:rPr>
        <w:fldChar w:fldCharType="end"/>
      </w:r>
    </w:p>
    <w:p w14:paraId="2992B3E2">
      <w:pPr>
        <w:pStyle w:val="11"/>
        <w:rPr>
          <w:rFonts w:ascii="Times New Roman"/>
        </w:rPr>
      </w:pPr>
      <w:r>
        <w:fldChar w:fldCharType="begin"/>
      </w:r>
      <w:r>
        <w:instrText xml:space="preserve"> HYPERLINK \l "_Toc15396608" </w:instrText>
      </w:r>
      <w:r>
        <w:fldChar w:fldCharType="separate"/>
      </w:r>
      <w:r>
        <w:rPr>
          <w:rStyle w:val="16"/>
          <w:rFonts w:ascii="Times New Roman" w:hAnsi="仿宋"/>
          <w:color w:val="auto"/>
        </w:rPr>
        <w:t>六、一般公共预算财政拨款基本支出决算情况说明</w:t>
      </w:r>
      <w:r>
        <w:rPr>
          <w:rFonts w:ascii="Times New Roman"/>
        </w:rPr>
        <w:tab/>
      </w:r>
      <w:r>
        <w:rPr>
          <w:rFonts w:ascii="Times New Roman"/>
        </w:rPr>
        <w:fldChar w:fldCharType="begin"/>
      </w:r>
      <w:r>
        <w:rPr>
          <w:rFonts w:ascii="Times New Roman"/>
        </w:rPr>
        <w:instrText xml:space="preserve"> PAGEREF _Toc15396608 \h </w:instrText>
      </w:r>
      <w:r>
        <w:rPr>
          <w:rFonts w:ascii="Times New Roman"/>
        </w:rPr>
        <w:fldChar w:fldCharType="separate"/>
      </w:r>
      <w:r>
        <w:rPr>
          <w:rFonts w:ascii="Times New Roman"/>
        </w:rPr>
        <w:t>14</w:t>
      </w:r>
      <w:r>
        <w:rPr>
          <w:rFonts w:ascii="Times New Roman"/>
        </w:rPr>
        <w:fldChar w:fldCharType="end"/>
      </w:r>
      <w:r>
        <w:rPr>
          <w:rFonts w:ascii="Times New Roman"/>
        </w:rPr>
        <w:fldChar w:fldCharType="end"/>
      </w:r>
    </w:p>
    <w:p w14:paraId="3A3FB722">
      <w:pPr>
        <w:pStyle w:val="11"/>
        <w:rPr>
          <w:rFonts w:ascii="Times New Roman"/>
        </w:rPr>
      </w:pPr>
      <w:r>
        <w:fldChar w:fldCharType="begin"/>
      </w:r>
      <w:r>
        <w:instrText xml:space="preserve"> HYPERLINK \l "_Toc15396609" </w:instrText>
      </w:r>
      <w:r>
        <w:fldChar w:fldCharType="separate"/>
      </w:r>
      <w:r>
        <w:rPr>
          <w:rStyle w:val="16"/>
          <w:rFonts w:ascii="Times New Roman" w:hAnsi="仿宋"/>
          <w:color w:val="auto"/>
        </w:rPr>
        <w:t>七、</w:t>
      </w:r>
      <w:r>
        <w:rPr>
          <w:rStyle w:val="16"/>
          <w:rFonts w:ascii="Times New Roman"/>
          <w:color w:val="auto"/>
        </w:rPr>
        <w:t>“</w:t>
      </w:r>
      <w:r>
        <w:rPr>
          <w:rStyle w:val="16"/>
          <w:rFonts w:ascii="Times New Roman" w:hAnsi="仿宋"/>
          <w:color w:val="auto"/>
        </w:rPr>
        <w:t>三公</w:t>
      </w:r>
      <w:r>
        <w:rPr>
          <w:rStyle w:val="16"/>
          <w:rFonts w:ascii="Times New Roman"/>
          <w:color w:val="auto"/>
        </w:rPr>
        <w:t>”</w:t>
      </w:r>
      <w:r>
        <w:rPr>
          <w:rStyle w:val="16"/>
          <w:rFonts w:ascii="Times New Roman" w:hAnsi="仿宋"/>
          <w:color w:val="auto"/>
        </w:rPr>
        <w:t>经费财政拨款支出决算情况说明</w:t>
      </w:r>
      <w:r>
        <w:rPr>
          <w:rFonts w:ascii="Times New Roman"/>
        </w:rPr>
        <w:tab/>
      </w:r>
      <w:r>
        <w:rPr>
          <w:rFonts w:ascii="Times New Roman"/>
        </w:rPr>
        <w:fldChar w:fldCharType="begin"/>
      </w:r>
      <w:r>
        <w:rPr>
          <w:rFonts w:ascii="Times New Roman"/>
        </w:rPr>
        <w:instrText xml:space="preserve"> PAGEREF _Toc15396609 \h </w:instrText>
      </w:r>
      <w:r>
        <w:rPr>
          <w:rFonts w:ascii="Times New Roman"/>
        </w:rPr>
        <w:fldChar w:fldCharType="separate"/>
      </w:r>
      <w:r>
        <w:rPr>
          <w:rFonts w:ascii="Times New Roman"/>
        </w:rPr>
        <w:t>14</w:t>
      </w:r>
      <w:r>
        <w:rPr>
          <w:rFonts w:ascii="Times New Roman"/>
        </w:rPr>
        <w:fldChar w:fldCharType="end"/>
      </w:r>
      <w:r>
        <w:rPr>
          <w:rFonts w:ascii="Times New Roman"/>
        </w:rPr>
        <w:fldChar w:fldCharType="end"/>
      </w:r>
    </w:p>
    <w:p w14:paraId="2064FE44">
      <w:pPr>
        <w:pStyle w:val="11"/>
        <w:rPr>
          <w:rFonts w:ascii="Times New Roman"/>
        </w:rPr>
      </w:pPr>
      <w:r>
        <w:fldChar w:fldCharType="begin"/>
      </w:r>
      <w:r>
        <w:instrText xml:space="preserve"> HYPERLINK \l "_Toc15396610" </w:instrText>
      </w:r>
      <w:r>
        <w:fldChar w:fldCharType="separate"/>
      </w:r>
      <w:r>
        <w:rPr>
          <w:rStyle w:val="16"/>
          <w:rFonts w:ascii="Times New Roman" w:hAnsi="仿宋"/>
          <w:color w:val="auto"/>
        </w:rPr>
        <w:t>八、政府性基金预算支出决算情况说明</w:t>
      </w:r>
      <w:r>
        <w:rPr>
          <w:rFonts w:ascii="Times New Roman"/>
        </w:rPr>
        <w:tab/>
      </w:r>
      <w:r>
        <w:rPr>
          <w:rFonts w:ascii="Times New Roman"/>
        </w:rPr>
        <w:fldChar w:fldCharType="begin"/>
      </w:r>
      <w:r>
        <w:rPr>
          <w:rFonts w:ascii="Times New Roman"/>
        </w:rPr>
        <w:instrText xml:space="preserve"> PAGEREF _Toc15396610 \h </w:instrText>
      </w:r>
      <w:r>
        <w:rPr>
          <w:rFonts w:ascii="Times New Roman"/>
        </w:rPr>
        <w:fldChar w:fldCharType="separate"/>
      </w:r>
      <w:r>
        <w:rPr>
          <w:rFonts w:ascii="Times New Roman"/>
        </w:rPr>
        <w:t>15</w:t>
      </w:r>
      <w:r>
        <w:rPr>
          <w:rFonts w:ascii="Times New Roman"/>
        </w:rPr>
        <w:fldChar w:fldCharType="end"/>
      </w:r>
      <w:r>
        <w:rPr>
          <w:rFonts w:ascii="Times New Roman"/>
        </w:rPr>
        <w:fldChar w:fldCharType="end"/>
      </w:r>
    </w:p>
    <w:p w14:paraId="7C811FDE">
      <w:pPr>
        <w:pStyle w:val="11"/>
        <w:rPr>
          <w:rFonts w:ascii="Times New Roman"/>
        </w:rPr>
      </w:pPr>
      <w:r>
        <w:fldChar w:fldCharType="begin"/>
      </w:r>
      <w:r>
        <w:instrText xml:space="preserve"> HYPERLINK \l "_Toc15396611" </w:instrText>
      </w:r>
      <w:r>
        <w:fldChar w:fldCharType="separate"/>
      </w:r>
      <w:r>
        <w:rPr>
          <w:rStyle w:val="16"/>
          <w:rFonts w:ascii="Times New Roman" w:hAnsi="仿宋"/>
          <w:color w:val="auto"/>
        </w:rPr>
        <w:t>九、</w:t>
      </w:r>
      <w:r>
        <w:rPr>
          <w:rStyle w:val="16"/>
          <w:rFonts w:ascii="Times New Roman"/>
          <w:color w:val="auto"/>
        </w:rPr>
        <w:t xml:space="preserve"> </w:t>
      </w:r>
      <w:r>
        <w:rPr>
          <w:rStyle w:val="16"/>
          <w:rFonts w:ascii="Times New Roman" w:hAnsi="仿宋"/>
          <w:color w:val="auto"/>
        </w:rPr>
        <w:t>国有资本经营预算支出决算情况说明</w:t>
      </w:r>
      <w:r>
        <w:rPr>
          <w:rFonts w:ascii="Times New Roman"/>
        </w:rPr>
        <w:tab/>
      </w:r>
      <w:r>
        <w:rPr>
          <w:rFonts w:ascii="Times New Roman"/>
        </w:rPr>
        <w:fldChar w:fldCharType="begin"/>
      </w:r>
      <w:r>
        <w:rPr>
          <w:rFonts w:ascii="Times New Roman"/>
        </w:rPr>
        <w:instrText xml:space="preserve"> PAGEREF _Toc15396607 \h </w:instrText>
      </w:r>
      <w:r>
        <w:rPr>
          <w:rFonts w:ascii="Times New Roman"/>
        </w:rPr>
        <w:fldChar w:fldCharType="separate"/>
      </w:r>
      <w:r>
        <w:rPr>
          <w:rFonts w:ascii="Times New Roman"/>
        </w:rPr>
        <w:t>15</w:t>
      </w:r>
      <w:r>
        <w:rPr>
          <w:rFonts w:ascii="Times New Roman"/>
        </w:rPr>
        <w:fldChar w:fldCharType="end"/>
      </w:r>
      <w:r>
        <w:rPr>
          <w:rFonts w:ascii="Times New Roman"/>
        </w:rPr>
        <w:fldChar w:fldCharType="end"/>
      </w:r>
    </w:p>
    <w:p w14:paraId="2E41117F">
      <w:pPr>
        <w:pStyle w:val="11"/>
        <w:rPr>
          <w:rFonts w:ascii="Times New Roman"/>
        </w:rPr>
      </w:pPr>
      <w:r>
        <w:fldChar w:fldCharType="begin"/>
      </w:r>
      <w:r>
        <w:instrText xml:space="preserve"> HYPERLINK \l "_Toc15396612" </w:instrText>
      </w:r>
      <w:r>
        <w:fldChar w:fldCharType="separate"/>
      </w:r>
      <w:r>
        <w:rPr>
          <w:rStyle w:val="16"/>
          <w:rFonts w:ascii="Times New Roman" w:hAnsi="仿宋"/>
          <w:color w:val="auto"/>
        </w:rPr>
        <w:t>十、其他重要事项的情况说明</w:t>
      </w:r>
      <w:r>
        <w:rPr>
          <w:rFonts w:ascii="Times New Roman"/>
        </w:rPr>
        <w:tab/>
      </w:r>
      <w:r>
        <w:rPr>
          <w:rFonts w:ascii="Times New Roman"/>
        </w:rPr>
        <w:fldChar w:fldCharType="begin"/>
      </w:r>
      <w:r>
        <w:rPr>
          <w:rFonts w:ascii="Times New Roman"/>
        </w:rPr>
        <w:instrText xml:space="preserve"> PAGEREF _Toc15396612 \h </w:instrText>
      </w:r>
      <w:r>
        <w:rPr>
          <w:rFonts w:ascii="Times New Roman"/>
        </w:rPr>
        <w:fldChar w:fldCharType="separate"/>
      </w:r>
      <w:r>
        <w:rPr>
          <w:rFonts w:ascii="Times New Roman"/>
        </w:rPr>
        <w:t>15</w:t>
      </w:r>
      <w:r>
        <w:rPr>
          <w:rFonts w:ascii="Times New Roman"/>
        </w:rPr>
        <w:fldChar w:fldCharType="end"/>
      </w:r>
      <w:r>
        <w:rPr>
          <w:rFonts w:ascii="Times New Roman"/>
        </w:rPr>
        <w:fldChar w:fldCharType="end"/>
      </w:r>
    </w:p>
    <w:p w14:paraId="6DFDFD59">
      <w:pPr>
        <w:pStyle w:val="10"/>
        <w:rPr>
          <w:rFonts w:ascii="Times New Roman" w:hAnsi="Times New Roman"/>
        </w:rPr>
      </w:pPr>
      <w:r>
        <w:fldChar w:fldCharType="begin"/>
      </w:r>
      <w:r>
        <w:instrText xml:space="preserve"> HYPERLINK \l "_Toc15396613" </w:instrText>
      </w:r>
      <w:r>
        <w:fldChar w:fldCharType="separate"/>
      </w:r>
      <w:r>
        <w:rPr>
          <w:rStyle w:val="16"/>
          <w:rFonts w:ascii="Times New Roman"/>
          <w:bCs/>
          <w:color w:val="auto"/>
          <w:kern w:val="44"/>
        </w:rPr>
        <w:t>第三部分</w:t>
      </w:r>
      <w:r>
        <w:rPr>
          <w:rStyle w:val="16"/>
          <w:rFonts w:ascii="Times New Roman" w:hAnsi="Times New Roman"/>
          <w:color w:val="auto"/>
        </w:rPr>
        <w:t xml:space="preserve"> </w:t>
      </w:r>
      <w:r>
        <w:rPr>
          <w:rStyle w:val="16"/>
          <w:rFonts w:ascii="Times New Roman"/>
          <w:color w:val="auto"/>
        </w:rPr>
        <w:t>名</w:t>
      </w:r>
      <w:r>
        <w:rPr>
          <w:rStyle w:val="16"/>
          <w:rFonts w:ascii="Times New Roman"/>
          <w:bCs/>
          <w:color w:val="auto"/>
          <w:kern w:val="44"/>
        </w:rPr>
        <w:t>词解释</w:t>
      </w:r>
      <w:r>
        <w:rPr>
          <w:rFonts w:ascii="Times New Roman" w:hAnsi="Times New Roman"/>
        </w:rPr>
        <w:tab/>
      </w:r>
      <w:r>
        <w:rPr>
          <w:rFonts w:ascii="Times New Roman" w:hAnsi="Times New Roman"/>
        </w:rPr>
        <w:t>26</w:t>
      </w:r>
      <w:r>
        <w:rPr>
          <w:rFonts w:ascii="Times New Roman" w:hAnsi="Times New Roman"/>
        </w:rPr>
        <w:fldChar w:fldCharType="end"/>
      </w:r>
    </w:p>
    <w:p w14:paraId="782970C2">
      <w:pPr>
        <w:pStyle w:val="10"/>
        <w:rPr>
          <w:rFonts w:ascii="Times New Roman" w:hAnsi="Times New Roman"/>
        </w:rPr>
      </w:pPr>
      <w:r>
        <w:fldChar w:fldCharType="begin"/>
      </w:r>
      <w:r>
        <w:instrText xml:space="preserve"> HYPERLINK \l "_Toc15396614" </w:instrText>
      </w:r>
      <w:r>
        <w:fldChar w:fldCharType="separate"/>
      </w:r>
      <w:r>
        <w:rPr>
          <w:rStyle w:val="16"/>
          <w:rFonts w:ascii="Times New Roman"/>
          <w:color w:val="auto"/>
        </w:rPr>
        <w:t>第</w:t>
      </w:r>
      <w:r>
        <w:rPr>
          <w:rStyle w:val="16"/>
          <w:rFonts w:ascii="Times New Roman"/>
          <w:bCs/>
          <w:color w:val="auto"/>
          <w:kern w:val="44"/>
        </w:rPr>
        <w:t>四部分</w:t>
      </w:r>
      <w:r>
        <w:rPr>
          <w:rStyle w:val="16"/>
          <w:rFonts w:ascii="Times New Roman" w:hAnsi="Times New Roman"/>
          <w:bCs/>
          <w:color w:val="auto"/>
          <w:kern w:val="44"/>
        </w:rPr>
        <w:t xml:space="preserve"> </w:t>
      </w:r>
      <w:r>
        <w:rPr>
          <w:rStyle w:val="16"/>
          <w:rFonts w:ascii="Times New Roman"/>
          <w:bCs/>
          <w:color w:val="auto"/>
          <w:kern w:val="44"/>
        </w:rPr>
        <w:t>附件</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_Toc15396614 \h </w:instrText>
      </w:r>
      <w:r>
        <w:rPr>
          <w:rFonts w:ascii="Times New Roman" w:hAnsi="Times New Roman"/>
        </w:rPr>
        <w:fldChar w:fldCharType="separate"/>
      </w:r>
      <w:r>
        <w:rPr>
          <w:rFonts w:ascii="Times New Roman" w:hAnsi="Times New Roman"/>
        </w:rPr>
        <w:t>28</w:t>
      </w:r>
      <w:r>
        <w:rPr>
          <w:rFonts w:ascii="Times New Roman" w:hAnsi="Times New Roman"/>
        </w:rPr>
        <w:fldChar w:fldCharType="end"/>
      </w:r>
      <w:r>
        <w:rPr>
          <w:rFonts w:ascii="Times New Roman" w:hAnsi="Times New Roman"/>
        </w:rPr>
        <w:fldChar w:fldCharType="end"/>
      </w:r>
    </w:p>
    <w:p w14:paraId="5A936325">
      <w:pPr>
        <w:pStyle w:val="11"/>
        <w:rPr>
          <w:rFonts w:ascii="Times New Roman"/>
        </w:rPr>
      </w:pPr>
      <w:r>
        <w:fldChar w:fldCharType="begin"/>
      </w:r>
      <w:r>
        <w:instrText xml:space="preserve"> HYPERLINK \l "_Toc15396615" </w:instrText>
      </w:r>
      <w:r>
        <w:fldChar w:fldCharType="separate"/>
      </w:r>
      <w:r>
        <w:rPr>
          <w:rStyle w:val="16"/>
          <w:rFonts w:ascii="Times New Roman" w:hAnsi="仿宋"/>
          <w:color w:val="auto"/>
          <w:kern w:val="44"/>
        </w:rPr>
        <w:t>附件</w:t>
      </w:r>
      <w:r>
        <w:rPr>
          <w:rStyle w:val="16"/>
          <w:rFonts w:ascii="Times New Roman"/>
          <w:color w:val="auto"/>
          <w:kern w:val="44"/>
        </w:rPr>
        <w:t>1</w:t>
      </w:r>
      <w:r>
        <w:rPr>
          <w:rFonts w:ascii="Times New Roman"/>
        </w:rPr>
        <w:tab/>
      </w:r>
      <w:r>
        <w:rPr>
          <w:rFonts w:ascii="Times New Roman"/>
        </w:rPr>
        <w:fldChar w:fldCharType="begin"/>
      </w:r>
      <w:r>
        <w:rPr>
          <w:rFonts w:ascii="Times New Roman"/>
        </w:rPr>
        <w:instrText xml:space="preserve"> PAGEREF _Toc15396615 \h </w:instrText>
      </w:r>
      <w:r>
        <w:rPr>
          <w:rFonts w:ascii="Times New Roman"/>
        </w:rPr>
        <w:fldChar w:fldCharType="separate"/>
      </w:r>
      <w:r>
        <w:rPr>
          <w:rFonts w:ascii="Times New Roman"/>
        </w:rPr>
        <w:t>28</w:t>
      </w:r>
      <w:r>
        <w:rPr>
          <w:rFonts w:ascii="Times New Roman"/>
        </w:rPr>
        <w:fldChar w:fldCharType="end"/>
      </w:r>
      <w:r>
        <w:rPr>
          <w:rFonts w:ascii="Times New Roman"/>
        </w:rPr>
        <w:fldChar w:fldCharType="end"/>
      </w:r>
    </w:p>
    <w:p w14:paraId="1BBA9DD0">
      <w:pPr>
        <w:pStyle w:val="11"/>
        <w:rPr>
          <w:rFonts w:hint="eastAsia"/>
        </w:rPr>
      </w:pPr>
      <w:r>
        <w:fldChar w:fldCharType="begin"/>
      </w:r>
      <w:r>
        <w:instrText xml:space="preserve"> HYPERLINK \l "_Toc15396617" </w:instrText>
      </w:r>
      <w:r>
        <w:fldChar w:fldCharType="separate"/>
      </w:r>
      <w:r>
        <w:rPr>
          <w:rStyle w:val="16"/>
          <w:rFonts w:ascii="Times New Roman" w:hAnsi="仿宋"/>
          <w:color w:val="auto"/>
          <w:kern w:val="44"/>
        </w:rPr>
        <w:t>附件</w:t>
      </w:r>
      <w:r>
        <w:rPr>
          <w:rStyle w:val="16"/>
          <w:rFonts w:ascii="Times New Roman"/>
          <w:color w:val="auto"/>
          <w:kern w:val="44"/>
        </w:rPr>
        <w:t>2</w:t>
      </w:r>
      <w:r>
        <w:rPr>
          <w:rFonts w:ascii="Times New Roman"/>
        </w:rPr>
        <w:tab/>
      </w:r>
      <w:r>
        <w:rPr>
          <w:rFonts w:ascii="Times New Roman"/>
        </w:rPr>
        <w:t>3</w:t>
      </w:r>
      <w:r>
        <w:rPr>
          <w:rFonts w:hint="eastAsia" w:ascii="Times New Roman"/>
        </w:rPr>
        <w:t>2</w:t>
      </w:r>
      <w:r>
        <w:rPr>
          <w:rFonts w:hint="eastAsia" w:ascii="Times New Roman"/>
        </w:rPr>
        <w:fldChar w:fldCharType="end"/>
      </w:r>
    </w:p>
    <w:p w14:paraId="456FEC61">
      <w:pPr>
        <w:pStyle w:val="11"/>
        <w:rPr>
          <w:rFonts w:ascii="Times New Roman"/>
        </w:rPr>
      </w:pPr>
      <w:r>
        <w:fldChar w:fldCharType="begin"/>
      </w:r>
      <w:r>
        <w:instrText xml:space="preserve"> HYPERLINK \l "_Toc15396617" </w:instrText>
      </w:r>
      <w:r>
        <w:fldChar w:fldCharType="separate"/>
      </w:r>
      <w:r>
        <w:rPr>
          <w:rStyle w:val="16"/>
          <w:rFonts w:ascii="Times New Roman" w:hAnsi="仿宋"/>
          <w:color w:val="auto"/>
          <w:kern w:val="44"/>
        </w:rPr>
        <w:t>第五部分 附表</w:t>
      </w:r>
      <w:r>
        <w:rPr>
          <w:rFonts w:ascii="Times New Roman"/>
        </w:rPr>
        <w:tab/>
      </w:r>
      <w:r>
        <w:rPr>
          <w:rFonts w:hint="eastAsia" w:ascii="Times New Roman"/>
        </w:rPr>
        <w:t>39</w:t>
      </w:r>
      <w:r>
        <w:rPr>
          <w:rFonts w:hint="eastAsia" w:ascii="Times New Roman"/>
        </w:rPr>
        <w:fldChar w:fldCharType="end"/>
      </w:r>
    </w:p>
    <w:p w14:paraId="2678152C">
      <w:pPr>
        <w:pStyle w:val="11"/>
        <w:rPr>
          <w:rFonts w:ascii="Times New Roman"/>
        </w:rPr>
      </w:pPr>
      <w:r>
        <w:rPr>
          <w:rFonts w:ascii="Times New Roman" w:hAnsi="仿宋"/>
        </w:rPr>
        <w:t>一、</w:t>
      </w:r>
      <w:r>
        <w:fldChar w:fldCharType="begin"/>
      </w:r>
      <w:r>
        <w:instrText xml:space="preserve"> HYPERLINK \l "_Toc15396619" </w:instrText>
      </w:r>
      <w:r>
        <w:fldChar w:fldCharType="separate"/>
      </w:r>
      <w:r>
        <w:rPr>
          <w:rStyle w:val="16"/>
          <w:rFonts w:ascii="Times New Roman" w:hAnsi="仿宋"/>
          <w:color w:val="auto"/>
        </w:rPr>
        <w:t>收入支出决算总表</w:t>
      </w:r>
      <w:r>
        <w:rPr>
          <w:rFonts w:ascii="Times New Roman"/>
        </w:rPr>
        <w:tab/>
      </w:r>
      <w:r>
        <w:rPr>
          <w:rFonts w:hint="eastAsia" w:ascii="Times New Roman"/>
        </w:rPr>
        <w:t>39</w:t>
      </w:r>
      <w:r>
        <w:rPr>
          <w:rFonts w:hint="eastAsia" w:ascii="Times New Roman"/>
        </w:rPr>
        <w:fldChar w:fldCharType="end"/>
      </w:r>
    </w:p>
    <w:p w14:paraId="09543AE5">
      <w:pPr>
        <w:pStyle w:val="11"/>
        <w:rPr>
          <w:rFonts w:ascii="Times New Roman"/>
        </w:rPr>
      </w:pPr>
      <w:r>
        <w:rPr>
          <w:rFonts w:ascii="Times New Roman" w:hAnsi="仿宋"/>
        </w:rPr>
        <w:t>二、</w:t>
      </w:r>
      <w:r>
        <w:fldChar w:fldCharType="begin"/>
      </w:r>
      <w:r>
        <w:instrText xml:space="preserve"> HYPERLINK \l "_Toc15396620" </w:instrText>
      </w:r>
      <w:r>
        <w:fldChar w:fldCharType="separate"/>
      </w:r>
      <w:r>
        <w:rPr>
          <w:rStyle w:val="16"/>
          <w:rFonts w:ascii="Times New Roman" w:hAnsi="仿宋"/>
          <w:color w:val="auto"/>
        </w:rPr>
        <w:t>收入决算表</w:t>
      </w:r>
      <w:r>
        <w:rPr>
          <w:rFonts w:ascii="Times New Roman"/>
        </w:rPr>
        <w:tab/>
      </w:r>
      <w:r>
        <w:rPr>
          <w:rFonts w:hint="eastAsia" w:ascii="Times New Roman"/>
        </w:rPr>
        <w:t>39</w:t>
      </w:r>
      <w:r>
        <w:rPr>
          <w:rFonts w:hint="eastAsia" w:ascii="Times New Roman"/>
        </w:rPr>
        <w:fldChar w:fldCharType="end"/>
      </w:r>
    </w:p>
    <w:p w14:paraId="13B49644">
      <w:pPr>
        <w:pStyle w:val="11"/>
        <w:rPr>
          <w:rFonts w:ascii="Times New Roman"/>
        </w:rPr>
      </w:pPr>
      <w:r>
        <w:rPr>
          <w:rFonts w:ascii="Times New Roman" w:hAnsi="仿宋"/>
        </w:rPr>
        <w:t>三、</w:t>
      </w:r>
      <w:r>
        <w:fldChar w:fldCharType="begin"/>
      </w:r>
      <w:r>
        <w:instrText xml:space="preserve"> HYPERLINK \l "_Toc15396621" </w:instrText>
      </w:r>
      <w:r>
        <w:fldChar w:fldCharType="separate"/>
      </w:r>
      <w:r>
        <w:rPr>
          <w:rStyle w:val="16"/>
          <w:rFonts w:ascii="Times New Roman" w:hAnsi="仿宋"/>
          <w:color w:val="auto"/>
        </w:rPr>
        <w:t>支出决算表</w:t>
      </w:r>
      <w:r>
        <w:rPr>
          <w:rFonts w:ascii="Times New Roman"/>
        </w:rPr>
        <w:tab/>
      </w:r>
      <w:r>
        <w:rPr>
          <w:rFonts w:hint="eastAsia" w:ascii="Times New Roman"/>
        </w:rPr>
        <w:t>39</w:t>
      </w:r>
      <w:r>
        <w:rPr>
          <w:rFonts w:hint="eastAsia" w:ascii="Times New Roman"/>
        </w:rPr>
        <w:fldChar w:fldCharType="end"/>
      </w:r>
    </w:p>
    <w:p w14:paraId="64CAB2B9">
      <w:pPr>
        <w:pStyle w:val="11"/>
        <w:rPr>
          <w:rFonts w:ascii="Times New Roman"/>
        </w:rPr>
      </w:pPr>
      <w:r>
        <w:rPr>
          <w:rFonts w:ascii="Times New Roman" w:hAnsi="仿宋"/>
        </w:rPr>
        <w:t>四、</w:t>
      </w:r>
      <w:r>
        <w:fldChar w:fldCharType="begin"/>
      </w:r>
      <w:r>
        <w:instrText xml:space="preserve"> HYPERLINK \l "_Toc15396622" </w:instrText>
      </w:r>
      <w:r>
        <w:fldChar w:fldCharType="separate"/>
      </w:r>
      <w:r>
        <w:rPr>
          <w:rStyle w:val="16"/>
          <w:rFonts w:ascii="Times New Roman" w:hAnsi="仿宋"/>
          <w:color w:val="auto"/>
        </w:rPr>
        <w:t>财政拨款收入支出决算总表</w:t>
      </w:r>
      <w:r>
        <w:rPr>
          <w:rFonts w:ascii="Times New Roman"/>
        </w:rPr>
        <w:tab/>
      </w:r>
      <w:r>
        <w:rPr>
          <w:rFonts w:hint="eastAsia" w:ascii="Times New Roman"/>
        </w:rPr>
        <w:t>39</w:t>
      </w:r>
      <w:r>
        <w:rPr>
          <w:rFonts w:hint="eastAsia" w:ascii="Times New Roman"/>
        </w:rPr>
        <w:fldChar w:fldCharType="end"/>
      </w:r>
    </w:p>
    <w:p w14:paraId="6C83C759">
      <w:pPr>
        <w:pStyle w:val="11"/>
        <w:rPr>
          <w:rFonts w:ascii="Times New Roman"/>
        </w:rPr>
      </w:pPr>
      <w:r>
        <w:rPr>
          <w:rFonts w:ascii="Times New Roman" w:hAnsi="仿宋"/>
        </w:rPr>
        <w:t>五、</w:t>
      </w:r>
      <w:r>
        <w:fldChar w:fldCharType="begin"/>
      </w:r>
      <w:r>
        <w:instrText xml:space="preserve"> HYPERLINK \l "_Toc15396623" </w:instrText>
      </w:r>
      <w:r>
        <w:fldChar w:fldCharType="separate"/>
      </w:r>
      <w:r>
        <w:rPr>
          <w:rFonts w:ascii="Times New Roman" w:hAnsi="仿宋"/>
        </w:rPr>
        <w:t>财政拨款支出决算明细表（政府经济分类科目）</w:t>
      </w:r>
      <w:r>
        <w:rPr>
          <w:rFonts w:ascii="Times New Roman"/>
        </w:rPr>
        <w:tab/>
      </w:r>
      <w:r>
        <w:rPr>
          <w:rFonts w:hint="eastAsia" w:ascii="Times New Roman"/>
        </w:rPr>
        <w:t>39</w:t>
      </w:r>
      <w:r>
        <w:rPr>
          <w:rFonts w:hint="eastAsia" w:ascii="Times New Roman"/>
        </w:rPr>
        <w:fldChar w:fldCharType="end"/>
      </w:r>
    </w:p>
    <w:p w14:paraId="7CAD53AF">
      <w:pPr>
        <w:pStyle w:val="11"/>
        <w:rPr>
          <w:rFonts w:ascii="Times New Roman"/>
        </w:rPr>
      </w:pPr>
      <w:r>
        <w:rPr>
          <w:rFonts w:ascii="Times New Roman" w:hAnsi="仿宋"/>
        </w:rPr>
        <w:t>六、</w:t>
      </w:r>
      <w:r>
        <w:fldChar w:fldCharType="begin"/>
      </w:r>
      <w:r>
        <w:instrText xml:space="preserve"> HYPERLINK \l "_Toc15396624" </w:instrText>
      </w:r>
      <w:r>
        <w:fldChar w:fldCharType="separate"/>
      </w:r>
      <w:r>
        <w:rPr>
          <w:rStyle w:val="16"/>
          <w:rFonts w:ascii="Times New Roman" w:hAnsi="仿宋"/>
          <w:color w:val="auto"/>
        </w:rPr>
        <w:t>一般公共预算财政拨款支出决算表</w:t>
      </w:r>
      <w:r>
        <w:rPr>
          <w:rFonts w:ascii="Times New Roman"/>
        </w:rPr>
        <w:tab/>
      </w:r>
      <w:r>
        <w:rPr>
          <w:rFonts w:hint="eastAsia" w:ascii="Times New Roman"/>
        </w:rPr>
        <w:t>39</w:t>
      </w:r>
      <w:r>
        <w:rPr>
          <w:rFonts w:hint="eastAsia" w:ascii="Times New Roman"/>
        </w:rPr>
        <w:fldChar w:fldCharType="end"/>
      </w:r>
    </w:p>
    <w:p w14:paraId="6CF8C3E1">
      <w:pPr>
        <w:pStyle w:val="11"/>
        <w:rPr>
          <w:rFonts w:ascii="Times New Roman"/>
        </w:rPr>
      </w:pPr>
      <w:r>
        <w:rPr>
          <w:rFonts w:ascii="Times New Roman" w:hAnsi="仿宋"/>
        </w:rPr>
        <w:t>七、</w:t>
      </w:r>
      <w:r>
        <w:fldChar w:fldCharType="begin"/>
      </w:r>
      <w:r>
        <w:instrText xml:space="preserve"> HYPERLINK \l "_Toc15396625" </w:instrText>
      </w:r>
      <w:r>
        <w:fldChar w:fldCharType="separate"/>
      </w:r>
      <w:r>
        <w:rPr>
          <w:rStyle w:val="16"/>
          <w:rFonts w:ascii="Times New Roman" w:hAnsi="仿宋"/>
          <w:color w:val="auto"/>
        </w:rPr>
        <w:t>一般公共预算财政拨款支出决算明细表</w:t>
      </w:r>
      <w:r>
        <w:rPr>
          <w:rFonts w:ascii="Times New Roman"/>
        </w:rPr>
        <w:tab/>
      </w:r>
      <w:r>
        <w:rPr>
          <w:rFonts w:hint="eastAsia" w:ascii="Times New Roman"/>
        </w:rPr>
        <w:t>39</w:t>
      </w:r>
      <w:r>
        <w:rPr>
          <w:rFonts w:hint="eastAsia" w:ascii="Times New Roman"/>
        </w:rPr>
        <w:fldChar w:fldCharType="end"/>
      </w:r>
    </w:p>
    <w:p w14:paraId="1E4F2EBC">
      <w:pPr>
        <w:pStyle w:val="11"/>
        <w:rPr>
          <w:rFonts w:ascii="Times New Roman"/>
        </w:rPr>
      </w:pPr>
      <w:r>
        <w:rPr>
          <w:rFonts w:ascii="Times New Roman" w:hAnsi="仿宋"/>
        </w:rPr>
        <w:t>八、</w:t>
      </w:r>
      <w:r>
        <w:fldChar w:fldCharType="begin"/>
      </w:r>
      <w:r>
        <w:instrText xml:space="preserve"> HYPERLINK \l "_Toc15396626" </w:instrText>
      </w:r>
      <w:r>
        <w:fldChar w:fldCharType="separate"/>
      </w:r>
      <w:r>
        <w:rPr>
          <w:rStyle w:val="16"/>
          <w:rFonts w:ascii="Times New Roman" w:hAnsi="仿宋"/>
          <w:color w:val="auto"/>
        </w:rPr>
        <w:t>一般公共预算财政拨款基本支出决算表</w:t>
      </w:r>
      <w:r>
        <w:rPr>
          <w:rFonts w:ascii="Times New Roman"/>
        </w:rPr>
        <w:tab/>
      </w:r>
      <w:r>
        <w:rPr>
          <w:rFonts w:hint="eastAsia" w:ascii="Times New Roman"/>
        </w:rPr>
        <w:t>39</w:t>
      </w:r>
      <w:r>
        <w:rPr>
          <w:rFonts w:hint="eastAsia" w:ascii="Times New Roman"/>
        </w:rPr>
        <w:fldChar w:fldCharType="end"/>
      </w:r>
    </w:p>
    <w:p w14:paraId="04F97A83">
      <w:pPr>
        <w:pStyle w:val="11"/>
        <w:rPr>
          <w:rFonts w:ascii="Times New Roman"/>
        </w:rPr>
      </w:pPr>
      <w:r>
        <w:rPr>
          <w:rFonts w:ascii="Times New Roman" w:hAnsi="仿宋"/>
        </w:rPr>
        <w:t>九、</w:t>
      </w:r>
      <w:r>
        <w:fldChar w:fldCharType="begin"/>
      </w:r>
      <w:r>
        <w:instrText xml:space="preserve"> HYPERLINK \l "_Toc15396627" </w:instrText>
      </w:r>
      <w:r>
        <w:fldChar w:fldCharType="separate"/>
      </w:r>
      <w:r>
        <w:rPr>
          <w:rStyle w:val="16"/>
          <w:rFonts w:ascii="Times New Roman" w:hAnsi="仿宋"/>
          <w:color w:val="auto"/>
        </w:rPr>
        <w:t>一般公共预算财政拨款项目支出决算表</w:t>
      </w:r>
      <w:r>
        <w:rPr>
          <w:rFonts w:ascii="Times New Roman"/>
        </w:rPr>
        <w:tab/>
      </w:r>
      <w:r>
        <w:rPr>
          <w:rFonts w:hint="eastAsia" w:ascii="Times New Roman"/>
        </w:rPr>
        <w:t>39</w:t>
      </w:r>
      <w:r>
        <w:rPr>
          <w:rFonts w:hint="eastAsia" w:ascii="Times New Roman"/>
        </w:rPr>
        <w:fldChar w:fldCharType="end"/>
      </w:r>
    </w:p>
    <w:p w14:paraId="0AE44276">
      <w:pPr>
        <w:pStyle w:val="11"/>
        <w:rPr>
          <w:rFonts w:ascii="Times New Roman"/>
        </w:rPr>
      </w:pPr>
      <w:r>
        <w:rPr>
          <w:rFonts w:ascii="Times New Roman" w:hAnsi="仿宋"/>
        </w:rPr>
        <w:t>十、</w:t>
      </w:r>
      <w:r>
        <w:fldChar w:fldCharType="begin"/>
      </w:r>
      <w:r>
        <w:instrText xml:space="preserve"> HYPERLINK \l "_Toc15396628" </w:instrText>
      </w:r>
      <w:r>
        <w:fldChar w:fldCharType="separate"/>
      </w:r>
      <w:r>
        <w:rPr>
          <w:rStyle w:val="16"/>
          <w:rFonts w:ascii="Times New Roman" w:hAnsi="仿宋"/>
          <w:color w:val="auto"/>
        </w:rPr>
        <w:t>一般公共预算财政拨款</w:t>
      </w:r>
      <w:r>
        <w:rPr>
          <w:rStyle w:val="16"/>
          <w:rFonts w:ascii="Times New Roman"/>
          <w:color w:val="auto"/>
        </w:rPr>
        <w:t>“</w:t>
      </w:r>
      <w:r>
        <w:rPr>
          <w:rStyle w:val="16"/>
          <w:rFonts w:ascii="Times New Roman" w:hAnsi="仿宋"/>
          <w:color w:val="auto"/>
        </w:rPr>
        <w:t>三公</w:t>
      </w:r>
      <w:r>
        <w:rPr>
          <w:rStyle w:val="16"/>
          <w:rFonts w:ascii="Times New Roman"/>
          <w:color w:val="auto"/>
        </w:rPr>
        <w:t>”</w:t>
      </w:r>
      <w:r>
        <w:rPr>
          <w:rStyle w:val="16"/>
          <w:rFonts w:ascii="Times New Roman" w:hAnsi="仿宋"/>
          <w:color w:val="auto"/>
        </w:rPr>
        <w:t>经费支出决算表</w:t>
      </w:r>
      <w:r>
        <w:rPr>
          <w:rFonts w:ascii="Times New Roman"/>
        </w:rPr>
        <w:tab/>
      </w:r>
      <w:r>
        <w:rPr>
          <w:rFonts w:hint="eastAsia" w:ascii="Times New Roman"/>
        </w:rPr>
        <w:t>39</w:t>
      </w:r>
      <w:r>
        <w:rPr>
          <w:rFonts w:hint="eastAsia" w:ascii="Times New Roman"/>
        </w:rPr>
        <w:fldChar w:fldCharType="end"/>
      </w:r>
    </w:p>
    <w:p w14:paraId="141AF3A4">
      <w:pPr>
        <w:pStyle w:val="11"/>
        <w:rPr>
          <w:rFonts w:ascii="Times New Roman"/>
        </w:rPr>
      </w:pPr>
      <w:r>
        <w:rPr>
          <w:rFonts w:ascii="Times New Roman" w:hAnsi="仿宋"/>
        </w:rPr>
        <w:t>十一、</w:t>
      </w:r>
      <w:r>
        <w:fldChar w:fldCharType="begin"/>
      </w:r>
      <w:r>
        <w:instrText xml:space="preserve"> HYPERLINK \l "_Toc15396629" </w:instrText>
      </w:r>
      <w:r>
        <w:fldChar w:fldCharType="separate"/>
      </w:r>
      <w:r>
        <w:rPr>
          <w:rStyle w:val="16"/>
          <w:rFonts w:ascii="Times New Roman" w:hAnsi="仿宋"/>
          <w:color w:val="auto"/>
        </w:rPr>
        <w:t>政府性基金预算财政拨款收入支出决算表</w:t>
      </w:r>
      <w:r>
        <w:rPr>
          <w:rFonts w:ascii="Times New Roman"/>
        </w:rPr>
        <w:tab/>
      </w:r>
      <w:r>
        <w:rPr>
          <w:rFonts w:hint="eastAsia" w:ascii="Times New Roman"/>
        </w:rPr>
        <w:t>39</w:t>
      </w:r>
      <w:r>
        <w:rPr>
          <w:rFonts w:hint="eastAsia" w:ascii="Times New Roman"/>
        </w:rPr>
        <w:fldChar w:fldCharType="end"/>
      </w:r>
    </w:p>
    <w:p w14:paraId="52893CE2">
      <w:pPr>
        <w:pStyle w:val="11"/>
        <w:rPr>
          <w:rFonts w:ascii="Times New Roman"/>
        </w:rPr>
      </w:pPr>
      <w:r>
        <w:rPr>
          <w:rFonts w:ascii="Times New Roman" w:hAnsi="仿宋"/>
        </w:rPr>
        <w:t>十二、</w:t>
      </w:r>
      <w:r>
        <w:fldChar w:fldCharType="begin"/>
      </w:r>
      <w:r>
        <w:instrText xml:space="preserve"> HYPERLINK \l "_Toc15396630" </w:instrText>
      </w:r>
      <w:r>
        <w:fldChar w:fldCharType="separate"/>
      </w:r>
      <w:r>
        <w:rPr>
          <w:rStyle w:val="16"/>
          <w:rFonts w:ascii="Times New Roman" w:hAnsi="仿宋"/>
          <w:color w:val="auto"/>
        </w:rPr>
        <w:t>政府性基金预算财政拨款</w:t>
      </w:r>
      <w:r>
        <w:rPr>
          <w:rStyle w:val="16"/>
          <w:rFonts w:ascii="Times New Roman"/>
          <w:color w:val="auto"/>
        </w:rPr>
        <w:t>“</w:t>
      </w:r>
      <w:r>
        <w:rPr>
          <w:rStyle w:val="16"/>
          <w:rFonts w:ascii="Times New Roman" w:hAnsi="仿宋"/>
          <w:color w:val="auto"/>
        </w:rPr>
        <w:t>三公</w:t>
      </w:r>
      <w:r>
        <w:rPr>
          <w:rStyle w:val="16"/>
          <w:rFonts w:ascii="Times New Roman"/>
          <w:color w:val="auto"/>
        </w:rPr>
        <w:t>”</w:t>
      </w:r>
      <w:r>
        <w:rPr>
          <w:rStyle w:val="16"/>
          <w:rFonts w:ascii="Times New Roman" w:hAnsi="仿宋"/>
          <w:color w:val="auto"/>
        </w:rPr>
        <w:t>经费支出决算表</w:t>
      </w:r>
      <w:r>
        <w:rPr>
          <w:rFonts w:ascii="Times New Roman"/>
        </w:rPr>
        <w:tab/>
      </w:r>
      <w:r>
        <w:rPr>
          <w:rFonts w:hint="eastAsia" w:ascii="Times New Roman"/>
        </w:rPr>
        <w:t>39</w:t>
      </w:r>
      <w:r>
        <w:rPr>
          <w:rFonts w:hint="eastAsia" w:ascii="Times New Roman"/>
        </w:rPr>
        <w:fldChar w:fldCharType="end"/>
      </w:r>
    </w:p>
    <w:p w14:paraId="61FFB4F9">
      <w:pPr>
        <w:pStyle w:val="11"/>
        <w:rPr>
          <w:rFonts w:ascii="Times New Roman"/>
        </w:rPr>
      </w:pPr>
      <w:r>
        <w:rPr>
          <w:rFonts w:ascii="Times New Roman" w:hAnsi="仿宋"/>
        </w:rPr>
        <w:t>十三、</w:t>
      </w:r>
      <w:r>
        <w:fldChar w:fldCharType="begin"/>
      </w:r>
      <w:r>
        <w:instrText xml:space="preserve"> HYPERLINK \l "_Toc15396630" </w:instrText>
      </w:r>
      <w:r>
        <w:fldChar w:fldCharType="separate"/>
      </w:r>
      <w:r>
        <w:rPr>
          <w:rFonts w:ascii="Times New Roman"/>
        </w:rPr>
        <w:t>国有资本经营预算财政拨款收入支出决算表</w:t>
      </w:r>
      <w:r>
        <w:rPr>
          <w:rFonts w:ascii="Times New Roman"/>
        </w:rPr>
        <w:tab/>
      </w:r>
      <w:r>
        <w:rPr>
          <w:rFonts w:hint="eastAsia" w:ascii="Times New Roman"/>
        </w:rPr>
        <w:t>39</w:t>
      </w:r>
      <w:r>
        <w:rPr>
          <w:rFonts w:hint="eastAsia" w:ascii="Times New Roman"/>
        </w:rPr>
        <w:fldChar w:fldCharType="end"/>
      </w:r>
    </w:p>
    <w:p w14:paraId="72F978B8">
      <w:pPr>
        <w:pStyle w:val="11"/>
        <w:rPr>
          <w:rFonts w:ascii="Times New Roman"/>
        </w:rPr>
      </w:pPr>
      <w:r>
        <w:rPr>
          <w:rFonts w:ascii="Times New Roman" w:hAnsi="仿宋"/>
        </w:rPr>
        <w:t>十四、</w:t>
      </w:r>
      <w:r>
        <w:fldChar w:fldCharType="begin"/>
      </w:r>
      <w:r>
        <w:instrText xml:space="preserve"> HYPERLINK \l "_Toc15396631" </w:instrText>
      </w:r>
      <w:r>
        <w:fldChar w:fldCharType="separate"/>
      </w:r>
      <w:r>
        <w:rPr>
          <w:rStyle w:val="16"/>
          <w:rFonts w:ascii="Times New Roman" w:hAnsi="仿宋"/>
          <w:color w:val="auto"/>
        </w:rPr>
        <w:t>国有资本经营预算支出决算表</w:t>
      </w:r>
      <w:r>
        <w:rPr>
          <w:rFonts w:ascii="Times New Roman"/>
        </w:rPr>
        <w:tab/>
      </w:r>
      <w:r>
        <w:rPr>
          <w:rFonts w:hint="eastAsia" w:ascii="Times New Roman"/>
        </w:rPr>
        <w:t>39</w:t>
      </w:r>
      <w:r>
        <w:rPr>
          <w:rFonts w:hint="eastAsia" w:ascii="Times New Roman"/>
        </w:rPr>
        <w:fldChar w:fldCharType="end"/>
      </w:r>
    </w:p>
    <w:p w14:paraId="377F62C0">
      <w:pPr>
        <w:pStyle w:val="11"/>
        <w:rPr>
          <w:rFonts w:ascii="Times New Roman"/>
        </w:rPr>
      </w:pPr>
      <w:r>
        <w:rPr>
          <w:rFonts w:ascii="Times New Roman" w:hAnsi="仿宋"/>
        </w:rPr>
        <w:t>十五、</w:t>
      </w:r>
      <w:r>
        <w:fldChar w:fldCharType="begin"/>
      </w:r>
      <w:r>
        <w:instrText xml:space="preserve"> HYPERLINK \l "_Toc15396631" </w:instrText>
      </w:r>
      <w:r>
        <w:fldChar w:fldCharType="separate"/>
      </w:r>
      <w:r>
        <w:rPr>
          <w:rStyle w:val="16"/>
          <w:rFonts w:ascii="Times New Roman" w:hAnsi="仿宋"/>
          <w:color w:val="auto"/>
          <w:u w:val="none"/>
        </w:rPr>
        <w:t>机关运行经费、资产占用及政府采购支出信息表</w:t>
      </w:r>
      <w:r>
        <w:rPr>
          <w:rFonts w:ascii="Times New Roman"/>
        </w:rPr>
        <w:tab/>
      </w:r>
      <w:r>
        <w:rPr>
          <w:rFonts w:hint="eastAsia" w:ascii="Times New Roman"/>
        </w:rPr>
        <w:t>40</w:t>
      </w:r>
      <w:r>
        <w:rPr>
          <w:rFonts w:hint="eastAsia" w:ascii="Times New Roman"/>
        </w:rPr>
        <w:fldChar w:fldCharType="end"/>
      </w:r>
    </w:p>
    <w:p w14:paraId="44B3FD60">
      <w:pPr>
        <w:widowControl/>
        <w:jc w:val="left"/>
        <w:rPr>
          <w:rFonts w:eastAsia="仿宋"/>
          <w:color w:val="000000"/>
          <w:sz w:val="24"/>
        </w:rPr>
      </w:pPr>
      <w:r>
        <w:rPr>
          <w:rFonts w:eastAsia="黑体"/>
          <w:sz w:val="48"/>
          <w:szCs w:val="48"/>
        </w:rPr>
        <w:fldChar w:fldCharType="end"/>
      </w:r>
      <w:bookmarkStart w:id="1" w:name="_Toc15396599"/>
      <w:bookmarkStart w:id="2" w:name="_Toc15377196"/>
    </w:p>
    <w:p w14:paraId="284FBE46">
      <w:pPr>
        <w:pStyle w:val="2"/>
        <w:spacing w:line="240" w:lineRule="auto"/>
        <w:jc w:val="center"/>
        <w:rPr>
          <w:rFonts w:eastAsia="黑体"/>
          <w:bCs w:val="0"/>
        </w:rPr>
      </w:pPr>
      <w:r>
        <w:rPr>
          <w:rFonts w:hAnsi="黑体" w:eastAsia="黑体"/>
          <w:b w:val="0"/>
        </w:rPr>
        <w:t>第一部分</w:t>
      </w:r>
      <w:r>
        <w:rPr>
          <w:rFonts w:eastAsia="黑体"/>
          <w:b w:val="0"/>
        </w:rPr>
        <w:t xml:space="preserve"> </w:t>
      </w:r>
      <w:r>
        <w:rPr>
          <w:rStyle w:val="17"/>
          <w:rFonts w:hAnsi="黑体" w:eastAsia="黑体"/>
          <w:b w:val="0"/>
          <w:bCs w:val="0"/>
        </w:rPr>
        <w:t>部门概况</w:t>
      </w:r>
      <w:bookmarkEnd w:id="1"/>
      <w:bookmarkEnd w:id="2"/>
    </w:p>
    <w:p w14:paraId="02D5413E">
      <w:pPr>
        <w:pStyle w:val="3"/>
        <w:spacing w:line="240" w:lineRule="auto"/>
        <w:rPr>
          <w:rStyle w:val="18"/>
          <w:rFonts w:ascii="Times New Roman" w:hAnsi="Times New Roman" w:eastAsia="仿宋"/>
          <w:b w:val="0"/>
          <w:bCs w:val="0"/>
        </w:rPr>
      </w:pPr>
      <w:bookmarkStart w:id="3" w:name="_Toc15396600"/>
      <w:bookmarkStart w:id="4" w:name="_Toc15377197"/>
      <w:r>
        <w:rPr>
          <w:rFonts w:ascii="Times New Roman" w:hAnsi="黑体" w:eastAsia="黑体"/>
          <w:b w:val="0"/>
          <w:color w:val="000000"/>
        </w:rPr>
        <w:t>一、基</w:t>
      </w:r>
      <w:r>
        <w:rPr>
          <w:rStyle w:val="18"/>
          <w:rFonts w:ascii="Times New Roman" w:hAnsi="黑体" w:eastAsia="黑体"/>
          <w:b w:val="0"/>
          <w:bCs w:val="0"/>
        </w:rPr>
        <w:t>本职能及主要工作</w:t>
      </w:r>
      <w:bookmarkEnd w:id="3"/>
      <w:bookmarkEnd w:id="4"/>
    </w:p>
    <w:p w14:paraId="71CC76E0">
      <w:pPr>
        <w:pStyle w:val="5"/>
        <w:adjustRightInd w:val="0"/>
        <w:snapToGrid w:val="0"/>
        <w:spacing w:before="93"/>
        <w:ind w:firstLine="672" w:firstLineChars="210"/>
        <w:outlineLvl w:val="2"/>
        <w:rPr>
          <w:rFonts w:ascii="Times New Roman" w:eastAsia="楷体_GB2312"/>
          <w:bCs/>
          <w:color w:val="000000"/>
          <w:sz w:val="32"/>
          <w:szCs w:val="32"/>
        </w:rPr>
      </w:pPr>
      <w:bookmarkStart w:id="5" w:name="_Toc15377198"/>
      <w:bookmarkStart w:id="6" w:name="_Toc15378445"/>
      <w:r>
        <w:rPr>
          <w:rFonts w:ascii="Times New Roman" w:eastAsia="楷体_GB2312"/>
          <w:bCs/>
          <w:color w:val="000000"/>
          <w:sz w:val="32"/>
          <w:szCs w:val="32"/>
        </w:rPr>
        <w:t>（一）主要职能</w:t>
      </w:r>
      <w:bookmarkEnd w:id="5"/>
      <w:bookmarkEnd w:id="6"/>
    </w:p>
    <w:p w14:paraId="42494209">
      <w:pPr>
        <w:shd w:val="clear" w:color="auto" w:fill="FFFFFF"/>
        <w:spacing w:line="560" w:lineRule="exact"/>
        <w:ind w:firstLine="640"/>
        <w:jc w:val="left"/>
        <w:rPr>
          <w:color w:val="000000"/>
          <w:kern w:val="0"/>
          <w:sz w:val="24"/>
        </w:rPr>
      </w:pPr>
      <w:r>
        <w:rPr>
          <w:rFonts w:eastAsia="仿宋_GB2312"/>
          <w:color w:val="000000"/>
          <w:kern w:val="0"/>
          <w:sz w:val="32"/>
          <w:szCs w:val="32"/>
        </w:rPr>
        <w:t>1.贯彻执行党的路线、方针、政策，国家的法律、法规和县委、县政府的有关决定、命令。</w:t>
      </w:r>
    </w:p>
    <w:p w14:paraId="7FDEB543">
      <w:pPr>
        <w:shd w:val="clear" w:color="auto" w:fill="FFFFFF"/>
        <w:spacing w:line="560" w:lineRule="exact"/>
        <w:ind w:firstLine="640"/>
        <w:jc w:val="left"/>
        <w:rPr>
          <w:color w:val="000000"/>
          <w:kern w:val="0"/>
          <w:sz w:val="24"/>
        </w:rPr>
      </w:pPr>
      <w:r>
        <w:rPr>
          <w:rFonts w:eastAsia="仿宋_GB2312"/>
          <w:color w:val="000000"/>
          <w:kern w:val="0"/>
          <w:sz w:val="32"/>
          <w:szCs w:val="32"/>
        </w:rPr>
        <w:t>2.根据米易县经济社会发展规划和年度计划，拟定园区产业发展规划和年度经济发展计划，经批准后组织实施。</w:t>
      </w:r>
    </w:p>
    <w:p w14:paraId="54DD53F9">
      <w:pPr>
        <w:shd w:val="clear" w:color="auto" w:fill="FFFFFF"/>
        <w:spacing w:line="560" w:lineRule="exact"/>
        <w:ind w:firstLine="640"/>
        <w:jc w:val="left"/>
        <w:rPr>
          <w:color w:val="000000"/>
          <w:kern w:val="0"/>
          <w:sz w:val="24"/>
        </w:rPr>
      </w:pPr>
      <w:r>
        <w:rPr>
          <w:rFonts w:eastAsia="仿宋_GB2312"/>
          <w:color w:val="000000"/>
          <w:kern w:val="0"/>
          <w:sz w:val="32"/>
          <w:szCs w:val="32"/>
        </w:rPr>
        <w:t>3.参与园区建设规划和控制性详细规划的编制（修编）及实施工作，协调入驻园区项目的选址、规划审批，对入驻园区建设项目进行指导、管理。</w:t>
      </w:r>
    </w:p>
    <w:p w14:paraId="6A76876B">
      <w:pPr>
        <w:shd w:val="clear" w:color="auto" w:fill="FFFFFF"/>
        <w:spacing w:line="560" w:lineRule="exact"/>
        <w:ind w:firstLine="640"/>
        <w:jc w:val="left"/>
        <w:rPr>
          <w:color w:val="000000"/>
          <w:kern w:val="0"/>
          <w:sz w:val="24"/>
        </w:rPr>
      </w:pPr>
      <w:r>
        <w:rPr>
          <w:rFonts w:eastAsia="仿宋_GB2312"/>
          <w:color w:val="000000"/>
          <w:kern w:val="0"/>
          <w:sz w:val="32"/>
          <w:szCs w:val="32"/>
        </w:rPr>
        <w:t>4.负责园区基础设施和公共设施的建设与管理。</w:t>
      </w:r>
    </w:p>
    <w:p w14:paraId="6F056C43">
      <w:pPr>
        <w:shd w:val="clear" w:color="auto" w:fill="FFFFFF"/>
        <w:spacing w:line="560" w:lineRule="exact"/>
        <w:ind w:firstLine="640"/>
        <w:jc w:val="left"/>
        <w:rPr>
          <w:color w:val="000000"/>
          <w:kern w:val="0"/>
          <w:sz w:val="24"/>
        </w:rPr>
      </w:pPr>
      <w:r>
        <w:rPr>
          <w:rFonts w:eastAsia="仿宋_GB2312"/>
          <w:color w:val="000000"/>
          <w:kern w:val="0"/>
          <w:sz w:val="32"/>
          <w:szCs w:val="32"/>
        </w:rPr>
        <w:t>5.负责组织由市、县转报项目的申报工作，管好用活园区项目资金，组织、参与转报项目的检查验收工作。</w:t>
      </w:r>
    </w:p>
    <w:p w14:paraId="42DC564F">
      <w:pPr>
        <w:shd w:val="clear" w:color="auto" w:fill="FFFFFF"/>
        <w:spacing w:line="560" w:lineRule="exact"/>
        <w:ind w:firstLine="640"/>
        <w:jc w:val="left"/>
        <w:rPr>
          <w:color w:val="000000"/>
          <w:kern w:val="0"/>
          <w:sz w:val="24"/>
        </w:rPr>
      </w:pPr>
      <w:r>
        <w:rPr>
          <w:rFonts w:eastAsia="仿宋_GB2312"/>
          <w:color w:val="000000"/>
          <w:kern w:val="0"/>
          <w:sz w:val="32"/>
          <w:szCs w:val="32"/>
        </w:rPr>
        <w:t>6.负责园区招商引资、对外经济合作事项，协助管理园区涉外事务和进出口业务；协同有关部门对园区企业技改项目进行审核并按程序报批。</w:t>
      </w:r>
    </w:p>
    <w:p w14:paraId="10624218">
      <w:pPr>
        <w:shd w:val="clear" w:color="auto" w:fill="FFFFFF"/>
        <w:spacing w:line="560" w:lineRule="exact"/>
        <w:ind w:firstLine="641"/>
        <w:jc w:val="left"/>
        <w:rPr>
          <w:color w:val="000000"/>
          <w:kern w:val="0"/>
          <w:sz w:val="24"/>
        </w:rPr>
      </w:pPr>
      <w:r>
        <w:rPr>
          <w:rFonts w:eastAsia="仿宋_GB2312"/>
          <w:color w:val="000000"/>
          <w:kern w:val="0"/>
          <w:sz w:val="32"/>
          <w:szCs w:val="32"/>
        </w:rPr>
        <w:t>7.负责园区生产要素协调服务和企业运行监督指导，规范园区企业统计、信息网报等工作。</w:t>
      </w:r>
    </w:p>
    <w:p w14:paraId="0BD0814C">
      <w:pPr>
        <w:shd w:val="clear" w:color="auto" w:fill="FFFFFF"/>
        <w:spacing w:line="560" w:lineRule="exact"/>
        <w:ind w:firstLine="641"/>
        <w:jc w:val="left"/>
        <w:rPr>
          <w:color w:val="000000"/>
          <w:kern w:val="0"/>
          <w:sz w:val="24"/>
        </w:rPr>
      </w:pPr>
      <w:r>
        <w:rPr>
          <w:rFonts w:eastAsia="仿宋_GB2312"/>
          <w:color w:val="000000"/>
          <w:kern w:val="0"/>
          <w:sz w:val="32"/>
          <w:szCs w:val="32"/>
        </w:rPr>
        <w:t>8.受县政府及县属有关部门委托，在园区范围内行使相关行政管理职能。</w:t>
      </w:r>
    </w:p>
    <w:p w14:paraId="29F3FAB0">
      <w:pPr>
        <w:shd w:val="clear" w:color="auto" w:fill="FFFFFF"/>
        <w:spacing w:line="560" w:lineRule="exact"/>
        <w:ind w:firstLine="641"/>
        <w:jc w:val="left"/>
        <w:rPr>
          <w:color w:val="000000"/>
          <w:kern w:val="0"/>
          <w:sz w:val="24"/>
        </w:rPr>
      </w:pPr>
      <w:r>
        <w:rPr>
          <w:rFonts w:eastAsia="仿宋_GB2312"/>
          <w:color w:val="000000"/>
          <w:kern w:val="0"/>
          <w:sz w:val="32"/>
          <w:szCs w:val="32"/>
        </w:rPr>
        <w:t>9.负责制定园区有关行政管理制度并监督执行。</w:t>
      </w:r>
    </w:p>
    <w:p w14:paraId="09DAFAE9">
      <w:pPr>
        <w:shd w:val="clear" w:color="auto" w:fill="FFFFFF"/>
        <w:spacing w:line="560" w:lineRule="exact"/>
        <w:ind w:firstLine="641"/>
        <w:jc w:val="left"/>
        <w:rPr>
          <w:color w:val="000000"/>
          <w:kern w:val="0"/>
          <w:sz w:val="24"/>
        </w:rPr>
      </w:pPr>
      <w:r>
        <w:rPr>
          <w:rFonts w:eastAsia="仿宋_GB2312"/>
          <w:color w:val="000000"/>
          <w:kern w:val="0"/>
          <w:sz w:val="32"/>
          <w:szCs w:val="32"/>
        </w:rPr>
        <w:t>10.加强园区建设发展中涉及的纠纷调解和应急事件处置，切实保护投资者、企业和职工的合法权益。</w:t>
      </w:r>
    </w:p>
    <w:p w14:paraId="32FDD193">
      <w:pPr>
        <w:shd w:val="clear" w:color="auto" w:fill="FFFFFF"/>
        <w:spacing w:line="560" w:lineRule="exact"/>
        <w:ind w:firstLine="641"/>
        <w:jc w:val="left"/>
        <w:rPr>
          <w:color w:val="000000"/>
          <w:kern w:val="0"/>
          <w:sz w:val="24"/>
        </w:rPr>
      </w:pPr>
      <w:r>
        <w:rPr>
          <w:rFonts w:eastAsia="仿宋_GB2312"/>
          <w:color w:val="000000"/>
          <w:kern w:val="0"/>
          <w:sz w:val="32"/>
          <w:szCs w:val="32"/>
        </w:rPr>
        <w:t>11.承办县委、县政府交办的其他事项。</w:t>
      </w:r>
    </w:p>
    <w:p w14:paraId="4466339C">
      <w:pPr>
        <w:pStyle w:val="5"/>
        <w:adjustRightInd w:val="0"/>
        <w:snapToGrid w:val="0"/>
        <w:spacing w:before="93"/>
        <w:ind w:firstLine="640" w:firstLineChars="200"/>
        <w:outlineLvl w:val="2"/>
        <w:rPr>
          <w:rFonts w:ascii="Times New Roman" w:eastAsia="楷体_GB2312"/>
          <w:bCs/>
          <w:color w:val="000000"/>
          <w:sz w:val="32"/>
          <w:szCs w:val="32"/>
        </w:rPr>
      </w:pPr>
      <w:bookmarkStart w:id="7" w:name="_Toc15378446"/>
      <w:bookmarkStart w:id="8" w:name="_Toc15377199"/>
      <w:r>
        <w:rPr>
          <w:rFonts w:ascii="Times New Roman" w:eastAsia="楷体_GB2312"/>
          <w:bCs/>
          <w:color w:val="000000"/>
          <w:sz w:val="32"/>
          <w:szCs w:val="32"/>
        </w:rPr>
        <w:t>（二）2020年重点工作完成情况</w:t>
      </w:r>
      <w:bookmarkEnd w:id="7"/>
      <w:bookmarkEnd w:id="8"/>
    </w:p>
    <w:p w14:paraId="6F5D4ECC">
      <w:pPr>
        <w:pStyle w:val="5"/>
        <w:adjustRightInd w:val="0"/>
        <w:snapToGrid w:val="0"/>
        <w:spacing w:before="93" w:line="560" w:lineRule="exact"/>
        <w:ind w:firstLine="643" w:firstLineChars="200"/>
        <w:outlineLvl w:val="2"/>
        <w:rPr>
          <w:rFonts w:ascii="Times New Roman"/>
          <w:b/>
          <w:sz w:val="32"/>
          <w:szCs w:val="32"/>
        </w:rPr>
      </w:pPr>
      <w:r>
        <w:rPr>
          <w:rFonts w:ascii="Times New Roman"/>
          <w:b/>
          <w:sz w:val="32"/>
          <w:szCs w:val="32"/>
        </w:rPr>
        <w:t>1.抓实党建和党风廉政建设</w:t>
      </w:r>
    </w:p>
    <w:p w14:paraId="7B493E03">
      <w:pPr>
        <w:pStyle w:val="5"/>
        <w:adjustRightInd w:val="0"/>
        <w:snapToGrid w:val="0"/>
        <w:spacing w:before="93" w:line="560" w:lineRule="exact"/>
        <w:ind w:firstLine="640" w:firstLineChars="200"/>
        <w:outlineLvl w:val="2"/>
        <w:rPr>
          <w:rFonts w:ascii="Times New Roman"/>
          <w:bCs/>
          <w:color w:val="000000"/>
          <w:sz w:val="32"/>
          <w:szCs w:val="32"/>
          <w:highlight w:val="yellow"/>
        </w:rPr>
      </w:pPr>
      <w:r>
        <w:rPr>
          <w:rFonts w:ascii="Times New Roman"/>
          <w:sz w:val="32"/>
          <w:szCs w:val="32"/>
        </w:rPr>
        <w:t>积极建立园区党建示范引领机制体系，建成瑞达水泥、青杠坪矿业、东方钛业、安宁铁钛、锦秀机械5个非公企业样板党支部，并协同乡镇打造企业党建联盟，对50人以上园区非公企业开展调查摸底。切实开展“守纪律、提效能、强执行、做表率”活动，完成各项工作任务。采取日常教育、清单考评、监督检查等方式多管齐下，切实筑牢</w:t>
      </w:r>
      <w:r>
        <w:rPr>
          <w:rFonts w:ascii="Times New Roman"/>
          <w:sz w:val="32"/>
          <w:szCs w:val="32"/>
          <w:lang w:val="en-US"/>
        </w:rPr>
        <w:t>不敢腐、不能腐、不想腐</w:t>
      </w:r>
      <w:r>
        <w:rPr>
          <w:rFonts w:ascii="Times New Roman"/>
          <w:sz w:val="32"/>
          <w:szCs w:val="32"/>
        </w:rPr>
        <w:t>的立体防线，让党员干部知敬畏、存戒惧、守底线，筑牢拒腐防变思想防线，自觉抵制诱惑，全身心投入加快建设“一城三区三基地”奋力推动米易经济社会高质量发展。</w:t>
      </w:r>
    </w:p>
    <w:p w14:paraId="63AE967E">
      <w:pPr>
        <w:pStyle w:val="5"/>
        <w:adjustRightInd w:val="0"/>
        <w:snapToGrid w:val="0"/>
        <w:spacing w:before="93" w:line="560" w:lineRule="exact"/>
        <w:ind w:firstLine="643" w:firstLineChars="200"/>
        <w:outlineLvl w:val="2"/>
        <w:rPr>
          <w:rFonts w:ascii="Times New Roman"/>
          <w:b/>
          <w:sz w:val="32"/>
          <w:szCs w:val="32"/>
        </w:rPr>
      </w:pPr>
      <w:bookmarkStart w:id="9" w:name="_Toc15396601"/>
      <w:bookmarkStart w:id="10" w:name="_Toc15377200"/>
      <w:r>
        <w:rPr>
          <w:rFonts w:ascii="Times New Roman"/>
          <w:b/>
          <w:sz w:val="32"/>
          <w:szCs w:val="32"/>
        </w:rPr>
        <w:t>2.积极推进重点项目建设</w:t>
      </w:r>
    </w:p>
    <w:p w14:paraId="45130E7B">
      <w:pPr>
        <w:spacing w:line="560" w:lineRule="exact"/>
        <w:ind w:firstLine="627" w:firstLineChars="196"/>
        <w:rPr>
          <w:rFonts w:eastAsia="仿宋_GB2312"/>
          <w:b/>
          <w:sz w:val="32"/>
          <w:szCs w:val="32"/>
        </w:rPr>
      </w:pPr>
      <w:r>
        <w:rPr>
          <w:rFonts w:eastAsia="仿宋_GB2312"/>
          <w:sz w:val="32"/>
          <w:szCs w:val="32"/>
        </w:rPr>
        <w:t>2020年，白马工业园区牵头负责工业重点项目11个。截至2020年底，白马铁矿</w:t>
      </w:r>
      <w:r>
        <w:rPr>
          <w:rFonts w:eastAsia="仿宋_GB2312"/>
          <w:sz w:val="32"/>
          <w:szCs w:val="32"/>
          <w:lang w:val="en-US"/>
        </w:rPr>
        <w:t>及</w:t>
      </w:r>
      <w:r>
        <w:rPr>
          <w:rFonts w:eastAsia="仿宋_GB2312"/>
          <w:sz w:val="32"/>
          <w:szCs w:val="32"/>
        </w:rPr>
        <w:t>坪4#破碎站建设工程项目、米易县长坡片区供水工程、锦秀机械扩能、米易白马工业园区大草坝新材料产业园标准厂房建设等8个项目完成年度目标任务；一枝山工业园区220kV榄青线电力线路永久迁改项目待省电力公司对设计方案进行审批；米易县大草坝新材料产业园规划区内电力设施迁改工程10千伏及以下线路迁建已进场施工。钛程红线内的铁塔搬迁工作，施工图设计已结束，跨高速公路手续的办理工作已取得新进展，正在补线路跨高速公路施工作业资料；一枝山右支沟渣场扩容已完成项目安全设施、施工图设计及清单编制工作，已通过挂网确定施工单位。</w:t>
      </w:r>
    </w:p>
    <w:p w14:paraId="6F77AFA3">
      <w:pPr>
        <w:spacing w:line="560" w:lineRule="exact"/>
        <w:ind w:firstLine="630" w:firstLineChars="196"/>
        <w:rPr>
          <w:rFonts w:eastAsia="仿宋_GB2312"/>
          <w:b/>
          <w:sz w:val="32"/>
          <w:szCs w:val="32"/>
        </w:rPr>
      </w:pPr>
      <w:r>
        <w:rPr>
          <w:rFonts w:eastAsia="仿宋_GB2312"/>
          <w:b/>
          <w:sz w:val="32"/>
          <w:szCs w:val="32"/>
        </w:rPr>
        <w:t>3.切实抓好安全工作</w:t>
      </w:r>
    </w:p>
    <w:p w14:paraId="0C20D3CC">
      <w:pPr>
        <w:spacing w:line="560" w:lineRule="exact"/>
        <w:ind w:firstLine="627" w:firstLineChars="196"/>
        <w:rPr>
          <w:rFonts w:eastAsia="仿宋_GB2312"/>
          <w:sz w:val="32"/>
          <w:szCs w:val="32"/>
        </w:rPr>
      </w:pPr>
      <w:r>
        <w:rPr>
          <w:rFonts w:eastAsia="仿宋_GB2312"/>
          <w:sz w:val="32"/>
          <w:szCs w:val="32"/>
        </w:rPr>
        <w:t>召开安全生产工作例会，落实园区安全工作主体责任，推动企业安全生产有序开展，</w:t>
      </w:r>
      <w:r>
        <w:rPr>
          <w:rFonts w:eastAsia="仿宋_GB2312"/>
          <w:color w:val="000000"/>
          <w:sz w:val="32"/>
          <w:szCs w:val="32"/>
        </w:rPr>
        <w:t>园区企业无</w:t>
      </w:r>
      <w:r>
        <w:rPr>
          <w:rFonts w:eastAsia="仿宋_GB2312"/>
          <w:sz w:val="32"/>
          <w:szCs w:val="32"/>
        </w:rPr>
        <w:t>生产安全责任事故发生。完成</w:t>
      </w:r>
      <w:r>
        <w:rPr>
          <w:rFonts w:eastAsia="仿宋_GB2312"/>
          <w:color w:val="000000"/>
          <w:sz w:val="32"/>
          <w:szCs w:val="32"/>
        </w:rPr>
        <w:t>《</w:t>
      </w:r>
      <w:r>
        <w:rPr>
          <w:rFonts w:eastAsia="仿宋_GB2312"/>
          <w:sz w:val="32"/>
          <w:szCs w:val="32"/>
        </w:rPr>
        <w:t>白马工业园区（白马功能区、长坡功能区）安全总体性风险评估技术报告</w:t>
      </w:r>
      <w:r>
        <w:rPr>
          <w:rFonts w:eastAsia="仿宋_GB2312"/>
          <w:color w:val="000000"/>
          <w:sz w:val="32"/>
          <w:szCs w:val="32"/>
        </w:rPr>
        <w:t>》</w:t>
      </w:r>
      <w:r>
        <w:rPr>
          <w:rFonts w:eastAsia="仿宋_GB2312"/>
          <w:sz w:val="32"/>
          <w:szCs w:val="32"/>
        </w:rPr>
        <w:t>、《园区安全生产专项整治三年行动计划方案》、《园区安全生产排险除患方案》。</w:t>
      </w:r>
    </w:p>
    <w:p w14:paraId="3DD8A13C">
      <w:pPr>
        <w:spacing w:line="560" w:lineRule="exact"/>
        <w:ind w:firstLine="630" w:firstLineChars="196"/>
        <w:rPr>
          <w:rFonts w:eastAsia="仿宋_GB2312"/>
          <w:b/>
          <w:sz w:val="32"/>
          <w:szCs w:val="32"/>
        </w:rPr>
      </w:pPr>
      <w:r>
        <w:rPr>
          <w:rFonts w:eastAsia="仿宋_GB2312"/>
          <w:b/>
          <w:sz w:val="32"/>
          <w:szCs w:val="32"/>
        </w:rPr>
        <w:t>4.切实抓好环境保护工作</w:t>
      </w:r>
    </w:p>
    <w:p w14:paraId="3191D2D8">
      <w:pPr>
        <w:spacing w:line="560" w:lineRule="exact"/>
        <w:ind w:firstLine="627" w:firstLineChars="196"/>
        <w:rPr>
          <w:rFonts w:eastAsia="仿宋_GB2312"/>
          <w:sz w:val="32"/>
          <w:szCs w:val="32"/>
        </w:rPr>
      </w:pPr>
      <w:r>
        <w:rPr>
          <w:rFonts w:eastAsia="仿宋_GB2312"/>
          <w:sz w:val="32"/>
          <w:szCs w:val="32"/>
        </w:rPr>
        <w:t>加强网格化环境监管工作，修改完善园区网格化环境监管工作方案，强化了企业环境保护主体责任和园区环境保护监管责任</w:t>
      </w:r>
      <w:r>
        <w:rPr>
          <w:rFonts w:eastAsia="仿宋_GB2312"/>
          <w:color w:val="000000"/>
          <w:sz w:val="32"/>
          <w:szCs w:val="32"/>
        </w:rPr>
        <w:t>。</w:t>
      </w:r>
      <w:r>
        <w:rPr>
          <w:rFonts w:eastAsia="仿宋_GB2312"/>
          <w:sz w:val="32"/>
          <w:szCs w:val="32"/>
        </w:rPr>
        <w:t>组织召开环保工作例会，落实环保工作职责，规范了花岗石企业环保监管工作</w:t>
      </w:r>
      <w:r>
        <w:rPr>
          <w:rFonts w:eastAsia="仿宋_GB2312"/>
          <w:color w:val="000000"/>
          <w:sz w:val="32"/>
          <w:szCs w:val="32"/>
        </w:rPr>
        <w:t>。</w:t>
      </w:r>
      <w:r>
        <w:rPr>
          <w:rFonts w:eastAsia="仿宋_GB2312"/>
          <w:sz w:val="32"/>
          <w:szCs w:val="32"/>
        </w:rPr>
        <w:t>认真</w:t>
      </w:r>
      <w:r>
        <w:rPr>
          <w:rFonts w:eastAsia="仿宋_GB2312"/>
          <w:color w:val="000000"/>
          <w:sz w:val="32"/>
          <w:szCs w:val="32"/>
        </w:rPr>
        <w:t>做好中央、省环保督察反馈问题的整改落实，对存在的环保问题进行了全面整改。完成</w:t>
      </w:r>
      <w:r>
        <w:rPr>
          <w:rFonts w:eastAsia="仿宋_GB2312"/>
          <w:sz w:val="32"/>
          <w:szCs w:val="32"/>
        </w:rPr>
        <w:t>园区“水、气、土”协同预警体系平台建设方案等工作。</w:t>
      </w:r>
    </w:p>
    <w:p w14:paraId="7A33CCBE">
      <w:pPr>
        <w:spacing w:line="560" w:lineRule="exact"/>
        <w:ind w:firstLine="630" w:firstLineChars="196"/>
        <w:jc w:val="left"/>
        <w:rPr>
          <w:rFonts w:eastAsia="仿宋_GB2312"/>
          <w:b/>
          <w:sz w:val="32"/>
          <w:szCs w:val="32"/>
        </w:rPr>
      </w:pPr>
      <w:r>
        <w:rPr>
          <w:rFonts w:eastAsia="仿宋_GB2312"/>
          <w:b/>
          <w:sz w:val="32"/>
          <w:szCs w:val="32"/>
        </w:rPr>
        <w:t>5.扎实开展脱贫攻坚巩固提升</w:t>
      </w:r>
    </w:p>
    <w:p w14:paraId="7250737C">
      <w:pPr>
        <w:spacing w:line="560" w:lineRule="exact"/>
        <w:ind w:firstLine="627" w:firstLineChars="196"/>
        <w:jc w:val="left"/>
        <w:rPr>
          <w:rFonts w:eastAsia="仿宋_GB2312"/>
          <w:sz w:val="32"/>
          <w:szCs w:val="32"/>
        </w:rPr>
      </w:pPr>
      <w:r>
        <w:rPr>
          <w:rFonts w:eastAsia="仿宋_GB2312"/>
          <w:sz w:val="32"/>
          <w:szCs w:val="32"/>
        </w:rPr>
        <w:t>抓实“三个一”助力脱贫攻坚落地落实。抓实感恩教育：加强与帮扶村沟通对接，对得石镇黑谷田村63户已脱贫群众开展“脱贫奋进大家讲”的感恩教育活动。抓实技</w:t>
      </w:r>
      <w:r>
        <w:rPr>
          <w:rFonts w:hint="eastAsia" w:eastAsia="仿宋_GB2312"/>
          <w:sz w:val="32"/>
          <w:szCs w:val="32"/>
        </w:rPr>
        <w:t>能</w:t>
      </w:r>
      <w:r>
        <w:rPr>
          <w:rFonts w:eastAsia="仿宋_GB2312"/>
          <w:sz w:val="32"/>
          <w:szCs w:val="32"/>
        </w:rPr>
        <w:t>培训：邀请市农科院专家实地为贫困户开展芒果种植和山羊养殖实用技</w:t>
      </w:r>
      <w:r>
        <w:rPr>
          <w:rFonts w:hint="eastAsia" w:eastAsia="仿宋_GB2312"/>
          <w:sz w:val="32"/>
          <w:szCs w:val="32"/>
        </w:rPr>
        <w:t>能</w:t>
      </w:r>
      <w:r>
        <w:rPr>
          <w:rFonts w:eastAsia="仿宋_GB2312"/>
          <w:sz w:val="32"/>
          <w:szCs w:val="32"/>
        </w:rPr>
        <w:t>培训。抓实实际帮扶：根据“短平快”产业发展需求，管委会筹措资金30000余元，为帮扶的贫困户每户发放鸡苗15只、化肥2袋、圆桌一张、凳子10张。积极筹措资金为帮扶的撒莲镇湾崃村购买水泥45吨，每户贫困户发放鸡苗22只、发放价值600余元的生活用品桌椅板凳等。组织干部职工扶贫捐款1800元，以购代捐购买2600元扶贫农产品。</w:t>
      </w:r>
    </w:p>
    <w:p w14:paraId="7C5C709C">
      <w:pPr>
        <w:spacing w:line="560" w:lineRule="exact"/>
        <w:ind w:firstLine="630" w:firstLineChars="196"/>
        <w:rPr>
          <w:rFonts w:eastAsia="仿宋_GB2312"/>
          <w:b/>
          <w:sz w:val="32"/>
          <w:szCs w:val="32"/>
        </w:rPr>
      </w:pPr>
      <w:r>
        <w:rPr>
          <w:rFonts w:eastAsia="仿宋_GB2312"/>
          <w:b/>
          <w:sz w:val="32"/>
          <w:szCs w:val="32"/>
        </w:rPr>
        <w:t>6.积极落实巡察反馈问题整改</w:t>
      </w:r>
    </w:p>
    <w:p w14:paraId="57D8BCF1">
      <w:pPr>
        <w:spacing w:line="560" w:lineRule="exact"/>
        <w:ind w:firstLine="627" w:firstLineChars="196"/>
        <w:rPr>
          <w:rFonts w:eastAsia="仿宋_GB2312"/>
          <w:sz w:val="32"/>
          <w:szCs w:val="32"/>
        </w:rPr>
      </w:pPr>
      <w:r>
        <w:rPr>
          <w:rFonts w:eastAsia="仿宋_GB2312"/>
          <w:sz w:val="32"/>
          <w:szCs w:val="32"/>
        </w:rPr>
        <w:t>根据</w:t>
      </w:r>
      <w:r>
        <w:rPr>
          <w:rFonts w:eastAsia="仿宋_GB2312"/>
          <w:color w:val="000000"/>
          <w:sz w:val="32"/>
          <w:szCs w:val="32"/>
        </w:rPr>
        <w:t>县委</w:t>
      </w:r>
      <w:r>
        <w:rPr>
          <w:rFonts w:eastAsia="仿宋_GB2312"/>
          <w:sz w:val="32"/>
          <w:szCs w:val="32"/>
        </w:rPr>
        <w:t>巡察组向</w:t>
      </w:r>
      <w:r>
        <w:rPr>
          <w:rFonts w:eastAsia="仿宋_GB2312"/>
          <w:color w:val="000000"/>
          <w:sz w:val="32"/>
          <w:szCs w:val="32"/>
        </w:rPr>
        <w:t>白马工业园区管委会</w:t>
      </w:r>
      <w:r>
        <w:rPr>
          <w:rFonts w:eastAsia="仿宋_GB2312"/>
          <w:sz w:val="32"/>
          <w:szCs w:val="32"/>
        </w:rPr>
        <w:t>反馈三大方面存在14个问题，园区管委会高度重视，积极整改，反馈的14个具体问题已全部整改完成，修改完善单位内部管理制度12个。</w:t>
      </w:r>
    </w:p>
    <w:p w14:paraId="3F8D2DB0">
      <w:pPr>
        <w:spacing w:line="560" w:lineRule="exact"/>
        <w:ind w:firstLine="630" w:firstLineChars="196"/>
        <w:rPr>
          <w:rFonts w:eastAsia="仿宋_GB2312"/>
          <w:b/>
          <w:color w:val="000000"/>
          <w:sz w:val="32"/>
          <w:szCs w:val="32"/>
        </w:rPr>
      </w:pPr>
      <w:r>
        <w:rPr>
          <w:rFonts w:eastAsia="仿宋_GB2312"/>
          <w:b/>
          <w:sz w:val="32"/>
          <w:szCs w:val="32"/>
        </w:rPr>
        <w:t>7.</w:t>
      </w:r>
      <w:r>
        <w:rPr>
          <w:rFonts w:eastAsia="仿宋_GB2312"/>
          <w:b/>
          <w:color w:val="000000"/>
          <w:sz w:val="32"/>
          <w:szCs w:val="32"/>
        </w:rPr>
        <w:t>园区“十四五”发展规划和空间布局规划</w:t>
      </w:r>
    </w:p>
    <w:p w14:paraId="27C4E086">
      <w:pPr>
        <w:spacing w:line="560" w:lineRule="exact"/>
        <w:ind w:firstLine="627" w:firstLineChars="196"/>
        <w:rPr>
          <w:rFonts w:eastAsia="仿宋_GB2312"/>
          <w:sz w:val="32"/>
          <w:szCs w:val="32"/>
        </w:rPr>
      </w:pPr>
      <w:r>
        <w:rPr>
          <w:rFonts w:eastAsia="仿宋_GB2312"/>
          <w:sz w:val="32"/>
          <w:szCs w:val="32"/>
        </w:rPr>
        <w:t>委托攀枝花学院完成了《四川米易白马工业园区发展规划（2020—2025年）》的编制。按照省、市和自然资源部门要求，正在进行县级国土空间规划（2020—2035年）编制工作。目前，正对拟纳入县级国土空间规划的板块进行测绘。</w:t>
      </w:r>
    </w:p>
    <w:p w14:paraId="4DB67A57">
      <w:pPr>
        <w:spacing w:line="560" w:lineRule="exact"/>
        <w:ind w:firstLine="630" w:firstLineChars="196"/>
        <w:rPr>
          <w:rFonts w:eastAsia="仿宋_GB2312"/>
          <w:b/>
          <w:sz w:val="32"/>
          <w:szCs w:val="32"/>
        </w:rPr>
      </w:pPr>
      <w:r>
        <w:rPr>
          <w:rFonts w:eastAsia="仿宋_GB2312"/>
          <w:b/>
          <w:color w:val="000000"/>
          <w:sz w:val="32"/>
          <w:szCs w:val="32"/>
        </w:rPr>
        <w:t>8.</w:t>
      </w:r>
      <w:r>
        <w:rPr>
          <w:rFonts w:eastAsia="仿宋_GB2312"/>
          <w:b/>
          <w:sz w:val="32"/>
          <w:szCs w:val="32"/>
        </w:rPr>
        <w:t>狠抓疫情防控和企业复工复产</w:t>
      </w:r>
    </w:p>
    <w:p w14:paraId="2B9381EB">
      <w:pPr>
        <w:spacing w:line="560" w:lineRule="exact"/>
        <w:ind w:firstLine="627" w:firstLineChars="196"/>
        <w:rPr>
          <w:rFonts w:eastAsia="仿宋_GB2312"/>
          <w:sz w:val="32"/>
          <w:szCs w:val="32"/>
        </w:rPr>
      </w:pPr>
      <w:r>
        <w:rPr>
          <w:rFonts w:eastAsia="仿宋_GB2312"/>
          <w:sz w:val="32"/>
          <w:szCs w:val="32"/>
        </w:rPr>
        <w:t>积极深入园区企业，做好疫情防控工作的宣传；督促各企业做好疫情防控方案、应急预案的制定，做好疫情防控人员摸排、物资准备等各项工作；指导企业积极做好复工复产，园区内规上企业、在建重点项目均全部按计划复工复产；落实疫情期间日报、周报工作制度，掌握企业疫情防控、生产经营情况，为企业服好务。</w:t>
      </w:r>
    </w:p>
    <w:p w14:paraId="7D5C2B12">
      <w:pPr>
        <w:spacing w:line="560" w:lineRule="exact"/>
        <w:ind w:firstLine="630" w:firstLineChars="196"/>
        <w:rPr>
          <w:rFonts w:eastAsia="仿宋_GB2312"/>
          <w:b/>
          <w:color w:val="000000"/>
          <w:sz w:val="32"/>
          <w:szCs w:val="32"/>
        </w:rPr>
      </w:pPr>
      <w:r>
        <w:rPr>
          <w:rFonts w:eastAsia="仿宋_GB2312"/>
          <w:b/>
          <w:sz w:val="32"/>
          <w:szCs w:val="32"/>
        </w:rPr>
        <w:t>9.</w:t>
      </w:r>
      <w:r>
        <w:rPr>
          <w:rFonts w:eastAsia="仿宋_GB2312"/>
          <w:b/>
          <w:color w:val="000000"/>
          <w:sz w:val="32"/>
          <w:szCs w:val="32"/>
        </w:rPr>
        <w:t>切实抓好项目</w:t>
      </w:r>
      <w:r>
        <w:rPr>
          <w:rFonts w:eastAsia="仿宋_GB2312"/>
          <w:b/>
          <w:sz w:val="32"/>
          <w:szCs w:val="32"/>
        </w:rPr>
        <w:t>竞进</w:t>
      </w:r>
      <w:r>
        <w:rPr>
          <w:rFonts w:eastAsia="仿宋_GB2312"/>
          <w:b/>
          <w:color w:val="000000"/>
          <w:sz w:val="32"/>
          <w:szCs w:val="32"/>
        </w:rPr>
        <w:t>拉练</w:t>
      </w:r>
    </w:p>
    <w:p w14:paraId="43233389">
      <w:pPr>
        <w:spacing w:line="560" w:lineRule="exact"/>
        <w:ind w:firstLine="627" w:firstLineChars="196"/>
        <w:rPr>
          <w:rFonts w:eastAsia="仿宋_GB2312"/>
          <w:b/>
          <w:color w:val="000000"/>
          <w:sz w:val="32"/>
          <w:szCs w:val="32"/>
        </w:rPr>
      </w:pPr>
      <w:r>
        <w:rPr>
          <w:rFonts w:eastAsia="仿宋_GB2312"/>
          <w:sz w:val="32"/>
          <w:szCs w:val="32"/>
        </w:rPr>
        <w:t>2020年一季度和四季度项目竞进拉练活动，园区管委会负责牵头对白马工业园区大草坝新材料产业园—钛钢复合生产线、攀西地区首家波纹管企业—福塑科技波纹管厂、白马工业园区基础设施—一枝山功能区集中式污水处理厂、锦秀机械等点位准备工作，通过氛围营造、道路平整、卫生清扫、垃圾清运等，做好了相关准备工作，确保了项目拉练活动顺利进行。</w:t>
      </w:r>
    </w:p>
    <w:p w14:paraId="12BB30E6">
      <w:pPr>
        <w:spacing w:line="560" w:lineRule="exact"/>
        <w:ind w:firstLine="630" w:firstLineChars="196"/>
        <w:rPr>
          <w:rFonts w:eastAsia="仿宋_GB2312"/>
          <w:b/>
          <w:sz w:val="32"/>
          <w:szCs w:val="32"/>
        </w:rPr>
      </w:pPr>
      <w:r>
        <w:rPr>
          <w:rFonts w:eastAsia="仿宋_GB2312"/>
          <w:b/>
          <w:sz w:val="32"/>
          <w:szCs w:val="32"/>
        </w:rPr>
        <w:t>10.招商引资任务超额完成</w:t>
      </w:r>
    </w:p>
    <w:p w14:paraId="7CE626AD">
      <w:pPr>
        <w:spacing w:line="560" w:lineRule="exact"/>
        <w:ind w:firstLine="627" w:firstLineChars="196"/>
        <w:rPr>
          <w:rFonts w:eastAsia="楷体_GB2312"/>
          <w:color w:val="000000"/>
          <w:sz w:val="32"/>
          <w:szCs w:val="32"/>
        </w:rPr>
      </w:pPr>
      <w:r>
        <w:rPr>
          <w:rFonts w:eastAsia="仿宋_GB2312"/>
          <w:sz w:val="32"/>
          <w:szCs w:val="32"/>
        </w:rPr>
        <w:t>2020年园区完成</w:t>
      </w:r>
      <w:r>
        <w:rPr>
          <w:rFonts w:eastAsia="仿宋_GB2312"/>
          <w:color w:val="000000"/>
          <w:sz w:val="32"/>
          <w:szCs w:val="32"/>
        </w:rPr>
        <w:t>新签约项目3个，新开工项目3个，新包装项目2个。已完成全年目标任务。</w:t>
      </w:r>
    </w:p>
    <w:p w14:paraId="511CFFC3">
      <w:pPr>
        <w:ind w:firstLine="643"/>
        <w:rPr>
          <w:rStyle w:val="18"/>
          <w:rFonts w:ascii="Times New Roman" w:hAnsi="Times New Roman" w:eastAsia="黑体"/>
          <w:b w:val="0"/>
          <w:bCs w:val="0"/>
        </w:rPr>
      </w:pPr>
      <w:r>
        <w:rPr>
          <w:rFonts w:hAnsi="黑体" w:eastAsia="黑体"/>
          <w:color w:val="000000"/>
          <w:sz w:val="32"/>
          <w:szCs w:val="32"/>
        </w:rPr>
        <w:t>二、机</w:t>
      </w:r>
      <w:r>
        <w:rPr>
          <w:rStyle w:val="18"/>
          <w:rFonts w:ascii="Times New Roman" w:hAnsi="黑体" w:eastAsia="黑体"/>
        </w:rPr>
        <w:t>构设置</w:t>
      </w:r>
      <w:bookmarkEnd w:id="9"/>
      <w:bookmarkEnd w:id="10"/>
    </w:p>
    <w:p w14:paraId="5EC7E3E4">
      <w:pPr>
        <w:spacing w:line="560" w:lineRule="exact"/>
        <w:ind w:firstLine="800" w:firstLineChars="250"/>
        <w:rPr>
          <w:rFonts w:eastAsia="仿宋_GB2312"/>
          <w:sz w:val="32"/>
          <w:szCs w:val="32"/>
        </w:rPr>
      </w:pPr>
      <w:r>
        <w:rPr>
          <w:rFonts w:eastAsia="仿宋_GB2312"/>
          <w:sz w:val="32"/>
          <w:szCs w:val="32"/>
        </w:rPr>
        <w:t>白马工业园区管委会下属二级单位1个，其中行政单位0个，参照公务员法管理的事业单位</w:t>
      </w:r>
      <w:r>
        <w:rPr>
          <w:rFonts w:eastAsia="仿宋_GB2312"/>
          <w:bCs/>
          <w:sz w:val="32"/>
          <w:szCs w:val="32"/>
        </w:rPr>
        <w:t>0</w:t>
      </w:r>
      <w:r>
        <w:rPr>
          <w:rFonts w:eastAsia="仿宋_GB2312"/>
          <w:sz w:val="32"/>
          <w:szCs w:val="32"/>
        </w:rPr>
        <w:t>个，其他事业单位1个。</w:t>
      </w:r>
    </w:p>
    <w:p w14:paraId="5FB75F9B">
      <w:pPr>
        <w:pStyle w:val="5"/>
        <w:adjustRightInd w:val="0"/>
        <w:snapToGrid w:val="0"/>
        <w:spacing w:before="93" w:line="560" w:lineRule="exact"/>
        <w:ind w:firstLine="672" w:firstLineChars="210"/>
        <w:rPr>
          <w:rFonts w:ascii="Times New Roman"/>
          <w:color w:val="000000"/>
          <w:sz w:val="32"/>
          <w:szCs w:val="32"/>
        </w:rPr>
      </w:pPr>
      <w:r>
        <w:rPr>
          <w:rFonts w:ascii="Times New Roman"/>
          <w:color w:val="000000"/>
          <w:sz w:val="32"/>
          <w:szCs w:val="32"/>
        </w:rPr>
        <w:t>纳入白马工业园区管委会2020年度部门决算编制范围的二级预算单位包括：园区服务中心。</w:t>
      </w:r>
    </w:p>
    <w:p w14:paraId="1081359D">
      <w:pPr>
        <w:pStyle w:val="2"/>
        <w:spacing w:line="240" w:lineRule="auto"/>
        <w:ind w:right="440"/>
        <w:jc w:val="right"/>
        <w:rPr>
          <w:rFonts w:eastAsia="黑体"/>
          <w:b w:val="0"/>
          <w:bCs w:val="0"/>
        </w:rPr>
      </w:pPr>
      <w:bookmarkStart w:id="11" w:name="_Toc15396602"/>
      <w:bookmarkStart w:id="12" w:name="_Toc15377204"/>
      <w:r>
        <w:rPr>
          <w:rFonts w:hAnsi="黑体" w:eastAsia="黑体"/>
          <w:b w:val="0"/>
          <w:color w:val="000000"/>
        </w:rPr>
        <w:t>第二部分</w:t>
      </w:r>
      <w:r>
        <w:rPr>
          <w:rFonts w:eastAsia="黑体"/>
          <w:color w:val="000000"/>
        </w:rPr>
        <w:t xml:space="preserve"> </w:t>
      </w:r>
      <w:r>
        <w:rPr>
          <w:rStyle w:val="17"/>
          <w:rFonts w:eastAsia="黑体"/>
          <w:b w:val="0"/>
          <w:bCs w:val="0"/>
        </w:rPr>
        <w:t>2020</w:t>
      </w:r>
      <w:r>
        <w:rPr>
          <w:rStyle w:val="17"/>
          <w:rFonts w:hAnsi="黑体" w:eastAsia="黑体"/>
          <w:b w:val="0"/>
          <w:bCs w:val="0"/>
        </w:rPr>
        <w:t>年度部门决算情况说明</w:t>
      </w:r>
      <w:bookmarkEnd w:id="11"/>
      <w:bookmarkEnd w:id="12"/>
    </w:p>
    <w:p w14:paraId="44C22C17">
      <w:pPr>
        <w:pStyle w:val="27"/>
        <w:numPr>
          <w:ilvl w:val="0"/>
          <w:numId w:val="1"/>
        </w:numPr>
        <w:ind w:firstLineChars="0"/>
        <w:outlineLvl w:val="1"/>
        <w:rPr>
          <w:rStyle w:val="18"/>
          <w:rFonts w:ascii="Times New Roman" w:hAnsi="Times New Roman" w:eastAsia="黑体"/>
          <w:b w:val="0"/>
        </w:rPr>
      </w:pPr>
      <w:bookmarkStart w:id="13" w:name="_Toc15396603"/>
      <w:bookmarkStart w:id="14" w:name="_Toc15377205"/>
      <w:r>
        <w:rPr>
          <w:rFonts w:hAnsi="黑体" w:eastAsia="黑体"/>
          <w:color w:val="000000"/>
          <w:sz w:val="32"/>
          <w:szCs w:val="32"/>
        </w:rPr>
        <w:t>收</w:t>
      </w:r>
      <w:r>
        <w:rPr>
          <w:rStyle w:val="18"/>
          <w:rFonts w:ascii="Times New Roman" w:hAnsi="黑体" w:eastAsia="黑体"/>
          <w:b w:val="0"/>
        </w:rPr>
        <w:t>入支出决算总体情况说明</w:t>
      </w:r>
      <w:bookmarkEnd w:id="13"/>
      <w:bookmarkEnd w:id="14"/>
    </w:p>
    <w:p w14:paraId="00F119D1">
      <w:pPr>
        <w:ind w:firstLine="640" w:firstLineChars="200"/>
        <w:rPr>
          <w:rFonts w:eastAsia="仿宋_GB2312"/>
          <w:color w:val="000000"/>
          <w:sz w:val="32"/>
          <w:szCs w:val="32"/>
        </w:rPr>
      </w:pPr>
      <w:r>
        <w:rPr>
          <w:rFonts w:eastAsia="仿宋_GB2312"/>
          <w:color w:val="000000"/>
          <w:sz w:val="32"/>
          <w:szCs w:val="32"/>
        </w:rPr>
        <w:t>2020年度年初结转和结余0.94万元，本年收入324.66万元，本年支出324.66万元，年末结转和结余0.94万元。与2019年收入同比减少600.3万元，下降64.9 %；支出同比减少647.48万元，下降66.6%。主要变动原因：一是2019年政府性基金收入671万元，2020年政府性基金收入0万元；二是2020年新增3人，基本支出、工资调增、绩效增加等因素与2019年相比都有增加。</w:t>
      </w:r>
    </w:p>
    <w:p w14:paraId="0BDBB3EB">
      <w:pPr>
        <w:jc w:val="center"/>
        <w:rPr>
          <w:rFonts w:eastAsia="仿宋"/>
          <w:color w:val="000000"/>
          <w:sz w:val="32"/>
          <w:szCs w:val="32"/>
        </w:rPr>
      </w:pPr>
      <w:r>
        <w:rPr>
          <w:rFonts w:eastAsia="仿宋"/>
          <w:color w:val="000000"/>
          <w:sz w:val="32"/>
          <w:szCs w:val="32"/>
        </w:rPr>
        <w:drawing>
          <wp:inline distT="0" distB="0" distL="0" distR="0">
            <wp:extent cx="5146040" cy="2567940"/>
            <wp:effectExtent l="19050" t="0" r="16212" b="3648"/>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630118E7">
      <w:pPr>
        <w:jc w:val="center"/>
        <w:rPr>
          <w:rFonts w:eastAsia="仿宋"/>
          <w:color w:val="000000"/>
          <w:sz w:val="28"/>
          <w:szCs w:val="28"/>
        </w:rPr>
      </w:pPr>
      <w:r>
        <w:rPr>
          <w:rFonts w:hAnsi="仿宋" w:eastAsia="仿宋"/>
          <w:color w:val="000000"/>
          <w:sz w:val="28"/>
          <w:szCs w:val="28"/>
        </w:rPr>
        <w:t>（图</w:t>
      </w:r>
      <w:r>
        <w:rPr>
          <w:rFonts w:eastAsia="仿宋"/>
          <w:color w:val="000000"/>
          <w:sz w:val="28"/>
          <w:szCs w:val="28"/>
        </w:rPr>
        <w:t>1</w:t>
      </w:r>
      <w:r>
        <w:rPr>
          <w:rFonts w:hAnsi="仿宋" w:eastAsia="仿宋"/>
          <w:color w:val="000000"/>
          <w:sz w:val="28"/>
          <w:szCs w:val="28"/>
        </w:rPr>
        <w:t>：收、支决算总计变动情况图）（柱状图）</w:t>
      </w:r>
    </w:p>
    <w:p w14:paraId="03903947">
      <w:pPr>
        <w:pStyle w:val="27"/>
        <w:numPr>
          <w:ilvl w:val="0"/>
          <w:numId w:val="1"/>
        </w:numPr>
        <w:ind w:firstLineChars="0"/>
        <w:outlineLvl w:val="1"/>
        <w:rPr>
          <w:rStyle w:val="18"/>
          <w:rFonts w:ascii="Times New Roman" w:hAnsi="Times New Roman" w:eastAsia="黑体"/>
          <w:b w:val="0"/>
        </w:rPr>
      </w:pPr>
      <w:bookmarkStart w:id="15" w:name="_Toc15377206"/>
      <w:bookmarkStart w:id="16" w:name="_Toc15396604"/>
      <w:r>
        <w:rPr>
          <w:rFonts w:hAnsi="黑体" w:eastAsia="黑体"/>
          <w:color w:val="000000"/>
          <w:sz w:val="32"/>
          <w:szCs w:val="32"/>
        </w:rPr>
        <w:t>收</w:t>
      </w:r>
      <w:r>
        <w:rPr>
          <w:rStyle w:val="18"/>
          <w:rFonts w:ascii="Times New Roman" w:hAnsi="黑体" w:eastAsia="黑体"/>
          <w:b w:val="0"/>
        </w:rPr>
        <w:t>入决算情况说明</w:t>
      </w:r>
      <w:bookmarkEnd w:id="15"/>
      <w:bookmarkEnd w:id="16"/>
    </w:p>
    <w:p w14:paraId="76D71025">
      <w:pPr>
        <w:ind w:firstLine="640" w:firstLineChars="200"/>
        <w:outlineLvl w:val="1"/>
        <w:rPr>
          <w:rFonts w:eastAsia="仿宋_GB2312"/>
          <w:color w:val="000000"/>
          <w:sz w:val="32"/>
          <w:szCs w:val="32"/>
        </w:rPr>
      </w:pPr>
      <w:r>
        <w:rPr>
          <w:rFonts w:eastAsia="仿宋_GB2312"/>
          <w:color w:val="000000"/>
          <w:sz w:val="32"/>
          <w:szCs w:val="32"/>
        </w:rPr>
        <w:t>2020年本年收入合计324.66万元，其中：一般公共预算财政拨款收入324.66万元，占100%；政府性基金预算财政拨款收入0万元，占0%。</w:t>
      </w:r>
    </w:p>
    <w:p w14:paraId="0C08EF3E">
      <w:pPr>
        <w:jc w:val="center"/>
        <w:outlineLvl w:val="1"/>
        <w:rPr>
          <w:rFonts w:eastAsia="仿宋"/>
          <w:color w:val="000000"/>
          <w:sz w:val="32"/>
          <w:szCs w:val="32"/>
        </w:rPr>
      </w:pPr>
      <w:r>
        <w:rPr>
          <w:rFonts w:eastAsia="仿宋"/>
          <w:color w:val="000000"/>
          <w:sz w:val="32"/>
          <w:szCs w:val="32"/>
        </w:rPr>
        <w:drawing>
          <wp:inline distT="0" distB="0" distL="0" distR="0">
            <wp:extent cx="5146675" cy="2927985"/>
            <wp:effectExtent l="19050" t="0" r="15807" b="5674"/>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98D896D">
      <w:pPr>
        <w:jc w:val="center"/>
        <w:rPr>
          <w:rFonts w:eastAsia="仿宋"/>
          <w:color w:val="000000"/>
          <w:sz w:val="28"/>
          <w:szCs w:val="28"/>
        </w:rPr>
      </w:pPr>
      <w:r>
        <w:rPr>
          <w:rFonts w:hAnsi="仿宋" w:eastAsia="仿宋"/>
          <w:color w:val="000000"/>
          <w:sz w:val="28"/>
          <w:szCs w:val="28"/>
        </w:rPr>
        <w:t>（图</w:t>
      </w:r>
      <w:r>
        <w:rPr>
          <w:rFonts w:eastAsia="仿宋"/>
          <w:color w:val="000000"/>
          <w:sz w:val="28"/>
          <w:szCs w:val="28"/>
        </w:rPr>
        <w:t>2</w:t>
      </w:r>
      <w:r>
        <w:rPr>
          <w:rFonts w:hAnsi="仿宋" w:eastAsia="仿宋"/>
          <w:color w:val="000000"/>
          <w:sz w:val="28"/>
          <w:szCs w:val="28"/>
        </w:rPr>
        <w:t>：收入决算结构图）（饼状图）</w:t>
      </w:r>
    </w:p>
    <w:p w14:paraId="36AAC343">
      <w:pPr>
        <w:pStyle w:val="27"/>
        <w:numPr>
          <w:ilvl w:val="0"/>
          <w:numId w:val="1"/>
        </w:numPr>
        <w:ind w:firstLineChars="0"/>
        <w:outlineLvl w:val="1"/>
        <w:rPr>
          <w:rStyle w:val="18"/>
          <w:rFonts w:ascii="Times New Roman" w:hAnsi="Times New Roman" w:eastAsia="黑体"/>
          <w:b w:val="0"/>
        </w:rPr>
      </w:pPr>
      <w:bookmarkStart w:id="17" w:name="_Toc15396605"/>
      <w:bookmarkStart w:id="18" w:name="_Toc15377207"/>
      <w:r>
        <w:rPr>
          <w:rFonts w:hAnsi="黑体" w:eastAsia="黑体"/>
          <w:color w:val="000000"/>
          <w:sz w:val="32"/>
          <w:szCs w:val="32"/>
        </w:rPr>
        <w:t>支</w:t>
      </w:r>
      <w:r>
        <w:rPr>
          <w:rStyle w:val="18"/>
          <w:rFonts w:ascii="Times New Roman" w:hAnsi="黑体" w:eastAsia="黑体"/>
          <w:b w:val="0"/>
        </w:rPr>
        <w:t>出决算情况说明</w:t>
      </w:r>
      <w:bookmarkEnd w:id="17"/>
      <w:bookmarkEnd w:id="18"/>
    </w:p>
    <w:p w14:paraId="2576E402">
      <w:pPr>
        <w:ind w:firstLine="640"/>
        <w:rPr>
          <w:rFonts w:eastAsia="仿宋_GB2312"/>
          <w:color w:val="000000"/>
          <w:sz w:val="32"/>
          <w:szCs w:val="32"/>
        </w:rPr>
      </w:pPr>
      <w:r>
        <w:rPr>
          <w:rFonts w:eastAsia="仿宋_GB2312"/>
          <w:color w:val="000000"/>
          <w:sz w:val="32"/>
          <w:szCs w:val="32"/>
        </w:rPr>
        <w:t>2020年本年支出合计324.66万元，其中：基本支出217.28万元，占66.93%；项目支出107.38万元，占33.07%。</w:t>
      </w:r>
    </w:p>
    <w:p w14:paraId="6ED94F9E">
      <w:pPr>
        <w:jc w:val="center"/>
        <w:rPr>
          <w:rFonts w:eastAsia="仿宋"/>
          <w:color w:val="000000"/>
          <w:sz w:val="32"/>
          <w:szCs w:val="32"/>
        </w:rPr>
      </w:pPr>
      <w:r>
        <w:rPr>
          <w:rFonts w:eastAsia="仿宋"/>
          <w:color w:val="000000"/>
          <w:sz w:val="32"/>
          <w:szCs w:val="32"/>
        </w:rPr>
        <w:drawing>
          <wp:inline distT="0" distB="0" distL="0" distR="0">
            <wp:extent cx="4987290" cy="2830195"/>
            <wp:effectExtent l="19050" t="0" r="22630" b="7701"/>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4E265F5">
      <w:pPr>
        <w:jc w:val="center"/>
        <w:rPr>
          <w:rFonts w:eastAsia="仿宋"/>
          <w:color w:val="000000"/>
          <w:sz w:val="28"/>
          <w:szCs w:val="28"/>
        </w:rPr>
      </w:pPr>
      <w:r>
        <w:rPr>
          <w:rFonts w:hAnsi="仿宋" w:eastAsia="仿宋"/>
          <w:color w:val="000000"/>
          <w:sz w:val="28"/>
          <w:szCs w:val="28"/>
        </w:rPr>
        <w:t>（图</w:t>
      </w:r>
      <w:r>
        <w:rPr>
          <w:rFonts w:eastAsia="仿宋"/>
          <w:color w:val="000000"/>
          <w:sz w:val="28"/>
          <w:szCs w:val="28"/>
        </w:rPr>
        <w:t>3</w:t>
      </w:r>
      <w:r>
        <w:rPr>
          <w:rFonts w:hAnsi="仿宋" w:eastAsia="仿宋"/>
          <w:color w:val="000000"/>
          <w:sz w:val="28"/>
          <w:szCs w:val="28"/>
        </w:rPr>
        <w:t>：支出决算结构图）（饼状图）</w:t>
      </w:r>
    </w:p>
    <w:p w14:paraId="60400B7B">
      <w:pPr>
        <w:ind w:firstLine="640" w:firstLineChars="200"/>
        <w:outlineLvl w:val="1"/>
        <w:rPr>
          <w:rStyle w:val="18"/>
          <w:rFonts w:ascii="Times New Roman" w:hAnsi="Times New Roman" w:eastAsia="黑体"/>
          <w:b w:val="0"/>
        </w:rPr>
      </w:pPr>
      <w:bookmarkStart w:id="19" w:name="_Toc15396606"/>
      <w:bookmarkStart w:id="20" w:name="_Toc15377208"/>
      <w:r>
        <w:rPr>
          <w:rFonts w:hAnsi="黑体" w:eastAsia="黑体"/>
          <w:color w:val="000000"/>
          <w:sz w:val="32"/>
          <w:szCs w:val="32"/>
        </w:rPr>
        <w:t>四、财</w:t>
      </w:r>
      <w:r>
        <w:rPr>
          <w:rStyle w:val="18"/>
          <w:rFonts w:ascii="Times New Roman" w:hAnsi="黑体" w:eastAsia="黑体"/>
          <w:b w:val="0"/>
        </w:rPr>
        <w:t>政拨款收入支出决算总体情况说明</w:t>
      </w:r>
      <w:bookmarkEnd w:id="19"/>
      <w:bookmarkEnd w:id="20"/>
    </w:p>
    <w:p w14:paraId="29AB5135">
      <w:pPr>
        <w:ind w:firstLine="640" w:firstLineChars="200"/>
        <w:rPr>
          <w:rFonts w:eastAsia="仿宋_GB2312"/>
          <w:color w:val="000000"/>
          <w:sz w:val="32"/>
          <w:szCs w:val="32"/>
        </w:rPr>
      </w:pPr>
      <w:r>
        <w:rPr>
          <w:rFonts w:eastAsia="仿宋_GB2312"/>
          <w:color w:val="000000"/>
          <w:sz w:val="32"/>
          <w:szCs w:val="32"/>
        </w:rPr>
        <w:t>2020年度年初结转和结余0.94万元，本年收入324.66万元，本年支出324.66万元，年末结转和结余0.94万元。与2019年收入同比减少600.3万元，下降64.9 %；支出同比减少647.48万元，下降66.6%。主要变动原因：一是2019年政府性基金收入671万元，2020年政府性基金收入0万元；二是</w:t>
      </w:r>
      <w:r>
        <w:rPr>
          <w:rFonts w:hint="eastAsia" w:eastAsia="仿宋_GB2312"/>
          <w:color w:val="000000"/>
          <w:sz w:val="32"/>
          <w:szCs w:val="32"/>
        </w:rPr>
        <w:t>因</w:t>
      </w:r>
      <w:r>
        <w:rPr>
          <w:rFonts w:eastAsia="仿宋_GB2312"/>
          <w:color w:val="000000"/>
          <w:sz w:val="32"/>
          <w:szCs w:val="32"/>
        </w:rPr>
        <w:t>2020年新增3人，基本支出</w:t>
      </w:r>
      <w:r>
        <w:rPr>
          <w:rFonts w:hint="eastAsia" w:eastAsia="仿宋_GB2312"/>
          <w:color w:val="000000"/>
          <w:sz w:val="32"/>
          <w:szCs w:val="32"/>
        </w:rPr>
        <w:t>、</w:t>
      </w:r>
      <w:r>
        <w:rPr>
          <w:rFonts w:eastAsia="仿宋_GB2312"/>
          <w:color w:val="000000"/>
          <w:sz w:val="32"/>
          <w:szCs w:val="32"/>
        </w:rPr>
        <w:t>人员经费、工资调增、绩效等因素与2019年相比都有增加。</w:t>
      </w:r>
    </w:p>
    <w:p w14:paraId="097F83C9">
      <w:pPr>
        <w:rPr>
          <w:rFonts w:eastAsia="仿宋"/>
          <w:color w:val="000000"/>
          <w:sz w:val="32"/>
          <w:szCs w:val="32"/>
        </w:rPr>
      </w:pPr>
      <w:r>
        <w:rPr>
          <w:rFonts w:eastAsia="仿宋"/>
          <w:color w:val="000000"/>
          <w:sz w:val="32"/>
          <w:szCs w:val="32"/>
        </w:rPr>
        <w:drawing>
          <wp:inline distT="0" distB="0" distL="0" distR="0">
            <wp:extent cx="5486400" cy="3200400"/>
            <wp:effectExtent l="19050" t="0" r="19050" b="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3A67743">
      <w:pPr>
        <w:ind w:firstLine="560" w:firstLineChars="200"/>
        <w:rPr>
          <w:rFonts w:eastAsia="仿宋"/>
          <w:color w:val="000000"/>
          <w:sz w:val="28"/>
          <w:szCs w:val="28"/>
        </w:rPr>
      </w:pPr>
      <w:r>
        <w:rPr>
          <w:rFonts w:hAnsi="仿宋" w:eastAsia="仿宋"/>
          <w:color w:val="000000"/>
          <w:sz w:val="28"/>
          <w:szCs w:val="28"/>
        </w:rPr>
        <w:t>（图</w:t>
      </w:r>
      <w:r>
        <w:rPr>
          <w:rFonts w:eastAsia="仿宋"/>
          <w:color w:val="000000"/>
          <w:sz w:val="28"/>
          <w:szCs w:val="28"/>
        </w:rPr>
        <w:t>4</w:t>
      </w:r>
      <w:r>
        <w:rPr>
          <w:rFonts w:hAnsi="仿宋" w:eastAsia="仿宋"/>
          <w:color w:val="000000"/>
          <w:sz w:val="28"/>
          <w:szCs w:val="28"/>
        </w:rPr>
        <w:t>：财政拨款收、支决算总计变动情况）（柱状图）</w:t>
      </w:r>
    </w:p>
    <w:p w14:paraId="2EB5C59E">
      <w:pPr>
        <w:ind w:firstLine="640" w:firstLineChars="200"/>
        <w:outlineLvl w:val="1"/>
        <w:rPr>
          <w:rStyle w:val="18"/>
          <w:rFonts w:ascii="Times New Roman" w:hAnsi="Times New Roman" w:eastAsia="黑体"/>
          <w:b w:val="0"/>
        </w:rPr>
      </w:pPr>
      <w:bookmarkStart w:id="21" w:name="_Toc15377209"/>
      <w:bookmarkStart w:id="22" w:name="_Toc15396607"/>
      <w:r>
        <w:rPr>
          <w:rFonts w:hAnsi="黑体" w:eastAsia="黑体"/>
          <w:color w:val="000000"/>
          <w:sz w:val="32"/>
          <w:szCs w:val="32"/>
        </w:rPr>
        <w:t>五、</w:t>
      </w:r>
      <w:r>
        <w:rPr>
          <w:rFonts w:hAnsi="黑体" w:eastAsia="黑体"/>
          <w:b/>
          <w:color w:val="000000"/>
          <w:sz w:val="32"/>
          <w:szCs w:val="32"/>
        </w:rPr>
        <w:t>一</w:t>
      </w:r>
      <w:r>
        <w:rPr>
          <w:rStyle w:val="18"/>
          <w:rFonts w:ascii="Times New Roman" w:hAnsi="黑体" w:eastAsia="黑体"/>
          <w:b w:val="0"/>
        </w:rPr>
        <w:t>般公共预算财政拨款支出决算情况说明</w:t>
      </w:r>
      <w:bookmarkEnd w:id="21"/>
      <w:bookmarkEnd w:id="22"/>
    </w:p>
    <w:p w14:paraId="0BAE2B55">
      <w:pPr>
        <w:ind w:firstLine="643" w:firstLineChars="200"/>
        <w:outlineLvl w:val="2"/>
        <w:rPr>
          <w:rFonts w:eastAsia="仿宋"/>
          <w:b/>
          <w:color w:val="000000"/>
          <w:sz w:val="32"/>
          <w:szCs w:val="32"/>
        </w:rPr>
      </w:pPr>
      <w:bookmarkStart w:id="23" w:name="_Toc15377210"/>
      <w:r>
        <w:rPr>
          <w:rFonts w:hAnsi="仿宋" w:eastAsia="仿宋"/>
          <w:b/>
          <w:color w:val="000000"/>
          <w:sz w:val="32"/>
          <w:szCs w:val="32"/>
        </w:rPr>
        <w:t>（一）一般公共预算财政拨款支出决算总体情况</w:t>
      </w:r>
      <w:bookmarkEnd w:id="23"/>
    </w:p>
    <w:p w14:paraId="24E42A01">
      <w:pPr>
        <w:ind w:firstLine="640" w:firstLineChars="200"/>
        <w:rPr>
          <w:rFonts w:eastAsia="仿宋_GB2312"/>
          <w:color w:val="000000"/>
          <w:sz w:val="32"/>
          <w:szCs w:val="32"/>
        </w:rPr>
      </w:pPr>
      <w:r>
        <w:rPr>
          <w:rFonts w:eastAsia="仿宋_GB2312"/>
          <w:color w:val="000000" w:themeColor="text1"/>
          <w:sz w:val="32"/>
          <w:szCs w:val="32"/>
        </w:rPr>
        <w:t>2020年一般公共预算财政拨款支出324.66万元，占本年支出合计的100%。与2019年相比，一般公共预算财政拨款增加71.31万元，增长28.15 %。主要变动原因是</w:t>
      </w:r>
      <w:r>
        <w:rPr>
          <w:rFonts w:eastAsia="仿宋_GB2312"/>
          <w:color w:val="000000"/>
          <w:sz w:val="32"/>
          <w:szCs w:val="32"/>
        </w:rPr>
        <w:t>2020年新增3人，基本支出人员经费增加、工资调增、绩效增加等因素与2019年相比都有增加，</w:t>
      </w:r>
      <w:r>
        <w:rPr>
          <w:rFonts w:eastAsia="仿宋_GB2312"/>
          <w:color w:val="000000" w:themeColor="text1"/>
          <w:sz w:val="32"/>
          <w:szCs w:val="32"/>
        </w:rPr>
        <w:t>从而一般公共预算财政拨款支出2020年比2019年增加。</w:t>
      </w:r>
    </w:p>
    <w:p w14:paraId="0653659E">
      <w:pPr>
        <w:rPr>
          <w:rFonts w:eastAsia="仿宋"/>
          <w:color w:val="000000"/>
          <w:sz w:val="32"/>
          <w:szCs w:val="32"/>
        </w:rPr>
      </w:pPr>
      <w:r>
        <w:rPr>
          <w:rFonts w:eastAsia="仿宋"/>
          <w:color w:val="000000"/>
          <w:sz w:val="32"/>
          <w:szCs w:val="32"/>
        </w:rPr>
        <w:drawing>
          <wp:inline distT="0" distB="0" distL="0" distR="0">
            <wp:extent cx="5486400" cy="3200400"/>
            <wp:effectExtent l="19050" t="0" r="19050" b="0"/>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D083175">
      <w:pPr>
        <w:jc w:val="center"/>
        <w:rPr>
          <w:rFonts w:eastAsia="仿宋"/>
          <w:color w:val="000000" w:themeColor="text1"/>
          <w:sz w:val="28"/>
          <w:szCs w:val="28"/>
        </w:rPr>
      </w:pPr>
      <w:r>
        <w:rPr>
          <w:rFonts w:eastAsia="仿宋"/>
          <w:color w:val="000000"/>
          <w:sz w:val="28"/>
          <w:szCs w:val="28"/>
        </w:rPr>
        <w:t>(</w:t>
      </w:r>
      <w:r>
        <w:rPr>
          <w:rFonts w:hAnsi="仿宋" w:eastAsia="仿宋"/>
          <w:color w:val="000000"/>
          <w:sz w:val="28"/>
          <w:szCs w:val="28"/>
        </w:rPr>
        <w:t>图</w:t>
      </w:r>
      <w:r>
        <w:rPr>
          <w:rFonts w:eastAsia="仿宋"/>
          <w:color w:val="000000"/>
          <w:sz w:val="28"/>
          <w:szCs w:val="28"/>
        </w:rPr>
        <w:t>5</w:t>
      </w:r>
      <w:r>
        <w:rPr>
          <w:rFonts w:hAnsi="仿宋" w:eastAsia="仿宋"/>
          <w:color w:val="000000"/>
          <w:sz w:val="28"/>
          <w:szCs w:val="28"/>
        </w:rPr>
        <w:t>：一般公共预算财政拨款支出决算变动情况）（柱状图）</w:t>
      </w:r>
    </w:p>
    <w:p w14:paraId="63B0E014">
      <w:pPr>
        <w:ind w:firstLine="643" w:firstLineChars="200"/>
        <w:outlineLvl w:val="2"/>
        <w:rPr>
          <w:rFonts w:eastAsia="仿宋"/>
          <w:b/>
          <w:color w:val="000000"/>
          <w:sz w:val="32"/>
          <w:szCs w:val="32"/>
        </w:rPr>
      </w:pPr>
      <w:bookmarkStart w:id="24" w:name="_Toc15377211"/>
      <w:r>
        <w:rPr>
          <w:rFonts w:hAnsi="仿宋" w:eastAsia="仿宋"/>
          <w:b/>
          <w:color w:val="000000"/>
          <w:sz w:val="32"/>
          <w:szCs w:val="32"/>
        </w:rPr>
        <w:t>（二）一般公共预算财政拨款支出决算结构情况</w:t>
      </w:r>
      <w:bookmarkEnd w:id="24"/>
    </w:p>
    <w:p w14:paraId="1292C348">
      <w:pPr>
        <w:ind w:firstLine="640"/>
        <w:rPr>
          <w:rFonts w:eastAsia="仿宋_GB2312"/>
          <w:color w:val="000000"/>
          <w:sz w:val="32"/>
          <w:szCs w:val="32"/>
        </w:rPr>
      </w:pPr>
      <w:r>
        <w:rPr>
          <w:rFonts w:eastAsia="仿宋_GB2312"/>
          <w:color w:val="000000"/>
          <w:sz w:val="32"/>
          <w:szCs w:val="32"/>
        </w:rPr>
        <w:t>2020年一般公共预算财政拨款支出324.66万元，主要用于以下方面:</w:t>
      </w:r>
      <w:r>
        <w:rPr>
          <w:rFonts w:eastAsia="仿宋_GB2312"/>
          <w:b/>
          <w:color w:val="000000"/>
          <w:sz w:val="32"/>
          <w:szCs w:val="32"/>
        </w:rPr>
        <w:t>一般公共服务201（类）</w:t>
      </w:r>
      <w:r>
        <w:rPr>
          <w:rFonts w:eastAsia="仿宋_GB2312"/>
          <w:color w:val="000000"/>
          <w:sz w:val="32"/>
          <w:szCs w:val="32"/>
        </w:rPr>
        <w:t>支出275.82万元，占85%；</w:t>
      </w:r>
      <w:r>
        <w:rPr>
          <w:rFonts w:eastAsia="仿宋_GB2312"/>
          <w:b/>
          <w:color w:val="000000"/>
          <w:sz w:val="32"/>
          <w:szCs w:val="32"/>
        </w:rPr>
        <w:t>社会保障和就业208（类）</w:t>
      </w:r>
      <w:r>
        <w:rPr>
          <w:rFonts w:eastAsia="仿宋_GB2312"/>
          <w:color w:val="000000"/>
          <w:sz w:val="32"/>
          <w:szCs w:val="32"/>
        </w:rPr>
        <w:t>支出15.28万元，占4.7%；</w:t>
      </w:r>
      <w:r>
        <w:rPr>
          <w:rFonts w:eastAsia="仿宋_GB2312"/>
          <w:b/>
          <w:color w:val="000000"/>
          <w:sz w:val="32"/>
          <w:szCs w:val="32"/>
        </w:rPr>
        <w:t>卫生健康支出210（类）</w:t>
      </w:r>
      <w:r>
        <w:rPr>
          <w:rFonts w:eastAsia="仿宋_GB2312"/>
          <w:color w:val="000000"/>
          <w:sz w:val="32"/>
          <w:szCs w:val="32"/>
        </w:rPr>
        <w:t>支出12.79万元，占3.9%；</w:t>
      </w:r>
      <w:r>
        <w:rPr>
          <w:rFonts w:eastAsia="仿宋_GB2312"/>
          <w:b/>
          <w:color w:val="000000"/>
          <w:sz w:val="32"/>
          <w:szCs w:val="32"/>
        </w:rPr>
        <w:t>住房保障221（类）</w:t>
      </w:r>
      <w:r>
        <w:rPr>
          <w:rFonts w:eastAsia="仿宋_GB2312"/>
          <w:color w:val="000000"/>
          <w:sz w:val="32"/>
          <w:szCs w:val="32"/>
        </w:rPr>
        <w:t>支出20.77万元，占6.4%。</w:t>
      </w:r>
    </w:p>
    <w:p w14:paraId="0B028898">
      <w:pPr>
        <w:rPr>
          <w:rFonts w:eastAsia="仿宋"/>
          <w:color w:val="000000"/>
          <w:sz w:val="32"/>
          <w:szCs w:val="32"/>
        </w:rPr>
      </w:pPr>
      <w:r>
        <w:rPr>
          <w:rFonts w:eastAsia="仿宋"/>
          <w:color w:val="000000"/>
          <w:sz w:val="32"/>
          <w:szCs w:val="32"/>
        </w:rPr>
        <w:drawing>
          <wp:inline distT="0" distB="0" distL="0" distR="0">
            <wp:extent cx="5486400" cy="3200400"/>
            <wp:effectExtent l="19050" t="0" r="19050" b="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E91EA69">
      <w:pPr>
        <w:spacing w:line="560" w:lineRule="exact"/>
        <w:ind w:firstLine="560" w:firstLineChars="200"/>
        <w:rPr>
          <w:rFonts w:eastAsia="仿宋"/>
          <w:color w:val="000000"/>
          <w:sz w:val="28"/>
          <w:szCs w:val="28"/>
        </w:rPr>
      </w:pPr>
      <w:r>
        <w:rPr>
          <w:rFonts w:hAnsi="仿宋" w:eastAsia="仿宋"/>
          <w:color w:val="000000"/>
          <w:sz w:val="28"/>
          <w:szCs w:val="28"/>
        </w:rPr>
        <w:t>（图</w:t>
      </w:r>
      <w:r>
        <w:rPr>
          <w:rFonts w:eastAsia="仿宋"/>
          <w:color w:val="000000"/>
          <w:sz w:val="28"/>
          <w:szCs w:val="28"/>
        </w:rPr>
        <w:t>6</w:t>
      </w:r>
      <w:r>
        <w:rPr>
          <w:rFonts w:hAnsi="仿宋" w:eastAsia="仿宋"/>
          <w:color w:val="000000"/>
          <w:sz w:val="28"/>
          <w:szCs w:val="28"/>
        </w:rPr>
        <w:t>：一般公共预算财政拨款支出决算结构）（饼状图）</w:t>
      </w:r>
    </w:p>
    <w:p w14:paraId="6D0D1043">
      <w:pPr>
        <w:spacing w:line="560" w:lineRule="exact"/>
        <w:ind w:firstLine="640" w:firstLineChars="200"/>
        <w:outlineLvl w:val="2"/>
        <w:rPr>
          <w:rFonts w:eastAsia="楷体_GB2312"/>
          <w:color w:val="000000"/>
          <w:sz w:val="32"/>
          <w:szCs w:val="32"/>
        </w:rPr>
      </w:pPr>
      <w:bookmarkStart w:id="25" w:name="_Toc15377212"/>
      <w:r>
        <w:rPr>
          <w:rFonts w:eastAsia="楷体_GB2312"/>
          <w:color w:val="000000"/>
          <w:sz w:val="32"/>
          <w:szCs w:val="32"/>
        </w:rPr>
        <w:t>（三）一般公共预算财政拨款支出决算具体情况</w:t>
      </w:r>
      <w:bookmarkEnd w:id="25"/>
    </w:p>
    <w:p w14:paraId="3943B102">
      <w:pPr>
        <w:spacing w:line="560" w:lineRule="exact"/>
        <w:ind w:firstLine="640" w:firstLineChars="200"/>
        <w:outlineLvl w:val="2"/>
        <w:rPr>
          <w:rFonts w:eastAsia="仿宋_GB2312"/>
          <w:b/>
          <w:color w:val="FF0000"/>
          <w:sz w:val="32"/>
          <w:szCs w:val="32"/>
        </w:rPr>
      </w:pPr>
      <w:bookmarkStart w:id="26" w:name="_Toc15377213"/>
      <w:bookmarkStart w:id="27" w:name="_Toc15378460"/>
      <w:bookmarkStart w:id="28" w:name="_Toc15377444"/>
      <w:r>
        <w:rPr>
          <w:rFonts w:eastAsia="仿宋_GB2312"/>
          <w:color w:val="000000"/>
          <w:sz w:val="32"/>
          <w:szCs w:val="32"/>
        </w:rPr>
        <w:t>2020年一般公共预算支出决算数为324.66万元，</w:t>
      </w:r>
      <w:r>
        <w:rPr>
          <w:rStyle w:val="15"/>
          <w:rFonts w:eastAsia="仿宋_GB2312"/>
          <w:b w:val="0"/>
          <w:bCs/>
          <w:color w:val="000000"/>
          <w:sz w:val="32"/>
          <w:szCs w:val="32"/>
        </w:rPr>
        <w:t>完成预算100%。其中：</w:t>
      </w:r>
      <w:bookmarkEnd w:id="26"/>
      <w:bookmarkEnd w:id="27"/>
      <w:bookmarkEnd w:id="28"/>
    </w:p>
    <w:p w14:paraId="2F1E806A">
      <w:pPr>
        <w:spacing w:line="560" w:lineRule="exact"/>
        <w:ind w:firstLine="643" w:firstLineChars="200"/>
        <w:rPr>
          <w:rFonts w:eastAsia="仿宋_GB2312"/>
          <w:b/>
          <w:color w:val="000000"/>
          <w:sz w:val="32"/>
          <w:szCs w:val="32"/>
        </w:rPr>
      </w:pPr>
      <w:r>
        <w:rPr>
          <w:rStyle w:val="15"/>
          <w:rFonts w:eastAsia="仿宋_GB2312"/>
          <w:bCs/>
          <w:color w:val="000000"/>
          <w:sz w:val="32"/>
          <w:szCs w:val="32"/>
        </w:rPr>
        <w:t>1.一般公共服务201（类）03（款）01（项）:</w:t>
      </w:r>
      <w:r>
        <w:rPr>
          <w:rStyle w:val="15"/>
          <w:rFonts w:eastAsia="仿宋_GB2312"/>
          <w:b w:val="0"/>
          <w:bCs/>
          <w:color w:val="000000"/>
          <w:sz w:val="32"/>
          <w:szCs w:val="32"/>
        </w:rPr>
        <w:t xml:space="preserve"> 支出决算为123.24万元，完成预算100%，决算数等于预算数；</w:t>
      </w:r>
      <w:r>
        <w:rPr>
          <w:rStyle w:val="15"/>
          <w:rFonts w:eastAsia="仿宋_GB2312"/>
          <w:bCs/>
          <w:color w:val="000000"/>
          <w:sz w:val="32"/>
          <w:szCs w:val="32"/>
        </w:rPr>
        <w:t>一般公共服务201（类）03（款）02（项）：</w:t>
      </w:r>
      <w:r>
        <w:rPr>
          <w:rStyle w:val="15"/>
          <w:rFonts w:eastAsia="仿宋_GB2312"/>
          <w:b w:val="0"/>
          <w:bCs/>
          <w:color w:val="000000"/>
          <w:sz w:val="32"/>
          <w:szCs w:val="32"/>
        </w:rPr>
        <w:t>支出决算为27.05万元，完成预算100%，决算数等于预算数；</w:t>
      </w:r>
      <w:r>
        <w:rPr>
          <w:rStyle w:val="15"/>
          <w:rFonts w:eastAsia="仿宋_GB2312"/>
          <w:bCs/>
          <w:color w:val="000000"/>
          <w:sz w:val="32"/>
          <w:szCs w:val="32"/>
        </w:rPr>
        <w:t>一般公共服务201（类）03（款）50（项）:</w:t>
      </w:r>
      <w:r>
        <w:rPr>
          <w:rStyle w:val="15"/>
          <w:rFonts w:eastAsia="仿宋_GB2312"/>
          <w:b w:val="0"/>
          <w:bCs/>
          <w:color w:val="000000"/>
          <w:sz w:val="32"/>
          <w:szCs w:val="32"/>
        </w:rPr>
        <w:t xml:space="preserve"> 支出决算为45.20万元，完成预算100%，决算数等于预算数；</w:t>
      </w:r>
      <w:r>
        <w:rPr>
          <w:rStyle w:val="15"/>
          <w:rFonts w:eastAsia="仿宋_GB2312"/>
          <w:bCs/>
          <w:color w:val="000000"/>
          <w:sz w:val="32"/>
          <w:szCs w:val="32"/>
        </w:rPr>
        <w:t>一般公共服务201（类）03（款）99（项）：</w:t>
      </w:r>
      <w:r>
        <w:rPr>
          <w:rStyle w:val="15"/>
          <w:rFonts w:eastAsia="仿宋_GB2312"/>
          <w:b w:val="0"/>
          <w:bCs/>
          <w:color w:val="000000"/>
          <w:sz w:val="32"/>
          <w:szCs w:val="32"/>
        </w:rPr>
        <w:t>支出决算为61.21万元，完成预算100%，决算数等于预算数。</w:t>
      </w:r>
    </w:p>
    <w:p w14:paraId="13C94DC0">
      <w:pPr>
        <w:spacing w:line="560" w:lineRule="exact"/>
        <w:ind w:firstLine="643" w:firstLineChars="200"/>
        <w:rPr>
          <w:rFonts w:eastAsia="仿宋_GB2312"/>
          <w:b/>
          <w:color w:val="000000"/>
          <w:sz w:val="32"/>
          <w:szCs w:val="32"/>
        </w:rPr>
      </w:pPr>
      <w:r>
        <w:rPr>
          <w:rStyle w:val="15"/>
          <w:rFonts w:eastAsia="仿宋_GB2312"/>
          <w:bCs/>
          <w:color w:val="000000"/>
          <w:sz w:val="32"/>
          <w:szCs w:val="32"/>
        </w:rPr>
        <w:t>2.社会保障和就业208（类）05（款）05（项）:</w:t>
      </w:r>
      <w:r>
        <w:rPr>
          <w:rStyle w:val="15"/>
          <w:rFonts w:eastAsia="仿宋_GB2312"/>
          <w:b w:val="0"/>
          <w:bCs/>
          <w:color w:val="000000"/>
          <w:sz w:val="32"/>
          <w:szCs w:val="32"/>
        </w:rPr>
        <w:t xml:space="preserve"> 支出决算为15.28万元，完成预算100%，决算数等于预算数。</w:t>
      </w:r>
    </w:p>
    <w:p w14:paraId="0905300B">
      <w:pPr>
        <w:spacing w:line="560" w:lineRule="exact"/>
        <w:ind w:firstLine="643" w:firstLineChars="200"/>
        <w:rPr>
          <w:rStyle w:val="15"/>
          <w:rFonts w:eastAsia="仿宋_GB2312"/>
          <w:b w:val="0"/>
          <w:bCs/>
          <w:color w:val="000000"/>
          <w:sz w:val="32"/>
          <w:szCs w:val="32"/>
        </w:rPr>
      </w:pPr>
      <w:r>
        <w:rPr>
          <w:rStyle w:val="15"/>
          <w:rFonts w:eastAsia="仿宋_GB2312"/>
          <w:bCs/>
          <w:color w:val="000000"/>
          <w:sz w:val="32"/>
          <w:szCs w:val="32"/>
        </w:rPr>
        <w:t>3.</w:t>
      </w:r>
      <w:r>
        <w:rPr>
          <w:rFonts w:eastAsia="仿宋_GB2312"/>
          <w:b/>
          <w:color w:val="000000"/>
          <w:sz w:val="32"/>
          <w:szCs w:val="32"/>
        </w:rPr>
        <w:t xml:space="preserve"> 卫生健康210（类）</w:t>
      </w:r>
      <w:r>
        <w:rPr>
          <w:rStyle w:val="15"/>
          <w:rFonts w:eastAsia="仿宋_GB2312"/>
          <w:bCs/>
          <w:color w:val="000000"/>
          <w:sz w:val="32"/>
          <w:szCs w:val="32"/>
        </w:rPr>
        <w:t>11（款）01（项）:</w:t>
      </w:r>
      <w:r>
        <w:rPr>
          <w:rStyle w:val="15"/>
          <w:rFonts w:eastAsia="仿宋_GB2312"/>
          <w:b w:val="0"/>
          <w:bCs/>
          <w:color w:val="000000"/>
          <w:sz w:val="32"/>
          <w:szCs w:val="32"/>
        </w:rPr>
        <w:t>支出决算为8.51万元，完成预算100%，决算数等于预算数。</w:t>
      </w:r>
      <w:r>
        <w:rPr>
          <w:rFonts w:eastAsia="仿宋_GB2312"/>
          <w:b/>
          <w:color w:val="000000"/>
          <w:sz w:val="32"/>
          <w:szCs w:val="32"/>
        </w:rPr>
        <w:t>卫生健康210（类）</w:t>
      </w:r>
      <w:r>
        <w:rPr>
          <w:rStyle w:val="15"/>
          <w:rFonts w:eastAsia="仿宋_GB2312"/>
          <w:bCs/>
          <w:color w:val="000000"/>
          <w:sz w:val="32"/>
          <w:szCs w:val="32"/>
        </w:rPr>
        <w:t>11（款）02（项）:</w:t>
      </w:r>
      <w:r>
        <w:rPr>
          <w:rStyle w:val="15"/>
          <w:rFonts w:eastAsia="仿宋_GB2312"/>
          <w:b w:val="0"/>
          <w:bCs/>
          <w:color w:val="000000"/>
          <w:sz w:val="32"/>
          <w:szCs w:val="32"/>
        </w:rPr>
        <w:t>支出决算为3.30万元，完成预算100%，决算数等于预算数。</w:t>
      </w:r>
      <w:r>
        <w:rPr>
          <w:rFonts w:eastAsia="仿宋_GB2312"/>
          <w:b/>
          <w:color w:val="000000"/>
          <w:sz w:val="32"/>
          <w:szCs w:val="32"/>
        </w:rPr>
        <w:t>卫生健康210（类）</w:t>
      </w:r>
      <w:r>
        <w:rPr>
          <w:rStyle w:val="15"/>
          <w:rFonts w:eastAsia="仿宋_GB2312"/>
          <w:bCs/>
          <w:color w:val="000000"/>
          <w:sz w:val="32"/>
          <w:szCs w:val="32"/>
        </w:rPr>
        <w:t>11（款）03（项）:</w:t>
      </w:r>
      <w:r>
        <w:rPr>
          <w:rStyle w:val="15"/>
          <w:rFonts w:eastAsia="仿宋_GB2312"/>
          <w:b w:val="0"/>
          <w:bCs/>
          <w:color w:val="000000"/>
          <w:sz w:val="32"/>
          <w:szCs w:val="32"/>
        </w:rPr>
        <w:t>支出决算为0.98万元，完成预算100%，决算数等于预算数。</w:t>
      </w:r>
    </w:p>
    <w:p w14:paraId="4D054C5C">
      <w:pPr>
        <w:spacing w:line="560" w:lineRule="exact"/>
        <w:ind w:firstLine="643" w:firstLineChars="200"/>
        <w:rPr>
          <w:rFonts w:eastAsia="仿宋_GB2312"/>
          <w:b/>
          <w:color w:val="000000"/>
          <w:sz w:val="32"/>
          <w:szCs w:val="32"/>
        </w:rPr>
      </w:pPr>
      <w:r>
        <w:rPr>
          <w:rStyle w:val="15"/>
          <w:rFonts w:eastAsia="仿宋_GB2312"/>
          <w:bCs/>
          <w:color w:val="000000"/>
          <w:sz w:val="32"/>
          <w:szCs w:val="32"/>
        </w:rPr>
        <w:t>4.</w:t>
      </w:r>
      <w:r>
        <w:rPr>
          <w:rFonts w:eastAsia="仿宋_GB2312"/>
          <w:b/>
          <w:color w:val="000000"/>
          <w:sz w:val="32"/>
          <w:szCs w:val="32"/>
        </w:rPr>
        <w:t xml:space="preserve"> 住房保障221（类）</w:t>
      </w:r>
      <w:r>
        <w:rPr>
          <w:rStyle w:val="15"/>
          <w:rFonts w:eastAsia="仿宋_GB2312"/>
          <w:bCs/>
          <w:color w:val="000000"/>
          <w:sz w:val="32"/>
          <w:szCs w:val="32"/>
        </w:rPr>
        <w:t>02（款）01（项）:</w:t>
      </w:r>
      <w:r>
        <w:rPr>
          <w:rStyle w:val="15"/>
          <w:rFonts w:eastAsia="仿宋_GB2312"/>
          <w:b w:val="0"/>
          <w:bCs/>
          <w:color w:val="000000"/>
          <w:sz w:val="32"/>
          <w:szCs w:val="32"/>
        </w:rPr>
        <w:t>支出决算为20.77万元，完成预算100%，决算数等于预算数。</w:t>
      </w:r>
    </w:p>
    <w:p w14:paraId="7272D2F3">
      <w:pPr>
        <w:tabs>
          <w:tab w:val="right" w:pos="8306"/>
        </w:tabs>
        <w:spacing w:line="560" w:lineRule="exact"/>
        <w:ind w:firstLine="640"/>
        <w:outlineLvl w:val="1"/>
        <w:rPr>
          <w:rStyle w:val="18"/>
          <w:rFonts w:ascii="Times New Roman" w:hAnsi="Times New Roman"/>
        </w:rPr>
      </w:pPr>
      <w:bookmarkStart w:id="29" w:name="_Toc15377214"/>
      <w:bookmarkStart w:id="30" w:name="_Toc15396608"/>
      <w:r>
        <w:rPr>
          <w:rFonts w:eastAsia="黑体"/>
          <w:color w:val="000000"/>
          <w:sz w:val="32"/>
          <w:szCs w:val="32"/>
        </w:rPr>
        <w:t>六</w:t>
      </w:r>
      <w:r>
        <w:rPr>
          <w:rFonts w:eastAsia="黑体"/>
          <w:b/>
          <w:color w:val="000000"/>
          <w:sz w:val="32"/>
          <w:szCs w:val="32"/>
        </w:rPr>
        <w:t>、</w:t>
      </w:r>
      <w:r>
        <w:rPr>
          <w:rFonts w:hAnsi="黑体" w:eastAsia="黑体"/>
          <w:b/>
          <w:color w:val="000000"/>
          <w:sz w:val="32"/>
          <w:szCs w:val="32"/>
        </w:rPr>
        <w:t>一</w:t>
      </w:r>
      <w:r>
        <w:rPr>
          <w:rStyle w:val="18"/>
          <w:rFonts w:ascii="Times New Roman" w:hAnsi="黑体" w:eastAsia="黑体"/>
          <w:b w:val="0"/>
        </w:rPr>
        <w:t>般公共预算财政拨款基本支出决算情况说明</w:t>
      </w:r>
      <w:bookmarkEnd w:id="29"/>
      <w:bookmarkEnd w:id="30"/>
      <w:r>
        <w:rPr>
          <w:rStyle w:val="18"/>
          <w:rFonts w:ascii="Times New Roman" w:hAnsi="Times New Roman" w:eastAsia="黑体"/>
          <w:b w:val="0"/>
        </w:rPr>
        <w:tab/>
      </w:r>
    </w:p>
    <w:p w14:paraId="0EA7EC11">
      <w:pPr>
        <w:spacing w:line="560" w:lineRule="exact"/>
        <w:ind w:firstLine="646"/>
        <w:rPr>
          <w:rFonts w:eastAsia="仿宋_GB2312"/>
          <w:color w:val="000000"/>
          <w:sz w:val="32"/>
          <w:szCs w:val="32"/>
        </w:rPr>
      </w:pPr>
      <w:r>
        <w:rPr>
          <w:rFonts w:eastAsia="仿宋_GB2312"/>
          <w:sz w:val="32"/>
          <w:szCs w:val="32"/>
        </w:rPr>
        <w:t>2020年一般公共预算财政拨款基本支出217.28万元，其中：人员经费198.98万元，主要包括：基本工资、津贴补贴、奖金、绩效工资、机关事业单位基本养老保险缴费、职工基本医疗保险缴费、公务员医疗补助缴费、其他社会保障缴费、住房公积金等。</w:t>
      </w:r>
      <w:r>
        <w:rPr>
          <w:rFonts w:eastAsia="仿宋_GB2312"/>
          <w:sz w:val="32"/>
          <w:szCs w:val="32"/>
        </w:rPr>
        <w:br w:type="textWrapping"/>
      </w:r>
      <w:r>
        <w:rPr>
          <w:rFonts w:eastAsia="仿宋_GB2312"/>
          <w:sz w:val="32"/>
          <w:szCs w:val="32"/>
        </w:rPr>
        <w:t>　　公用经费18.30</w:t>
      </w:r>
      <w:r>
        <w:rPr>
          <w:rFonts w:eastAsia="仿宋_GB2312"/>
          <w:color w:val="000000"/>
          <w:sz w:val="32"/>
          <w:szCs w:val="32"/>
        </w:rPr>
        <w:t>万元，主要包括：办公费、电费、邮电费、差旅费、劳务费、其他交通费、其他商品和服务支出等。</w:t>
      </w:r>
    </w:p>
    <w:p w14:paraId="6AE0E6DB">
      <w:pPr>
        <w:spacing w:line="560" w:lineRule="exact"/>
        <w:ind w:firstLine="641"/>
        <w:outlineLvl w:val="1"/>
        <w:rPr>
          <w:rStyle w:val="18"/>
          <w:rFonts w:ascii="Times New Roman" w:hAnsi="Times New Roman" w:eastAsia="黑体"/>
          <w:b w:val="0"/>
        </w:rPr>
      </w:pPr>
      <w:bookmarkStart w:id="31" w:name="_Toc15377215"/>
      <w:bookmarkStart w:id="32" w:name="_Toc15396609"/>
      <w:r>
        <w:rPr>
          <w:rFonts w:eastAsia="黑体"/>
          <w:color w:val="000000"/>
          <w:sz w:val="32"/>
          <w:szCs w:val="32"/>
        </w:rPr>
        <w:t>七、</w:t>
      </w:r>
      <w:r>
        <w:rPr>
          <w:rStyle w:val="18"/>
          <w:rFonts w:ascii="Times New Roman" w:hAnsi="Times New Roman" w:eastAsia="黑体"/>
        </w:rPr>
        <w:t>“</w:t>
      </w:r>
      <w:r>
        <w:rPr>
          <w:rStyle w:val="18"/>
          <w:rFonts w:ascii="Times New Roman" w:hAnsi="黑体" w:eastAsia="黑体"/>
          <w:b w:val="0"/>
        </w:rPr>
        <w:t>三公</w:t>
      </w:r>
      <w:r>
        <w:rPr>
          <w:rStyle w:val="18"/>
          <w:rFonts w:ascii="Times New Roman" w:hAnsi="Times New Roman" w:eastAsia="黑体"/>
          <w:b w:val="0"/>
        </w:rPr>
        <w:t>”</w:t>
      </w:r>
      <w:r>
        <w:rPr>
          <w:rStyle w:val="18"/>
          <w:rFonts w:ascii="Times New Roman" w:hAnsi="黑体" w:eastAsia="黑体"/>
          <w:b w:val="0"/>
        </w:rPr>
        <w:t>经费财政拨款支出决算情况说明</w:t>
      </w:r>
      <w:bookmarkEnd w:id="31"/>
      <w:bookmarkEnd w:id="32"/>
    </w:p>
    <w:p w14:paraId="45527073">
      <w:pPr>
        <w:spacing w:line="560" w:lineRule="exact"/>
        <w:ind w:firstLine="641"/>
        <w:outlineLvl w:val="2"/>
        <w:rPr>
          <w:rFonts w:eastAsia="楷体_GB2312"/>
          <w:color w:val="000000"/>
          <w:sz w:val="32"/>
          <w:szCs w:val="32"/>
        </w:rPr>
      </w:pPr>
      <w:bookmarkStart w:id="33" w:name="_Toc15377216"/>
      <w:r>
        <w:rPr>
          <w:rFonts w:eastAsia="楷体_GB2312"/>
          <w:color w:val="000000"/>
          <w:sz w:val="32"/>
          <w:szCs w:val="32"/>
        </w:rPr>
        <w:t>（一）“三公”经费财政拨款支出决算总体情况说明</w:t>
      </w:r>
      <w:bookmarkEnd w:id="33"/>
    </w:p>
    <w:p w14:paraId="26176422">
      <w:pPr>
        <w:spacing w:line="560" w:lineRule="exact"/>
        <w:ind w:firstLine="641"/>
        <w:rPr>
          <w:rFonts w:eastAsia="仿宋_GB2312"/>
          <w:color w:val="000000"/>
          <w:sz w:val="32"/>
          <w:szCs w:val="32"/>
        </w:rPr>
      </w:pPr>
      <w:r>
        <w:rPr>
          <w:rFonts w:eastAsia="仿宋_GB2312"/>
          <w:color w:val="000000"/>
          <w:sz w:val="32"/>
          <w:szCs w:val="32"/>
        </w:rPr>
        <w:t>2020年“三公”经费财政拨款支出决算为0万元，完成预算0%，决算数等于预算数的主要原因是:2020年公车运行维护费和出国境费用预算均为0元；公务接待费预算0元，2020年实际支出公务接待费0元。</w:t>
      </w:r>
    </w:p>
    <w:p w14:paraId="211908BC">
      <w:pPr>
        <w:spacing w:line="560" w:lineRule="exact"/>
        <w:ind w:firstLine="641"/>
        <w:outlineLvl w:val="2"/>
        <w:rPr>
          <w:rFonts w:eastAsia="楷体_GB2312"/>
          <w:color w:val="000000"/>
          <w:sz w:val="32"/>
          <w:szCs w:val="32"/>
        </w:rPr>
      </w:pPr>
      <w:bookmarkStart w:id="34" w:name="_Toc15377217"/>
      <w:r>
        <w:rPr>
          <w:rFonts w:eastAsia="楷体_GB2312"/>
          <w:color w:val="000000"/>
          <w:sz w:val="32"/>
          <w:szCs w:val="32"/>
        </w:rPr>
        <w:t>（二）“三公”经费财政拨款支出决算具体情况说明</w:t>
      </w:r>
      <w:bookmarkEnd w:id="34"/>
    </w:p>
    <w:p w14:paraId="5377D17A">
      <w:pPr>
        <w:spacing w:line="560" w:lineRule="exact"/>
        <w:ind w:firstLine="641"/>
        <w:rPr>
          <w:rFonts w:eastAsia="仿宋_GB2312"/>
          <w:color w:val="000000"/>
          <w:sz w:val="32"/>
          <w:szCs w:val="32"/>
        </w:rPr>
      </w:pPr>
      <w:r>
        <w:rPr>
          <w:rFonts w:eastAsia="仿宋_GB2312"/>
          <w:color w:val="000000"/>
          <w:sz w:val="32"/>
          <w:szCs w:val="32"/>
        </w:rPr>
        <w:t>2020年“三公”经费财政拨款支出决算0万元。具体情况如下：</w:t>
      </w:r>
      <w:r>
        <w:rPr>
          <w:rFonts w:eastAsia="仿宋_GB2312"/>
          <w:b/>
          <w:color w:val="000000"/>
          <w:sz w:val="32"/>
          <w:szCs w:val="32"/>
        </w:rPr>
        <w:t>公务接待费支出</w:t>
      </w:r>
      <w:r>
        <w:rPr>
          <w:rFonts w:eastAsia="仿宋_GB2312"/>
          <w:color w:val="000000"/>
          <w:sz w:val="32"/>
          <w:szCs w:val="32"/>
        </w:rPr>
        <w:t>0万元，</w:t>
      </w:r>
      <w:r>
        <w:rPr>
          <w:rStyle w:val="15"/>
          <w:rFonts w:eastAsia="仿宋_GB2312"/>
          <w:b w:val="0"/>
          <w:bCs/>
          <w:color w:val="000000"/>
          <w:sz w:val="32"/>
          <w:szCs w:val="32"/>
        </w:rPr>
        <w:t>完成预算0%。</w:t>
      </w:r>
      <w:r>
        <w:rPr>
          <w:rFonts w:eastAsia="仿宋_GB2312"/>
          <w:color w:val="000000"/>
          <w:sz w:val="32"/>
          <w:szCs w:val="32"/>
        </w:rPr>
        <w:t>公务接待费支出决算同2019年持平。</w:t>
      </w:r>
    </w:p>
    <w:p w14:paraId="021CC591">
      <w:pPr>
        <w:spacing w:line="560" w:lineRule="exact"/>
        <w:ind w:firstLine="641"/>
        <w:rPr>
          <w:rFonts w:eastAsia="仿宋_GB2312"/>
          <w:color w:val="000000"/>
          <w:sz w:val="32"/>
          <w:szCs w:val="32"/>
        </w:rPr>
      </w:pPr>
      <w:r>
        <w:rPr>
          <w:rFonts w:eastAsia="仿宋_GB2312"/>
          <w:color w:val="000000"/>
          <w:sz w:val="32"/>
          <w:szCs w:val="32"/>
        </w:rPr>
        <w:t>2020年“三公”经费财政拨款支出决算中，因公出国（境）费支出决算0万元；公务用车购置及运行维护费支出决算0万元；公务接待费支出决算0万元。具体情况如下：</w:t>
      </w:r>
    </w:p>
    <w:p w14:paraId="7A10A80C">
      <w:pPr>
        <w:spacing w:line="560" w:lineRule="exact"/>
        <w:ind w:firstLine="640"/>
        <w:rPr>
          <w:rFonts w:eastAsia="仿宋_GB2312"/>
          <w:b/>
          <w:color w:val="000000"/>
          <w:sz w:val="32"/>
          <w:szCs w:val="32"/>
        </w:rPr>
      </w:pPr>
      <w:r>
        <w:rPr>
          <w:rFonts w:eastAsia="仿宋_GB2312"/>
          <w:b/>
          <w:color w:val="000000"/>
          <w:sz w:val="32"/>
          <w:szCs w:val="32"/>
        </w:rPr>
        <w:t>1.因公出国（境）经费支出0万元。</w:t>
      </w:r>
    </w:p>
    <w:p w14:paraId="11739292">
      <w:pPr>
        <w:spacing w:line="560" w:lineRule="exact"/>
        <w:ind w:firstLine="640"/>
        <w:rPr>
          <w:rFonts w:eastAsia="仿宋_GB2312"/>
          <w:b/>
          <w:color w:val="000000"/>
          <w:sz w:val="32"/>
          <w:szCs w:val="32"/>
        </w:rPr>
      </w:pPr>
      <w:r>
        <w:rPr>
          <w:rFonts w:eastAsia="仿宋_GB2312"/>
          <w:b/>
          <w:color w:val="000000"/>
          <w:sz w:val="32"/>
          <w:szCs w:val="32"/>
        </w:rPr>
        <w:t>2.公务用车购置及运行维护费支出0万元</w:t>
      </w:r>
      <w:r>
        <w:rPr>
          <w:rFonts w:eastAsia="仿宋_GB2312"/>
          <w:color w:val="000000"/>
          <w:sz w:val="32"/>
          <w:szCs w:val="32"/>
        </w:rPr>
        <w:t>。公务用车购置及运行维护费支出决算与2019年持平。主要原因是公车改革后单位没有公务车辆。</w:t>
      </w:r>
    </w:p>
    <w:p w14:paraId="7C9E19D4">
      <w:pPr>
        <w:spacing w:line="560" w:lineRule="exact"/>
        <w:ind w:firstLine="640"/>
        <w:rPr>
          <w:rFonts w:eastAsia="仿宋_GB2312"/>
          <w:color w:val="000000"/>
          <w:sz w:val="32"/>
          <w:szCs w:val="32"/>
        </w:rPr>
      </w:pPr>
      <w:r>
        <w:rPr>
          <w:rFonts w:eastAsia="仿宋_GB2312"/>
          <w:b/>
          <w:color w:val="000000"/>
          <w:sz w:val="32"/>
          <w:szCs w:val="32"/>
        </w:rPr>
        <w:t>3.公务接待费支出0万元</w:t>
      </w:r>
      <w:r>
        <w:rPr>
          <w:rFonts w:eastAsia="仿宋_GB2312"/>
          <w:color w:val="000000"/>
          <w:sz w:val="32"/>
          <w:szCs w:val="32"/>
        </w:rPr>
        <w:t>，</w:t>
      </w:r>
      <w:r>
        <w:rPr>
          <w:rStyle w:val="15"/>
          <w:rFonts w:hAnsi="仿宋" w:eastAsia="仿宋"/>
          <w:b w:val="0"/>
          <w:bCs/>
          <w:color w:val="000000"/>
          <w:sz w:val="32"/>
          <w:szCs w:val="32"/>
        </w:rPr>
        <w:t>完成预算</w:t>
      </w:r>
      <w:r>
        <w:rPr>
          <w:rStyle w:val="15"/>
          <w:rFonts w:eastAsia="仿宋"/>
          <w:b w:val="0"/>
          <w:bCs/>
          <w:color w:val="000000"/>
          <w:sz w:val="32"/>
          <w:szCs w:val="32"/>
        </w:rPr>
        <w:t>0%</w:t>
      </w:r>
      <w:r>
        <w:rPr>
          <w:rStyle w:val="15"/>
          <w:rFonts w:hAnsi="仿宋" w:eastAsia="仿宋"/>
          <w:b w:val="0"/>
          <w:bCs/>
          <w:color w:val="000000"/>
          <w:sz w:val="32"/>
          <w:szCs w:val="32"/>
        </w:rPr>
        <w:t>。</w:t>
      </w:r>
      <w:r>
        <w:rPr>
          <w:rFonts w:eastAsia="仿宋_GB2312"/>
          <w:color w:val="000000"/>
          <w:sz w:val="32"/>
          <w:szCs w:val="32"/>
        </w:rPr>
        <w:t>公务接待费支出决算与2019年持平。主要原因是</w:t>
      </w:r>
      <w:r>
        <w:rPr>
          <w:rFonts w:eastAsia="仿宋_GB2312"/>
          <w:sz w:val="32"/>
          <w:szCs w:val="32"/>
        </w:rPr>
        <w:t>单位严格执行中央八项规定，严格控制公务接待</w:t>
      </w:r>
      <w:r>
        <w:rPr>
          <w:rFonts w:eastAsia="仿宋_GB2312"/>
          <w:color w:val="000000"/>
          <w:sz w:val="32"/>
          <w:szCs w:val="32"/>
        </w:rPr>
        <w:t>。</w:t>
      </w:r>
    </w:p>
    <w:p w14:paraId="70FAF661">
      <w:pPr>
        <w:spacing w:line="560" w:lineRule="exact"/>
        <w:ind w:firstLine="640"/>
        <w:outlineLvl w:val="1"/>
        <w:rPr>
          <w:rStyle w:val="18"/>
          <w:rFonts w:ascii="Times New Roman" w:hAnsi="Times New Roman" w:eastAsia="黑体"/>
        </w:rPr>
      </w:pPr>
      <w:bookmarkStart w:id="35" w:name="_Toc15377218"/>
      <w:bookmarkStart w:id="36" w:name="_Toc15396610"/>
      <w:r>
        <w:rPr>
          <w:rFonts w:eastAsia="黑体"/>
          <w:color w:val="000000"/>
          <w:sz w:val="32"/>
          <w:szCs w:val="32"/>
        </w:rPr>
        <w:t>八、</w:t>
      </w:r>
      <w:r>
        <w:rPr>
          <w:rStyle w:val="18"/>
          <w:rFonts w:ascii="Times New Roman" w:hAnsi="黑体" w:eastAsia="黑体"/>
          <w:b w:val="0"/>
        </w:rPr>
        <w:t>政府性基金预算支出决算情况说明</w:t>
      </w:r>
      <w:bookmarkEnd w:id="35"/>
      <w:bookmarkEnd w:id="36"/>
    </w:p>
    <w:p w14:paraId="565FF216">
      <w:pPr>
        <w:spacing w:line="560" w:lineRule="exact"/>
        <w:ind w:firstLine="640"/>
        <w:rPr>
          <w:rFonts w:eastAsia="仿宋_GB2312"/>
          <w:color w:val="000000"/>
          <w:sz w:val="32"/>
          <w:szCs w:val="32"/>
        </w:rPr>
      </w:pPr>
      <w:r>
        <w:rPr>
          <w:rFonts w:eastAsia="仿宋_GB2312"/>
          <w:color w:val="000000"/>
          <w:sz w:val="32"/>
          <w:szCs w:val="32"/>
        </w:rPr>
        <w:t>2020年政府性基金预算拨款支出0万元，年末财政拨款结转和结余0万元。</w:t>
      </w:r>
    </w:p>
    <w:p w14:paraId="691D17F2">
      <w:pPr>
        <w:spacing w:line="560" w:lineRule="exact"/>
        <w:ind w:left="709"/>
        <w:rPr>
          <w:rStyle w:val="18"/>
          <w:rFonts w:ascii="Times New Roman" w:hAnsi="Times New Roman" w:eastAsia="黑体"/>
          <w:b w:val="0"/>
        </w:rPr>
      </w:pPr>
      <w:r>
        <w:rPr>
          <w:rStyle w:val="18"/>
          <w:rFonts w:ascii="Times New Roman" w:hAnsi="黑体" w:eastAsia="黑体"/>
          <w:b w:val="0"/>
        </w:rPr>
        <w:t>九、预算绩效情况说明</w:t>
      </w:r>
    </w:p>
    <w:p w14:paraId="27C0B6AF">
      <w:pPr>
        <w:spacing w:line="560" w:lineRule="exact"/>
        <w:ind w:firstLine="640" w:firstLineChars="200"/>
        <w:rPr>
          <w:rFonts w:eastAsia="仿宋_GB2312"/>
          <w:sz w:val="32"/>
          <w:szCs w:val="32"/>
        </w:rPr>
      </w:pPr>
      <w:r>
        <w:rPr>
          <w:rFonts w:hAnsi="仿宋_GB2312" w:eastAsia="仿宋_GB2312"/>
          <w:sz w:val="32"/>
          <w:szCs w:val="32"/>
        </w:rPr>
        <w:t>本部门按要求对</w:t>
      </w:r>
      <w:r>
        <w:rPr>
          <w:rFonts w:eastAsia="仿宋_GB2312"/>
          <w:sz w:val="32"/>
          <w:szCs w:val="32"/>
        </w:rPr>
        <w:t>2020</w:t>
      </w:r>
      <w:r>
        <w:rPr>
          <w:rFonts w:hAnsi="仿宋_GB2312" w:eastAsia="仿宋_GB2312"/>
          <w:sz w:val="32"/>
          <w:szCs w:val="32"/>
        </w:rPr>
        <w:t>年部门整体支出绩效评价情况开展自评，《白马工业园区管委会部门</w:t>
      </w:r>
      <w:r>
        <w:rPr>
          <w:rFonts w:eastAsia="仿宋_GB2312"/>
          <w:sz w:val="32"/>
          <w:szCs w:val="32"/>
        </w:rPr>
        <w:t>2020</w:t>
      </w:r>
      <w:r>
        <w:rPr>
          <w:rFonts w:hAnsi="仿宋_GB2312" w:eastAsia="仿宋_GB2312"/>
          <w:sz w:val="32"/>
          <w:szCs w:val="32"/>
        </w:rPr>
        <w:t>年部门整体支出绩效评价报告》见附件。</w:t>
      </w:r>
    </w:p>
    <w:p w14:paraId="35D4FDB0">
      <w:pPr>
        <w:spacing w:line="560" w:lineRule="exact"/>
        <w:ind w:firstLine="800" w:firstLineChars="250"/>
        <w:outlineLvl w:val="1"/>
        <w:rPr>
          <w:rStyle w:val="18"/>
          <w:rFonts w:ascii="Times New Roman" w:hAnsi="Times New Roman" w:eastAsia="黑体"/>
        </w:rPr>
      </w:pPr>
      <w:bookmarkStart w:id="37" w:name="_Toc15396612"/>
      <w:bookmarkStart w:id="38" w:name="_Toc15377221"/>
      <w:r>
        <w:rPr>
          <w:rFonts w:hAnsi="黑体" w:eastAsia="黑体"/>
          <w:color w:val="000000"/>
          <w:sz w:val="32"/>
          <w:szCs w:val="32"/>
        </w:rPr>
        <w:t>十</w:t>
      </w:r>
      <w:r>
        <w:rPr>
          <w:rStyle w:val="18"/>
          <w:rFonts w:ascii="Times New Roman" w:hAnsi="黑体" w:eastAsia="黑体"/>
        </w:rPr>
        <w:t>、</w:t>
      </w:r>
      <w:r>
        <w:rPr>
          <w:rStyle w:val="18"/>
          <w:rFonts w:ascii="Times New Roman" w:hAnsi="黑体" w:eastAsia="黑体"/>
          <w:b w:val="0"/>
        </w:rPr>
        <w:t>其他重要事项的情况说明</w:t>
      </w:r>
      <w:bookmarkEnd w:id="37"/>
      <w:bookmarkEnd w:id="38"/>
    </w:p>
    <w:p w14:paraId="55667BFF">
      <w:pPr>
        <w:spacing w:line="560" w:lineRule="exact"/>
        <w:ind w:firstLine="640" w:firstLineChars="200"/>
        <w:outlineLvl w:val="2"/>
        <w:rPr>
          <w:rFonts w:eastAsia="楷体_GB2312"/>
          <w:color w:val="000000"/>
          <w:sz w:val="32"/>
          <w:szCs w:val="32"/>
        </w:rPr>
      </w:pPr>
      <w:bookmarkStart w:id="39" w:name="_Toc15377222"/>
      <w:r>
        <w:rPr>
          <w:rFonts w:eastAsia="楷体_GB2312"/>
          <w:color w:val="000000"/>
          <w:sz w:val="32"/>
          <w:szCs w:val="32"/>
        </w:rPr>
        <w:t>（一）机关运行经费支出情况</w:t>
      </w:r>
      <w:bookmarkEnd w:id="39"/>
    </w:p>
    <w:p w14:paraId="6BF523A4">
      <w:pPr>
        <w:spacing w:line="560" w:lineRule="exact"/>
        <w:ind w:firstLine="640" w:firstLineChars="200"/>
        <w:rPr>
          <w:rFonts w:hint="default" w:eastAsia="仿宋_GB2312"/>
          <w:color w:val="000000"/>
          <w:sz w:val="32"/>
          <w:szCs w:val="32"/>
          <w:lang w:val="en-US"/>
        </w:rPr>
      </w:pPr>
      <w:r>
        <w:rPr>
          <w:rFonts w:eastAsia="仿宋_GB2312"/>
          <w:color w:val="000000"/>
          <w:sz w:val="32"/>
          <w:szCs w:val="32"/>
        </w:rPr>
        <w:t>2020年，白马工业园区管委会机关运行经费支出18.</w:t>
      </w:r>
      <w:r>
        <w:rPr>
          <w:rFonts w:hint="eastAsia" w:eastAsia="仿宋_GB2312"/>
          <w:color w:val="000000"/>
          <w:sz w:val="32"/>
          <w:szCs w:val="32"/>
        </w:rPr>
        <w:t>30</w:t>
      </w:r>
      <w:r>
        <w:rPr>
          <w:rFonts w:eastAsia="仿宋_GB2312"/>
          <w:color w:val="000000"/>
          <w:sz w:val="32"/>
          <w:szCs w:val="32"/>
        </w:rPr>
        <w:t>万元，比2019年减少3.2</w:t>
      </w:r>
      <w:r>
        <w:rPr>
          <w:rFonts w:hint="eastAsia" w:eastAsia="仿宋_GB2312"/>
          <w:color w:val="000000"/>
          <w:sz w:val="32"/>
          <w:szCs w:val="32"/>
        </w:rPr>
        <w:t>4</w:t>
      </w:r>
      <w:r>
        <w:rPr>
          <w:rFonts w:eastAsia="仿宋_GB2312"/>
          <w:color w:val="000000"/>
          <w:sz w:val="32"/>
          <w:szCs w:val="32"/>
        </w:rPr>
        <w:t>万元，下降15 %。主要原因是：2020年单位人员外出培训学习考察减少，差旅费比往年减少。严格遵守</w:t>
      </w:r>
    </w:p>
    <w:p w14:paraId="33A46CAC">
      <w:pPr>
        <w:spacing w:line="560" w:lineRule="exact"/>
        <w:ind w:firstLine="640" w:firstLineChars="200"/>
        <w:rPr>
          <w:rFonts w:eastAsia="仿宋_GB2312"/>
          <w:color w:val="000000"/>
          <w:sz w:val="32"/>
          <w:szCs w:val="32"/>
        </w:rPr>
      </w:pPr>
      <w:r>
        <w:rPr>
          <w:rFonts w:eastAsia="仿宋_GB2312"/>
          <w:color w:val="000000"/>
          <w:sz w:val="32"/>
          <w:szCs w:val="32"/>
          <w:lang w:val="en-US"/>
        </w:rPr>
        <w:t>中央八项规定</w:t>
      </w:r>
      <w:r>
        <w:rPr>
          <w:rFonts w:eastAsia="仿宋_GB2312"/>
          <w:color w:val="000000"/>
          <w:sz w:val="32"/>
          <w:szCs w:val="32"/>
        </w:rPr>
        <w:t>要求，厉行勤俭节约。</w:t>
      </w:r>
    </w:p>
    <w:p w14:paraId="6EDAAE2F">
      <w:pPr>
        <w:autoSpaceDE w:val="0"/>
        <w:autoSpaceDN w:val="0"/>
        <w:adjustRightInd w:val="0"/>
        <w:spacing w:line="560" w:lineRule="exact"/>
        <w:ind w:firstLine="640" w:firstLineChars="200"/>
        <w:jc w:val="left"/>
        <w:outlineLvl w:val="2"/>
        <w:rPr>
          <w:rFonts w:eastAsia="楷体_GB2312"/>
          <w:color w:val="000000"/>
          <w:sz w:val="32"/>
          <w:szCs w:val="32"/>
        </w:rPr>
      </w:pPr>
      <w:bookmarkStart w:id="40" w:name="_Toc15377223"/>
      <w:r>
        <w:rPr>
          <w:rFonts w:eastAsia="楷体_GB2312"/>
          <w:color w:val="000000"/>
          <w:sz w:val="32"/>
          <w:szCs w:val="32"/>
        </w:rPr>
        <w:t>（二）政府采购支出情况</w:t>
      </w:r>
      <w:bookmarkEnd w:id="40"/>
    </w:p>
    <w:p w14:paraId="514764A6">
      <w:pPr>
        <w:spacing w:line="560" w:lineRule="exact"/>
        <w:ind w:firstLine="640" w:firstLineChars="200"/>
        <w:rPr>
          <w:rFonts w:eastAsia="仿宋_GB2312"/>
          <w:color w:val="000000"/>
          <w:sz w:val="32"/>
          <w:szCs w:val="32"/>
        </w:rPr>
      </w:pPr>
      <w:r>
        <w:rPr>
          <w:rFonts w:eastAsia="仿宋_GB2312"/>
          <w:color w:val="000000"/>
          <w:sz w:val="32"/>
          <w:szCs w:val="32"/>
        </w:rPr>
        <w:t>2020年，白马工业园区管委会无政府采购。</w:t>
      </w:r>
    </w:p>
    <w:p w14:paraId="2936E6E3">
      <w:pPr>
        <w:autoSpaceDE w:val="0"/>
        <w:autoSpaceDN w:val="0"/>
        <w:adjustRightInd w:val="0"/>
        <w:spacing w:line="560" w:lineRule="exact"/>
        <w:ind w:firstLine="640" w:firstLineChars="200"/>
        <w:jc w:val="left"/>
        <w:outlineLvl w:val="2"/>
        <w:rPr>
          <w:rFonts w:eastAsia="楷体_GB2312"/>
          <w:color w:val="000000"/>
          <w:sz w:val="32"/>
          <w:szCs w:val="32"/>
        </w:rPr>
      </w:pPr>
      <w:bookmarkStart w:id="41" w:name="_Toc15377224"/>
      <w:r>
        <w:rPr>
          <w:rFonts w:eastAsia="楷体_GB2312"/>
          <w:color w:val="000000"/>
          <w:sz w:val="32"/>
          <w:szCs w:val="32"/>
        </w:rPr>
        <w:t>（三）国有资产占有使用情况</w:t>
      </w:r>
      <w:bookmarkEnd w:id="41"/>
    </w:p>
    <w:p w14:paraId="0EA56DDE">
      <w:pPr>
        <w:autoSpaceDE w:val="0"/>
        <w:autoSpaceDN w:val="0"/>
        <w:adjustRightInd w:val="0"/>
        <w:spacing w:line="560" w:lineRule="exact"/>
        <w:ind w:firstLine="640" w:firstLineChars="200"/>
        <w:jc w:val="left"/>
        <w:rPr>
          <w:rFonts w:eastAsia="仿宋_GB2312"/>
          <w:color w:val="000000"/>
          <w:sz w:val="32"/>
          <w:szCs w:val="32"/>
        </w:rPr>
      </w:pPr>
      <w:r>
        <w:rPr>
          <w:rFonts w:eastAsia="仿宋_GB2312"/>
          <w:color w:val="000000"/>
          <w:sz w:val="32"/>
          <w:szCs w:val="32"/>
        </w:rPr>
        <w:t>截至2020年12月31日，白马工业园区管委会无车辆，无单价50万元以上通用设备，无单价100万元以上专用设备。</w:t>
      </w:r>
    </w:p>
    <w:p w14:paraId="03CB9DD0">
      <w:pPr>
        <w:autoSpaceDE w:val="0"/>
        <w:autoSpaceDN w:val="0"/>
        <w:adjustRightInd w:val="0"/>
        <w:spacing w:line="560" w:lineRule="exact"/>
        <w:ind w:firstLine="640" w:firstLineChars="200"/>
        <w:jc w:val="left"/>
        <w:outlineLvl w:val="2"/>
        <w:rPr>
          <w:rFonts w:eastAsia="楷体_GB2312"/>
          <w:color w:val="000000"/>
          <w:sz w:val="32"/>
          <w:szCs w:val="32"/>
        </w:rPr>
      </w:pPr>
      <w:r>
        <w:rPr>
          <w:rFonts w:eastAsia="楷体_GB2312"/>
          <w:color w:val="000000"/>
          <w:sz w:val="32"/>
          <w:szCs w:val="32"/>
        </w:rPr>
        <w:t>（四）预算绩效管理情况</w:t>
      </w:r>
    </w:p>
    <w:p w14:paraId="680F9374">
      <w:pPr>
        <w:spacing w:line="580" w:lineRule="exact"/>
        <w:ind w:firstLine="640" w:firstLineChars="200"/>
        <w:rPr>
          <w:rFonts w:eastAsia="仿宋_GB2312"/>
          <w:sz w:val="32"/>
          <w:szCs w:val="32"/>
        </w:rPr>
      </w:pPr>
      <w:r>
        <w:rPr>
          <w:rFonts w:hAnsi="仿宋_GB2312" w:eastAsia="仿宋_GB2312"/>
          <w:sz w:val="32"/>
          <w:szCs w:val="32"/>
        </w:rPr>
        <w:t>根据预算绩效管理要求，本单位在年初预算编制阶段，组织对</w:t>
      </w:r>
      <w:r>
        <w:rPr>
          <w:rFonts w:eastAsia="仿宋_GB2312"/>
          <w:sz w:val="32"/>
          <w:szCs w:val="32"/>
        </w:rPr>
        <w:t>3</w:t>
      </w:r>
      <w:r>
        <w:rPr>
          <w:rFonts w:hAnsi="仿宋_GB2312" w:eastAsia="仿宋_GB2312"/>
          <w:sz w:val="32"/>
          <w:szCs w:val="32"/>
        </w:rPr>
        <w:t>项目开展了预算事前绩效评估，对</w:t>
      </w:r>
      <w:r>
        <w:rPr>
          <w:rFonts w:eastAsia="仿宋_GB2312"/>
          <w:sz w:val="32"/>
          <w:szCs w:val="32"/>
        </w:rPr>
        <w:t>3</w:t>
      </w:r>
      <w:r>
        <w:rPr>
          <w:rFonts w:hAnsi="仿宋_GB2312" w:eastAsia="仿宋_GB2312"/>
          <w:sz w:val="32"/>
          <w:szCs w:val="32"/>
        </w:rPr>
        <w:t>个项目编制了绩效目标，预算执行过程中，选取</w:t>
      </w:r>
      <w:r>
        <w:rPr>
          <w:rFonts w:eastAsia="仿宋_GB2312"/>
          <w:sz w:val="32"/>
          <w:szCs w:val="32"/>
        </w:rPr>
        <w:t>0</w:t>
      </w:r>
      <w:r>
        <w:rPr>
          <w:rFonts w:hAnsi="仿宋_GB2312" w:eastAsia="仿宋_GB2312"/>
          <w:sz w:val="32"/>
          <w:szCs w:val="32"/>
        </w:rPr>
        <w:t>个项目开展绩效监控，</w:t>
      </w:r>
      <w:r>
        <w:rPr>
          <w:rFonts w:hAnsi="仿宋_GB2312" w:eastAsia="仿宋_GB2312"/>
          <w:color w:val="000000" w:themeColor="text1"/>
          <w:sz w:val="32"/>
          <w:szCs w:val="32"/>
        </w:rPr>
        <w:t>后根据工作需要，申报增加了</w:t>
      </w:r>
      <w:r>
        <w:rPr>
          <w:rFonts w:hint="eastAsia" w:eastAsia="仿宋_GB2312"/>
          <w:color w:val="000000" w:themeColor="text1"/>
          <w:sz w:val="32"/>
          <w:szCs w:val="32"/>
        </w:rPr>
        <w:t>5</w:t>
      </w:r>
      <w:r>
        <w:rPr>
          <w:rFonts w:hAnsi="仿宋_GB2312" w:eastAsia="仿宋_GB2312"/>
          <w:color w:val="000000" w:themeColor="text1"/>
          <w:sz w:val="32"/>
          <w:szCs w:val="32"/>
        </w:rPr>
        <w:t>个项目，</w:t>
      </w:r>
      <w:r>
        <w:rPr>
          <w:rFonts w:hAnsi="仿宋_GB2312" w:eastAsia="仿宋_GB2312"/>
          <w:sz w:val="32"/>
          <w:szCs w:val="32"/>
        </w:rPr>
        <w:t>年终执行完毕后，对</w:t>
      </w:r>
      <w:r>
        <w:rPr>
          <w:rFonts w:eastAsia="仿宋_GB2312"/>
          <w:sz w:val="32"/>
          <w:szCs w:val="32"/>
        </w:rPr>
        <w:t>5</w:t>
      </w:r>
      <w:r>
        <w:rPr>
          <w:rFonts w:hAnsi="仿宋_GB2312" w:eastAsia="仿宋_GB2312"/>
          <w:sz w:val="32"/>
          <w:szCs w:val="32"/>
        </w:rPr>
        <w:t>个项目开展了绩效目标完成情况自评。</w:t>
      </w:r>
    </w:p>
    <w:p w14:paraId="5134DE29">
      <w:pPr>
        <w:spacing w:line="600" w:lineRule="exact"/>
        <w:ind w:firstLine="640" w:firstLineChars="200"/>
        <w:rPr>
          <w:rFonts w:eastAsia="仿宋_GB2312"/>
          <w:sz w:val="32"/>
          <w:szCs w:val="32"/>
        </w:rPr>
      </w:pPr>
      <w:r>
        <w:rPr>
          <w:rFonts w:hAnsi="仿宋_GB2312" w:eastAsia="仿宋_GB2312"/>
          <w:sz w:val="32"/>
          <w:szCs w:val="32"/>
        </w:rPr>
        <w:t>本部门按要求对</w:t>
      </w:r>
      <w:r>
        <w:rPr>
          <w:rFonts w:eastAsia="仿宋_GB2312"/>
          <w:sz w:val="32"/>
          <w:szCs w:val="32"/>
        </w:rPr>
        <w:t>2020</w:t>
      </w:r>
      <w:r>
        <w:rPr>
          <w:rFonts w:hAnsi="仿宋_GB2312" w:eastAsia="仿宋_GB2312"/>
          <w:sz w:val="32"/>
          <w:szCs w:val="32"/>
        </w:rPr>
        <w:t>年部门整体支出开展绩效自评，本部门按要求对</w:t>
      </w:r>
      <w:r>
        <w:rPr>
          <w:rFonts w:eastAsia="仿宋_GB2312"/>
          <w:sz w:val="32"/>
          <w:szCs w:val="32"/>
        </w:rPr>
        <w:t>2020</w:t>
      </w:r>
      <w:r>
        <w:rPr>
          <w:rFonts w:hAnsi="仿宋_GB2312" w:eastAsia="仿宋_GB2312"/>
          <w:sz w:val="32"/>
          <w:szCs w:val="32"/>
        </w:rPr>
        <w:t>年部门整体支出开展绩效自评，从评价情况来看</w:t>
      </w:r>
      <w:r>
        <w:rPr>
          <w:rFonts w:eastAsia="仿宋_GB2312"/>
          <w:sz w:val="32"/>
          <w:szCs w:val="32"/>
        </w:rPr>
        <w:t>2020</w:t>
      </w:r>
      <w:r>
        <w:rPr>
          <w:rFonts w:hAnsi="仿宋_GB2312" w:eastAsia="仿宋_GB2312"/>
          <w:sz w:val="32"/>
          <w:szCs w:val="32"/>
        </w:rPr>
        <w:t>年白马</w:t>
      </w:r>
      <w:r>
        <w:rPr>
          <w:rFonts w:hint="eastAsia" w:hAnsi="仿宋_GB2312" w:eastAsia="仿宋_GB2312"/>
          <w:sz w:val="32"/>
          <w:szCs w:val="32"/>
        </w:rPr>
        <w:t>工业园区</w:t>
      </w:r>
      <w:r>
        <w:rPr>
          <w:rFonts w:hAnsi="仿宋_GB2312" w:eastAsia="仿宋_GB2312"/>
          <w:sz w:val="32"/>
          <w:szCs w:val="32"/>
        </w:rPr>
        <w:t>管委会将部门整体支出绩效评价作为了财政预算资金使用管理的一项重要工作，切实加强预算收入管理，全面梳理内部管理流程，建立健全了内部管理制度，有效提升了部门整体支出的管理水平，根据部门整体支出绩效评价指标体系，自评综合得分为</w:t>
      </w:r>
      <w:r>
        <w:rPr>
          <w:rFonts w:eastAsia="仿宋_GB2312"/>
          <w:sz w:val="32"/>
          <w:szCs w:val="32"/>
        </w:rPr>
        <w:t>94</w:t>
      </w:r>
      <w:r>
        <w:rPr>
          <w:rFonts w:hAnsi="仿宋_GB2312" w:eastAsia="仿宋_GB2312"/>
          <w:sz w:val="32"/>
          <w:szCs w:val="32"/>
        </w:rPr>
        <w:t>分，评价等级为</w:t>
      </w:r>
      <w:r>
        <w:rPr>
          <w:rFonts w:eastAsia="仿宋_GB2312"/>
          <w:sz w:val="32"/>
          <w:szCs w:val="32"/>
        </w:rPr>
        <w:t>“</w:t>
      </w:r>
      <w:r>
        <w:rPr>
          <w:rFonts w:hAnsi="仿宋_GB2312" w:eastAsia="仿宋_GB2312"/>
          <w:sz w:val="32"/>
          <w:szCs w:val="32"/>
        </w:rPr>
        <w:t>良</w:t>
      </w:r>
      <w:r>
        <w:rPr>
          <w:rFonts w:eastAsia="仿宋_GB2312"/>
          <w:sz w:val="32"/>
          <w:szCs w:val="32"/>
        </w:rPr>
        <w:t>”</w:t>
      </w:r>
      <w:r>
        <w:rPr>
          <w:rFonts w:hAnsi="仿宋_GB2312" w:eastAsia="仿宋_GB2312"/>
          <w:sz w:val="32"/>
          <w:szCs w:val="32"/>
        </w:rPr>
        <w:t>。整体上完成了年初设定的绩效目标，保障了部门的正常运转，促进了园区的发展，充分发挥了财政资金的经济效益和社会效益。</w:t>
      </w:r>
    </w:p>
    <w:p w14:paraId="30A309CC">
      <w:pPr>
        <w:spacing w:line="580" w:lineRule="exact"/>
        <w:ind w:firstLine="640" w:firstLineChars="200"/>
        <w:rPr>
          <w:rFonts w:eastAsia="仿宋_GB2312"/>
          <w:sz w:val="32"/>
          <w:szCs w:val="32"/>
        </w:rPr>
      </w:pPr>
      <w:r>
        <w:rPr>
          <w:rFonts w:eastAsia="楷体_GB2312"/>
          <w:sz w:val="32"/>
          <w:szCs w:val="32"/>
        </w:rPr>
        <w:t>1.</w:t>
      </w:r>
      <w:r>
        <w:rPr>
          <w:rFonts w:hAnsi="楷体_GB2312" w:eastAsia="楷体_GB2312"/>
          <w:sz w:val="32"/>
          <w:szCs w:val="32"/>
        </w:rPr>
        <w:t>项目绩效目标完成情况。</w:t>
      </w:r>
      <w:r>
        <w:rPr>
          <w:rFonts w:eastAsia="楷体_GB2312"/>
          <w:sz w:val="32"/>
          <w:szCs w:val="32"/>
          <w:highlight w:val="yellow"/>
        </w:rPr>
        <w:br w:type="textWrapping"/>
      </w:r>
      <w:r>
        <w:rPr>
          <w:rFonts w:eastAsia="仿宋_GB2312"/>
          <w:sz w:val="32"/>
          <w:szCs w:val="32"/>
        </w:rPr>
        <w:t xml:space="preserve">    </w:t>
      </w:r>
      <w:r>
        <w:rPr>
          <w:rFonts w:hAnsi="仿宋_GB2312" w:eastAsia="仿宋_GB2312"/>
          <w:sz w:val="32"/>
          <w:szCs w:val="32"/>
        </w:rPr>
        <w:t>本单位在</w:t>
      </w:r>
      <w:r>
        <w:rPr>
          <w:rFonts w:eastAsia="仿宋_GB2312"/>
          <w:sz w:val="32"/>
          <w:szCs w:val="32"/>
        </w:rPr>
        <w:t>2020</w:t>
      </w:r>
      <w:r>
        <w:rPr>
          <w:rFonts w:hAnsi="仿宋_GB2312" w:eastAsia="仿宋_GB2312"/>
          <w:sz w:val="32"/>
          <w:szCs w:val="32"/>
        </w:rPr>
        <w:t>年度部门决算中反映</w:t>
      </w:r>
      <w:r>
        <w:rPr>
          <w:rFonts w:eastAsia="仿宋_GB2312"/>
          <w:sz w:val="32"/>
          <w:szCs w:val="32"/>
        </w:rPr>
        <w:t>“</w:t>
      </w:r>
      <w:r>
        <w:rPr>
          <w:rFonts w:hAnsi="仿宋_GB2312" w:eastAsia="仿宋_GB2312"/>
          <w:sz w:val="32"/>
          <w:szCs w:val="32"/>
        </w:rPr>
        <w:t>攀枝花市</w:t>
      </w:r>
      <w:r>
        <w:rPr>
          <w:rFonts w:eastAsia="仿宋_GB2312"/>
          <w:sz w:val="32"/>
          <w:szCs w:val="32"/>
        </w:rPr>
        <w:t>2020</w:t>
      </w:r>
      <w:r>
        <w:rPr>
          <w:rFonts w:hAnsi="仿宋_GB2312" w:eastAsia="仿宋_GB2312"/>
          <w:sz w:val="32"/>
          <w:szCs w:val="32"/>
        </w:rPr>
        <w:t>年第一次项目竞进拉练相关费用</w:t>
      </w:r>
      <w:r>
        <w:rPr>
          <w:rFonts w:eastAsia="仿宋_GB2312"/>
          <w:sz w:val="32"/>
          <w:szCs w:val="32"/>
        </w:rPr>
        <w:t>”“</w:t>
      </w:r>
      <w:r>
        <w:rPr>
          <w:rFonts w:hAnsi="仿宋_GB2312" w:eastAsia="仿宋_GB2312"/>
          <w:sz w:val="32"/>
          <w:szCs w:val="32"/>
        </w:rPr>
        <w:t>园区管理专项</w:t>
      </w:r>
      <w:r>
        <w:rPr>
          <w:rFonts w:eastAsia="仿宋_GB2312"/>
          <w:sz w:val="32"/>
          <w:szCs w:val="32"/>
        </w:rPr>
        <w:t>”“</w:t>
      </w:r>
      <w:r>
        <w:rPr>
          <w:rFonts w:hAnsi="仿宋_GB2312" w:eastAsia="仿宋_GB2312"/>
          <w:sz w:val="32"/>
          <w:szCs w:val="32"/>
        </w:rPr>
        <w:t>物业管理服务费</w:t>
      </w:r>
      <w:r>
        <w:rPr>
          <w:rFonts w:eastAsia="仿宋_GB2312"/>
          <w:sz w:val="32"/>
          <w:szCs w:val="32"/>
        </w:rPr>
        <w:t>”“</w:t>
      </w:r>
      <w:r>
        <w:rPr>
          <w:rFonts w:hAnsi="仿宋_GB2312" w:eastAsia="仿宋_GB2312"/>
          <w:sz w:val="32"/>
          <w:szCs w:val="32"/>
        </w:rPr>
        <w:t>一枝山</w:t>
      </w:r>
      <w:r>
        <w:rPr>
          <w:rFonts w:eastAsia="仿宋_GB2312"/>
          <w:sz w:val="32"/>
          <w:szCs w:val="32"/>
        </w:rPr>
        <w:t>PPP</w:t>
      </w:r>
      <w:r>
        <w:rPr>
          <w:rFonts w:hAnsi="仿宋_GB2312" w:eastAsia="仿宋_GB2312"/>
          <w:sz w:val="32"/>
          <w:szCs w:val="32"/>
        </w:rPr>
        <w:t>项目水土保持补偿资金</w:t>
      </w:r>
      <w:r>
        <w:rPr>
          <w:rFonts w:eastAsia="仿宋_GB2312"/>
          <w:sz w:val="32"/>
          <w:szCs w:val="32"/>
        </w:rPr>
        <w:t>”“</w:t>
      </w:r>
      <w:r>
        <w:rPr>
          <w:rFonts w:hAnsi="仿宋_GB2312" w:eastAsia="仿宋_GB2312"/>
          <w:sz w:val="32"/>
          <w:szCs w:val="32"/>
        </w:rPr>
        <w:t>长坡工业区主干道延线福塑段工程建设资金</w:t>
      </w:r>
      <w:r>
        <w:rPr>
          <w:rFonts w:eastAsia="仿宋_GB2312"/>
          <w:sz w:val="32"/>
          <w:szCs w:val="32"/>
        </w:rPr>
        <w:t>”</w:t>
      </w:r>
      <w:r>
        <w:rPr>
          <w:rFonts w:hAnsi="仿宋_GB2312" w:eastAsia="仿宋_GB2312"/>
          <w:sz w:val="32"/>
          <w:szCs w:val="32"/>
        </w:rPr>
        <w:t>等</w:t>
      </w:r>
      <w:r>
        <w:rPr>
          <w:rFonts w:eastAsia="仿宋_GB2312"/>
          <w:sz w:val="32"/>
          <w:szCs w:val="32"/>
        </w:rPr>
        <w:t>5</w:t>
      </w:r>
      <w:r>
        <w:rPr>
          <w:rFonts w:hAnsi="仿宋_GB2312" w:eastAsia="仿宋_GB2312"/>
          <w:sz w:val="32"/>
          <w:szCs w:val="32"/>
        </w:rPr>
        <w:t>个项目绩效目标实际完成情况。</w:t>
      </w:r>
    </w:p>
    <w:p w14:paraId="717AF88C">
      <w:pPr>
        <w:tabs>
          <w:tab w:val="left" w:pos="312"/>
        </w:tabs>
        <w:spacing w:line="600" w:lineRule="exact"/>
        <w:ind w:firstLine="640" w:firstLineChars="200"/>
        <w:rPr>
          <w:rFonts w:eastAsia="仿宋_GB2312"/>
          <w:sz w:val="32"/>
          <w:szCs w:val="32"/>
        </w:rPr>
      </w:pPr>
      <w:r>
        <w:rPr>
          <w:rFonts w:hAnsi="仿宋_GB2312" w:eastAsia="仿宋_GB2312"/>
          <w:sz w:val="32"/>
          <w:szCs w:val="32"/>
        </w:rPr>
        <w:t>（</w:t>
      </w:r>
      <w:r>
        <w:rPr>
          <w:rFonts w:eastAsia="仿宋_GB2312"/>
          <w:sz w:val="32"/>
          <w:szCs w:val="32"/>
        </w:rPr>
        <w:t>1</w:t>
      </w:r>
      <w:r>
        <w:rPr>
          <w:rFonts w:hAnsi="仿宋_GB2312" w:eastAsia="仿宋_GB2312"/>
          <w:sz w:val="32"/>
          <w:szCs w:val="32"/>
        </w:rPr>
        <w:t>）</w:t>
      </w:r>
      <w:r>
        <w:rPr>
          <w:rFonts w:eastAsia="仿宋_GB2312"/>
          <w:sz w:val="32"/>
          <w:szCs w:val="32"/>
        </w:rPr>
        <w:t>“</w:t>
      </w:r>
      <w:r>
        <w:rPr>
          <w:rFonts w:hAnsi="仿宋_GB2312" w:eastAsia="仿宋_GB2312"/>
          <w:sz w:val="32"/>
          <w:szCs w:val="32"/>
        </w:rPr>
        <w:t>攀枝花市</w:t>
      </w:r>
      <w:r>
        <w:rPr>
          <w:rFonts w:eastAsia="仿宋_GB2312"/>
          <w:sz w:val="32"/>
          <w:szCs w:val="32"/>
        </w:rPr>
        <w:t>2020</w:t>
      </w:r>
      <w:r>
        <w:rPr>
          <w:rFonts w:hAnsi="仿宋_GB2312" w:eastAsia="仿宋_GB2312"/>
          <w:sz w:val="32"/>
          <w:szCs w:val="32"/>
        </w:rPr>
        <w:t>年第一次项目竞进拉练相关费用</w:t>
      </w:r>
      <w:r>
        <w:rPr>
          <w:rFonts w:eastAsia="仿宋_GB2312"/>
          <w:sz w:val="32"/>
          <w:szCs w:val="32"/>
        </w:rPr>
        <w:t>”</w:t>
      </w:r>
      <w:r>
        <w:rPr>
          <w:rFonts w:hAnsi="仿宋_GB2312" w:eastAsia="仿宋_GB2312"/>
          <w:sz w:val="32"/>
          <w:szCs w:val="32"/>
        </w:rPr>
        <w:t>绩效目标完成情况综述。该项目全年预算数</w:t>
      </w:r>
      <w:r>
        <w:rPr>
          <w:rFonts w:eastAsia="仿宋_GB2312"/>
          <w:sz w:val="32"/>
          <w:szCs w:val="32"/>
        </w:rPr>
        <w:t>8.42</w:t>
      </w:r>
      <w:r>
        <w:rPr>
          <w:rFonts w:hAnsi="仿宋_GB2312" w:eastAsia="仿宋_GB2312"/>
          <w:sz w:val="32"/>
          <w:szCs w:val="32"/>
        </w:rPr>
        <w:t>万元，执行数为</w:t>
      </w:r>
      <w:r>
        <w:rPr>
          <w:rFonts w:eastAsia="仿宋_GB2312"/>
          <w:sz w:val="32"/>
          <w:szCs w:val="32"/>
        </w:rPr>
        <w:t>8.42</w:t>
      </w:r>
      <w:r>
        <w:rPr>
          <w:rFonts w:hAnsi="仿宋_GB2312" w:eastAsia="仿宋_GB2312"/>
          <w:sz w:val="32"/>
          <w:szCs w:val="32"/>
        </w:rPr>
        <w:t>万元，完成预算的</w:t>
      </w:r>
      <w:r>
        <w:rPr>
          <w:rFonts w:eastAsia="仿宋_GB2312"/>
          <w:sz w:val="32"/>
          <w:szCs w:val="32"/>
        </w:rPr>
        <w:t>100%</w:t>
      </w:r>
      <w:r>
        <w:rPr>
          <w:rFonts w:hAnsi="仿宋_GB2312" w:eastAsia="仿宋_GB2312"/>
          <w:sz w:val="32"/>
          <w:szCs w:val="32"/>
        </w:rPr>
        <w:t>。通过项目实施，提升园区形象，提升园区形象，吸引更多高精企业入驻园区，增加财政收入，入驻更多企业，提供更多就业岗位，减轻当地就业压力，有利社会稳定，促进园区企业生态环保发展和可持续发展。发现的主要问题：偶尔道路两侧沟渠有垃圾，清理不及时。下一步改进措施：加强对园区环境的监督与管理，确保无卫生死角。</w:t>
      </w:r>
    </w:p>
    <w:p w14:paraId="205DD4B6">
      <w:pPr>
        <w:tabs>
          <w:tab w:val="left" w:pos="312"/>
        </w:tabs>
        <w:spacing w:line="600" w:lineRule="exact"/>
        <w:ind w:firstLine="640" w:firstLineChars="200"/>
        <w:rPr>
          <w:rFonts w:eastAsia="仿宋_GB2312"/>
          <w:sz w:val="32"/>
          <w:szCs w:val="32"/>
        </w:rPr>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4542809C">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3ECF07A6">
            <w:pPr>
              <w:widowControl/>
              <w:jc w:val="center"/>
              <w:textAlignment w:val="center"/>
              <w:rPr>
                <w:color w:val="000000"/>
                <w:sz w:val="36"/>
                <w:szCs w:val="36"/>
              </w:rPr>
            </w:pPr>
            <w:r>
              <w:rPr>
                <w:rFonts w:hAnsi="宋体"/>
                <w:b/>
                <w:bCs/>
                <w:color w:val="000000"/>
                <w:kern w:val="0"/>
                <w:sz w:val="36"/>
                <w:szCs w:val="36"/>
              </w:rPr>
              <w:t>项目绩效目标完成情况表</w:t>
            </w:r>
            <w:r>
              <w:rPr>
                <w:b/>
                <w:bCs/>
                <w:color w:val="000000"/>
                <w:kern w:val="0"/>
                <w:sz w:val="36"/>
                <w:szCs w:val="36"/>
              </w:rPr>
              <w:br w:type="textWrapping"/>
            </w:r>
            <w:r>
              <w:rPr>
                <w:color w:val="000000"/>
                <w:kern w:val="0"/>
                <w:sz w:val="36"/>
                <w:szCs w:val="36"/>
              </w:rPr>
              <w:t xml:space="preserve">(2020 </w:t>
            </w:r>
            <w:r>
              <w:rPr>
                <w:rFonts w:hAnsi="宋体"/>
                <w:color w:val="000000"/>
                <w:kern w:val="0"/>
                <w:sz w:val="36"/>
                <w:szCs w:val="36"/>
              </w:rPr>
              <w:t>年度</w:t>
            </w:r>
            <w:r>
              <w:rPr>
                <w:color w:val="000000"/>
                <w:kern w:val="0"/>
                <w:sz w:val="36"/>
                <w:szCs w:val="36"/>
              </w:rPr>
              <w:t>)</w:t>
            </w:r>
          </w:p>
        </w:tc>
      </w:tr>
      <w:tr w14:paraId="5B18BD82">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6ADF6F">
            <w:pPr>
              <w:widowControl/>
              <w:jc w:val="center"/>
              <w:textAlignment w:val="center"/>
              <w:rPr>
                <w:color w:val="000000"/>
                <w:sz w:val="24"/>
              </w:rPr>
            </w:pPr>
            <w:r>
              <w:rPr>
                <w:rFonts w:hAnsi="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F13ECF">
            <w:pPr>
              <w:widowControl/>
              <w:jc w:val="center"/>
              <w:textAlignment w:val="center"/>
              <w:rPr>
                <w:color w:val="000000"/>
                <w:sz w:val="24"/>
              </w:rPr>
            </w:pPr>
            <w:r>
              <w:rPr>
                <w:color w:val="000000"/>
                <w:sz w:val="24"/>
              </w:rPr>
              <w:t>攀枝花市2020年第一次项目竞进拉练相关费用</w:t>
            </w:r>
          </w:p>
        </w:tc>
      </w:tr>
      <w:tr w14:paraId="707DF3AC">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83B370">
            <w:pPr>
              <w:widowControl/>
              <w:jc w:val="center"/>
              <w:textAlignment w:val="center"/>
              <w:rPr>
                <w:color w:val="000000"/>
                <w:sz w:val="24"/>
              </w:rPr>
            </w:pPr>
            <w:r>
              <w:rPr>
                <w:rFonts w:hAnsi="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E79BDB">
            <w:pPr>
              <w:widowControl/>
              <w:jc w:val="center"/>
              <w:textAlignment w:val="center"/>
              <w:rPr>
                <w:color w:val="000000"/>
                <w:sz w:val="24"/>
              </w:rPr>
            </w:pPr>
            <w:r>
              <w:rPr>
                <w:color w:val="000000"/>
                <w:sz w:val="24"/>
              </w:rPr>
              <w:t>白马工业园区管理委员会</w:t>
            </w:r>
          </w:p>
        </w:tc>
      </w:tr>
      <w:tr w14:paraId="6A4958B1">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E8BD16">
            <w:pPr>
              <w:widowControl/>
              <w:jc w:val="center"/>
              <w:textAlignment w:val="center"/>
              <w:rPr>
                <w:color w:val="000000"/>
                <w:sz w:val="24"/>
              </w:rPr>
            </w:pPr>
            <w:r>
              <w:rPr>
                <w:rFonts w:hAnsi="宋体"/>
                <w:color w:val="000000"/>
                <w:kern w:val="0"/>
                <w:sz w:val="24"/>
              </w:rPr>
              <w:t>预算执行情况</w:t>
            </w:r>
            <w:r>
              <w:rPr>
                <w:color w:val="000000"/>
                <w:kern w:val="0"/>
                <w:sz w:val="24"/>
              </w:rPr>
              <w:t>(</w:t>
            </w:r>
            <w:r>
              <w:rPr>
                <w:rFonts w:hAnsi="宋体"/>
                <w:color w:val="000000"/>
                <w:kern w:val="0"/>
                <w:sz w:val="24"/>
              </w:rPr>
              <w:t>万元</w:t>
            </w:r>
            <w:r>
              <w:rPr>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F25346">
            <w:pPr>
              <w:widowControl/>
              <w:jc w:val="center"/>
              <w:textAlignment w:val="center"/>
              <w:rPr>
                <w:color w:val="000000"/>
                <w:sz w:val="24"/>
              </w:rPr>
            </w:pPr>
            <w:r>
              <w:rPr>
                <w:rFonts w:hAnsi="宋体"/>
                <w:color w:val="000000"/>
                <w:kern w:val="0"/>
                <w:sz w:val="24"/>
              </w:rPr>
              <w:t>预算数</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C4D452">
            <w:pPr>
              <w:widowControl/>
              <w:jc w:val="center"/>
              <w:textAlignment w:val="center"/>
              <w:rPr>
                <w:color w:val="000000"/>
                <w:sz w:val="24"/>
              </w:rPr>
            </w:pPr>
            <w:r>
              <w:rPr>
                <w:color w:val="000000"/>
                <w:sz w:val="24"/>
              </w:rPr>
              <w:t>8.42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E6D396">
            <w:pPr>
              <w:widowControl/>
              <w:jc w:val="center"/>
              <w:textAlignment w:val="center"/>
              <w:rPr>
                <w:color w:val="000000"/>
                <w:sz w:val="24"/>
              </w:rPr>
            </w:pPr>
            <w:r>
              <w:rPr>
                <w:rFonts w:hAnsi="宋体"/>
                <w:color w:val="000000"/>
                <w:kern w:val="0"/>
                <w:sz w:val="24"/>
              </w:rPr>
              <w:t>执行数</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3594F7">
            <w:pPr>
              <w:widowControl/>
              <w:jc w:val="center"/>
              <w:textAlignment w:val="center"/>
              <w:rPr>
                <w:color w:val="000000"/>
                <w:sz w:val="24"/>
              </w:rPr>
            </w:pPr>
            <w:r>
              <w:rPr>
                <w:color w:val="000000"/>
                <w:sz w:val="24"/>
              </w:rPr>
              <w:t>8.42</w:t>
            </w:r>
          </w:p>
        </w:tc>
      </w:tr>
      <w:tr w14:paraId="3799B8DE">
        <w:tblPrEx>
          <w:tblCellMar>
            <w:top w:w="0" w:type="dxa"/>
            <w:left w:w="0" w:type="dxa"/>
            <w:bottom w:w="0" w:type="dxa"/>
            <w:right w:w="0" w:type="dxa"/>
          </w:tblCellMar>
        </w:tblPrEx>
        <w:trPr>
          <w:trHeight w:val="125"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C4786B">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D6B7BC">
            <w:pPr>
              <w:widowControl/>
              <w:jc w:val="center"/>
              <w:textAlignment w:val="center"/>
              <w:rPr>
                <w:color w:val="000000"/>
                <w:sz w:val="24"/>
              </w:rPr>
            </w:pPr>
            <w:r>
              <w:rPr>
                <w:rFonts w:hAnsi="宋体"/>
                <w:color w:val="000000"/>
                <w:kern w:val="0"/>
                <w:sz w:val="24"/>
              </w:rPr>
              <w:t>其中</w:t>
            </w:r>
            <w:r>
              <w:rPr>
                <w:color w:val="000000"/>
                <w:kern w:val="0"/>
                <w:sz w:val="24"/>
              </w:rPr>
              <w:t>-</w:t>
            </w:r>
            <w:r>
              <w:rPr>
                <w:rFonts w:hAnsi="宋体"/>
                <w:color w:val="000000"/>
                <w:kern w:val="0"/>
                <w:sz w:val="24"/>
              </w:rPr>
              <w:t>财政拨款</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897A39">
            <w:pPr>
              <w:widowControl/>
              <w:jc w:val="center"/>
              <w:textAlignment w:val="center"/>
              <w:rPr>
                <w:color w:val="000000"/>
                <w:sz w:val="24"/>
              </w:rPr>
            </w:pPr>
            <w:r>
              <w:rPr>
                <w:color w:val="000000"/>
                <w:sz w:val="24"/>
              </w:rPr>
              <w:t>8.42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3B654F">
            <w:pPr>
              <w:widowControl/>
              <w:jc w:val="center"/>
              <w:textAlignment w:val="center"/>
              <w:rPr>
                <w:color w:val="000000"/>
                <w:sz w:val="24"/>
              </w:rPr>
            </w:pPr>
            <w:r>
              <w:rPr>
                <w:rFonts w:hAnsi="宋体"/>
                <w:color w:val="000000"/>
                <w:kern w:val="0"/>
                <w:sz w:val="24"/>
              </w:rPr>
              <w:t>其中</w:t>
            </w:r>
            <w:r>
              <w:rPr>
                <w:color w:val="000000"/>
                <w:kern w:val="0"/>
                <w:sz w:val="24"/>
              </w:rPr>
              <w:t>-</w:t>
            </w:r>
            <w:r>
              <w:rPr>
                <w:rFonts w:hAnsi="宋体"/>
                <w:color w:val="000000"/>
                <w:kern w:val="0"/>
                <w:sz w:val="24"/>
              </w:rPr>
              <w:t>财政拨款</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DB7325">
            <w:pPr>
              <w:widowControl/>
              <w:jc w:val="center"/>
              <w:textAlignment w:val="center"/>
              <w:rPr>
                <w:color w:val="000000"/>
                <w:sz w:val="24"/>
              </w:rPr>
            </w:pPr>
            <w:r>
              <w:rPr>
                <w:color w:val="000000"/>
                <w:sz w:val="24"/>
              </w:rPr>
              <w:t>8.42</w:t>
            </w:r>
          </w:p>
        </w:tc>
      </w:tr>
      <w:tr w14:paraId="1DF5310F">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81A22D">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6F953D">
            <w:pPr>
              <w:widowControl/>
              <w:jc w:val="center"/>
              <w:textAlignment w:val="center"/>
              <w:rPr>
                <w:color w:val="000000"/>
                <w:sz w:val="24"/>
              </w:rPr>
            </w:pPr>
            <w:r>
              <w:rPr>
                <w:rFonts w:hAnsi="宋体"/>
                <w:color w:val="000000"/>
                <w:kern w:val="0"/>
                <w:sz w:val="24"/>
              </w:rPr>
              <w:t>其它资金</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9CDE5A">
            <w:pPr>
              <w:widowControl/>
              <w:jc w:val="center"/>
              <w:textAlignment w:val="center"/>
              <w:rPr>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2CBFC3">
            <w:pPr>
              <w:widowControl/>
              <w:jc w:val="center"/>
              <w:textAlignment w:val="center"/>
              <w:rPr>
                <w:color w:val="000000"/>
                <w:sz w:val="24"/>
              </w:rPr>
            </w:pPr>
            <w:r>
              <w:rPr>
                <w:rFonts w:hAnsi="宋体"/>
                <w:color w:val="000000"/>
                <w:kern w:val="0"/>
                <w:sz w:val="24"/>
              </w:rPr>
              <w:t>其它资金</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F8C1AA">
            <w:pPr>
              <w:jc w:val="center"/>
              <w:rPr>
                <w:color w:val="000000"/>
                <w:sz w:val="24"/>
              </w:rPr>
            </w:pPr>
          </w:p>
        </w:tc>
      </w:tr>
      <w:tr w14:paraId="5808AB89">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F7D75E">
            <w:pPr>
              <w:widowControl/>
              <w:jc w:val="center"/>
              <w:textAlignment w:val="center"/>
              <w:rPr>
                <w:color w:val="000000"/>
                <w:sz w:val="24"/>
              </w:rPr>
            </w:pPr>
            <w:r>
              <w:rPr>
                <w:rFonts w:hAnsi="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1790D7">
            <w:pPr>
              <w:widowControl/>
              <w:jc w:val="center"/>
              <w:textAlignment w:val="center"/>
              <w:rPr>
                <w:color w:val="000000"/>
                <w:sz w:val="24"/>
              </w:rPr>
            </w:pPr>
            <w:r>
              <w:rPr>
                <w:rFonts w:hAnsi="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FB358B">
            <w:pPr>
              <w:widowControl/>
              <w:jc w:val="center"/>
              <w:textAlignment w:val="center"/>
              <w:rPr>
                <w:color w:val="000000"/>
                <w:sz w:val="24"/>
              </w:rPr>
            </w:pPr>
            <w:r>
              <w:rPr>
                <w:rFonts w:hAnsi="宋体"/>
                <w:color w:val="000000"/>
                <w:kern w:val="0"/>
                <w:sz w:val="24"/>
              </w:rPr>
              <w:t>实际完成目标</w:t>
            </w:r>
          </w:p>
        </w:tc>
      </w:tr>
      <w:tr w14:paraId="4D4D2689">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5FE611">
            <w:pPr>
              <w:jc w:val="center"/>
              <w:rPr>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CE7AA0">
            <w:pPr>
              <w:widowControl/>
              <w:jc w:val="center"/>
              <w:textAlignment w:val="center"/>
              <w:rPr>
                <w:color w:val="000000"/>
                <w:sz w:val="24"/>
              </w:rPr>
            </w:pPr>
            <w:r>
              <w:rPr>
                <w:color w:val="000000"/>
                <w:sz w:val="24"/>
              </w:rPr>
              <w:t>2020年第一次项目竞进拉练活动广告、展板制作，环境卫生整治工作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92AA53">
            <w:pPr>
              <w:widowControl/>
              <w:jc w:val="center"/>
              <w:textAlignment w:val="center"/>
              <w:rPr>
                <w:color w:val="000000"/>
                <w:sz w:val="24"/>
              </w:rPr>
            </w:pPr>
            <w:r>
              <w:rPr>
                <w:color w:val="000000"/>
                <w:sz w:val="24"/>
              </w:rPr>
              <w:t>2020年第一次项目竞进拉练活动广告、展板制作，环境卫生整治工作</w:t>
            </w:r>
          </w:p>
        </w:tc>
      </w:tr>
      <w:tr w14:paraId="4906A767">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5BB01517">
            <w:pPr>
              <w:widowControl/>
              <w:jc w:val="center"/>
              <w:textAlignment w:val="center"/>
              <w:rPr>
                <w:color w:val="000000"/>
                <w:sz w:val="24"/>
              </w:rPr>
            </w:pPr>
            <w:r>
              <w:rPr>
                <w:rFonts w:hAnsi="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BEA31D">
            <w:pPr>
              <w:widowControl/>
              <w:jc w:val="center"/>
              <w:textAlignment w:val="center"/>
              <w:rPr>
                <w:color w:val="000000"/>
                <w:sz w:val="24"/>
              </w:rPr>
            </w:pPr>
            <w:r>
              <w:rPr>
                <w:rFonts w:hAnsi="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1EC580">
            <w:pPr>
              <w:widowControl/>
              <w:jc w:val="center"/>
              <w:textAlignment w:val="center"/>
              <w:rPr>
                <w:color w:val="000000"/>
                <w:sz w:val="24"/>
              </w:rPr>
            </w:pPr>
            <w:r>
              <w:rPr>
                <w:rFonts w:hAnsi="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02C600">
            <w:pPr>
              <w:widowControl/>
              <w:jc w:val="center"/>
              <w:textAlignment w:val="center"/>
              <w:rPr>
                <w:color w:val="000000"/>
                <w:sz w:val="24"/>
              </w:rPr>
            </w:pPr>
            <w:r>
              <w:rPr>
                <w:rFonts w:hAnsi="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FC8C45">
            <w:pPr>
              <w:widowControl/>
              <w:jc w:val="center"/>
              <w:textAlignment w:val="center"/>
              <w:rPr>
                <w:color w:val="000000"/>
                <w:sz w:val="24"/>
              </w:rPr>
            </w:pPr>
            <w:r>
              <w:rPr>
                <w:rFonts w:hAnsi="宋体"/>
                <w:color w:val="000000"/>
                <w:kern w:val="0"/>
                <w:sz w:val="24"/>
              </w:rPr>
              <w:t>预期指标值</w:t>
            </w:r>
            <w:r>
              <w:rPr>
                <w:color w:val="000000"/>
                <w:kern w:val="0"/>
                <w:sz w:val="24"/>
              </w:rPr>
              <w:t>(</w:t>
            </w:r>
            <w:r>
              <w:rPr>
                <w:rFonts w:hAnsi="宋体"/>
                <w:color w:val="000000"/>
                <w:kern w:val="0"/>
                <w:sz w:val="24"/>
              </w:rPr>
              <w:t>包含数字及文字描述</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D2023B">
            <w:pPr>
              <w:widowControl/>
              <w:jc w:val="center"/>
              <w:textAlignment w:val="center"/>
              <w:rPr>
                <w:color w:val="000000"/>
                <w:sz w:val="24"/>
              </w:rPr>
            </w:pPr>
            <w:r>
              <w:rPr>
                <w:rFonts w:hAnsi="宋体"/>
                <w:color w:val="000000"/>
                <w:kern w:val="0"/>
                <w:sz w:val="24"/>
              </w:rPr>
              <w:t>实际完成指标值</w:t>
            </w:r>
            <w:r>
              <w:rPr>
                <w:color w:val="000000"/>
                <w:kern w:val="0"/>
                <w:sz w:val="24"/>
              </w:rPr>
              <w:t>(</w:t>
            </w:r>
            <w:r>
              <w:rPr>
                <w:rFonts w:hAnsi="宋体"/>
                <w:color w:val="000000"/>
                <w:kern w:val="0"/>
                <w:sz w:val="24"/>
              </w:rPr>
              <w:t>包含数字及文字描述</w:t>
            </w:r>
            <w:r>
              <w:rPr>
                <w:color w:val="000000"/>
                <w:kern w:val="0"/>
                <w:sz w:val="24"/>
              </w:rPr>
              <w:t>)</w:t>
            </w:r>
          </w:p>
        </w:tc>
      </w:tr>
      <w:tr w14:paraId="109DA5A1">
        <w:tblPrEx>
          <w:tblCellMar>
            <w:top w:w="0" w:type="dxa"/>
            <w:left w:w="0" w:type="dxa"/>
            <w:bottom w:w="0" w:type="dxa"/>
            <w:right w:w="0" w:type="dxa"/>
          </w:tblCellMar>
        </w:tblPrEx>
        <w:trPr>
          <w:trHeight w:val="1000"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388B959">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D9FE60">
            <w:pPr>
              <w:widowControl/>
              <w:jc w:val="center"/>
              <w:textAlignment w:val="center"/>
              <w:rPr>
                <w:color w:val="000000"/>
                <w:sz w:val="24"/>
              </w:rPr>
            </w:pPr>
            <w:r>
              <w:rPr>
                <w:rFonts w:hAnsi="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F15436">
            <w:pPr>
              <w:widowControl/>
              <w:jc w:val="center"/>
              <w:textAlignment w:val="center"/>
              <w:rPr>
                <w:rFonts w:eastAsiaTheme="minorEastAsia"/>
                <w:color w:val="000000"/>
                <w:szCs w:val="21"/>
              </w:rPr>
            </w:pPr>
            <w:r>
              <w:rPr>
                <w:rFonts w:hAnsiTheme="minorEastAsia" w:eastAsiaTheme="minorEastAsia"/>
                <w:color w:val="000000"/>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98A7F8">
            <w:pPr>
              <w:jc w:val="center"/>
              <w:rPr>
                <w:rFonts w:eastAsiaTheme="minorEastAsia"/>
                <w:sz w:val="18"/>
                <w:szCs w:val="18"/>
              </w:rPr>
            </w:pPr>
            <w:r>
              <w:rPr>
                <w:rFonts w:hAnsiTheme="minorEastAsia" w:eastAsiaTheme="minorEastAsia"/>
                <w:sz w:val="18"/>
                <w:szCs w:val="18"/>
              </w:rPr>
              <w:t>完成对项目拉练活动广告、展板制作，环境卫生整治等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85856F">
            <w:pPr>
              <w:widowControl/>
              <w:jc w:val="center"/>
              <w:textAlignment w:val="center"/>
              <w:rPr>
                <w:rFonts w:eastAsiaTheme="minorEastAsia"/>
                <w:color w:val="000000"/>
                <w:sz w:val="18"/>
                <w:szCs w:val="18"/>
              </w:rPr>
            </w:pPr>
            <w:r>
              <w:rPr>
                <w:rFonts w:eastAsiaTheme="minorEastAsia"/>
                <w:color w:val="000000"/>
                <w:sz w:val="18"/>
                <w:szCs w:val="18"/>
              </w:rPr>
              <w:t>8.42</w:t>
            </w:r>
            <w:r>
              <w:rPr>
                <w:rFonts w:hAnsiTheme="minorEastAsia" w:eastAsiaTheme="minorEastAsia"/>
                <w:color w:val="000000"/>
                <w:sz w:val="18"/>
                <w:szCs w:val="18"/>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D9ED61">
            <w:pPr>
              <w:widowControl/>
              <w:jc w:val="center"/>
              <w:textAlignment w:val="center"/>
              <w:rPr>
                <w:rFonts w:eastAsiaTheme="minorEastAsia"/>
                <w:color w:val="000000"/>
                <w:sz w:val="18"/>
                <w:szCs w:val="18"/>
              </w:rPr>
            </w:pPr>
            <w:r>
              <w:rPr>
                <w:rFonts w:eastAsiaTheme="minorEastAsia"/>
                <w:color w:val="000000"/>
                <w:sz w:val="18"/>
                <w:szCs w:val="18"/>
              </w:rPr>
              <w:t>8.42</w:t>
            </w:r>
            <w:r>
              <w:rPr>
                <w:rFonts w:hAnsiTheme="minorEastAsia" w:eastAsiaTheme="minorEastAsia"/>
                <w:color w:val="000000"/>
                <w:sz w:val="18"/>
                <w:szCs w:val="18"/>
              </w:rPr>
              <w:t>万元</w:t>
            </w:r>
          </w:p>
        </w:tc>
      </w:tr>
      <w:tr w14:paraId="14438BF8">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3526A1D">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2F7895">
            <w:pPr>
              <w:widowControl/>
              <w:jc w:val="center"/>
              <w:textAlignment w:val="center"/>
              <w:rPr>
                <w:color w:val="000000"/>
                <w:sz w:val="24"/>
              </w:rPr>
            </w:pPr>
            <w:r>
              <w:rPr>
                <w:rFonts w:hAnsi="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0E6290">
            <w:pPr>
              <w:widowControl/>
              <w:jc w:val="center"/>
              <w:textAlignment w:val="center"/>
              <w:rPr>
                <w:rFonts w:eastAsiaTheme="minorEastAsia"/>
                <w:color w:val="000000"/>
                <w:szCs w:val="21"/>
              </w:rPr>
            </w:pPr>
            <w:r>
              <w:rPr>
                <w:rFonts w:hAnsiTheme="minorEastAsia" w:eastAsiaTheme="minorEastAsia"/>
                <w:color w:val="000000"/>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093BC0">
            <w:pPr>
              <w:jc w:val="center"/>
              <w:rPr>
                <w:rFonts w:eastAsiaTheme="minorEastAsia"/>
                <w:sz w:val="18"/>
                <w:szCs w:val="18"/>
              </w:rPr>
            </w:pPr>
            <w:r>
              <w:rPr>
                <w:rFonts w:hAnsiTheme="minorEastAsia" w:eastAsiaTheme="minorEastAsia"/>
                <w:sz w:val="18"/>
                <w:szCs w:val="18"/>
              </w:rPr>
              <w:t>提升园区形象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A7DD41">
            <w:pPr>
              <w:jc w:val="center"/>
              <w:rPr>
                <w:rFonts w:eastAsiaTheme="minorEastAsia"/>
                <w:sz w:val="18"/>
                <w:szCs w:val="18"/>
              </w:rPr>
            </w:pPr>
            <w:r>
              <w:rPr>
                <w:rFonts w:hAnsiTheme="minorEastAsia" w:eastAsiaTheme="minorEastAsia"/>
                <w:sz w:val="18"/>
                <w:szCs w:val="18"/>
              </w:rPr>
              <w:t>基础设施功能完善，提升园区形象，建成安全环保干净整洁的园区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62D3E8">
            <w:pPr>
              <w:widowControl/>
              <w:jc w:val="center"/>
              <w:textAlignment w:val="center"/>
              <w:rPr>
                <w:rFonts w:eastAsiaTheme="minorEastAsia"/>
                <w:color w:val="000000"/>
              </w:rPr>
            </w:pPr>
            <w:r>
              <w:rPr>
                <w:rFonts w:hAnsiTheme="minorEastAsia" w:eastAsiaTheme="minorEastAsia"/>
                <w:sz w:val="18"/>
                <w:szCs w:val="18"/>
              </w:rPr>
              <w:t>基础设施功能完善，提升园区形象，建成安全环保干净整洁的园区</w:t>
            </w:r>
          </w:p>
        </w:tc>
      </w:tr>
      <w:tr w14:paraId="71719F51">
        <w:tblPrEx>
          <w:tblCellMar>
            <w:top w:w="0" w:type="dxa"/>
            <w:left w:w="0" w:type="dxa"/>
            <w:bottom w:w="0" w:type="dxa"/>
            <w:right w:w="0" w:type="dxa"/>
          </w:tblCellMar>
        </w:tblPrEx>
        <w:trPr>
          <w:trHeight w:val="921"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2BACC4D">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3E0DD4">
            <w:pPr>
              <w:widowControl/>
              <w:jc w:val="center"/>
              <w:textAlignment w:val="center"/>
              <w:rPr>
                <w:color w:val="000000"/>
                <w:sz w:val="24"/>
              </w:rPr>
            </w:pPr>
            <w:r>
              <w:rPr>
                <w:rFonts w:hAnsi="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DE5897">
            <w:pPr>
              <w:widowControl/>
              <w:jc w:val="center"/>
              <w:textAlignment w:val="center"/>
              <w:rPr>
                <w:rFonts w:eastAsiaTheme="minorEastAsia"/>
                <w:color w:val="000000"/>
                <w:szCs w:val="21"/>
              </w:rPr>
            </w:pPr>
            <w:r>
              <w:rPr>
                <w:rFonts w:hAnsiTheme="minorEastAsia" w:eastAsiaTheme="minorEastAsia"/>
                <w:color w:val="000000"/>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403C9C">
            <w:pPr>
              <w:widowControl/>
              <w:jc w:val="center"/>
              <w:textAlignment w:val="center"/>
              <w:rPr>
                <w:rFonts w:eastAsiaTheme="minorEastAsia"/>
                <w:color w:val="000000"/>
              </w:rPr>
            </w:pPr>
            <w:r>
              <w:rPr>
                <w:rFonts w:hAnsiTheme="minorEastAsia" w:eastAsiaTheme="minorEastAsia"/>
                <w:color w:val="000000"/>
              </w:rPr>
              <w:t>完成时限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E75A7D">
            <w:pPr>
              <w:widowControl/>
              <w:jc w:val="center"/>
              <w:textAlignment w:val="center"/>
              <w:rPr>
                <w:rFonts w:eastAsiaTheme="minorEastAsia"/>
                <w:color w:val="000000"/>
              </w:rPr>
            </w:pPr>
            <w:r>
              <w:rPr>
                <w:rFonts w:eastAsiaTheme="minorEastAsia"/>
                <w:color w:val="000000"/>
              </w:rPr>
              <w:t>2020</w:t>
            </w:r>
            <w:r>
              <w:rPr>
                <w:rFonts w:hAnsiTheme="minorEastAsia" w:eastAsiaTheme="minorEastAsia"/>
                <w:color w:val="000000"/>
              </w:rPr>
              <w:t>年</w:t>
            </w:r>
            <w:r>
              <w:rPr>
                <w:rFonts w:eastAsiaTheme="minorEastAsia"/>
                <w:color w:val="000000"/>
              </w:rPr>
              <w:t>1-12</w:t>
            </w:r>
            <w:r>
              <w:rPr>
                <w:rFonts w:hAnsiTheme="minorEastAsia" w:eastAsiaTheme="minorEastAsia"/>
                <w:color w:val="000000"/>
              </w:rPr>
              <w:t>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4B0E67">
            <w:pPr>
              <w:widowControl/>
              <w:jc w:val="center"/>
              <w:textAlignment w:val="center"/>
              <w:rPr>
                <w:rFonts w:eastAsiaTheme="minorEastAsia"/>
                <w:color w:val="000000"/>
              </w:rPr>
            </w:pPr>
            <w:r>
              <w:rPr>
                <w:rFonts w:eastAsiaTheme="minorEastAsia"/>
                <w:color w:val="000000"/>
              </w:rPr>
              <w:t>2020</w:t>
            </w:r>
            <w:r>
              <w:rPr>
                <w:rFonts w:hAnsiTheme="minorEastAsia" w:eastAsiaTheme="minorEastAsia"/>
                <w:color w:val="000000"/>
              </w:rPr>
              <w:t>年度</w:t>
            </w:r>
          </w:p>
        </w:tc>
      </w:tr>
      <w:tr w14:paraId="0822EBB6">
        <w:tblPrEx>
          <w:tblCellMar>
            <w:top w:w="0" w:type="dxa"/>
            <w:left w:w="0" w:type="dxa"/>
            <w:bottom w:w="0" w:type="dxa"/>
            <w:right w:w="0" w:type="dxa"/>
          </w:tblCellMar>
        </w:tblPrEx>
        <w:trPr>
          <w:trHeight w:val="83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8A0BF25">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FB0114">
            <w:pPr>
              <w:widowControl/>
              <w:jc w:val="center"/>
              <w:textAlignment w:val="center"/>
              <w:rPr>
                <w:color w:val="000000"/>
                <w:kern w:val="0"/>
                <w:sz w:val="24"/>
              </w:rPr>
            </w:pPr>
            <w:r>
              <w:rPr>
                <w:rFonts w:hAnsi="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EF4A71">
            <w:pPr>
              <w:widowControl/>
              <w:jc w:val="center"/>
              <w:textAlignment w:val="center"/>
              <w:rPr>
                <w:rFonts w:eastAsiaTheme="minorEastAsia"/>
                <w:color w:val="000000"/>
                <w:szCs w:val="21"/>
              </w:rPr>
            </w:pPr>
            <w:r>
              <w:rPr>
                <w:rFonts w:hAnsiTheme="minorEastAsia" w:eastAsiaTheme="minorEastAsia"/>
                <w:color w:val="000000"/>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E7529D">
            <w:pPr>
              <w:jc w:val="center"/>
              <w:rPr>
                <w:rFonts w:eastAsiaTheme="minorEastAsia"/>
                <w:sz w:val="18"/>
                <w:szCs w:val="18"/>
              </w:rPr>
            </w:pPr>
            <w:r>
              <w:rPr>
                <w:rFonts w:hAnsiTheme="minorEastAsia" w:eastAsiaTheme="minorEastAsia"/>
                <w:sz w:val="18"/>
                <w:szCs w:val="18"/>
              </w:rPr>
              <w:t>资金总额</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E1BCEA">
            <w:pPr>
              <w:widowControl/>
              <w:jc w:val="center"/>
              <w:textAlignment w:val="center"/>
              <w:rPr>
                <w:rFonts w:eastAsiaTheme="minorEastAsia"/>
                <w:color w:val="000000"/>
                <w:sz w:val="18"/>
                <w:szCs w:val="18"/>
              </w:rPr>
            </w:pPr>
            <w:r>
              <w:rPr>
                <w:rFonts w:eastAsiaTheme="minorEastAsia"/>
                <w:color w:val="000000"/>
                <w:sz w:val="18"/>
                <w:szCs w:val="18"/>
              </w:rPr>
              <w:t>8.42</w:t>
            </w:r>
            <w:r>
              <w:rPr>
                <w:rFonts w:hAnsiTheme="minorEastAsia" w:eastAsiaTheme="minorEastAsia"/>
                <w:color w:val="000000"/>
                <w:sz w:val="18"/>
                <w:szCs w:val="18"/>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455449">
            <w:pPr>
              <w:widowControl/>
              <w:jc w:val="center"/>
              <w:textAlignment w:val="center"/>
              <w:rPr>
                <w:rFonts w:eastAsiaTheme="minorEastAsia"/>
                <w:color w:val="000000"/>
                <w:sz w:val="18"/>
                <w:szCs w:val="18"/>
              </w:rPr>
            </w:pPr>
            <w:r>
              <w:rPr>
                <w:rFonts w:eastAsiaTheme="minorEastAsia"/>
                <w:color w:val="000000"/>
                <w:sz w:val="18"/>
                <w:szCs w:val="18"/>
              </w:rPr>
              <w:t>8.42</w:t>
            </w:r>
            <w:r>
              <w:rPr>
                <w:rFonts w:hAnsiTheme="minorEastAsia" w:eastAsiaTheme="minorEastAsia"/>
                <w:color w:val="000000"/>
                <w:sz w:val="18"/>
                <w:szCs w:val="18"/>
              </w:rPr>
              <w:t>万元</w:t>
            </w:r>
          </w:p>
        </w:tc>
      </w:tr>
      <w:tr w14:paraId="51A1F596">
        <w:tblPrEx>
          <w:tblCellMar>
            <w:top w:w="0" w:type="dxa"/>
            <w:left w:w="0" w:type="dxa"/>
            <w:bottom w:w="0" w:type="dxa"/>
            <w:right w:w="0" w:type="dxa"/>
          </w:tblCellMar>
        </w:tblPrEx>
        <w:trPr>
          <w:trHeight w:val="91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6B19760">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94255A">
            <w:pPr>
              <w:widowControl/>
              <w:jc w:val="center"/>
              <w:textAlignment w:val="center"/>
              <w:rPr>
                <w:color w:val="000000"/>
                <w:sz w:val="24"/>
              </w:rPr>
            </w:pPr>
            <w:r>
              <w:rPr>
                <w:rFonts w:hAnsi="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000A20">
            <w:pPr>
              <w:widowControl/>
              <w:jc w:val="center"/>
              <w:textAlignment w:val="center"/>
              <w:rPr>
                <w:rFonts w:eastAsiaTheme="minorEastAsia"/>
                <w:color w:val="000000"/>
                <w:szCs w:val="21"/>
              </w:rPr>
            </w:pPr>
            <w:r>
              <w:rPr>
                <w:rFonts w:hAnsiTheme="minorEastAsia" w:eastAsiaTheme="minorEastAsia"/>
                <w:color w:val="000000"/>
              </w:rPr>
              <w:t>经济效益指标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53FBD1">
            <w:pPr>
              <w:jc w:val="center"/>
              <w:rPr>
                <w:rFonts w:eastAsiaTheme="minorEastAsia"/>
                <w:sz w:val="18"/>
                <w:szCs w:val="18"/>
              </w:rPr>
            </w:pPr>
            <w:r>
              <w:rPr>
                <w:sz w:val="18"/>
                <w:szCs w:val="18"/>
              </w:rPr>
              <w:t>提升园区形象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E2D83E">
            <w:pPr>
              <w:rPr>
                <w:sz w:val="18"/>
                <w:szCs w:val="18"/>
              </w:rPr>
            </w:pPr>
            <w:r>
              <w:rPr>
                <w:sz w:val="18"/>
                <w:szCs w:val="18"/>
              </w:rPr>
              <w:t>提升园区形象，吸引更多企业入驻园区，增加财政税收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6F6A25">
            <w:pPr>
              <w:rPr>
                <w:sz w:val="18"/>
                <w:szCs w:val="18"/>
              </w:rPr>
            </w:pPr>
            <w:r>
              <w:rPr>
                <w:sz w:val="18"/>
                <w:szCs w:val="18"/>
              </w:rPr>
              <w:t>提升园区形象，吸引更多企业入驻园区，增加财政税收</w:t>
            </w:r>
          </w:p>
        </w:tc>
      </w:tr>
      <w:tr w14:paraId="6B4B7586">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2523B6D">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ECD603">
            <w:pPr>
              <w:widowControl/>
              <w:jc w:val="center"/>
              <w:textAlignment w:val="center"/>
              <w:rPr>
                <w:color w:val="000000"/>
                <w:sz w:val="24"/>
              </w:rPr>
            </w:pPr>
            <w:r>
              <w:rPr>
                <w:rFonts w:hAnsi="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CFFE9C">
            <w:pPr>
              <w:widowControl/>
              <w:jc w:val="center"/>
              <w:textAlignment w:val="center"/>
              <w:rPr>
                <w:rFonts w:eastAsiaTheme="minorEastAsia"/>
                <w:color w:val="000000"/>
              </w:rPr>
            </w:pPr>
            <w:r>
              <w:rPr>
                <w:rFonts w:hAnsiTheme="minorEastAsia" w:eastAsiaTheme="minorEastAsia"/>
                <w:color w:val="000000"/>
              </w:rPr>
              <w:t>社会效益</w:t>
            </w:r>
          </w:p>
          <w:p w14:paraId="666601A5">
            <w:pPr>
              <w:widowControl/>
              <w:jc w:val="center"/>
              <w:textAlignment w:val="center"/>
              <w:rPr>
                <w:rFonts w:eastAsiaTheme="minorEastAsia"/>
                <w:color w:val="000000"/>
                <w:szCs w:val="21"/>
              </w:rPr>
            </w:pPr>
            <w:r>
              <w:rPr>
                <w:rFonts w:hAnsiTheme="minorEastAsia" w:eastAsiaTheme="minorEastAsia"/>
                <w:color w:val="000000"/>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40B6B9">
            <w:pPr>
              <w:jc w:val="center"/>
              <w:rPr>
                <w:sz w:val="18"/>
                <w:szCs w:val="18"/>
              </w:rPr>
            </w:pPr>
            <w:r>
              <w:rPr>
                <w:sz w:val="18"/>
                <w:szCs w:val="18"/>
              </w:rPr>
              <w:t>争取无偿资金加快园区基础设施建设，加快园区建设。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E6EE3A">
            <w:pPr>
              <w:jc w:val="center"/>
              <w:rPr>
                <w:sz w:val="18"/>
                <w:szCs w:val="18"/>
              </w:rPr>
            </w:pPr>
            <w:r>
              <w:rPr>
                <w:sz w:val="18"/>
                <w:szCs w:val="18"/>
              </w:rPr>
              <w:t>提升园区形象，吸引更多企业入驻园区，提供更多就业岗位，促进社会稳定。</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C28A2F">
            <w:pPr>
              <w:jc w:val="center"/>
              <w:rPr>
                <w:sz w:val="18"/>
                <w:szCs w:val="18"/>
              </w:rPr>
            </w:pPr>
            <w:r>
              <w:rPr>
                <w:sz w:val="18"/>
                <w:szCs w:val="18"/>
              </w:rPr>
              <w:t>提升园区形象，吸引更多企业入驻园区，提供更多就业岗位，促进社会稳定。</w:t>
            </w:r>
          </w:p>
        </w:tc>
      </w:tr>
      <w:tr w14:paraId="25E32397">
        <w:tblPrEx>
          <w:tblCellMar>
            <w:top w:w="0" w:type="dxa"/>
            <w:left w:w="0" w:type="dxa"/>
            <w:bottom w:w="0" w:type="dxa"/>
            <w:right w:w="0" w:type="dxa"/>
          </w:tblCellMar>
        </w:tblPrEx>
        <w:trPr>
          <w:trHeight w:val="824" w:hRule="atLeast"/>
          <w:jc w:val="center"/>
        </w:trPr>
        <w:tc>
          <w:tcPr>
            <w:tcW w:w="390" w:type="dxa"/>
            <w:tcBorders>
              <w:left w:val="single" w:color="000000" w:sz="4" w:space="0"/>
              <w:bottom w:val="single" w:color="000000" w:sz="4" w:space="0"/>
              <w:right w:val="single" w:color="000000" w:sz="4" w:space="0"/>
            </w:tcBorders>
            <w:tcMar>
              <w:top w:w="15" w:type="dxa"/>
              <w:left w:w="15" w:type="dxa"/>
              <w:right w:w="15" w:type="dxa"/>
            </w:tcMar>
            <w:vAlign w:val="center"/>
          </w:tcPr>
          <w:p w14:paraId="40612F52">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F7F9DC">
            <w:pPr>
              <w:widowControl/>
              <w:jc w:val="center"/>
              <w:textAlignment w:val="center"/>
              <w:rPr>
                <w:color w:val="000000"/>
                <w:kern w:val="0"/>
                <w:sz w:val="24"/>
              </w:rPr>
            </w:pPr>
            <w:r>
              <w:rPr>
                <w:rFonts w:hAnsi="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788707">
            <w:pPr>
              <w:widowControl/>
              <w:jc w:val="center"/>
              <w:textAlignment w:val="center"/>
              <w:rPr>
                <w:rFonts w:eastAsiaTheme="minorEastAsia"/>
                <w:color w:val="000000"/>
                <w:sz w:val="24"/>
              </w:rPr>
            </w:pPr>
            <w:r>
              <w:rPr>
                <w:rFonts w:hAnsiTheme="minorEastAsia" w:eastAsiaTheme="minorEastAsia"/>
                <w:color w:val="000000"/>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826FD8">
            <w:pPr>
              <w:jc w:val="center"/>
              <w:rPr>
                <w:rFonts w:eastAsiaTheme="minorEastAsia"/>
                <w:sz w:val="18"/>
                <w:szCs w:val="18"/>
              </w:rPr>
            </w:pPr>
            <w:r>
              <w:rPr>
                <w:color w:val="000000"/>
                <w:szCs w:val="21"/>
              </w:rPr>
              <w:t>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47035C">
            <w:pPr>
              <w:jc w:val="center"/>
              <w:rPr>
                <w:sz w:val="18"/>
                <w:szCs w:val="18"/>
              </w:rPr>
            </w:pPr>
            <w:r>
              <w:rPr>
                <w:sz w:val="18"/>
                <w:szCs w:val="18"/>
              </w:rPr>
              <w:t>满意度95%以上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C10FDF">
            <w:pPr>
              <w:widowControl/>
              <w:jc w:val="center"/>
              <w:textAlignment w:val="center"/>
              <w:rPr>
                <w:rFonts w:eastAsiaTheme="minorEastAsia"/>
                <w:color w:val="000000"/>
                <w:sz w:val="24"/>
              </w:rPr>
            </w:pPr>
            <w:r>
              <w:rPr>
                <w:sz w:val="18"/>
                <w:szCs w:val="18"/>
              </w:rPr>
              <w:t>满意度95%以上</w:t>
            </w:r>
          </w:p>
        </w:tc>
      </w:tr>
    </w:tbl>
    <w:p w14:paraId="020E84E5">
      <w:pPr>
        <w:tabs>
          <w:tab w:val="left" w:pos="312"/>
        </w:tabs>
        <w:spacing w:line="600" w:lineRule="exact"/>
        <w:ind w:firstLine="640" w:firstLineChars="200"/>
        <w:rPr>
          <w:rFonts w:eastAsia="仿宋_GB2312"/>
          <w:sz w:val="32"/>
          <w:szCs w:val="32"/>
        </w:rPr>
      </w:pPr>
    </w:p>
    <w:p w14:paraId="628494A1">
      <w:pPr>
        <w:tabs>
          <w:tab w:val="left" w:pos="312"/>
        </w:tabs>
        <w:spacing w:line="600" w:lineRule="exact"/>
        <w:ind w:firstLine="640" w:firstLineChars="200"/>
        <w:rPr>
          <w:rFonts w:eastAsia="仿宋_GB2312"/>
          <w:sz w:val="32"/>
          <w:szCs w:val="32"/>
        </w:rPr>
      </w:pPr>
      <w:r>
        <w:rPr>
          <w:rFonts w:hAnsi="仿宋_GB2312" w:eastAsia="仿宋_GB2312"/>
          <w:sz w:val="32"/>
          <w:szCs w:val="32"/>
        </w:rPr>
        <w:t>（</w:t>
      </w:r>
      <w:r>
        <w:rPr>
          <w:rFonts w:eastAsia="仿宋_GB2312"/>
          <w:sz w:val="32"/>
          <w:szCs w:val="32"/>
        </w:rPr>
        <w:t>2</w:t>
      </w:r>
      <w:r>
        <w:rPr>
          <w:rFonts w:hAnsi="仿宋_GB2312" w:eastAsia="仿宋_GB2312"/>
          <w:sz w:val="32"/>
          <w:szCs w:val="32"/>
        </w:rPr>
        <w:t>）</w:t>
      </w:r>
      <w:r>
        <w:rPr>
          <w:rFonts w:eastAsia="仿宋_GB2312"/>
          <w:sz w:val="32"/>
          <w:szCs w:val="32"/>
        </w:rPr>
        <w:t>“</w:t>
      </w:r>
      <w:r>
        <w:rPr>
          <w:rFonts w:hAnsi="仿宋_GB2312" w:eastAsia="仿宋_GB2312"/>
          <w:sz w:val="32"/>
          <w:szCs w:val="32"/>
        </w:rPr>
        <w:t>园区管理专项</w:t>
      </w:r>
      <w:r>
        <w:rPr>
          <w:rFonts w:eastAsia="仿宋_GB2312"/>
          <w:sz w:val="32"/>
          <w:szCs w:val="32"/>
        </w:rPr>
        <w:t>”</w:t>
      </w:r>
      <w:r>
        <w:rPr>
          <w:rFonts w:hAnsi="仿宋_GB2312" w:eastAsia="仿宋_GB2312"/>
          <w:sz w:val="32"/>
          <w:szCs w:val="32"/>
        </w:rPr>
        <w:t>绩效目标完成情况综述。该项目全年预算数</w:t>
      </w:r>
      <w:r>
        <w:rPr>
          <w:rFonts w:eastAsia="仿宋_GB2312"/>
          <w:sz w:val="32"/>
          <w:szCs w:val="32"/>
        </w:rPr>
        <w:t>9</w:t>
      </w:r>
      <w:r>
        <w:rPr>
          <w:rFonts w:hAnsi="仿宋_GB2312" w:eastAsia="仿宋_GB2312"/>
          <w:sz w:val="32"/>
          <w:szCs w:val="32"/>
        </w:rPr>
        <w:t>万元，执行数为</w:t>
      </w:r>
      <w:r>
        <w:rPr>
          <w:rFonts w:eastAsia="仿宋_GB2312"/>
          <w:sz w:val="32"/>
          <w:szCs w:val="32"/>
        </w:rPr>
        <w:t>9</w:t>
      </w:r>
      <w:r>
        <w:rPr>
          <w:rFonts w:hAnsi="仿宋_GB2312" w:eastAsia="仿宋_GB2312"/>
          <w:sz w:val="32"/>
          <w:szCs w:val="32"/>
        </w:rPr>
        <w:t>万元，完成预算的</w:t>
      </w:r>
      <w:r>
        <w:rPr>
          <w:rFonts w:eastAsia="仿宋_GB2312"/>
          <w:sz w:val="32"/>
          <w:szCs w:val="32"/>
        </w:rPr>
        <w:t>100%</w:t>
      </w:r>
      <w:r>
        <w:rPr>
          <w:rFonts w:hAnsi="仿宋_GB2312" w:eastAsia="仿宋_GB2312"/>
          <w:sz w:val="32"/>
          <w:szCs w:val="32"/>
        </w:rPr>
        <w:t>。通过项目实施，向省市争取无偿资金支持园区基础设施建设，完善园区基础设施配套功能，完成园区项目申报、安全环保、规划环评、基础设施建设等工作，促进园区快速发展，提升园区形象，吸引更多企业入驻园区，提供更多就业岗位，促进社会稳定。发现的主要问题：偶尔道路两侧沟渠有垃圾，清理不及时。下一步改进措施：加强对园区环境的监督与管理，确保无卫生死角。</w:t>
      </w: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00377920">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0F42F320">
            <w:pPr>
              <w:widowControl/>
              <w:jc w:val="center"/>
              <w:textAlignment w:val="center"/>
              <w:rPr>
                <w:color w:val="000000"/>
                <w:sz w:val="36"/>
                <w:szCs w:val="36"/>
              </w:rPr>
            </w:pPr>
            <w:r>
              <w:rPr>
                <w:rFonts w:hAnsi="宋体"/>
                <w:b/>
                <w:bCs/>
                <w:color w:val="000000"/>
                <w:kern w:val="0"/>
                <w:sz w:val="36"/>
                <w:szCs w:val="36"/>
              </w:rPr>
              <w:t>项目绩效目标完成情况表</w:t>
            </w:r>
            <w:r>
              <w:rPr>
                <w:b/>
                <w:bCs/>
                <w:color w:val="000000"/>
                <w:kern w:val="0"/>
                <w:sz w:val="36"/>
                <w:szCs w:val="36"/>
              </w:rPr>
              <w:br w:type="textWrapping"/>
            </w:r>
            <w:r>
              <w:rPr>
                <w:color w:val="000000"/>
                <w:kern w:val="0"/>
                <w:sz w:val="36"/>
                <w:szCs w:val="36"/>
              </w:rPr>
              <w:t xml:space="preserve">(2020 </w:t>
            </w:r>
            <w:r>
              <w:rPr>
                <w:rFonts w:hAnsi="宋体"/>
                <w:color w:val="000000"/>
                <w:kern w:val="0"/>
                <w:sz w:val="36"/>
                <w:szCs w:val="36"/>
              </w:rPr>
              <w:t>年度</w:t>
            </w:r>
            <w:r>
              <w:rPr>
                <w:color w:val="000000"/>
                <w:kern w:val="0"/>
                <w:sz w:val="36"/>
                <w:szCs w:val="36"/>
              </w:rPr>
              <w:t>)</w:t>
            </w:r>
          </w:p>
        </w:tc>
      </w:tr>
      <w:tr w14:paraId="77689B91">
        <w:tblPrEx>
          <w:tblCellMar>
            <w:top w:w="0" w:type="dxa"/>
            <w:left w:w="0" w:type="dxa"/>
            <w:bottom w:w="0" w:type="dxa"/>
            <w:right w:w="0" w:type="dxa"/>
          </w:tblCellMar>
        </w:tblPrEx>
        <w:trPr>
          <w:trHeight w:val="563"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D1352E">
            <w:pPr>
              <w:widowControl/>
              <w:jc w:val="center"/>
              <w:textAlignment w:val="center"/>
              <w:rPr>
                <w:color w:val="000000"/>
                <w:sz w:val="24"/>
              </w:rPr>
            </w:pPr>
            <w:r>
              <w:rPr>
                <w:rFonts w:hAnsi="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359596">
            <w:pPr>
              <w:widowControl/>
              <w:jc w:val="center"/>
              <w:textAlignment w:val="center"/>
              <w:rPr>
                <w:color w:val="000000"/>
                <w:sz w:val="24"/>
              </w:rPr>
            </w:pPr>
            <w:r>
              <w:rPr>
                <w:color w:val="000000"/>
                <w:sz w:val="24"/>
              </w:rPr>
              <w:t>园区管理专项</w:t>
            </w:r>
          </w:p>
        </w:tc>
      </w:tr>
      <w:tr w14:paraId="1E98DBE9">
        <w:tblPrEx>
          <w:tblCellMar>
            <w:top w:w="0" w:type="dxa"/>
            <w:left w:w="0" w:type="dxa"/>
            <w:bottom w:w="0" w:type="dxa"/>
            <w:right w:w="0" w:type="dxa"/>
          </w:tblCellMar>
        </w:tblPrEx>
        <w:trPr>
          <w:trHeight w:val="543"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732331">
            <w:pPr>
              <w:widowControl/>
              <w:jc w:val="center"/>
              <w:textAlignment w:val="center"/>
              <w:rPr>
                <w:color w:val="000000"/>
                <w:sz w:val="24"/>
              </w:rPr>
            </w:pPr>
            <w:r>
              <w:rPr>
                <w:rFonts w:hAnsi="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EB8EEB">
            <w:pPr>
              <w:widowControl/>
              <w:jc w:val="center"/>
              <w:textAlignment w:val="center"/>
              <w:rPr>
                <w:color w:val="000000"/>
                <w:sz w:val="24"/>
              </w:rPr>
            </w:pPr>
            <w:r>
              <w:rPr>
                <w:color w:val="000000"/>
                <w:sz w:val="24"/>
              </w:rPr>
              <w:t>白马工业园区管理委员会</w:t>
            </w:r>
          </w:p>
        </w:tc>
      </w:tr>
      <w:tr w14:paraId="15C90E4E">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1D8A0B">
            <w:pPr>
              <w:widowControl/>
              <w:jc w:val="center"/>
              <w:textAlignment w:val="center"/>
              <w:rPr>
                <w:color w:val="000000"/>
                <w:sz w:val="24"/>
              </w:rPr>
            </w:pPr>
            <w:r>
              <w:rPr>
                <w:rFonts w:hAnsi="宋体"/>
                <w:color w:val="000000"/>
                <w:kern w:val="0"/>
                <w:sz w:val="24"/>
              </w:rPr>
              <w:t>预算执行情况</w:t>
            </w:r>
            <w:r>
              <w:rPr>
                <w:color w:val="000000"/>
                <w:kern w:val="0"/>
                <w:sz w:val="24"/>
              </w:rPr>
              <w:t>(</w:t>
            </w:r>
            <w:r>
              <w:rPr>
                <w:rFonts w:hAnsi="宋体"/>
                <w:color w:val="000000"/>
                <w:kern w:val="0"/>
                <w:sz w:val="24"/>
              </w:rPr>
              <w:t>万元</w:t>
            </w:r>
            <w:r>
              <w:rPr>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476BD5">
            <w:pPr>
              <w:widowControl/>
              <w:jc w:val="center"/>
              <w:textAlignment w:val="center"/>
              <w:rPr>
                <w:color w:val="000000"/>
                <w:sz w:val="24"/>
              </w:rPr>
            </w:pPr>
            <w:r>
              <w:rPr>
                <w:rFonts w:hAnsi="宋体"/>
                <w:color w:val="000000"/>
                <w:kern w:val="0"/>
                <w:sz w:val="24"/>
              </w:rPr>
              <w:t>预算数</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E7FB01">
            <w:pPr>
              <w:widowControl/>
              <w:jc w:val="center"/>
              <w:textAlignment w:val="center"/>
              <w:rPr>
                <w:color w:val="000000"/>
                <w:sz w:val="24"/>
              </w:rPr>
            </w:pPr>
            <w:r>
              <w:rPr>
                <w:color w:val="000000"/>
                <w:sz w:val="24"/>
              </w:rPr>
              <w:t>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075933">
            <w:pPr>
              <w:widowControl/>
              <w:jc w:val="center"/>
              <w:textAlignment w:val="center"/>
              <w:rPr>
                <w:color w:val="000000"/>
                <w:sz w:val="24"/>
              </w:rPr>
            </w:pPr>
            <w:r>
              <w:rPr>
                <w:rFonts w:hAnsi="宋体"/>
                <w:color w:val="000000"/>
                <w:kern w:val="0"/>
                <w:sz w:val="24"/>
              </w:rPr>
              <w:t>执行数</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E31142">
            <w:pPr>
              <w:widowControl/>
              <w:jc w:val="center"/>
              <w:textAlignment w:val="center"/>
              <w:rPr>
                <w:color w:val="000000"/>
                <w:sz w:val="24"/>
              </w:rPr>
            </w:pPr>
            <w:r>
              <w:rPr>
                <w:color w:val="000000"/>
                <w:sz w:val="24"/>
              </w:rPr>
              <w:t>9</w:t>
            </w:r>
          </w:p>
        </w:tc>
      </w:tr>
      <w:tr w14:paraId="5D74DFA8">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F700FA">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992C62">
            <w:pPr>
              <w:widowControl/>
              <w:jc w:val="center"/>
              <w:textAlignment w:val="center"/>
              <w:rPr>
                <w:color w:val="000000"/>
                <w:sz w:val="24"/>
              </w:rPr>
            </w:pPr>
            <w:r>
              <w:rPr>
                <w:rFonts w:hAnsi="宋体"/>
                <w:color w:val="000000"/>
                <w:kern w:val="0"/>
                <w:sz w:val="24"/>
              </w:rPr>
              <w:t>其中</w:t>
            </w:r>
            <w:r>
              <w:rPr>
                <w:color w:val="000000"/>
                <w:kern w:val="0"/>
                <w:sz w:val="24"/>
              </w:rPr>
              <w:t>-</w:t>
            </w:r>
            <w:r>
              <w:rPr>
                <w:rFonts w:hAnsi="宋体"/>
                <w:color w:val="000000"/>
                <w:kern w:val="0"/>
                <w:sz w:val="24"/>
              </w:rPr>
              <w:t>财政拨款</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21038A">
            <w:pPr>
              <w:widowControl/>
              <w:jc w:val="center"/>
              <w:textAlignment w:val="center"/>
              <w:rPr>
                <w:color w:val="000000"/>
                <w:sz w:val="24"/>
              </w:rPr>
            </w:pPr>
            <w:r>
              <w:rPr>
                <w:color w:val="000000"/>
                <w:sz w:val="24"/>
              </w:rPr>
              <w:t>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156FB4">
            <w:pPr>
              <w:widowControl/>
              <w:jc w:val="center"/>
              <w:textAlignment w:val="center"/>
              <w:rPr>
                <w:color w:val="000000"/>
                <w:sz w:val="24"/>
              </w:rPr>
            </w:pPr>
            <w:r>
              <w:rPr>
                <w:rFonts w:hAnsi="宋体"/>
                <w:color w:val="000000"/>
                <w:kern w:val="0"/>
                <w:sz w:val="24"/>
              </w:rPr>
              <w:t>其中</w:t>
            </w:r>
            <w:r>
              <w:rPr>
                <w:color w:val="000000"/>
                <w:kern w:val="0"/>
                <w:sz w:val="24"/>
              </w:rPr>
              <w:t>-</w:t>
            </w:r>
            <w:r>
              <w:rPr>
                <w:rFonts w:hAnsi="宋体"/>
                <w:color w:val="000000"/>
                <w:kern w:val="0"/>
                <w:sz w:val="24"/>
              </w:rPr>
              <w:t>财政拨款</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53D390">
            <w:pPr>
              <w:widowControl/>
              <w:jc w:val="center"/>
              <w:textAlignment w:val="center"/>
              <w:rPr>
                <w:color w:val="000000"/>
                <w:sz w:val="24"/>
              </w:rPr>
            </w:pPr>
            <w:r>
              <w:rPr>
                <w:color w:val="000000"/>
                <w:sz w:val="24"/>
              </w:rPr>
              <w:t>9</w:t>
            </w:r>
          </w:p>
        </w:tc>
      </w:tr>
      <w:tr w14:paraId="3E5416B4">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BAB52F">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BB58D4">
            <w:pPr>
              <w:widowControl/>
              <w:jc w:val="center"/>
              <w:textAlignment w:val="center"/>
              <w:rPr>
                <w:color w:val="000000"/>
                <w:sz w:val="24"/>
              </w:rPr>
            </w:pPr>
            <w:r>
              <w:rPr>
                <w:rFonts w:hAnsi="宋体"/>
                <w:color w:val="000000"/>
                <w:kern w:val="0"/>
                <w:sz w:val="24"/>
              </w:rPr>
              <w:t>其它资金</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D594D9">
            <w:pPr>
              <w:widowControl/>
              <w:jc w:val="center"/>
              <w:textAlignment w:val="center"/>
              <w:rPr>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A45A98">
            <w:pPr>
              <w:widowControl/>
              <w:jc w:val="center"/>
              <w:textAlignment w:val="center"/>
              <w:rPr>
                <w:color w:val="000000"/>
                <w:sz w:val="24"/>
              </w:rPr>
            </w:pPr>
            <w:r>
              <w:rPr>
                <w:rFonts w:hAnsi="宋体"/>
                <w:color w:val="000000"/>
                <w:kern w:val="0"/>
                <w:sz w:val="24"/>
              </w:rPr>
              <w:t>其它资金</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91917A">
            <w:pPr>
              <w:jc w:val="center"/>
              <w:rPr>
                <w:color w:val="000000"/>
                <w:sz w:val="24"/>
              </w:rPr>
            </w:pPr>
          </w:p>
        </w:tc>
      </w:tr>
      <w:tr w14:paraId="0DD29EDB">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5B838E">
            <w:pPr>
              <w:widowControl/>
              <w:jc w:val="center"/>
              <w:textAlignment w:val="center"/>
              <w:rPr>
                <w:color w:val="000000"/>
                <w:sz w:val="24"/>
              </w:rPr>
            </w:pPr>
            <w:r>
              <w:rPr>
                <w:rFonts w:hAnsi="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9775AF">
            <w:pPr>
              <w:widowControl/>
              <w:jc w:val="center"/>
              <w:textAlignment w:val="center"/>
              <w:rPr>
                <w:color w:val="000000"/>
                <w:sz w:val="24"/>
              </w:rPr>
            </w:pPr>
            <w:r>
              <w:rPr>
                <w:rFonts w:hAnsi="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28EDB9">
            <w:pPr>
              <w:widowControl/>
              <w:jc w:val="center"/>
              <w:textAlignment w:val="center"/>
              <w:rPr>
                <w:color w:val="000000"/>
                <w:sz w:val="24"/>
              </w:rPr>
            </w:pPr>
            <w:r>
              <w:rPr>
                <w:rFonts w:hAnsi="宋体"/>
                <w:color w:val="000000"/>
                <w:kern w:val="0"/>
                <w:sz w:val="24"/>
              </w:rPr>
              <w:t>实际完成目标</w:t>
            </w:r>
          </w:p>
        </w:tc>
      </w:tr>
      <w:tr w14:paraId="6893386E">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537ECD">
            <w:pPr>
              <w:jc w:val="center"/>
              <w:rPr>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C0F49C">
            <w:pPr>
              <w:widowControl/>
              <w:jc w:val="center"/>
              <w:textAlignment w:val="center"/>
              <w:rPr>
                <w:color w:val="000000"/>
                <w:sz w:val="24"/>
              </w:rPr>
            </w:pPr>
            <w:r>
              <w:rPr>
                <w:color w:val="000000"/>
                <w:sz w:val="24"/>
              </w:rPr>
              <w:t>向省、市经信发展申报项目资金，支持园区基础设施建设；按要求开展园区安全环保、规划环评编制等工作；按要求进度完成PPP项目和污水处理厂建设工作。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908C10">
            <w:pPr>
              <w:widowControl/>
              <w:jc w:val="center"/>
              <w:textAlignment w:val="center"/>
              <w:rPr>
                <w:color w:val="000000"/>
                <w:sz w:val="24"/>
              </w:rPr>
            </w:pPr>
            <w:r>
              <w:rPr>
                <w:color w:val="000000"/>
                <w:sz w:val="24"/>
              </w:rPr>
              <w:t>向省、市经信发展申报项目资金，支持园区基础设施建设；按要求开展园区安全环保、规划环评编制等工作；按要求进度完成PPP项目和污水处理厂建设工作。</w:t>
            </w:r>
          </w:p>
        </w:tc>
      </w:tr>
      <w:tr w14:paraId="08CAC5C5">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0BBAE15A">
            <w:pPr>
              <w:widowControl/>
              <w:jc w:val="center"/>
              <w:textAlignment w:val="center"/>
              <w:rPr>
                <w:color w:val="000000"/>
                <w:sz w:val="24"/>
              </w:rPr>
            </w:pPr>
            <w:r>
              <w:rPr>
                <w:rFonts w:hAnsi="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C67CB1">
            <w:pPr>
              <w:widowControl/>
              <w:jc w:val="center"/>
              <w:textAlignment w:val="center"/>
              <w:rPr>
                <w:color w:val="000000"/>
                <w:sz w:val="24"/>
              </w:rPr>
            </w:pPr>
            <w:r>
              <w:rPr>
                <w:rFonts w:hAnsi="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B9CE3C">
            <w:pPr>
              <w:widowControl/>
              <w:jc w:val="center"/>
              <w:textAlignment w:val="center"/>
              <w:rPr>
                <w:color w:val="000000"/>
                <w:sz w:val="24"/>
              </w:rPr>
            </w:pPr>
            <w:r>
              <w:rPr>
                <w:rFonts w:hAnsi="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79B7F2">
            <w:pPr>
              <w:widowControl/>
              <w:jc w:val="center"/>
              <w:textAlignment w:val="center"/>
              <w:rPr>
                <w:color w:val="000000"/>
                <w:sz w:val="24"/>
              </w:rPr>
            </w:pPr>
            <w:r>
              <w:rPr>
                <w:rFonts w:hAnsi="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26134E">
            <w:pPr>
              <w:widowControl/>
              <w:jc w:val="center"/>
              <w:textAlignment w:val="center"/>
              <w:rPr>
                <w:color w:val="000000"/>
                <w:sz w:val="24"/>
              </w:rPr>
            </w:pPr>
            <w:r>
              <w:rPr>
                <w:rFonts w:hAnsi="宋体"/>
                <w:color w:val="000000"/>
                <w:kern w:val="0"/>
                <w:sz w:val="24"/>
              </w:rPr>
              <w:t>预期指标值</w:t>
            </w:r>
            <w:r>
              <w:rPr>
                <w:color w:val="000000"/>
                <w:kern w:val="0"/>
                <w:sz w:val="24"/>
              </w:rPr>
              <w:t>(</w:t>
            </w:r>
            <w:r>
              <w:rPr>
                <w:rFonts w:hAnsi="宋体"/>
                <w:color w:val="000000"/>
                <w:kern w:val="0"/>
                <w:sz w:val="24"/>
              </w:rPr>
              <w:t>包含数字及文字描述</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9CBDA7">
            <w:pPr>
              <w:widowControl/>
              <w:jc w:val="center"/>
              <w:textAlignment w:val="center"/>
              <w:rPr>
                <w:color w:val="000000"/>
                <w:sz w:val="24"/>
              </w:rPr>
            </w:pPr>
            <w:r>
              <w:rPr>
                <w:rFonts w:hAnsi="宋体"/>
                <w:color w:val="000000"/>
                <w:kern w:val="0"/>
                <w:sz w:val="24"/>
              </w:rPr>
              <w:t>实际完成指标值</w:t>
            </w:r>
            <w:r>
              <w:rPr>
                <w:color w:val="000000"/>
                <w:kern w:val="0"/>
                <w:sz w:val="24"/>
              </w:rPr>
              <w:t>(</w:t>
            </w:r>
            <w:r>
              <w:rPr>
                <w:rFonts w:hAnsi="宋体"/>
                <w:color w:val="000000"/>
                <w:kern w:val="0"/>
                <w:sz w:val="24"/>
              </w:rPr>
              <w:t>包含数字及文字描述</w:t>
            </w:r>
            <w:r>
              <w:rPr>
                <w:color w:val="000000"/>
                <w:kern w:val="0"/>
                <w:sz w:val="24"/>
              </w:rPr>
              <w:t>)</w:t>
            </w:r>
          </w:p>
        </w:tc>
      </w:tr>
      <w:tr w14:paraId="22E4A059">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C48C7C0">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95A9DF">
            <w:pPr>
              <w:widowControl/>
              <w:jc w:val="center"/>
              <w:textAlignment w:val="center"/>
              <w:rPr>
                <w:color w:val="000000"/>
                <w:sz w:val="24"/>
              </w:rPr>
            </w:pPr>
            <w:r>
              <w:rPr>
                <w:rFonts w:hAnsi="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BA0088">
            <w:pPr>
              <w:widowControl/>
              <w:jc w:val="center"/>
              <w:textAlignment w:val="center"/>
              <w:rPr>
                <w:rFonts w:eastAsiaTheme="minorEastAsia"/>
                <w:color w:val="000000"/>
                <w:szCs w:val="21"/>
              </w:rPr>
            </w:pPr>
            <w:r>
              <w:rPr>
                <w:rFonts w:hAnsiTheme="minorEastAsia" w:eastAsiaTheme="minorEastAsia"/>
                <w:color w:val="000000"/>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A16E3D">
            <w:pPr>
              <w:jc w:val="center"/>
              <w:rPr>
                <w:rFonts w:eastAsiaTheme="minorEastAsia"/>
                <w:szCs w:val="21"/>
              </w:rPr>
            </w:pPr>
            <w:r>
              <w:rPr>
                <w:rFonts w:hAnsiTheme="minorEastAsia" w:eastAsiaTheme="minorEastAsia"/>
                <w:szCs w:val="21"/>
              </w:rPr>
              <w:t>资金总额</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3E8863">
            <w:pPr>
              <w:rPr>
                <w:rFonts w:eastAsiaTheme="minorEastAsia"/>
                <w:szCs w:val="21"/>
              </w:rPr>
            </w:pPr>
            <w:r>
              <w:rPr>
                <w:rFonts w:hAnsiTheme="minorEastAsia" w:eastAsiaTheme="minorEastAsia"/>
                <w:szCs w:val="21"/>
              </w:rPr>
              <w:t>园区管理专项（含园保贷试点工作经费）资金</w:t>
            </w:r>
            <w:r>
              <w:rPr>
                <w:rFonts w:eastAsiaTheme="minorEastAsia"/>
                <w:szCs w:val="21"/>
              </w:rPr>
              <w:t>9</w:t>
            </w:r>
            <w:r>
              <w:rPr>
                <w:rFonts w:hAnsiTheme="minorEastAsia" w:eastAsiaTheme="minorEastAsia"/>
                <w:szCs w:val="21"/>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91FC83">
            <w:pPr>
              <w:widowControl/>
              <w:jc w:val="center"/>
              <w:textAlignment w:val="center"/>
              <w:rPr>
                <w:rFonts w:eastAsiaTheme="minorEastAsia"/>
                <w:color w:val="000000"/>
                <w:szCs w:val="21"/>
              </w:rPr>
            </w:pPr>
            <w:r>
              <w:rPr>
                <w:rFonts w:hAnsiTheme="minorEastAsia" w:eastAsiaTheme="minorEastAsia"/>
                <w:szCs w:val="21"/>
              </w:rPr>
              <w:t>园区管理专项（含园保贷试点工作经费）资金</w:t>
            </w:r>
            <w:r>
              <w:rPr>
                <w:rFonts w:eastAsiaTheme="minorEastAsia"/>
                <w:szCs w:val="21"/>
              </w:rPr>
              <w:t>9</w:t>
            </w:r>
            <w:r>
              <w:rPr>
                <w:rFonts w:hAnsiTheme="minorEastAsia" w:eastAsiaTheme="minorEastAsia"/>
                <w:szCs w:val="21"/>
              </w:rPr>
              <w:t>万元</w:t>
            </w:r>
          </w:p>
        </w:tc>
      </w:tr>
      <w:tr w14:paraId="41040ADE">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97272B2">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20C74F">
            <w:pPr>
              <w:widowControl/>
              <w:jc w:val="center"/>
              <w:textAlignment w:val="center"/>
              <w:rPr>
                <w:color w:val="000000"/>
                <w:sz w:val="24"/>
              </w:rPr>
            </w:pPr>
            <w:r>
              <w:rPr>
                <w:rFonts w:hAnsi="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308F73">
            <w:pPr>
              <w:widowControl/>
              <w:jc w:val="center"/>
              <w:textAlignment w:val="center"/>
              <w:rPr>
                <w:rFonts w:eastAsiaTheme="minorEastAsia"/>
                <w:color w:val="000000"/>
                <w:szCs w:val="21"/>
              </w:rPr>
            </w:pPr>
            <w:r>
              <w:rPr>
                <w:rFonts w:hAnsiTheme="minorEastAsia" w:eastAsiaTheme="minorEastAsia"/>
                <w:color w:val="000000"/>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DA854C">
            <w:pPr>
              <w:jc w:val="center"/>
              <w:rPr>
                <w:rFonts w:eastAsiaTheme="minorEastAsia"/>
                <w:szCs w:val="21"/>
              </w:rPr>
            </w:pPr>
            <w:r>
              <w:rPr>
                <w:rFonts w:hAnsiTheme="minorEastAsia" w:eastAsiaTheme="minorEastAsia"/>
                <w:szCs w:val="21"/>
              </w:rPr>
              <w:t>申报项目资金、完成安全环保、规划环评、园保贷</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AEC464">
            <w:pPr>
              <w:rPr>
                <w:rFonts w:eastAsiaTheme="minorEastAsia"/>
                <w:szCs w:val="21"/>
              </w:rPr>
            </w:pPr>
            <w:r>
              <w:rPr>
                <w:rFonts w:hAnsiTheme="minorEastAsia" w:eastAsiaTheme="minorEastAsia"/>
                <w:szCs w:val="21"/>
              </w:rPr>
              <w:t>积极完成项目资金申报工作；完成安全环保、规划环评编制、基础设施建设等工作。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140CFA">
            <w:pPr>
              <w:rPr>
                <w:rFonts w:eastAsiaTheme="minorEastAsia"/>
                <w:szCs w:val="21"/>
              </w:rPr>
            </w:pPr>
            <w:r>
              <w:rPr>
                <w:rFonts w:hAnsiTheme="minorEastAsia" w:eastAsiaTheme="minorEastAsia"/>
                <w:szCs w:val="21"/>
              </w:rPr>
              <w:t>圆满完成项目申报、安全环保、规划环评、园保贷等工作</w:t>
            </w:r>
          </w:p>
        </w:tc>
      </w:tr>
      <w:tr w14:paraId="267B9BD6">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51ABE19">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360961">
            <w:pPr>
              <w:widowControl/>
              <w:jc w:val="center"/>
              <w:textAlignment w:val="center"/>
              <w:rPr>
                <w:color w:val="000000"/>
                <w:sz w:val="24"/>
              </w:rPr>
            </w:pPr>
            <w:r>
              <w:rPr>
                <w:rFonts w:hAnsi="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745F48">
            <w:pPr>
              <w:widowControl/>
              <w:jc w:val="center"/>
              <w:textAlignment w:val="center"/>
              <w:rPr>
                <w:rFonts w:eastAsiaTheme="minorEastAsia"/>
                <w:color w:val="000000"/>
                <w:szCs w:val="21"/>
              </w:rPr>
            </w:pPr>
            <w:r>
              <w:rPr>
                <w:rFonts w:hAnsiTheme="minorEastAsia" w:eastAsiaTheme="minorEastAsia"/>
                <w:color w:val="000000"/>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BFB301">
            <w:pPr>
              <w:widowControl/>
              <w:jc w:val="center"/>
              <w:textAlignment w:val="center"/>
              <w:rPr>
                <w:rFonts w:eastAsiaTheme="minorEastAsia"/>
                <w:color w:val="000000"/>
                <w:szCs w:val="21"/>
              </w:rPr>
            </w:pPr>
            <w:r>
              <w:rPr>
                <w:rFonts w:hAnsiTheme="minorEastAsia" w:eastAsiaTheme="minorEastAsia"/>
                <w:color w:val="000000"/>
                <w:szCs w:val="21"/>
              </w:rPr>
              <w:t>完成时限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D716F4">
            <w:pPr>
              <w:widowControl/>
              <w:jc w:val="center"/>
              <w:textAlignment w:val="center"/>
              <w:rPr>
                <w:rFonts w:eastAsiaTheme="minorEastAsia"/>
                <w:color w:val="000000"/>
                <w:szCs w:val="21"/>
              </w:rPr>
            </w:pPr>
            <w:r>
              <w:rPr>
                <w:rFonts w:eastAsiaTheme="minorEastAsia"/>
                <w:color w:val="000000"/>
                <w:szCs w:val="21"/>
              </w:rPr>
              <w:t>2020</w:t>
            </w:r>
            <w:r>
              <w:rPr>
                <w:rFonts w:hAnsiTheme="minorEastAsia" w:eastAsiaTheme="minorEastAsia"/>
                <w:color w:val="000000"/>
                <w:szCs w:val="21"/>
              </w:rPr>
              <w:t>年</w:t>
            </w:r>
            <w:r>
              <w:rPr>
                <w:rFonts w:eastAsiaTheme="minorEastAsia"/>
                <w:color w:val="000000"/>
                <w:szCs w:val="21"/>
              </w:rPr>
              <w:t>1-12</w:t>
            </w:r>
            <w:r>
              <w:rPr>
                <w:rFonts w:hAnsiTheme="minorEastAsia" w:eastAsiaTheme="minorEastAsia"/>
                <w:color w:val="000000"/>
                <w:szCs w:val="21"/>
              </w:rPr>
              <w:t>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A7EFE7">
            <w:pPr>
              <w:widowControl/>
              <w:jc w:val="center"/>
              <w:textAlignment w:val="center"/>
              <w:rPr>
                <w:rFonts w:eastAsiaTheme="minorEastAsia"/>
                <w:color w:val="000000"/>
                <w:szCs w:val="21"/>
              </w:rPr>
            </w:pPr>
            <w:r>
              <w:rPr>
                <w:rFonts w:eastAsiaTheme="minorEastAsia"/>
                <w:color w:val="000000"/>
                <w:szCs w:val="21"/>
              </w:rPr>
              <w:t>2020</w:t>
            </w:r>
            <w:r>
              <w:rPr>
                <w:rFonts w:hAnsiTheme="minorEastAsia" w:eastAsiaTheme="minorEastAsia"/>
                <w:color w:val="000000"/>
                <w:szCs w:val="21"/>
              </w:rPr>
              <w:t>年度全部完成</w:t>
            </w:r>
          </w:p>
        </w:tc>
      </w:tr>
      <w:tr w14:paraId="790476C7">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967B65D">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7C8C9F">
            <w:pPr>
              <w:widowControl/>
              <w:jc w:val="center"/>
              <w:textAlignment w:val="center"/>
              <w:rPr>
                <w:color w:val="000000"/>
                <w:kern w:val="0"/>
                <w:sz w:val="24"/>
              </w:rPr>
            </w:pPr>
            <w:r>
              <w:rPr>
                <w:rFonts w:hAnsi="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C10531">
            <w:pPr>
              <w:widowControl/>
              <w:jc w:val="center"/>
              <w:textAlignment w:val="center"/>
              <w:rPr>
                <w:rFonts w:eastAsiaTheme="minorEastAsia"/>
                <w:color w:val="000000"/>
                <w:szCs w:val="21"/>
              </w:rPr>
            </w:pPr>
            <w:r>
              <w:rPr>
                <w:rFonts w:hAnsiTheme="minorEastAsia" w:eastAsiaTheme="minorEastAsia"/>
                <w:color w:val="000000"/>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2903C0">
            <w:pPr>
              <w:widowControl/>
              <w:jc w:val="center"/>
              <w:textAlignment w:val="center"/>
              <w:rPr>
                <w:rFonts w:eastAsiaTheme="minorEastAsia"/>
                <w:color w:val="000000"/>
                <w:szCs w:val="21"/>
              </w:rPr>
            </w:pPr>
            <w:r>
              <w:rPr>
                <w:rFonts w:hAnsiTheme="minorEastAsia" w:eastAsiaTheme="minorEastAsia"/>
                <w:color w:val="000000"/>
                <w:szCs w:val="21"/>
              </w:rPr>
              <w:t>资金总额</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9DAD10">
            <w:pPr>
              <w:widowControl/>
              <w:jc w:val="center"/>
              <w:textAlignment w:val="center"/>
              <w:rPr>
                <w:rFonts w:eastAsiaTheme="minorEastAsia"/>
                <w:color w:val="000000"/>
                <w:szCs w:val="21"/>
              </w:rPr>
            </w:pPr>
            <w:r>
              <w:rPr>
                <w:rFonts w:hAnsiTheme="minorEastAsia" w:eastAsiaTheme="minorEastAsia"/>
                <w:color w:val="000000"/>
                <w:szCs w:val="21"/>
              </w:rPr>
              <w:t>园区项目申报、安全环保、规划环评、基础设施建设等工作，工作经费</w:t>
            </w:r>
            <w:r>
              <w:rPr>
                <w:rFonts w:eastAsiaTheme="minorEastAsia"/>
                <w:color w:val="000000"/>
                <w:szCs w:val="21"/>
              </w:rPr>
              <w:t>9</w:t>
            </w:r>
            <w:r>
              <w:rPr>
                <w:rFonts w:hAnsiTheme="minorEastAsia" w:eastAsiaTheme="minorEastAsia"/>
                <w:color w:val="000000"/>
                <w:szCs w:val="21"/>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F397C7">
            <w:pPr>
              <w:widowControl/>
              <w:jc w:val="center"/>
              <w:textAlignment w:val="center"/>
              <w:rPr>
                <w:rFonts w:eastAsiaTheme="minorEastAsia"/>
                <w:color w:val="000000"/>
                <w:szCs w:val="21"/>
              </w:rPr>
            </w:pPr>
            <w:r>
              <w:rPr>
                <w:rFonts w:hAnsiTheme="minorEastAsia" w:eastAsiaTheme="minorEastAsia"/>
                <w:color w:val="000000"/>
                <w:szCs w:val="21"/>
              </w:rPr>
              <w:t>完成园区项目申报、安全环保、规划环评、基础设施建设等工作，工作经费</w:t>
            </w:r>
            <w:r>
              <w:rPr>
                <w:rFonts w:eastAsiaTheme="minorEastAsia"/>
                <w:color w:val="000000"/>
                <w:szCs w:val="21"/>
              </w:rPr>
              <w:t>9</w:t>
            </w:r>
            <w:r>
              <w:rPr>
                <w:rFonts w:hAnsiTheme="minorEastAsia" w:eastAsiaTheme="minorEastAsia"/>
                <w:color w:val="000000"/>
                <w:szCs w:val="21"/>
              </w:rPr>
              <w:t>万元</w:t>
            </w:r>
          </w:p>
        </w:tc>
      </w:tr>
      <w:tr w14:paraId="176A4C07">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94DF18E">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F2E11F">
            <w:pPr>
              <w:widowControl/>
              <w:jc w:val="center"/>
              <w:textAlignment w:val="center"/>
              <w:rPr>
                <w:color w:val="000000"/>
                <w:sz w:val="24"/>
              </w:rPr>
            </w:pPr>
            <w:r>
              <w:rPr>
                <w:rFonts w:hAnsi="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CBD4FE">
            <w:pPr>
              <w:widowControl/>
              <w:jc w:val="center"/>
              <w:textAlignment w:val="center"/>
              <w:rPr>
                <w:rFonts w:eastAsiaTheme="minorEastAsia"/>
                <w:color w:val="000000"/>
                <w:szCs w:val="21"/>
              </w:rPr>
            </w:pPr>
            <w:r>
              <w:rPr>
                <w:rFonts w:hAnsiTheme="minorEastAsia" w:eastAsiaTheme="minorEastAsia"/>
                <w:color w:val="000000"/>
              </w:rPr>
              <w:t>经济效益指标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00A204">
            <w:pPr>
              <w:jc w:val="center"/>
              <w:rPr>
                <w:rFonts w:eastAsiaTheme="minorEastAsia"/>
                <w:szCs w:val="21"/>
              </w:rPr>
            </w:pPr>
            <w:r>
              <w:rPr>
                <w:rFonts w:hAnsiTheme="minorEastAsia" w:eastAsiaTheme="minorEastAsia"/>
                <w:szCs w:val="21"/>
              </w:rPr>
              <w:t>完善园区基础设施配套功能，促进园区快速发展。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9010E7">
            <w:pPr>
              <w:rPr>
                <w:rFonts w:eastAsiaTheme="minorEastAsia"/>
                <w:szCs w:val="21"/>
              </w:rPr>
            </w:pPr>
            <w:r>
              <w:rPr>
                <w:rFonts w:hAnsiTheme="minorEastAsia" w:eastAsiaTheme="minorEastAsia"/>
                <w:szCs w:val="21"/>
              </w:rPr>
              <w:t>向上级争取无偿资金，加强园区基础设施建设，提升园区形象，促进园区快速发展。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3A14D9">
            <w:pPr>
              <w:rPr>
                <w:rFonts w:eastAsiaTheme="minorEastAsia"/>
                <w:szCs w:val="21"/>
              </w:rPr>
            </w:pPr>
            <w:r>
              <w:rPr>
                <w:rFonts w:hAnsiTheme="minorEastAsia" w:eastAsiaTheme="minorEastAsia"/>
                <w:szCs w:val="21"/>
              </w:rPr>
              <w:t>完成向上级争取无偿资金，加强园区基础设施建设，提升园区形象，促进园区快速发展。</w:t>
            </w:r>
          </w:p>
        </w:tc>
      </w:tr>
      <w:tr w14:paraId="5C2D302C">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15618CF">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6F0E7C">
            <w:pPr>
              <w:widowControl/>
              <w:jc w:val="center"/>
              <w:textAlignment w:val="center"/>
              <w:rPr>
                <w:color w:val="000000"/>
                <w:sz w:val="24"/>
              </w:rPr>
            </w:pPr>
            <w:r>
              <w:rPr>
                <w:rFonts w:hAnsi="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49A5DB">
            <w:pPr>
              <w:widowControl/>
              <w:jc w:val="center"/>
              <w:textAlignment w:val="center"/>
              <w:rPr>
                <w:rFonts w:eastAsiaTheme="minorEastAsia"/>
                <w:color w:val="000000"/>
              </w:rPr>
            </w:pPr>
            <w:r>
              <w:rPr>
                <w:rFonts w:hAnsiTheme="minorEastAsia" w:eastAsiaTheme="minorEastAsia"/>
                <w:color w:val="000000"/>
              </w:rPr>
              <w:t>社会效益</w:t>
            </w:r>
          </w:p>
          <w:p w14:paraId="3E912E06">
            <w:pPr>
              <w:widowControl/>
              <w:jc w:val="center"/>
              <w:textAlignment w:val="center"/>
              <w:rPr>
                <w:rFonts w:eastAsiaTheme="minorEastAsia"/>
                <w:color w:val="000000"/>
                <w:szCs w:val="21"/>
              </w:rPr>
            </w:pPr>
            <w:r>
              <w:rPr>
                <w:rFonts w:hAnsiTheme="minorEastAsia" w:eastAsiaTheme="minorEastAsia"/>
                <w:color w:val="000000"/>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BDF45B">
            <w:pPr>
              <w:rPr>
                <w:rFonts w:eastAsiaTheme="minorEastAsia"/>
                <w:szCs w:val="21"/>
              </w:rPr>
            </w:pPr>
            <w:r>
              <w:rPr>
                <w:rFonts w:hAnsiTheme="minorEastAsia" w:eastAsiaTheme="minorEastAsia"/>
                <w:szCs w:val="21"/>
              </w:rPr>
              <w:t>争取无偿资金加快园区基础设施建设，加快园区建设。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25903E">
            <w:pPr>
              <w:rPr>
                <w:rFonts w:eastAsiaTheme="minorEastAsia"/>
                <w:szCs w:val="21"/>
              </w:rPr>
            </w:pPr>
            <w:r>
              <w:rPr>
                <w:rFonts w:hAnsiTheme="minorEastAsia" w:eastAsiaTheme="minorEastAsia"/>
                <w:szCs w:val="21"/>
              </w:rPr>
              <w:t>提升园区形象，吸引更多企业入驻园区，提供更多就业岗位，促进社会稳定。</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D9F8C7">
            <w:pPr>
              <w:rPr>
                <w:rFonts w:eastAsiaTheme="minorEastAsia"/>
                <w:szCs w:val="21"/>
              </w:rPr>
            </w:pPr>
            <w:r>
              <w:rPr>
                <w:rFonts w:hAnsiTheme="minorEastAsia" w:eastAsiaTheme="minorEastAsia"/>
                <w:szCs w:val="21"/>
              </w:rPr>
              <w:t>提升园区形象，吸引更多企业入驻园区，提供更多就业岗位，促进社会稳定。</w:t>
            </w:r>
          </w:p>
        </w:tc>
      </w:tr>
      <w:tr w14:paraId="5C9CB4BE">
        <w:tblPrEx>
          <w:tblCellMar>
            <w:top w:w="0" w:type="dxa"/>
            <w:left w:w="0" w:type="dxa"/>
            <w:bottom w:w="0" w:type="dxa"/>
            <w:right w:w="0" w:type="dxa"/>
          </w:tblCellMar>
        </w:tblPrEx>
        <w:trPr>
          <w:trHeight w:val="1050" w:hRule="atLeast"/>
          <w:jc w:val="center"/>
        </w:trPr>
        <w:tc>
          <w:tcPr>
            <w:tcW w:w="390" w:type="dxa"/>
            <w:tcBorders>
              <w:left w:val="single" w:color="000000" w:sz="4" w:space="0"/>
              <w:bottom w:val="single" w:color="000000" w:sz="4" w:space="0"/>
              <w:right w:val="single" w:color="000000" w:sz="4" w:space="0"/>
            </w:tcBorders>
            <w:tcMar>
              <w:top w:w="15" w:type="dxa"/>
              <w:left w:w="15" w:type="dxa"/>
              <w:right w:w="15" w:type="dxa"/>
            </w:tcMar>
            <w:vAlign w:val="center"/>
          </w:tcPr>
          <w:p w14:paraId="392EE732">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7D831B">
            <w:pPr>
              <w:widowControl/>
              <w:jc w:val="center"/>
              <w:textAlignment w:val="center"/>
              <w:rPr>
                <w:color w:val="000000"/>
                <w:kern w:val="0"/>
                <w:sz w:val="24"/>
              </w:rPr>
            </w:pPr>
            <w:r>
              <w:rPr>
                <w:rFonts w:hAnsi="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D976AB">
            <w:pPr>
              <w:widowControl/>
              <w:jc w:val="center"/>
              <w:textAlignment w:val="center"/>
              <w:rPr>
                <w:rFonts w:eastAsiaTheme="minorEastAsia"/>
                <w:color w:val="000000"/>
                <w:sz w:val="24"/>
              </w:rPr>
            </w:pPr>
            <w:r>
              <w:rPr>
                <w:rFonts w:hAnsiTheme="minorEastAsia" w:eastAsiaTheme="minorEastAsia"/>
                <w:color w:val="000000"/>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0F1EA4">
            <w:pPr>
              <w:jc w:val="center"/>
              <w:rPr>
                <w:rFonts w:eastAsiaTheme="minorEastAsia"/>
                <w:szCs w:val="21"/>
              </w:rPr>
            </w:pPr>
            <w:r>
              <w:rPr>
                <w:rFonts w:hAnsiTheme="minorEastAsia" w:eastAsiaTheme="minorEastAsia"/>
                <w:color w:val="000000"/>
                <w:szCs w:val="21"/>
              </w:rPr>
              <w:t>园区企业满意度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5F72C0">
            <w:pPr>
              <w:jc w:val="center"/>
              <w:rPr>
                <w:rFonts w:eastAsiaTheme="minorEastAsia"/>
                <w:szCs w:val="21"/>
              </w:rPr>
            </w:pPr>
            <w:r>
              <w:rPr>
                <w:rFonts w:hAnsiTheme="minorEastAsia" w:eastAsiaTheme="minorEastAsia"/>
                <w:szCs w:val="21"/>
              </w:rPr>
              <w:t>满意度</w:t>
            </w:r>
            <w:r>
              <w:rPr>
                <w:rFonts w:eastAsiaTheme="minorEastAsia"/>
                <w:szCs w:val="21"/>
              </w:rPr>
              <w:t>90%</w:t>
            </w:r>
            <w:r>
              <w:rPr>
                <w:rFonts w:hAnsiTheme="minorEastAsia" w:eastAsiaTheme="minorEastAsia"/>
                <w:szCs w:val="21"/>
              </w:rPr>
              <w:t>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DF963D">
            <w:pPr>
              <w:widowControl/>
              <w:jc w:val="center"/>
              <w:textAlignment w:val="center"/>
              <w:rPr>
                <w:rFonts w:eastAsiaTheme="minorEastAsia"/>
                <w:color w:val="000000"/>
                <w:szCs w:val="21"/>
              </w:rPr>
            </w:pPr>
            <w:r>
              <w:rPr>
                <w:rFonts w:hAnsiTheme="minorEastAsia" w:eastAsiaTheme="minorEastAsia"/>
                <w:szCs w:val="21"/>
              </w:rPr>
              <w:t>满意度</w:t>
            </w:r>
            <w:r>
              <w:rPr>
                <w:rFonts w:eastAsiaTheme="minorEastAsia"/>
                <w:szCs w:val="21"/>
              </w:rPr>
              <w:t>90%</w:t>
            </w:r>
            <w:r>
              <w:rPr>
                <w:rFonts w:hAnsiTheme="minorEastAsia" w:eastAsiaTheme="minorEastAsia"/>
                <w:szCs w:val="21"/>
              </w:rPr>
              <w:t>以上</w:t>
            </w:r>
          </w:p>
        </w:tc>
      </w:tr>
    </w:tbl>
    <w:p w14:paraId="0D83911A">
      <w:pPr>
        <w:spacing w:line="580" w:lineRule="exact"/>
        <w:ind w:left="630"/>
        <w:rPr>
          <w:rFonts w:eastAsia="楷体_GB2312"/>
          <w:sz w:val="32"/>
          <w:szCs w:val="32"/>
          <w:highlight w:val="yellow"/>
        </w:rPr>
      </w:pPr>
    </w:p>
    <w:p w14:paraId="7D73AA6B">
      <w:pPr>
        <w:tabs>
          <w:tab w:val="left" w:pos="312"/>
        </w:tabs>
        <w:spacing w:line="600" w:lineRule="exact"/>
        <w:ind w:firstLine="640" w:firstLineChars="200"/>
        <w:rPr>
          <w:rFonts w:eastAsia="仿宋_GB2312"/>
          <w:sz w:val="32"/>
          <w:szCs w:val="32"/>
        </w:rPr>
      </w:pPr>
      <w:r>
        <w:rPr>
          <w:rFonts w:hAnsi="仿宋_GB2312" w:eastAsia="仿宋_GB2312"/>
          <w:sz w:val="32"/>
          <w:szCs w:val="32"/>
        </w:rPr>
        <w:t>（</w:t>
      </w:r>
      <w:r>
        <w:rPr>
          <w:rFonts w:eastAsia="仿宋_GB2312"/>
          <w:sz w:val="32"/>
          <w:szCs w:val="32"/>
        </w:rPr>
        <w:t>3</w:t>
      </w:r>
      <w:r>
        <w:rPr>
          <w:rFonts w:hAnsi="仿宋_GB2312" w:eastAsia="仿宋_GB2312"/>
          <w:sz w:val="32"/>
          <w:szCs w:val="32"/>
        </w:rPr>
        <w:t>）</w:t>
      </w:r>
      <w:r>
        <w:rPr>
          <w:rFonts w:eastAsia="仿宋_GB2312"/>
          <w:sz w:val="32"/>
          <w:szCs w:val="32"/>
        </w:rPr>
        <w:t>“</w:t>
      </w:r>
      <w:r>
        <w:rPr>
          <w:rFonts w:hAnsi="仿宋_GB2312" w:eastAsia="仿宋_GB2312"/>
          <w:sz w:val="32"/>
          <w:szCs w:val="32"/>
        </w:rPr>
        <w:t>物业管理服务费</w:t>
      </w:r>
      <w:r>
        <w:rPr>
          <w:rFonts w:eastAsia="仿宋_GB2312"/>
          <w:sz w:val="32"/>
          <w:szCs w:val="32"/>
        </w:rPr>
        <w:t>”</w:t>
      </w:r>
      <w:r>
        <w:rPr>
          <w:rFonts w:hAnsi="仿宋_GB2312" w:eastAsia="仿宋_GB2312"/>
          <w:sz w:val="32"/>
          <w:szCs w:val="32"/>
        </w:rPr>
        <w:t>绩效目标完成情况综述。该项目全年预算数</w:t>
      </w:r>
      <w:r>
        <w:rPr>
          <w:rFonts w:eastAsia="仿宋_GB2312"/>
          <w:sz w:val="32"/>
          <w:szCs w:val="32"/>
        </w:rPr>
        <w:t>3.25</w:t>
      </w:r>
      <w:r>
        <w:rPr>
          <w:rFonts w:hAnsi="仿宋_GB2312" w:eastAsia="仿宋_GB2312"/>
          <w:sz w:val="32"/>
          <w:szCs w:val="32"/>
        </w:rPr>
        <w:t>万元，执行数为</w:t>
      </w:r>
      <w:r>
        <w:rPr>
          <w:rFonts w:eastAsia="仿宋_GB2312"/>
          <w:sz w:val="32"/>
          <w:szCs w:val="32"/>
        </w:rPr>
        <w:t>3.25</w:t>
      </w:r>
      <w:r>
        <w:rPr>
          <w:rFonts w:hAnsi="仿宋_GB2312" w:eastAsia="仿宋_GB2312"/>
          <w:sz w:val="32"/>
          <w:szCs w:val="32"/>
        </w:rPr>
        <w:t>万元，完成预算的</w:t>
      </w:r>
      <w:r>
        <w:rPr>
          <w:rFonts w:eastAsia="仿宋_GB2312"/>
          <w:sz w:val="32"/>
          <w:szCs w:val="32"/>
        </w:rPr>
        <w:t>100%</w:t>
      </w:r>
      <w:r>
        <w:rPr>
          <w:rFonts w:hAnsi="仿宋_GB2312" w:eastAsia="仿宋_GB2312"/>
          <w:sz w:val="32"/>
          <w:szCs w:val="32"/>
        </w:rPr>
        <w:t>。通过项目实施，保障办公区域安全、卫生，支持干部职工的工作，提高了环境卫生质量，发现的主要问题：偶尔下水道堵塞，清理不及时。下一步改进措施：业主提出问题及时解决。</w:t>
      </w: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2F9712D0">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3DA0C1CF">
            <w:pPr>
              <w:widowControl/>
              <w:jc w:val="center"/>
              <w:textAlignment w:val="center"/>
              <w:rPr>
                <w:color w:val="000000"/>
                <w:sz w:val="36"/>
                <w:szCs w:val="36"/>
              </w:rPr>
            </w:pPr>
            <w:r>
              <w:rPr>
                <w:rFonts w:hAnsi="宋体"/>
                <w:b/>
                <w:bCs/>
                <w:color w:val="000000"/>
                <w:kern w:val="0"/>
                <w:sz w:val="36"/>
                <w:szCs w:val="36"/>
              </w:rPr>
              <w:t>项目绩效目标完成情况表</w:t>
            </w:r>
            <w:r>
              <w:rPr>
                <w:b/>
                <w:bCs/>
                <w:color w:val="000000"/>
                <w:kern w:val="0"/>
                <w:sz w:val="36"/>
                <w:szCs w:val="36"/>
              </w:rPr>
              <w:br w:type="textWrapping"/>
            </w:r>
            <w:r>
              <w:rPr>
                <w:color w:val="000000"/>
                <w:kern w:val="0"/>
                <w:sz w:val="36"/>
                <w:szCs w:val="36"/>
              </w:rPr>
              <w:t xml:space="preserve">(2020 </w:t>
            </w:r>
            <w:r>
              <w:rPr>
                <w:rFonts w:hAnsi="宋体"/>
                <w:color w:val="000000"/>
                <w:kern w:val="0"/>
                <w:sz w:val="36"/>
                <w:szCs w:val="36"/>
              </w:rPr>
              <w:t>年度</w:t>
            </w:r>
            <w:r>
              <w:rPr>
                <w:color w:val="000000"/>
                <w:kern w:val="0"/>
                <w:sz w:val="36"/>
                <w:szCs w:val="36"/>
              </w:rPr>
              <w:t>)</w:t>
            </w:r>
          </w:p>
        </w:tc>
      </w:tr>
      <w:tr w14:paraId="06BA3CCC">
        <w:tblPrEx>
          <w:tblCellMar>
            <w:top w:w="0" w:type="dxa"/>
            <w:left w:w="0" w:type="dxa"/>
            <w:bottom w:w="0" w:type="dxa"/>
            <w:right w:w="0" w:type="dxa"/>
          </w:tblCellMar>
        </w:tblPrEx>
        <w:trPr>
          <w:trHeight w:val="414"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8D6392">
            <w:pPr>
              <w:widowControl/>
              <w:jc w:val="center"/>
              <w:textAlignment w:val="center"/>
              <w:rPr>
                <w:color w:val="000000"/>
                <w:sz w:val="24"/>
              </w:rPr>
            </w:pPr>
            <w:r>
              <w:rPr>
                <w:rFonts w:hAnsi="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645DBC">
            <w:pPr>
              <w:widowControl/>
              <w:jc w:val="center"/>
              <w:textAlignment w:val="center"/>
              <w:rPr>
                <w:color w:val="000000"/>
                <w:sz w:val="24"/>
              </w:rPr>
            </w:pPr>
            <w:r>
              <w:rPr>
                <w:color w:val="000000"/>
                <w:sz w:val="24"/>
              </w:rPr>
              <w:t>物业管理服务费</w:t>
            </w:r>
          </w:p>
        </w:tc>
      </w:tr>
      <w:tr w14:paraId="2C714FC3">
        <w:tblPrEx>
          <w:tblCellMar>
            <w:top w:w="0" w:type="dxa"/>
            <w:left w:w="0" w:type="dxa"/>
            <w:bottom w:w="0" w:type="dxa"/>
            <w:right w:w="0" w:type="dxa"/>
          </w:tblCellMar>
        </w:tblPrEx>
        <w:trPr>
          <w:trHeight w:val="393"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ABCC99">
            <w:pPr>
              <w:widowControl/>
              <w:jc w:val="center"/>
              <w:textAlignment w:val="center"/>
              <w:rPr>
                <w:color w:val="000000"/>
                <w:sz w:val="24"/>
              </w:rPr>
            </w:pPr>
            <w:r>
              <w:rPr>
                <w:rFonts w:hAnsi="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D5227C">
            <w:pPr>
              <w:widowControl/>
              <w:jc w:val="center"/>
              <w:textAlignment w:val="center"/>
              <w:rPr>
                <w:color w:val="000000"/>
                <w:sz w:val="24"/>
              </w:rPr>
            </w:pPr>
            <w:r>
              <w:rPr>
                <w:color w:val="000000"/>
                <w:sz w:val="24"/>
              </w:rPr>
              <w:t>白马工业园区管理委员会</w:t>
            </w:r>
          </w:p>
        </w:tc>
      </w:tr>
      <w:tr w14:paraId="3CD12F0B">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4711D1">
            <w:pPr>
              <w:widowControl/>
              <w:jc w:val="center"/>
              <w:textAlignment w:val="center"/>
              <w:rPr>
                <w:color w:val="000000"/>
                <w:sz w:val="24"/>
              </w:rPr>
            </w:pPr>
            <w:r>
              <w:rPr>
                <w:rFonts w:hAnsi="宋体"/>
                <w:color w:val="000000"/>
                <w:kern w:val="0"/>
                <w:sz w:val="24"/>
              </w:rPr>
              <w:t>预算执行情况</w:t>
            </w:r>
            <w:r>
              <w:rPr>
                <w:color w:val="000000"/>
                <w:kern w:val="0"/>
                <w:sz w:val="24"/>
              </w:rPr>
              <w:t>(</w:t>
            </w:r>
            <w:r>
              <w:rPr>
                <w:rFonts w:hAnsi="宋体"/>
                <w:color w:val="000000"/>
                <w:kern w:val="0"/>
                <w:sz w:val="24"/>
              </w:rPr>
              <w:t>万元</w:t>
            </w:r>
            <w:r>
              <w:rPr>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B7EFF7">
            <w:pPr>
              <w:widowControl/>
              <w:jc w:val="center"/>
              <w:textAlignment w:val="center"/>
              <w:rPr>
                <w:color w:val="000000"/>
                <w:sz w:val="24"/>
              </w:rPr>
            </w:pPr>
            <w:r>
              <w:rPr>
                <w:rFonts w:hAnsi="宋体"/>
                <w:color w:val="000000"/>
                <w:kern w:val="0"/>
                <w:sz w:val="24"/>
              </w:rPr>
              <w:t>预算数</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7F9036">
            <w:pPr>
              <w:widowControl/>
              <w:jc w:val="center"/>
              <w:textAlignment w:val="center"/>
              <w:rPr>
                <w:color w:val="000000"/>
                <w:sz w:val="24"/>
              </w:rPr>
            </w:pPr>
            <w:r>
              <w:rPr>
                <w:color w:val="000000"/>
                <w:sz w:val="24"/>
              </w:rPr>
              <w:t>3.25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5C9B58">
            <w:pPr>
              <w:widowControl/>
              <w:jc w:val="center"/>
              <w:textAlignment w:val="center"/>
              <w:rPr>
                <w:color w:val="000000"/>
                <w:sz w:val="24"/>
              </w:rPr>
            </w:pPr>
            <w:r>
              <w:rPr>
                <w:rFonts w:hAnsi="宋体"/>
                <w:color w:val="000000"/>
                <w:kern w:val="0"/>
                <w:sz w:val="24"/>
              </w:rPr>
              <w:t>执行数</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3BAF7E93">
            <w:pPr>
              <w:jc w:val="center"/>
            </w:pPr>
            <w:r>
              <w:rPr>
                <w:color w:val="000000"/>
                <w:sz w:val="24"/>
              </w:rPr>
              <w:t>3.25</w:t>
            </w:r>
          </w:p>
        </w:tc>
      </w:tr>
      <w:tr w14:paraId="6D93B38A">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A01C48">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551C0E">
            <w:pPr>
              <w:widowControl/>
              <w:jc w:val="center"/>
              <w:textAlignment w:val="center"/>
              <w:rPr>
                <w:color w:val="000000"/>
                <w:sz w:val="24"/>
              </w:rPr>
            </w:pPr>
            <w:r>
              <w:rPr>
                <w:rFonts w:hAnsi="宋体"/>
                <w:color w:val="000000"/>
                <w:kern w:val="0"/>
                <w:sz w:val="24"/>
              </w:rPr>
              <w:t>其中</w:t>
            </w:r>
            <w:r>
              <w:rPr>
                <w:color w:val="000000"/>
                <w:kern w:val="0"/>
                <w:sz w:val="24"/>
              </w:rPr>
              <w:t>-</w:t>
            </w:r>
            <w:r>
              <w:rPr>
                <w:rFonts w:hAnsi="宋体"/>
                <w:color w:val="000000"/>
                <w:kern w:val="0"/>
                <w:sz w:val="24"/>
              </w:rPr>
              <w:t>财政拨款</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3064BD">
            <w:pPr>
              <w:widowControl/>
              <w:jc w:val="center"/>
              <w:textAlignment w:val="center"/>
              <w:rPr>
                <w:color w:val="000000"/>
                <w:sz w:val="24"/>
              </w:rPr>
            </w:pPr>
            <w:r>
              <w:rPr>
                <w:color w:val="000000"/>
                <w:sz w:val="24"/>
              </w:rPr>
              <w:t>3.25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93072B">
            <w:pPr>
              <w:widowControl/>
              <w:jc w:val="center"/>
              <w:textAlignment w:val="center"/>
              <w:rPr>
                <w:color w:val="000000"/>
                <w:sz w:val="24"/>
              </w:rPr>
            </w:pPr>
            <w:r>
              <w:rPr>
                <w:rFonts w:hAnsi="宋体"/>
                <w:color w:val="000000"/>
                <w:kern w:val="0"/>
                <w:sz w:val="24"/>
              </w:rPr>
              <w:t>其中</w:t>
            </w:r>
            <w:r>
              <w:rPr>
                <w:color w:val="000000"/>
                <w:kern w:val="0"/>
                <w:sz w:val="24"/>
              </w:rPr>
              <w:t>-</w:t>
            </w:r>
            <w:r>
              <w:rPr>
                <w:rFonts w:hAnsi="宋体"/>
                <w:color w:val="000000"/>
                <w:kern w:val="0"/>
                <w:sz w:val="24"/>
              </w:rPr>
              <w:t>财政拨款</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27A96C62">
            <w:pPr>
              <w:jc w:val="center"/>
            </w:pPr>
            <w:r>
              <w:rPr>
                <w:color w:val="000000"/>
                <w:sz w:val="24"/>
              </w:rPr>
              <w:t>3.25</w:t>
            </w:r>
          </w:p>
        </w:tc>
      </w:tr>
      <w:tr w14:paraId="4E642471">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E08AF9">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43FF80">
            <w:pPr>
              <w:widowControl/>
              <w:jc w:val="center"/>
              <w:textAlignment w:val="center"/>
              <w:rPr>
                <w:color w:val="000000"/>
                <w:sz w:val="24"/>
              </w:rPr>
            </w:pPr>
            <w:r>
              <w:rPr>
                <w:rFonts w:hAnsi="宋体"/>
                <w:color w:val="000000"/>
                <w:kern w:val="0"/>
                <w:sz w:val="24"/>
              </w:rPr>
              <w:t>其它资金</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A50354">
            <w:pPr>
              <w:widowControl/>
              <w:jc w:val="center"/>
              <w:textAlignment w:val="center"/>
              <w:rPr>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E2F275">
            <w:pPr>
              <w:widowControl/>
              <w:jc w:val="center"/>
              <w:textAlignment w:val="center"/>
              <w:rPr>
                <w:color w:val="000000"/>
                <w:sz w:val="24"/>
              </w:rPr>
            </w:pPr>
            <w:r>
              <w:rPr>
                <w:rFonts w:hAnsi="宋体"/>
                <w:color w:val="000000"/>
                <w:kern w:val="0"/>
                <w:sz w:val="24"/>
              </w:rPr>
              <w:t>其它资金</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D321B3">
            <w:pPr>
              <w:jc w:val="center"/>
              <w:rPr>
                <w:color w:val="000000"/>
                <w:sz w:val="24"/>
              </w:rPr>
            </w:pPr>
          </w:p>
        </w:tc>
      </w:tr>
      <w:tr w14:paraId="50D4F589">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8EE544">
            <w:pPr>
              <w:widowControl/>
              <w:jc w:val="center"/>
              <w:textAlignment w:val="center"/>
              <w:rPr>
                <w:color w:val="000000"/>
                <w:sz w:val="24"/>
              </w:rPr>
            </w:pPr>
            <w:r>
              <w:rPr>
                <w:rFonts w:hAnsi="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A0741E">
            <w:pPr>
              <w:widowControl/>
              <w:jc w:val="center"/>
              <w:textAlignment w:val="center"/>
              <w:rPr>
                <w:color w:val="000000"/>
                <w:sz w:val="24"/>
              </w:rPr>
            </w:pPr>
            <w:r>
              <w:rPr>
                <w:rFonts w:hAnsi="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C9F114">
            <w:pPr>
              <w:widowControl/>
              <w:jc w:val="center"/>
              <w:textAlignment w:val="center"/>
              <w:rPr>
                <w:color w:val="000000"/>
                <w:sz w:val="24"/>
              </w:rPr>
            </w:pPr>
            <w:r>
              <w:rPr>
                <w:rFonts w:hAnsi="宋体"/>
                <w:color w:val="000000"/>
                <w:kern w:val="0"/>
                <w:sz w:val="24"/>
              </w:rPr>
              <w:t>实际完成目标</w:t>
            </w:r>
          </w:p>
        </w:tc>
      </w:tr>
      <w:tr w14:paraId="214E309F">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DE5046">
            <w:pPr>
              <w:jc w:val="center"/>
              <w:rPr>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5EC548">
            <w:pPr>
              <w:widowControl/>
              <w:jc w:val="center"/>
              <w:textAlignment w:val="center"/>
              <w:rPr>
                <w:color w:val="000000"/>
                <w:sz w:val="24"/>
              </w:rPr>
            </w:pPr>
            <w:r>
              <w:rPr>
                <w:color w:val="000000"/>
                <w:sz w:val="24"/>
              </w:rPr>
              <w:t>保障办公区域安全、卫生，支持干部职工的工作，提高了环境卫生质量。</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38C9A0">
            <w:pPr>
              <w:widowControl/>
              <w:jc w:val="center"/>
              <w:textAlignment w:val="center"/>
              <w:rPr>
                <w:color w:val="000000"/>
                <w:sz w:val="24"/>
              </w:rPr>
            </w:pPr>
            <w:r>
              <w:rPr>
                <w:color w:val="000000"/>
                <w:sz w:val="24"/>
              </w:rPr>
              <w:t>保障办公区域安全、卫生，支持干部职工的工作，提高了环境卫生质量</w:t>
            </w:r>
          </w:p>
        </w:tc>
      </w:tr>
      <w:tr w14:paraId="6BF3A04B">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002218B1">
            <w:pPr>
              <w:widowControl/>
              <w:jc w:val="center"/>
              <w:textAlignment w:val="center"/>
              <w:rPr>
                <w:color w:val="000000"/>
                <w:sz w:val="24"/>
              </w:rPr>
            </w:pPr>
            <w:r>
              <w:rPr>
                <w:rFonts w:hAnsi="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B47606">
            <w:pPr>
              <w:widowControl/>
              <w:jc w:val="center"/>
              <w:textAlignment w:val="center"/>
              <w:rPr>
                <w:color w:val="000000"/>
                <w:sz w:val="24"/>
              </w:rPr>
            </w:pPr>
            <w:r>
              <w:rPr>
                <w:rFonts w:hAnsi="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F3C8A7">
            <w:pPr>
              <w:widowControl/>
              <w:jc w:val="center"/>
              <w:textAlignment w:val="center"/>
              <w:rPr>
                <w:color w:val="000000"/>
                <w:sz w:val="24"/>
              </w:rPr>
            </w:pPr>
            <w:r>
              <w:rPr>
                <w:rFonts w:hAnsi="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C7C84F">
            <w:pPr>
              <w:widowControl/>
              <w:jc w:val="center"/>
              <w:textAlignment w:val="center"/>
              <w:rPr>
                <w:color w:val="000000"/>
                <w:sz w:val="24"/>
              </w:rPr>
            </w:pPr>
            <w:r>
              <w:rPr>
                <w:rFonts w:hAnsi="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F943B5">
            <w:pPr>
              <w:widowControl/>
              <w:jc w:val="center"/>
              <w:textAlignment w:val="center"/>
              <w:rPr>
                <w:color w:val="000000"/>
                <w:sz w:val="24"/>
              </w:rPr>
            </w:pPr>
            <w:r>
              <w:rPr>
                <w:rFonts w:hAnsi="宋体"/>
                <w:color w:val="000000"/>
                <w:kern w:val="0"/>
                <w:sz w:val="24"/>
              </w:rPr>
              <w:t>预期指标值</w:t>
            </w:r>
            <w:r>
              <w:rPr>
                <w:color w:val="000000"/>
                <w:kern w:val="0"/>
                <w:sz w:val="24"/>
              </w:rPr>
              <w:t>(</w:t>
            </w:r>
            <w:r>
              <w:rPr>
                <w:rFonts w:hAnsi="宋体"/>
                <w:color w:val="000000"/>
                <w:kern w:val="0"/>
                <w:sz w:val="24"/>
              </w:rPr>
              <w:t>包含数字及文字描述</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B481B0">
            <w:pPr>
              <w:widowControl/>
              <w:jc w:val="center"/>
              <w:textAlignment w:val="center"/>
              <w:rPr>
                <w:color w:val="000000"/>
                <w:sz w:val="24"/>
              </w:rPr>
            </w:pPr>
            <w:r>
              <w:rPr>
                <w:rFonts w:hAnsi="宋体"/>
                <w:color w:val="000000"/>
                <w:kern w:val="0"/>
                <w:sz w:val="24"/>
              </w:rPr>
              <w:t>实际完成指标值</w:t>
            </w:r>
            <w:r>
              <w:rPr>
                <w:color w:val="000000"/>
                <w:kern w:val="0"/>
                <w:sz w:val="24"/>
              </w:rPr>
              <w:t>(</w:t>
            </w:r>
            <w:r>
              <w:rPr>
                <w:rFonts w:hAnsi="宋体"/>
                <w:color w:val="000000"/>
                <w:kern w:val="0"/>
                <w:sz w:val="24"/>
              </w:rPr>
              <w:t>包含数字及文字描述</w:t>
            </w:r>
            <w:r>
              <w:rPr>
                <w:color w:val="000000"/>
                <w:kern w:val="0"/>
                <w:sz w:val="24"/>
              </w:rPr>
              <w:t>)</w:t>
            </w:r>
          </w:p>
        </w:tc>
      </w:tr>
      <w:tr w14:paraId="1BC0B182">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01801D6">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230330">
            <w:pPr>
              <w:widowControl/>
              <w:jc w:val="center"/>
              <w:textAlignment w:val="center"/>
              <w:rPr>
                <w:color w:val="000000"/>
                <w:sz w:val="24"/>
              </w:rPr>
            </w:pPr>
            <w:r>
              <w:rPr>
                <w:rFonts w:hAnsi="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59FA86">
            <w:pPr>
              <w:widowControl/>
              <w:jc w:val="center"/>
              <w:textAlignment w:val="center"/>
              <w:rPr>
                <w:rFonts w:eastAsiaTheme="minorEastAsia"/>
                <w:color w:val="000000"/>
                <w:szCs w:val="21"/>
              </w:rPr>
            </w:pPr>
            <w:r>
              <w:rPr>
                <w:rFonts w:hAnsiTheme="minorEastAsia" w:eastAsiaTheme="minorEastAsia"/>
                <w:color w:val="000000"/>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794804">
            <w:pPr>
              <w:widowControl/>
              <w:jc w:val="center"/>
              <w:textAlignment w:val="center"/>
              <w:rPr>
                <w:rFonts w:eastAsiaTheme="minorEastAsia"/>
                <w:color w:val="000000"/>
                <w:szCs w:val="21"/>
              </w:rPr>
            </w:pPr>
            <w:r>
              <w:rPr>
                <w:rFonts w:hAnsiTheme="minorEastAsia" w:eastAsiaTheme="minorEastAsia"/>
                <w:color w:val="000000"/>
              </w:rPr>
              <w:t>面积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D16546">
            <w:pPr>
              <w:widowControl/>
              <w:jc w:val="center"/>
              <w:textAlignment w:val="center"/>
              <w:rPr>
                <w:rFonts w:eastAsiaTheme="minorEastAsia"/>
                <w:color w:val="000000"/>
                <w:sz w:val="18"/>
                <w:szCs w:val="18"/>
              </w:rPr>
            </w:pPr>
            <w:r>
              <w:rPr>
                <w:rFonts w:eastAsiaTheme="minorEastAsia"/>
                <w:color w:val="000000"/>
              </w:rPr>
              <w:t>208.24</w:t>
            </w:r>
            <w:r>
              <w:rPr>
                <w:rFonts w:hAnsiTheme="minorEastAsia" w:eastAsiaTheme="minorEastAsia"/>
                <w:color w:val="000000"/>
              </w:rPr>
              <w:t>平米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81F5FF">
            <w:pPr>
              <w:widowControl/>
              <w:jc w:val="center"/>
              <w:textAlignment w:val="center"/>
              <w:rPr>
                <w:rFonts w:eastAsiaTheme="minorEastAsia"/>
                <w:color w:val="000000"/>
                <w:sz w:val="18"/>
                <w:szCs w:val="18"/>
              </w:rPr>
            </w:pPr>
            <w:r>
              <w:rPr>
                <w:rFonts w:eastAsiaTheme="minorEastAsia"/>
                <w:color w:val="000000"/>
              </w:rPr>
              <w:t>208.24</w:t>
            </w:r>
            <w:r>
              <w:rPr>
                <w:rFonts w:hAnsiTheme="minorEastAsia" w:eastAsiaTheme="minorEastAsia"/>
                <w:color w:val="000000"/>
              </w:rPr>
              <w:t>平米</w:t>
            </w:r>
          </w:p>
        </w:tc>
      </w:tr>
      <w:tr w14:paraId="1BF80E0B">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23F6E69">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D55073">
            <w:pPr>
              <w:widowControl/>
              <w:jc w:val="center"/>
              <w:textAlignment w:val="center"/>
              <w:rPr>
                <w:color w:val="000000"/>
                <w:sz w:val="24"/>
              </w:rPr>
            </w:pPr>
            <w:r>
              <w:rPr>
                <w:rFonts w:hAnsi="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689369">
            <w:pPr>
              <w:widowControl/>
              <w:jc w:val="center"/>
              <w:textAlignment w:val="center"/>
              <w:rPr>
                <w:rFonts w:eastAsiaTheme="minorEastAsia"/>
                <w:color w:val="000000"/>
                <w:szCs w:val="21"/>
              </w:rPr>
            </w:pPr>
            <w:r>
              <w:rPr>
                <w:rFonts w:hAnsiTheme="minorEastAsia" w:eastAsiaTheme="minorEastAsia"/>
                <w:color w:val="000000"/>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875852">
            <w:pPr>
              <w:widowControl/>
              <w:jc w:val="center"/>
              <w:textAlignment w:val="center"/>
              <w:rPr>
                <w:rFonts w:eastAsiaTheme="minorEastAsia"/>
                <w:color w:val="000000"/>
                <w:szCs w:val="21"/>
              </w:rPr>
            </w:pPr>
            <w:r>
              <w:rPr>
                <w:rFonts w:hAnsiTheme="minorEastAsia" w:eastAsiaTheme="minorEastAsia"/>
                <w:color w:val="000000"/>
              </w:rPr>
              <w:t>公共场所干净人、卫生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179A3F">
            <w:pPr>
              <w:widowControl/>
              <w:jc w:val="center"/>
              <w:textAlignment w:val="center"/>
              <w:rPr>
                <w:rFonts w:eastAsiaTheme="minorEastAsia"/>
                <w:color w:val="000000"/>
                <w:szCs w:val="21"/>
              </w:rPr>
            </w:pPr>
            <w:r>
              <w:rPr>
                <w:rFonts w:hAnsiTheme="minorEastAsia" w:eastAsiaTheme="minorEastAsia"/>
                <w:color w:val="000000"/>
              </w:rPr>
              <w:t>满意度达</w:t>
            </w:r>
            <w:r>
              <w:rPr>
                <w:rFonts w:eastAsiaTheme="minorEastAsia"/>
                <w:color w:val="000000"/>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5FB992">
            <w:pPr>
              <w:widowControl/>
              <w:jc w:val="center"/>
              <w:textAlignment w:val="center"/>
              <w:rPr>
                <w:rFonts w:eastAsiaTheme="minorEastAsia"/>
                <w:color w:val="000000"/>
                <w:szCs w:val="21"/>
              </w:rPr>
            </w:pPr>
            <w:r>
              <w:rPr>
                <w:rFonts w:hAnsiTheme="minorEastAsia" w:eastAsiaTheme="minorEastAsia"/>
                <w:color w:val="000000"/>
              </w:rPr>
              <w:t>大于</w:t>
            </w:r>
            <w:r>
              <w:rPr>
                <w:rFonts w:eastAsiaTheme="minorEastAsia"/>
                <w:color w:val="000000"/>
              </w:rPr>
              <w:t>95%</w:t>
            </w:r>
          </w:p>
        </w:tc>
      </w:tr>
      <w:tr w14:paraId="2F88E876">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7DB66EE">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DDD1F4">
            <w:pPr>
              <w:widowControl/>
              <w:jc w:val="center"/>
              <w:textAlignment w:val="center"/>
              <w:rPr>
                <w:color w:val="000000"/>
                <w:sz w:val="24"/>
              </w:rPr>
            </w:pPr>
            <w:r>
              <w:rPr>
                <w:rFonts w:hAnsi="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73716E">
            <w:pPr>
              <w:widowControl/>
              <w:jc w:val="center"/>
              <w:textAlignment w:val="center"/>
              <w:rPr>
                <w:rFonts w:eastAsiaTheme="minorEastAsia"/>
                <w:color w:val="000000"/>
                <w:szCs w:val="21"/>
              </w:rPr>
            </w:pPr>
            <w:r>
              <w:rPr>
                <w:rFonts w:hAnsiTheme="minorEastAsia" w:eastAsiaTheme="minorEastAsia"/>
                <w:color w:val="000000"/>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53EA1D">
            <w:pPr>
              <w:widowControl/>
              <w:jc w:val="center"/>
              <w:textAlignment w:val="center"/>
              <w:rPr>
                <w:rFonts w:eastAsiaTheme="minorEastAsia"/>
                <w:color w:val="000000"/>
                <w:szCs w:val="21"/>
              </w:rPr>
            </w:pPr>
            <w:r>
              <w:rPr>
                <w:rFonts w:hAnsiTheme="minorEastAsia" w:eastAsiaTheme="minorEastAsia"/>
                <w:color w:val="000000"/>
              </w:rPr>
              <w:t>完成时效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852378">
            <w:pPr>
              <w:widowControl/>
              <w:jc w:val="center"/>
              <w:textAlignment w:val="center"/>
              <w:rPr>
                <w:rFonts w:eastAsiaTheme="minorEastAsia"/>
                <w:color w:val="000000"/>
                <w:szCs w:val="21"/>
              </w:rPr>
            </w:pPr>
            <w:r>
              <w:rPr>
                <w:rFonts w:eastAsiaTheme="minorEastAsia"/>
                <w:color w:val="000000"/>
              </w:rPr>
              <w:t>2020</w:t>
            </w:r>
            <w:r>
              <w:rPr>
                <w:rFonts w:hAnsiTheme="minorEastAsia" w:eastAsiaTheme="minorEastAsia"/>
                <w:color w:val="000000"/>
              </w:rPr>
              <w:t>年</w:t>
            </w:r>
            <w:r>
              <w:rPr>
                <w:rFonts w:eastAsiaTheme="minorEastAsia"/>
                <w:color w:val="000000"/>
              </w:rPr>
              <w:t>1-12</w:t>
            </w:r>
            <w:r>
              <w:rPr>
                <w:rFonts w:hAnsiTheme="minorEastAsia" w:eastAsiaTheme="minorEastAsia"/>
                <w:color w:val="000000"/>
              </w:rPr>
              <w:t>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20D3F3">
            <w:pPr>
              <w:widowControl/>
              <w:jc w:val="center"/>
              <w:textAlignment w:val="center"/>
              <w:rPr>
                <w:rFonts w:eastAsiaTheme="minorEastAsia"/>
                <w:color w:val="000000"/>
                <w:szCs w:val="21"/>
              </w:rPr>
            </w:pPr>
            <w:r>
              <w:rPr>
                <w:rFonts w:eastAsiaTheme="minorEastAsia"/>
                <w:color w:val="000000"/>
              </w:rPr>
              <w:t>2020</w:t>
            </w:r>
            <w:r>
              <w:rPr>
                <w:rFonts w:hAnsiTheme="minorEastAsia" w:eastAsiaTheme="minorEastAsia"/>
                <w:color w:val="000000"/>
              </w:rPr>
              <w:t>年</w:t>
            </w:r>
            <w:r>
              <w:rPr>
                <w:rFonts w:eastAsiaTheme="minorEastAsia"/>
                <w:color w:val="000000"/>
              </w:rPr>
              <w:t>1-12</w:t>
            </w:r>
            <w:r>
              <w:rPr>
                <w:rFonts w:hAnsiTheme="minorEastAsia" w:eastAsiaTheme="minorEastAsia"/>
                <w:color w:val="000000"/>
              </w:rPr>
              <w:t>月</w:t>
            </w:r>
          </w:p>
        </w:tc>
      </w:tr>
      <w:tr w14:paraId="7D14A869">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8B70F62">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432C49">
            <w:pPr>
              <w:widowControl/>
              <w:jc w:val="center"/>
              <w:textAlignment w:val="center"/>
              <w:rPr>
                <w:color w:val="000000"/>
                <w:kern w:val="0"/>
                <w:sz w:val="24"/>
              </w:rPr>
            </w:pPr>
            <w:r>
              <w:rPr>
                <w:rFonts w:hAnsi="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3AD57C">
            <w:pPr>
              <w:widowControl/>
              <w:jc w:val="center"/>
              <w:textAlignment w:val="center"/>
              <w:rPr>
                <w:rFonts w:eastAsiaTheme="minorEastAsia"/>
                <w:color w:val="000000"/>
                <w:szCs w:val="21"/>
              </w:rPr>
            </w:pPr>
            <w:r>
              <w:rPr>
                <w:rFonts w:hAnsiTheme="minorEastAsia" w:eastAsiaTheme="minorEastAsia"/>
                <w:color w:val="000000"/>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D722CA">
            <w:pPr>
              <w:widowControl/>
              <w:jc w:val="center"/>
              <w:textAlignment w:val="center"/>
              <w:rPr>
                <w:rFonts w:eastAsiaTheme="minorEastAsia"/>
                <w:color w:val="000000"/>
                <w:szCs w:val="21"/>
              </w:rPr>
            </w:pPr>
            <w:r>
              <w:rPr>
                <w:rFonts w:hAnsiTheme="minorEastAsia" w:eastAsiaTheme="minorEastAsia"/>
                <w:color w:val="000000"/>
                <w:szCs w:val="21"/>
              </w:rPr>
              <w:t>资金总额</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1A4365">
            <w:pPr>
              <w:widowControl/>
              <w:jc w:val="center"/>
              <w:textAlignment w:val="center"/>
              <w:rPr>
                <w:rFonts w:eastAsiaTheme="minorEastAsia"/>
                <w:color w:val="000000"/>
                <w:szCs w:val="21"/>
              </w:rPr>
            </w:pPr>
            <w:r>
              <w:rPr>
                <w:rFonts w:eastAsiaTheme="minorEastAsia"/>
                <w:color w:val="000000"/>
              </w:rPr>
              <w:t>3.25</w:t>
            </w:r>
            <w:r>
              <w:rPr>
                <w:rFonts w:hAnsiTheme="minorEastAsia" w:eastAsiaTheme="minorEastAsia"/>
                <w:color w:val="000000"/>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186F84">
            <w:pPr>
              <w:widowControl/>
              <w:jc w:val="center"/>
              <w:textAlignment w:val="center"/>
              <w:rPr>
                <w:rFonts w:eastAsiaTheme="minorEastAsia"/>
                <w:color w:val="000000"/>
                <w:szCs w:val="21"/>
              </w:rPr>
            </w:pPr>
            <w:r>
              <w:rPr>
                <w:rFonts w:eastAsiaTheme="minorEastAsia"/>
                <w:color w:val="000000"/>
              </w:rPr>
              <w:t>3.25</w:t>
            </w:r>
            <w:r>
              <w:rPr>
                <w:rFonts w:hAnsiTheme="minorEastAsia" w:eastAsiaTheme="minorEastAsia"/>
                <w:color w:val="000000"/>
              </w:rPr>
              <w:t>万元</w:t>
            </w:r>
          </w:p>
        </w:tc>
      </w:tr>
      <w:tr w14:paraId="60DCB5C1">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4B4CBED">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AD52AA">
            <w:pPr>
              <w:widowControl/>
              <w:jc w:val="center"/>
              <w:textAlignment w:val="center"/>
              <w:rPr>
                <w:color w:val="000000"/>
                <w:sz w:val="24"/>
              </w:rPr>
            </w:pPr>
            <w:r>
              <w:rPr>
                <w:rFonts w:hAnsi="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EA15A5">
            <w:pPr>
              <w:widowControl/>
              <w:jc w:val="center"/>
              <w:textAlignment w:val="center"/>
              <w:rPr>
                <w:rFonts w:eastAsiaTheme="minorEastAsia"/>
                <w:color w:val="000000"/>
              </w:rPr>
            </w:pPr>
            <w:r>
              <w:rPr>
                <w:rFonts w:hAnsiTheme="minorEastAsia" w:eastAsiaTheme="minorEastAsia"/>
                <w:color w:val="000000"/>
              </w:rPr>
              <w:t>社会效益</w:t>
            </w:r>
          </w:p>
          <w:p w14:paraId="70AD53A5">
            <w:pPr>
              <w:widowControl/>
              <w:jc w:val="center"/>
              <w:textAlignment w:val="center"/>
              <w:rPr>
                <w:rFonts w:eastAsiaTheme="minorEastAsia"/>
                <w:color w:val="000000"/>
                <w:szCs w:val="21"/>
              </w:rPr>
            </w:pPr>
            <w:r>
              <w:rPr>
                <w:rFonts w:hAnsiTheme="minorEastAsia" w:eastAsiaTheme="minorEastAsia"/>
                <w:color w:val="000000"/>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E47E66">
            <w:pPr>
              <w:widowControl/>
              <w:textAlignment w:val="center"/>
              <w:rPr>
                <w:rFonts w:eastAsiaTheme="minorEastAsia"/>
                <w:color w:val="000000"/>
                <w:szCs w:val="21"/>
              </w:rPr>
            </w:pPr>
            <w:r>
              <w:rPr>
                <w:rFonts w:hAnsiTheme="minorEastAsia" w:eastAsiaTheme="minorEastAsia"/>
                <w:color w:val="000000"/>
              </w:rPr>
              <w:t>办公场所干净、卫生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1CACE9">
            <w:pPr>
              <w:widowControl/>
              <w:jc w:val="center"/>
              <w:textAlignment w:val="center"/>
              <w:rPr>
                <w:rFonts w:eastAsiaTheme="minorEastAsia"/>
                <w:color w:val="000000"/>
                <w:szCs w:val="21"/>
              </w:rPr>
            </w:pPr>
          </w:p>
          <w:p w14:paraId="6C596492">
            <w:pPr>
              <w:jc w:val="center"/>
              <w:rPr>
                <w:rFonts w:eastAsiaTheme="minorEastAsia"/>
                <w:sz w:val="18"/>
                <w:szCs w:val="18"/>
              </w:rPr>
            </w:pPr>
            <w:r>
              <w:rPr>
                <w:rFonts w:hAnsiTheme="minorEastAsia" w:eastAsiaTheme="minorEastAsia"/>
                <w:sz w:val="18"/>
                <w:szCs w:val="18"/>
              </w:rPr>
              <w:t>保证单位正常办公</w:t>
            </w:r>
          </w:p>
          <w:p w14:paraId="5E1651E3">
            <w:pPr>
              <w:widowControl/>
              <w:jc w:val="center"/>
              <w:textAlignment w:val="center"/>
              <w:rPr>
                <w:rFonts w:eastAsiaTheme="minorEastAsia"/>
                <w:color w:val="000000"/>
                <w:szCs w:val="21"/>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ACD699">
            <w:pPr>
              <w:widowControl/>
              <w:jc w:val="center"/>
              <w:textAlignment w:val="center"/>
              <w:rPr>
                <w:rFonts w:eastAsiaTheme="minorEastAsia"/>
                <w:color w:val="000000"/>
              </w:rPr>
            </w:pPr>
          </w:p>
          <w:p w14:paraId="67D79F81">
            <w:pPr>
              <w:jc w:val="center"/>
              <w:rPr>
                <w:rFonts w:eastAsiaTheme="minorEastAsia"/>
                <w:sz w:val="18"/>
                <w:szCs w:val="18"/>
              </w:rPr>
            </w:pPr>
            <w:r>
              <w:rPr>
                <w:rFonts w:hAnsiTheme="minorEastAsia" w:eastAsiaTheme="minorEastAsia"/>
                <w:sz w:val="18"/>
                <w:szCs w:val="18"/>
              </w:rPr>
              <w:t>保证单位正常办公</w:t>
            </w:r>
          </w:p>
          <w:p w14:paraId="2A34B3D5">
            <w:pPr>
              <w:widowControl/>
              <w:jc w:val="center"/>
              <w:textAlignment w:val="center"/>
              <w:rPr>
                <w:rFonts w:eastAsiaTheme="minorEastAsia"/>
                <w:color w:val="000000"/>
                <w:szCs w:val="21"/>
              </w:rPr>
            </w:pPr>
          </w:p>
        </w:tc>
      </w:tr>
      <w:tr w14:paraId="2B721AAD">
        <w:tblPrEx>
          <w:tblCellMar>
            <w:top w:w="0" w:type="dxa"/>
            <w:left w:w="0" w:type="dxa"/>
            <w:bottom w:w="0" w:type="dxa"/>
            <w:right w:w="0" w:type="dxa"/>
          </w:tblCellMar>
        </w:tblPrEx>
        <w:trPr>
          <w:trHeight w:val="1050" w:hRule="atLeast"/>
          <w:jc w:val="center"/>
        </w:trPr>
        <w:tc>
          <w:tcPr>
            <w:tcW w:w="390" w:type="dxa"/>
            <w:tcBorders>
              <w:left w:val="single" w:color="000000" w:sz="4" w:space="0"/>
              <w:bottom w:val="single" w:color="000000" w:sz="4" w:space="0"/>
              <w:right w:val="single" w:color="000000" w:sz="4" w:space="0"/>
            </w:tcBorders>
            <w:tcMar>
              <w:top w:w="15" w:type="dxa"/>
              <w:left w:w="15" w:type="dxa"/>
              <w:right w:w="15" w:type="dxa"/>
            </w:tcMar>
            <w:vAlign w:val="center"/>
          </w:tcPr>
          <w:p w14:paraId="21C3D6F5">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2FBE60">
            <w:pPr>
              <w:widowControl/>
              <w:jc w:val="center"/>
              <w:textAlignment w:val="center"/>
              <w:rPr>
                <w:color w:val="000000"/>
                <w:kern w:val="0"/>
                <w:sz w:val="24"/>
              </w:rPr>
            </w:pPr>
            <w:r>
              <w:rPr>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6AE2F6">
            <w:pPr>
              <w:widowControl/>
              <w:jc w:val="center"/>
              <w:textAlignment w:val="center"/>
              <w:rPr>
                <w:rFonts w:eastAsiaTheme="minorEastAsia"/>
                <w:color w:val="000000"/>
                <w:sz w:val="24"/>
              </w:rPr>
            </w:pPr>
            <w:r>
              <w:rPr>
                <w:rFonts w:eastAsiaTheme="minorEastAsia"/>
                <w:color w:val="000000"/>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68EA27">
            <w:pPr>
              <w:widowControl/>
              <w:jc w:val="center"/>
              <w:textAlignment w:val="center"/>
              <w:rPr>
                <w:rFonts w:eastAsiaTheme="minorEastAsia"/>
                <w:color w:val="000000"/>
                <w:szCs w:val="21"/>
              </w:rPr>
            </w:pPr>
            <w:r>
              <w:rPr>
                <w:rFonts w:eastAsiaTheme="minorEastAsia"/>
                <w:color w:val="000000"/>
                <w:szCs w:val="21"/>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9902E2">
            <w:pPr>
              <w:widowControl/>
              <w:jc w:val="center"/>
              <w:textAlignment w:val="center"/>
              <w:rPr>
                <w:rFonts w:eastAsiaTheme="minorEastAsia"/>
                <w:color w:val="000000"/>
                <w:szCs w:val="21"/>
              </w:rPr>
            </w:pPr>
            <w:r>
              <w:rPr>
                <w:rFonts w:eastAsiaTheme="minorEastAsia"/>
                <w:szCs w:val="21"/>
              </w:rPr>
              <w:t>满意度</w:t>
            </w:r>
            <w:r>
              <w:rPr>
                <w:rFonts w:eastAsiaTheme="minorEastAsia"/>
                <w:color w:val="000000"/>
                <w:szCs w:val="21"/>
              </w:rPr>
              <w:t>95%及以上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0AE818">
            <w:pPr>
              <w:widowControl/>
              <w:jc w:val="center"/>
              <w:textAlignment w:val="center"/>
              <w:rPr>
                <w:rFonts w:eastAsiaTheme="minorEastAsia"/>
                <w:color w:val="000000"/>
                <w:szCs w:val="21"/>
              </w:rPr>
            </w:pPr>
            <w:r>
              <w:rPr>
                <w:rFonts w:eastAsiaTheme="minorEastAsia"/>
                <w:szCs w:val="21"/>
              </w:rPr>
              <w:t>满意度</w:t>
            </w:r>
            <w:r>
              <w:rPr>
                <w:rFonts w:eastAsiaTheme="minorEastAsia"/>
                <w:color w:val="000000"/>
                <w:szCs w:val="21"/>
              </w:rPr>
              <w:t>95%及以上</w:t>
            </w:r>
          </w:p>
        </w:tc>
      </w:tr>
    </w:tbl>
    <w:p w14:paraId="57845B6A">
      <w:pPr>
        <w:spacing w:line="580" w:lineRule="exact"/>
        <w:ind w:left="630"/>
        <w:rPr>
          <w:rFonts w:eastAsia="楷体_GB2312"/>
          <w:sz w:val="32"/>
          <w:szCs w:val="32"/>
          <w:highlight w:val="yellow"/>
        </w:rPr>
      </w:pPr>
    </w:p>
    <w:p w14:paraId="0BD526FB">
      <w:pPr>
        <w:tabs>
          <w:tab w:val="left" w:pos="312"/>
        </w:tabs>
        <w:spacing w:line="600" w:lineRule="exact"/>
        <w:ind w:firstLine="640" w:firstLineChars="200"/>
        <w:rPr>
          <w:rFonts w:eastAsia="仿宋_GB2312"/>
          <w:sz w:val="32"/>
          <w:szCs w:val="32"/>
        </w:rPr>
      </w:pPr>
      <w:r>
        <w:rPr>
          <w:rFonts w:eastAsia="仿宋_GB2312"/>
          <w:sz w:val="32"/>
          <w:szCs w:val="32"/>
        </w:rPr>
        <w:t>（4）“一枝山PPP项目水土保持补偿资金”绩效目标完成情况综述。该项目全年预算数13.40元，执行数为13.40万元，完成预算的100%。</w:t>
      </w:r>
      <w:r>
        <w:rPr>
          <w:rFonts w:hint="eastAsia" w:eastAsia="仿宋_GB2312"/>
          <w:sz w:val="32"/>
          <w:szCs w:val="32"/>
        </w:rPr>
        <w:t>通过</w:t>
      </w:r>
      <w:r>
        <w:rPr>
          <w:rFonts w:eastAsia="仿宋_GB2312"/>
          <w:sz w:val="32"/>
          <w:szCs w:val="32"/>
        </w:rPr>
        <w:t>基础设施建设项目实施，缴纳水土保持补偿费，促进园区快速发展。</w:t>
      </w:r>
    </w:p>
    <w:p w14:paraId="68564718">
      <w:pPr>
        <w:tabs>
          <w:tab w:val="left" w:pos="312"/>
        </w:tabs>
        <w:spacing w:line="600" w:lineRule="exact"/>
        <w:ind w:firstLine="640" w:firstLineChars="200"/>
        <w:rPr>
          <w:rFonts w:eastAsia="仿宋_GB2312"/>
          <w:sz w:val="32"/>
          <w:szCs w:val="32"/>
        </w:rPr>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27310027">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16228715">
            <w:pPr>
              <w:widowControl/>
              <w:jc w:val="center"/>
              <w:textAlignment w:val="center"/>
              <w:rPr>
                <w:color w:val="000000"/>
                <w:sz w:val="36"/>
                <w:szCs w:val="36"/>
              </w:rPr>
            </w:pPr>
            <w:r>
              <w:rPr>
                <w:b/>
                <w:bCs/>
                <w:color w:val="000000"/>
                <w:kern w:val="0"/>
                <w:sz w:val="36"/>
                <w:szCs w:val="36"/>
              </w:rPr>
              <w:t>项目绩效目标完成情况表</w:t>
            </w:r>
            <w:r>
              <w:rPr>
                <w:b/>
                <w:bCs/>
                <w:color w:val="000000"/>
                <w:kern w:val="0"/>
                <w:sz w:val="36"/>
                <w:szCs w:val="36"/>
              </w:rPr>
              <w:br w:type="textWrapping"/>
            </w:r>
            <w:r>
              <w:rPr>
                <w:color w:val="000000"/>
                <w:kern w:val="0"/>
                <w:sz w:val="36"/>
                <w:szCs w:val="36"/>
              </w:rPr>
              <w:t>(2020 年度)</w:t>
            </w:r>
          </w:p>
        </w:tc>
      </w:tr>
      <w:tr w14:paraId="05BC38BC">
        <w:tblPrEx>
          <w:tblCellMar>
            <w:top w:w="0" w:type="dxa"/>
            <w:left w:w="0" w:type="dxa"/>
            <w:bottom w:w="0" w:type="dxa"/>
            <w:right w:w="0" w:type="dxa"/>
          </w:tblCellMar>
        </w:tblPrEx>
        <w:trPr>
          <w:trHeight w:val="414"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D2B4B4">
            <w:pPr>
              <w:widowControl/>
              <w:jc w:val="center"/>
              <w:textAlignment w:val="center"/>
              <w:rPr>
                <w:color w:val="000000"/>
                <w:sz w:val="24"/>
              </w:rPr>
            </w:pPr>
            <w:r>
              <w:rPr>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1C133C">
            <w:pPr>
              <w:widowControl/>
              <w:jc w:val="center"/>
              <w:textAlignment w:val="center"/>
              <w:rPr>
                <w:color w:val="000000"/>
                <w:sz w:val="24"/>
              </w:rPr>
            </w:pPr>
            <w:r>
              <w:rPr>
                <w:color w:val="000000"/>
                <w:sz w:val="24"/>
              </w:rPr>
              <w:t>一枝山PPP项目水土保持补偿资金</w:t>
            </w:r>
          </w:p>
        </w:tc>
      </w:tr>
      <w:tr w14:paraId="2030FDF6">
        <w:tblPrEx>
          <w:tblCellMar>
            <w:top w:w="0" w:type="dxa"/>
            <w:left w:w="0" w:type="dxa"/>
            <w:bottom w:w="0" w:type="dxa"/>
            <w:right w:w="0" w:type="dxa"/>
          </w:tblCellMar>
        </w:tblPrEx>
        <w:trPr>
          <w:trHeight w:val="393"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F43453">
            <w:pPr>
              <w:widowControl/>
              <w:jc w:val="center"/>
              <w:textAlignment w:val="center"/>
              <w:rPr>
                <w:color w:val="000000"/>
                <w:sz w:val="24"/>
              </w:rPr>
            </w:pPr>
            <w:r>
              <w:rPr>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58905E">
            <w:pPr>
              <w:widowControl/>
              <w:jc w:val="center"/>
              <w:textAlignment w:val="center"/>
              <w:rPr>
                <w:color w:val="000000"/>
                <w:sz w:val="24"/>
              </w:rPr>
            </w:pPr>
            <w:r>
              <w:rPr>
                <w:color w:val="000000"/>
                <w:sz w:val="24"/>
              </w:rPr>
              <w:t>白马工业园区管理委员会</w:t>
            </w:r>
          </w:p>
        </w:tc>
      </w:tr>
      <w:tr w14:paraId="6BF21BEE">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A20211">
            <w:pPr>
              <w:widowControl/>
              <w:jc w:val="center"/>
              <w:textAlignment w:val="center"/>
              <w:rPr>
                <w:color w:val="000000"/>
                <w:sz w:val="24"/>
              </w:rPr>
            </w:pPr>
            <w:r>
              <w:rPr>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3C294F">
            <w:pPr>
              <w:widowControl/>
              <w:jc w:val="center"/>
              <w:textAlignment w:val="center"/>
              <w:rPr>
                <w:color w:val="000000"/>
                <w:sz w:val="24"/>
              </w:rPr>
            </w:pPr>
            <w:r>
              <w:rPr>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08B0E1">
            <w:pPr>
              <w:widowControl/>
              <w:jc w:val="center"/>
              <w:textAlignment w:val="center"/>
              <w:rPr>
                <w:color w:val="000000"/>
                <w:sz w:val="24"/>
              </w:rPr>
            </w:pPr>
            <w:r>
              <w:rPr>
                <w:color w:val="000000"/>
                <w:sz w:val="24"/>
              </w:rPr>
              <w:t>13.40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00AF48">
            <w:pPr>
              <w:widowControl/>
              <w:jc w:val="center"/>
              <w:textAlignment w:val="center"/>
              <w:rPr>
                <w:color w:val="000000"/>
                <w:sz w:val="24"/>
              </w:rPr>
            </w:pPr>
            <w:r>
              <w:rPr>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1B523205">
            <w:pPr>
              <w:jc w:val="center"/>
            </w:pPr>
            <w:r>
              <w:rPr>
                <w:color w:val="000000"/>
                <w:sz w:val="24"/>
              </w:rPr>
              <w:t>13.40</w:t>
            </w:r>
          </w:p>
        </w:tc>
      </w:tr>
      <w:tr w14:paraId="23DDC208">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5F7130">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48968E">
            <w:pPr>
              <w:widowControl/>
              <w:jc w:val="center"/>
              <w:textAlignment w:val="center"/>
              <w:rPr>
                <w:color w:val="000000"/>
                <w:sz w:val="24"/>
              </w:rPr>
            </w:pPr>
            <w:r>
              <w:rPr>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0EFEDF">
            <w:pPr>
              <w:widowControl/>
              <w:jc w:val="center"/>
              <w:textAlignment w:val="center"/>
              <w:rPr>
                <w:color w:val="000000"/>
                <w:sz w:val="24"/>
              </w:rPr>
            </w:pPr>
            <w:r>
              <w:rPr>
                <w:color w:val="000000"/>
                <w:sz w:val="24"/>
              </w:rPr>
              <w:t>13.40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FE6CAD">
            <w:pPr>
              <w:widowControl/>
              <w:jc w:val="center"/>
              <w:textAlignment w:val="center"/>
              <w:rPr>
                <w:color w:val="000000"/>
                <w:sz w:val="24"/>
              </w:rPr>
            </w:pPr>
            <w:r>
              <w:rPr>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40C2414B">
            <w:pPr>
              <w:jc w:val="center"/>
            </w:pPr>
            <w:r>
              <w:rPr>
                <w:color w:val="000000"/>
                <w:sz w:val="24"/>
              </w:rPr>
              <w:t>13.40</w:t>
            </w:r>
          </w:p>
        </w:tc>
      </w:tr>
      <w:tr w14:paraId="167F66BC">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5D5250">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E06D81">
            <w:pPr>
              <w:widowControl/>
              <w:jc w:val="center"/>
              <w:textAlignment w:val="center"/>
              <w:rPr>
                <w:color w:val="000000"/>
                <w:sz w:val="24"/>
              </w:rPr>
            </w:pPr>
            <w:r>
              <w:rPr>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E04DD6">
            <w:pPr>
              <w:widowControl/>
              <w:jc w:val="center"/>
              <w:textAlignment w:val="center"/>
              <w:rPr>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23F8A1">
            <w:pPr>
              <w:widowControl/>
              <w:jc w:val="center"/>
              <w:textAlignment w:val="center"/>
              <w:rPr>
                <w:color w:val="000000"/>
                <w:sz w:val="24"/>
              </w:rPr>
            </w:pPr>
            <w:r>
              <w:rPr>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9910AE">
            <w:pPr>
              <w:jc w:val="center"/>
              <w:rPr>
                <w:color w:val="000000"/>
                <w:sz w:val="24"/>
              </w:rPr>
            </w:pPr>
          </w:p>
        </w:tc>
      </w:tr>
      <w:tr w14:paraId="42E7B72B">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232CA3">
            <w:pPr>
              <w:widowControl/>
              <w:jc w:val="center"/>
              <w:textAlignment w:val="center"/>
              <w:rPr>
                <w:color w:val="000000"/>
                <w:sz w:val="24"/>
              </w:rPr>
            </w:pPr>
            <w:r>
              <w:rPr>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5C8094">
            <w:pPr>
              <w:widowControl/>
              <w:jc w:val="center"/>
              <w:textAlignment w:val="center"/>
              <w:rPr>
                <w:color w:val="000000"/>
                <w:sz w:val="24"/>
              </w:rPr>
            </w:pPr>
            <w:r>
              <w:rPr>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026672">
            <w:pPr>
              <w:widowControl/>
              <w:jc w:val="center"/>
              <w:textAlignment w:val="center"/>
              <w:rPr>
                <w:color w:val="000000"/>
                <w:sz w:val="24"/>
              </w:rPr>
            </w:pPr>
            <w:r>
              <w:rPr>
                <w:color w:val="000000"/>
                <w:kern w:val="0"/>
                <w:sz w:val="24"/>
              </w:rPr>
              <w:t>实际完成目标</w:t>
            </w:r>
          </w:p>
        </w:tc>
      </w:tr>
      <w:tr w14:paraId="700023AF">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6369B4">
            <w:pPr>
              <w:jc w:val="center"/>
              <w:rPr>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E667A7">
            <w:pPr>
              <w:widowControl/>
              <w:jc w:val="center"/>
              <w:textAlignment w:val="center"/>
              <w:rPr>
                <w:color w:val="000000"/>
                <w:sz w:val="24"/>
              </w:rPr>
            </w:pPr>
            <w:r>
              <w:rPr>
                <w:color w:val="000000"/>
                <w:sz w:val="24"/>
              </w:rPr>
              <w:t>一枝山工业区B区（一期）PPP项目基础设施建设项目水土保持补偿费，促进园区快速发展</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E946CE">
            <w:pPr>
              <w:widowControl/>
              <w:jc w:val="center"/>
              <w:textAlignment w:val="center"/>
              <w:rPr>
                <w:color w:val="000000"/>
                <w:sz w:val="24"/>
              </w:rPr>
            </w:pPr>
            <w:r>
              <w:rPr>
                <w:color w:val="000000"/>
                <w:sz w:val="24"/>
              </w:rPr>
              <w:t>一枝山工业区B区（一期）PPP项目基础设施建设项目水土保持补偿费，促进园区快速发展</w:t>
            </w:r>
          </w:p>
        </w:tc>
      </w:tr>
      <w:tr w14:paraId="7A123FA7">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03183292">
            <w:pPr>
              <w:widowControl/>
              <w:jc w:val="center"/>
              <w:textAlignment w:val="center"/>
              <w:rPr>
                <w:color w:val="000000"/>
                <w:sz w:val="24"/>
              </w:rPr>
            </w:pPr>
            <w:r>
              <w:rPr>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202785">
            <w:pPr>
              <w:widowControl/>
              <w:jc w:val="center"/>
              <w:textAlignment w:val="center"/>
              <w:rPr>
                <w:color w:val="000000"/>
                <w:sz w:val="24"/>
              </w:rPr>
            </w:pPr>
            <w:r>
              <w:rPr>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4291F6">
            <w:pPr>
              <w:widowControl/>
              <w:jc w:val="center"/>
              <w:textAlignment w:val="center"/>
              <w:rPr>
                <w:color w:val="000000"/>
                <w:sz w:val="24"/>
              </w:rPr>
            </w:pPr>
            <w:r>
              <w:rPr>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631A35">
            <w:pPr>
              <w:widowControl/>
              <w:jc w:val="center"/>
              <w:textAlignment w:val="center"/>
              <w:rPr>
                <w:color w:val="000000"/>
                <w:sz w:val="24"/>
              </w:rPr>
            </w:pPr>
            <w:r>
              <w:rPr>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53AF26">
            <w:pPr>
              <w:widowControl/>
              <w:jc w:val="center"/>
              <w:textAlignment w:val="center"/>
              <w:rPr>
                <w:color w:val="000000"/>
                <w:sz w:val="24"/>
              </w:rPr>
            </w:pPr>
            <w:r>
              <w:rPr>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6FA5DA">
            <w:pPr>
              <w:widowControl/>
              <w:jc w:val="center"/>
              <w:textAlignment w:val="center"/>
              <w:rPr>
                <w:color w:val="000000"/>
                <w:sz w:val="24"/>
              </w:rPr>
            </w:pPr>
            <w:r>
              <w:rPr>
                <w:color w:val="000000"/>
                <w:kern w:val="0"/>
                <w:sz w:val="24"/>
              </w:rPr>
              <w:t>实际完成指标值(包含数字及文字描述)</w:t>
            </w:r>
          </w:p>
        </w:tc>
      </w:tr>
      <w:tr w14:paraId="511498D0">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8F47514">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1BC981">
            <w:pPr>
              <w:widowControl/>
              <w:jc w:val="center"/>
              <w:textAlignment w:val="center"/>
              <w:rPr>
                <w:color w:val="000000"/>
                <w:sz w:val="24"/>
              </w:rPr>
            </w:pPr>
            <w:r>
              <w:rPr>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885457">
            <w:pPr>
              <w:widowControl/>
              <w:jc w:val="center"/>
              <w:textAlignment w:val="center"/>
              <w:rPr>
                <w:rFonts w:eastAsiaTheme="minorEastAsia"/>
                <w:color w:val="000000"/>
                <w:szCs w:val="21"/>
              </w:rPr>
            </w:pPr>
            <w:r>
              <w:rPr>
                <w:rFonts w:eastAsiaTheme="minorEastAsia"/>
                <w:color w:val="000000"/>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C56485">
            <w:pPr>
              <w:widowControl/>
              <w:jc w:val="center"/>
              <w:textAlignment w:val="center"/>
              <w:rPr>
                <w:rFonts w:eastAsiaTheme="minorEastAsia"/>
                <w:color w:val="000000"/>
                <w:szCs w:val="21"/>
              </w:rPr>
            </w:pPr>
            <w:r>
              <w:rPr>
                <w:rFonts w:eastAsiaTheme="minorEastAsia"/>
                <w:color w:val="000000"/>
              </w:rPr>
              <w:t>面积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0AD669">
            <w:pPr>
              <w:widowControl/>
              <w:jc w:val="center"/>
              <w:textAlignment w:val="center"/>
              <w:rPr>
                <w:rFonts w:eastAsiaTheme="minorEastAsia"/>
                <w:color w:val="000000"/>
                <w:sz w:val="18"/>
                <w:szCs w:val="18"/>
              </w:rPr>
            </w:pPr>
            <w:r>
              <w:rPr>
                <w:rFonts w:eastAsiaTheme="minorEastAsia"/>
                <w:color w:val="000000"/>
              </w:rPr>
              <w:t>6.70hm²</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309E61">
            <w:pPr>
              <w:widowControl/>
              <w:jc w:val="center"/>
              <w:textAlignment w:val="center"/>
              <w:rPr>
                <w:rFonts w:eastAsiaTheme="minorEastAsia"/>
                <w:color w:val="000000"/>
                <w:sz w:val="18"/>
                <w:szCs w:val="18"/>
              </w:rPr>
            </w:pPr>
            <w:r>
              <w:rPr>
                <w:rFonts w:eastAsiaTheme="minorEastAsia"/>
                <w:color w:val="000000"/>
              </w:rPr>
              <w:t>6.70hm²</w:t>
            </w:r>
          </w:p>
        </w:tc>
      </w:tr>
      <w:tr w14:paraId="636AFF5D">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E1704DB">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25CA41">
            <w:pPr>
              <w:widowControl/>
              <w:jc w:val="center"/>
              <w:textAlignment w:val="center"/>
              <w:rPr>
                <w:color w:val="000000"/>
                <w:sz w:val="24"/>
              </w:rPr>
            </w:pPr>
            <w:r>
              <w:rPr>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71D6B7">
            <w:pPr>
              <w:widowControl/>
              <w:jc w:val="center"/>
              <w:textAlignment w:val="center"/>
              <w:rPr>
                <w:rFonts w:eastAsiaTheme="minorEastAsia"/>
                <w:color w:val="000000"/>
                <w:szCs w:val="21"/>
              </w:rPr>
            </w:pPr>
            <w:r>
              <w:rPr>
                <w:rFonts w:eastAsiaTheme="minorEastAsia"/>
                <w:color w:val="000000"/>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B1074A">
            <w:pPr>
              <w:widowControl/>
              <w:jc w:val="center"/>
              <w:textAlignment w:val="center"/>
              <w:rPr>
                <w:rFonts w:eastAsiaTheme="minorEastAsia"/>
                <w:color w:val="000000"/>
                <w:szCs w:val="21"/>
              </w:rPr>
            </w:pPr>
            <w:r>
              <w:rPr>
                <w:rFonts w:eastAsiaTheme="minorEastAsia"/>
                <w:color w:val="000000"/>
              </w:rPr>
              <w:t>工作完成率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C474E1">
            <w:pPr>
              <w:widowControl/>
              <w:jc w:val="center"/>
              <w:textAlignment w:val="center"/>
              <w:rPr>
                <w:rFonts w:eastAsiaTheme="minorEastAsia"/>
                <w:color w:val="000000"/>
                <w:szCs w:val="21"/>
              </w:rPr>
            </w:pPr>
            <w:r>
              <w:rPr>
                <w:rFonts w:eastAsiaTheme="minorEastAsia"/>
                <w:color w:val="000000"/>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BF07ED">
            <w:pPr>
              <w:widowControl/>
              <w:jc w:val="center"/>
              <w:textAlignment w:val="center"/>
              <w:rPr>
                <w:rFonts w:eastAsiaTheme="minorEastAsia"/>
                <w:color w:val="000000"/>
                <w:szCs w:val="21"/>
              </w:rPr>
            </w:pPr>
            <w:r>
              <w:rPr>
                <w:rFonts w:eastAsiaTheme="minorEastAsia"/>
                <w:color w:val="000000"/>
              </w:rPr>
              <w:t>完成100%</w:t>
            </w:r>
          </w:p>
        </w:tc>
      </w:tr>
      <w:tr w14:paraId="4F58D65D">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FCCD1F4">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DED35D">
            <w:pPr>
              <w:widowControl/>
              <w:jc w:val="center"/>
              <w:textAlignment w:val="center"/>
              <w:rPr>
                <w:color w:val="000000"/>
                <w:sz w:val="24"/>
              </w:rPr>
            </w:pPr>
            <w:r>
              <w:rPr>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C68E63">
            <w:pPr>
              <w:widowControl/>
              <w:jc w:val="center"/>
              <w:textAlignment w:val="center"/>
              <w:rPr>
                <w:rFonts w:eastAsiaTheme="minorEastAsia"/>
                <w:color w:val="000000"/>
                <w:szCs w:val="21"/>
              </w:rPr>
            </w:pPr>
            <w:r>
              <w:rPr>
                <w:rFonts w:eastAsiaTheme="minorEastAsia"/>
                <w:color w:val="000000"/>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E0CAC3">
            <w:pPr>
              <w:widowControl/>
              <w:jc w:val="center"/>
              <w:textAlignment w:val="center"/>
              <w:rPr>
                <w:rFonts w:eastAsiaTheme="minorEastAsia"/>
                <w:color w:val="000000"/>
                <w:szCs w:val="21"/>
              </w:rPr>
            </w:pPr>
            <w:r>
              <w:rPr>
                <w:rFonts w:eastAsiaTheme="minorEastAsia"/>
                <w:color w:val="000000"/>
              </w:rPr>
              <w:t>资金支付率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1B6300">
            <w:pPr>
              <w:widowControl/>
              <w:jc w:val="center"/>
              <w:textAlignment w:val="center"/>
              <w:rPr>
                <w:rFonts w:eastAsiaTheme="minorEastAsia"/>
                <w:color w:val="000000"/>
                <w:szCs w:val="21"/>
              </w:rPr>
            </w:pPr>
            <w:r>
              <w:rPr>
                <w:rFonts w:eastAsiaTheme="minorEastAsia"/>
                <w:color w:val="000000"/>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9F6BAD">
            <w:pPr>
              <w:widowControl/>
              <w:jc w:val="center"/>
              <w:textAlignment w:val="center"/>
              <w:rPr>
                <w:rFonts w:eastAsiaTheme="minorEastAsia"/>
                <w:color w:val="000000"/>
                <w:szCs w:val="21"/>
              </w:rPr>
            </w:pPr>
            <w:r>
              <w:rPr>
                <w:rFonts w:eastAsiaTheme="minorEastAsia"/>
                <w:color w:val="000000"/>
              </w:rPr>
              <w:t>资金支付100%</w:t>
            </w:r>
          </w:p>
        </w:tc>
      </w:tr>
      <w:tr w14:paraId="748F2491">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572B318">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99F48E">
            <w:pPr>
              <w:widowControl/>
              <w:jc w:val="center"/>
              <w:textAlignment w:val="center"/>
              <w:rPr>
                <w:color w:val="000000"/>
                <w:kern w:val="0"/>
                <w:sz w:val="24"/>
              </w:rPr>
            </w:pPr>
            <w:r>
              <w:rPr>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F0F961">
            <w:pPr>
              <w:widowControl/>
              <w:jc w:val="center"/>
              <w:textAlignment w:val="center"/>
              <w:rPr>
                <w:rFonts w:eastAsiaTheme="minorEastAsia"/>
                <w:color w:val="000000"/>
                <w:szCs w:val="21"/>
              </w:rPr>
            </w:pPr>
            <w:r>
              <w:rPr>
                <w:rFonts w:eastAsiaTheme="minorEastAsia"/>
                <w:color w:val="000000"/>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8D6B2D">
            <w:pPr>
              <w:widowControl/>
              <w:jc w:val="center"/>
              <w:textAlignment w:val="center"/>
              <w:rPr>
                <w:rFonts w:eastAsiaTheme="minorEastAsia"/>
                <w:color w:val="000000"/>
                <w:szCs w:val="21"/>
              </w:rPr>
            </w:pPr>
            <w:r>
              <w:rPr>
                <w:rFonts w:eastAsiaTheme="minorEastAsia"/>
                <w:color w:val="000000"/>
                <w:szCs w:val="21"/>
              </w:rPr>
              <w:t>资金总额</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2556EB">
            <w:pPr>
              <w:widowControl/>
              <w:jc w:val="center"/>
              <w:textAlignment w:val="center"/>
              <w:rPr>
                <w:rFonts w:eastAsiaTheme="minorEastAsia"/>
                <w:color w:val="000000"/>
                <w:szCs w:val="21"/>
              </w:rPr>
            </w:pPr>
            <w:r>
              <w:rPr>
                <w:rFonts w:eastAsiaTheme="minorEastAsia"/>
                <w:color w:val="000000"/>
              </w:rPr>
              <w:t>13.40万元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F11020">
            <w:pPr>
              <w:widowControl/>
              <w:jc w:val="center"/>
              <w:textAlignment w:val="center"/>
              <w:rPr>
                <w:rFonts w:eastAsiaTheme="minorEastAsia"/>
                <w:color w:val="000000"/>
                <w:szCs w:val="21"/>
              </w:rPr>
            </w:pPr>
            <w:r>
              <w:rPr>
                <w:rFonts w:eastAsiaTheme="minorEastAsia"/>
                <w:color w:val="000000"/>
              </w:rPr>
              <w:t>13.40万元</w:t>
            </w:r>
          </w:p>
        </w:tc>
      </w:tr>
      <w:tr w14:paraId="69DE7709">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083A65C">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2BF423">
            <w:pPr>
              <w:widowControl/>
              <w:jc w:val="center"/>
              <w:textAlignment w:val="center"/>
              <w:rPr>
                <w:color w:val="000000"/>
                <w:sz w:val="24"/>
              </w:rPr>
            </w:pPr>
            <w:r>
              <w:rPr>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9D3703">
            <w:pPr>
              <w:widowControl/>
              <w:jc w:val="center"/>
              <w:textAlignment w:val="center"/>
              <w:rPr>
                <w:rFonts w:eastAsiaTheme="minorEastAsia"/>
                <w:color w:val="000000"/>
              </w:rPr>
            </w:pPr>
            <w:r>
              <w:rPr>
                <w:rFonts w:eastAsiaTheme="minorEastAsia"/>
                <w:color w:val="000000"/>
              </w:rPr>
              <w:t>社会效益</w:t>
            </w:r>
          </w:p>
          <w:p w14:paraId="282E6AA1">
            <w:pPr>
              <w:widowControl/>
              <w:jc w:val="center"/>
              <w:textAlignment w:val="center"/>
              <w:rPr>
                <w:rFonts w:eastAsiaTheme="minorEastAsia"/>
                <w:color w:val="000000"/>
                <w:szCs w:val="21"/>
              </w:rPr>
            </w:pPr>
            <w:r>
              <w:rPr>
                <w:rFonts w:eastAsiaTheme="minorEastAsia"/>
                <w:color w:val="000000"/>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5A7DC3">
            <w:pPr>
              <w:widowControl/>
              <w:jc w:val="center"/>
              <w:textAlignment w:val="center"/>
              <w:rPr>
                <w:rFonts w:eastAsiaTheme="minorEastAsia"/>
                <w:color w:val="000000"/>
                <w:szCs w:val="21"/>
              </w:rPr>
            </w:pPr>
            <w:r>
              <w:rPr>
                <w:rFonts w:eastAsiaTheme="minorEastAsia"/>
                <w:color w:val="000000"/>
                <w:szCs w:val="21"/>
              </w:rPr>
              <w:t>促进园区发展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18A408">
            <w:pPr>
              <w:widowControl/>
              <w:jc w:val="center"/>
              <w:textAlignment w:val="center"/>
              <w:rPr>
                <w:rFonts w:eastAsiaTheme="minorEastAsia"/>
                <w:color w:val="000000"/>
                <w:szCs w:val="21"/>
              </w:rPr>
            </w:pPr>
            <w:r>
              <w:rPr>
                <w:rFonts w:eastAsiaTheme="minorEastAsia"/>
                <w:color w:val="000000"/>
                <w:szCs w:val="21"/>
              </w:rPr>
              <w:t>促进经济发展，社会稳定</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F23C21">
            <w:pPr>
              <w:widowControl/>
              <w:jc w:val="center"/>
              <w:textAlignment w:val="center"/>
              <w:rPr>
                <w:rFonts w:eastAsiaTheme="minorEastAsia"/>
                <w:color w:val="000000"/>
                <w:szCs w:val="21"/>
              </w:rPr>
            </w:pPr>
            <w:r>
              <w:rPr>
                <w:rFonts w:eastAsiaTheme="minorEastAsia"/>
                <w:color w:val="000000"/>
                <w:szCs w:val="21"/>
              </w:rPr>
              <w:t>促进经济发展，社会稳定</w:t>
            </w:r>
          </w:p>
        </w:tc>
      </w:tr>
      <w:tr w14:paraId="53D7C25F">
        <w:tblPrEx>
          <w:tblCellMar>
            <w:top w:w="0" w:type="dxa"/>
            <w:left w:w="0" w:type="dxa"/>
            <w:bottom w:w="0" w:type="dxa"/>
            <w:right w:w="0" w:type="dxa"/>
          </w:tblCellMar>
        </w:tblPrEx>
        <w:trPr>
          <w:trHeight w:val="1050" w:hRule="atLeast"/>
          <w:jc w:val="center"/>
        </w:trPr>
        <w:tc>
          <w:tcPr>
            <w:tcW w:w="390" w:type="dxa"/>
            <w:tcBorders>
              <w:left w:val="single" w:color="000000" w:sz="4" w:space="0"/>
              <w:bottom w:val="single" w:color="000000" w:sz="4" w:space="0"/>
              <w:right w:val="single" w:color="000000" w:sz="4" w:space="0"/>
            </w:tcBorders>
            <w:tcMar>
              <w:top w:w="15" w:type="dxa"/>
              <w:left w:w="15" w:type="dxa"/>
              <w:right w:w="15" w:type="dxa"/>
            </w:tcMar>
            <w:vAlign w:val="center"/>
          </w:tcPr>
          <w:p w14:paraId="56CED56D">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2842B1">
            <w:pPr>
              <w:widowControl/>
              <w:jc w:val="center"/>
              <w:textAlignment w:val="center"/>
              <w:rPr>
                <w:color w:val="000000"/>
                <w:kern w:val="0"/>
                <w:sz w:val="24"/>
              </w:rPr>
            </w:pPr>
            <w:r>
              <w:rPr>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1A3D05">
            <w:pPr>
              <w:widowControl/>
              <w:jc w:val="center"/>
              <w:textAlignment w:val="center"/>
              <w:rPr>
                <w:rFonts w:eastAsiaTheme="minorEastAsia"/>
                <w:color w:val="000000"/>
                <w:sz w:val="24"/>
              </w:rPr>
            </w:pPr>
            <w:r>
              <w:rPr>
                <w:rFonts w:eastAsiaTheme="minorEastAsia"/>
                <w:color w:val="000000"/>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389E7C">
            <w:pPr>
              <w:widowControl/>
              <w:jc w:val="center"/>
              <w:textAlignment w:val="center"/>
              <w:rPr>
                <w:rFonts w:eastAsiaTheme="minorEastAsia"/>
                <w:color w:val="000000"/>
                <w:szCs w:val="21"/>
              </w:rPr>
            </w:pPr>
            <w:r>
              <w:rPr>
                <w:rFonts w:eastAsiaTheme="minorEastAsia"/>
                <w:color w:val="000000"/>
                <w:szCs w:val="21"/>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D69DD0">
            <w:pPr>
              <w:widowControl/>
              <w:jc w:val="center"/>
              <w:textAlignment w:val="center"/>
              <w:rPr>
                <w:rFonts w:eastAsiaTheme="minorEastAsia"/>
                <w:color w:val="000000"/>
                <w:szCs w:val="21"/>
              </w:rPr>
            </w:pPr>
            <w:r>
              <w:rPr>
                <w:rFonts w:eastAsiaTheme="minorEastAsia"/>
                <w:color w:val="000000"/>
                <w:szCs w:val="21"/>
              </w:rPr>
              <w:t>满意</w:t>
            </w:r>
            <w:r>
              <w:rPr>
                <w:rFonts w:hint="eastAsia" w:eastAsiaTheme="minorEastAsia"/>
                <w:color w:val="000000"/>
                <w:szCs w:val="21"/>
              </w:rPr>
              <w:t>度</w:t>
            </w:r>
            <w:r>
              <w:rPr>
                <w:rFonts w:eastAsiaTheme="minorEastAsia"/>
                <w:color w:val="000000"/>
                <w:szCs w:val="21"/>
              </w:rPr>
              <w:t>95%及以上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1F069F">
            <w:pPr>
              <w:widowControl/>
              <w:jc w:val="center"/>
              <w:textAlignment w:val="center"/>
              <w:rPr>
                <w:rFonts w:eastAsiaTheme="minorEastAsia"/>
                <w:color w:val="000000"/>
                <w:szCs w:val="21"/>
              </w:rPr>
            </w:pPr>
            <w:r>
              <w:rPr>
                <w:rFonts w:eastAsiaTheme="minorEastAsia"/>
                <w:color w:val="000000"/>
              </w:rPr>
              <w:t>大于95%</w:t>
            </w:r>
          </w:p>
        </w:tc>
      </w:tr>
    </w:tbl>
    <w:p w14:paraId="1709649F">
      <w:pPr>
        <w:spacing w:line="580" w:lineRule="exact"/>
        <w:ind w:left="630"/>
        <w:rPr>
          <w:rFonts w:eastAsia="楷体_GB2312"/>
          <w:sz w:val="32"/>
          <w:szCs w:val="32"/>
          <w:highlight w:val="yellow"/>
        </w:rPr>
      </w:pPr>
    </w:p>
    <w:p w14:paraId="21734186">
      <w:pPr>
        <w:tabs>
          <w:tab w:val="left" w:pos="312"/>
        </w:tabs>
        <w:spacing w:line="600" w:lineRule="exact"/>
        <w:ind w:firstLine="640" w:firstLineChars="200"/>
        <w:rPr>
          <w:rFonts w:eastAsia="仿宋_GB2312"/>
          <w:sz w:val="32"/>
          <w:szCs w:val="32"/>
        </w:rPr>
      </w:pPr>
      <w:r>
        <w:rPr>
          <w:rFonts w:eastAsia="仿宋_GB2312"/>
          <w:sz w:val="32"/>
          <w:szCs w:val="32"/>
        </w:rPr>
        <w:t>（5）“长坡工业区主干道延线福塑段工程建设资金”绩效目标完成情况综述。该项目全年预算数10.3万元，执行数为10.3万元，完成预算的100%。通过项目实施，对道路排水沟、路面进行建设。</w:t>
      </w:r>
      <w:r>
        <w:rPr>
          <w:rFonts w:hAnsi="仿宋_GB2312" w:eastAsia="仿宋_GB2312"/>
          <w:sz w:val="32"/>
          <w:szCs w:val="32"/>
        </w:rPr>
        <w:t>发现的主要问题：</w:t>
      </w:r>
      <w:r>
        <w:rPr>
          <w:rFonts w:hint="eastAsia" w:hAnsi="仿宋_GB2312" w:eastAsia="仿宋_GB2312"/>
          <w:sz w:val="32"/>
          <w:szCs w:val="32"/>
        </w:rPr>
        <w:t>财政资金未清算</w:t>
      </w:r>
      <w:r>
        <w:rPr>
          <w:rFonts w:hAnsi="仿宋_GB2312" w:eastAsia="仿宋_GB2312"/>
          <w:sz w:val="32"/>
          <w:szCs w:val="32"/>
        </w:rPr>
        <w:t>。下一步改进措施：加强园区</w:t>
      </w:r>
      <w:r>
        <w:rPr>
          <w:rFonts w:hint="eastAsia" w:hAnsi="仿宋_GB2312" w:eastAsia="仿宋_GB2312"/>
          <w:sz w:val="32"/>
          <w:szCs w:val="32"/>
        </w:rPr>
        <w:t>安全</w:t>
      </w:r>
      <w:r>
        <w:rPr>
          <w:rFonts w:hAnsi="仿宋_GB2312" w:eastAsia="仿宋_GB2312"/>
          <w:sz w:val="32"/>
          <w:szCs w:val="32"/>
        </w:rPr>
        <w:t>管理。</w:t>
      </w:r>
    </w:p>
    <w:p w14:paraId="25AFE0A8">
      <w:pPr>
        <w:tabs>
          <w:tab w:val="left" w:pos="312"/>
        </w:tabs>
        <w:spacing w:line="600" w:lineRule="exact"/>
        <w:ind w:firstLine="640" w:firstLineChars="200"/>
        <w:rPr>
          <w:rFonts w:eastAsia="仿宋_GB2312"/>
          <w:sz w:val="32"/>
          <w:szCs w:val="32"/>
        </w:rPr>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76DE6420">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13900214">
            <w:pPr>
              <w:widowControl/>
              <w:jc w:val="center"/>
              <w:textAlignment w:val="center"/>
              <w:rPr>
                <w:color w:val="000000"/>
                <w:sz w:val="36"/>
                <w:szCs w:val="36"/>
              </w:rPr>
            </w:pPr>
            <w:r>
              <w:rPr>
                <w:b/>
                <w:bCs/>
                <w:color w:val="000000"/>
                <w:kern w:val="0"/>
                <w:sz w:val="36"/>
                <w:szCs w:val="36"/>
              </w:rPr>
              <w:t>项目绩效目标完成情况表</w:t>
            </w:r>
            <w:r>
              <w:rPr>
                <w:b/>
                <w:bCs/>
                <w:color w:val="000000"/>
                <w:kern w:val="0"/>
                <w:sz w:val="36"/>
                <w:szCs w:val="36"/>
              </w:rPr>
              <w:br w:type="textWrapping"/>
            </w:r>
            <w:r>
              <w:rPr>
                <w:color w:val="000000"/>
                <w:kern w:val="0"/>
                <w:sz w:val="36"/>
                <w:szCs w:val="36"/>
              </w:rPr>
              <w:t>(2020 年度)</w:t>
            </w:r>
          </w:p>
        </w:tc>
      </w:tr>
      <w:tr w14:paraId="26FFABAD">
        <w:tblPrEx>
          <w:tblCellMar>
            <w:top w:w="0" w:type="dxa"/>
            <w:left w:w="0" w:type="dxa"/>
            <w:bottom w:w="0" w:type="dxa"/>
            <w:right w:w="0" w:type="dxa"/>
          </w:tblCellMar>
        </w:tblPrEx>
        <w:trPr>
          <w:trHeight w:val="414"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411813">
            <w:pPr>
              <w:widowControl/>
              <w:jc w:val="center"/>
              <w:textAlignment w:val="center"/>
              <w:rPr>
                <w:color w:val="000000"/>
                <w:sz w:val="24"/>
              </w:rPr>
            </w:pPr>
            <w:r>
              <w:rPr>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9E5C29">
            <w:pPr>
              <w:widowControl/>
              <w:jc w:val="center"/>
              <w:textAlignment w:val="center"/>
              <w:rPr>
                <w:color w:val="000000"/>
                <w:sz w:val="24"/>
              </w:rPr>
            </w:pPr>
            <w:r>
              <w:rPr>
                <w:color w:val="000000"/>
                <w:sz w:val="24"/>
              </w:rPr>
              <w:t>长坡工业区主干道延线福塑段工程建设资金</w:t>
            </w:r>
          </w:p>
        </w:tc>
      </w:tr>
      <w:tr w14:paraId="100AF43A">
        <w:tblPrEx>
          <w:tblCellMar>
            <w:top w:w="0" w:type="dxa"/>
            <w:left w:w="0" w:type="dxa"/>
            <w:bottom w:w="0" w:type="dxa"/>
            <w:right w:w="0" w:type="dxa"/>
          </w:tblCellMar>
        </w:tblPrEx>
        <w:trPr>
          <w:trHeight w:val="393"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8E1E1E">
            <w:pPr>
              <w:widowControl/>
              <w:jc w:val="center"/>
              <w:textAlignment w:val="center"/>
              <w:rPr>
                <w:color w:val="000000"/>
                <w:sz w:val="24"/>
              </w:rPr>
            </w:pPr>
            <w:r>
              <w:rPr>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3774D0">
            <w:pPr>
              <w:widowControl/>
              <w:jc w:val="center"/>
              <w:textAlignment w:val="center"/>
              <w:rPr>
                <w:color w:val="000000"/>
                <w:sz w:val="24"/>
              </w:rPr>
            </w:pPr>
            <w:r>
              <w:rPr>
                <w:color w:val="000000"/>
                <w:sz w:val="24"/>
              </w:rPr>
              <w:t>白马工业园区管理委员会</w:t>
            </w:r>
          </w:p>
        </w:tc>
      </w:tr>
      <w:tr w14:paraId="44B76D13">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2D68C9">
            <w:pPr>
              <w:widowControl/>
              <w:jc w:val="center"/>
              <w:textAlignment w:val="center"/>
              <w:rPr>
                <w:color w:val="000000"/>
                <w:sz w:val="24"/>
              </w:rPr>
            </w:pPr>
            <w:r>
              <w:rPr>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C1E250">
            <w:pPr>
              <w:widowControl/>
              <w:jc w:val="center"/>
              <w:textAlignment w:val="center"/>
              <w:rPr>
                <w:color w:val="000000"/>
                <w:sz w:val="24"/>
              </w:rPr>
            </w:pPr>
            <w:r>
              <w:rPr>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CF0209">
            <w:pPr>
              <w:widowControl/>
              <w:jc w:val="center"/>
              <w:textAlignment w:val="center"/>
              <w:rPr>
                <w:color w:val="000000"/>
                <w:sz w:val="24"/>
              </w:rPr>
            </w:pPr>
            <w:r>
              <w:rPr>
                <w:color w:val="000000"/>
                <w:sz w:val="24"/>
              </w:rPr>
              <w:t>10.3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788CF8">
            <w:pPr>
              <w:widowControl/>
              <w:jc w:val="center"/>
              <w:textAlignment w:val="center"/>
              <w:rPr>
                <w:color w:val="000000"/>
                <w:sz w:val="24"/>
              </w:rPr>
            </w:pPr>
            <w:r>
              <w:rPr>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37334124">
            <w:pPr>
              <w:jc w:val="center"/>
            </w:pPr>
            <w:r>
              <w:rPr>
                <w:color w:val="000000"/>
                <w:sz w:val="24"/>
              </w:rPr>
              <w:t>10.3</w:t>
            </w:r>
          </w:p>
        </w:tc>
      </w:tr>
      <w:tr w14:paraId="418BC7C6">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434499">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A82C21">
            <w:pPr>
              <w:widowControl/>
              <w:jc w:val="center"/>
              <w:textAlignment w:val="center"/>
              <w:rPr>
                <w:color w:val="000000"/>
                <w:sz w:val="24"/>
              </w:rPr>
            </w:pPr>
            <w:r>
              <w:rPr>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8B013C">
            <w:pPr>
              <w:widowControl/>
              <w:jc w:val="center"/>
              <w:textAlignment w:val="center"/>
              <w:rPr>
                <w:color w:val="000000"/>
                <w:sz w:val="24"/>
              </w:rPr>
            </w:pPr>
            <w:r>
              <w:rPr>
                <w:color w:val="000000"/>
                <w:sz w:val="24"/>
              </w:rPr>
              <w:t>10.3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4D29DB">
            <w:pPr>
              <w:widowControl/>
              <w:jc w:val="center"/>
              <w:textAlignment w:val="center"/>
              <w:rPr>
                <w:color w:val="000000"/>
                <w:sz w:val="24"/>
              </w:rPr>
            </w:pPr>
            <w:r>
              <w:rPr>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179B82A0">
            <w:pPr>
              <w:jc w:val="center"/>
            </w:pPr>
            <w:r>
              <w:rPr>
                <w:color w:val="000000"/>
                <w:sz w:val="24"/>
              </w:rPr>
              <w:t>10.3</w:t>
            </w:r>
          </w:p>
        </w:tc>
      </w:tr>
      <w:tr w14:paraId="24701A66">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1189F6">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193926">
            <w:pPr>
              <w:widowControl/>
              <w:jc w:val="center"/>
              <w:textAlignment w:val="center"/>
              <w:rPr>
                <w:color w:val="000000"/>
                <w:sz w:val="24"/>
              </w:rPr>
            </w:pPr>
            <w:r>
              <w:rPr>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F46583">
            <w:pPr>
              <w:widowControl/>
              <w:jc w:val="center"/>
              <w:textAlignment w:val="center"/>
              <w:rPr>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A15524">
            <w:pPr>
              <w:widowControl/>
              <w:jc w:val="center"/>
              <w:textAlignment w:val="center"/>
              <w:rPr>
                <w:color w:val="000000"/>
                <w:sz w:val="24"/>
              </w:rPr>
            </w:pPr>
            <w:r>
              <w:rPr>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DA2799">
            <w:pPr>
              <w:jc w:val="center"/>
              <w:rPr>
                <w:color w:val="000000"/>
                <w:sz w:val="24"/>
              </w:rPr>
            </w:pPr>
          </w:p>
        </w:tc>
      </w:tr>
      <w:tr w14:paraId="0633A18E">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54348A">
            <w:pPr>
              <w:widowControl/>
              <w:jc w:val="center"/>
              <w:textAlignment w:val="center"/>
              <w:rPr>
                <w:color w:val="000000"/>
                <w:sz w:val="24"/>
              </w:rPr>
            </w:pPr>
            <w:r>
              <w:rPr>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3F7743">
            <w:pPr>
              <w:widowControl/>
              <w:jc w:val="center"/>
              <w:textAlignment w:val="center"/>
              <w:rPr>
                <w:color w:val="000000"/>
                <w:sz w:val="24"/>
              </w:rPr>
            </w:pPr>
            <w:r>
              <w:rPr>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6D39F7">
            <w:pPr>
              <w:widowControl/>
              <w:jc w:val="center"/>
              <w:textAlignment w:val="center"/>
              <w:rPr>
                <w:color w:val="000000"/>
                <w:sz w:val="24"/>
              </w:rPr>
            </w:pPr>
            <w:r>
              <w:rPr>
                <w:color w:val="000000"/>
                <w:kern w:val="0"/>
                <w:sz w:val="24"/>
              </w:rPr>
              <w:t>实际完成目标</w:t>
            </w:r>
          </w:p>
        </w:tc>
      </w:tr>
      <w:tr w14:paraId="65E2EC11">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8E2E54">
            <w:pPr>
              <w:jc w:val="center"/>
              <w:rPr>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BCB0C3">
            <w:pPr>
              <w:widowControl/>
              <w:jc w:val="center"/>
              <w:textAlignment w:val="center"/>
              <w:rPr>
                <w:color w:val="000000"/>
                <w:sz w:val="24"/>
              </w:rPr>
            </w:pPr>
            <w:r>
              <w:rPr>
                <w:color w:val="000000"/>
                <w:sz w:val="24"/>
              </w:rPr>
              <w:t>完成长坡工业区主干道延线福塑段工程建设，对道路排水沟、路面进行建设。</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0FC628">
            <w:pPr>
              <w:widowControl/>
              <w:jc w:val="center"/>
              <w:textAlignment w:val="center"/>
              <w:rPr>
                <w:color w:val="000000"/>
                <w:sz w:val="24"/>
              </w:rPr>
            </w:pPr>
            <w:r>
              <w:rPr>
                <w:color w:val="000000"/>
                <w:sz w:val="24"/>
              </w:rPr>
              <w:t>完成长坡工业区主干道延线福塑段工程建设，对道路排水沟、路面进行建设。</w:t>
            </w:r>
          </w:p>
        </w:tc>
      </w:tr>
      <w:tr w14:paraId="1814B93F">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7B767924">
            <w:pPr>
              <w:widowControl/>
              <w:jc w:val="center"/>
              <w:textAlignment w:val="center"/>
              <w:rPr>
                <w:color w:val="000000"/>
                <w:sz w:val="24"/>
              </w:rPr>
            </w:pPr>
            <w:r>
              <w:rPr>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C6CF4A">
            <w:pPr>
              <w:widowControl/>
              <w:jc w:val="center"/>
              <w:textAlignment w:val="center"/>
              <w:rPr>
                <w:color w:val="000000"/>
                <w:sz w:val="24"/>
              </w:rPr>
            </w:pPr>
            <w:r>
              <w:rPr>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68D171">
            <w:pPr>
              <w:widowControl/>
              <w:jc w:val="center"/>
              <w:textAlignment w:val="center"/>
              <w:rPr>
                <w:color w:val="000000"/>
                <w:sz w:val="24"/>
              </w:rPr>
            </w:pPr>
            <w:r>
              <w:rPr>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213FF9">
            <w:pPr>
              <w:widowControl/>
              <w:jc w:val="center"/>
              <w:textAlignment w:val="center"/>
              <w:rPr>
                <w:color w:val="000000"/>
                <w:sz w:val="24"/>
              </w:rPr>
            </w:pPr>
            <w:r>
              <w:rPr>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6B2285">
            <w:pPr>
              <w:widowControl/>
              <w:jc w:val="center"/>
              <w:textAlignment w:val="center"/>
              <w:rPr>
                <w:color w:val="000000"/>
                <w:sz w:val="24"/>
              </w:rPr>
            </w:pPr>
            <w:r>
              <w:rPr>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810B74">
            <w:pPr>
              <w:widowControl/>
              <w:jc w:val="center"/>
              <w:textAlignment w:val="center"/>
              <w:rPr>
                <w:color w:val="000000"/>
                <w:sz w:val="24"/>
              </w:rPr>
            </w:pPr>
            <w:r>
              <w:rPr>
                <w:color w:val="000000"/>
                <w:kern w:val="0"/>
                <w:sz w:val="24"/>
              </w:rPr>
              <w:t>实际完成指标值(包含数字及文字描述)</w:t>
            </w:r>
          </w:p>
        </w:tc>
      </w:tr>
      <w:tr w14:paraId="6AE6DFAB">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C13EC42">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B9DD77">
            <w:pPr>
              <w:widowControl/>
              <w:jc w:val="center"/>
              <w:textAlignment w:val="center"/>
              <w:rPr>
                <w:color w:val="000000"/>
                <w:sz w:val="24"/>
              </w:rPr>
            </w:pPr>
            <w:r>
              <w:rPr>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6FF0C0">
            <w:pPr>
              <w:widowControl/>
              <w:jc w:val="center"/>
              <w:textAlignment w:val="center"/>
              <w:rPr>
                <w:rFonts w:eastAsiaTheme="minorEastAsia"/>
                <w:color w:val="000000"/>
                <w:szCs w:val="21"/>
              </w:rPr>
            </w:pPr>
            <w:r>
              <w:rPr>
                <w:rFonts w:eastAsiaTheme="minorEastAsia"/>
                <w:color w:val="000000"/>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9C8344">
            <w:pPr>
              <w:widowControl/>
              <w:jc w:val="center"/>
              <w:textAlignment w:val="center"/>
              <w:rPr>
                <w:rFonts w:eastAsiaTheme="minorEastAsia"/>
                <w:color w:val="000000"/>
                <w:szCs w:val="21"/>
              </w:rPr>
            </w:pPr>
            <w:r>
              <w:rPr>
                <w:rFonts w:eastAsiaTheme="minorEastAsia"/>
                <w:color w:val="000000"/>
                <w:szCs w:val="21"/>
              </w:rPr>
              <w:t>面积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D28CEB">
            <w:pPr>
              <w:widowControl/>
              <w:jc w:val="center"/>
              <w:textAlignment w:val="center"/>
              <w:rPr>
                <w:rFonts w:eastAsiaTheme="minorEastAsia"/>
                <w:color w:val="000000"/>
                <w:szCs w:val="21"/>
              </w:rPr>
            </w:pPr>
            <w:r>
              <w:rPr>
                <w:color w:val="000000"/>
                <w:szCs w:val="21"/>
              </w:rPr>
              <w:t>0.135Km</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40FAAB">
            <w:pPr>
              <w:widowControl/>
              <w:jc w:val="center"/>
              <w:textAlignment w:val="center"/>
              <w:rPr>
                <w:rFonts w:eastAsiaTheme="minorEastAsia"/>
                <w:color w:val="000000"/>
                <w:szCs w:val="21"/>
              </w:rPr>
            </w:pPr>
            <w:r>
              <w:rPr>
                <w:color w:val="000000"/>
                <w:szCs w:val="21"/>
              </w:rPr>
              <w:t>0.135Km</w:t>
            </w:r>
          </w:p>
        </w:tc>
      </w:tr>
      <w:tr w14:paraId="0BF4E5D3">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69862F7">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3303CD">
            <w:pPr>
              <w:widowControl/>
              <w:jc w:val="center"/>
              <w:textAlignment w:val="center"/>
              <w:rPr>
                <w:color w:val="000000"/>
                <w:sz w:val="24"/>
              </w:rPr>
            </w:pPr>
            <w:r>
              <w:rPr>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EFC637">
            <w:pPr>
              <w:widowControl/>
              <w:jc w:val="center"/>
              <w:textAlignment w:val="center"/>
              <w:rPr>
                <w:rFonts w:eastAsiaTheme="minorEastAsia"/>
                <w:color w:val="000000"/>
                <w:szCs w:val="21"/>
              </w:rPr>
            </w:pPr>
            <w:r>
              <w:rPr>
                <w:rFonts w:eastAsiaTheme="minorEastAsia"/>
                <w:color w:val="000000"/>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78FF99">
            <w:pPr>
              <w:widowControl/>
              <w:jc w:val="center"/>
              <w:textAlignment w:val="center"/>
              <w:rPr>
                <w:rFonts w:eastAsiaTheme="minorEastAsia"/>
                <w:color w:val="000000"/>
                <w:szCs w:val="21"/>
              </w:rPr>
            </w:pPr>
            <w:r>
              <w:rPr>
                <w:rFonts w:eastAsiaTheme="minorEastAsia"/>
                <w:color w:val="000000"/>
              </w:rPr>
              <w:t>工作完成率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1CB7EB">
            <w:pPr>
              <w:widowControl/>
              <w:jc w:val="center"/>
              <w:textAlignment w:val="center"/>
              <w:rPr>
                <w:rFonts w:eastAsiaTheme="minorEastAsia"/>
                <w:color w:val="000000"/>
                <w:szCs w:val="21"/>
              </w:rPr>
            </w:pPr>
            <w:r>
              <w:rPr>
                <w:rFonts w:eastAsiaTheme="minorEastAsia"/>
                <w:color w:val="000000"/>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B0C3CC">
            <w:pPr>
              <w:widowControl/>
              <w:jc w:val="center"/>
              <w:textAlignment w:val="center"/>
              <w:rPr>
                <w:rFonts w:eastAsiaTheme="minorEastAsia"/>
                <w:color w:val="000000"/>
                <w:szCs w:val="21"/>
              </w:rPr>
            </w:pPr>
            <w:r>
              <w:rPr>
                <w:rFonts w:eastAsiaTheme="minorEastAsia"/>
                <w:color w:val="000000"/>
              </w:rPr>
              <w:t>完成100%</w:t>
            </w:r>
          </w:p>
        </w:tc>
      </w:tr>
      <w:tr w14:paraId="105671D6">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E551C8D">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E50B27">
            <w:pPr>
              <w:widowControl/>
              <w:jc w:val="center"/>
              <w:textAlignment w:val="center"/>
              <w:rPr>
                <w:color w:val="000000"/>
                <w:sz w:val="24"/>
              </w:rPr>
            </w:pPr>
            <w:r>
              <w:rPr>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8D7DB8">
            <w:pPr>
              <w:widowControl/>
              <w:jc w:val="center"/>
              <w:textAlignment w:val="center"/>
              <w:rPr>
                <w:rFonts w:eastAsiaTheme="minorEastAsia"/>
                <w:color w:val="000000"/>
                <w:szCs w:val="21"/>
              </w:rPr>
            </w:pPr>
            <w:r>
              <w:rPr>
                <w:rFonts w:eastAsiaTheme="minorEastAsia"/>
                <w:color w:val="000000"/>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74AAC8">
            <w:pPr>
              <w:widowControl/>
              <w:jc w:val="center"/>
              <w:textAlignment w:val="center"/>
              <w:rPr>
                <w:rFonts w:eastAsiaTheme="minorEastAsia"/>
                <w:color w:val="000000"/>
                <w:szCs w:val="21"/>
              </w:rPr>
            </w:pPr>
            <w:r>
              <w:rPr>
                <w:rFonts w:eastAsiaTheme="minorEastAsia"/>
                <w:color w:val="000000"/>
              </w:rPr>
              <w:t>资金支付率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9F2778">
            <w:pPr>
              <w:widowControl/>
              <w:jc w:val="center"/>
              <w:textAlignment w:val="center"/>
              <w:rPr>
                <w:rFonts w:eastAsiaTheme="minorEastAsia"/>
                <w:color w:val="000000"/>
                <w:szCs w:val="21"/>
              </w:rPr>
            </w:pPr>
            <w:r>
              <w:rPr>
                <w:rFonts w:eastAsiaTheme="minorEastAsia"/>
                <w:color w:val="000000"/>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A014AD">
            <w:pPr>
              <w:widowControl/>
              <w:jc w:val="center"/>
              <w:textAlignment w:val="center"/>
              <w:rPr>
                <w:rFonts w:eastAsiaTheme="minorEastAsia"/>
                <w:color w:val="000000"/>
                <w:szCs w:val="21"/>
              </w:rPr>
            </w:pPr>
            <w:r>
              <w:rPr>
                <w:rFonts w:eastAsiaTheme="minorEastAsia"/>
                <w:color w:val="000000"/>
              </w:rPr>
              <w:t>资金支付100%</w:t>
            </w:r>
          </w:p>
        </w:tc>
      </w:tr>
      <w:tr w14:paraId="66D9C91B">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98B68E3">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314B1B">
            <w:pPr>
              <w:widowControl/>
              <w:jc w:val="center"/>
              <w:textAlignment w:val="center"/>
              <w:rPr>
                <w:color w:val="000000"/>
                <w:kern w:val="0"/>
                <w:sz w:val="24"/>
              </w:rPr>
            </w:pPr>
            <w:r>
              <w:rPr>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127546">
            <w:pPr>
              <w:widowControl/>
              <w:jc w:val="center"/>
              <w:textAlignment w:val="center"/>
              <w:rPr>
                <w:rFonts w:eastAsiaTheme="minorEastAsia"/>
                <w:color w:val="000000"/>
                <w:szCs w:val="21"/>
              </w:rPr>
            </w:pPr>
            <w:r>
              <w:rPr>
                <w:rFonts w:eastAsiaTheme="minorEastAsia"/>
                <w:color w:val="000000"/>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65ABAA">
            <w:pPr>
              <w:widowControl/>
              <w:jc w:val="center"/>
              <w:textAlignment w:val="center"/>
              <w:rPr>
                <w:rFonts w:eastAsiaTheme="minorEastAsia"/>
                <w:color w:val="000000"/>
                <w:szCs w:val="21"/>
              </w:rPr>
            </w:pPr>
            <w:r>
              <w:rPr>
                <w:rFonts w:eastAsiaTheme="minorEastAsia"/>
                <w:color w:val="000000"/>
                <w:szCs w:val="21"/>
              </w:rPr>
              <w:t>资金总额</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90F9F3">
            <w:pPr>
              <w:widowControl/>
              <w:jc w:val="center"/>
              <w:textAlignment w:val="center"/>
              <w:rPr>
                <w:rFonts w:eastAsiaTheme="minorEastAsia"/>
                <w:color w:val="000000"/>
                <w:szCs w:val="21"/>
              </w:rPr>
            </w:pPr>
            <w:r>
              <w:rPr>
                <w:rFonts w:eastAsiaTheme="minorEastAsia"/>
                <w:color w:val="000000"/>
                <w:sz w:val="24"/>
              </w:rPr>
              <w:t>10.30</w:t>
            </w:r>
            <w:r>
              <w:rPr>
                <w:rFonts w:eastAsiaTheme="minorEastAsia"/>
                <w:color w:val="000000"/>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2D86E0">
            <w:pPr>
              <w:widowControl/>
              <w:jc w:val="center"/>
              <w:textAlignment w:val="center"/>
              <w:rPr>
                <w:rFonts w:eastAsiaTheme="minorEastAsia"/>
                <w:color w:val="000000"/>
                <w:szCs w:val="21"/>
              </w:rPr>
            </w:pPr>
            <w:r>
              <w:rPr>
                <w:rFonts w:eastAsiaTheme="minorEastAsia"/>
                <w:color w:val="000000"/>
                <w:sz w:val="24"/>
              </w:rPr>
              <w:t>10.30</w:t>
            </w:r>
            <w:r>
              <w:rPr>
                <w:rFonts w:eastAsiaTheme="minorEastAsia"/>
                <w:color w:val="000000"/>
              </w:rPr>
              <w:t>万元</w:t>
            </w:r>
          </w:p>
        </w:tc>
      </w:tr>
      <w:tr w14:paraId="40A867B2">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F9AB41E">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C2BE24">
            <w:pPr>
              <w:widowControl/>
              <w:jc w:val="center"/>
              <w:textAlignment w:val="center"/>
              <w:rPr>
                <w:color w:val="000000"/>
                <w:sz w:val="24"/>
              </w:rPr>
            </w:pPr>
            <w:r>
              <w:rPr>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961B2F">
            <w:pPr>
              <w:widowControl/>
              <w:jc w:val="center"/>
              <w:textAlignment w:val="center"/>
              <w:rPr>
                <w:rFonts w:eastAsiaTheme="minorEastAsia"/>
                <w:color w:val="000000"/>
              </w:rPr>
            </w:pPr>
            <w:r>
              <w:rPr>
                <w:rFonts w:eastAsiaTheme="minorEastAsia"/>
                <w:color w:val="000000"/>
              </w:rPr>
              <w:t>社会效益</w:t>
            </w:r>
          </w:p>
          <w:p w14:paraId="4320FCA2">
            <w:pPr>
              <w:widowControl/>
              <w:jc w:val="center"/>
              <w:textAlignment w:val="center"/>
              <w:rPr>
                <w:rFonts w:eastAsiaTheme="minorEastAsia"/>
                <w:color w:val="000000"/>
                <w:szCs w:val="21"/>
              </w:rPr>
            </w:pPr>
            <w:r>
              <w:rPr>
                <w:rFonts w:eastAsiaTheme="minorEastAsia"/>
                <w:color w:val="000000"/>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A27D1A">
            <w:pPr>
              <w:widowControl/>
              <w:jc w:val="center"/>
              <w:textAlignment w:val="center"/>
              <w:rPr>
                <w:rFonts w:eastAsiaTheme="minorEastAsia"/>
                <w:color w:val="000000"/>
                <w:szCs w:val="21"/>
                <w:highlight w:val="yellow"/>
              </w:rPr>
            </w:pPr>
            <w:r>
              <w:rPr>
                <w:rFonts w:eastAsiaTheme="minorEastAsia"/>
                <w:color w:val="000000"/>
                <w:szCs w:val="21"/>
              </w:rPr>
              <w:t>促进园区发展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ECC326">
            <w:pPr>
              <w:widowControl/>
              <w:jc w:val="center"/>
              <w:textAlignment w:val="center"/>
              <w:rPr>
                <w:rFonts w:eastAsiaTheme="minorEastAsia"/>
                <w:color w:val="000000"/>
                <w:szCs w:val="21"/>
                <w:highlight w:val="yellow"/>
              </w:rPr>
            </w:pPr>
            <w:r>
              <w:rPr>
                <w:rFonts w:eastAsiaTheme="minorEastAsia"/>
                <w:color w:val="000000"/>
                <w:szCs w:val="21"/>
              </w:rPr>
              <w:t>促进经济发展，社会稳定</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5C30EA">
            <w:pPr>
              <w:widowControl/>
              <w:jc w:val="center"/>
              <w:textAlignment w:val="center"/>
              <w:rPr>
                <w:rFonts w:eastAsiaTheme="minorEastAsia"/>
                <w:color w:val="000000"/>
                <w:szCs w:val="21"/>
                <w:highlight w:val="yellow"/>
              </w:rPr>
            </w:pPr>
            <w:r>
              <w:rPr>
                <w:rFonts w:eastAsiaTheme="minorEastAsia"/>
                <w:color w:val="000000"/>
                <w:szCs w:val="21"/>
              </w:rPr>
              <w:t>促进经济发展，社会稳定</w:t>
            </w:r>
          </w:p>
        </w:tc>
      </w:tr>
      <w:tr w14:paraId="4384D1C9">
        <w:tblPrEx>
          <w:tblCellMar>
            <w:top w:w="0" w:type="dxa"/>
            <w:left w:w="0" w:type="dxa"/>
            <w:bottom w:w="0" w:type="dxa"/>
            <w:right w:w="0" w:type="dxa"/>
          </w:tblCellMar>
        </w:tblPrEx>
        <w:trPr>
          <w:trHeight w:val="1050" w:hRule="atLeast"/>
          <w:jc w:val="center"/>
        </w:trPr>
        <w:tc>
          <w:tcPr>
            <w:tcW w:w="390" w:type="dxa"/>
            <w:tcBorders>
              <w:left w:val="single" w:color="000000" w:sz="4" w:space="0"/>
              <w:bottom w:val="single" w:color="000000" w:sz="4" w:space="0"/>
              <w:right w:val="single" w:color="000000" w:sz="4" w:space="0"/>
            </w:tcBorders>
            <w:tcMar>
              <w:top w:w="15" w:type="dxa"/>
              <w:left w:w="15" w:type="dxa"/>
              <w:right w:w="15" w:type="dxa"/>
            </w:tcMar>
            <w:vAlign w:val="center"/>
          </w:tcPr>
          <w:p w14:paraId="777410A2">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FEC7A5">
            <w:pPr>
              <w:widowControl/>
              <w:jc w:val="center"/>
              <w:textAlignment w:val="center"/>
              <w:rPr>
                <w:color w:val="000000"/>
                <w:kern w:val="0"/>
                <w:sz w:val="24"/>
              </w:rPr>
            </w:pPr>
            <w:r>
              <w:rPr>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A732CA">
            <w:pPr>
              <w:widowControl/>
              <w:jc w:val="center"/>
              <w:textAlignment w:val="center"/>
              <w:rPr>
                <w:rFonts w:eastAsiaTheme="minorEastAsia"/>
                <w:color w:val="000000"/>
                <w:sz w:val="24"/>
              </w:rPr>
            </w:pPr>
            <w:r>
              <w:rPr>
                <w:rFonts w:eastAsiaTheme="minorEastAsia"/>
                <w:color w:val="000000"/>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671163">
            <w:pPr>
              <w:widowControl/>
              <w:jc w:val="center"/>
              <w:textAlignment w:val="center"/>
              <w:rPr>
                <w:rFonts w:eastAsiaTheme="minorEastAsia"/>
                <w:color w:val="000000"/>
                <w:szCs w:val="21"/>
              </w:rPr>
            </w:pPr>
            <w:r>
              <w:rPr>
                <w:rFonts w:eastAsiaTheme="minorEastAsia"/>
                <w:color w:val="000000"/>
                <w:szCs w:val="21"/>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97119C">
            <w:pPr>
              <w:widowControl/>
              <w:jc w:val="center"/>
              <w:textAlignment w:val="center"/>
              <w:rPr>
                <w:rFonts w:eastAsiaTheme="minorEastAsia"/>
                <w:color w:val="000000"/>
                <w:szCs w:val="21"/>
              </w:rPr>
            </w:pPr>
            <w:r>
              <w:rPr>
                <w:rFonts w:eastAsiaTheme="minorEastAsia"/>
                <w:color w:val="000000"/>
                <w:szCs w:val="21"/>
              </w:rPr>
              <w:t>满意</w:t>
            </w:r>
            <w:r>
              <w:rPr>
                <w:rFonts w:hint="eastAsia" w:eastAsiaTheme="minorEastAsia"/>
                <w:color w:val="000000"/>
                <w:szCs w:val="21"/>
              </w:rPr>
              <w:t>度</w:t>
            </w:r>
            <w:r>
              <w:rPr>
                <w:rFonts w:eastAsiaTheme="minorEastAsia"/>
                <w:color w:val="000000"/>
                <w:szCs w:val="21"/>
              </w:rPr>
              <w:t>95%及以上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5CAA5E">
            <w:pPr>
              <w:widowControl/>
              <w:jc w:val="center"/>
              <w:textAlignment w:val="center"/>
              <w:rPr>
                <w:rFonts w:eastAsiaTheme="minorEastAsia"/>
                <w:color w:val="000000"/>
                <w:szCs w:val="21"/>
              </w:rPr>
            </w:pPr>
            <w:r>
              <w:rPr>
                <w:rFonts w:eastAsiaTheme="minorEastAsia"/>
                <w:color w:val="000000"/>
              </w:rPr>
              <w:t>大于95%</w:t>
            </w:r>
          </w:p>
        </w:tc>
      </w:tr>
    </w:tbl>
    <w:p w14:paraId="36EE2645">
      <w:pPr>
        <w:spacing w:line="580" w:lineRule="exact"/>
        <w:rPr>
          <w:rFonts w:eastAsia="楷体_GB2312"/>
          <w:sz w:val="32"/>
          <w:szCs w:val="32"/>
          <w:highlight w:val="yellow"/>
        </w:rPr>
      </w:pPr>
    </w:p>
    <w:p w14:paraId="5FFE7D48">
      <w:pPr>
        <w:spacing w:line="580" w:lineRule="exact"/>
        <w:ind w:left="630"/>
        <w:rPr>
          <w:rFonts w:eastAsia="仿宋_GB2312"/>
          <w:sz w:val="32"/>
          <w:szCs w:val="32"/>
        </w:rPr>
      </w:pPr>
      <w:r>
        <w:rPr>
          <w:rFonts w:eastAsia="楷体_GB2312"/>
          <w:sz w:val="32"/>
          <w:szCs w:val="32"/>
        </w:rPr>
        <w:t>2.部门绩效评价结果。</w:t>
      </w:r>
    </w:p>
    <w:p w14:paraId="737DD878">
      <w:pPr>
        <w:spacing w:line="580" w:lineRule="exact"/>
        <w:ind w:firstLine="640" w:firstLineChars="200"/>
        <w:rPr>
          <w:rFonts w:eastAsia="仿宋_GB2312"/>
          <w:sz w:val="32"/>
          <w:szCs w:val="32"/>
        </w:rPr>
      </w:pPr>
      <w:r>
        <w:rPr>
          <w:rFonts w:eastAsia="仿宋_GB2312"/>
          <w:sz w:val="32"/>
          <w:szCs w:val="32"/>
        </w:rPr>
        <w:t>本部门按要求对2020年部门整体支出绩效评价情况开展自评，《白马工业园区管委会部门2020年部门整体支出绩效评价报告》见附件（附件1）。</w:t>
      </w:r>
    </w:p>
    <w:p w14:paraId="0BA7EAF7">
      <w:pPr>
        <w:spacing w:line="580" w:lineRule="exact"/>
        <w:ind w:firstLine="640" w:firstLineChars="200"/>
        <w:rPr>
          <w:rFonts w:eastAsia="仿宋_GB2312"/>
          <w:b/>
          <w:color w:val="000000"/>
          <w:sz w:val="32"/>
          <w:szCs w:val="32"/>
        </w:rPr>
      </w:pPr>
      <w:r>
        <w:rPr>
          <w:rFonts w:eastAsia="仿宋_GB2312"/>
          <w:sz w:val="32"/>
          <w:szCs w:val="32"/>
        </w:rPr>
        <w:t>本部门自行组织对“攀枝花市2020年第一次项目竞进拉练相关费用”“园区管理专项”“物业管理服务费”“一枝山PPP项目水土保持补偿资金”“长坡工业区主干道延线福塑段工程建设资金”等5个项目开展了绩效评价，《白马工业园区管委会项目2020年绩效评价报告》见附件（附件2）。</w:t>
      </w:r>
    </w:p>
    <w:p w14:paraId="6ED2DFB2">
      <w:pPr>
        <w:numPr>
          <w:ilvl w:val="0"/>
          <w:numId w:val="2"/>
        </w:numPr>
        <w:ind w:firstLine="663" w:firstLineChars="150"/>
        <w:jc w:val="center"/>
        <w:outlineLvl w:val="0"/>
        <w:rPr>
          <w:rStyle w:val="17"/>
          <w:rFonts w:eastAsia="黑体"/>
          <w:b w:val="0"/>
        </w:rPr>
      </w:pPr>
      <w:bookmarkStart w:id="42" w:name="_Toc15396613"/>
      <w:bookmarkStart w:id="43" w:name="_Toc15377225"/>
      <w:r>
        <w:rPr>
          <w:rFonts w:eastAsia="黑体"/>
          <w:b/>
          <w:color w:val="000000"/>
          <w:sz w:val="44"/>
          <w:szCs w:val="44"/>
        </w:rPr>
        <w:t>名</w:t>
      </w:r>
      <w:r>
        <w:rPr>
          <w:rStyle w:val="17"/>
          <w:rFonts w:eastAsia="黑体"/>
          <w:b w:val="0"/>
        </w:rPr>
        <w:t>词解释</w:t>
      </w:r>
      <w:bookmarkEnd w:id="42"/>
      <w:bookmarkEnd w:id="43"/>
    </w:p>
    <w:p w14:paraId="70DD7177">
      <w:pPr>
        <w:jc w:val="left"/>
        <w:rPr>
          <w:b/>
          <w:color w:val="000000"/>
          <w:sz w:val="44"/>
          <w:szCs w:val="44"/>
        </w:rPr>
      </w:pPr>
      <w:r>
        <w:rPr>
          <w:b/>
          <w:color w:val="000000"/>
          <w:sz w:val="44"/>
          <w:szCs w:val="44"/>
        </w:rPr>
        <w:t xml:space="preserve">             </w:t>
      </w:r>
    </w:p>
    <w:p w14:paraId="3E88C660">
      <w:pPr>
        <w:pStyle w:val="26"/>
        <w:spacing w:line="560" w:lineRule="exact"/>
        <w:ind w:firstLine="640" w:firstLineChars="200"/>
        <w:rPr>
          <w:rFonts w:ascii="Times New Roman" w:hAnsi="Times New Roman" w:eastAsia="仿宋_GB2312" w:cs="Times New Roman"/>
          <w:w w:val="95"/>
          <w:sz w:val="32"/>
          <w:szCs w:val="32"/>
        </w:rPr>
      </w:pPr>
      <w:r>
        <w:rPr>
          <w:rFonts w:ascii="Times New Roman" w:hAnsi="Times New Roman" w:eastAsia="仿宋_GB2312" w:cs="Times New Roman"/>
          <w:sz w:val="32"/>
          <w:szCs w:val="32"/>
        </w:rPr>
        <w:t>1.</w:t>
      </w:r>
      <w:r>
        <w:rPr>
          <w:rFonts w:ascii="Times New Roman" w:hAnsi="Times New Roman" w:eastAsia="仿宋_GB2312" w:cs="Times New Roman"/>
          <w:w w:val="95"/>
          <w:sz w:val="32"/>
          <w:szCs w:val="32"/>
        </w:rPr>
        <w:t>财政拨款收入：指单位从同级财政部门取得的财政预算资金。</w:t>
      </w:r>
    </w:p>
    <w:p w14:paraId="489CE2D5">
      <w:pPr>
        <w:pStyle w:val="26"/>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2.年初结转和结余：指以前年度尚未完成、结转到本年按有关规定继续使用的资金。 </w:t>
      </w:r>
    </w:p>
    <w:p w14:paraId="5684CB23">
      <w:pPr>
        <w:pStyle w:val="26"/>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3、年末结转和结余：指单位按有关规定结转到下年或以后年度继续使用的资金。</w:t>
      </w:r>
    </w:p>
    <w:p w14:paraId="44322BB9">
      <w:pPr>
        <w:spacing w:line="560" w:lineRule="exact"/>
        <w:ind w:firstLine="640" w:firstLineChars="200"/>
        <w:rPr>
          <w:rFonts w:eastAsia="仿宋_GB2312"/>
          <w:color w:val="000000"/>
          <w:sz w:val="32"/>
          <w:szCs w:val="32"/>
        </w:rPr>
      </w:pPr>
      <w:r>
        <w:rPr>
          <w:rFonts w:eastAsia="仿宋_GB2312"/>
          <w:color w:val="000000"/>
          <w:sz w:val="32"/>
          <w:szCs w:val="32"/>
        </w:rPr>
        <w:t>4.一般公共服务201（类）03（款）01（项）：指行政运行；</w:t>
      </w:r>
    </w:p>
    <w:p w14:paraId="24BC22E9">
      <w:pPr>
        <w:spacing w:line="560" w:lineRule="exact"/>
        <w:ind w:firstLine="640" w:firstLineChars="200"/>
        <w:rPr>
          <w:rFonts w:eastAsia="仿宋_GB2312"/>
          <w:color w:val="000000"/>
          <w:sz w:val="32"/>
          <w:szCs w:val="32"/>
        </w:rPr>
      </w:pPr>
      <w:r>
        <w:rPr>
          <w:rFonts w:eastAsia="仿宋_GB2312"/>
          <w:color w:val="000000"/>
          <w:sz w:val="32"/>
          <w:szCs w:val="32"/>
        </w:rPr>
        <w:t>一般公共服务201（类）03（款）02（项）：指一般行政管理事务；</w:t>
      </w:r>
    </w:p>
    <w:p w14:paraId="36C99A48">
      <w:pPr>
        <w:spacing w:line="560" w:lineRule="exact"/>
        <w:ind w:firstLine="640" w:firstLineChars="200"/>
        <w:rPr>
          <w:rFonts w:eastAsia="仿宋_GB2312"/>
          <w:color w:val="000000"/>
          <w:sz w:val="32"/>
          <w:szCs w:val="32"/>
        </w:rPr>
      </w:pPr>
      <w:r>
        <w:rPr>
          <w:rFonts w:eastAsia="仿宋_GB2312"/>
          <w:color w:val="000000"/>
          <w:sz w:val="32"/>
          <w:szCs w:val="32"/>
        </w:rPr>
        <w:t>一般公共服务201（类）03（款）50（项）：指事业运行；</w:t>
      </w:r>
    </w:p>
    <w:p w14:paraId="0F3CE344">
      <w:pPr>
        <w:spacing w:line="560" w:lineRule="exact"/>
        <w:ind w:firstLine="640" w:firstLineChars="200"/>
        <w:rPr>
          <w:rFonts w:eastAsia="仿宋_GB2312"/>
          <w:color w:val="000000"/>
          <w:sz w:val="32"/>
          <w:szCs w:val="32"/>
        </w:rPr>
      </w:pPr>
      <w:r>
        <w:rPr>
          <w:rFonts w:eastAsia="仿宋_GB2312"/>
          <w:color w:val="000000"/>
          <w:sz w:val="32"/>
          <w:szCs w:val="32"/>
        </w:rPr>
        <w:t>一般公共服务201（类）03（款）99（项）：指其他政府办公厅（室）及相关机构事务支出；</w:t>
      </w:r>
    </w:p>
    <w:p w14:paraId="224F58AB">
      <w:pPr>
        <w:spacing w:line="560" w:lineRule="exact"/>
        <w:ind w:firstLine="640" w:firstLineChars="200"/>
        <w:rPr>
          <w:rFonts w:eastAsia="仿宋_GB2312"/>
          <w:color w:val="000000"/>
          <w:sz w:val="32"/>
          <w:szCs w:val="32"/>
        </w:rPr>
      </w:pPr>
      <w:r>
        <w:rPr>
          <w:rFonts w:eastAsia="仿宋_GB2312"/>
          <w:color w:val="000000"/>
          <w:sz w:val="32"/>
          <w:szCs w:val="32"/>
        </w:rPr>
        <w:t>5.社会保障和就业208（类）05（款）05（项）：指机关事业单位基本养老保险缴费支出。</w:t>
      </w:r>
    </w:p>
    <w:p w14:paraId="3D58FBE7">
      <w:pPr>
        <w:spacing w:line="560" w:lineRule="exact"/>
        <w:ind w:firstLine="640" w:firstLineChars="200"/>
        <w:rPr>
          <w:rFonts w:eastAsia="仿宋_GB2312"/>
          <w:color w:val="000000"/>
          <w:sz w:val="32"/>
          <w:szCs w:val="32"/>
        </w:rPr>
      </w:pPr>
      <w:r>
        <w:rPr>
          <w:rFonts w:eastAsia="仿宋_GB2312"/>
          <w:color w:val="000000"/>
          <w:sz w:val="32"/>
          <w:szCs w:val="32"/>
        </w:rPr>
        <w:t>6.城乡社区支出212（类）08（款）01（项）：指征地和拆迁补偿支出。</w:t>
      </w:r>
    </w:p>
    <w:p w14:paraId="09C7AABD">
      <w:pPr>
        <w:spacing w:line="560" w:lineRule="exact"/>
        <w:ind w:firstLine="640" w:firstLineChars="200"/>
        <w:rPr>
          <w:rFonts w:eastAsia="仿宋_GB2312"/>
          <w:color w:val="000000"/>
          <w:w w:val="95"/>
          <w:sz w:val="32"/>
          <w:szCs w:val="32"/>
        </w:rPr>
      </w:pPr>
      <w:r>
        <w:rPr>
          <w:rFonts w:eastAsia="仿宋_GB2312"/>
          <w:color w:val="000000"/>
          <w:sz w:val="32"/>
          <w:szCs w:val="32"/>
        </w:rPr>
        <w:t>7.住房保障支出221（类）02（款）01（项）：</w:t>
      </w:r>
      <w:r>
        <w:rPr>
          <w:rFonts w:eastAsia="仿宋_GB2312"/>
          <w:color w:val="000000"/>
          <w:w w:val="95"/>
          <w:sz w:val="32"/>
          <w:szCs w:val="32"/>
        </w:rPr>
        <w:t>指住房公积金。</w:t>
      </w:r>
    </w:p>
    <w:p w14:paraId="7DDC777D">
      <w:pPr>
        <w:spacing w:line="560" w:lineRule="exact"/>
        <w:ind w:firstLine="640" w:firstLineChars="200"/>
        <w:rPr>
          <w:rFonts w:eastAsia="仿宋_GB2312"/>
          <w:color w:val="000000"/>
          <w:sz w:val="32"/>
          <w:szCs w:val="32"/>
        </w:rPr>
      </w:pPr>
      <w:r>
        <w:rPr>
          <w:rFonts w:eastAsia="仿宋_GB2312"/>
          <w:color w:val="000000"/>
          <w:sz w:val="32"/>
          <w:szCs w:val="32"/>
        </w:rPr>
        <w:t>8.基本支出：指为保障机构正常运转、完成日常工作任务而发生的人员支出和公用支出。</w:t>
      </w:r>
    </w:p>
    <w:p w14:paraId="404D06B3">
      <w:pPr>
        <w:spacing w:line="560" w:lineRule="exact"/>
        <w:ind w:firstLine="640" w:firstLineChars="200"/>
        <w:rPr>
          <w:rFonts w:eastAsia="仿宋_GB2312"/>
          <w:color w:val="000000"/>
          <w:sz w:val="32"/>
          <w:szCs w:val="32"/>
        </w:rPr>
      </w:pPr>
      <w:r>
        <w:rPr>
          <w:rFonts w:eastAsia="仿宋_GB2312"/>
          <w:color w:val="000000"/>
          <w:sz w:val="32"/>
          <w:szCs w:val="32"/>
        </w:rPr>
        <w:t xml:space="preserve">9.项目支出：指在基本支出之外为完成特定行政任务和事业发展目标所发生的支出。 </w:t>
      </w:r>
    </w:p>
    <w:p w14:paraId="6F29C49C">
      <w:pPr>
        <w:pStyle w:val="26"/>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DFBD5D5">
      <w:pPr>
        <w:pStyle w:val="26"/>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46FD049">
      <w:pPr>
        <w:spacing w:line="560" w:lineRule="exact"/>
        <w:ind w:firstLine="672" w:firstLineChars="210"/>
        <w:rPr>
          <w:rFonts w:eastAsia="仿宋_GB2312"/>
          <w:sz w:val="32"/>
          <w:szCs w:val="32"/>
        </w:rPr>
      </w:pPr>
      <w:r>
        <w:rPr>
          <w:rFonts w:eastAsia="仿宋_GB2312"/>
          <w:sz w:val="32"/>
          <w:szCs w:val="32"/>
        </w:rPr>
        <w:t>12.一般公共预算收入：指国家财政参与社会产品分配所取得的收入，是实现国家职能的财力保证。一般公共预算收入越高，地方政府的财政可支配能力就越强，社会民生保障方面得到的实惠就越多。</w:t>
      </w:r>
    </w:p>
    <w:p w14:paraId="53349BE6">
      <w:pPr>
        <w:spacing w:line="560" w:lineRule="exact"/>
        <w:ind w:firstLine="672" w:firstLineChars="210"/>
        <w:rPr>
          <w:rFonts w:eastAsia="仿宋_GB2312"/>
          <w:color w:val="333333"/>
          <w:sz w:val="32"/>
          <w:szCs w:val="32"/>
          <w:shd w:val="clear" w:color="auto" w:fill="FFFFFF"/>
        </w:rPr>
      </w:pPr>
      <w:r>
        <w:rPr>
          <w:rFonts w:eastAsia="仿宋_GB2312"/>
          <w:sz w:val="32"/>
          <w:szCs w:val="32"/>
        </w:rPr>
        <w:t>13.政府基金预算收入：</w:t>
      </w:r>
      <w:r>
        <w:rPr>
          <w:rFonts w:eastAsia="仿宋_GB2312"/>
          <w:color w:val="333333"/>
          <w:sz w:val="32"/>
          <w:szCs w:val="32"/>
          <w:shd w:val="clear" w:color="auto" w:fill="FFFFFF"/>
        </w:rPr>
        <w:t>政府性基金预算是国家通过向社会征收以及出让土地、发行彩票等方式取得收入，并专项用于支持特定基础设施建设和社会事业发展的财政收支预算，是政府预算体系的重要组成部分。</w:t>
      </w:r>
    </w:p>
    <w:p w14:paraId="78F3C246">
      <w:pPr>
        <w:spacing w:line="560" w:lineRule="exact"/>
        <w:ind w:firstLine="672" w:firstLineChars="210"/>
        <w:rPr>
          <w:rFonts w:eastAsia="仿宋_GB2312"/>
          <w:color w:val="333333"/>
          <w:sz w:val="32"/>
          <w:szCs w:val="32"/>
          <w:shd w:val="clear" w:color="auto" w:fill="FFFFFF"/>
        </w:rPr>
      </w:pPr>
    </w:p>
    <w:p w14:paraId="1015A526">
      <w:pPr>
        <w:spacing w:line="560" w:lineRule="exact"/>
        <w:ind w:firstLine="672" w:firstLineChars="210"/>
        <w:rPr>
          <w:rFonts w:eastAsia="仿宋_GB2312"/>
          <w:color w:val="333333"/>
          <w:sz w:val="32"/>
          <w:szCs w:val="32"/>
          <w:shd w:val="clear" w:color="auto" w:fill="FFFFFF"/>
        </w:rPr>
      </w:pPr>
    </w:p>
    <w:p w14:paraId="46489485">
      <w:pPr>
        <w:jc w:val="center"/>
        <w:outlineLvl w:val="0"/>
        <w:rPr>
          <w:rStyle w:val="17"/>
          <w:rFonts w:eastAsia="黑体"/>
          <w:b w:val="0"/>
        </w:rPr>
      </w:pPr>
      <w:bookmarkStart w:id="44" w:name="_Toc15396614"/>
      <w:bookmarkStart w:id="45" w:name="_Toc15377226"/>
      <w:r>
        <w:rPr>
          <w:rFonts w:eastAsia="黑体"/>
          <w:color w:val="000000"/>
          <w:sz w:val="44"/>
          <w:szCs w:val="44"/>
        </w:rPr>
        <w:t>第</w:t>
      </w:r>
      <w:r>
        <w:rPr>
          <w:rStyle w:val="17"/>
          <w:rFonts w:eastAsia="黑体"/>
          <w:b w:val="0"/>
        </w:rPr>
        <w:t>四部分 附件</w:t>
      </w:r>
      <w:bookmarkEnd w:id="44"/>
    </w:p>
    <w:p w14:paraId="51B8FD1B">
      <w:pPr>
        <w:pStyle w:val="3"/>
        <w:spacing w:line="240" w:lineRule="auto"/>
        <w:rPr>
          <w:rStyle w:val="17"/>
          <w:rFonts w:eastAsia="仿宋"/>
          <w:b w:val="0"/>
          <w:bCs w:val="0"/>
          <w:sz w:val="32"/>
          <w:szCs w:val="32"/>
        </w:rPr>
      </w:pPr>
      <w:bookmarkStart w:id="46" w:name="_Toc15396615"/>
      <w:r>
        <w:rPr>
          <w:rStyle w:val="17"/>
          <w:rFonts w:eastAsia="仿宋"/>
          <w:b w:val="0"/>
          <w:bCs w:val="0"/>
          <w:sz w:val="32"/>
          <w:szCs w:val="32"/>
        </w:rPr>
        <w:t>附件1</w:t>
      </w:r>
      <w:bookmarkEnd w:id="46"/>
    </w:p>
    <w:p w14:paraId="61A684E1">
      <w:pPr>
        <w:spacing w:line="600" w:lineRule="exact"/>
        <w:jc w:val="center"/>
        <w:outlineLvl w:val="0"/>
        <w:rPr>
          <w:rFonts w:eastAsia="方正小标宋简体"/>
          <w:sz w:val="36"/>
          <w:szCs w:val="36"/>
        </w:rPr>
      </w:pPr>
      <w:bookmarkStart w:id="47" w:name="_Toc15396616"/>
      <w:r>
        <w:rPr>
          <w:rFonts w:eastAsia="方正小标宋简体"/>
          <w:sz w:val="36"/>
          <w:szCs w:val="36"/>
        </w:rPr>
        <w:t>白马工业园区管委会部门2020年部门整体支出绩效自评报告</w:t>
      </w:r>
      <w:bookmarkEnd w:id="47"/>
    </w:p>
    <w:p w14:paraId="68DEC262">
      <w:pPr>
        <w:adjustRightInd w:val="0"/>
        <w:snapToGrid w:val="0"/>
        <w:spacing w:line="560" w:lineRule="exact"/>
        <w:ind w:firstLine="720"/>
        <w:rPr>
          <w:rFonts w:eastAsia="黑体"/>
          <w:color w:val="000000"/>
          <w:kern w:val="0"/>
          <w:sz w:val="32"/>
          <w:szCs w:val="32"/>
          <w:shd w:val="clear" w:color="auto" w:fill="FFFFFF"/>
          <w:lang w:val="zh-CN"/>
        </w:rPr>
      </w:pPr>
      <w:bookmarkStart w:id="48" w:name="_Toc15396618"/>
      <w:r>
        <w:rPr>
          <w:rFonts w:eastAsia="黑体"/>
          <w:color w:val="000000"/>
          <w:kern w:val="0"/>
          <w:sz w:val="32"/>
          <w:szCs w:val="32"/>
          <w:shd w:val="clear" w:color="auto" w:fill="FFFFFF"/>
        </w:rPr>
        <w:t>一、</w:t>
      </w:r>
      <w:r>
        <w:rPr>
          <w:rFonts w:eastAsia="黑体"/>
          <w:color w:val="000000"/>
          <w:kern w:val="0"/>
          <w:sz w:val="32"/>
          <w:szCs w:val="32"/>
          <w:shd w:val="clear" w:color="auto" w:fill="FFFFFF"/>
          <w:lang w:val="zh-CN"/>
        </w:rPr>
        <w:t>单位概况</w:t>
      </w:r>
    </w:p>
    <w:p w14:paraId="7E06CB6D">
      <w:pPr>
        <w:adjustRightInd w:val="0"/>
        <w:snapToGrid w:val="0"/>
        <w:spacing w:line="560" w:lineRule="exact"/>
        <w:ind w:firstLine="720"/>
        <w:rPr>
          <w:rFonts w:eastAsia="楷体_GB2312"/>
          <w:b/>
          <w:color w:val="000000"/>
          <w:kern w:val="0"/>
          <w:sz w:val="32"/>
          <w:szCs w:val="32"/>
          <w:shd w:val="clear" w:color="auto" w:fill="FFFFFF"/>
          <w:lang w:val="zh-CN"/>
        </w:rPr>
      </w:pPr>
      <w:r>
        <w:rPr>
          <w:rFonts w:eastAsia="楷体_GB2312"/>
          <w:b/>
          <w:color w:val="000000"/>
          <w:kern w:val="0"/>
          <w:sz w:val="32"/>
          <w:szCs w:val="32"/>
          <w:shd w:val="clear" w:color="auto" w:fill="FFFFFF"/>
          <w:lang w:val="zh-CN"/>
        </w:rPr>
        <w:t>（一）机构组成</w:t>
      </w:r>
    </w:p>
    <w:p w14:paraId="2CD8C5CB">
      <w:pPr>
        <w:adjustRightInd w:val="0"/>
        <w:snapToGrid w:val="0"/>
        <w:spacing w:line="560" w:lineRule="exact"/>
        <w:ind w:firstLine="720"/>
        <w:rPr>
          <w:rFonts w:eastAsia="仿宋_GB2312"/>
          <w:color w:val="000000"/>
          <w:kern w:val="0"/>
          <w:sz w:val="32"/>
          <w:szCs w:val="32"/>
          <w:shd w:val="clear" w:color="auto" w:fill="FFFFFF"/>
          <w:lang w:val="zh-CN"/>
        </w:rPr>
      </w:pPr>
      <w:r>
        <w:rPr>
          <w:rFonts w:eastAsia="仿宋_GB2312"/>
          <w:color w:val="000000"/>
          <w:kern w:val="0"/>
          <w:sz w:val="32"/>
          <w:szCs w:val="32"/>
          <w:shd w:val="clear" w:color="auto" w:fill="FFFFFF"/>
          <w:lang w:val="zh-CN"/>
        </w:rPr>
        <w:t>白马工业园区管委会是米易县人民政府正科级派出机构。</w:t>
      </w:r>
    </w:p>
    <w:p w14:paraId="3CBF8530">
      <w:pPr>
        <w:adjustRightInd w:val="0"/>
        <w:snapToGrid w:val="0"/>
        <w:spacing w:line="560" w:lineRule="exact"/>
        <w:ind w:firstLine="720"/>
        <w:rPr>
          <w:rFonts w:eastAsia="楷体_GB2312"/>
          <w:b/>
          <w:color w:val="000000"/>
          <w:kern w:val="0"/>
          <w:sz w:val="32"/>
          <w:szCs w:val="32"/>
          <w:shd w:val="clear" w:color="auto" w:fill="FFFFFF"/>
          <w:lang w:val="zh-CN"/>
        </w:rPr>
      </w:pPr>
      <w:r>
        <w:rPr>
          <w:rFonts w:eastAsia="楷体_GB2312"/>
          <w:b/>
          <w:color w:val="000000"/>
          <w:kern w:val="0"/>
          <w:sz w:val="32"/>
          <w:szCs w:val="32"/>
          <w:shd w:val="clear" w:color="auto" w:fill="FFFFFF"/>
          <w:lang w:val="zh-CN"/>
        </w:rPr>
        <w:t>（二）机构职能</w:t>
      </w:r>
    </w:p>
    <w:p w14:paraId="7ED2219C">
      <w:pPr>
        <w:shd w:val="clear" w:color="auto" w:fill="FFFFFF"/>
        <w:spacing w:line="560" w:lineRule="exact"/>
        <w:ind w:firstLine="640"/>
        <w:rPr>
          <w:rFonts w:eastAsia="仿宋_GB2312"/>
          <w:color w:val="000000"/>
          <w:kern w:val="0"/>
          <w:sz w:val="24"/>
        </w:rPr>
      </w:pPr>
      <w:r>
        <w:rPr>
          <w:rFonts w:eastAsia="仿宋_GB2312"/>
          <w:color w:val="000000"/>
          <w:kern w:val="0"/>
          <w:sz w:val="32"/>
          <w:szCs w:val="32"/>
        </w:rPr>
        <w:t>1.贯彻执行党的路线、方针、政策，国家的法律、法规和县委、县政府的有关决定、命令。</w:t>
      </w:r>
    </w:p>
    <w:p w14:paraId="53A83D71">
      <w:pPr>
        <w:shd w:val="clear" w:color="auto" w:fill="FFFFFF"/>
        <w:spacing w:line="560" w:lineRule="exact"/>
        <w:ind w:firstLine="640"/>
        <w:rPr>
          <w:rFonts w:eastAsia="仿宋_GB2312"/>
          <w:color w:val="000000"/>
          <w:kern w:val="0"/>
          <w:sz w:val="24"/>
        </w:rPr>
      </w:pPr>
      <w:r>
        <w:rPr>
          <w:rFonts w:eastAsia="仿宋_GB2312"/>
          <w:color w:val="000000"/>
          <w:kern w:val="0"/>
          <w:sz w:val="32"/>
          <w:szCs w:val="32"/>
        </w:rPr>
        <w:t>2.根据米易县经济社会发展规划和年度计划，拟定园区产业发展规划和年度经济发展计划，经批准后组织实施。</w:t>
      </w:r>
    </w:p>
    <w:p w14:paraId="291582C8">
      <w:pPr>
        <w:shd w:val="clear" w:color="auto" w:fill="FFFFFF"/>
        <w:spacing w:line="560" w:lineRule="exact"/>
        <w:ind w:firstLine="640"/>
        <w:rPr>
          <w:rFonts w:eastAsia="仿宋_GB2312"/>
          <w:color w:val="000000"/>
          <w:kern w:val="0"/>
          <w:sz w:val="24"/>
        </w:rPr>
      </w:pPr>
      <w:r>
        <w:rPr>
          <w:rFonts w:eastAsia="仿宋_GB2312"/>
          <w:color w:val="000000"/>
          <w:kern w:val="0"/>
          <w:sz w:val="32"/>
          <w:szCs w:val="32"/>
        </w:rPr>
        <w:t>3.参与园区建设规划和控制性详细规划的编制（修编）及实施工作，协调入驻园区项目的选址、规划审批，对入驻园区建设项目进行指导、管理。</w:t>
      </w:r>
    </w:p>
    <w:p w14:paraId="6B83ABAA">
      <w:pPr>
        <w:shd w:val="clear" w:color="auto" w:fill="FFFFFF"/>
        <w:spacing w:line="560" w:lineRule="exact"/>
        <w:ind w:firstLine="640"/>
        <w:rPr>
          <w:rFonts w:eastAsia="仿宋_GB2312"/>
          <w:color w:val="000000"/>
          <w:kern w:val="0"/>
          <w:sz w:val="24"/>
        </w:rPr>
      </w:pPr>
      <w:r>
        <w:rPr>
          <w:rFonts w:eastAsia="仿宋_GB2312"/>
          <w:color w:val="000000"/>
          <w:kern w:val="0"/>
          <w:sz w:val="32"/>
          <w:szCs w:val="32"/>
        </w:rPr>
        <w:t>4.负责园区基础设施和公共设施的建设与管理。</w:t>
      </w:r>
    </w:p>
    <w:p w14:paraId="16E4BE6E">
      <w:pPr>
        <w:shd w:val="clear" w:color="auto" w:fill="FFFFFF"/>
        <w:spacing w:line="560" w:lineRule="exact"/>
        <w:ind w:firstLine="640"/>
        <w:rPr>
          <w:rFonts w:eastAsia="仿宋_GB2312"/>
          <w:color w:val="000000"/>
          <w:kern w:val="0"/>
          <w:sz w:val="24"/>
        </w:rPr>
      </w:pPr>
      <w:r>
        <w:rPr>
          <w:rFonts w:eastAsia="仿宋_GB2312"/>
          <w:color w:val="000000"/>
          <w:kern w:val="0"/>
          <w:sz w:val="32"/>
          <w:szCs w:val="32"/>
        </w:rPr>
        <w:t>5.负责组织由市、县转报项目的申报工作，管好用活园区项目资金，组织、参与转报项目的检查验收工作。</w:t>
      </w:r>
    </w:p>
    <w:p w14:paraId="36E36503">
      <w:pPr>
        <w:shd w:val="clear" w:color="auto" w:fill="FFFFFF"/>
        <w:spacing w:line="560" w:lineRule="exact"/>
        <w:ind w:firstLine="640"/>
        <w:rPr>
          <w:rFonts w:eastAsia="仿宋_GB2312"/>
          <w:color w:val="000000"/>
          <w:kern w:val="0"/>
          <w:sz w:val="24"/>
        </w:rPr>
      </w:pPr>
      <w:r>
        <w:rPr>
          <w:rFonts w:eastAsia="仿宋_GB2312"/>
          <w:color w:val="000000"/>
          <w:kern w:val="0"/>
          <w:sz w:val="32"/>
          <w:szCs w:val="32"/>
        </w:rPr>
        <w:t>6.负责园区招商引资、对外经济合作事项，协助管理园区涉外事务和进出口业务；协同有关部门对园区企业技改项目进行审核并按程序报批。</w:t>
      </w:r>
    </w:p>
    <w:p w14:paraId="2BF29FDC">
      <w:pPr>
        <w:shd w:val="clear" w:color="auto" w:fill="FFFFFF"/>
        <w:spacing w:line="560" w:lineRule="exact"/>
        <w:ind w:firstLine="641"/>
        <w:rPr>
          <w:rFonts w:eastAsia="仿宋_GB2312"/>
          <w:color w:val="000000"/>
          <w:kern w:val="0"/>
          <w:sz w:val="24"/>
        </w:rPr>
      </w:pPr>
      <w:r>
        <w:rPr>
          <w:rFonts w:eastAsia="仿宋_GB2312"/>
          <w:color w:val="000000"/>
          <w:kern w:val="0"/>
          <w:sz w:val="32"/>
          <w:szCs w:val="32"/>
        </w:rPr>
        <w:t>7.负责园区生产要素协调服务和企业运行监督指导，规范园区企业统计、信息网报等工作。</w:t>
      </w:r>
    </w:p>
    <w:p w14:paraId="5F6D40F7">
      <w:pPr>
        <w:shd w:val="clear" w:color="auto" w:fill="FFFFFF"/>
        <w:spacing w:line="560" w:lineRule="exact"/>
        <w:ind w:firstLine="641"/>
        <w:rPr>
          <w:rFonts w:eastAsia="仿宋_GB2312"/>
          <w:color w:val="000000"/>
          <w:kern w:val="0"/>
          <w:sz w:val="24"/>
        </w:rPr>
      </w:pPr>
      <w:r>
        <w:rPr>
          <w:rFonts w:eastAsia="仿宋_GB2312"/>
          <w:color w:val="000000"/>
          <w:kern w:val="0"/>
          <w:sz w:val="32"/>
          <w:szCs w:val="32"/>
        </w:rPr>
        <w:t>8.受县政府及县属有关部门委托，在园区范围内行使相关行政管理职能。</w:t>
      </w:r>
    </w:p>
    <w:p w14:paraId="1BDC4588">
      <w:pPr>
        <w:shd w:val="clear" w:color="auto" w:fill="FFFFFF"/>
        <w:spacing w:line="560" w:lineRule="exact"/>
        <w:ind w:firstLine="641"/>
        <w:rPr>
          <w:rFonts w:eastAsia="仿宋_GB2312"/>
          <w:color w:val="000000"/>
          <w:kern w:val="0"/>
          <w:sz w:val="24"/>
        </w:rPr>
      </w:pPr>
      <w:r>
        <w:rPr>
          <w:rFonts w:eastAsia="仿宋_GB2312"/>
          <w:color w:val="000000"/>
          <w:kern w:val="0"/>
          <w:sz w:val="32"/>
          <w:szCs w:val="32"/>
        </w:rPr>
        <w:t>9.负责制定园区有关行政管理制度并监督执行。</w:t>
      </w:r>
    </w:p>
    <w:p w14:paraId="55533B28">
      <w:pPr>
        <w:shd w:val="clear" w:color="auto" w:fill="FFFFFF"/>
        <w:spacing w:line="560" w:lineRule="exact"/>
        <w:ind w:firstLine="640"/>
        <w:rPr>
          <w:rFonts w:eastAsia="仿宋_GB2312"/>
          <w:color w:val="000000"/>
          <w:kern w:val="0"/>
          <w:sz w:val="24"/>
        </w:rPr>
      </w:pPr>
      <w:r>
        <w:rPr>
          <w:rFonts w:eastAsia="仿宋_GB2312"/>
          <w:color w:val="000000"/>
          <w:kern w:val="0"/>
          <w:sz w:val="32"/>
          <w:szCs w:val="32"/>
        </w:rPr>
        <w:t>10.加强园区建设发展中涉及的纠纷调解和应急事件处置，切实保护投资者、企业和职工的合法权益。</w:t>
      </w:r>
    </w:p>
    <w:p w14:paraId="51F19FB3">
      <w:pPr>
        <w:shd w:val="clear" w:color="auto" w:fill="FFFFFF"/>
        <w:spacing w:line="560" w:lineRule="exact"/>
        <w:ind w:firstLine="640"/>
        <w:rPr>
          <w:rFonts w:eastAsia="仿宋_GB2312"/>
          <w:color w:val="000000"/>
          <w:kern w:val="0"/>
          <w:sz w:val="24"/>
        </w:rPr>
      </w:pPr>
      <w:r>
        <w:rPr>
          <w:rFonts w:eastAsia="仿宋_GB2312"/>
          <w:color w:val="000000"/>
          <w:kern w:val="0"/>
          <w:sz w:val="32"/>
          <w:szCs w:val="32"/>
        </w:rPr>
        <w:t>11.承办县委、县政府交办的其他事项。</w:t>
      </w:r>
    </w:p>
    <w:p w14:paraId="70D89A69">
      <w:pPr>
        <w:adjustRightInd w:val="0"/>
        <w:snapToGrid w:val="0"/>
        <w:spacing w:line="560" w:lineRule="exact"/>
        <w:ind w:firstLine="720"/>
        <w:rPr>
          <w:rFonts w:eastAsia="楷体_GB2312"/>
          <w:b/>
          <w:color w:val="000000"/>
          <w:kern w:val="0"/>
          <w:sz w:val="32"/>
          <w:szCs w:val="32"/>
          <w:shd w:val="clear" w:color="auto" w:fill="FFFFFF"/>
          <w:lang w:val="zh-CN"/>
        </w:rPr>
      </w:pPr>
      <w:r>
        <w:rPr>
          <w:rFonts w:eastAsia="楷体_GB2312"/>
          <w:b/>
          <w:color w:val="000000"/>
          <w:kern w:val="0"/>
          <w:sz w:val="32"/>
          <w:szCs w:val="32"/>
          <w:shd w:val="clear" w:color="auto" w:fill="FFFFFF"/>
          <w:lang w:val="zh-CN"/>
        </w:rPr>
        <w:t>（三）人员概况</w:t>
      </w:r>
    </w:p>
    <w:p w14:paraId="165C05C9">
      <w:pPr>
        <w:adjustRightInd w:val="0"/>
        <w:snapToGrid w:val="0"/>
        <w:spacing w:line="560" w:lineRule="exact"/>
        <w:ind w:firstLine="720"/>
        <w:rPr>
          <w:rFonts w:eastAsia="仿宋_GB2312"/>
          <w:sz w:val="32"/>
          <w:szCs w:val="32"/>
        </w:rPr>
      </w:pPr>
      <w:r>
        <w:rPr>
          <w:rFonts w:eastAsia="仿宋_GB2312"/>
          <w:sz w:val="32"/>
          <w:szCs w:val="32"/>
        </w:rPr>
        <w:t>白马工业园区管委会核定行政编制5名，机关后勤事业编制2名，全额拨款事业编制6名；白马工业园区管委会现有行政编制7人，机关工勤编制</w:t>
      </w:r>
      <w:r>
        <w:rPr>
          <w:rFonts w:hint="eastAsia" w:eastAsia="仿宋_GB2312"/>
          <w:sz w:val="32"/>
          <w:szCs w:val="32"/>
        </w:rPr>
        <w:t>0</w:t>
      </w:r>
      <w:r>
        <w:rPr>
          <w:rFonts w:eastAsia="仿宋_GB2312"/>
          <w:sz w:val="32"/>
          <w:szCs w:val="32"/>
        </w:rPr>
        <w:t>人，全额拨款事业编制6人，实有人员1</w:t>
      </w:r>
      <w:r>
        <w:rPr>
          <w:rFonts w:hint="eastAsia" w:eastAsia="仿宋_GB2312"/>
          <w:sz w:val="32"/>
          <w:szCs w:val="32"/>
        </w:rPr>
        <w:t>3</w:t>
      </w:r>
      <w:r>
        <w:rPr>
          <w:rFonts w:eastAsia="仿宋_GB2312"/>
          <w:sz w:val="32"/>
          <w:szCs w:val="32"/>
        </w:rPr>
        <w:t>人。白马工业园区管委会内设办公室、综合股、经济运行股、安监所（环保管理股）4个内设机构；下设1个全额拨款事业单位—园区服务中心。</w:t>
      </w:r>
    </w:p>
    <w:p w14:paraId="57D30689">
      <w:pPr>
        <w:adjustRightInd w:val="0"/>
        <w:snapToGrid w:val="0"/>
        <w:spacing w:line="560" w:lineRule="exact"/>
        <w:ind w:firstLine="720"/>
        <w:rPr>
          <w:rFonts w:eastAsia="黑体"/>
          <w:color w:val="000000"/>
          <w:kern w:val="0"/>
          <w:sz w:val="32"/>
          <w:szCs w:val="32"/>
          <w:shd w:val="clear" w:color="auto" w:fill="FFFFFF"/>
        </w:rPr>
      </w:pPr>
      <w:r>
        <w:rPr>
          <w:rFonts w:eastAsia="黑体"/>
          <w:color w:val="000000"/>
          <w:kern w:val="0"/>
          <w:sz w:val="32"/>
          <w:szCs w:val="32"/>
          <w:shd w:val="clear" w:color="auto" w:fill="FFFFFF"/>
        </w:rPr>
        <w:t>二、部门财政资金收支情况</w:t>
      </w:r>
    </w:p>
    <w:p w14:paraId="526EFA86">
      <w:pPr>
        <w:adjustRightInd w:val="0"/>
        <w:snapToGrid w:val="0"/>
        <w:spacing w:line="560" w:lineRule="exact"/>
        <w:ind w:firstLine="720"/>
        <w:rPr>
          <w:rFonts w:eastAsia="楷体_GB2312"/>
          <w:b/>
          <w:color w:val="000000"/>
          <w:kern w:val="0"/>
          <w:sz w:val="32"/>
          <w:szCs w:val="32"/>
          <w:shd w:val="clear" w:color="auto" w:fill="FFFFFF"/>
          <w:lang w:val="zh-CN"/>
        </w:rPr>
      </w:pPr>
      <w:r>
        <w:rPr>
          <w:rFonts w:eastAsia="楷体_GB2312"/>
          <w:b/>
          <w:color w:val="000000"/>
          <w:kern w:val="0"/>
          <w:sz w:val="32"/>
          <w:szCs w:val="32"/>
          <w:shd w:val="clear" w:color="auto" w:fill="FFFFFF"/>
          <w:lang w:val="zh-CN"/>
        </w:rPr>
        <w:t>（一）部门财政资金收入情况</w:t>
      </w:r>
    </w:p>
    <w:p w14:paraId="23B460C7">
      <w:pPr>
        <w:adjustRightInd w:val="0"/>
        <w:snapToGrid w:val="0"/>
        <w:spacing w:line="560" w:lineRule="exact"/>
        <w:ind w:firstLine="720"/>
        <w:rPr>
          <w:rFonts w:eastAsia="仿宋_GB2312"/>
          <w:color w:val="000000"/>
          <w:kern w:val="0"/>
          <w:sz w:val="32"/>
          <w:szCs w:val="32"/>
          <w:shd w:val="clear" w:color="auto" w:fill="FFFFFF"/>
          <w:lang w:val="zh-CN"/>
        </w:rPr>
      </w:pPr>
      <w:r>
        <w:rPr>
          <w:rFonts w:eastAsia="仿宋_GB2312"/>
          <w:color w:val="000000"/>
          <w:kern w:val="0"/>
          <w:sz w:val="32"/>
          <w:szCs w:val="32"/>
          <w:shd w:val="clear" w:color="auto" w:fill="FFFFFF"/>
          <w:lang w:val="zh-CN"/>
        </w:rPr>
        <w:t>2020年，财政拨款收入3246622.49元。</w:t>
      </w:r>
    </w:p>
    <w:p w14:paraId="1B8764DA">
      <w:pPr>
        <w:adjustRightInd w:val="0"/>
        <w:snapToGrid w:val="0"/>
        <w:spacing w:line="560" w:lineRule="exact"/>
        <w:ind w:firstLine="720"/>
        <w:rPr>
          <w:rFonts w:eastAsia="楷体_GB2312"/>
          <w:b/>
          <w:color w:val="000000"/>
          <w:kern w:val="0"/>
          <w:sz w:val="32"/>
          <w:szCs w:val="32"/>
          <w:shd w:val="clear" w:color="auto" w:fill="FFFFFF"/>
          <w:lang w:val="zh-CN"/>
        </w:rPr>
      </w:pPr>
      <w:r>
        <w:rPr>
          <w:rFonts w:eastAsia="楷体_GB2312"/>
          <w:b/>
          <w:color w:val="000000"/>
          <w:kern w:val="0"/>
          <w:sz w:val="32"/>
          <w:szCs w:val="32"/>
          <w:shd w:val="clear" w:color="auto" w:fill="FFFFFF"/>
          <w:lang w:val="zh-CN"/>
        </w:rPr>
        <w:t>（二）部门财政资金支出情况</w:t>
      </w:r>
    </w:p>
    <w:p w14:paraId="10CD5BCC">
      <w:pPr>
        <w:adjustRightInd w:val="0"/>
        <w:snapToGrid w:val="0"/>
        <w:spacing w:line="560" w:lineRule="exact"/>
        <w:ind w:firstLine="720"/>
        <w:rPr>
          <w:rFonts w:eastAsia="仿宋_GB2312"/>
          <w:color w:val="000000"/>
          <w:kern w:val="0"/>
          <w:sz w:val="32"/>
          <w:szCs w:val="32"/>
          <w:shd w:val="clear" w:color="auto" w:fill="FFFFFF"/>
          <w:lang w:val="zh-CN"/>
        </w:rPr>
      </w:pPr>
      <w:r>
        <w:rPr>
          <w:rFonts w:eastAsia="仿宋_GB2312"/>
          <w:color w:val="000000"/>
          <w:kern w:val="0"/>
          <w:sz w:val="32"/>
          <w:szCs w:val="32"/>
          <w:shd w:val="clear" w:color="auto" w:fill="FFFFFF"/>
          <w:lang w:val="zh-CN"/>
        </w:rPr>
        <w:t>2020年，财政拨款支出3246622.49元。其中：按功能分类一般公共服务支出2758187.72元，社会保障和就业支出152768.96元，卫生健康支出127938.81元，住房保障支出207727.00元；按支出性质分类基本支出2172782.51元（其中人员经费1989830.51元，日常公用经费182952.00元）,项目支出1073839.98元；按经济分类支出工资福利支出1989530.51元，商品和服务支1149791.98元，对个人和家庭的补助300元，资本性支出107000.00元；年末结转和结余9378.35元。</w:t>
      </w:r>
    </w:p>
    <w:p w14:paraId="09A51F4D">
      <w:pPr>
        <w:widowControl/>
        <w:adjustRightInd w:val="0"/>
        <w:snapToGrid w:val="0"/>
        <w:spacing w:line="580" w:lineRule="exact"/>
        <w:ind w:firstLine="640" w:firstLineChars="20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三、部门整体预算绩效管理情况</w:t>
      </w:r>
    </w:p>
    <w:p w14:paraId="365BB28A">
      <w:pPr>
        <w:widowControl/>
        <w:adjustRightInd w:val="0"/>
        <w:snapToGrid w:val="0"/>
        <w:spacing w:line="580" w:lineRule="exact"/>
        <w:ind w:firstLine="640" w:firstLineChars="20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（一）部门预算管理</w:t>
      </w:r>
    </w:p>
    <w:p w14:paraId="03FB3BED">
      <w:pPr>
        <w:spacing w:line="560" w:lineRule="exact"/>
        <w:ind w:firstLine="640" w:firstLineChars="200"/>
        <w:rPr>
          <w:rFonts w:eastAsia="仿宋_GB2312"/>
          <w:color w:val="000000"/>
          <w:kern w:val="0"/>
          <w:sz w:val="32"/>
          <w:szCs w:val="32"/>
          <w:shd w:val="clear" w:color="auto" w:fill="FFFFFF"/>
          <w:lang w:val="zh-CN"/>
        </w:rPr>
      </w:pPr>
      <w:r>
        <w:rPr>
          <w:rFonts w:eastAsia="仿宋_GB2312"/>
          <w:color w:val="000000"/>
          <w:kern w:val="0"/>
          <w:sz w:val="32"/>
          <w:szCs w:val="32"/>
          <w:lang w:val="zh-CN"/>
        </w:rPr>
        <w:t>严格按照县级部门预算编制通知和有关要求，按时完成2020年预算编制工作，并按时提交部门预算草案，预算编制全面、科学。2020年绩效目标填报，严格按照县财政局的要求认真完成。</w:t>
      </w:r>
    </w:p>
    <w:p w14:paraId="7ACF026F">
      <w:pPr>
        <w:widowControl/>
        <w:adjustRightInd w:val="0"/>
        <w:snapToGrid w:val="0"/>
        <w:spacing w:line="560"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（二）结果应用情况</w:t>
      </w:r>
    </w:p>
    <w:p w14:paraId="0737ACC3">
      <w:pPr>
        <w:adjustRightInd w:val="0"/>
        <w:snapToGrid w:val="0"/>
        <w:spacing w:line="560" w:lineRule="exact"/>
        <w:ind w:firstLine="640" w:firstLineChars="200"/>
        <w:rPr>
          <w:rFonts w:eastAsia="仿宋"/>
          <w:b/>
          <w:sz w:val="32"/>
          <w:szCs w:val="32"/>
        </w:rPr>
      </w:pPr>
      <w:r>
        <w:rPr>
          <w:rFonts w:eastAsia="仿宋"/>
          <w:sz w:val="32"/>
          <w:szCs w:val="32"/>
        </w:rPr>
        <w:t>单位资金严格按国家财经法规和财务管理制度规定执行管理。经费支出严格控制，不超预算批复的数额，不越预算批复的用途。“三公”经费使用严格按相关规定，厉行节约，不超预算。</w:t>
      </w:r>
      <w:r>
        <w:rPr>
          <w:rFonts w:eastAsia="仿宋"/>
          <w:kern w:val="0"/>
          <w:sz w:val="32"/>
          <w:szCs w:val="32"/>
          <w:lang w:val="zh-CN"/>
        </w:rPr>
        <w:t>财务管理制度健全，执行制度严格合规，会计核算符合相关规定，资金专款专用，资金支付依据和开支标准合法合规，严格执行政府采购。</w:t>
      </w:r>
      <w:r>
        <w:rPr>
          <w:rFonts w:eastAsia="仿宋"/>
          <w:b/>
          <w:sz w:val="32"/>
          <w:szCs w:val="32"/>
        </w:rPr>
        <w:tab/>
      </w:r>
    </w:p>
    <w:p w14:paraId="70C443A7">
      <w:pPr>
        <w:adjustRightInd w:val="0"/>
        <w:snapToGrid w:val="0"/>
        <w:spacing w:line="560" w:lineRule="exact"/>
        <w:ind w:firstLine="720"/>
        <w:rPr>
          <w:rFonts w:eastAsia="黑体"/>
          <w:color w:val="000000"/>
          <w:kern w:val="0"/>
          <w:sz w:val="32"/>
          <w:szCs w:val="32"/>
          <w:shd w:val="clear" w:color="auto" w:fill="FFFFFF"/>
        </w:rPr>
      </w:pPr>
      <w:r>
        <w:rPr>
          <w:rFonts w:eastAsia="黑体"/>
          <w:color w:val="000000"/>
          <w:kern w:val="0"/>
          <w:sz w:val="32"/>
          <w:szCs w:val="32"/>
          <w:shd w:val="clear" w:color="auto" w:fill="FFFFFF"/>
        </w:rPr>
        <w:t>四、评价结论及建议</w:t>
      </w:r>
    </w:p>
    <w:p w14:paraId="60A824A7">
      <w:pPr>
        <w:adjustRightInd w:val="0"/>
        <w:snapToGrid w:val="0"/>
        <w:spacing w:line="560" w:lineRule="exact"/>
        <w:ind w:firstLine="720"/>
        <w:rPr>
          <w:rFonts w:eastAsia="楷体_GB2312"/>
          <w:color w:val="000000"/>
          <w:kern w:val="0"/>
          <w:sz w:val="32"/>
          <w:szCs w:val="32"/>
          <w:shd w:val="clear" w:color="auto" w:fill="FFFFFF"/>
          <w:lang w:val="zh-CN"/>
        </w:rPr>
      </w:pPr>
      <w:r>
        <w:rPr>
          <w:rFonts w:eastAsia="楷体_GB2312"/>
          <w:color w:val="000000"/>
          <w:kern w:val="0"/>
          <w:sz w:val="32"/>
          <w:szCs w:val="32"/>
          <w:shd w:val="clear" w:color="auto" w:fill="FFFFFF"/>
          <w:lang w:val="zh-CN"/>
        </w:rPr>
        <w:t>（一）评价结论</w:t>
      </w:r>
    </w:p>
    <w:p w14:paraId="667C6574">
      <w:pPr>
        <w:adjustRightInd w:val="0"/>
        <w:snapToGrid w:val="0"/>
        <w:spacing w:line="560" w:lineRule="exact"/>
        <w:ind w:firstLine="720"/>
        <w:rPr>
          <w:rFonts w:eastAsia="仿宋_GB2312"/>
          <w:color w:val="000000"/>
          <w:sz w:val="32"/>
          <w:szCs w:val="32"/>
          <w:lang w:val="zh-CN"/>
        </w:rPr>
      </w:pPr>
      <w:r>
        <w:rPr>
          <w:rFonts w:eastAsia="仿宋_GB2312"/>
          <w:sz w:val="32"/>
          <w:szCs w:val="32"/>
          <w:lang w:val="zh-CN"/>
        </w:rPr>
        <w:t>白马工业园区管委会预决算编制和预算执行</w:t>
      </w:r>
      <w:r>
        <w:rPr>
          <w:rFonts w:eastAsia="仿宋_GB2312"/>
          <w:color w:val="000000"/>
          <w:sz w:val="32"/>
          <w:szCs w:val="32"/>
          <w:lang w:val="zh-CN"/>
        </w:rPr>
        <w:t>严格按照国家财经法规、预算资金管理办法、财务管理制度以及专项资金管理办法的规定执行。单位的财务管理制度健全，制度执行合规，会计核算符合规定，专项资金专款专用。从各方面看，单位的预决算编制、预算执行、支出都合法、合规，总体情况良好。自查评分94分。</w:t>
      </w:r>
    </w:p>
    <w:p w14:paraId="135A539D">
      <w:pPr>
        <w:adjustRightInd w:val="0"/>
        <w:snapToGrid w:val="0"/>
        <w:spacing w:line="560" w:lineRule="exact"/>
        <w:ind w:firstLine="720"/>
        <w:rPr>
          <w:rFonts w:eastAsia="楷体_GB2312"/>
          <w:color w:val="000000"/>
          <w:sz w:val="32"/>
          <w:szCs w:val="32"/>
          <w:lang w:val="zh-CN"/>
        </w:rPr>
      </w:pPr>
      <w:r>
        <w:rPr>
          <w:rFonts w:eastAsia="楷体_GB2312"/>
          <w:sz w:val="32"/>
          <w:szCs w:val="32"/>
          <w:lang w:val="zh-CN"/>
        </w:rPr>
        <w:t>（二）存在问题</w:t>
      </w:r>
    </w:p>
    <w:p w14:paraId="7670D607">
      <w:pPr>
        <w:adjustRightInd w:val="0"/>
        <w:snapToGrid w:val="0"/>
        <w:spacing w:line="560" w:lineRule="exact"/>
        <w:ind w:firstLine="720"/>
        <w:rPr>
          <w:rFonts w:eastAsia="仿宋_GB2312"/>
          <w:sz w:val="32"/>
          <w:szCs w:val="32"/>
          <w:lang w:val="zh-CN"/>
        </w:rPr>
      </w:pPr>
      <w:r>
        <w:rPr>
          <w:rFonts w:eastAsia="仿宋_GB2312"/>
          <w:sz w:val="32"/>
          <w:szCs w:val="32"/>
          <w:lang w:val="zh-CN"/>
        </w:rPr>
        <w:t>从机关运转情况看：预算标准与支出有差距，在执行过程中，有的实际支出超过预算标准（比如差旅费、办公费、邮电费等支出），预算金额严重不足，实际支出超过预算。项目资金中期追加金额特别大。</w:t>
      </w:r>
    </w:p>
    <w:p w14:paraId="514B1EA6">
      <w:pPr>
        <w:adjustRightInd w:val="0"/>
        <w:snapToGrid w:val="0"/>
        <w:spacing w:line="560" w:lineRule="exact"/>
        <w:ind w:firstLine="720"/>
        <w:rPr>
          <w:rFonts w:eastAsia="楷体_GB2312"/>
          <w:sz w:val="32"/>
          <w:szCs w:val="32"/>
          <w:lang w:val="zh-CN"/>
        </w:rPr>
      </w:pPr>
      <w:r>
        <w:rPr>
          <w:rFonts w:eastAsia="楷体_GB2312"/>
          <w:sz w:val="32"/>
          <w:szCs w:val="32"/>
          <w:lang w:val="zh-CN"/>
        </w:rPr>
        <w:t>（三）改进建议</w:t>
      </w:r>
    </w:p>
    <w:p w14:paraId="7F9BEAE2">
      <w:pPr>
        <w:adjustRightInd w:val="0"/>
        <w:snapToGrid w:val="0"/>
        <w:spacing w:line="560" w:lineRule="exact"/>
        <w:ind w:firstLine="720"/>
        <w:rPr>
          <w:rFonts w:eastAsia="仿宋_GB2312"/>
          <w:sz w:val="32"/>
          <w:szCs w:val="32"/>
          <w:lang w:val="zh-CN"/>
        </w:rPr>
      </w:pPr>
      <w:r>
        <w:rPr>
          <w:rFonts w:eastAsia="仿宋_GB2312"/>
          <w:sz w:val="32"/>
          <w:szCs w:val="32"/>
          <w:lang w:val="zh-CN"/>
        </w:rPr>
        <w:t>加强管理，严控行政支出。目前单位三公经费的预算执行情况较好，逐年下降，但仍需进一步严控三公经费支出，严格三公经费支出的审批流程，进一步细化三公经费的管理。</w:t>
      </w:r>
    </w:p>
    <w:p w14:paraId="0E721AFF">
      <w:pPr>
        <w:adjustRightInd w:val="0"/>
        <w:snapToGrid w:val="0"/>
        <w:spacing w:line="560" w:lineRule="exact"/>
        <w:rPr>
          <w:rFonts w:eastAsia="仿宋_GB2312"/>
          <w:color w:val="000000"/>
          <w:kern w:val="0"/>
          <w:sz w:val="32"/>
          <w:szCs w:val="32"/>
          <w:shd w:val="clear" w:color="auto" w:fill="FFFFFF"/>
        </w:rPr>
      </w:pPr>
    </w:p>
    <w:p w14:paraId="0B1F1A97">
      <w:pPr>
        <w:adjustRightInd w:val="0"/>
        <w:snapToGrid w:val="0"/>
        <w:spacing w:line="560" w:lineRule="exact"/>
        <w:rPr>
          <w:rFonts w:eastAsia="仿宋_GB2312"/>
          <w:color w:val="000000"/>
          <w:kern w:val="0"/>
          <w:sz w:val="32"/>
          <w:szCs w:val="32"/>
          <w:shd w:val="clear" w:color="auto" w:fill="FFFFFF"/>
        </w:rPr>
      </w:pPr>
    </w:p>
    <w:p w14:paraId="60644544">
      <w:pPr>
        <w:adjustRightInd w:val="0"/>
        <w:snapToGrid w:val="0"/>
        <w:spacing w:line="560" w:lineRule="exact"/>
        <w:rPr>
          <w:rFonts w:eastAsia="仿宋_GB2312"/>
          <w:color w:val="000000"/>
          <w:kern w:val="0"/>
          <w:sz w:val="32"/>
          <w:szCs w:val="32"/>
          <w:shd w:val="clear" w:color="auto" w:fill="FFFFFF"/>
        </w:rPr>
      </w:pPr>
    </w:p>
    <w:p w14:paraId="7C83A206">
      <w:pPr>
        <w:adjustRightInd w:val="0"/>
        <w:snapToGrid w:val="0"/>
        <w:spacing w:line="560" w:lineRule="exact"/>
        <w:rPr>
          <w:rFonts w:eastAsia="仿宋_GB2312"/>
          <w:color w:val="000000"/>
          <w:kern w:val="0"/>
          <w:sz w:val="32"/>
          <w:szCs w:val="32"/>
          <w:shd w:val="clear" w:color="auto" w:fill="FFFFFF"/>
        </w:rPr>
      </w:pPr>
    </w:p>
    <w:p w14:paraId="4E4EAF69">
      <w:pPr>
        <w:adjustRightInd w:val="0"/>
        <w:snapToGrid w:val="0"/>
        <w:spacing w:line="560" w:lineRule="exact"/>
        <w:rPr>
          <w:rFonts w:eastAsia="仿宋_GB2312"/>
          <w:color w:val="000000"/>
          <w:kern w:val="0"/>
          <w:sz w:val="32"/>
          <w:szCs w:val="32"/>
          <w:shd w:val="clear" w:color="auto" w:fill="FFFFFF"/>
        </w:rPr>
      </w:pPr>
    </w:p>
    <w:p w14:paraId="13F9CB0C">
      <w:pPr>
        <w:adjustRightInd w:val="0"/>
        <w:snapToGrid w:val="0"/>
        <w:spacing w:line="560" w:lineRule="exact"/>
        <w:rPr>
          <w:rFonts w:eastAsia="仿宋_GB2312"/>
          <w:color w:val="000000"/>
          <w:kern w:val="0"/>
          <w:sz w:val="32"/>
          <w:szCs w:val="32"/>
          <w:shd w:val="clear" w:color="auto" w:fill="FFFFFF"/>
        </w:rPr>
      </w:pPr>
    </w:p>
    <w:p w14:paraId="0E379373">
      <w:pPr>
        <w:adjustRightInd w:val="0"/>
        <w:snapToGrid w:val="0"/>
        <w:spacing w:line="560" w:lineRule="exact"/>
        <w:rPr>
          <w:rFonts w:eastAsia="仿宋_GB2312"/>
          <w:color w:val="000000"/>
          <w:kern w:val="0"/>
          <w:sz w:val="32"/>
          <w:szCs w:val="32"/>
          <w:shd w:val="clear" w:color="auto" w:fill="FFFFFF"/>
        </w:rPr>
      </w:pPr>
    </w:p>
    <w:p w14:paraId="0C82D5FC">
      <w:pPr>
        <w:adjustRightInd w:val="0"/>
        <w:snapToGrid w:val="0"/>
        <w:spacing w:line="560" w:lineRule="exact"/>
        <w:rPr>
          <w:rFonts w:eastAsia="仿宋_GB2312"/>
          <w:color w:val="000000"/>
          <w:kern w:val="0"/>
          <w:sz w:val="32"/>
          <w:szCs w:val="32"/>
          <w:shd w:val="clear" w:color="auto" w:fill="FFFFFF"/>
        </w:rPr>
      </w:pPr>
    </w:p>
    <w:p w14:paraId="043EE74D">
      <w:pPr>
        <w:adjustRightInd w:val="0"/>
        <w:snapToGrid w:val="0"/>
        <w:spacing w:line="560" w:lineRule="exact"/>
        <w:rPr>
          <w:rFonts w:eastAsia="仿宋_GB2312"/>
          <w:color w:val="000000"/>
          <w:kern w:val="0"/>
          <w:sz w:val="32"/>
          <w:szCs w:val="32"/>
          <w:shd w:val="clear" w:color="auto" w:fill="FFFFFF"/>
        </w:rPr>
      </w:pPr>
    </w:p>
    <w:p w14:paraId="314F6607">
      <w:pPr>
        <w:adjustRightInd w:val="0"/>
        <w:snapToGrid w:val="0"/>
        <w:spacing w:line="560" w:lineRule="exact"/>
        <w:rPr>
          <w:rFonts w:eastAsia="仿宋_GB2312"/>
          <w:color w:val="000000"/>
          <w:kern w:val="0"/>
          <w:sz w:val="32"/>
          <w:szCs w:val="32"/>
          <w:shd w:val="clear" w:color="auto" w:fill="FFFFFF"/>
        </w:rPr>
      </w:pPr>
    </w:p>
    <w:p w14:paraId="1711C188">
      <w:pPr>
        <w:spacing w:line="580" w:lineRule="exact"/>
        <w:rPr>
          <w:rFonts w:eastAsia="仿宋_GB2312"/>
          <w:sz w:val="32"/>
          <w:szCs w:val="32"/>
        </w:rPr>
      </w:pPr>
      <w:r>
        <w:rPr>
          <w:rFonts w:eastAsia="黑体"/>
          <w:sz w:val="32"/>
          <w:szCs w:val="32"/>
        </w:rPr>
        <w:t>附件2</w:t>
      </w:r>
    </w:p>
    <w:p w14:paraId="74D252A0">
      <w:pPr>
        <w:spacing w:line="580" w:lineRule="exact"/>
        <w:ind w:firstLine="640" w:firstLineChars="200"/>
        <w:rPr>
          <w:rFonts w:eastAsia="仿宋_GB2312"/>
          <w:sz w:val="32"/>
          <w:szCs w:val="32"/>
        </w:rPr>
      </w:pPr>
    </w:p>
    <w:p w14:paraId="12FFC8AB">
      <w:pPr>
        <w:spacing w:line="600" w:lineRule="exact"/>
        <w:jc w:val="center"/>
        <w:rPr>
          <w:rFonts w:eastAsia="方正小标宋简体"/>
          <w:color w:val="000000"/>
          <w:kern w:val="0"/>
          <w:sz w:val="44"/>
          <w:szCs w:val="44"/>
          <w:lang w:val="zh-CN"/>
        </w:rPr>
      </w:pPr>
      <w:r>
        <w:rPr>
          <w:rFonts w:eastAsia="方正小标宋简体"/>
          <w:color w:val="000000"/>
          <w:kern w:val="0"/>
          <w:sz w:val="44"/>
          <w:szCs w:val="44"/>
        </w:rPr>
        <w:t>白马工业园区管委会</w:t>
      </w:r>
      <w:r>
        <w:rPr>
          <w:rFonts w:eastAsia="方正小标宋简体"/>
          <w:color w:val="000000"/>
          <w:kern w:val="0"/>
          <w:sz w:val="44"/>
          <w:szCs w:val="44"/>
          <w:lang w:val="zh-CN"/>
        </w:rPr>
        <w:t>项目</w:t>
      </w:r>
      <w:r>
        <w:rPr>
          <w:rFonts w:eastAsia="方正小标宋简体"/>
          <w:color w:val="000000"/>
          <w:kern w:val="0"/>
          <w:sz w:val="44"/>
          <w:szCs w:val="44"/>
        </w:rPr>
        <w:t>2020年</w:t>
      </w:r>
      <w:r>
        <w:rPr>
          <w:rFonts w:eastAsia="方正小标宋简体"/>
          <w:color w:val="000000"/>
          <w:kern w:val="0"/>
          <w:sz w:val="44"/>
          <w:szCs w:val="44"/>
          <w:lang w:val="zh-CN"/>
        </w:rPr>
        <w:t>绩效评价</w:t>
      </w:r>
    </w:p>
    <w:p w14:paraId="3D97E71A">
      <w:pPr>
        <w:spacing w:line="600" w:lineRule="exact"/>
        <w:jc w:val="center"/>
        <w:rPr>
          <w:rFonts w:eastAsia="方正小标宋简体"/>
          <w:color w:val="000000"/>
          <w:kern w:val="0"/>
          <w:sz w:val="44"/>
          <w:szCs w:val="44"/>
          <w:lang w:val="zh-CN"/>
        </w:rPr>
      </w:pPr>
      <w:r>
        <w:rPr>
          <w:rFonts w:eastAsia="方正小标宋简体"/>
          <w:color w:val="000000"/>
          <w:kern w:val="0"/>
          <w:sz w:val="44"/>
          <w:szCs w:val="44"/>
          <w:lang w:val="zh-CN"/>
        </w:rPr>
        <w:t>报告</w:t>
      </w:r>
    </w:p>
    <w:p w14:paraId="39D187E4">
      <w:pPr>
        <w:adjustRightInd w:val="0"/>
        <w:snapToGrid w:val="0"/>
        <w:spacing w:line="600" w:lineRule="exact"/>
        <w:ind w:firstLine="720"/>
        <w:rPr>
          <w:rFonts w:eastAsia="黑体"/>
          <w:sz w:val="32"/>
          <w:szCs w:val="32"/>
          <w:lang w:val="zh-CN"/>
        </w:rPr>
      </w:pPr>
      <w:r>
        <w:rPr>
          <w:rFonts w:eastAsia="黑体"/>
          <w:sz w:val="32"/>
          <w:szCs w:val="32"/>
        </w:rPr>
        <w:t>一、</w:t>
      </w:r>
      <w:r>
        <w:rPr>
          <w:rFonts w:eastAsia="黑体"/>
          <w:sz w:val="32"/>
          <w:szCs w:val="32"/>
          <w:lang w:val="zh-CN"/>
        </w:rPr>
        <w:t>项目概况</w:t>
      </w:r>
    </w:p>
    <w:p w14:paraId="3F5BB48C">
      <w:pPr>
        <w:adjustRightInd w:val="0"/>
        <w:snapToGrid w:val="0"/>
        <w:spacing w:line="600" w:lineRule="exact"/>
        <w:ind w:firstLine="720"/>
        <w:rPr>
          <w:rFonts w:eastAsia="楷体_GB2312"/>
          <w:b/>
          <w:sz w:val="32"/>
          <w:szCs w:val="32"/>
          <w:lang w:val="zh-CN"/>
        </w:rPr>
      </w:pPr>
      <w:r>
        <w:rPr>
          <w:rFonts w:eastAsia="楷体_GB2312"/>
          <w:b/>
          <w:sz w:val="32"/>
          <w:szCs w:val="32"/>
          <w:lang w:val="zh-CN"/>
        </w:rPr>
        <w:t>（一）项目基本情况。</w:t>
      </w:r>
    </w:p>
    <w:p w14:paraId="5DE016F9">
      <w:pPr>
        <w:ind w:firstLine="643" w:firstLineChars="200"/>
        <w:rPr>
          <w:rFonts w:eastAsia="仿宋_GB2312"/>
          <w:b/>
          <w:sz w:val="32"/>
          <w:szCs w:val="32"/>
          <w:lang w:val="zh-CN"/>
        </w:rPr>
      </w:pPr>
      <w:r>
        <w:rPr>
          <w:rFonts w:eastAsia="仿宋_GB2312"/>
          <w:b/>
          <w:sz w:val="32"/>
          <w:szCs w:val="32"/>
          <w:lang w:val="zh-CN"/>
        </w:rPr>
        <w:t>1．说明项目主管部门（单位）在该项目管理中的职能。</w:t>
      </w:r>
    </w:p>
    <w:p w14:paraId="0FD2814C">
      <w:pPr>
        <w:ind w:firstLine="640" w:firstLineChars="200"/>
        <w:rPr>
          <w:rFonts w:eastAsia="仿宋_GB2312"/>
          <w:sz w:val="32"/>
          <w:szCs w:val="32"/>
        </w:rPr>
      </w:pPr>
      <w:r>
        <w:rPr>
          <w:rFonts w:eastAsia="仿宋_GB2312"/>
          <w:sz w:val="32"/>
          <w:szCs w:val="32"/>
        </w:rPr>
        <w:t>2020年白马工业园区管委会组织实施专项项目共5个，要求负责项目人员结合工作实际，制定工作方案，或者根据签订合同组织实施。</w:t>
      </w:r>
    </w:p>
    <w:p w14:paraId="5C565045">
      <w:pPr>
        <w:adjustRightInd w:val="0"/>
        <w:snapToGrid w:val="0"/>
        <w:spacing w:line="600" w:lineRule="exact"/>
        <w:ind w:firstLine="720"/>
        <w:rPr>
          <w:rFonts w:eastAsia="仿宋_GB2312"/>
          <w:sz w:val="32"/>
          <w:szCs w:val="32"/>
          <w:lang w:val="zh-CN"/>
        </w:rPr>
      </w:pPr>
      <w:r>
        <w:rPr>
          <w:rFonts w:eastAsia="仿宋_GB2312"/>
          <w:sz w:val="32"/>
          <w:szCs w:val="32"/>
          <w:lang w:val="zh-CN"/>
        </w:rPr>
        <w:t>2．项目立项、资金申报的依据。</w:t>
      </w:r>
    </w:p>
    <w:p w14:paraId="674CC5A0">
      <w:pPr>
        <w:adjustRightInd w:val="0"/>
        <w:snapToGrid w:val="0"/>
        <w:spacing w:line="600" w:lineRule="exact"/>
        <w:ind w:firstLine="720"/>
        <w:rPr>
          <w:rFonts w:eastAsia="仿宋_GB2312"/>
          <w:sz w:val="32"/>
          <w:szCs w:val="32"/>
        </w:rPr>
      </w:pPr>
      <w:r>
        <w:rPr>
          <w:rFonts w:eastAsia="仿宋_GB2312"/>
          <w:sz w:val="32"/>
          <w:szCs w:val="32"/>
        </w:rPr>
        <w:t>“攀枝花市2020年第一次项目竞进拉练相关费用” 根据白马工业园区管委会〔2020〕22请示经县政府同意实施项目专项申报，“园区管理专项”根据向县政府请示同意拨付园区管理专项申报，“集中办公区物业管理费项目”是根据与物业公司签订物业管理合同申报；“一枝山PPP项目水土保持补偿资金”是根据白马工业园区管委会〔2020〕31请示经县政府同意实施项目专项申报；“长坡工业区主干道延线福塑段工程建设资金”是根据白马工业园区管委会〔2019〕56请示经县政府同意实施项目专项申报。</w:t>
      </w:r>
    </w:p>
    <w:p w14:paraId="0B1E9418">
      <w:pPr>
        <w:adjustRightInd w:val="0"/>
        <w:snapToGrid w:val="0"/>
        <w:spacing w:line="600" w:lineRule="exact"/>
        <w:ind w:firstLine="720"/>
        <w:rPr>
          <w:rFonts w:eastAsia="仿宋_GB2312"/>
          <w:sz w:val="32"/>
          <w:szCs w:val="32"/>
          <w:lang w:val="zh-CN"/>
        </w:rPr>
      </w:pPr>
      <w:r>
        <w:rPr>
          <w:rFonts w:eastAsia="仿宋_GB2312"/>
          <w:sz w:val="32"/>
          <w:szCs w:val="32"/>
          <w:lang w:val="zh-CN"/>
        </w:rPr>
        <w:t>3．资金管理办法制定情况，资金支持具体项目的条件、范围与支持方式概况。</w:t>
      </w:r>
    </w:p>
    <w:p w14:paraId="67984EC9">
      <w:pPr>
        <w:spacing w:line="560" w:lineRule="exact"/>
        <w:ind w:firstLine="640" w:firstLineChars="200"/>
        <w:rPr>
          <w:rFonts w:eastAsia="仿宋_GB2312"/>
          <w:sz w:val="32"/>
          <w:szCs w:val="32"/>
        </w:rPr>
      </w:pPr>
      <w:r>
        <w:rPr>
          <w:rFonts w:eastAsia="仿宋_GB2312"/>
          <w:color w:val="000000"/>
          <w:kern w:val="0"/>
          <w:sz w:val="32"/>
          <w:szCs w:val="32"/>
          <w:shd w:val="clear" w:color="auto" w:fill="FFFFFF"/>
          <w:lang w:val="zh-CN"/>
        </w:rPr>
        <w:t>单位各项项目资金全部按照预算目的专款专用，制定了《财务管理报销制度》、《</w:t>
      </w:r>
      <w:r>
        <w:rPr>
          <w:rFonts w:eastAsia="仿宋_GB2312"/>
          <w:sz w:val="32"/>
          <w:szCs w:val="32"/>
        </w:rPr>
        <w:t>违反优化园区发展环境的责任追究制度</w:t>
      </w:r>
      <w:r>
        <w:rPr>
          <w:rFonts w:eastAsia="仿宋_GB2312"/>
          <w:color w:val="000000"/>
          <w:kern w:val="0"/>
          <w:sz w:val="32"/>
          <w:szCs w:val="32"/>
          <w:shd w:val="clear" w:color="auto" w:fill="FFFFFF"/>
          <w:lang w:val="zh-CN"/>
        </w:rPr>
        <w:t>》、《</w:t>
      </w:r>
      <w:r>
        <w:rPr>
          <w:rFonts w:eastAsia="仿宋_GB2312"/>
          <w:sz w:val="32"/>
          <w:szCs w:val="32"/>
        </w:rPr>
        <w:t>园区限额以内基础设施维护（修）工程管理制度</w:t>
      </w:r>
      <w:r>
        <w:rPr>
          <w:rFonts w:eastAsia="仿宋_GB2312"/>
          <w:color w:val="000000"/>
          <w:kern w:val="0"/>
          <w:sz w:val="32"/>
          <w:szCs w:val="32"/>
          <w:shd w:val="clear" w:color="auto" w:fill="FFFFFF"/>
          <w:lang w:val="zh-CN"/>
        </w:rPr>
        <w:t>》、《</w:t>
      </w:r>
      <w:r>
        <w:rPr>
          <w:rFonts w:eastAsia="仿宋_GB2312"/>
          <w:sz w:val="32"/>
          <w:szCs w:val="32"/>
        </w:rPr>
        <w:t>工程项目管理人员廉洁自律“十不准”制度</w:t>
      </w:r>
      <w:r>
        <w:rPr>
          <w:rFonts w:eastAsia="仿宋_GB2312"/>
          <w:color w:val="000000"/>
          <w:kern w:val="0"/>
          <w:sz w:val="32"/>
          <w:szCs w:val="32"/>
          <w:shd w:val="clear" w:color="auto" w:fill="FFFFFF"/>
          <w:lang w:val="zh-CN"/>
        </w:rPr>
        <w:t>》等制度。</w:t>
      </w:r>
    </w:p>
    <w:p w14:paraId="429DF00C">
      <w:pPr>
        <w:adjustRightInd w:val="0"/>
        <w:snapToGrid w:val="0"/>
        <w:spacing w:line="600" w:lineRule="exact"/>
        <w:ind w:firstLine="720"/>
        <w:rPr>
          <w:rFonts w:eastAsia="仿宋_GB2312"/>
          <w:sz w:val="32"/>
          <w:szCs w:val="32"/>
          <w:lang w:val="zh-CN"/>
        </w:rPr>
      </w:pPr>
      <w:r>
        <w:rPr>
          <w:rFonts w:eastAsia="仿宋_GB2312"/>
          <w:sz w:val="32"/>
          <w:szCs w:val="32"/>
          <w:lang w:val="zh-CN"/>
        </w:rPr>
        <w:t>4．资金分配的原则及考虑因素。</w:t>
      </w:r>
    </w:p>
    <w:p w14:paraId="14F77D8C">
      <w:pPr>
        <w:pStyle w:val="12"/>
        <w:shd w:val="clear" w:color="auto" w:fill="FFFFFF"/>
        <w:spacing w:before="0" w:beforeAutospacing="0" w:after="0" w:afterAutospacing="0" w:line="560" w:lineRule="exact"/>
        <w:rPr>
          <w:rFonts w:ascii="Times New Roman" w:hAnsi="Times New Roman" w:eastAsia="仿宋_GB2312" w:cs="Times New Roman"/>
          <w:color w:val="000000"/>
          <w:sz w:val="32"/>
          <w:szCs w:val="32"/>
          <w:shd w:val="clear" w:color="auto" w:fill="FFFFFF"/>
          <w:lang w:val="zh-CN"/>
        </w:rPr>
      </w:pPr>
      <w:r>
        <w:rPr>
          <w:rFonts w:ascii="Times New Roman" w:hAnsi="Times New Roman" w:eastAsia="仿宋_GB2312" w:cs="Times New Roman"/>
          <w:sz w:val="32"/>
          <w:szCs w:val="32"/>
          <w:lang w:val="zh-CN"/>
        </w:rPr>
        <w:t xml:space="preserve">    </w:t>
      </w:r>
      <w:r>
        <w:rPr>
          <w:rFonts w:ascii="Times New Roman" w:hAnsi="Times New Roman" w:eastAsia="仿宋_GB2312" w:cs="Times New Roman"/>
          <w:color w:val="000000"/>
          <w:sz w:val="32"/>
          <w:szCs w:val="32"/>
          <w:shd w:val="clear" w:color="auto" w:fill="FFFFFF"/>
          <w:lang w:val="zh-CN"/>
        </w:rPr>
        <w:t>根据专项资金类别，推行不同的竞争性分配方式：分配对象为企业且市场化程度较高的，采取招投标方式，由市场竞争决定资金分配归属；分配对象为政府部门或下级财政的，由部门和单位申报绩效目标，推行专家评审、集体讨论等竞争性决策方式；上级要求资金配套的，按有关规定分配；未有规定的推行竞争性分配。规范分配管理，强化主管部门对财政专项资金项目监督管理主体职能作用。</w:t>
      </w:r>
    </w:p>
    <w:p w14:paraId="7ADE0C37">
      <w:pPr>
        <w:adjustRightInd w:val="0"/>
        <w:snapToGrid w:val="0"/>
        <w:spacing w:line="600" w:lineRule="exact"/>
        <w:ind w:firstLine="720"/>
        <w:rPr>
          <w:rFonts w:eastAsia="楷体_GB2312"/>
          <w:b/>
          <w:sz w:val="32"/>
          <w:szCs w:val="32"/>
          <w:lang w:val="zh-CN"/>
        </w:rPr>
      </w:pPr>
      <w:r>
        <w:rPr>
          <w:rFonts w:eastAsia="楷体_GB2312"/>
          <w:b/>
          <w:sz w:val="32"/>
          <w:szCs w:val="32"/>
          <w:lang w:val="zh-CN"/>
        </w:rPr>
        <w:t>（二）项目绩效目标。</w:t>
      </w:r>
    </w:p>
    <w:p w14:paraId="5620A55E">
      <w:pPr>
        <w:adjustRightInd w:val="0"/>
        <w:snapToGrid w:val="0"/>
        <w:spacing w:line="600" w:lineRule="exact"/>
        <w:ind w:firstLine="720"/>
        <w:rPr>
          <w:rFonts w:eastAsia="仿宋_GB2312"/>
          <w:sz w:val="32"/>
          <w:szCs w:val="32"/>
          <w:lang w:val="zh-CN"/>
        </w:rPr>
      </w:pPr>
      <w:r>
        <w:rPr>
          <w:rFonts w:eastAsia="仿宋_GB2312"/>
          <w:sz w:val="32"/>
          <w:szCs w:val="32"/>
          <w:lang w:val="zh-CN"/>
        </w:rPr>
        <w:t>1．项目主要内容。</w:t>
      </w:r>
    </w:p>
    <w:p w14:paraId="208AE0EC">
      <w:pPr>
        <w:adjustRightInd w:val="0"/>
        <w:snapToGrid w:val="0"/>
        <w:spacing w:line="600" w:lineRule="exact"/>
        <w:ind w:firstLine="720"/>
        <w:rPr>
          <w:rFonts w:eastAsia="仿宋_GB2312"/>
          <w:sz w:val="32"/>
          <w:szCs w:val="32"/>
        </w:rPr>
      </w:pPr>
      <w:r>
        <w:rPr>
          <w:rFonts w:eastAsia="仿宋_GB2312"/>
          <w:sz w:val="32"/>
          <w:szCs w:val="32"/>
        </w:rPr>
        <w:t>攀枝花市2020年第一次项目竞进拉练相关费用是制作广告、展板</w:t>
      </w:r>
      <w:r>
        <w:rPr>
          <w:rFonts w:hint="eastAsia" w:eastAsia="仿宋_GB2312"/>
          <w:sz w:val="32"/>
          <w:szCs w:val="32"/>
        </w:rPr>
        <w:t>，环境卫生整治来</w:t>
      </w:r>
      <w:r>
        <w:rPr>
          <w:rFonts w:eastAsia="仿宋_GB2312"/>
          <w:sz w:val="32"/>
          <w:szCs w:val="32"/>
        </w:rPr>
        <w:t>提升园区形象，</w:t>
      </w:r>
      <w:r>
        <w:rPr>
          <w:rFonts w:hint="eastAsia" w:eastAsia="仿宋_GB2312"/>
          <w:sz w:val="32"/>
          <w:szCs w:val="32"/>
        </w:rPr>
        <w:t>吸引</w:t>
      </w:r>
      <w:r>
        <w:rPr>
          <w:rFonts w:eastAsia="仿宋_GB2312"/>
          <w:sz w:val="32"/>
          <w:szCs w:val="32"/>
        </w:rPr>
        <w:t>更多企业入驻，增加财政税收，提供更多就业岗位，减轻当地就业压力，解决就业岗位。</w:t>
      </w:r>
    </w:p>
    <w:p w14:paraId="277E66FE">
      <w:pPr>
        <w:adjustRightInd w:val="0"/>
        <w:snapToGrid w:val="0"/>
        <w:spacing w:line="600" w:lineRule="exact"/>
        <w:ind w:firstLine="720"/>
        <w:rPr>
          <w:rFonts w:eastAsia="仿宋_GB2312"/>
          <w:sz w:val="32"/>
          <w:szCs w:val="32"/>
        </w:rPr>
      </w:pPr>
      <w:r>
        <w:rPr>
          <w:rFonts w:eastAsia="仿宋_GB2312"/>
          <w:sz w:val="32"/>
          <w:szCs w:val="32"/>
        </w:rPr>
        <w:t>园区管理专项项目绩效目标是向上级</w:t>
      </w:r>
      <w:r>
        <w:rPr>
          <w:rFonts w:hAnsi="仿宋_GB2312" w:eastAsia="仿宋_GB2312"/>
          <w:sz w:val="32"/>
          <w:szCs w:val="32"/>
        </w:rPr>
        <w:t>争取无偿资金支持园区基础设施建设，完善园区基础设施配套功能，完成园区项目申报、安全环保、规划环评、基础设施建设等工作，促进园区快速发展</w:t>
      </w:r>
      <w:r>
        <w:rPr>
          <w:rFonts w:eastAsia="仿宋_GB2312"/>
          <w:sz w:val="32"/>
          <w:szCs w:val="32"/>
        </w:rPr>
        <w:t>。</w:t>
      </w:r>
    </w:p>
    <w:p w14:paraId="1A6179C5">
      <w:pPr>
        <w:adjustRightInd w:val="0"/>
        <w:snapToGrid w:val="0"/>
        <w:spacing w:line="600" w:lineRule="exact"/>
        <w:ind w:firstLine="720"/>
        <w:rPr>
          <w:rFonts w:eastAsia="仿宋_GB2312"/>
          <w:sz w:val="32"/>
          <w:szCs w:val="32"/>
        </w:rPr>
      </w:pPr>
      <w:r>
        <w:rPr>
          <w:rFonts w:eastAsia="仿宋_GB2312"/>
          <w:sz w:val="32"/>
          <w:szCs w:val="32"/>
        </w:rPr>
        <w:t>物业管理费项目绩效目标保障办公区域的安全，整洁，为工作人员和办事群众提供舒适的环境。</w:t>
      </w:r>
    </w:p>
    <w:p w14:paraId="3500F61E">
      <w:pPr>
        <w:adjustRightInd w:val="0"/>
        <w:snapToGrid w:val="0"/>
        <w:spacing w:line="600" w:lineRule="exact"/>
        <w:ind w:firstLine="720"/>
        <w:rPr>
          <w:rFonts w:eastAsia="仿宋_GB2312"/>
          <w:sz w:val="32"/>
          <w:szCs w:val="32"/>
        </w:rPr>
      </w:pPr>
      <w:r>
        <w:rPr>
          <w:rFonts w:eastAsia="仿宋_GB2312"/>
          <w:sz w:val="32"/>
          <w:szCs w:val="32"/>
        </w:rPr>
        <w:t>一枝山PPP项目水土保持补偿资金项目绩效目标是</w:t>
      </w:r>
      <w:r>
        <w:rPr>
          <w:rFonts w:hint="eastAsia" w:eastAsia="仿宋_GB2312"/>
          <w:sz w:val="32"/>
          <w:szCs w:val="32"/>
        </w:rPr>
        <w:t>通过</w:t>
      </w:r>
      <w:r>
        <w:rPr>
          <w:rFonts w:eastAsia="仿宋_GB2312"/>
          <w:sz w:val="32"/>
          <w:szCs w:val="32"/>
        </w:rPr>
        <w:t>基础设施建设项目实施，缴纳水土保持补偿费，促进园区快速发展，社会稳定。</w:t>
      </w:r>
    </w:p>
    <w:p w14:paraId="150E28C2">
      <w:pPr>
        <w:adjustRightInd w:val="0"/>
        <w:snapToGrid w:val="0"/>
        <w:spacing w:line="600" w:lineRule="exact"/>
        <w:ind w:firstLine="720"/>
        <w:rPr>
          <w:rFonts w:eastAsia="仿宋_GB2312"/>
          <w:sz w:val="32"/>
          <w:szCs w:val="32"/>
        </w:rPr>
      </w:pPr>
      <w:r>
        <w:rPr>
          <w:rFonts w:eastAsia="仿宋_GB2312"/>
          <w:sz w:val="32"/>
          <w:szCs w:val="32"/>
        </w:rPr>
        <w:t>长坡工业区主干道延线福塑段工程建设资金项目绩效目标是加强园区基础设施建设，提升园区形象，促进园区快速发展，吸引更多企业入驻。</w:t>
      </w:r>
    </w:p>
    <w:p w14:paraId="63255F8F">
      <w:pPr>
        <w:adjustRightInd w:val="0"/>
        <w:snapToGrid w:val="0"/>
        <w:spacing w:line="600" w:lineRule="exact"/>
        <w:ind w:firstLine="720"/>
        <w:rPr>
          <w:rFonts w:eastAsia="仿宋_GB2312"/>
          <w:b/>
          <w:sz w:val="32"/>
          <w:szCs w:val="32"/>
          <w:lang w:val="zh-CN"/>
        </w:rPr>
      </w:pPr>
      <w:r>
        <w:rPr>
          <w:rFonts w:eastAsia="仿宋_GB2312"/>
          <w:b/>
          <w:sz w:val="32"/>
          <w:szCs w:val="32"/>
          <w:lang w:val="zh-CN"/>
        </w:rPr>
        <w:t>2．项目应实现的具体绩效目标，包括目标的量化、细化情况以及项目实施进度计划等。</w:t>
      </w:r>
    </w:p>
    <w:p w14:paraId="44693B49">
      <w:pPr>
        <w:adjustRightInd w:val="0"/>
        <w:snapToGrid w:val="0"/>
        <w:spacing w:line="600" w:lineRule="exact"/>
        <w:ind w:firstLine="720"/>
        <w:rPr>
          <w:rFonts w:eastAsia="仿宋_GB2312"/>
          <w:sz w:val="32"/>
          <w:szCs w:val="32"/>
        </w:rPr>
      </w:pPr>
      <w:r>
        <w:rPr>
          <w:rFonts w:eastAsia="仿宋_GB2312"/>
          <w:sz w:val="32"/>
          <w:szCs w:val="32"/>
        </w:rPr>
        <w:t>攀枝花市2020年第一次项目竞进相关费用绩效目标是2020年12月31日前完成对项目拉练活动广告、展板制作，环境</w:t>
      </w:r>
      <w:r>
        <w:rPr>
          <w:sz w:val="32"/>
          <w:szCs w:val="32"/>
        </w:rPr>
        <w:t>卫生整治</w:t>
      </w:r>
      <w:r>
        <w:rPr>
          <w:rFonts w:eastAsia="仿宋_GB2312"/>
          <w:sz w:val="32"/>
          <w:szCs w:val="32"/>
        </w:rPr>
        <w:t>等，提升园区形象，入驻更多企业，增加财政税收，提供更多就业岗位，减轻当地就业压力，解决就业岗位。完成率100%。</w:t>
      </w:r>
    </w:p>
    <w:p w14:paraId="797B1ECB">
      <w:pPr>
        <w:adjustRightInd w:val="0"/>
        <w:snapToGrid w:val="0"/>
        <w:spacing w:line="600" w:lineRule="exact"/>
        <w:ind w:firstLine="720"/>
        <w:rPr>
          <w:rFonts w:eastAsia="仿宋_GB2312"/>
          <w:sz w:val="32"/>
          <w:szCs w:val="32"/>
        </w:rPr>
      </w:pPr>
      <w:r>
        <w:rPr>
          <w:rFonts w:eastAsia="仿宋_GB2312"/>
          <w:sz w:val="32"/>
          <w:szCs w:val="32"/>
        </w:rPr>
        <w:t>园区管理专项项目绩效目标是2020年12月31日前完成</w:t>
      </w:r>
      <w:r>
        <w:rPr>
          <w:rFonts w:hint="eastAsia" w:eastAsia="仿宋_GB2312"/>
          <w:sz w:val="32"/>
          <w:szCs w:val="32"/>
        </w:rPr>
        <w:t>向</w:t>
      </w:r>
      <w:r>
        <w:rPr>
          <w:rFonts w:eastAsia="仿宋_GB2312"/>
          <w:sz w:val="32"/>
          <w:szCs w:val="32"/>
        </w:rPr>
        <w:t>上级</w:t>
      </w:r>
      <w:r>
        <w:rPr>
          <w:rFonts w:hAnsi="仿宋_GB2312" w:eastAsia="仿宋_GB2312"/>
          <w:sz w:val="32"/>
          <w:szCs w:val="32"/>
        </w:rPr>
        <w:t>争取无偿资金支持园区基础设施建设，完善园区基础设施配套功能，完成园区项目申报、安全环保、规划环评、基础设施建设等工作，促进园区快速发展</w:t>
      </w:r>
      <w:r>
        <w:rPr>
          <w:rFonts w:eastAsia="仿宋_GB2312"/>
          <w:sz w:val="32"/>
          <w:szCs w:val="32"/>
        </w:rPr>
        <w:t>。完成率100%。</w:t>
      </w:r>
    </w:p>
    <w:p w14:paraId="1764701F">
      <w:pPr>
        <w:adjustRightInd w:val="0"/>
        <w:snapToGrid w:val="0"/>
        <w:spacing w:line="600" w:lineRule="exact"/>
        <w:ind w:firstLine="720"/>
        <w:rPr>
          <w:rFonts w:eastAsia="仿宋_GB2312"/>
          <w:sz w:val="32"/>
          <w:szCs w:val="32"/>
        </w:rPr>
      </w:pPr>
      <w:r>
        <w:rPr>
          <w:rFonts w:eastAsia="仿宋_GB2312"/>
          <w:sz w:val="32"/>
          <w:szCs w:val="32"/>
        </w:rPr>
        <w:t>物业管理费项目绩效目标是2020年12月31日前保障办公区域的安全，整洁，为工作人员和办事群众提供舒适的环境。完成率100%。</w:t>
      </w:r>
    </w:p>
    <w:p w14:paraId="18D9EFCC">
      <w:pPr>
        <w:adjustRightInd w:val="0"/>
        <w:snapToGrid w:val="0"/>
        <w:spacing w:line="600" w:lineRule="exact"/>
        <w:ind w:firstLine="720"/>
        <w:rPr>
          <w:rFonts w:eastAsia="仿宋_GB2312"/>
          <w:sz w:val="32"/>
          <w:szCs w:val="32"/>
        </w:rPr>
      </w:pPr>
      <w:r>
        <w:rPr>
          <w:rFonts w:eastAsia="仿宋_GB2312"/>
          <w:sz w:val="32"/>
          <w:szCs w:val="32"/>
        </w:rPr>
        <w:t>一枝山PPP项目水土保持补偿资金项目绩效目标是2020年12月31日前缴纳一枝山工业园区项目水土保持补偿资金，促进园区快速发展，社会稳定，完成率100%。</w:t>
      </w:r>
    </w:p>
    <w:p w14:paraId="59DF603C">
      <w:pPr>
        <w:adjustRightInd w:val="0"/>
        <w:snapToGrid w:val="0"/>
        <w:spacing w:line="600" w:lineRule="exact"/>
        <w:ind w:firstLine="720"/>
        <w:rPr>
          <w:rFonts w:eastAsia="仿宋_GB2312"/>
          <w:sz w:val="32"/>
          <w:szCs w:val="32"/>
        </w:rPr>
      </w:pPr>
      <w:r>
        <w:rPr>
          <w:rFonts w:eastAsia="仿宋_GB2312"/>
          <w:sz w:val="32"/>
          <w:szCs w:val="32"/>
        </w:rPr>
        <w:t>长坡工业区主干道延线福塑段工程建设资金项目绩效目标是2020年12月31日前完成长坡工业区主干道延线福塑段工程建设工作，加强园区基础设施建设，提升园区形象，促进园区快速发展，吸引更多企业入驻，完成率100%。</w:t>
      </w:r>
    </w:p>
    <w:p w14:paraId="1D21D5C8">
      <w:pPr>
        <w:adjustRightInd w:val="0"/>
        <w:snapToGrid w:val="0"/>
        <w:spacing w:line="600" w:lineRule="exact"/>
        <w:ind w:firstLine="720"/>
        <w:rPr>
          <w:rFonts w:eastAsia="仿宋_GB2312"/>
          <w:b/>
          <w:sz w:val="32"/>
          <w:szCs w:val="32"/>
          <w:lang w:val="zh-CN"/>
        </w:rPr>
      </w:pPr>
      <w:r>
        <w:rPr>
          <w:rFonts w:eastAsia="仿宋_GB2312"/>
          <w:b/>
          <w:sz w:val="32"/>
          <w:szCs w:val="32"/>
          <w:lang w:val="zh-CN"/>
        </w:rPr>
        <w:t>3．分析评价申报内容是否与实际相符，申报目标是否合理可行。</w:t>
      </w:r>
    </w:p>
    <w:p w14:paraId="0DCAAF27">
      <w:pPr>
        <w:adjustRightInd w:val="0"/>
        <w:snapToGrid w:val="0"/>
        <w:spacing w:line="600" w:lineRule="exact"/>
        <w:ind w:firstLine="720"/>
        <w:rPr>
          <w:rFonts w:eastAsia="仿宋_GB2312"/>
          <w:sz w:val="32"/>
          <w:szCs w:val="32"/>
          <w:lang w:val="zh-CN"/>
        </w:rPr>
      </w:pPr>
      <w:r>
        <w:rPr>
          <w:rFonts w:eastAsia="仿宋_GB2312"/>
          <w:sz w:val="32"/>
          <w:szCs w:val="32"/>
          <w:lang w:val="zh-CN"/>
        </w:rPr>
        <w:t>各个项目申报内容与实际情况相符，申报目标合理可行。</w:t>
      </w:r>
    </w:p>
    <w:p w14:paraId="56DFB27D">
      <w:pPr>
        <w:adjustRightInd w:val="0"/>
        <w:snapToGrid w:val="0"/>
        <w:spacing w:line="600" w:lineRule="exact"/>
        <w:ind w:firstLine="720"/>
        <w:rPr>
          <w:rFonts w:eastAsia="楷体_GB2312"/>
          <w:b/>
          <w:sz w:val="32"/>
          <w:szCs w:val="32"/>
          <w:lang w:val="zh-CN"/>
        </w:rPr>
      </w:pPr>
      <w:r>
        <w:rPr>
          <w:rFonts w:eastAsia="楷体_GB2312"/>
          <w:b/>
          <w:sz w:val="32"/>
          <w:szCs w:val="32"/>
          <w:lang w:val="zh-CN"/>
        </w:rPr>
        <w:t>（三）项目自评步骤及方法。</w:t>
      </w:r>
    </w:p>
    <w:p w14:paraId="7F5AD37B">
      <w:pPr>
        <w:autoSpaceDE w:val="0"/>
        <w:autoSpaceDN w:val="0"/>
        <w:adjustRightInd w:val="0"/>
        <w:spacing w:line="560" w:lineRule="exact"/>
        <w:ind w:firstLine="640" w:firstLineChars="200"/>
        <w:jc w:val="left"/>
        <w:rPr>
          <w:rFonts w:eastAsia="仿宋_GB2312"/>
          <w:sz w:val="32"/>
          <w:szCs w:val="32"/>
        </w:rPr>
      </w:pPr>
      <w:r>
        <w:rPr>
          <w:rFonts w:eastAsia="仿宋_GB2312"/>
          <w:sz w:val="32"/>
          <w:szCs w:val="32"/>
        </w:rPr>
        <w:t>我单位成立了由主任为组长，分管项目副主任为副组长，项目管理股室、办公室为成员的绩效评价工作领导小组，具体负责绩效评价的工作；绩效评价工作领导小组召开会议对本年度实施的项目按照评价指标逐一评价。</w:t>
      </w:r>
    </w:p>
    <w:p w14:paraId="3C520884">
      <w:pPr>
        <w:adjustRightInd w:val="0"/>
        <w:snapToGrid w:val="0"/>
        <w:spacing w:line="600" w:lineRule="exact"/>
        <w:ind w:firstLine="720"/>
        <w:rPr>
          <w:rFonts w:eastAsia="黑体"/>
          <w:sz w:val="32"/>
          <w:szCs w:val="32"/>
        </w:rPr>
      </w:pPr>
      <w:r>
        <w:rPr>
          <w:rFonts w:eastAsia="黑体"/>
          <w:sz w:val="32"/>
          <w:szCs w:val="32"/>
        </w:rPr>
        <w:t>二、项目资金申报及使用情况</w:t>
      </w:r>
    </w:p>
    <w:p w14:paraId="5FAFE029">
      <w:pPr>
        <w:adjustRightInd w:val="0"/>
        <w:snapToGrid w:val="0"/>
        <w:spacing w:line="600" w:lineRule="exact"/>
        <w:ind w:firstLine="720"/>
        <w:rPr>
          <w:rFonts w:eastAsia="楷体_GB2312"/>
          <w:b/>
          <w:sz w:val="32"/>
          <w:szCs w:val="32"/>
          <w:lang w:val="zh-CN"/>
        </w:rPr>
      </w:pPr>
      <w:r>
        <w:rPr>
          <w:rFonts w:eastAsia="楷体_GB2312"/>
          <w:b/>
          <w:sz w:val="32"/>
          <w:szCs w:val="32"/>
          <w:lang w:val="zh-CN"/>
        </w:rPr>
        <w:t>（一）项目资金申报及批复情况。</w:t>
      </w:r>
    </w:p>
    <w:p w14:paraId="42902C92">
      <w:pPr>
        <w:adjustRightInd w:val="0"/>
        <w:snapToGrid w:val="0"/>
        <w:spacing w:line="600" w:lineRule="exact"/>
        <w:ind w:firstLine="720"/>
        <w:rPr>
          <w:rFonts w:eastAsia="仿宋_GB2312"/>
          <w:sz w:val="32"/>
          <w:szCs w:val="32"/>
        </w:rPr>
      </w:pPr>
      <w:r>
        <w:rPr>
          <w:rFonts w:eastAsia="仿宋_GB2312"/>
          <w:sz w:val="32"/>
          <w:szCs w:val="32"/>
          <w:lang w:val="zh-CN"/>
        </w:rPr>
        <w:t>全年8个项目进行资金申报，3个项目纳入年初预算批复，</w:t>
      </w:r>
      <w:r>
        <w:rPr>
          <w:rFonts w:eastAsia="仿宋_GB2312"/>
          <w:sz w:val="32"/>
          <w:szCs w:val="32"/>
        </w:rPr>
        <w:t>5项目纳入调整预算。</w:t>
      </w:r>
    </w:p>
    <w:p w14:paraId="70192B67">
      <w:pPr>
        <w:adjustRightInd w:val="0"/>
        <w:snapToGrid w:val="0"/>
        <w:spacing w:line="600" w:lineRule="exact"/>
        <w:ind w:firstLine="720"/>
        <w:rPr>
          <w:rFonts w:eastAsia="仿宋_GB2312"/>
          <w:sz w:val="32"/>
          <w:szCs w:val="32"/>
          <w:lang w:val="zh-CN"/>
        </w:rPr>
      </w:pPr>
      <w:r>
        <w:rPr>
          <w:rFonts w:eastAsia="楷体_GB2312"/>
          <w:b/>
          <w:sz w:val="32"/>
          <w:szCs w:val="32"/>
          <w:lang w:val="zh-CN"/>
        </w:rPr>
        <w:t>（二）资金计划、到位及使用情况（可用表格形式反映）。</w:t>
      </w:r>
    </w:p>
    <w:p w14:paraId="13FE2553">
      <w:pPr>
        <w:spacing w:line="560" w:lineRule="exact"/>
        <w:ind w:firstLine="697" w:firstLineChars="217"/>
        <w:rPr>
          <w:rFonts w:eastAsia="楷体_GB2312"/>
          <w:b/>
          <w:sz w:val="32"/>
          <w:szCs w:val="32"/>
          <w:lang w:val="zh-CN"/>
        </w:rPr>
      </w:pPr>
      <w:r>
        <w:rPr>
          <w:rFonts w:eastAsia="楷体_GB2312"/>
          <w:b/>
          <w:sz w:val="32"/>
          <w:szCs w:val="32"/>
          <w:lang w:val="zh-CN"/>
        </w:rPr>
        <w:t>1．资金计划。</w:t>
      </w:r>
    </w:p>
    <w:p w14:paraId="1770DA7C">
      <w:pPr>
        <w:adjustRightInd w:val="0"/>
        <w:snapToGrid w:val="0"/>
        <w:spacing w:line="600" w:lineRule="exact"/>
        <w:ind w:firstLine="720"/>
        <w:rPr>
          <w:rFonts w:eastAsia="仿宋_GB2312"/>
          <w:sz w:val="32"/>
          <w:szCs w:val="32"/>
          <w:lang w:val="zh-CN"/>
        </w:rPr>
      </w:pPr>
      <w:r>
        <w:rPr>
          <w:rFonts w:eastAsia="仿宋_GB2312"/>
          <w:sz w:val="32"/>
          <w:szCs w:val="32"/>
        </w:rPr>
        <w:t>攀枝花市2020年第一次项目竞进拉练相关费用项目全年预算数8.42万元，园区管理专项项目全年预算数9万元，物业管理费项目全年预算数3.25万元，一枝山PPP项目水土保持补偿资金项目调整预算数13.40万元，长坡工业区主干道延线福塑段工程建设资金项目调整预算数10.3万元。</w:t>
      </w:r>
      <w:r>
        <w:rPr>
          <w:rFonts w:eastAsia="仿宋_GB2312"/>
          <w:sz w:val="32"/>
          <w:szCs w:val="32"/>
          <w:lang w:val="zh-CN"/>
        </w:rPr>
        <w:t xml:space="preserve"> </w:t>
      </w:r>
    </w:p>
    <w:p w14:paraId="632098F3">
      <w:pPr>
        <w:spacing w:line="560" w:lineRule="exact"/>
        <w:ind w:firstLine="697" w:firstLineChars="217"/>
        <w:rPr>
          <w:szCs w:val="32"/>
        </w:rPr>
      </w:pPr>
      <w:r>
        <w:rPr>
          <w:rFonts w:eastAsia="楷体_GB2312"/>
          <w:b/>
          <w:sz w:val="32"/>
          <w:szCs w:val="32"/>
          <w:lang w:val="zh-CN"/>
        </w:rPr>
        <w:t>2．资金到位。</w:t>
      </w:r>
    </w:p>
    <w:p w14:paraId="54054F7E">
      <w:pPr>
        <w:adjustRightInd w:val="0"/>
        <w:snapToGrid w:val="0"/>
        <w:spacing w:line="600" w:lineRule="exact"/>
        <w:ind w:firstLine="720"/>
        <w:rPr>
          <w:rFonts w:eastAsia="仿宋_GB2312"/>
          <w:sz w:val="32"/>
          <w:szCs w:val="32"/>
          <w:lang w:val="zh-CN"/>
        </w:rPr>
      </w:pPr>
      <w:r>
        <w:rPr>
          <w:rFonts w:eastAsia="仿宋_GB2312"/>
          <w:sz w:val="32"/>
          <w:szCs w:val="32"/>
          <w:lang w:val="zh-CN"/>
        </w:rPr>
        <w:t>县财政按计划下达专项经费，资金到位率100%。</w:t>
      </w:r>
    </w:p>
    <w:p w14:paraId="6989F4DA">
      <w:pPr>
        <w:autoSpaceDE w:val="0"/>
        <w:autoSpaceDN w:val="0"/>
        <w:adjustRightInd w:val="0"/>
        <w:spacing w:line="560" w:lineRule="exact"/>
        <w:ind w:firstLine="643" w:firstLineChars="200"/>
        <w:jc w:val="left"/>
        <w:rPr>
          <w:rFonts w:eastAsia="楷体_GB2312"/>
          <w:b/>
          <w:sz w:val="32"/>
          <w:szCs w:val="32"/>
          <w:lang w:val="zh-CN"/>
        </w:rPr>
      </w:pPr>
      <w:r>
        <w:rPr>
          <w:rFonts w:eastAsia="楷体_GB2312"/>
          <w:b/>
          <w:sz w:val="32"/>
          <w:szCs w:val="32"/>
          <w:lang w:val="zh-CN"/>
        </w:rPr>
        <w:t>3．资金使用。</w:t>
      </w:r>
    </w:p>
    <w:p w14:paraId="5BEFDB7B">
      <w:pPr>
        <w:autoSpaceDE w:val="0"/>
        <w:autoSpaceDN w:val="0"/>
        <w:spacing w:line="600" w:lineRule="exact"/>
        <w:ind w:firstLine="640" w:firstLineChars="200"/>
        <w:textAlignment w:val="baseline"/>
        <w:rPr>
          <w:rFonts w:eastAsia="仿宋_GB2312"/>
          <w:color w:val="000000"/>
          <w:sz w:val="32"/>
          <w:szCs w:val="32"/>
        </w:rPr>
      </w:pPr>
      <w:r>
        <w:rPr>
          <w:rFonts w:eastAsia="仿宋_GB2312"/>
          <w:sz w:val="32"/>
          <w:szCs w:val="32"/>
        </w:rPr>
        <w:t>资金支付按工作开展进度支付，支付依据充分，相关资料齐全，无弄虚作假、挤占、挪用、虚报资金等情况发生。资金使用严格按照</w:t>
      </w:r>
      <w:r>
        <w:rPr>
          <w:rFonts w:eastAsia="仿宋_GB2312"/>
          <w:color w:val="000000"/>
          <w:sz w:val="32"/>
          <w:szCs w:val="32"/>
        </w:rPr>
        <w:t>专项资金管理办法和内部控制相关要求，专款专用，无挪用和截留资金的情况，无列支与项目内容无关的费用，项目支出合理合规。</w:t>
      </w:r>
    </w:p>
    <w:p w14:paraId="5ED03FBC">
      <w:pPr>
        <w:adjustRightInd w:val="0"/>
        <w:snapToGrid w:val="0"/>
        <w:spacing w:line="600" w:lineRule="exact"/>
        <w:ind w:firstLine="720"/>
        <w:rPr>
          <w:rFonts w:eastAsia="楷体_GB2312"/>
          <w:b/>
          <w:sz w:val="32"/>
          <w:szCs w:val="32"/>
          <w:lang w:val="zh-CN"/>
        </w:rPr>
      </w:pPr>
      <w:r>
        <w:rPr>
          <w:rFonts w:eastAsia="楷体_GB2312"/>
          <w:b/>
          <w:sz w:val="32"/>
          <w:szCs w:val="32"/>
          <w:lang w:val="zh-CN"/>
        </w:rPr>
        <w:t>（三）项目财务管理情况。</w:t>
      </w:r>
    </w:p>
    <w:p w14:paraId="55A5A53A">
      <w:pPr>
        <w:adjustRightInd w:val="0"/>
        <w:snapToGrid w:val="0"/>
        <w:spacing w:line="600" w:lineRule="exact"/>
        <w:ind w:firstLine="720"/>
        <w:rPr>
          <w:rFonts w:eastAsia="仿宋_GB2312"/>
          <w:sz w:val="32"/>
          <w:szCs w:val="32"/>
        </w:rPr>
      </w:pPr>
      <w:r>
        <w:rPr>
          <w:rFonts w:eastAsia="仿宋_GB2312"/>
          <w:kern w:val="0"/>
          <w:sz w:val="32"/>
          <w:szCs w:val="32"/>
        </w:rPr>
        <w:t>在项目实施过程中，</w:t>
      </w:r>
      <w:r>
        <w:rPr>
          <w:rFonts w:eastAsia="仿宋_GB2312"/>
          <w:sz w:val="32"/>
          <w:szCs w:val="32"/>
        </w:rPr>
        <w:t>严格执行《中华人民共和国会计法》和国家统一的会计制度的规定，认真执行财务管理制度，原始凭证、会计凭证以及其他会计资料真实完整，财务处理及时，会计核算规范。</w:t>
      </w:r>
    </w:p>
    <w:p w14:paraId="6A8B6305">
      <w:pPr>
        <w:adjustRightInd w:val="0"/>
        <w:snapToGrid w:val="0"/>
        <w:spacing w:line="600" w:lineRule="exact"/>
        <w:ind w:firstLine="720"/>
        <w:rPr>
          <w:rFonts w:eastAsia="黑体"/>
          <w:sz w:val="32"/>
          <w:szCs w:val="32"/>
        </w:rPr>
      </w:pPr>
      <w:r>
        <w:rPr>
          <w:rFonts w:eastAsia="黑体"/>
          <w:sz w:val="32"/>
          <w:szCs w:val="32"/>
        </w:rPr>
        <w:t>三、项目实施及管理情况</w:t>
      </w:r>
    </w:p>
    <w:p w14:paraId="294E2B54">
      <w:pPr>
        <w:adjustRightInd w:val="0"/>
        <w:snapToGrid w:val="0"/>
        <w:spacing w:line="600" w:lineRule="exact"/>
        <w:ind w:firstLine="720"/>
        <w:rPr>
          <w:rFonts w:eastAsia="楷体_GB2312"/>
          <w:b/>
          <w:sz w:val="32"/>
          <w:szCs w:val="32"/>
          <w:lang w:val="zh-CN"/>
        </w:rPr>
      </w:pPr>
      <w:r>
        <w:rPr>
          <w:rFonts w:eastAsia="楷体_GB2312"/>
          <w:b/>
          <w:sz w:val="32"/>
          <w:szCs w:val="32"/>
          <w:lang w:val="zh-CN"/>
        </w:rPr>
        <w:t>（一）项目组织架构及实施流程。</w:t>
      </w:r>
    </w:p>
    <w:p w14:paraId="2E406161">
      <w:pPr>
        <w:adjustRightInd w:val="0"/>
        <w:snapToGrid w:val="0"/>
        <w:spacing w:line="600" w:lineRule="exact"/>
        <w:ind w:firstLine="720"/>
        <w:rPr>
          <w:rFonts w:eastAsia="仿宋_GB2312"/>
          <w:sz w:val="32"/>
          <w:szCs w:val="32"/>
          <w:lang w:val="zh-CN"/>
        </w:rPr>
      </w:pPr>
      <w:r>
        <w:rPr>
          <w:rFonts w:eastAsia="仿宋_GB2312"/>
          <w:sz w:val="32"/>
          <w:szCs w:val="32"/>
          <w:lang w:val="zh-CN"/>
        </w:rPr>
        <w:t>由业务股室负责人提出项目立项申请，办公室对项目预算明细及资金使用计划进行审核，分管领导对项目立项进行审批，领导班子对项目立项进行集体审议，办公室向财政申请立项申报。</w:t>
      </w:r>
    </w:p>
    <w:p w14:paraId="7B9C41A1">
      <w:pPr>
        <w:adjustRightInd w:val="0"/>
        <w:snapToGrid w:val="0"/>
        <w:spacing w:line="600" w:lineRule="exact"/>
        <w:ind w:firstLine="720"/>
        <w:rPr>
          <w:rFonts w:eastAsia="楷体_GB2312"/>
          <w:b/>
          <w:sz w:val="32"/>
          <w:szCs w:val="32"/>
          <w:lang w:val="zh-CN"/>
        </w:rPr>
      </w:pPr>
      <w:r>
        <w:rPr>
          <w:rFonts w:eastAsia="楷体_GB2312"/>
          <w:b/>
          <w:sz w:val="32"/>
          <w:szCs w:val="32"/>
          <w:lang w:val="zh-CN"/>
        </w:rPr>
        <w:t>（二）项目管理情况。</w:t>
      </w:r>
    </w:p>
    <w:p w14:paraId="26A41EEB">
      <w:pPr>
        <w:adjustRightInd w:val="0"/>
        <w:snapToGrid w:val="0"/>
        <w:spacing w:line="600" w:lineRule="exact"/>
        <w:ind w:firstLine="720"/>
        <w:rPr>
          <w:rFonts w:eastAsia="仿宋_GB2312"/>
          <w:sz w:val="32"/>
          <w:szCs w:val="32"/>
          <w:lang w:val="zh-CN"/>
        </w:rPr>
      </w:pPr>
      <w:r>
        <w:rPr>
          <w:rFonts w:eastAsia="仿宋_GB2312"/>
          <w:sz w:val="32"/>
          <w:szCs w:val="32"/>
          <w:lang w:val="zh-CN"/>
        </w:rPr>
        <w:t>业务股室负责项目实施的管理，根据工作方案或合同实施项目，项目实施过程中有困难的向分管领导汇报解决，有重大变更的由负责人提出，经部门班子会议讨论解决。</w:t>
      </w:r>
    </w:p>
    <w:p w14:paraId="2640D444">
      <w:pPr>
        <w:adjustRightInd w:val="0"/>
        <w:snapToGrid w:val="0"/>
        <w:spacing w:line="600" w:lineRule="exact"/>
        <w:ind w:firstLine="720"/>
        <w:rPr>
          <w:rFonts w:eastAsia="楷体_GB2312"/>
          <w:b/>
          <w:sz w:val="32"/>
          <w:szCs w:val="32"/>
          <w:lang w:val="zh-CN"/>
        </w:rPr>
      </w:pPr>
      <w:r>
        <w:rPr>
          <w:rFonts w:eastAsia="楷体_GB2312"/>
          <w:b/>
          <w:sz w:val="32"/>
          <w:szCs w:val="32"/>
          <w:lang w:val="zh-CN"/>
        </w:rPr>
        <w:t>（三）项目监管情况。</w:t>
      </w:r>
    </w:p>
    <w:p w14:paraId="6101E2C6">
      <w:pPr>
        <w:adjustRightInd w:val="0"/>
        <w:snapToGrid w:val="0"/>
        <w:spacing w:line="600" w:lineRule="exact"/>
        <w:ind w:firstLine="720"/>
        <w:rPr>
          <w:rFonts w:eastAsia="方正仿宋简体"/>
          <w:kern w:val="0"/>
          <w:sz w:val="32"/>
          <w:szCs w:val="32"/>
          <w:shd w:val="clear" w:color="auto" w:fill="FFFFFF"/>
          <w:lang w:val="zh-CN"/>
        </w:rPr>
      </w:pPr>
      <w:r>
        <w:rPr>
          <w:rFonts w:eastAsia="仿宋_GB2312"/>
          <w:kern w:val="0"/>
          <w:sz w:val="32"/>
          <w:szCs w:val="32"/>
        </w:rPr>
        <w:t>财政项目资金的管理实行了全过程管理，</w:t>
      </w:r>
      <w:r>
        <w:rPr>
          <w:rFonts w:eastAsia="方正仿宋简体"/>
          <w:kern w:val="0"/>
          <w:sz w:val="32"/>
          <w:szCs w:val="32"/>
          <w:shd w:val="clear" w:color="auto" w:fill="FFFFFF"/>
          <w:lang w:val="zh-CN"/>
        </w:rPr>
        <w:t>项目经费支付都必须先经办公室、财务人员审核后交由领导审批，领导审批签字后方能执行，重大经济业务的支出必须经局党组研究决定，对不符合要求的支出坚决不予受理。</w:t>
      </w:r>
    </w:p>
    <w:p w14:paraId="368A0302">
      <w:pPr>
        <w:adjustRightInd w:val="0"/>
        <w:snapToGrid w:val="0"/>
        <w:spacing w:line="600" w:lineRule="exact"/>
        <w:ind w:firstLine="720"/>
        <w:rPr>
          <w:rFonts w:eastAsia="仿宋_GB2312"/>
          <w:sz w:val="32"/>
          <w:szCs w:val="32"/>
          <w:lang w:val="zh-CN"/>
        </w:rPr>
      </w:pPr>
      <w:r>
        <w:rPr>
          <w:rFonts w:eastAsia="黑体"/>
          <w:sz w:val="32"/>
          <w:szCs w:val="32"/>
        </w:rPr>
        <w:t>四、项目绩效情况</w:t>
      </w:r>
      <w:r>
        <w:rPr>
          <w:rFonts w:eastAsia="仿宋_GB2312"/>
          <w:sz w:val="32"/>
          <w:szCs w:val="32"/>
          <w:lang w:val="zh-CN"/>
        </w:rPr>
        <w:tab/>
      </w:r>
    </w:p>
    <w:p w14:paraId="30111EB5">
      <w:pPr>
        <w:adjustRightInd w:val="0"/>
        <w:snapToGrid w:val="0"/>
        <w:spacing w:line="600" w:lineRule="exact"/>
        <w:ind w:firstLine="720"/>
        <w:rPr>
          <w:rFonts w:eastAsia="楷体_GB2312"/>
          <w:b/>
          <w:sz w:val="32"/>
          <w:szCs w:val="32"/>
          <w:lang w:val="zh-CN"/>
        </w:rPr>
      </w:pPr>
      <w:r>
        <w:rPr>
          <w:rFonts w:eastAsia="楷体_GB2312"/>
          <w:b/>
          <w:sz w:val="32"/>
          <w:szCs w:val="32"/>
          <w:lang w:val="zh-CN"/>
        </w:rPr>
        <w:t>（一）项目完成情况。</w:t>
      </w:r>
    </w:p>
    <w:p w14:paraId="0D782206">
      <w:pPr>
        <w:spacing w:line="560" w:lineRule="exact"/>
        <w:ind w:firstLine="694" w:firstLineChars="217"/>
        <w:rPr>
          <w:rFonts w:eastAsia="仿宋_GB2312"/>
          <w:sz w:val="32"/>
          <w:szCs w:val="32"/>
        </w:rPr>
      </w:pPr>
      <w:r>
        <w:rPr>
          <w:rFonts w:eastAsia="仿宋_GB2312"/>
          <w:sz w:val="32"/>
          <w:szCs w:val="32"/>
        </w:rPr>
        <w:t>攀枝花市2020年第一次项目竞进拉练相关费用、园区管理专项项目、物业管理费项目、一枝山PPP项目水土保持补偿资金项目、长坡工业区主干道延线福塑段工程建设资金项目全年预算数44.37万元，执行数为44.37万元，完成预算的100%。</w:t>
      </w:r>
    </w:p>
    <w:p w14:paraId="0F2EE7D7">
      <w:pPr>
        <w:adjustRightInd w:val="0"/>
        <w:snapToGrid w:val="0"/>
        <w:spacing w:line="600" w:lineRule="exact"/>
        <w:ind w:firstLine="720"/>
        <w:rPr>
          <w:rFonts w:eastAsia="楷体_GB2312"/>
          <w:b/>
          <w:sz w:val="32"/>
          <w:szCs w:val="32"/>
          <w:lang w:val="zh-CN"/>
        </w:rPr>
      </w:pPr>
      <w:r>
        <w:rPr>
          <w:rFonts w:eastAsia="楷体_GB2312"/>
          <w:b/>
          <w:sz w:val="32"/>
          <w:szCs w:val="32"/>
          <w:lang w:val="zh-CN"/>
        </w:rPr>
        <w:t>（二）项目效益情况。</w:t>
      </w:r>
    </w:p>
    <w:p w14:paraId="39AB001E">
      <w:pPr>
        <w:spacing w:line="560" w:lineRule="exact"/>
        <w:ind w:firstLine="694" w:firstLineChars="217"/>
        <w:rPr>
          <w:rFonts w:eastAsia="仿宋_GB2312"/>
          <w:sz w:val="32"/>
          <w:szCs w:val="32"/>
        </w:rPr>
      </w:pPr>
      <w:r>
        <w:rPr>
          <w:rFonts w:eastAsia="仿宋_GB2312"/>
          <w:sz w:val="32"/>
          <w:szCs w:val="32"/>
        </w:rPr>
        <w:t>通过攀枝花市2020年第一次项目竞进拉练相关费用项目、园区管理专项项目、物业管理费项目、一枝山PPP项目水土保持补偿资金项目、长坡工业区主干道延线福塑段工程建设资金项目，对园区基础设施进行维修和完善、办公区及道路清扫和保洁等，美化园区，提升园区形象，入驻更多企业增加财政税收和提供就业岗位，促进园区快速发展，社会稳定。</w:t>
      </w:r>
    </w:p>
    <w:p w14:paraId="30BA05FD">
      <w:pPr>
        <w:adjustRightInd w:val="0"/>
        <w:snapToGrid w:val="0"/>
        <w:spacing w:line="600" w:lineRule="exact"/>
        <w:ind w:firstLine="720"/>
        <w:rPr>
          <w:rFonts w:eastAsia="黑体"/>
          <w:sz w:val="32"/>
          <w:szCs w:val="32"/>
        </w:rPr>
      </w:pPr>
      <w:r>
        <w:rPr>
          <w:rFonts w:eastAsia="黑体"/>
          <w:sz w:val="32"/>
          <w:szCs w:val="32"/>
        </w:rPr>
        <w:t>五、评价结论及建议</w:t>
      </w:r>
    </w:p>
    <w:p w14:paraId="3B7D51FD">
      <w:pPr>
        <w:adjustRightInd w:val="0"/>
        <w:snapToGrid w:val="0"/>
        <w:spacing w:line="600" w:lineRule="exact"/>
        <w:ind w:firstLine="720"/>
        <w:rPr>
          <w:rFonts w:eastAsia="楷体_GB2312"/>
          <w:b/>
          <w:sz w:val="32"/>
          <w:szCs w:val="32"/>
          <w:lang w:val="zh-CN"/>
        </w:rPr>
      </w:pPr>
      <w:r>
        <w:rPr>
          <w:rFonts w:eastAsia="楷体_GB2312"/>
          <w:b/>
          <w:sz w:val="32"/>
          <w:szCs w:val="32"/>
          <w:lang w:val="zh-CN"/>
        </w:rPr>
        <w:t>（一）评价结论。</w:t>
      </w:r>
    </w:p>
    <w:p w14:paraId="5C4916A4">
      <w:pPr>
        <w:widowControl/>
        <w:adjustRightInd w:val="0"/>
        <w:snapToGrid w:val="0"/>
        <w:spacing w:line="540" w:lineRule="exact"/>
        <w:ind w:firstLine="720"/>
        <w:jc w:val="left"/>
        <w:rPr>
          <w:rFonts w:eastAsia="仿宋_GB2312"/>
          <w:sz w:val="32"/>
          <w:szCs w:val="32"/>
        </w:rPr>
      </w:pPr>
      <w:r>
        <w:rPr>
          <w:rFonts w:eastAsia="仿宋_GB2312"/>
          <w:color w:val="000000"/>
          <w:kern w:val="0"/>
          <w:sz w:val="32"/>
          <w:szCs w:val="32"/>
          <w:shd w:val="clear" w:color="auto" w:fill="FFFFFF"/>
          <w:lang w:val="zh-CN"/>
        </w:rPr>
        <w:t>2020年我单位遵循先有预算、后有支出的原则，预决算支出保持一致，编制</w:t>
      </w:r>
      <w:r>
        <w:rPr>
          <w:rFonts w:hint="eastAsia" w:eastAsia="仿宋_GB2312"/>
          <w:color w:val="000000"/>
          <w:kern w:val="0"/>
          <w:sz w:val="32"/>
          <w:szCs w:val="32"/>
          <w:shd w:val="clear" w:color="auto" w:fill="FFFFFF"/>
          <w:lang w:val="zh-CN"/>
        </w:rPr>
        <w:t>合规</w:t>
      </w:r>
      <w:r>
        <w:rPr>
          <w:rFonts w:eastAsia="仿宋_GB2312"/>
          <w:color w:val="000000"/>
          <w:kern w:val="0"/>
          <w:sz w:val="32"/>
          <w:szCs w:val="32"/>
          <w:shd w:val="clear" w:color="auto" w:fill="FFFFFF"/>
          <w:lang w:val="zh-CN"/>
        </w:rPr>
        <w:t>，管理制度健全并得到认真执行，</w:t>
      </w:r>
      <w:r>
        <w:rPr>
          <w:rFonts w:eastAsia="仿宋_GB2312"/>
          <w:sz w:val="32"/>
          <w:szCs w:val="32"/>
        </w:rPr>
        <w:t>项目管理规范，项目监管到位，项目质量较高，运行保障有力，项目绩效实现了年初预算目标。</w:t>
      </w:r>
    </w:p>
    <w:p w14:paraId="5EA25744">
      <w:pPr>
        <w:adjustRightInd w:val="0"/>
        <w:snapToGrid w:val="0"/>
        <w:spacing w:line="600" w:lineRule="exact"/>
        <w:ind w:firstLine="720"/>
        <w:rPr>
          <w:rFonts w:eastAsia="楷体_GB2312"/>
          <w:b/>
          <w:sz w:val="32"/>
          <w:szCs w:val="32"/>
          <w:lang w:val="zh-CN"/>
        </w:rPr>
      </w:pPr>
      <w:r>
        <w:rPr>
          <w:rFonts w:eastAsia="楷体_GB2312"/>
          <w:b/>
          <w:sz w:val="32"/>
          <w:szCs w:val="32"/>
          <w:lang w:val="zh-CN"/>
        </w:rPr>
        <w:t>（二）存在的问题。</w:t>
      </w:r>
    </w:p>
    <w:p w14:paraId="2CEE6015">
      <w:pPr>
        <w:adjustRightInd w:val="0"/>
        <w:snapToGrid w:val="0"/>
        <w:spacing w:line="600" w:lineRule="exact"/>
        <w:ind w:firstLine="640" w:firstLineChars="200"/>
        <w:rPr>
          <w:rFonts w:eastAsia="仿宋_GB2312"/>
          <w:sz w:val="32"/>
          <w:szCs w:val="32"/>
          <w:lang w:val="zh-CN"/>
        </w:rPr>
      </w:pPr>
      <w:r>
        <w:rPr>
          <w:rFonts w:eastAsia="仿宋_GB2312"/>
          <w:sz w:val="32"/>
          <w:szCs w:val="32"/>
          <w:lang w:val="zh-CN"/>
        </w:rPr>
        <w:t>资金支付程序中，手续办理齐全，但是支付资金清算时间晚，未能及时支付给商家。</w:t>
      </w:r>
    </w:p>
    <w:p w14:paraId="389A2204">
      <w:pPr>
        <w:adjustRightInd w:val="0"/>
        <w:snapToGrid w:val="0"/>
        <w:spacing w:line="600" w:lineRule="exact"/>
        <w:ind w:firstLine="720"/>
        <w:rPr>
          <w:rFonts w:eastAsia="楷体_GB2312"/>
          <w:b/>
          <w:sz w:val="32"/>
          <w:szCs w:val="32"/>
          <w:lang w:val="zh-CN"/>
        </w:rPr>
      </w:pPr>
      <w:r>
        <w:rPr>
          <w:rFonts w:eastAsia="楷体_GB2312"/>
          <w:b/>
          <w:sz w:val="32"/>
          <w:szCs w:val="32"/>
          <w:lang w:val="zh-CN"/>
        </w:rPr>
        <w:t>（三）相关建议。</w:t>
      </w:r>
    </w:p>
    <w:p w14:paraId="4A904BD3">
      <w:pPr>
        <w:spacing w:line="580" w:lineRule="exact"/>
        <w:ind w:firstLine="640"/>
        <w:rPr>
          <w:rFonts w:eastAsia="仿宋_GB2312"/>
          <w:sz w:val="32"/>
          <w:szCs w:val="32"/>
        </w:rPr>
      </w:pPr>
      <w:r>
        <w:rPr>
          <w:rFonts w:eastAsia="仿宋_GB2312"/>
          <w:sz w:val="32"/>
          <w:szCs w:val="32"/>
          <w:lang w:val="zh-CN"/>
        </w:rPr>
        <w:t>无。</w:t>
      </w:r>
    </w:p>
    <w:p w14:paraId="7DDC5E76">
      <w:pPr>
        <w:adjustRightInd w:val="0"/>
        <w:snapToGrid w:val="0"/>
        <w:spacing w:line="560" w:lineRule="exact"/>
        <w:ind w:firstLine="720"/>
        <w:rPr>
          <w:rFonts w:eastAsia="仿宋_GB2312"/>
          <w:color w:val="000000"/>
          <w:kern w:val="0"/>
          <w:sz w:val="32"/>
          <w:szCs w:val="32"/>
          <w:highlight w:val="yellow"/>
          <w:shd w:val="clear" w:color="auto" w:fill="FFFFFF"/>
        </w:rPr>
      </w:pPr>
    </w:p>
    <w:p w14:paraId="32F1BFFD">
      <w:pPr>
        <w:adjustRightInd w:val="0"/>
        <w:snapToGrid w:val="0"/>
        <w:spacing w:line="560" w:lineRule="exact"/>
        <w:rPr>
          <w:rFonts w:eastAsia="仿宋_GB2312"/>
          <w:color w:val="000000"/>
          <w:kern w:val="0"/>
          <w:sz w:val="32"/>
          <w:szCs w:val="32"/>
          <w:shd w:val="clear" w:color="auto" w:fill="FFFFFF"/>
        </w:rPr>
      </w:pPr>
    </w:p>
    <w:p w14:paraId="399FDF8D">
      <w:pPr>
        <w:adjustRightInd w:val="0"/>
        <w:snapToGrid w:val="0"/>
        <w:spacing w:line="560" w:lineRule="exact"/>
        <w:rPr>
          <w:rFonts w:eastAsia="仿宋_GB2312"/>
          <w:color w:val="000000"/>
          <w:kern w:val="0"/>
          <w:sz w:val="32"/>
          <w:szCs w:val="32"/>
          <w:shd w:val="clear" w:color="auto" w:fill="FFFFFF"/>
        </w:rPr>
      </w:pPr>
    </w:p>
    <w:p w14:paraId="27CCB49A">
      <w:pPr>
        <w:adjustRightInd w:val="0"/>
        <w:snapToGrid w:val="0"/>
        <w:spacing w:line="560" w:lineRule="exact"/>
        <w:rPr>
          <w:rFonts w:eastAsia="仿宋_GB2312"/>
          <w:color w:val="000000"/>
          <w:kern w:val="0"/>
          <w:sz w:val="32"/>
          <w:szCs w:val="32"/>
          <w:shd w:val="clear" w:color="auto" w:fill="FFFFFF"/>
        </w:rPr>
      </w:pPr>
    </w:p>
    <w:p w14:paraId="7ED5468E">
      <w:pPr>
        <w:adjustRightInd w:val="0"/>
        <w:snapToGrid w:val="0"/>
        <w:spacing w:line="560" w:lineRule="exact"/>
        <w:rPr>
          <w:rFonts w:eastAsia="仿宋_GB2312"/>
          <w:color w:val="000000"/>
          <w:kern w:val="0"/>
          <w:sz w:val="32"/>
          <w:szCs w:val="32"/>
          <w:shd w:val="clear" w:color="auto" w:fill="FFFFFF"/>
        </w:rPr>
      </w:pPr>
    </w:p>
    <w:p w14:paraId="252C1BFC">
      <w:pPr>
        <w:adjustRightInd w:val="0"/>
        <w:snapToGrid w:val="0"/>
        <w:spacing w:line="560" w:lineRule="exact"/>
        <w:rPr>
          <w:rFonts w:eastAsia="仿宋_GB2312"/>
          <w:color w:val="000000"/>
          <w:kern w:val="0"/>
          <w:sz w:val="32"/>
          <w:szCs w:val="32"/>
          <w:shd w:val="clear" w:color="auto" w:fill="FFFFFF"/>
        </w:rPr>
      </w:pPr>
    </w:p>
    <w:p w14:paraId="740911A9">
      <w:pPr>
        <w:adjustRightInd w:val="0"/>
        <w:snapToGrid w:val="0"/>
        <w:spacing w:line="560" w:lineRule="exact"/>
        <w:rPr>
          <w:rFonts w:eastAsia="仿宋_GB2312"/>
          <w:color w:val="000000"/>
          <w:kern w:val="0"/>
          <w:sz w:val="32"/>
          <w:szCs w:val="32"/>
          <w:shd w:val="clear" w:color="auto" w:fill="FFFFFF"/>
        </w:rPr>
      </w:pPr>
    </w:p>
    <w:p w14:paraId="06DAA72D">
      <w:pPr>
        <w:jc w:val="center"/>
        <w:outlineLvl w:val="0"/>
        <w:rPr>
          <w:rStyle w:val="17"/>
          <w:rFonts w:eastAsia="黑体"/>
          <w:b w:val="0"/>
        </w:rPr>
      </w:pPr>
      <w:r>
        <w:rPr>
          <w:rFonts w:eastAsia="黑体"/>
          <w:color w:val="000000"/>
          <w:sz w:val="44"/>
          <w:szCs w:val="44"/>
        </w:rPr>
        <w:t>第</w:t>
      </w:r>
      <w:r>
        <w:rPr>
          <w:rStyle w:val="17"/>
          <w:rFonts w:eastAsia="黑体"/>
          <w:b w:val="0"/>
        </w:rPr>
        <w:t>五部分 附表</w:t>
      </w:r>
      <w:bookmarkEnd w:id="45"/>
      <w:bookmarkEnd w:id="48"/>
      <w:bookmarkStart w:id="49" w:name="_Toc15396619"/>
    </w:p>
    <w:p w14:paraId="7B5B45B8">
      <w:pPr>
        <w:jc w:val="center"/>
        <w:outlineLvl w:val="0"/>
        <w:rPr>
          <w:rStyle w:val="17"/>
          <w:rFonts w:eastAsia="黑体"/>
          <w:b w:val="0"/>
        </w:rPr>
      </w:pPr>
    </w:p>
    <w:p w14:paraId="37688DAE">
      <w:pPr>
        <w:spacing w:line="560" w:lineRule="exact"/>
        <w:outlineLvl w:val="0"/>
        <w:rPr>
          <w:rStyle w:val="18"/>
          <w:rFonts w:ascii="Times New Roman" w:hAnsi="Times New Roman" w:eastAsia="仿宋_GB2312"/>
          <w:b w:val="0"/>
        </w:rPr>
      </w:pPr>
      <w:r>
        <w:rPr>
          <w:rFonts w:eastAsia="仿宋_GB2312"/>
          <w:color w:val="000000"/>
          <w:sz w:val="32"/>
          <w:szCs w:val="32"/>
        </w:rPr>
        <w:t>一、收</w:t>
      </w:r>
      <w:r>
        <w:rPr>
          <w:rStyle w:val="18"/>
          <w:rFonts w:ascii="Times New Roman" w:hAnsi="Times New Roman" w:eastAsia="仿宋_GB2312"/>
          <w:b w:val="0"/>
        </w:rPr>
        <w:t>入支出决算总表</w:t>
      </w:r>
      <w:bookmarkEnd w:id="49"/>
    </w:p>
    <w:p w14:paraId="0C8ACC28">
      <w:pPr>
        <w:pStyle w:val="3"/>
        <w:keepNext w:val="0"/>
        <w:keepLines w:val="0"/>
        <w:spacing w:line="560" w:lineRule="exact"/>
        <w:rPr>
          <w:rFonts w:ascii="Times New Roman" w:hAnsi="Times New Roman" w:eastAsia="仿宋_GB2312"/>
          <w:color w:val="000000"/>
        </w:rPr>
      </w:pPr>
      <w:r>
        <w:rPr>
          <w:rFonts w:ascii="Times New Roman" w:hAnsi="Times New Roman" w:eastAsia="仿宋_GB2312"/>
          <w:b w:val="0"/>
          <w:color w:val="000000"/>
        </w:rPr>
        <w:t>二、收</w:t>
      </w:r>
      <w:r>
        <w:rPr>
          <w:rStyle w:val="18"/>
          <w:rFonts w:ascii="Times New Roman" w:hAnsi="Times New Roman" w:eastAsia="仿宋_GB2312"/>
          <w:b w:val="0"/>
          <w:bCs w:val="0"/>
        </w:rPr>
        <w:t>入总表</w:t>
      </w:r>
    </w:p>
    <w:p w14:paraId="3C5D1FA9">
      <w:pPr>
        <w:pStyle w:val="3"/>
        <w:keepNext w:val="0"/>
        <w:keepLines w:val="0"/>
        <w:spacing w:line="560" w:lineRule="exact"/>
        <w:rPr>
          <w:rFonts w:ascii="Times New Roman" w:hAnsi="Times New Roman" w:eastAsia="仿宋_GB2312"/>
          <w:color w:val="000000"/>
        </w:rPr>
      </w:pPr>
      <w:r>
        <w:rPr>
          <w:rStyle w:val="18"/>
          <w:rFonts w:ascii="Times New Roman" w:hAnsi="Times New Roman" w:eastAsia="仿宋_GB2312"/>
          <w:b w:val="0"/>
          <w:bCs w:val="0"/>
        </w:rPr>
        <w:t>三、</w:t>
      </w:r>
      <w:r>
        <w:rPr>
          <w:rFonts w:ascii="Times New Roman" w:hAnsi="Times New Roman" w:eastAsia="仿宋_GB2312"/>
          <w:b w:val="0"/>
          <w:color w:val="000000"/>
        </w:rPr>
        <w:t>支</w:t>
      </w:r>
      <w:r>
        <w:rPr>
          <w:rStyle w:val="18"/>
          <w:rFonts w:ascii="Times New Roman" w:hAnsi="Times New Roman" w:eastAsia="仿宋_GB2312"/>
          <w:b w:val="0"/>
          <w:bCs w:val="0"/>
        </w:rPr>
        <w:t>出总表</w:t>
      </w:r>
    </w:p>
    <w:p w14:paraId="322DEACD">
      <w:pPr>
        <w:pStyle w:val="3"/>
        <w:keepNext w:val="0"/>
        <w:keepLines w:val="0"/>
        <w:spacing w:line="560" w:lineRule="exact"/>
        <w:rPr>
          <w:rFonts w:ascii="Times New Roman" w:hAnsi="Times New Roman" w:eastAsia="仿宋_GB2312"/>
          <w:b w:val="0"/>
          <w:color w:val="000000"/>
        </w:rPr>
      </w:pPr>
      <w:r>
        <w:rPr>
          <w:rStyle w:val="18"/>
          <w:rFonts w:ascii="Times New Roman" w:hAnsi="Times New Roman" w:eastAsia="仿宋_GB2312"/>
          <w:b w:val="0"/>
          <w:bCs w:val="0"/>
        </w:rPr>
        <w:t>四、</w:t>
      </w:r>
      <w:r>
        <w:rPr>
          <w:rFonts w:ascii="Times New Roman" w:hAnsi="Times New Roman" w:eastAsia="仿宋_GB2312"/>
          <w:b w:val="0"/>
          <w:color w:val="000000"/>
        </w:rPr>
        <w:t>财</w:t>
      </w:r>
      <w:r>
        <w:rPr>
          <w:rStyle w:val="18"/>
          <w:rFonts w:ascii="Times New Roman" w:hAnsi="Times New Roman" w:eastAsia="仿宋_GB2312"/>
          <w:b w:val="0"/>
          <w:bCs w:val="0"/>
        </w:rPr>
        <w:t>政拨款收入支出决算总表</w:t>
      </w:r>
    </w:p>
    <w:p w14:paraId="270C99AA">
      <w:pPr>
        <w:pStyle w:val="3"/>
        <w:keepNext w:val="0"/>
        <w:keepLines w:val="0"/>
        <w:spacing w:line="560" w:lineRule="exact"/>
        <w:rPr>
          <w:rFonts w:ascii="Times New Roman" w:hAnsi="Times New Roman" w:eastAsia="仿宋_GB2312"/>
          <w:color w:val="000000"/>
        </w:rPr>
      </w:pPr>
      <w:r>
        <w:rPr>
          <w:rStyle w:val="18"/>
          <w:rFonts w:ascii="Times New Roman" w:hAnsi="Times New Roman" w:eastAsia="仿宋_GB2312"/>
          <w:b w:val="0"/>
          <w:bCs w:val="0"/>
        </w:rPr>
        <w:t>五、</w:t>
      </w:r>
      <w:r>
        <w:rPr>
          <w:rFonts w:ascii="Times New Roman" w:hAnsi="Times New Roman" w:eastAsia="仿宋_GB2312"/>
          <w:b w:val="0"/>
          <w:color w:val="000000"/>
        </w:rPr>
        <w:t>财</w:t>
      </w:r>
      <w:r>
        <w:rPr>
          <w:rStyle w:val="18"/>
          <w:rFonts w:ascii="Times New Roman" w:hAnsi="Times New Roman" w:eastAsia="仿宋_GB2312"/>
          <w:b w:val="0"/>
          <w:bCs w:val="0"/>
        </w:rPr>
        <w:t>政拨款支出决算明细表（政府经济分类科目）</w:t>
      </w:r>
    </w:p>
    <w:p w14:paraId="19D6E6E0">
      <w:pPr>
        <w:pStyle w:val="3"/>
        <w:keepNext w:val="0"/>
        <w:keepLines w:val="0"/>
        <w:spacing w:line="560" w:lineRule="exact"/>
        <w:rPr>
          <w:rFonts w:ascii="Times New Roman" w:hAnsi="Times New Roman" w:eastAsia="仿宋_GB2312"/>
          <w:color w:val="000000"/>
        </w:rPr>
      </w:pPr>
      <w:r>
        <w:rPr>
          <w:rStyle w:val="18"/>
          <w:rFonts w:ascii="Times New Roman" w:hAnsi="Times New Roman" w:eastAsia="仿宋_GB2312"/>
          <w:b w:val="0"/>
          <w:bCs w:val="0"/>
        </w:rPr>
        <w:t>六、</w:t>
      </w:r>
      <w:r>
        <w:rPr>
          <w:rFonts w:ascii="Times New Roman" w:hAnsi="Times New Roman" w:eastAsia="仿宋_GB2312"/>
          <w:b w:val="0"/>
          <w:color w:val="000000"/>
        </w:rPr>
        <w:t>一</w:t>
      </w:r>
      <w:r>
        <w:rPr>
          <w:rStyle w:val="18"/>
          <w:rFonts w:ascii="Times New Roman" w:hAnsi="Times New Roman" w:eastAsia="仿宋_GB2312"/>
          <w:b w:val="0"/>
          <w:bCs w:val="0"/>
        </w:rPr>
        <w:t>般公共预算财政拨款支出决算表</w:t>
      </w:r>
    </w:p>
    <w:p w14:paraId="480B8C2B">
      <w:pPr>
        <w:pStyle w:val="3"/>
        <w:keepNext w:val="0"/>
        <w:keepLines w:val="0"/>
        <w:spacing w:line="560" w:lineRule="exact"/>
        <w:rPr>
          <w:rFonts w:ascii="Times New Roman" w:hAnsi="Times New Roman" w:eastAsia="仿宋_GB2312"/>
          <w:color w:val="000000"/>
        </w:rPr>
      </w:pPr>
      <w:r>
        <w:rPr>
          <w:rStyle w:val="18"/>
          <w:rFonts w:ascii="Times New Roman" w:hAnsi="Times New Roman" w:eastAsia="仿宋_GB2312"/>
          <w:b w:val="0"/>
          <w:bCs w:val="0"/>
        </w:rPr>
        <w:t>七、</w:t>
      </w:r>
      <w:r>
        <w:rPr>
          <w:rFonts w:ascii="Times New Roman" w:hAnsi="Times New Roman" w:eastAsia="仿宋_GB2312"/>
          <w:b w:val="0"/>
          <w:color w:val="000000"/>
        </w:rPr>
        <w:t>一</w:t>
      </w:r>
      <w:r>
        <w:rPr>
          <w:rStyle w:val="18"/>
          <w:rFonts w:ascii="Times New Roman" w:hAnsi="Times New Roman" w:eastAsia="仿宋_GB2312"/>
          <w:b w:val="0"/>
          <w:bCs w:val="0"/>
        </w:rPr>
        <w:t>般公共预算财政拨款支出决算明细表</w:t>
      </w:r>
    </w:p>
    <w:p w14:paraId="2507B3F8">
      <w:pPr>
        <w:pStyle w:val="3"/>
        <w:keepNext w:val="0"/>
        <w:keepLines w:val="0"/>
        <w:spacing w:line="560" w:lineRule="exact"/>
        <w:rPr>
          <w:rFonts w:ascii="Times New Roman" w:hAnsi="Times New Roman" w:eastAsia="仿宋_GB2312"/>
          <w:color w:val="000000"/>
        </w:rPr>
      </w:pPr>
      <w:r>
        <w:rPr>
          <w:rStyle w:val="18"/>
          <w:rFonts w:ascii="Times New Roman" w:hAnsi="Times New Roman" w:eastAsia="仿宋_GB2312"/>
          <w:b w:val="0"/>
          <w:bCs w:val="0"/>
        </w:rPr>
        <w:t>八、</w:t>
      </w:r>
      <w:r>
        <w:rPr>
          <w:rFonts w:ascii="Times New Roman" w:hAnsi="Times New Roman" w:eastAsia="仿宋_GB2312"/>
          <w:b w:val="0"/>
          <w:color w:val="000000"/>
        </w:rPr>
        <w:t>一</w:t>
      </w:r>
      <w:r>
        <w:rPr>
          <w:rStyle w:val="18"/>
          <w:rFonts w:ascii="Times New Roman" w:hAnsi="Times New Roman" w:eastAsia="仿宋_GB2312"/>
          <w:b w:val="0"/>
          <w:bCs w:val="0"/>
        </w:rPr>
        <w:t>般公共预算财政拨款基本支出决算表</w:t>
      </w:r>
    </w:p>
    <w:p w14:paraId="443C8508">
      <w:pPr>
        <w:pStyle w:val="3"/>
        <w:keepNext w:val="0"/>
        <w:keepLines w:val="0"/>
        <w:spacing w:line="560" w:lineRule="exact"/>
        <w:rPr>
          <w:rFonts w:ascii="Times New Roman" w:hAnsi="Times New Roman" w:eastAsia="仿宋_GB2312"/>
          <w:color w:val="000000"/>
        </w:rPr>
      </w:pPr>
      <w:r>
        <w:rPr>
          <w:rStyle w:val="18"/>
          <w:rFonts w:ascii="Times New Roman" w:hAnsi="Times New Roman" w:eastAsia="仿宋_GB2312"/>
          <w:b w:val="0"/>
          <w:bCs w:val="0"/>
        </w:rPr>
        <w:t>九、</w:t>
      </w:r>
      <w:r>
        <w:rPr>
          <w:rFonts w:ascii="Times New Roman" w:hAnsi="Times New Roman" w:eastAsia="仿宋_GB2312"/>
          <w:b w:val="0"/>
          <w:color w:val="000000"/>
        </w:rPr>
        <w:t>一</w:t>
      </w:r>
      <w:r>
        <w:rPr>
          <w:rStyle w:val="18"/>
          <w:rFonts w:ascii="Times New Roman" w:hAnsi="Times New Roman" w:eastAsia="仿宋_GB2312"/>
          <w:b w:val="0"/>
          <w:bCs w:val="0"/>
        </w:rPr>
        <w:t>般公共预算财政拨款项目支出决算表</w:t>
      </w:r>
    </w:p>
    <w:p w14:paraId="6C2F5ECE">
      <w:pPr>
        <w:pStyle w:val="3"/>
        <w:keepNext w:val="0"/>
        <w:keepLines w:val="0"/>
        <w:spacing w:line="560" w:lineRule="exact"/>
        <w:rPr>
          <w:rFonts w:ascii="Times New Roman" w:hAnsi="Times New Roman" w:eastAsia="仿宋_GB2312"/>
          <w:color w:val="000000"/>
        </w:rPr>
      </w:pPr>
      <w:bookmarkStart w:id="50" w:name="_Toc15396628"/>
      <w:r>
        <w:rPr>
          <w:rStyle w:val="18"/>
          <w:rFonts w:ascii="Times New Roman" w:hAnsi="Times New Roman" w:eastAsia="仿宋_GB2312"/>
          <w:b w:val="0"/>
          <w:bCs w:val="0"/>
        </w:rPr>
        <w:t>十、</w:t>
      </w:r>
      <w:r>
        <w:rPr>
          <w:rFonts w:ascii="Times New Roman" w:hAnsi="Times New Roman" w:eastAsia="仿宋_GB2312"/>
          <w:b w:val="0"/>
          <w:color w:val="000000"/>
        </w:rPr>
        <w:t>一</w:t>
      </w:r>
      <w:r>
        <w:rPr>
          <w:rStyle w:val="18"/>
          <w:rFonts w:ascii="Times New Roman" w:hAnsi="Times New Roman" w:eastAsia="仿宋_GB2312"/>
          <w:b w:val="0"/>
          <w:bCs w:val="0"/>
        </w:rPr>
        <w:t>般公共预算财政拨款“三公”经费支出决算表</w:t>
      </w:r>
      <w:bookmarkEnd w:id="50"/>
    </w:p>
    <w:p w14:paraId="2EF08A35">
      <w:pPr>
        <w:pStyle w:val="3"/>
        <w:keepNext w:val="0"/>
        <w:keepLines w:val="0"/>
        <w:spacing w:line="560" w:lineRule="exact"/>
        <w:rPr>
          <w:rFonts w:ascii="Times New Roman" w:hAnsi="Times New Roman" w:eastAsia="仿宋_GB2312"/>
          <w:color w:val="000000"/>
        </w:rPr>
      </w:pPr>
      <w:bookmarkStart w:id="51" w:name="_Toc15396629"/>
      <w:r>
        <w:rPr>
          <w:rStyle w:val="18"/>
          <w:rFonts w:ascii="Times New Roman" w:hAnsi="Times New Roman" w:eastAsia="仿宋_GB2312"/>
          <w:b w:val="0"/>
          <w:bCs w:val="0"/>
        </w:rPr>
        <w:t>十一、</w:t>
      </w:r>
      <w:r>
        <w:rPr>
          <w:rFonts w:ascii="Times New Roman" w:hAnsi="Times New Roman" w:eastAsia="仿宋_GB2312"/>
          <w:b w:val="0"/>
          <w:color w:val="000000"/>
        </w:rPr>
        <w:t>政</w:t>
      </w:r>
      <w:r>
        <w:rPr>
          <w:rStyle w:val="18"/>
          <w:rFonts w:ascii="Times New Roman" w:hAnsi="Times New Roman" w:eastAsia="仿宋_GB2312"/>
          <w:b w:val="0"/>
          <w:bCs w:val="0"/>
        </w:rPr>
        <w:t>府性基金预算财政拨款收入支出决算表</w:t>
      </w:r>
      <w:bookmarkEnd w:id="51"/>
    </w:p>
    <w:p w14:paraId="5BC56B71">
      <w:pPr>
        <w:pStyle w:val="3"/>
        <w:keepNext w:val="0"/>
        <w:keepLines w:val="0"/>
        <w:spacing w:line="560" w:lineRule="exact"/>
        <w:rPr>
          <w:rStyle w:val="18"/>
          <w:rFonts w:ascii="Times New Roman" w:hAnsi="Times New Roman" w:eastAsia="仿宋_GB2312"/>
          <w:b w:val="0"/>
          <w:bCs w:val="0"/>
        </w:rPr>
      </w:pPr>
      <w:bookmarkStart w:id="52" w:name="_Toc15396630"/>
      <w:r>
        <w:rPr>
          <w:rStyle w:val="18"/>
          <w:rFonts w:ascii="Times New Roman" w:hAnsi="Times New Roman" w:eastAsia="仿宋_GB2312"/>
          <w:b w:val="0"/>
          <w:bCs w:val="0"/>
        </w:rPr>
        <w:t>十二、</w:t>
      </w:r>
      <w:r>
        <w:rPr>
          <w:rFonts w:ascii="Times New Roman" w:hAnsi="Times New Roman" w:eastAsia="仿宋_GB2312"/>
          <w:b w:val="0"/>
          <w:color w:val="000000"/>
        </w:rPr>
        <w:t>政</w:t>
      </w:r>
      <w:r>
        <w:rPr>
          <w:rStyle w:val="18"/>
          <w:rFonts w:ascii="Times New Roman" w:hAnsi="Times New Roman" w:eastAsia="仿宋_GB2312"/>
          <w:b w:val="0"/>
          <w:bCs w:val="0"/>
        </w:rPr>
        <w:t>府性基金预算财政拨款“三公”经费支出决算表</w:t>
      </w:r>
      <w:bookmarkEnd w:id="52"/>
      <w:bookmarkStart w:id="53" w:name="_Toc15396631"/>
    </w:p>
    <w:p w14:paraId="5843DE47">
      <w:pPr>
        <w:pStyle w:val="3"/>
        <w:keepNext w:val="0"/>
        <w:keepLines w:val="0"/>
        <w:spacing w:line="560" w:lineRule="exact"/>
        <w:rPr>
          <w:rStyle w:val="18"/>
          <w:rFonts w:ascii="Times New Roman" w:hAnsi="Times New Roman" w:eastAsia="仿宋_GB2312"/>
          <w:b w:val="0"/>
          <w:bCs w:val="0"/>
        </w:rPr>
      </w:pPr>
      <w:r>
        <w:rPr>
          <w:rStyle w:val="18"/>
          <w:rFonts w:ascii="Times New Roman" w:hAnsi="Times New Roman" w:eastAsia="仿宋_GB2312"/>
          <w:b w:val="0"/>
          <w:bCs w:val="0"/>
        </w:rPr>
        <w:t>十三、国有资本经营预算财政拨款收入支出决算表</w:t>
      </w:r>
    </w:p>
    <w:p w14:paraId="1A4A1F36">
      <w:pPr>
        <w:pStyle w:val="3"/>
        <w:keepNext w:val="0"/>
        <w:keepLines w:val="0"/>
        <w:spacing w:line="560" w:lineRule="exact"/>
        <w:rPr>
          <w:rFonts w:ascii="Times New Roman" w:hAnsi="Times New Roman" w:eastAsia="仿宋_GB2312"/>
          <w:b w:val="0"/>
          <w:bCs w:val="0"/>
        </w:rPr>
      </w:pPr>
      <w:r>
        <w:rPr>
          <w:rStyle w:val="18"/>
          <w:rFonts w:ascii="Times New Roman" w:hAnsi="Times New Roman" w:eastAsia="仿宋_GB2312"/>
          <w:b w:val="0"/>
          <w:bCs w:val="0"/>
        </w:rPr>
        <w:t>十四、</w:t>
      </w:r>
      <w:r>
        <w:rPr>
          <w:rFonts w:ascii="Times New Roman" w:hAnsi="Times New Roman" w:eastAsia="仿宋_GB2312"/>
          <w:b w:val="0"/>
          <w:color w:val="000000"/>
        </w:rPr>
        <w:t>国</w:t>
      </w:r>
      <w:r>
        <w:rPr>
          <w:rStyle w:val="18"/>
          <w:rFonts w:ascii="Times New Roman" w:hAnsi="Times New Roman" w:eastAsia="仿宋_GB2312"/>
          <w:b w:val="0"/>
          <w:bCs w:val="0"/>
        </w:rPr>
        <w:t>有资本经营预算支出决算表</w:t>
      </w:r>
      <w:bookmarkEnd w:id="53"/>
    </w:p>
    <w:p w14:paraId="5441FA6E">
      <w:pPr>
        <w:spacing w:line="560" w:lineRule="exact"/>
        <w:rPr>
          <w:rFonts w:eastAsia="仿宋_GB2312"/>
          <w:sz w:val="32"/>
          <w:szCs w:val="32"/>
        </w:rPr>
      </w:pPr>
      <w:r>
        <w:rPr>
          <w:rFonts w:eastAsia="仿宋_GB2312"/>
          <w:sz w:val="32"/>
          <w:szCs w:val="32"/>
        </w:rPr>
        <w:t>十五、</w:t>
      </w:r>
      <w:r>
        <w:rPr>
          <w:rFonts w:eastAsia="仿宋_GB2312"/>
          <w:bCs/>
          <w:color w:val="000000"/>
          <w:sz w:val="32"/>
          <w:szCs w:val="32"/>
        </w:rPr>
        <w:t>机关运行经费、资产占用及政府采购支出信息表</w:t>
      </w:r>
    </w:p>
    <w:sectPr>
      <w:headerReference r:id="rId3" w:type="default"/>
      <w:footerReference r:id="rId4" w:type="default"/>
      <w:pgSz w:w="11906" w:h="16838"/>
      <w:pgMar w:top="2098" w:right="1474" w:bottom="1985" w:left="1588"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Cambria">
    <w:altName w:val="FreeSerif"/>
    <w:panose1 w:val="02040503050406030204"/>
    <w:charset w:val="00"/>
    <w:family w:val="roman"/>
    <w:pitch w:val="default"/>
    <w:sig w:usb0="00000000" w:usb1="00000000" w:usb2="00000000" w:usb3="00000000" w:csb0="0000019F" w:csb1="00000000"/>
  </w:font>
  <w:font w:name="FreeSerif">
    <w:panose1 w:val="02020603050405020304"/>
    <w:charset w:val="00"/>
    <w:family w:val="auto"/>
    <w:pitch w:val="default"/>
    <w:sig w:usb0="E59FAFFF" w:usb1="C200FDFF" w:usb2="43501B29" w:usb3="04000043" w:csb0="6001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方正小标宋_GBK"/>
    <w:panose1 w:val="03000509000000000000"/>
    <w:charset w:val="86"/>
    <w:family w:val="script"/>
    <w:pitch w:val="default"/>
    <w:sig w:usb0="00000000" w:usb1="00000000" w:usb2="00000010" w:usb3="00000000" w:csb0="00040000" w:csb1="00000000"/>
  </w:font>
  <w:font w:name="方正小标宋_GBK">
    <w:panose1 w:val="02000000000000000000"/>
    <w:charset w:val="86"/>
    <w:family w:val="auto"/>
    <w:pitch w:val="default"/>
    <w:sig w:usb0="A00002BF" w:usb1="38CF7CFA" w:usb2="00082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仿宋简体">
    <w:altName w:val="仿宋"/>
    <w:panose1 w:val="03000509000000000000"/>
    <w:charset w:val="86"/>
    <w:family w:val="script"/>
    <w:pitch w:val="default"/>
    <w:sig w:usb0="00000000" w:usb1="00000000" w:usb2="0000001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B48ED">
    <w:pPr>
      <w:pStyle w:val="8"/>
      <w:jc w:val="center"/>
    </w:pPr>
    <w:r>
      <w:fldChar w:fldCharType="begin"/>
    </w:r>
    <w:r>
      <w:instrText xml:space="preserve">PAGE   \* MERGEFORMAT</w:instrText>
    </w:r>
    <w:r>
      <w:fldChar w:fldCharType="separate"/>
    </w:r>
    <w:r>
      <w:rPr>
        <w:lang w:val="zh-CN"/>
      </w:rPr>
      <w:t>2</w:t>
    </w:r>
    <w:r>
      <w:rPr>
        <w:lang w:val="zh-CN"/>
      </w:rPr>
      <w:fldChar w:fldCharType="end"/>
    </w:r>
  </w:p>
  <w:p w14:paraId="2EE5FA79">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E3881">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0016E"/>
    <w:rsid w:val="00021AAE"/>
    <w:rsid w:val="000222C6"/>
    <w:rsid w:val="0002549F"/>
    <w:rsid w:val="00026C10"/>
    <w:rsid w:val="000311DA"/>
    <w:rsid w:val="00034C06"/>
    <w:rsid w:val="000460B9"/>
    <w:rsid w:val="00050C16"/>
    <w:rsid w:val="00061BE7"/>
    <w:rsid w:val="0006487A"/>
    <w:rsid w:val="00065F8F"/>
    <w:rsid w:val="000768F2"/>
    <w:rsid w:val="00076F65"/>
    <w:rsid w:val="00076FF8"/>
    <w:rsid w:val="00081B18"/>
    <w:rsid w:val="00082411"/>
    <w:rsid w:val="00084DE1"/>
    <w:rsid w:val="0009184B"/>
    <w:rsid w:val="00093B21"/>
    <w:rsid w:val="00094C61"/>
    <w:rsid w:val="0009593C"/>
    <w:rsid w:val="000B047F"/>
    <w:rsid w:val="000B1E77"/>
    <w:rsid w:val="000B5923"/>
    <w:rsid w:val="000B5A48"/>
    <w:rsid w:val="000B67F1"/>
    <w:rsid w:val="000B6FF3"/>
    <w:rsid w:val="000C3467"/>
    <w:rsid w:val="000C3CA6"/>
    <w:rsid w:val="000C6D3F"/>
    <w:rsid w:val="000D1267"/>
    <w:rsid w:val="000D1BAD"/>
    <w:rsid w:val="000D1D50"/>
    <w:rsid w:val="000D5782"/>
    <w:rsid w:val="000E2117"/>
    <w:rsid w:val="000E6613"/>
    <w:rsid w:val="000E7119"/>
    <w:rsid w:val="000F78DD"/>
    <w:rsid w:val="001106E1"/>
    <w:rsid w:val="001108A7"/>
    <w:rsid w:val="00114E9B"/>
    <w:rsid w:val="00131661"/>
    <w:rsid w:val="00132684"/>
    <w:rsid w:val="00142ECA"/>
    <w:rsid w:val="00144103"/>
    <w:rsid w:val="0014729F"/>
    <w:rsid w:val="00150CCA"/>
    <w:rsid w:val="00152C8A"/>
    <w:rsid w:val="001570F4"/>
    <w:rsid w:val="00157BAB"/>
    <w:rsid w:val="00163926"/>
    <w:rsid w:val="001654D1"/>
    <w:rsid w:val="00165F59"/>
    <w:rsid w:val="0016747F"/>
    <w:rsid w:val="00170676"/>
    <w:rsid w:val="00172046"/>
    <w:rsid w:val="0018106D"/>
    <w:rsid w:val="00183E83"/>
    <w:rsid w:val="00184C4D"/>
    <w:rsid w:val="001877A7"/>
    <w:rsid w:val="00191536"/>
    <w:rsid w:val="00194860"/>
    <w:rsid w:val="00196687"/>
    <w:rsid w:val="001A4C89"/>
    <w:rsid w:val="001A615B"/>
    <w:rsid w:val="001A6FC0"/>
    <w:rsid w:val="001B3297"/>
    <w:rsid w:val="001C0962"/>
    <w:rsid w:val="001D4322"/>
    <w:rsid w:val="001D7531"/>
    <w:rsid w:val="001E0F4E"/>
    <w:rsid w:val="001E737D"/>
    <w:rsid w:val="001F0411"/>
    <w:rsid w:val="001F0592"/>
    <w:rsid w:val="001F2300"/>
    <w:rsid w:val="001F3282"/>
    <w:rsid w:val="001F55F7"/>
    <w:rsid w:val="001F7506"/>
    <w:rsid w:val="002006CD"/>
    <w:rsid w:val="00202B36"/>
    <w:rsid w:val="00203DA1"/>
    <w:rsid w:val="00204B7A"/>
    <w:rsid w:val="002053DC"/>
    <w:rsid w:val="00205C10"/>
    <w:rsid w:val="0021101A"/>
    <w:rsid w:val="002120A9"/>
    <w:rsid w:val="00220536"/>
    <w:rsid w:val="00222E8E"/>
    <w:rsid w:val="00235629"/>
    <w:rsid w:val="00242ADC"/>
    <w:rsid w:val="00245286"/>
    <w:rsid w:val="00246021"/>
    <w:rsid w:val="00260C38"/>
    <w:rsid w:val="002616C0"/>
    <w:rsid w:val="00261CCF"/>
    <w:rsid w:val="002662AA"/>
    <w:rsid w:val="002673E8"/>
    <w:rsid w:val="00270945"/>
    <w:rsid w:val="00276635"/>
    <w:rsid w:val="00277A33"/>
    <w:rsid w:val="00280496"/>
    <w:rsid w:val="00286230"/>
    <w:rsid w:val="0029022C"/>
    <w:rsid w:val="00290616"/>
    <w:rsid w:val="00295495"/>
    <w:rsid w:val="00297DF8"/>
    <w:rsid w:val="002A043A"/>
    <w:rsid w:val="002A1DA5"/>
    <w:rsid w:val="002A5D66"/>
    <w:rsid w:val="002B2613"/>
    <w:rsid w:val="002C16D1"/>
    <w:rsid w:val="002C45C8"/>
    <w:rsid w:val="002D0F00"/>
    <w:rsid w:val="002D5B17"/>
    <w:rsid w:val="002E42AD"/>
    <w:rsid w:val="002E5BBB"/>
    <w:rsid w:val="002E5D83"/>
    <w:rsid w:val="002E7790"/>
    <w:rsid w:val="002F1818"/>
    <w:rsid w:val="002F567B"/>
    <w:rsid w:val="003132C1"/>
    <w:rsid w:val="0032116A"/>
    <w:rsid w:val="003216A9"/>
    <w:rsid w:val="00322E1F"/>
    <w:rsid w:val="0032558F"/>
    <w:rsid w:val="00327B6A"/>
    <w:rsid w:val="00350F35"/>
    <w:rsid w:val="00356EEA"/>
    <w:rsid w:val="0036426E"/>
    <w:rsid w:val="00366E92"/>
    <w:rsid w:val="003676B7"/>
    <w:rsid w:val="0037013F"/>
    <w:rsid w:val="003707FA"/>
    <w:rsid w:val="003779AE"/>
    <w:rsid w:val="00380C92"/>
    <w:rsid w:val="00382067"/>
    <w:rsid w:val="00382A9D"/>
    <w:rsid w:val="00382E55"/>
    <w:rsid w:val="003838B1"/>
    <w:rsid w:val="00390368"/>
    <w:rsid w:val="00393F00"/>
    <w:rsid w:val="0039437E"/>
    <w:rsid w:val="003A484F"/>
    <w:rsid w:val="003A560B"/>
    <w:rsid w:val="003B0530"/>
    <w:rsid w:val="003B0BE0"/>
    <w:rsid w:val="003B0C1B"/>
    <w:rsid w:val="003B4A92"/>
    <w:rsid w:val="003B688C"/>
    <w:rsid w:val="003C0291"/>
    <w:rsid w:val="003C054A"/>
    <w:rsid w:val="003C079C"/>
    <w:rsid w:val="003C350C"/>
    <w:rsid w:val="003C39AE"/>
    <w:rsid w:val="003C7B60"/>
    <w:rsid w:val="003D1FB2"/>
    <w:rsid w:val="003D66DA"/>
    <w:rsid w:val="003E1310"/>
    <w:rsid w:val="003E6F55"/>
    <w:rsid w:val="003F0858"/>
    <w:rsid w:val="003F1A19"/>
    <w:rsid w:val="003F1E0B"/>
    <w:rsid w:val="003F7284"/>
    <w:rsid w:val="00404762"/>
    <w:rsid w:val="00406254"/>
    <w:rsid w:val="00410D9F"/>
    <w:rsid w:val="004179E2"/>
    <w:rsid w:val="004223DE"/>
    <w:rsid w:val="00434489"/>
    <w:rsid w:val="00437085"/>
    <w:rsid w:val="00443880"/>
    <w:rsid w:val="00444D2D"/>
    <w:rsid w:val="004464F4"/>
    <w:rsid w:val="00446925"/>
    <w:rsid w:val="004609AB"/>
    <w:rsid w:val="00462F18"/>
    <w:rsid w:val="00466280"/>
    <w:rsid w:val="00471401"/>
    <w:rsid w:val="00472E15"/>
    <w:rsid w:val="00473F31"/>
    <w:rsid w:val="0048041F"/>
    <w:rsid w:val="0048263A"/>
    <w:rsid w:val="00487E5D"/>
    <w:rsid w:val="0049246A"/>
    <w:rsid w:val="00495319"/>
    <w:rsid w:val="00496265"/>
    <w:rsid w:val="00497CCC"/>
    <w:rsid w:val="004A6884"/>
    <w:rsid w:val="004A711F"/>
    <w:rsid w:val="004B199D"/>
    <w:rsid w:val="004B4690"/>
    <w:rsid w:val="004B486C"/>
    <w:rsid w:val="004B5BE8"/>
    <w:rsid w:val="004C0099"/>
    <w:rsid w:val="004C7DB4"/>
    <w:rsid w:val="004D02DD"/>
    <w:rsid w:val="004D77AF"/>
    <w:rsid w:val="004E0A2D"/>
    <w:rsid w:val="004E1150"/>
    <w:rsid w:val="004E206B"/>
    <w:rsid w:val="004E52A0"/>
    <w:rsid w:val="004E6DF7"/>
    <w:rsid w:val="004E720F"/>
    <w:rsid w:val="004F0FBD"/>
    <w:rsid w:val="004F2D39"/>
    <w:rsid w:val="004F618B"/>
    <w:rsid w:val="00503604"/>
    <w:rsid w:val="00504076"/>
    <w:rsid w:val="00504DB9"/>
    <w:rsid w:val="00505A47"/>
    <w:rsid w:val="00510901"/>
    <w:rsid w:val="00512FDA"/>
    <w:rsid w:val="005146DD"/>
    <w:rsid w:val="00520DA0"/>
    <w:rsid w:val="0052123A"/>
    <w:rsid w:val="00522F1E"/>
    <w:rsid w:val="00524666"/>
    <w:rsid w:val="00527DDB"/>
    <w:rsid w:val="00536CD6"/>
    <w:rsid w:val="005534EE"/>
    <w:rsid w:val="005575DB"/>
    <w:rsid w:val="00565822"/>
    <w:rsid w:val="005664BB"/>
    <w:rsid w:val="0057481D"/>
    <w:rsid w:val="0058486E"/>
    <w:rsid w:val="0058654F"/>
    <w:rsid w:val="00594265"/>
    <w:rsid w:val="005C26CF"/>
    <w:rsid w:val="005C4BAD"/>
    <w:rsid w:val="005D1C8B"/>
    <w:rsid w:val="005D5CED"/>
    <w:rsid w:val="005D6853"/>
    <w:rsid w:val="005D7647"/>
    <w:rsid w:val="005E5823"/>
    <w:rsid w:val="005F049C"/>
    <w:rsid w:val="005F1A4C"/>
    <w:rsid w:val="005F5644"/>
    <w:rsid w:val="0060565D"/>
    <w:rsid w:val="00605688"/>
    <w:rsid w:val="006070AF"/>
    <w:rsid w:val="00607E6C"/>
    <w:rsid w:val="006101B1"/>
    <w:rsid w:val="00611A89"/>
    <w:rsid w:val="00614E44"/>
    <w:rsid w:val="0061652E"/>
    <w:rsid w:val="006174E4"/>
    <w:rsid w:val="00622830"/>
    <w:rsid w:val="00624F26"/>
    <w:rsid w:val="00630AEF"/>
    <w:rsid w:val="006325F8"/>
    <w:rsid w:val="00634C9A"/>
    <w:rsid w:val="006440E4"/>
    <w:rsid w:val="00644887"/>
    <w:rsid w:val="00644E68"/>
    <w:rsid w:val="0064583F"/>
    <w:rsid w:val="00652270"/>
    <w:rsid w:val="006545C9"/>
    <w:rsid w:val="0066343B"/>
    <w:rsid w:val="00664777"/>
    <w:rsid w:val="006748A4"/>
    <w:rsid w:val="00682839"/>
    <w:rsid w:val="00683E73"/>
    <w:rsid w:val="006858CC"/>
    <w:rsid w:val="00687E9C"/>
    <w:rsid w:val="00687F64"/>
    <w:rsid w:val="00694A68"/>
    <w:rsid w:val="00694F1B"/>
    <w:rsid w:val="006A04B6"/>
    <w:rsid w:val="006A0973"/>
    <w:rsid w:val="006A1D4A"/>
    <w:rsid w:val="006A3141"/>
    <w:rsid w:val="006A5E34"/>
    <w:rsid w:val="006A6109"/>
    <w:rsid w:val="006A779B"/>
    <w:rsid w:val="006B2422"/>
    <w:rsid w:val="006B2B9A"/>
    <w:rsid w:val="006B667B"/>
    <w:rsid w:val="006C1937"/>
    <w:rsid w:val="006D2678"/>
    <w:rsid w:val="006F020C"/>
    <w:rsid w:val="006F02A6"/>
    <w:rsid w:val="006F3D84"/>
    <w:rsid w:val="006F4684"/>
    <w:rsid w:val="006F58B5"/>
    <w:rsid w:val="007101BB"/>
    <w:rsid w:val="0071167F"/>
    <w:rsid w:val="00712085"/>
    <w:rsid w:val="007127B7"/>
    <w:rsid w:val="007232D9"/>
    <w:rsid w:val="007278AD"/>
    <w:rsid w:val="007416B6"/>
    <w:rsid w:val="00741ECE"/>
    <w:rsid w:val="00741EDC"/>
    <w:rsid w:val="00746D73"/>
    <w:rsid w:val="00746F48"/>
    <w:rsid w:val="00750514"/>
    <w:rsid w:val="00750CCC"/>
    <w:rsid w:val="0075404D"/>
    <w:rsid w:val="00756F4D"/>
    <w:rsid w:val="0076182A"/>
    <w:rsid w:val="007646E2"/>
    <w:rsid w:val="00767B7E"/>
    <w:rsid w:val="0077023B"/>
    <w:rsid w:val="007765B1"/>
    <w:rsid w:val="007770C3"/>
    <w:rsid w:val="007774DC"/>
    <w:rsid w:val="00781670"/>
    <w:rsid w:val="00784D24"/>
    <w:rsid w:val="007856CC"/>
    <w:rsid w:val="00785FBA"/>
    <w:rsid w:val="00786E4A"/>
    <w:rsid w:val="007875EB"/>
    <w:rsid w:val="00793335"/>
    <w:rsid w:val="007934CF"/>
    <w:rsid w:val="0079426B"/>
    <w:rsid w:val="0079427F"/>
    <w:rsid w:val="00795F4C"/>
    <w:rsid w:val="007A0496"/>
    <w:rsid w:val="007A2E41"/>
    <w:rsid w:val="007A603B"/>
    <w:rsid w:val="007B0029"/>
    <w:rsid w:val="007B2997"/>
    <w:rsid w:val="007B69AD"/>
    <w:rsid w:val="007C0554"/>
    <w:rsid w:val="007C07E0"/>
    <w:rsid w:val="007C1986"/>
    <w:rsid w:val="007C1B2C"/>
    <w:rsid w:val="007C5E6D"/>
    <w:rsid w:val="007D312A"/>
    <w:rsid w:val="007D3F19"/>
    <w:rsid w:val="007E23B0"/>
    <w:rsid w:val="007F1991"/>
    <w:rsid w:val="007F1BCA"/>
    <w:rsid w:val="007F2B79"/>
    <w:rsid w:val="007F2C2F"/>
    <w:rsid w:val="007F55FC"/>
    <w:rsid w:val="007F5665"/>
    <w:rsid w:val="00800112"/>
    <w:rsid w:val="00800B2A"/>
    <w:rsid w:val="00811143"/>
    <w:rsid w:val="00825349"/>
    <w:rsid w:val="008253BB"/>
    <w:rsid w:val="00831957"/>
    <w:rsid w:val="0083706E"/>
    <w:rsid w:val="008423A5"/>
    <w:rsid w:val="00842B70"/>
    <w:rsid w:val="00844560"/>
    <w:rsid w:val="00850625"/>
    <w:rsid w:val="00850E62"/>
    <w:rsid w:val="0085190B"/>
    <w:rsid w:val="00853718"/>
    <w:rsid w:val="00855221"/>
    <w:rsid w:val="00860645"/>
    <w:rsid w:val="008716C8"/>
    <w:rsid w:val="00871F71"/>
    <w:rsid w:val="00872F3F"/>
    <w:rsid w:val="008759BD"/>
    <w:rsid w:val="0088423C"/>
    <w:rsid w:val="00885AF4"/>
    <w:rsid w:val="008864B6"/>
    <w:rsid w:val="00892AAA"/>
    <w:rsid w:val="008939CD"/>
    <w:rsid w:val="008A19FC"/>
    <w:rsid w:val="008A1AC1"/>
    <w:rsid w:val="008A4ED1"/>
    <w:rsid w:val="008A7078"/>
    <w:rsid w:val="008B06FB"/>
    <w:rsid w:val="008B15A1"/>
    <w:rsid w:val="008B768C"/>
    <w:rsid w:val="008C4DB1"/>
    <w:rsid w:val="008C4EAF"/>
    <w:rsid w:val="008C5176"/>
    <w:rsid w:val="008C7FD0"/>
    <w:rsid w:val="008D053F"/>
    <w:rsid w:val="008D3BE8"/>
    <w:rsid w:val="008E1DE7"/>
    <w:rsid w:val="008E535D"/>
    <w:rsid w:val="008E5D49"/>
    <w:rsid w:val="008E707C"/>
    <w:rsid w:val="008E7AE5"/>
    <w:rsid w:val="008F0688"/>
    <w:rsid w:val="00900B08"/>
    <w:rsid w:val="00902155"/>
    <w:rsid w:val="00902FA3"/>
    <w:rsid w:val="00916D00"/>
    <w:rsid w:val="00917521"/>
    <w:rsid w:val="00923564"/>
    <w:rsid w:val="0092392E"/>
    <w:rsid w:val="00926050"/>
    <w:rsid w:val="00927402"/>
    <w:rsid w:val="009315F9"/>
    <w:rsid w:val="009318E5"/>
    <w:rsid w:val="00931A33"/>
    <w:rsid w:val="00932738"/>
    <w:rsid w:val="00937CA6"/>
    <w:rsid w:val="00946945"/>
    <w:rsid w:val="00951248"/>
    <w:rsid w:val="0095152F"/>
    <w:rsid w:val="009535D7"/>
    <w:rsid w:val="00954C49"/>
    <w:rsid w:val="00961252"/>
    <w:rsid w:val="00964A21"/>
    <w:rsid w:val="00966840"/>
    <w:rsid w:val="0097099F"/>
    <w:rsid w:val="00971997"/>
    <w:rsid w:val="00971FFC"/>
    <w:rsid w:val="00973562"/>
    <w:rsid w:val="00973899"/>
    <w:rsid w:val="0098660A"/>
    <w:rsid w:val="00986C11"/>
    <w:rsid w:val="00990E1E"/>
    <w:rsid w:val="009931C3"/>
    <w:rsid w:val="00994AAC"/>
    <w:rsid w:val="009A78B1"/>
    <w:rsid w:val="009B2C43"/>
    <w:rsid w:val="009B4EAE"/>
    <w:rsid w:val="009B7573"/>
    <w:rsid w:val="009C22F4"/>
    <w:rsid w:val="009C2E98"/>
    <w:rsid w:val="009D3447"/>
    <w:rsid w:val="009D39B3"/>
    <w:rsid w:val="009D4711"/>
    <w:rsid w:val="009D5E6C"/>
    <w:rsid w:val="009E7D41"/>
    <w:rsid w:val="009F1185"/>
    <w:rsid w:val="009F18CD"/>
    <w:rsid w:val="009F1C12"/>
    <w:rsid w:val="009F2A13"/>
    <w:rsid w:val="009F4130"/>
    <w:rsid w:val="009F4FF6"/>
    <w:rsid w:val="009F6DB3"/>
    <w:rsid w:val="00A04AD9"/>
    <w:rsid w:val="00A04EB0"/>
    <w:rsid w:val="00A06A29"/>
    <w:rsid w:val="00A12384"/>
    <w:rsid w:val="00A1287B"/>
    <w:rsid w:val="00A13CC1"/>
    <w:rsid w:val="00A16847"/>
    <w:rsid w:val="00A174C7"/>
    <w:rsid w:val="00A237D8"/>
    <w:rsid w:val="00A268C4"/>
    <w:rsid w:val="00A307CD"/>
    <w:rsid w:val="00A36958"/>
    <w:rsid w:val="00A36C13"/>
    <w:rsid w:val="00A40797"/>
    <w:rsid w:val="00A40A00"/>
    <w:rsid w:val="00A4142F"/>
    <w:rsid w:val="00A4343A"/>
    <w:rsid w:val="00A53D97"/>
    <w:rsid w:val="00A5414F"/>
    <w:rsid w:val="00A56DF2"/>
    <w:rsid w:val="00A6196D"/>
    <w:rsid w:val="00A629CE"/>
    <w:rsid w:val="00A6777F"/>
    <w:rsid w:val="00A67AB5"/>
    <w:rsid w:val="00A70526"/>
    <w:rsid w:val="00A728CE"/>
    <w:rsid w:val="00A73602"/>
    <w:rsid w:val="00A83B22"/>
    <w:rsid w:val="00A90CA8"/>
    <w:rsid w:val="00A91760"/>
    <w:rsid w:val="00A927D3"/>
    <w:rsid w:val="00A93B00"/>
    <w:rsid w:val="00A93C21"/>
    <w:rsid w:val="00A97C48"/>
    <w:rsid w:val="00AA0A72"/>
    <w:rsid w:val="00AA19B2"/>
    <w:rsid w:val="00AA6325"/>
    <w:rsid w:val="00AB407D"/>
    <w:rsid w:val="00AC3C6A"/>
    <w:rsid w:val="00AC4891"/>
    <w:rsid w:val="00AC5DFD"/>
    <w:rsid w:val="00AC709C"/>
    <w:rsid w:val="00AD0791"/>
    <w:rsid w:val="00AD5620"/>
    <w:rsid w:val="00AD7C1B"/>
    <w:rsid w:val="00AE0472"/>
    <w:rsid w:val="00AE16BA"/>
    <w:rsid w:val="00AE1EBE"/>
    <w:rsid w:val="00AE578D"/>
    <w:rsid w:val="00AF2021"/>
    <w:rsid w:val="00AF70CA"/>
    <w:rsid w:val="00AF7E9B"/>
    <w:rsid w:val="00B03C9D"/>
    <w:rsid w:val="00B04285"/>
    <w:rsid w:val="00B060AE"/>
    <w:rsid w:val="00B10517"/>
    <w:rsid w:val="00B14E76"/>
    <w:rsid w:val="00B161B8"/>
    <w:rsid w:val="00B17565"/>
    <w:rsid w:val="00B2048C"/>
    <w:rsid w:val="00B229DD"/>
    <w:rsid w:val="00B25E67"/>
    <w:rsid w:val="00B300B6"/>
    <w:rsid w:val="00B310B9"/>
    <w:rsid w:val="00B35F3F"/>
    <w:rsid w:val="00B36CBB"/>
    <w:rsid w:val="00B425E0"/>
    <w:rsid w:val="00B433EE"/>
    <w:rsid w:val="00B440AA"/>
    <w:rsid w:val="00B44B70"/>
    <w:rsid w:val="00B53C56"/>
    <w:rsid w:val="00B569B2"/>
    <w:rsid w:val="00B77EA6"/>
    <w:rsid w:val="00B81598"/>
    <w:rsid w:val="00B841F1"/>
    <w:rsid w:val="00B85951"/>
    <w:rsid w:val="00B944D6"/>
    <w:rsid w:val="00B965DE"/>
    <w:rsid w:val="00B96872"/>
    <w:rsid w:val="00BB0D19"/>
    <w:rsid w:val="00BB11A3"/>
    <w:rsid w:val="00BB4DF0"/>
    <w:rsid w:val="00BB5525"/>
    <w:rsid w:val="00BB5816"/>
    <w:rsid w:val="00BC0B84"/>
    <w:rsid w:val="00BC0D8D"/>
    <w:rsid w:val="00BC0E84"/>
    <w:rsid w:val="00BC289F"/>
    <w:rsid w:val="00BC5361"/>
    <w:rsid w:val="00BC5460"/>
    <w:rsid w:val="00BC6B50"/>
    <w:rsid w:val="00BD0E25"/>
    <w:rsid w:val="00BE11DD"/>
    <w:rsid w:val="00BE4E0F"/>
    <w:rsid w:val="00BE79B8"/>
    <w:rsid w:val="00BF27F4"/>
    <w:rsid w:val="00BF3980"/>
    <w:rsid w:val="00BF5BD6"/>
    <w:rsid w:val="00BF79CB"/>
    <w:rsid w:val="00C03E31"/>
    <w:rsid w:val="00C10E0B"/>
    <w:rsid w:val="00C11F77"/>
    <w:rsid w:val="00C2605E"/>
    <w:rsid w:val="00C275B2"/>
    <w:rsid w:val="00C33E72"/>
    <w:rsid w:val="00C354B2"/>
    <w:rsid w:val="00C35554"/>
    <w:rsid w:val="00C42709"/>
    <w:rsid w:val="00C45CC5"/>
    <w:rsid w:val="00C52461"/>
    <w:rsid w:val="00C533CC"/>
    <w:rsid w:val="00C5751C"/>
    <w:rsid w:val="00C61BFC"/>
    <w:rsid w:val="00C61C0D"/>
    <w:rsid w:val="00C62B85"/>
    <w:rsid w:val="00C65438"/>
    <w:rsid w:val="00C7507C"/>
    <w:rsid w:val="00C75BC1"/>
    <w:rsid w:val="00C80815"/>
    <w:rsid w:val="00C827E6"/>
    <w:rsid w:val="00C91CBB"/>
    <w:rsid w:val="00C963B3"/>
    <w:rsid w:val="00C965AE"/>
    <w:rsid w:val="00CB20E5"/>
    <w:rsid w:val="00CB390B"/>
    <w:rsid w:val="00CB56E0"/>
    <w:rsid w:val="00CC09B6"/>
    <w:rsid w:val="00CC666F"/>
    <w:rsid w:val="00CD1E3F"/>
    <w:rsid w:val="00CD301C"/>
    <w:rsid w:val="00CD7E2C"/>
    <w:rsid w:val="00CE1BB7"/>
    <w:rsid w:val="00CE44F6"/>
    <w:rsid w:val="00CE459D"/>
    <w:rsid w:val="00CE49DA"/>
    <w:rsid w:val="00CE7B61"/>
    <w:rsid w:val="00CF2B08"/>
    <w:rsid w:val="00D00095"/>
    <w:rsid w:val="00D00266"/>
    <w:rsid w:val="00D11D71"/>
    <w:rsid w:val="00D20620"/>
    <w:rsid w:val="00D208B1"/>
    <w:rsid w:val="00D26091"/>
    <w:rsid w:val="00D26B8C"/>
    <w:rsid w:val="00D279D4"/>
    <w:rsid w:val="00D34773"/>
    <w:rsid w:val="00D34E7C"/>
    <w:rsid w:val="00D35489"/>
    <w:rsid w:val="00D4003A"/>
    <w:rsid w:val="00D45521"/>
    <w:rsid w:val="00D51276"/>
    <w:rsid w:val="00D548A2"/>
    <w:rsid w:val="00D55CCE"/>
    <w:rsid w:val="00D608E9"/>
    <w:rsid w:val="00D7035F"/>
    <w:rsid w:val="00D71088"/>
    <w:rsid w:val="00D84FC5"/>
    <w:rsid w:val="00D86F36"/>
    <w:rsid w:val="00D94177"/>
    <w:rsid w:val="00DA65AC"/>
    <w:rsid w:val="00DB0A70"/>
    <w:rsid w:val="00DB0F51"/>
    <w:rsid w:val="00DB1913"/>
    <w:rsid w:val="00DB7C13"/>
    <w:rsid w:val="00DC410D"/>
    <w:rsid w:val="00DC68CA"/>
    <w:rsid w:val="00DC731B"/>
    <w:rsid w:val="00DC7CBA"/>
    <w:rsid w:val="00DD73B7"/>
    <w:rsid w:val="00DE3B24"/>
    <w:rsid w:val="00DE7D80"/>
    <w:rsid w:val="00DF03F1"/>
    <w:rsid w:val="00DF28BC"/>
    <w:rsid w:val="00DF34B9"/>
    <w:rsid w:val="00DF5FED"/>
    <w:rsid w:val="00E00A60"/>
    <w:rsid w:val="00E01053"/>
    <w:rsid w:val="00E0305B"/>
    <w:rsid w:val="00E07ACF"/>
    <w:rsid w:val="00E11EAD"/>
    <w:rsid w:val="00E1570F"/>
    <w:rsid w:val="00E21EEB"/>
    <w:rsid w:val="00E25296"/>
    <w:rsid w:val="00E25FB1"/>
    <w:rsid w:val="00E331A1"/>
    <w:rsid w:val="00E33202"/>
    <w:rsid w:val="00E336A9"/>
    <w:rsid w:val="00E46D1A"/>
    <w:rsid w:val="00E50624"/>
    <w:rsid w:val="00E568DF"/>
    <w:rsid w:val="00E62DBD"/>
    <w:rsid w:val="00E64269"/>
    <w:rsid w:val="00E64A04"/>
    <w:rsid w:val="00E70D3B"/>
    <w:rsid w:val="00E82267"/>
    <w:rsid w:val="00E93940"/>
    <w:rsid w:val="00E93AE1"/>
    <w:rsid w:val="00EA010F"/>
    <w:rsid w:val="00EA455A"/>
    <w:rsid w:val="00EA6C54"/>
    <w:rsid w:val="00EC32F1"/>
    <w:rsid w:val="00EC362A"/>
    <w:rsid w:val="00EC43F3"/>
    <w:rsid w:val="00EC6F1C"/>
    <w:rsid w:val="00EC7280"/>
    <w:rsid w:val="00EC798A"/>
    <w:rsid w:val="00ED1B63"/>
    <w:rsid w:val="00ED23DD"/>
    <w:rsid w:val="00ED3C1F"/>
    <w:rsid w:val="00ED4085"/>
    <w:rsid w:val="00ED420E"/>
    <w:rsid w:val="00EE2F57"/>
    <w:rsid w:val="00EF269E"/>
    <w:rsid w:val="00EF301A"/>
    <w:rsid w:val="00EF4C34"/>
    <w:rsid w:val="00EF77C6"/>
    <w:rsid w:val="00F021B7"/>
    <w:rsid w:val="00F05438"/>
    <w:rsid w:val="00F10599"/>
    <w:rsid w:val="00F12C74"/>
    <w:rsid w:val="00F1361C"/>
    <w:rsid w:val="00F13647"/>
    <w:rsid w:val="00F160C7"/>
    <w:rsid w:val="00F2112E"/>
    <w:rsid w:val="00F24C2E"/>
    <w:rsid w:val="00F34AF5"/>
    <w:rsid w:val="00F34B05"/>
    <w:rsid w:val="00F34E54"/>
    <w:rsid w:val="00F36D8F"/>
    <w:rsid w:val="00F417B1"/>
    <w:rsid w:val="00F47A81"/>
    <w:rsid w:val="00F51D7F"/>
    <w:rsid w:val="00F602DF"/>
    <w:rsid w:val="00F669A9"/>
    <w:rsid w:val="00F77130"/>
    <w:rsid w:val="00F81FD9"/>
    <w:rsid w:val="00F83305"/>
    <w:rsid w:val="00F841AA"/>
    <w:rsid w:val="00FA23E8"/>
    <w:rsid w:val="00FA68A9"/>
    <w:rsid w:val="00FB008B"/>
    <w:rsid w:val="00FB4E8F"/>
    <w:rsid w:val="00FB59F1"/>
    <w:rsid w:val="00FC6AC5"/>
    <w:rsid w:val="00FC77A9"/>
    <w:rsid w:val="00FD3654"/>
    <w:rsid w:val="00FD3CC1"/>
    <w:rsid w:val="00FE520C"/>
    <w:rsid w:val="00FE52DB"/>
    <w:rsid w:val="00FF0E98"/>
    <w:rsid w:val="00FF1E02"/>
    <w:rsid w:val="00FF30B4"/>
    <w:rsid w:val="00FF5011"/>
    <w:rsid w:val="10C055FF"/>
    <w:rsid w:val="16BB723D"/>
    <w:rsid w:val="240371BF"/>
    <w:rsid w:val="29FD04D3"/>
    <w:rsid w:val="319F7F4E"/>
    <w:rsid w:val="5D8B81B6"/>
    <w:rsid w:val="6F2F568E"/>
    <w:rsid w:val="7F7FC4A8"/>
    <w:rsid w:val="9FEB2D8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19"/>
    <w:qFormat/>
    <w:uiPriority w:val="99"/>
    <w:pPr>
      <w:keepNext/>
      <w:keepLines/>
      <w:spacing w:before="260" w:after="260" w:line="416" w:lineRule="auto"/>
      <w:outlineLvl w:val="2"/>
    </w:pPr>
    <w:rPr>
      <w:b/>
      <w:bCs/>
      <w:sz w:val="32"/>
      <w:szCs w:val="32"/>
    </w:rPr>
  </w:style>
  <w:style w:type="character" w:default="1" w:styleId="14">
    <w:name w:val="Default Paragraph Font"/>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5"/>
    <w:qFormat/>
    <w:uiPriority w:val="99"/>
    <w:pPr>
      <w:spacing w:beforeLines="30"/>
    </w:pPr>
    <w:rPr>
      <w:rFonts w:ascii="仿宋_GB2312" w:eastAsia="仿宋_GB2312"/>
      <w:kern w:val="0"/>
      <w:sz w:val="24"/>
      <w:szCs w:val="20"/>
    </w:rPr>
  </w:style>
  <w:style w:type="paragraph" w:styleId="6">
    <w:name w:val="toc 3"/>
    <w:basedOn w:val="1"/>
    <w:next w:val="1"/>
    <w:autoRedefine/>
    <w:qFormat/>
    <w:uiPriority w:val="99"/>
    <w:pPr>
      <w:tabs>
        <w:tab w:val="right" w:leader="dot" w:pos="8296"/>
      </w:tabs>
      <w:ind w:left="840" w:leftChars="400"/>
    </w:pPr>
  </w:style>
  <w:style w:type="paragraph" w:styleId="7">
    <w:name w:val="Balloon Text"/>
    <w:basedOn w:val="1"/>
    <w:link w:val="29"/>
    <w:semiHidden/>
    <w:qFormat/>
    <w:uiPriority w:val="99"/>
    <w:rPr>
      <w:sz w:val="18"/>
      <w:szCs w:val="18"/>
    </w:rPr>
  </w:style>
  <w:style w:type="paragraph" w:styleId="8">
    <w:name w:val="footer"/>
    <w:basedOn w:val="1"/>
    <w:link w:val="24"/>
    <w:qFormat/>
    <w:uiPriority w:val="99"/>
    <w:pPr>
      <w:tabs>
        <w:tab w:val="center" w:pos="4153"/>
        <w:tab w:val="right" w:pos="8306"/>
      </w:tabs>
      <w:snapToGrid w:val="0"/>
      <w:jc w:val="left"/>
    </w:pPr>
    <w:rPr>
      <w:rFonts w:ascii="Calibri" w:hAnsi="Calibri"/>
      <w:kern w:val="0"/>
      <w:sz w:val="18"/>
      <w:szCs w:val="20"/>
    </w:rPr>
  </w:style>
  <w:style w:type="paragraph" w:styleId="9">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0">
    <w:name w:val="toc 1"/>
    <w:basedOn w:val="1"/>
    <w:next w:val="1"/>
    <w:autoRedefine/>
    <w:qFormat/>
    <w:uiPriority w:val="99"/>
    <w:pPr>
      <w:tabs>
        <w:tab w:val="right" w:leader="dot" w:pos="8296"/>
      </w:tabs>
      <w:spacing w:before="93"/>
      <w:jc w:val="center"/>
    </w:pPr>
    <w:rPr>
      <w:rFonts w:ascii="仿宋" w:hAnsi="仿宋" w:eastAsia="仿宋"/>
      <w:sz w:val="28"/>
      <w:szCs w:val="28"/>
    </w:rPr>
  </w:style>
  <w:style w:type="paragraph" w:styleId="11">
    <w:name w:val="toc 2"/>
    <w:basedOn w:val="1"/>
    <w:next w:val="1"/>
    <w:autoRedefine/>
    <w:qFormat/>
    <w:uiPriority w:val="99"/>
    <w:pPr>
      <w:tabs>
        <w:tab w:val="right" w:leader="dot" w:pos="8296"/>
      </w:tabs>
      <w:ind w:left="420" w:leftChars="200"/>
    </w:pPr>
    <w:rPr>
      <w:rFonts w:ascii="仿宋" w:eastAsia="仿宋"/>
      <w:bCs/>
      <w:sz w:val="28"/>
      <w:szCs w:val="28"/>
    </w:rPr>
  </w:style>
  <w:style w:type="paragraph" w:styleId="1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5">
    <w:name w:val="Strong"/>
    <w:basedOn w:val="14"/>
    <w:qFormat/>
    <w:uiPriority w:val="99"/>
    <w:rPr>
      <w:rFonts w:cs="Times New Roman"/>
      <w:b/>
    </w:rPr>
  </w:style>
  <w:style w:type="character" w:styleId="16">
    <w:name w:val="Hyperlink"/>
    <w:basedOn w:val="14"/>
    <w:qFormat/>
    <w:uiPriority w:val="99"/>
    <w:rPr>
      <w:rFonts w:cs="Times New Roman"/>
      <w:color w:val="0000FF"/>
      <w:u w:val="single"/>
    </w:rPr>
  </w:style>
  <w:style w:type="character" w:customStyle="1" w:styleId="17">
    <w:name w:val="标题 1 Char"/>
    <w:basedOn w:val="14"/>
    <w:link w:val="2"/>
    <w:qFormat/>
    <w:locked/>
    <w:uiPriority w:val="99"/>
    <w:rPr>
      <w:rFonts w:ascii="Times New Roman" w:hAnsi="Times New Roman" w:cs="Times New Roman"/>
      <w:b/>
      <w:bCs/>
      <w:kern w:val="44"/>
      <w:sz w:val="44"/>
      <w:szCs w:val="44"/>
    </w:rPr>
  </w:style>
  <w:style w:type="character" w:customStyle="1" w:styleId="18">
    <w:name w:val="标题 2 Char"/>
    <w:basedOn w:val="14"/>
    <w:link w:val="3"/>
    <w:qFormat/>
    <w:locked/>
    <w:uiPriority w:val="99"/>
    <w:rPr>
      <w:rFonts w:ascii="Cambria" w:hAnsi="Cambria" w:eastAsia="宋体" w:cs="Times New Roman"/>
      <w:b/>
      <w:bCs/>
      <w:kern w:val="2"/>
      <w:sz w:val="32"/>
      <w:szCs w:val="32"/>
    </w:rPr>
  </w:style>
  <w:style w:type="character" w:customStyle="1" w:styleId="19">
    <w:name w:val="标题 3 Char"/>
    <w:basedOn w:val="14"/>
    <w:link w:val="4"/>
    <w:qFormat/>
    <w:locked/>
    <w:uiPriority w:val="99"/>
    <w:rPr>
      <w:rFonts w:ascii="Times New Roman" w:hAnsi="Times New Roman" w:cs="Times New Roman"/>
      <w:b/>
      <w:bCs/>
      <w:kern w:val="2"/>
      <w:sz w:val="32"/>
      <w:szCs w:val="32"/>
    </w:rPr>
  </w:style>
  <w:style w:type="character" w:customStyle="1" w:styleId="20">
    <w:name w:val="Body Text Char"/>
    <w:basedOn w:val="14"/>
    <w:link w:val="5"/>
    <w:semiHidden/>
    <w:qFormat/>
    <w:locked/>
    <w:uiPriority w:val="99"/>
    <w:rPr>
      <w:rFonts w:ascii="Times New Roman" w:hAnsi="Times New Roman" w:cs="Times New Roman"/>
      <w:sz w:val="24"/>
      <w:szCs w:val="24"/>
    </w:rPr>
  </w:style>
  <w:style w:type="character" w:customStyle="1" w:styleId="21">
    <w:name w:val="Footer Char"/>
    <w:basedOn w:val="14"/>
    <w:link w:val="8"/>
    <w:semiHidden/>
    <w:qFormat/>
    <w:locked/>
    <w:uiPriority w:val="99"/>
    <w:rPr>
      <w:rFonts w:ascii="Times New Roman" w:hAnsi="Times New Roman" w:cs="Times New Roman"/>
      <w:sz w:val="18"/>
      <w:szCs w:val="18"/>
    </w:rPr>
  </w:style>
  <w:style w:type="character" w:customStyle="1" w:styleId="22">
    <w:name w:val="Header Char"/>
    <w:basedOn w:val="14"/>
    <w:link w:val="9"/>
    <w:semiHidden/>
    <w:qFormat/>
    <w:locked/>
    <w:uiPriority w:val="99"/>
    <w:rPr>
      <w:rFonts w:ascii="Times New Roman" w:hAnsi="Times New Roman" w:cs="Times New Roman"/>
      <w:sz w:val="18"/>
      <w:szCs w:val="18"/>
    </w:rPr>
  </w:style>
  <w:style w:type="character" w:customStyle="1" w:styleId="23">
    <w:name w:val="页眉 Char"/>
    <w:link w:val="9"/>
    <w:semiHidden/>
    <w:qFormat/>
    <w:locked/>
    <w:uiPriority w:val="99"/>
    <w:rPr>
      <w:sz w:val="18"/>
    </w:rPr>
  </w:style>
  <w:style w:type="character" w:customStyle="1" w:styleId="24">
    <w:name w:val="页脚 Char"/>
    <w:link w:val="8"/>
    <w:qFormat/>
    <w:locked/>
    <w:uiPriority w:val="99"/>
    <w:rPr>
      <w:sz w:val="18"/>
    </w:rPr>
  </w:style>
  <w:style w:type="character" w:customStyle="1" w:styleId="25">
    <w:name w:val="正文文本 Char"/>
    <w:link w:val="5"/>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99"/>
    <w:pPr>
      <w:ind w:firstLine="420" w:firstLineChars="200"/>
    </w:pPr>
  </w:style>
  <w:style w:type="paragraph" w:customStyle="1" w:styleId="28">
    <w:name w:val="TOC Heading"/>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character" w:customStyle="1" w:styleId="29">
    <w:name w:val="批注框文本 Char"/>
    <w:basedOn w:val="14"/>
    <w:link w:val="7"/>
    <w:semiHidden/>
    <w:qFormat/>
    <w:locked/>
    <w:uiPriority w:val="99"/>
    <w:rPr>
      <w:rFonts w:ascii="Times New Roman" w:hAnsi="Times New Roman" w:cs="Times New Roman"/>
      <w:kern w:val="2"/>
      <w:sz w:val="18"/>
      <w:szCs w:val="18"/>
    </w:rPr>
  </w:style>
  <w:style w:type="character" w:customStyle="1" w:styleId="30">
    <w:name w:val="fontstyle01"/>
    <w:basedOn w:val="14"/>
    <w:qFormat/>
    <w:uiPriority w:val="0"/>
    <w:rPr>
      <w:rFonts w:hint="eastAsia" w:ascii="仿宋_GB2312" w:eastAsia="仿宋_GB2312"/>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Sheet1!$B$1</c:f>
              <c:strCache>
                <c:ptCount val="1"/>
                <c:pt idx="0">
                  <c:v>收支决算总计变动情况图</c:v>
                </c:pt>
              </c:strCache>
            </c:strRef>
          </c:tx>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2019年收入</c:v>
                </c:pt>
                <c:pt idx="1">
                  <c:v>2019年支出</c:v>
                </c:pt>
                <c:pt idx="2">
                  <c:v>2020年收入</c:v>
                </c:pt>
                <c:pt idx="3">
                  <c:v>2020年支出</c:v>
                </c:pt>
              </c:strCache>
            </c:strRef>
          </c:cat>
          <c:val>
            <c:numRef>
              <c:f>Sheet1!$B$2:$B$5</c:f>
              <c:numCache>
                <c:formatCode>General</c:formatCode>
                <c:ptCount val="4"/>
                <c:pt idx="0">
                  <c:v>924.959999999999</c:v>
                </c:pt>
                <c:pt idx="1">
                  <c:v>972.14</c:v>
                </c:pt>
                <c:pt idx="2">
                  <c:v>324.66</c:v>
                </c:pt>
                <c:pt idx="3">
                  <c:v>324.66</c:v>
                </c:pt>
              </c:numCache>
            </c:numRef>
          </c:val>
        </c:ser>
        <c:dLbls>
          <c:showLegendKey val="0"/>
          <c:showVal val="1"/>
          <c:showCatName val="0"/>
          <c:showSerName val="0"/>
          <c:showPercent val="0"/>
          <c:showBubbleSize val="0"/>
        </c:dLbls>
        <c:gapWidth val="150"/>
        <c:overlap val="100"/>
        <c:axId val="77045760"/>
        <c:axId val="98315264"/>
      </c:barChart>
      <c:catAx>
        <c:axId val="7704576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8315264"/>
        <c:crosses val="autoZero"/>
        <c:auto val="1"/>
        <c:lblAlgn val="ctr"/>
        <c:lblOffset val="100"/>
        <c:noMultiLvlLbl val="0"/>
      </c:catAx>
      <c:valAx>
        <c:axId val="9831526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7045760"/>
        <c:crosses val="autoZero"/>
        <c:crossBetween val="between"/>
      </c:valAx>
      <c:spPr>
        <a:solidFill>
          <a:schemeClr val="bg1"/>
        </a:solid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5f50b1c2-1357-4e1d-bd75-d73f4ce79034}"/>
      </c:ext>
    </c:extLst>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explosion val="0"/>
          <c:dPt>
            <c:idx val="0"/>
            <c:bubble3D val="0"/>
          </c:dPt>
          <c:dPt>
            <c:idx val="1"/>
            <c:bubble3D val="0"/>
          </c:dPt>
          <c:dLbls>
            <c:dLbl>
              <c:idx val="0"/>
              <c:layout/>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1"/>
              <c:showPercent val="1"/>
              <c:showBubbleSize val="0"/>
              <c:extLst>
                <c:ext xmlns:c15="http://schemas.microsoft.com/office/drawing/2012/chart" uri="{CE6537A1-D6FC-4f65-9D91-7224C49458BB}"/>
              </c:extLst>
            </c:dLbl>
            <c:dLbl>
              <c:idx val="1"/>
              <c:layout/>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1"/>
              <c:showPercent val="1"/>
              <c:showBubbleSize val="0"/>
              <c:extLst>
                <c:ext xmlns:c15="http://schemas.microsoft.com/office/drawing/2012/chart" uri="{CE6537A1-D6FC-4f65-9D91-7224C49458BB}"/>
              </c:extLst>
            </c:dLbl>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一般公共预算财政拨款收入324.66万元</c:v>
                </c:pt>
                <c:pt idx="1">
                  <c:v>政府性基金预算财政拨款收入0万元</c:v>
                </c:pt>
              </c:strCache>
            </c:strRef>
          </c:cat>
          <c:val>
            <c:numRef>
              <c:f>Sheet1!$B$2:$B$3</c:f>
              <c:numCache>
                <c:formatCode>General</c:formatCode>
                <c:ptCount val="2"/>
                <c:pt idx="0">
                  <c:v>324.66</c:v>
                </c:pt>
                <c:pt idx="1">
                  <c:v>0</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e3146458-910a-4de8-9012-b23d9add82e1}"/>
      </c:ext>
    </c:extLst>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explosion val="0"/>
          <c:dPt>
            <c:idx val="0"/>
            <c:bubble3D val="0"/>
          </c:dPt>
          <c:dPt>
            <c:idx val="1"/>
            <c:bubble3D val="0"/>
          </c:dPt>
          <c:dLbls>
            <c:dLbl>
              <c:idx val="0"/>
              <c:layout/>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extLst>
            </c:dLbl>
            <c:dLbl>
              <c:idx val="1"/>
              <c:layout/>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基本支出217.28万元</c:v>
                </c:pt>
                <c:pt idx="1">
                  <c:v>项目支出107.38万元</c:v>
                </c:pt>
              </c:strCache>
            </c:strRef>
          </c:cat>
          <c:val>
            <c:numRef>
              <c:f>Sheet1!$B$2:$B$3</c:f>
              <c:numCache>
                <c:formatCode>General</c:formatCode>
                <c:ptCount val="2"/>
                <c:pt idx="0">
                  <c:v>217.28</c:v>
                </c:pt>
                <c:pt idx="1">
                  <c:v>107.38</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5c199527-bcea-4338-9de0-574ca93a5cab}"/>
      </c:ext>
    </c:extLst>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Sheet1!$B$1</c:f>
              <c:strCache>
                <c:ptCount val="1"/>
                <c:pt idx="0">
                  <c:v>财政拨款收支决算总计变动情况</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2019年财政拨款收入</c:v>
                </c:pt>
                <c:pt idx="1">
                  <c:v>2019年财政拨款支出</c:v>
                </c:pt>
                <c:pt idx="2">
                  <c:v>2020年财政拨款收入</c:v>
                </c:pt>
                <c:pt idx="3">
                  <c:v>2020年财政拨款支出</c:v>
                </c:pt>
              </c:strCache>
            </c:strRef>
          </c:cat>
          <c:val>
            <c:numRef>
              <c:f>Sheet1!$B$2:$B$5</c:f>
              <c:numCache>
                <c:formatCode>General</c:formatCode>
                <c:ptCount val="4"/>
                <c:pt idx="0">
                  <c:v>924.959999999999</c:v>
                </c:pt>
                <c:pt idx="1">
                  <c:v>972.14</c:v>
                </c:pt>
                <c:pt idx="2">
                  <c:v>324.66</c:v>
                </c:pt>
                <c:pt idx="3">
                  <c:v>324.66</c:v>
                </c:pt>
              </c:numCache>
            </c:numRef>
          </c:val>
        </c:ser>
        <c:dLbls>
          <c:showLegendKey val="0"/>
          <c:showVal val="1"/>
          <c:showCatName val="0"/>
          <c:showSerName val="0"/>
          <c:showPercent val="0"/>
          <c:showBubbleSize val="0"/>
        </c:dLbls>
        <c:gapWidth val="150"/>
        <c:overlap val="100"/>
        <c:axId val="96740096"/>
        <c:axId val="96741632"/>
      </c:barChart>
      <c:catAx>
        <c:axId val="96740096"/>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6741632"/>
        <c:crosses val="autoZero"/>
        <c:auto val="1"/>
        <c:lblAlgn val="ctr"/>
        <c:lblOffset val="100"/>
        <c:noMultiLvlLbl val="0"/>
      </c:catAx>
      <c:valAx>
        <c:axId val="9674163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6740096"/>
        <c:crosses val="autoZero"/>
        <c:crossBetween val="between"/>
      </c:valAx>
      <c:spPr>
        <a:solidFill>
          <a:schemeClr val="bg1"/>
        </a:solid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556637db-600f-4eb0-b703-f296d51aeaea}"/>
      </c:ext>
    </c:extLst>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Sheet1!$B$1</c:f>
              <c:strCache>
                <c:ptCount val="1"/>
                <c:pt idx="0">
                  <c:v>一般公共预算财政拨款支出决算变动情况</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2019年一般公共预算财政拨款支出</c:v>
                </c:pt>
                <c:pt idx="1">
                  <c:v>2020年一般公共预算财政拨款支出</c:v>
                </c:pt>
              </c:strCache>
            </c:strRef>
          </c:cat>
          <c:val>
            <c:numRef>
              <c:f>Sheet1!$B$2:$B$3</c:f>
              <c:numCache>
                <c:formatCode>General</c:formatCode>
                <c:ptCount val="2"/>
                <c:pt idx="0">
                  <c:v>253.35</c:v>
                </c:pt>
                <c:pt idx="1">
                  <c:v>324.66</c:v>
                </c:pt>
              </c:numCache>
            </c:numRef>
          </c:val>
        </c:ser>
        <c:dLbls>
          <c:showLegendKey val="0"/>
          <c:showVal val="1"/>
          <c:showCatName val="0"/>
          <c:showSerName val="0"/>
          <c:showPercent val="0"/>
          <c:showBubbleSize val="0"/>
        </c:dLbls>
        <c:gapWidth val="150"/>
        <c:overlap val="100"/>
        <c:axId val="120699520"/>
        <c:axId val="120701312"/>
      </c:barChart>
      <c:catAx>
        <c:axId val="12069952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0701312"/>
        <c:crosses val="autoZero"/>
        <c:auto val="1"/>
        <c:lblAlgn val="ctr"/>
        <c:lblOffset val="100"/>
        <c:noMultiLvlLbl val="0"/>
      </c:catAx>
      <c:valAx>
        <c:axId val="12070131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0699520"/>
        <c:crosses val="autoZero"/>
        <c:crossBetween val="between"/>
      </c:valAx>
      <c:spPr>
        <a:solidFill>
          <a:schemeClr val="bg1"/>
        </a:solid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fc0fe6b0-8673-4595-aefe-d5c3b779bea4}"/>
      </c:ext>
    </c:extLst>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一般公共预算财政拨款支出决算结构图</c:v>
                </c:pt>
              </c:strCache>
            </c:strRef>
          </c:tx>
          <c:explosion val="0"/>
          <c:dPt>
            <c:idx val="0"/>
            <c:bubble3D val="0"/>
          </c:dPt>
          <c:dPt>
            <c:idx val="1"/>
            <c:bubble3D val="0"/>
          </c:dPt>
          <c:dPt>
            <c:idx val="2"/>
            <c:bubble3D val="0"/>
          </c:dPt>
          <c:dPt>
            <c:idx val="3"/>
            <c:bubble3D val="0"/>
          </c:dPt>
          <c:dLbls>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Sheet1!$A$2:$A$5</c:f>
              <c:strCache>
                <c:ptCount val="4"/>
                <c:pt idx="0">
                  <c:v>一般公共服务支出275.82万元</c:v>
                </c:pt>
                <c:pt idx="1">
                  <c:v>社会保障和就业支出15.28万元</c:v>
                </c:pt>
                <c:pt idx="2">
                  <c:v>卫生健康支出12.79万元</c:v>
                </c:pt>
                <c:pt idx="3">
                  <c:v>住房保障支出20.77万元</c:v>
                </c:pt>
              </c:strCache>
            </c:strRef>
          </c:cat>
          <c:val>
            <c:numRef>
              <c:f>Sheet1!$B$2:$B$5</c:f>
              <c:numCache>
                <c:formatCode>General</c:formatCode>
                <c:ptCount val="4"/>
                <c:pt idx="0">
                  <c:v>275.82</c:v>
                </c:pt>
                <c:pt idx="1">
                  <c:v>15.28</c:v>
                </c:pt>
                <c:pt idx="2">
                  <c:v>12.79</c:v>
                </c:pt>
                <c:pt idx="3">
                  <c:v>20.77</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c1f27c74-60c4-4a41-ab87-153f237b7773}"/>
      </c:ext>
    </c:extLst>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B08CBF44-76F1-421E-810D-13C4C9F066B7}">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40</Pages>
  <Words>2680</Words>
  <Characters>15276</Characters>
  <Lines>127</Lines>
  <Paragraphs>35</Paragraphs>
  <TotalTime>1340</TotalTime>
  <ScaleCrop>false</ScaleCrop>
  <LinksUpToDate>false</LinksUpToDate>
  <CharactersWithSpaces>17921</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2020-09-02T18:41:00Z</dcterms:created>
  <dc:creator>张彬茜</dc:creator>
  <cp:lastModifiedBy> 回甘</cp:lastModifiedBy>
  <cp:lastPrinted>2020-09-03T15:16:00Z</cp:lastPrinted>
  <dcterms:modified xsi:type="dcterms:W3CDTF">2026-08-19T08:28:20Z</dcterms:modified>
  <dc:title>四川省***</dc:title>
  <cp:revision>151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B8783E56B81EF77182F8846A139FE472_42</vt:lpwstr>
  </property>
</Properties>
</file>