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8BAE06">
      <w:pPr>
        <w:jc w:val="center"/>
        <w:outlineLvl w:val="0"/>
        <w:rPr>
          <w:rFonts w:eastAsia="方正小标宋简体"/>
          <w:color w:val="000000"/>
          <w:sz w:val="72"/>
          <w:szCs w:val="72"/>
        </w:rPr>
      </w:pPr>
      <w:bookmarkStart w:id="0" w:name="_Toc15306267"/>
    </w:p>
    <w:p w14:paraId="4996D7A9">
      <w:pPr>
        <w:jc w:val="center"/>
        <w:outlineLvl w:val="0"/>
        <w:rPr>
          <w:rFonts w:eastAsia="方正小标宋简体"/>
          <w:color w:val="000000"/>
          <w:sz w:val="72"/>
          <w:szCs w:val="72"/>
        </w:rPr>
      </w:pPr>
    </w:p>
    <w:p w14:paraId="2BEC2E40">
      <w:pPr>
        <w:jc w:val="center"/>
        <w:outlineLvl w:val="0"/>
        <w:rPr>
          <w:rFonts w:eastAsia="方正小标宋简体"/>
          <w:color w:val="000000"/>
          <w:sz w:val="72"/>
          <w:szCs w:val="72"/>
        </w:rPr>
      </w:pPr>
    </w:p>
    <w:p w14:paraId="4C335B79">
      <w:pPr>
        <w:jc w:val="center"/>
        <w:outlineLvl w:val="0"/>
        <w:rPr>
          <w:rFonts w:eastAsia="方正小标宋简体"/>
          <w:color w:val="000000"/>
          <w:sz w:val="72"/>
          <w:szCs w:val="72"/>
        </w:rPr>
      </w:pPr>
    </w:p>
    <w:p w14:paraId="67FF1328">
      <w:pPr>
        <w:adjustRightInd w:val="0"/>
        <w:snapToGrid w:val="0"/>
        <w:jc w:val="center"/>
        <w:outlineLvl w:val="0"/>
        <w:rPr>
          <w:rFonts w:eastAsia="方正小标宋简体"/>
          <w:color w:val="000000"/>
          <w:sz w:val="72"/>
          <w:szCs w:val="72"/>
        </w:rPr>
      </w:pPr>
      <w:bookmarkStart w:id="1" w:name="_Toc15377193"/>
      <w:bookmarkStart w:id="2" w:name="_Toc15396597"/>
      <w:bookmarkStart w:id="3" w:name="_Toc15396475"/>
      <w:bookmarkStart w:id="4" w:name="_Toc15377425"/>
      <w:bookmarkStart w:id="5" w:name="_Toc15378441"/>
      <w:r>
        <w:rPr>
          <w:rFonts w:eastAsia="黑体"/>
          <w:b/>
          <w:color w:val="000000"/>
          <w:sz w:val="72"/>
          <w:szCs w:val="72"/>
        </w:rPr>
        <w:t>2019</w:t>
      </w:r>
      <w:r>
        <w:rPr>
          <w:rFonts w:eastAsia="方正小标宋简体"/>
          <w:color w:val="000000"/>
          <w:sz w:val="72"/>
          <w:szCs w:val="72"/>
        </w:rPr>
        <w:t>年度</w:t>
      </w:r>
      <w:bookmarkEnd w:id="1"/>
      <w:bookmarkEnd w:id="2"/>
      <w:bookmarkEnd w:id="3"/>
      <w:bookmarkEnd w:id="4"/>
      <w:bookmarkEnd w:id="5"/>
    </w:p>
    <w:bookmarkEnd w:id="0"/>
    <w:p w14:paraId="4BAF5DEC">
      <w:pPr>
        <w:adjustRightInd w:val="0"/>
        <w:snapToGrid w:val="0"/>
        <w:jc w:val="center"/>
        <w:outlineLvl w:val="0"/>
        <w:rPr>
          <w:rFonts w:eastAsia="方正小标宋简体"/>
          <w:color w:val="000000"/>
          <w:sz w:val="72"/>
          <w:szCs w:val="72"/>
        </w:rPr>
      </w:pPr>
      <w:bookmarkStart w:id="6" w:name="_Toc15378442"/>
      <w:bookmarkStart w:id="7" w:name="_Toc15377426"/>
      <w:bookmarkStart w:id="8" w:name="_Toc47519987"/>
      <w:bookmarkStart w:id="9" w:name="_Toc15396476"/>
      <w:bookmarkStart w:id="10" w:name="_Toc15377194"/>
      <w:bookmarkStart w:id="11" w:name="_Toc15396598"/>
      <w:r>
        <w:rPr>
          <w:rFonts w:eastAsia="方正小标宋简体"/>
          <w:color w:val="000000"/>
          <w:sz w:val="72"/>
          <w:szCs w:val="72"/>
        </w:rPr>
        <w:t>四川省米易县</w:t>
      </w:r>
      <w:bookmarkStart w:id="12" w:name="_Toc15306268"/>
      <w:r>
        <w:rPr>
          <w:rFonts w:eastAsia="方正小标宋简体"/>
          <w:color w:val="000000"/>
          <w:sz w:val="72"/>
          <w:szCs w:val="72"/>
        </w:rPr>
        <w:t>图书馆决算</w:t>
      </w:r>
      <w:bookmarkEnd w:id="6"/>
      <w:bookmarkEnd w:id="7"/>
      <w:bookmarkEnd w:id="8"/>
      <w:bookmarkEnd w:id="9"/>
      <w:bookmarkEnd w:id="10"/>
      <w:bookmarkEnd w:id="11"/>
      <w:bookmarkEnd w:id="12"/>
    </w:p>
    <w:p w14:paraId="0A53D3E9">
      <w:pPr>
        <w:adjustRightInd w:val="0"/>
        <w:snapToGrid w:val="0"/>
        <w:jc w:val="center"/>
        <w:outlineLvl w:val="0"/>
        <w:rPr>
          <w:rFonts w:eastAsia="方正小标宋简体"/>
          <w:color w:val="000000"/>
          <w:sz w:val="52"/>
          <w:szCs w:val="52"/>
        </w:rPr>
      </w:pPr>
      <w:r>
        <w:rPr>
          <w:rFonts w:eastAsia="方正小标宋简体"/>
          <w:color w:val="000000"/>
          <w:sz w:val="52"/>
          <w:szCs w:val="52"/>
        </w:rPr>
        <w:t xml:space="preserve"> </w:t>
      </w:r>
    </w:p>
    <w:p w14:paraId="2D89E0E9">
      <w:pPr>
        <w:widowControl/>
        <w:jc w:val="center"/>
        <w:rPr>
          <w:rFonts w:eastAsia="黑体"/>
          <w:color w:val="000000"/>
          <w:sz w:val="48"/>
          <w:szCs w:val="48"/>
        </w:rPr>
      </w:pPr>
      <w:r>
        <w:rPr>
          <w:rFonts w:eastAsia="方正小标宋简体"/>
          <w:color w:val="000000"/>
          <w:sz w:val="36"/>
          <w:szCs w:val="36"/>
        </w:rPr>
        <w:br w:type="page"/>
      </w:r>
      <w:r>
        <w:rPr>
          <w:rFonts w:eastAsia="黑体"/>
          <w:color w:val="000000"/>
          <w:sz w:val="48"/>
          <w:szCs w:val="48"/>
        </w:rPr>
        <w:t>目录</w:t>
      </w:r>
    </w:p>
    <w:p w14:paraId="6436D68A">
      <w:pPr>
        <w:widowControl/>
        <w:jc w:val="center"/>
        <w:rPr>
          <w:rFonts w:eastAsia="黑体"/>
          <w:sz w:val="28"/>
          <w:szCs w:val="28"/>
        </w:rPr>
      </w:pPr>
    </w:p>
    <w:p w14:paraId="75BA437D">
      <w:pPr>
        <w:pStyle w:val="10"/>
        <w:rPr>
          <w:rFonts w:ascii="Times New Roman" w:hAnsi="Times New Roman"/>
        </w:rPr>
      </w:pPr>
      <w:r>
        <w:rPr>
          <w:rFonts w:ascii="Times New Roman" w:hAnsi="Times New Roman"/>
        </w:rPr>
        <w:t>公开时间：2020年9月3日</w:t>
      </w:r>
    </w:p>
    <w:p w14:paraId="0B5862B3"/>
    <w:p w14:paraId="594A601F">
      <w:pPr>
        <w:pStyle w:val="10"/>
        <w:adjustRightInd w:val="0"/>
        <w:snapToGrid w:val="0"/>
        <w:spacing w:before="0"/>
        <w:jc w:val="left"/>
        <w:rPr>
          <w:rFonts w:ascii="Times New Roman" w:hAnsi="Times New Roman"/>
          <w:sz w:val="24"/>
          <w:szCs w:val="24"/>
        </w:rPr>
      </w:pPr>
      <w:r>
        <w:rPr>
          <w:rFonts w:ascii="Times New Roman" w:hAnsi="Times New Roman"/>
          <w:sz w:val="24"/>
        </w:rPr>
        <w:t>第一部分 部门概况</w:t>
      </w:r>
    </w:p>
    <w:p w14:paraId="7909CCE8">
      <w:pPr>
        <w:pStyle w:val="11"/>
        <w:adjustRightInd w:val="0"/>
        <w:snapToGrid w:val="0"/>
        <w:jc w:val="left"/>
        <w:rPr>
          <w:rFonts w:eastAsia="仿宋"/>
          <w:sz w:val="24"/>
        </w:rPr>
      </w:pPr>
      <w:r>
        <w:rPr>
          <w:sz w:val="24"/>
        </w:rPr>
        <w:t>一、基本职能及主要工作</w:t>
      </w:r>
    </w:p>
    <w:p w14:paraId="1B1F9C35">
      <w:pPr>
        <w:pStyle w:val="11"/>
        <w:adjustRightInd w:val="0"/>
        <w:snapToGrid w:val="0"/>
        <w:jc w:val="left"/>
        <w:rPr>
          <w:rFonts w:eastAsia="仿宋"/>
          <w:sz w:val="24"/>
        </w:rPr>
      </w:pPr>
      <w:r>
        <w:rPr>
          <w:sz w:val="24"/>
        </w:rPr>
        <w:t>二、机构设置</w:t>
      </w:r>
    </w:p>
    <w:p w14:paraId="5EACE1A5">
      <w:pPr>
        <w:pStyle w:val="10"/>
        <w:adjustRightInd w:val="0"/>
        <w:snapToGrid w:val="0"/>
        <w:spacing w:before="0"/>
        <w:jc w:val="left"/>
        <w:rPr>
          <w:rFonts w:ascii="Times New Roman" w:hAnsi="Times New Roman"/>
          <w:sz w:val="24"/>
          <w:szCs w:val="24"/>
        </w:rPr>
      </w:pPr>
      <w:r>
        <w:rPr>
          <w:rFonts w:ascii="Times New Roman" w:hAnsi="Times New Roman"/>
          <w:sz w:val="24"/>
        </w:rPr>
        <w:t>第二部分度部门决算情况说明</w:t>
      </w:r>
    </w:p>
    <w:p w14:paraId="6678BB9D">
      <w:pPr>
        <w:pStyle w:val="11"/>
        <w:adjustRightInd w:val="0"/>
        <w:snapToGrid w:val="0"/>
        <w:jc w:val="left"/>
        <w:rPr>
          <w:rFonts w:eastAsia="仿宋"/>
          <w:sz w:val="24"/>
        </w:rPr>
      </w:pPr>
      <w:r>
        <w:rPr>
          <w:sz w:val="24"/>
        </w:rPr>
        <w:t>一、收入支出决算总体情况说明</w:t>
      </w:r>
    </w:p>
    <w:p w14:paraId="41724299">
      <w:pPr>
        <w:pStyle w:val="11"/>
        <w:adjustRightInd w:val="0"/>
        <w:snapToGrid w:val="0"/>
        <w:jc w:val="left"/>
        <w:rPr>
          <w:rFonts w:eastAsia="仿宋"/>
          <w:sz w:val="24"/>
        </w:rPr>
      </w:pPr>
      <w:r>
        <w:rPr>
          <w:sz w:val="24"/>
        </w:rPr>
        <w:t>二、收入决算情况说明</w:t>
      </w:r>
    </w:p>
    <w:p w14:paraId="73AD9088">
      <w:pPr>
        <w:pStyle w:val="11"/>
        <w:adjustRightInd w:val="0"/>
        <w:snapToGrid w:val="0"/>
        <w:jc w:val="left"/>
        <w:rPr>
          <w:rFonts w:eastAsia="仿宋"/>
          <w:sz w:val="24"/>
        </w:rPr>
      </w:pPr>
      <w:r>
        <w:rPr>
          <w:sz w:val="24"/>
        </w:rPr>
        <w:t>三、支出决算情况说明</w:t>
      </w:r>
    </w:p>
    <w:p w14:paraId="165AAE83">
      <w:pPr>
        <w:pStyle w:val="11"/>
        <w:adjustRightInd w:val="0"/>
        <w:snapToGrid w:val="0"/>
        <w:jc w:val="left"/>
        <w:rPr>
          <w:rFonts w:eastAsia="仿宋"/>
          <w:sz w:val="24"/>
        </w:rPr>
      </w:pPr>
      <w:r>
        <w:rPr>
          <w:sz w:val="24"/>
        </w:rPr>
        <w:t>四、财政拨款收入支出决算总体情况说明</w:t>
      </w:r>
    </w:p>
    <w:p w14:paraId="1E8927A9">
      <w:pPr>
        <w:pStyle w:val="11"/>
        <w:adjustRightInd w:val="0"/>
        <w:snapToGrid w:val="0"/>
        <w:jc w:val="left"/>
        <w:rPr>
          <w:rFonts w:eastAsia="仿宋"/>
          <w:sz w:val="24"/>
        </w:rPr>
      </w:pPr>
      <w:r>
        <w:rPr>
          <w:sz w:val="24"/>
        </w:rPr>
        <w:t>五、一般公共预算财政拨款支出决算情况说明</w:t>
      </w:r>
    </w:p>
    <w:p w14:paraId="678DCDC1">
      <w:pPr>
        <w:pStyle w:val="11"/>
        <w:adjustRightInd w:val="0"/>
        <w:snapToGrid w:val="0"/>
        <w:jc w:val="left"/>
        <w:rPr>
          <w:rFonts w:eastAsia="仿宋"/>
          <w:sz w:val="24"/>
        </w:rPr>
      </w:pPr>
      <w:r>
        <w:rPr>
          <w:sz w:val="24"/>
        </w:rPr>
        <w:t>六、一般公共预算财政拨款基本支出决算情况说明</w:t>
      </w:r>
    </w:p>
    <w:p w14:paraId="4CAD45DF">
      <w:pPr>
        <w:pStyle w:val="11"/>
        <w:adjustRightInd w:val="0"/>
        <w:snapToGrid w:val="0"/>
        <w:jc w:val="left"/>
        <w:rPr>
          <w:rFonts w:eastAsia="仿宋"/>
          <w:sz w:val="24"/>
        </w:rPr>
      </w:pPr>
      <w:r>
        <w:rPr>
          <w:sz w:val="24"/>
        </w:rPr>
        <w:t>七、“三公”经费财政拨款支出决算情况说明</w:t>
      </w:r>
    </w:p>
    <w:p w14:paraId="7F5B9B7D">
      <w:pPr>
        <w:pStyle w:val="11"/>
        <w:adjustRightInd w:val="0"/>
        <w:snapToGrid w:val="0"/>
        <w:jc w:val="left"/>
        <w:rPr>
          <w:rFonts w:eastAsia="仿宋"/>
          <w:sz w:val="24"/>
        </w:rPr>
      </w:pPr>
      <w:r>
        <w:rPr>
          <w:sz w:val="24"/>
        </w:rPr>
        <w:t>八、政府性基金预算支出决算情况说明</w:t>
      </w:r>
    </w:p>
    <w:p w14:paraId="7C841526">
      <w:pPr>
        <w:pStyle w:val="11"/>
        <w:adjustRightInd w:val="0"/>
        <w:snapToGrid w:val="0"/>
        <w:ind w:leftChars="0"/>
        <w:jc w:val="left"/>
        <w:rPr>
          <w:rFonts w:eastAsia="仿宋"/>
          <w:sz w:val="24"/>
        </w:rPr>
      </w:pPr>
      <w:r>
        <w:rPr>
          <w:rFonts w:eastAsia="仿宋"/>
          <w:sz w:val="24"/>
        </w:rPr>
        <w:t>九、</w:t>
      </w:r>
      <w:r>
        <w:rPr>
          <w:sz w:val="24"/>
        </w:rPr>
        <w:t xml:space="preserve"> 国有资本经营预算支出决算情况说明</w:t>
      </w:r>
    </w:p>
    <w:p w14:paraId="16F46CAF">
      <w:pPr>
        <w:adjustRightInd w:val="0"/>
        <w:snapToGrid w:val="0"/>
        <w:ind w:firstLine="480" w:firstLineChars="200"/>
        <w:jc w:val="left"/>
        <w:rPr>
          <w:rFonts w:eastAsia="仿宋"/>
          <w:sz w:val="24"/>
        </w:rPr>
      </w:pPr>
      <w:r>
        <w:rPr>
          <w:rStyle w:val="15"/>
          <w:rFonts w:eastAsia="仿宋"/>
          <w:color w:val="000000" w:themeColor="text1"/>
          <w:sz w:val="24"/>
          <w:u w:val="none"/>
        </w:rPr>
        <w:t>十、</w:t>
      </w:r>
      <w:r>
        <w:rPr>
          <w:sz w:val="24"/>
        </w:rPr>
        <w:t>其他重要事项的情况说明</w:t>
      </w:r>
      <w:r>
        <w:rPr>
          <w:rFonts w:eastAsia="仿宋"/>
          <w:sz w:val="24"/>
        </w:rPr>
        <w:tab/>
      </w:r>
    </w:p>
    <w:p w14:paraId="28BFB69A">
      <w:pPr>
        <w:pStyle w:val="10"/>
        <w:adjustRightInd w:val="0"/>
        <w:snapToGrid w:val="0"/>
        <w:spacing w:before="0"/>
        <w:jc w:val="left"/>
        <w:rPr>
          <w:rFonts w:ascii="Times New Roman" w:hAnsi="Times New Roman"/>
          <w:sz w:val="24"/>
          <w:szCs w:val="24"/>
        </w:rPr>
      </w:pPr>
      <w:r>
        <w:rPr>
          <w:rFonts w:ascii="Times New Roman" w:hAnsi="Times New Roman"/>
          <w:sz w:val="24"/>
        </w:rPr>
        <w:t>第三部分 名词解释</w:t>
      </w:r>
    </w:p>
    <w:p w14:paraId="3750DB1E">
      <w:pPr>
        <w:pStyle w:val="10"/>
        <w:adjustRightInd w:val="0"/>
        <w:snapToGrid w:val="0"/>
        <w:spacing w:before="0"/>
        <w:jc w:val="left"/>
        <w:rPr>
          <w:rFonts w:ascii="Times New Roman" w:hAnsi="Times New Roman"/>
          <w:sz w:val="24"/>
          <w:szCs w:val="24"/>
        </w:rPr>
      </w:pPr>
      <w:r>
        <w:rPr>
          <w:rFonts w:ascii="Times New Roman" w:hAnsi="Times New Roman"/>
          <w:sz w:val="24"/>
        </w:rPr>
        <w:t>第四部分 附件</w:t>
      </w:r>
    </w:p>
    <w:p w14:paraId="250FBE80">
      <w:pPr>
        <w:pStyle w:val="11"/>
        <w:adjustRightInd w:val="0"/>
        <w:snapToGrid w:val="0"/>
        <w:jc w:val="left"/>
        <w:rPr>
          <w:rFonts w:eastAsia="仿宋"/>
          <w:sz w:val="24"/>
        </w:rPr>
      </w:pPr>
      <w:r>
        <w:rPr>
          <w:sz w:val="24"/>
        </w:rPr>
        <w:t>附件1</w:t>
      </w:r>
    </w:p>
    <w:p w14:paraId="02BEC303">
      <w:pPr>
        <w:pStyle w:val="11"/>
        <w:adjustRightInd w:val="0"/>
        <w:snapToGrid w:val="0"/>
        <w:jc w:val="left"/>
        <w:rPr>
          <w:rFonts w:eastAsia="仿宋"/>
          <w:sz w:val="24"/>
        </w:rPr>
      </w:pPr>
      <w:r>
        <w:rPr>
          <w:sz w:val="24"/>
        </w:rPr>
        <w:t>附件2</w:t>
      </w:r>
    </w:p>
    <w:p w14:paraId="52DC399E">
      <w:pPr>
        <w:pStyle w:val="10"/>
        <w:adjustRightInd w:val="0"/>
        <w:snapToGrid w:val="0"/>
        <w:spacing w:before="0"/>
        <w:jc w:val="left"/>
        <w:rPr>
          <w:rFonts w:ascii="Times New Roman" w:hAnsi="Times New Roman"/>
          <w:sz w:val="24"/>
          <w:szCs w:val="24"/>
        </w:rPr>
      </w:pPr>
      <w:r>
        <w:rPr>
          <w:rFonts w:ascii="Times New Roman" w:hAnsi="Times New Roman"/>
          <w:sz w:val="24"/>
        </w:rPr>
        <w:t>第五部分 附表</w:t>
      </w:r>
    </w:p>
    <w:p w14:paraId="3615BC96">
      <w:pPr>
        <w:pStyle w:val="11"/>
        <w:adjustRightInd w:val="0"/>
        <w:snapToGrid w:val="0"/>
        <w:jc w:val="left"/>
        <w:rPr>
          <w:rFonts w:eastAsia="仿宋"/>
          <w:sz w:val="24"/>
        </w:rPr>
      </w:pPr>
      <w:r>
        <w:rPr>
          <w:rFonts w:eastAsia="仿宋"/>
          <w:sz w:val="24"/>
        </w:rPr>
        <w:t>一、</w:t>
      </w:r>
      <w:r>
        <w:rPr>
          <w:sz w:val="24"/>
        </w:rPr>
        <w:t>收入支出决算总表</w:t>
      </w:r>
    </w:p>
    <w:p w14:paraId="58418F11">
      <w:pPr>
        <w:pStyle w:val="11"/>
        <w:adjustRightInd w:val="0"/>
        <w:snapToGrid w:val="0"/>
        <w:jc w:val="left"/>
        <w:rPr>
          <w:rFonts w:eastAsia="仿宋"/>
          <w:sz w:val="24"/>
        </w:rPr>
      </w:pPr>
      <w:r>
        <w:rPr>
          <w:rFonts w:eastAsia="仿宋"/>
          <w:sz w:val="24"/>
        </w:rPr>
        <w:t>二、</w:t>
      </w:r>
      <w:r>
        <w:rPr>
          <w:sz w:val="24"/>
        </w:rPr>
        <w:t>收入</w:t>
      </w:r>
      <w:r>
        <w:rPr>
          <w:rFonts w:eastAsia="仿宋"/>
          <w:sz w:val="24"/>
        </w:rPr>
        <w:t>决算</w:t>
      </w:r>
      <w:r>
        <w:rPr>
          <w:sz w:val="24"/>
        </w:rPr>
        <w:t>表</w:t>
      </w:r>
    </w:p>
    <w:p w14:paraId="063C9B12">
      <w:pPr>
        <w:pStyle w:val="11"/>
        <w:adjustRightInd w:val="0"/>
        <w:snapToGrid w:val="0"/>
        <w:jc w:val="left"/>
        <w:rPr>
          <w:rFonts w:eastAsia="仿宋"/>
          <w:sz w:val="24"/>
        </w:rPr>
      </w:pPr>
      <w:r>
        <w:rPr>
          <w:rFonts w:eastAsia="仿宋"/>
          <w:sz w:val="24"/>
        </w:rPr>
        <w:t>三、</w:t>
      </w:r>
      <w:r>
        <w:rPr>
          <w:sz w:val="24"/>
        </w:rPr>
        <w:t>支出</w:t>
      </w:r>
      <w:r>
        <w:rPr>
          <w:rFonts w:eastAsia="仿宋"/>
          <w:sz w:val="24"/>
        </w:rPr>
        <w:t>决算</w:t>
      </w:r>
      <w:r>
        <w:rPr>
          <w:sz w:val="24"/>
        </w:rPr>
        <w:t>表</w:t>
      </w:r>
    </w:p>
    <w:p w14:paraId="6EEF7A91">
      <w:pPr>
        <w:pStyle w:val="11"/>
        <w:adjustRightInd w:val="0"/>
        <w:snapToGrid w:val="0"/>
        <w:jc w:val="left"/>
        <w:rPr>
          <w:rFonts w:eastAsia="仿宋"/>
          <w:sz w:val="24"/>
        </w:rPr>
      </w:pPr>
      <w:r>
        <w:rPr>
          <w:rFonts w:eastAsia="仿宋"/>
          <w:sz w:val="24"/>
        </w:rPr>
        <w:t>四、</w:t>
      </w:r>
      <w:r>
        <w:rPr>
          <w:sz w:val="24"/>
        </w:rPr>
        <w:t>财政拨款收入支出决算总表</w:t>
      </w:r>
    </w:p>
    <w:p w14:paraId="74D1C77C">
      <w:pPr>
        <w:pStyle w:val="11"/>
        <w:adjustRightInd w:val="0"/>
        <w:snapToGrid w:val="0"/>
        <w:jc w:val="left"/>
        <w:rPr>
          <w:rFonts w:eastAsia="仿宋"/>
          <w:sz w:val="24"/>
        </w:rPr>
      </w:pPr>
      <w:r>
        <w:rPr>
          <w:rFonts w:eastAsia="仿宋"/>
          <w:sz w:val="24"/>
        </w:rPr>
        <w:t>五、财政拨款支出决算明细表</w:t>
      </w:r>
    </w:p>
    <w:p w14:paraId="2D5AA03D">
      <w:pPr>
        <w:pStyle w:val="11"/>
        <w:adjustRightInd w:val="0"/>
        <w:snapToGrid w:val="0"/>
        <w:jc w:val="left"/>
        <w:rPr>
          <w:rFonts w:eastAsia="仿宋"/>
          <w:sz w:val="24"/>
        </w:rPr>
      </w:pPr>
      <w:r>
        <w:rPr>
          <w:rFonts w:eastAsia="仿宋"/>
          <w:sz w:val="24"/>
        </w:rPr>
        <w:t>六、</w:t>
      </w:r>
      <w:r>
        <w:rPr>
          <w:sz w:val="24"/>
        </w:rPr>
        <w:t>一般公共预算财政拨款支出决算表</w:t>
      </w:r>
    </w:p>
    <w:p w14:paraId="00B262B2">
      <w:pPr>
        <w:pStyle w:val="11"/>
        <w:adjustRightInd w:val="0"/>
        <w:snapToGrid w:val="0"/>
        <w:jc w:val="left"/>
        <w:rPr>
          <w:rFonts w:eastAsia="仿宋"/>
          <w:sz w:val="24"/>
        </w:rPr>
      </w:pPr>
      <w:r>
        <w:rPr>
          <w:rFonts w:eastAsia="仿宋"/>
          <w:sz w:val="24"/>
        </w:rPr>
        <w:t>七、</w:t>
      </w:r>
      <w:r>
        <w:rPr>
          <w:sz w:val="24"/>
        </w:rPr>
        <w:t>一般公共预算财政拨款支出决算明细表</w:t>
      </w:r>
    </w:p>
    <w:p w14:paraId="28642F9C">
      <w:pPr>
        <w:pStyle w:val="11"/>
        <w:adjustRightInd w:val="0"/>
        <w:snapToGrid w:val="0"/>
        <w:jc w:val="left"/>
        <w:rPr>
          <w:rFonts w:eastAsia="仿宋"/>
          <w:sz w:val="24"/>
        </w:rPr>
      </w:pPr>
      <w:r>
        <w:rPr>
          <w:rFonts w:eastAsia="仿宋"/>
          <w:sz w:val="24"/>
        </w:rPr>
        <w:t>八、</w:t>
      </w:r>
      <w:r>
        <w:rPr>
          <w:sz w:val="24"/>
        </w:rPr>
        <w:t>一般公共预算财政拨款基本支出决算表</w:t>
      </w:r>
    </w:p>
    <w:p w14:paraId="06A644FD">
      <w:pPr>
        <w:pStyle w:val="11"/>
        <w:adjustRightInd w:val="0"/>
        <w:snapToGrid w:val="0"/>
        <w:jc w:val="left"/>
        <w:rPr>
          <w:rFonts w:eastAsia="仿宋"/>
          <w:sz w:val="24"/>
        </w:rPr>
      </w:pPr>
      <w:r>
        <w:rPr>
          <w:rFonts w:eastAsia="仿宋"/>
          <w:sz w:val="24"/>
        </w:rPr>
        <w:t>九、</w:t>
      </w:r>
      <w:r>
        <w:rPr>
          <w:sz w:val="24"/>
        </w:rPr>
        <w:t>一般公共预算财政拨款项目支出决算表</w:t>
      </w:r>
    </w:p>
    <w:p w14:paraId="1E2C12C9">
      <w:pPr>
        <w:pStyle w:val="11"/>
        <w:adjustRightInd w:val="0"/>
        <w:snapToGrid w:val="0"/>
        <w:jc w:val="left"/>
        <w:rPr>
          <w:rFonts w:eastAsia="仿宋"/>
          <w:sz w:val="24"/>
        </w:rPr>
      </w:pPr>
      <w:r>
        <w:rPr>
          <w:rFonts w:eastAsia="仿宋"/>
          <w:sz w:val="24"/>
        </w:rPr>
        <w:t>十、</w:t>
      </w:r>
      <w:r>
        <w:rPr>
          <w:sz w:val="24"/>
        </w:rPr>
        <w:t>一般公共预算财政拨款“三公”经费支出决算表</w:t>
      </w:r>
    </w:p>
    <w:p w14:paraId="237DA41A">
      <w:pPr>
        <w:pStyle w:val="11"/>
        <w:adjustRightInd w:val="0"/>
        <w:snapToGrid w:val="0"/>
        <w:jc w:val="left"/>
        <w:rPr>
          <w:rFonts w:eastAsia="仿宋"/>
          <w:sz w:val="24"/>
        </w:rPr>
      </w:pPr>
      <w:r>
        <w:rPr>
          <w:rFonts w:eastAsia="仿宋"/>
          <w:sz w:val="24"/>
        </w:rPr>
        <w:t>十一、</w:t>
      </w:r>
      <w:r>
        <w:rPr>
          <w:sz w:val="24"/>
        </w:rPr>
        <w:t>政府性基金预算财政拨款收入支出决算表</w:t>
      </w:r>
    </w:p>
    <w:p w14:paraId="0CD67D91">
      <w:pPr>
        <w:pStyle w:val="11"/>
        <w:adjustRightInd w:val="0"/>
        <w:snapToGrid w:val="0"/>
        <w:jc w:val="left"/>
        <w:rPr>
          <w:rFonts w:eastAsia="仿宋"/>
          <w:sz w:val="24"/>
        </w:rPr>
      </w:pPr>
      <w:r>
        <w:rPr>
          <w:rFonts w:eastAsia="仿宋"/>
          <w:sz w:val="24"/>
        </w:rPr>
        <w:t>十二、</w:t>
      </w:r>
      <w:r>
        <w:rPr>
          <w:sz w:val="24"/>
        </w:rPr>
        <w:t>政府性基金预算财政拨款“三公”经费支出决算表</w:t>
      </w:r>
    </w:p>
    <w:p w14:paraId="7208766D">
      <w:pPr>
        <w:pStyle w:val="11"/>
        <w:adjustRightInd w:val="0"/>
        <w:snapToGrid w:val="0"/>
        <w:jc w:val="left"/>
        <w:rPr>
          <w:sz w:val="24"/>
        </w:rPr>
      </w:pPr>
      <w:r>
        <w:rPr>
          <w:rFonts w:eastAsia="仿宋"/>
          <w:sz w:val="24"/>
        </w:rPr>
        <w:t>十三、</w:t>
      </w:r>
      <w:r>
        <w:rPr>
          <w:sz w:val="24"/>
        </w:rPr>
        <w:t>国有资本经营预算支出决算表</w:t>
      </w:r>
    </w:p>
    <w:p w14:paraId="01A5AA50">
      <w:pPr>
        <w:rPr>
          <w:rFonts w:hint="eastAsia" w:ascii="仿宋_GB2312" w:eastAsia="仿宋_GB2312"/>
          <w:sz w:val="24"/>
        </w:rPr>
      </w:pPr>
      <w:r>
        <w:t xml:space="preserve">    </w:t>
      </w:r>
      <w:r>
        <w:rPr>
          <w:rFonts w:hint="eastAsia" w:ascii="仿宋_GB2312" w:eastAsia="仿宋_GB2312"/>
          <w:sz w:val="24"/>
        </w:rPr>
        <w:t>十四、机关运行经费、资产占用情况及政府采购支出信息表</w:t>
      </w:r>
    </w:p>
    <w:tbl>
      <w:tblPr>
        <w:tblStyle w:val="12"/>
        <w:tblW w:w="0" w:type="auto"/>
        <w:tblInd w:w="0" w:type="dxa"/>
        <w:tblLayout w:type="fixed"/>
        <w:tblCellMar>
          <w:top w:w="0" w:type="dxa"/>
          <w:left w:w="30" w:type="dxa"/>
          <w:bottom w:w="0" w:type="dxa"/>
          <w:right w:w="30" w:type="dxa"/>
        </w:tblCellMar>
      </w:tblPr>
      <w:tblGrid>
        <w:gridCol w:w="7440"/>
        <w:gridCol w:w="1800"/>
      </w:tblGrid>
      <w:tr w14:paraId="0BB29434">
        <w:trPr>
          <w:trHeight w:val="446" w:hRule="atLeast"/>
        </w:trPr>
        <w:tc>
          <w:tcPr>
            <w:tcW w:w="7440" w:type="dxa"/>
            <w:tcBorders>
              <w:top w:val="nil"/>
              <w:left w:val="nil"/>
              <w:bottom w:val="nil"/>
              <w:right w:val="nil"/>
            </w:tcBorders>
          </w:tcPr>
          <w:p w14:paraId="365E211D">
            <w:pPr>
              <w:autoSpaceDE w:val="0"/>
              <w:autoSpaceDN w:val="0"/>
              <w:adjustRightInd w:val="0"/>
              <w:rPr>
                <w:rFonts w:ascii="宋体" w:hAnsi="Calibri" w:cs="宋体"/>
                <w:color w:val="000000"/>
                <w:kern w:val="0"/>
                <w:sz w:val="28"/>
                <w:szCs w:val="28"/>
              </w:rPr>
            </w:pPr>
          </w:p>
        </w:tc>
        <w:tc>
          <w:tcPr>
            <w:tcW w:w="1800" w:type="dxa"/>
            <w:tcBorders>
              <w:top w:val="nil"/>
              <w:left w:val="nil"/>
              <w:bottom w:val="nil"/>
              <w:right w:val="nil"/>
            </w:tcBorders>
          </w:tcPr>
          <w:p w14:paraId="5730846B">
            <w:pPr>
              <w:autoSpaceDE w:val="0"/>
              <w:autoSpaceDN w:val="0"/>
              <w:adjustRightInd w:val="0"/>
              <w:jc w:val="center"/>
              <w:rPr>
                <w:rFonts w:ascii="宋体" w:hAnsi="Calibri" w:cs="宋体"/>
                <w:color w:val="000000"/>
                <w:kern w:val="0"/>
                <w:sz w:val="28"/>
                <w:szCs w:val="28"/>
              </w:rPr>
            </w:pPr>
          </w:p>
        </w:tc>
      </w:tr>
    </w:tbl>
    <w:p w14:paraId="37C9819A"/>
    <w:p w14:paraId="78638F83">
      <w:pPr>
        <w:widowControl/>
        <w:jc w:val="left"/>
        <w:rPr>
          <w:rFonts w:eastAsia="仿宋"/>
          <w:bCs/>
          <w:kern w:val="44"/>
          <w:sz w:val="24"/>
        </w:rPr>
      </w:pPr>
      <w:bookmarkStart w:id="13" w:name="_Toc15377196"/>
      <w:bookmarkStart w:id="14" w:name="_Toc15396599"/>
      <w:r>
        <w:rPr>
          <w:rFonts w:eastAsia="仿宋"/>
          <w:b/>
          <w:sz w:val="24"/>
        </w:rPr>
        <w:br w:type="page"/>
      </w:r>
    </w:p>
    <w:p w14:paraId="30F989B2">
      <w:pPr>
        <w:pStyle w:val="2"/>
        <w:spacing w:line="0" w:lineRule="atLeast"/>
        <w:jc w:val="center"/>
        <w:rPr>
          <w:rStyle w:val="24"/>
          <w:rFonts w:eastAsia="黑体"/>
          <w:b/>
          <w:bCs w:val="0"/>
        </w:rPr>
      </w:pPr>
      <w:r>
        <w:rPr>
          <w:rFonts w:eastAsia="黑体"/>
          <w:b w:val="0"/>
        </w:rPr>
        <w:t xml:space="preserve">第一部分 </w:t>
      </w:r>
      <w:r>
        <w:rPr>
          <w:rStyle w:val="24"/>
          <w:rFonts w:eastAsia="黑体"/>
          <w:b w:val="0"/>
          <w:bCs w:val="0"/>
        </w:rPr>
        <w:t>部门概况</w:t>
      </w:r>
      <w:bookmarkEnd w:id="13"/>
      <w:bookmarkEnd w:id="14"/>
    </w:p>
    <w:p w14:paraId="3C954377">
      <w:pPr>
        <w:pStyle w:val="3"/>
        <w:spacing w:before="0" w:after="0" w:line="600" w:lineRule="exact"/>
        <w:rPr>
          <w:rStyle w:val="25"/>
          <w:rFonts w:ascii="Times New Roman" w:hAnsi="Times New Roman" w:eastAsia="仿宋" w:cs="Times New Roman"/>
          <w:b w:val="0"/>
          <w:bCs w:val="0"/>
        </w:rPr>
      </w:pPr>
      <w:bookmarkStart w:id="15" w:name="_Toc15396600"/>
      <w:bookmarkStart w:id="16" w:name="_Toc15377197"/>
      <w:r>
        <w:rPr>
          <w:rFonts w:ascii="Times New Roman" w:hAnsi="Times New Roman" w:eastAsia="黑体" w:cs="Times New Roman"/>
          <w:b w:val="0"/>
          <w:color w:val="000000"/>
        </w:rPr>
        <w:t>一、基</w:t>
      </w:r>
      <w:r>
        <w:rPr>
          <w:rStyle w:val="25"/>
          <w:rFonts w:ascii="Times New Roman" w:hAnsi="Times New Roman" w:eastAsia="黑体" w:cs="Times New Roman"/>
          <w:b w:val="0"/>
          <w:bCs w:val="0"/>
        </w:rPr>
        <w:t>本职能及主要工作</w:t>
      </w:r>
      <w:bookmarkEnd w:id="15"/>
      <w:bookmarkEnd w:id="16"/>
    </w:p>
    <w:p w14:paraId="5847D584">
      <w:pPr>
        <w:pStyle w:val="5"/>
        <w:adjustRightInd w:val="0"/>
        <w:snapToGrid w:val="0"/>
        <w:spacing w:beforeLines="0" w:line="600" w:lineRule="exact"/>
        <w:ind w:firstLine="675" w:firstLineChars="210"/>
        <w:outlineLvl w:val="2"/>
        <w:rPr>
          <w:rFonts w:ascii="Times New Roman" w:eastAsia="楷体_GB2312"/>
          <w:b/>
          <w:bCs/>
          <w:color w:val="000000"/>
          <w:sz w:val="32"/>
          <w:szCs w:val="32"/>
        </w:rPr>
      </w:pPr>
      <w:bookmarkStart w:id="17" w:name="_Toc15378445"/>
      <w:bookmarkStart w:id="18" w:name="_Toc15377198"/>
      <w:r>
        <w:rPr>
          <w:rFonts w:ascii="Times New Roman" w:eastAsia="楷体_GB2312"/>
          <w:b/>
          <w:bCs/>
          <w:color w:val="000000"/>
          <w:sz w:val="32"/>
          <w:szCs w:val="32"/>
        </w:rPr>
        <w:t>（一）主要职能</w:t>
      </w:r>
      <w:bookmarkEnd w:id="17"/>
      <w:bookmarkEnd w:id="18"/>
      <w:bookmarkStart w:id="19" w:name="_Toc15377199"/>
      <w:bookmarkStart w:id="20" w:name="_Toc15378446"/>
    </w:p>
    <w:p w14:paraId="30B84F23">
      <w:pPr>
        <w:pStyle w:val="5"/>
        <w:adjustRightInd w:val="0"/>
        <w:snapToGrid w:val="0"/>
        <w:spacing w:beforeLines="0" w:line="600" w:lineRule="exact"/>
        <w:ind w:firstLine="672" w:firstLineChars="210"/>
        <w:outlineLvl w:val="2"/>
        <w:rPr>
          <w:rFonts w:ascii="Times New Roman"/>
          <w:bCs/>
          <w:color w:val="000000"/>
          <w:sz w:val="32"/>
          <w:szCs w:val="32"/>
        </w:rPr>
      </w:pPr>
      <w:r>
        <w:rPr>
          <w:rFonts w:ascii="Times New Roman"/>
          <w:bCs/>
          <w:color w:val="000000"/>
          <w:sz w:val="32"/>
          <w:szCs w:val="32"/>
        </w:rPr>
        <w:t>公共图书馆，是指向社会公众免费开放，收集、整理、保存文献信息并提供查询、借阅及相关服务，开展社会教育的公共文化设施。具有保存人类文化遗产、开展社会教育、传递科学情报、开发智力资源、提供文化娱乐的社会职能。米易县图书馆始建于1978年，是由米易县人民政府举办的为全县人民服务的纯公益性社会文化服务机构,是我县最大综合性公共图书馆。2013年被评为国家一级图书馆，2017年再次评定为国家一级图书馆。</w:t>
      </w:r>
    </w:p>
    <w:p w14:paraId="40D92AAA">
      <w:pPr>
        <w:pStyle w:val="5"/>
        <w:adjustRightInd w:val="0"/>
        <w:snapToGrid w:val="0"/>
        <w:spacing w:beforeLines="0" w:line="600" w:lineRule="exact"/>
        <w:ind w:firstLine="675" w:firstLineChars="210"/>
        <w:outlineLvl w:val="2"/>
        <w:rPr>
          <w:rFonts w:ascii="Times New Roman" w:eastAsia="楷体_GB2312"/>
          <w:b/>
          <w:bCs/>
          <w:color w:val="000000"/>
          <w:sz w:val="32"/>
          <w:szCs w:val="32"/>
        </w:rPr>
      </w:pPr>
      <w:r>
        <w:rPr>
          <w:rFonts w:ascii="Times New Roman" w:eastAsia="楷体_GB2312"/>
          <w:b/>
          <w:bCs/>
          <w:color w:val="000000"/>
          <w:sz w:val="32"/>
          <w:szCs w:val="32"/>
        </w:rPr>
        <w:t>（二）2019年重点工作完成情况</w:t>
      </w:r>
      <w:bookmarkEnd w:id="19"/>
      <w:bookmarkEnd w:id="20"/>
    </w:p>
    <w:p w14:paraId="239B6895">
      <w:pPr>
        <w:pStyle w:val="5"/>
        <w:adjustRightInd w:val="0"/>
        <w:snapToGrid w:val="0"/>
        <w:spacing w:before="93" w:line="600" w:lineRule="exact"/>
        <w:ind w:firstLine="675" w:firstLineChars="210"/>
        <w:outlineLvl w:val="2"/>
        <w:rPr>
          <w:rFonts w:ascii="Times New Roman"/>
          <w:bCs/>
          <w:color w:val="000000"/>
          <w:sz w:val="32"/>
          <w:szCs w:val="32"/>
        </w:rPr>
      </w:pPr>
      <w:r>
        <w:rPr>
          <w:rFonts w:ascii="Times New Roman"/>
          <w:b/>
          <w:bCs/>
          <w:color w:val="000000"/>
          <w:sz w:val="32"/>
          <w:szCs w:val="32"/>
        </w:rPr>
        <w:t>1.加强图书馆标准化建设和运行保障能力。</w:t>
      </w:r>
      <w:r>
        <w:rPr>
          <w:rFonts w:ascii="Times New Roman"/>
          <w:bCs/>
          <w:color w:val="000000"/>
          <w:sz w:val="32"/>
          <w:szCs w:val="32"/>
        </w:rPr>
        <w:t>认真学习、贯彻、落实</w:t>
      </w:r>
      <w:r>
        <w:rPr>
          <w:rFonts w:ascii="Times New Roman"/>
          <w:bCs/>
          <w:color w:val="000000"/>
          <w:sz w:val="32"/>
          <w:szCs w:val="32"/>
          <w:lang w:val="en-US"/>
        </w:rPr>
        <w:t>党的十九大精神</w:t>
      </w:r>
      <w:r>
        <w:rPr>
          <w:rFonts w:ascii="Times New Roman"/>
          <w:bCs/>
          <w:color w:val="000000"/>
          <w:sz w:val="32"/>
          <w:szCs w:val="32"/>
        </w:rPr>
        <w:t>，领会“坚定文化自信，推动社会主义文化繁荣发展”内涵。贯彻《公共文化服务保障法》、《公共图书馆法》，提升图书馆办馆水平和公共文化服务能力。进行图书馆纸本资源和数字资源结构调整，建设符合新时代人民美好阅读需求所需要的文献资源体系。完成建馆以来规模最大的一次图书剔旧工作，将1978年建馆至今的图书进行剔旧，剔除旧书5万余册，切实加强馆藏图书的精良化，提高读者对图书的有效利用率。有效推进落实图书馆免费开放工作，基本服务、设施、场地空间完全免费开放。不断优化借阅环境，营造浓厚的文化氛围，提升服务效能。我馆综合借阅室接待读者11700人次，借、阅图书40950资料册次；报刊阅览室接待读者20550人次，报刊阅览82200册次；少儿阅览室接待读者9500人次，借、阅图书38000册次；幼儿亲子阅览室接待读者9100人次，图书阅览40950册次；新办读者证400余个。全年我馆共接待读者63850人次，借、阅图书资料202100册次。</w:t>
      </w:r>
    </w:p>
    <w:p w14:paraId="1B589C6B">
      <w:pPr>
        <w:pStyle w:val="5"/>
        <w:adjustRightInd w:val="0"/>
        <w:snapToGrid w:val="0"/>
        <w:spacing w:beforeLines="0" w:line="600" w:lineRule="exact"/>
        <w:ind w:firstLine="675" w:firstLineChars="210"/>
        <w:outlineLvl w:val="2"/>
        <w:rPr>
          <w:rFonts w:ascii="Times New Roman"/>
          <w:bCs/>
          <w:color w:val="000000"/>
          <w:sz w:val="32"/>
          <w:szCs w:val="32"/>
        </w:rPr>
      </w:pPr>
      <w:r>
        <w:rPr>
          <w:rFonts w:ascii="Times New Roman"/>
          <w:b/>
          <w:bCs/>
          <w:color w:val="000000"/>
          <w:sz w:val="32"/>
          <w:szCs w:val="32"/>
        </w:rPr>
        <w:t>2.围绕建国70周年，组织开展全民阅读推广活动。</w:t>
      </w:r>
      <w:r>
        <w:rPr>
          <w:rFonts w:ascii="Times New Roman"/>
          <w:bCs/>
          <w:color w:val="000000"/>
          <w:sz w:val="32"/>
          <w:szCs w:val="32"/>
        </w:rPr>
        <w:t>组织开展“安宁讲堂”闻希康养讲座。围绕养心、养智、养德、养性、养眼、养身六个方面，通过“讲”“听”“练”，有效结合时令节气开展健康养生保健讲座43期，共计730余人次参加，公众反响良好。继续加强少儿阅读工作的研究和推广。组织开展“走进图书馆，快乐度假期”寒暑假少儿读书活动，活动主要包括朗诵、书法、手工、传统礼仪、武术、趣味化学、少儿影片展播、幼儿故事会、“童心绘祖国”等形式多样、内容丰富的少儿阅读活动。全年共计18场次活动，共计1500余人次参加活动。继续实施“阅读伴我成长”幼儿阅读成长计划试点工作。与幼儿园及幼儿家庭合作，共同开展“馆</w:t>
      </w:r>
      <w:r>
        <w:rPr>
          <w:rFonts w:hint="eastAsia" w:ascii="Times New Roman" w:eastAsia="宋体"/>
          <w:bCs/>
          <w:color w:val="000000"/>
          <w:sz w:val="32"/>
          <w:szCs w:val="32"/>
        </w:rPr>
        <w:t>·</w:t>
      </w:r>
      <w:r>
        <w:rPr>
          <w:rFonts w:ascii="Times New Roman"/>
          <w:bCs/>
          <w:color w:val="000000"/>
          <w:sz w:val="32"/>
          <w:szCs w:val="32"/>
        </w:rPr>
        <w:t>园</w:t>
      </w:r>
      <w:r>
        <w:rPr>
          <w:rFonts w:hint="eastAsia" w:ascii="Times New Roman" w:eastAsia="宋体"/>
          <w:bCs/>
          <w:color w:val="000000"/>
          <w:sz w:val="32"/>
          <w:szCs w:val="32"/>
        </w:rPr>
        <w:t>·</w:t>
      </w:r>
      <w:r>
        <w:rPr>
          <w:rFonts w:ascii="Times New Roman"/>
          <w:bCs/>
          <w:color w:val="000000"/>
          <w:sz w:val="32"/>
          <w:szCs w:val="32"/>
        </w:rPr>
        <w:t>家”读书活动。在“4</w:t>
      </w:r>
      <w:r>
        <w:rPr>
          <w:rFonts w:ascii="Times New Roman" w:eastAsia="宋体"/>
          <w:bCs/>
          <w:color w:val="000000"/>
          <w:sz w:val="32"/>
          <w:szCs w:val="32"/>
        </w:rPr>
        <w:t>•</w:t>
      </w:r>
      <w:r>
        <w:rPr>
          <w:rFonts w:ascii="Times New Roman"/>
          <w:bCs/>
          <w:color w:val="000000"/>
          <w:sz w:val="32"/>
          <w:szCs w:val="32"/>
        </w:rPr>
        <w:t>23世界读书日”对县城城区及白马镇、垭口镇10所幼儿的200名幼儿代表赠送“读书礼包”，让家长有意识的引导孩子从小养成良好的阅读习惯，促进全民阅读活动的延伸。在幼儿阅览室每周开展“听妈妈讲故事”文化志愿服务活动，该活动受到广大幼儿及家长的喜爱和好评，全年共开展43期，共计1930余人次参与活动。加强全民阅读推广活动，促建书香米易。在图书馆开展以“读经典 学新知 链接美好生活”为主题的“4</w:t>
      </w:r>
      <w:r>
        <w:rPr>
          <w:rFonts w:hint="eastAsia" w:ascii="Times New Roman" w:eastAsia="宋体"/>
          <w:bCs/>
          <w:color w:val="000000"/>
          <w:sz w:val="32"/>
          <w:szCs w:val="32"/>
        </w:rPr>
        <w:t>·</w:t>
      </w:r>
      <w:r>
        <w:rPr>
          <w:rFonts w:ascii="Times New Roman"/>
          <w:bCs/>
          <w:color w:val="000000"/>
          <w:sz w:val="32"/>
          <w:szCs w:val="32"/>
        </w:rPr>
        <w:t>23世界读书日”全民阅读系列活动，活动包括200份幼儿阅读礼包赠送、幼儿诵读表演、2018年度优秀读者表彰、“你选书，我买单”“让书回家、还书免责”“绿书签行动”集中宣传及“同城共读 万卷共知”线上线下相结合的全民阅读推广活动，共计800余人参加线下活动。利用传统节日组织开展以“我们的节日”为主题的文化活动，弘扬中华优秀传统文化。活动主要包括元宵诗文朗诵，包汤圆，猜灯谜，亲子游园等元宵系列活动；“诗书端午” 主题活动，有趣话端午、古筝茶艺表演、端午诗文朗诵、端午家庭情景剧表演、拴五色丝线、闻香识草药、包粽子、做香包等端午活动；清明、中秋讲故事、诵诗文，“迎国庆 诵重阳”诗文朗诵会等读书活动。共计500余人次参加活动，活动有效促进了推广全民阅读，充分发挥民族传统节日思想熏陶和文化教育功能，促进全县创文明城市工作的开展。进一步加强公共数字文化服务平台建设。继续利用米易县图书馆移动图书馆、米易县图书馆微信公众平台，开展形式多样的阅读推荐和推广，开展好新媒体服务；每周通过微信公众号开展一期 “扫码读书 百城共读”宣传，完成电子书刊借阅机年度数字资源的更新，有效满足广大读者移动阅读的需求。加强宣传。积极利用电视台、微信、图书馆网站、展板等平台和方式，加大宣传力度，强化全民阅读推广活动实效。</w:t>
      </w:r>
    </w:p>
    <w:p w14:paraId="79E6FF5E">
      <w:pPr>
        <w:pStyle w:val="5"/>
        <w:adjustRightInd w:val="0"/>
        <w:snapToGrid w:val="0"/>
        <w:spacing w:beforeLines="0" w:line="600" w:lineRule="exact"/>
        <w:ind w:firstLine="675" w:firstLineChars="210"/>
        <w:outlineLvl w:val="2"/>
        <w:rPr>
          <w:rFonts w:ascii="Times New Roman"/>
          <w:bCs/>
          <w:color w:val="000000"/>
          <w:sz w:val="32"/>
          <w:szCs w:val="32"/>
        </w:rPr>
      </w:pPr>
      <w:r>
        <w:rPr>
          <w:rFonts w:ascii="Times New Roman"/>
          <w:b/>
          <w:bCs/>
          <w:color w:val="000000"/>
          <w:sz w:val="32"/>
          <w:szCs w:val="32"/>
        </w:rPr>
        <w:t>3.切实加强公共文化服务体系建设，让广大群众享受到优质的文化服务。</w:t>
      </w:r>
      <w:r>
        <w:rPr>
          <w:rFonts w:ascii="Times New Roman"/>
          <w:bCs/>
          <w:color w:val="000000"/>
          <w:sz w:val="32"/>
          <w:szCs w:val="32"/>
        </w:rPr>
        <w:t>结合攀枝花市创建国家公共文化服务体系示范区工作要求，通过维修馆房墙面、玻璃屋面，增添绿植，采购新书，与市图书馆共享数字信息资源等措施，切实加强图书馆阅读服务环境建设、软硬件设施建设。指导农家书屋开展农民读书月活动。在11个乡镇（村）开展送书、科普宣传、数字阅读推广。为村民送书刊2400余册，展出科普挂图36幅，进行数字阅读推广11次。完成总分馆制建设（三期）湾丘乡、新山乡、撒莲镇、得石镇、麻陇乡五个乡镇分馆建设，对各分馆提供图书馆自动化管理系统及流通帐户，配备工作电脑、读卡器、扫码枪1套，阅览桌2张，阅览椅12把，书架2个，期刊架1个，加工村（社区）图书共计7403册，同时对各分馆管理员进行了业务培训，实现了基础设施标准化、管理自动化、文献信息资源共享化、服务工作网络化。在县旅游集散中心设立报刊免费阅读点一个。配备了一批健康养生、医疗保健、家庭生活、旅游及文学艺术类刊物共计150余册，期刊架2个。图书进军营，为武警米易中队赠送书刊200余册。阅读进社区，在攀莲镇新北社区迷阳水岸小区组织开展“喜迎国庆</w:t>
      </w:r>
      <w:r>
        <w:rPr>
          <w:rFonts w:hint="eastAsia" w:ascii="Times New Roman" w:eastAsia="宋体"/>
          <w:bCs/>
          <w:color w:val="000000"/>
          <w:sz w:val="32"/>
          <w:szCs w:val="32"/>
        </w:rPr>
        <w:t>·</w:t>
      </w:r>
      <w:r>
        <w:rPr>
          <w:rFonts w:ascii="Times New Roman"/>
          <w:bCs/>
          <w:color w:val="000000"/>
          <w:sz w:val="32"/>
          <w:szCs w:val="32"/>
        </w:rPr>
        <w:t>欢度重阳”诵读活动。</w:t>
      </w:r>
    </w:p>
    <w:p w14:paraId="0B4C6DCD">
      <w:pPr>
        <w:pStyle w:val="5"/>
        <w:adjustRightInd w:val="0"/>
        <w:snapToGrid w:val="0"/>
        <w:spacing w:beforeLines="0" w:line="600" w:lineRule="exact"/>
        <w:ind w:firstLine="675" w:firstLineChars="210"/>
        <w:outlineLvl w:val="2"/>
        <w:rPr>
          <w:rFonts w:ascii="Times New Roman"/>
          <w:bCs/>
          <w:color w:val="000000"/>
          <w:sz w:val="32"/>
          <w:szCs w:val="32"/>
        </w:rPr>
      </w:pPr>
      <w:r>
        <w:rPr>
          <w:rFonts w:ascii="Times New Roman"/>
          <w:b/>
          <w:bCs/>
          <w:color w:val="000000"/>
          <w:sz w:val="32"/>
          <w:szCs w:val="32"/>
        </w:rPr>
        <w:t>4.加强图书馆文化志愿服务队伍建设及活动开展。</w:t>
      </w:r>
      <w:r>
        <w:rPr>
          <w:rFonts w:ascii="Times New Roman"/>
          <w:bCs/>
          <w:color w:val="000000"/>
          <w:sz w:val="32"/>
          <w:szCs w:val="32"/>
        </w:rPr>
        <w:t>坚持开展“听妈妈讲故事”志愿服务活动，每周一期，社会反响好，广受幼儿读者及家长欢迎，活动成为图书馆文化志愿服务活动品牌。利用寒暑假，开展大中院校学生志愿者活动，参与阅览室管理、对少（幼）儿读者开展阅读服务。</w:t>
      </w:r>
    </w:p>
    <w:p w14:paraId="00FE9247">
      <w:pPr>
        <w:pStyle w:val="5"/>
        <w:adjustRightInd w:val="0"/>
        <w:snapToGrid w:val="0"/>
        <w:spacing w:beforeLines="0" w:line="600" w:lineRule="exact"/>
        <w:ind w:firstLine="675" w:firstLineChars="210"/>
        <w:outlineLvl w:val="2"/>
        <w:rPr>
          <w:rFonts w:ascii="Times New Roman"/>
          <w:bCs/>
          <w:color w:val="000000"/>
          <w:sz w:val="32"/>
          <w:szCs w:val="32"/>
        </w:rPr>
      </w:pPr>
      <w:r>
        <w:rPr>
          <w:rFonts w:ascii="Times New Roman"/>
          <w:b/>
          <w:bCs/>
          <w:color w:val="000000"/>
          <w:sz w:val="32"/>
          <w:szCs w:val="32"/>
        </w:rPr>
        <w:t>主要成绩和特色亮点。</w:t>
      </w:r>
      <w:r>
        <w:rPr>
          <w:rFonts w:ascii="Times New Roman"/>
          <w:bCs/>
          <w:color w:val="000000"/>
          <w:sz w:val="32"/>
          <w:szCs w:val="32"/>
        </w:rPr>
        <w:t>图书馆结合实际，不断探索创新，以多种形式和内容进行阅读引导和推广，有效地推进了全民阅读活动的深入开展，被评为“四川省全民阅读示范基地”、全省“全民阅读优秀竞赛组织奖”。坚持开展“听妈妈讲故事”文化志愿服务活动，每周一期，活动不仅成为图书馆文化志愿服务活动的品牌，同时也是“阅读伴我成长”幼儿阅读成长计划项目的品牌。活动不仅受到广大幼儿读者及家长的喜爱，让阅读走进家庭，有效助推全民阅读推广，同时为建设书香米易发挥了积极作用。</w:t>
      </w:r>
    </w:p>
    <w:p w14:paraId="48F6D0D7">
      <w:pPr>
        <w:pStyle w:val="3"/>
        <w:spacing w:before="0" w:after="0" w:line="600" w:lineRule="exact"/>
        <w:rPr>
          <w:rStyle w:val="25"/>
          <w:rFonts w:ascii="Times New Roman" w:hAnsi="Times New Roman" w:cs="Times New Roman"/>
          <w:b w:val="0"/>
          <w:bCs w:val="0"/>
        </w:rPr>
      </w:pPr>
      <w:bookmarkStart w:id="21" w:name="_Toc15396601"/>
      <w:bookmarkStart w:id="22" w:name="_Toc15377200"/>
      <w:r>
        <w:rPr>
          <w:rFonts w:ascii="Times New Roman" w:hAnsi="Times New Roman" w:eastAsia="黑体" w:cs="Times New Roman"/>
          <w:b w:val="0"/>
          <w:color w:val="000000"/>
        </w:rPr>
        <w:t>二、机</w:t>
      </w:r>
      <w:r>
        <w:rPr>
          <w:rStyle w:val="25"/>
          <w:rFonts w:ascii="Times New Roman" w:hAnsi="Times New Roman" w:eastAsia="黑体" w:cs="Times New Roman"/>
          <w:b w:val="0"/>
          <w:bCs w:val="0"/>
        </w:rPr>
        <w:t>构设置</w:t>
      </w:r>
      <w:bookmarkEnd w:id="21"/>
      <w:bookmarkEnd w:id="22"/>
    </w:p>
    <w:p w14:paraId="2EA8D28D">
      <w:pPr>
        <w:pStyle w:val="5"/>
        <w:adjustRightInd w:val="0"/>
        <w:snapToGrid w:val="0"/>
        <w:spacing w:beforeLines="0" w:line="600" w:lineRule="exact"/>
        <w:ind w:firstLine="672" w:firstLineChars="210"/>
        <w:rPr>
          <w:rFonts w:ascii="Times New Roman"/>
          <w:bCs/>
          <w:color w:val="000000"/>
          <w:spacing w:val="-10"/>
          <w:sz w:val="32"/>
          <w:szCs w:val="32"/>
        </w:rPr>
      </w:pPr>
      <w:r>
        <w:rPr>
          <w:rFonts w:ascii="Times New Roman"/>
          <w:bCs/>
          <w:color w:val="000000"/>
          <w:sz w:val="32"/>
          <w:szCs w:val="32"/>
        </w:rPr>
        <w:t>米易县图书馆2019年属米易县文化广播电视和旅游局下属</w:t>
      </w:r>
      <w:r>
        <w:rPr>
          <w:rFonts w:ascii="Times New Roman"/>
          <w:bCs/>
          <w:color w:val="000000"/>
          <w:spacing w:val="-10"/>
          <w:sz w:val="32"/>
          <w:szCs w:val="32"/>
        </w:rPr>
        <w:t>事业单位，纳入2019年度部门决算编制范围，属于二级预算单位。</w:t>
      </w:r>
    </w:p>
    <w:p w14:paraId="4DC5E5CD">
      <w:pPr>
        <w:pStyle w:val="5"/>
        <w:adjustRightInd w:val="0"/>
        <w:snapToGrid w:val="0"/>
        <w:spacing w:beforeLines="0" w:line="600" w:lineRule="exact"/>
        <w:ind w:firstLine="672" w:firstLineChars="210"/>
        <w:rPr>
          <w:rFonts w:ascii="Times New Roman"/>
          <w:color w:val="000000"/>
          <w:sz w:val="32"/>
          <w:szCs w:val="32"/>
        </w:rPr>
      </w:pPr>
    </w:p>
    <w:p w14:paraId="6C962471">
      <w:pPr>
        <w:pStyle w:val="2"/>
        <w:spacing w:before="0" w:after="0" w:line="600" w:lineRule="exact"/>
        <w:ind w:right="440"/>
        <w:jc w:val="right"/>
        <w:rPr>
          <w:rStyle w:val="24"/>
          <w:rFonts w:eastAsia="黑体"/>
          <w:b w:val="0"/>
          <w:bCs w:val="0"/>
        </w:rPr>
      </w:pPr>
      <w:bookmarkStart w:id="23" w:name="_Toc15396602"/>
      <w:bookmarkStart w:id="24" w:name="_Toc15377204"/>
      <w:r>
        <w:rPr>
          <w:rFonts w:eastAsia="黑体"/>
          <w:b w:val="0"/>
          <w:color w:val="000000"/>
        </w:rPr>
        <w:t>第二部分</w:t>
      </w:r>
      <w:r>
        <w:rPr>
          <w:rFonts w:eastAsia="黑体"/>
          <w:color w:val="000000"/>
        </w:rPr>
        <w:t xml:space="preserve"> </w:t>
      </w:r>
      <w:r>
        <w:rPr>
          <w:rStyle w:val="24"/>
          <w:rFonts w:eastAsia="黑体"/>
          <w:b w:val="0"/>
          <w:bCs w:val="0"/>
        </w:rPr>
        <w:t>2019年度部门决算情况说明</w:t>
      </w:r>
      <w:bookmarkEnd w:id="23"/>
      <w:bookmarkEnd w:id="24"/>
    </w:p>
    <w:p w14:paraId="0DF5801B"/>
    <w:p w14:paraId="143A448A">
      <w:pPr>
        <w:pStyle w:val="23"/>
        <w:numPr>
          <w:ilvl w:val="0"/>
          <w:numId w:val="1"/>
        </w:numPr>
        <w:spacing w:line="600" w:lineRule="exact"/>
        <w:ind w:firstLineChars="0"/>
        <w:outlineLvl w:val="1"/>
        <w:rPr>
          <w:rStyle w:val="25"/>
          <w:rFonts w:ascii="Times New Roman" w:hAnsi="Times New Roman" w:eastAsia="黑体" w:cs="Times New Roman"/>
          <w:b w:val="0"/>
        </w:rPr>
      </w:pPr>
      <w:bookmarkStart w:id="25" w:name="_Toc15396603"/>
      <w:bookmarkStart w:id="26" w:name="_Toc15377205"/>
      <w:r>
        <w:rPr>
          <w:rFonts w:eastAsia="黑体"/>
          <w:color w:val="000000"/>
          <w:sz w:val="32"/>
          <w:szCs w:val="32"/>
        </w:rPr>
        <w:t>收</w:t>
      </w:r>
      <w:r>
        <w:rPr>
          <w:rStyle w:val="25"/>
          <w:rFonts w:ascii="Times New Roman" w:hAnsi="Times New Roman" w:eastAsia="黑体" w:cs="Times New Roman"/>
          <w:b w:val="0"/>
        </w:rPr>
        <w:t>入支出决算总体情况说明</w:t>
      </w:r>
      <w:bookmarkEnd w:id="25"/>
      <w:bookmarkEnd w:id="26"/>
    </w:p>
    <w:p w14:paraId="27BFAC8F">
      <w:pPr>
        <w:spacing w:line="600" w:lineRule="exact"/>
        <w:ind w:firstLine="640" w:firstLineChars="200"/>
        <w:rPr>
          <w:rFonts w:eastAsia="仿宋_GB2312"/>
          <w:color w:val="000000"/>
          <w:sz w:val="32"/>
          <w:szCs w:val="32"/>
        </w:rPr>
      </w:pPr>
      <w:r>
        <w:rPr>
          <w:rFonts w:eastAsia="仿宋_GB2312"/>
          <w:color w:val="000000"/>
          <w:sz w:val="32"/>
          <w:szCs w:val="32"/>
        </w:rPr>
        <w:t>2019年度收、支总计均为115.66万元。完成预算100%。与2018年相比，收入总计增加10.22万元，增长9.7%，支出总计</w:t>
      </w:r>
      <w:r>
        <w:rPr>
          <w:rFonts w:eastAsia="仿宋_GB2312"/>
          <w:color w:val="000000"/>
          <w:spacing w:val="-10"/>
          <w:sz w:val="32"/>
          <w:szCs w:val="32"/>
        </w:rPr>
        <w:t>增加1.57万元，增长1.4%，主要变动原因是人员基本支出的增加。</w:t>
      </w:r>
    </w:p>
    <w:p w14:paraId="6AEC4DDE">
      <w:pPr>
        <w:spacing w:line="600" w:lineRule="exact"/>
        <w:ind w:firstLine="640" w:firstLineChars="200"/>
        <w:rPr>
          <w:rFonts w:eastAsia="仿宋_GB2312"/>
          <w:color w:val="000000" w:themeColor="text1"/>
          <w:sz w:val="32"/>
          <w:szCs w:val="32"/>
        </w:rPr>
      </w:pPr>
      <w:r>
        <w:rPr>
          <w:rFonts w:eastAsia="仿宋_GB2312"/>
          <w:color w:val="000000" w:themeColor="text1"/>
          <w:sz w:val="32"/>
          <w:szCs w:val="32"/>
        </w:rPr>
        <w:t>（图1：收、支决算总计变动情况图）（柱状图）</w:t>
      </w:r>
    </w:p>
    <w:p w14:paraId="6449D721">
      <w:pPr>
        <w:ind w:firstLine="640" w:firstLineChars="200"/>
        <w:rPr>
          <w:rFonts w:eastAsia="仿宋"/>
          <w:color w:val="000000" w:themeColor="text1"/>
          <w:sz w:val="32"/>
          <w:szCs w:val="32"/>
        </w:rPr>
      </w:pPr>
      <w:r>
        <w:rPr>
          <w:rFonts w:eastAsia="仿宋"/>
          <w:color w:val="000000" w:themeColor="text1"/>
          <w:sz w:val="32"/>
          <w:szCs w:val="32"/>
        </w:rPr>
        <w:drawing>
          <wp:inline distT="0" distB="0" distL="0" distR="0">
            <wp:extent cx="4706620" cy="3068955"/>
            <wp:effectExtent l="0" t="0" r="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4AA9205">
      <w:pPr>
        <w:pStyle w:val="23"/>
        <w:numPr>
          <w:ilvl w:val="0"/>
          <w:numId w:val="1"/>
        </w:numPr>
        <w:spacing w:line="600" w:lineRule="exact"/>
        <w:ind w:firstLineChars="0"/>
        <w:outlineLvl w:val="1"/>
        <w:rPr>
          <w:rStyle w:val="25"/>
          <w:rFonts w:ascii="Times New Roman" w:hAnsi="Times New Roman" w:eastAsia="黑体" w:cs="Times New Roman"/>
          <w:b w:val="0"/>
        </w:rPr>
      </w:pPr>
      <w:bookmarkStart w:id="27" w:name="_Toc15396604"/>
      <w:bookmarkStart w:id="28" w:name="_Toc15377206"/>
      <w:r>
        <w:rPr>
          <w:rFonts w:eastAsia="黑体"/>
          <w:color w:val="000000"/>
          <w:sz w:val="32"/>
          <w:szCs w:val="32"/>
        </w:rPr>
        <w:t>收</w:t>
      </w:r>
      <w:r>
        <w:rPr>
          <w:rStyle w:val="25"/>
          <w:rFonts w:ascii="Times New Roman" w:hAnsi="Times New Roman" w:eastAsia="黑体" w:cs="Times New Roman"/>
          <w:b w:val="0"/>
        </w:rPr>
        <w:t>入决算情况说明</w:t>
      </w:r>
      <w:bookmarkEnd w:id="27"/>
      <w:bookmarkEnd w:id="28"/>
    </w:p>
    <w:p w14:paraId="375621D9">
      <w:pPr>
        <w:spacing w:line="600" w:lineRule="exact"/>
        <w:ind w:firstLine="640" w:firstLineChars="200"/>
        <w:outlineLvl w:val="1"/>
        <w:rPr>
          <w:rFonts w:eastAsia="仿宋_GB2312"/>
          <w:color w:val="000000"/>
          <w:sz w:val="32"/>
          <w:szCs w:val="32"/>
        </w:rPr>
      </w:pPr>
      <w:r>
        <w:rPr>
          <w:rFonts w:eastAsia="仿宋_GB2312"/>
          <w:color w:val="000000"/>
          <w:sz w:val="32"/>
          <w:szCs w:val="32"/>
        </w:rPr>
        <w:t>2019年本年收入合计115.66万元，其中：一般公共预算财政拨款收入115.66万元，占100%；政府性基金预算财政拨款收入0万元，占0%；国有资本经营预算财政拨款收入0万元，占0%；事业收入0万元，占0%；经营收入0万元，占0%；附属单位上缴收入0万元，占0%；其他收入0万元，占0%。完成预算100%。</w:t>
      </w:r>
    </w:p>
    <w:p w14:paraId="543ADEDD">
      <w:pPr>
        <w:spacing w:line="600" w:lineRule="exact"/>
        <w:ind w:firstLine="640" w:firstLineChars="200"/>
        <w:rPr>
          <w:rFonts w:eastAsia="仿宋_GB2312"/>
          <w:color w:val="000000" w:themeColor="text1"/>
          <w:sz w:val="32"/>
          <w:szCs w:val="32"/>
        </w:rPr>
      </w:pPr>
      <w:r>
        <w:rPr>
          <w:rFonts w:eastAsia="仿宋_GB2312"/>
          <w:color w:val="000000" w:themeColor="text1"/>
          <w:sz w:val="32"/>
          <w:szCs w:val="32"/>
        </w:rPr>
        <w:t>（图2：收入决算结构图）（饼状图）</w:t>
      </w:r>
    </w:p>
    <w:p w14:paraId="7D5656BF">
      <w:pPr>
        <w:ind w:firstLine="640" w:firstLineChars="200"/>
        <w:rPr>
          <w:rFonts w:eastAsia="仿宋"/>
          <w:color w:val="000000" w:themeColor="text1"/>
          <w:sz w:val="32"/>
          <w:szCs w:val="32"/>
        </w:rPr>
      </w:pPr>
      <w:r>
        <w:rPr>
          <w:rFonts w:eastAsia="仿宋"/>
          <w:color w:val="000000" w:themeColor="text1"/>
          <w:sz w:val="32"/>
          <w:szCs w:val="32"/>
        </w:rPr>
        <w:drawing>
          <wp:inline distT="0" distB="0" distL="0" distR="0">
            <wp:extent cx="4627245" cy="2814320"/>
            <wp:effectExtent l="0" t="0" r="1905" b="508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E05B66C">
      <w:pPr>
        <w:pStyle w:val="23"/>
        <w:numPr>
          <w:ilvl w:val="0"/>
          <w:numId w:val="1"/>
        </w:numPr>
        <w:spacing w:line="600" w:lineRule="exact"/>
        <w:ind w:firstLineChars="0"/>
        <w:outlineLvl w:val="1"/>
        <w:rPr>
          <w:rStyle w:val="25"/>
          <w:rFonts w:ascii="Times New Roman" w:hAnsi="Times New Roman" w:eastAsia="黑体" w:cs="Times New Roman"/>
          <w:b w:val="0"/>
        </w:rPr>
      </w:pPr>
      <w:bookmarkStart w:id="29" w:name="_Toc15377207"/>
      <w:bookmarkStart w:id="30" w:name="_Toc15396605"/>
      <w:r>
        <w:rPr>
          <w:rFonts w:eastAsia="黑体"/>
          <w:color w:val="000000"/>
          <w:sz w:val="32"/>
          <w:szCs w:val="32"/>
        </w:rPr>
        <w:t>支</w:t>
      </w:r>
      <w:r>
        <w:rPr>
          <w:rStyle w:val="25"/>
          <w:rFonts w:ascii="Times New Roman" w:hAnsi="Times New Roman" w:eastAsia="黑体" w:cs="Times New Roman"/>
          <w:b w:val="0"/>
        </w:rPr>
        <w:t>出决算情况说明</w:t>
      </w:r>
      <w:bookmarkEnd w:id="29"/>
      <w:bookmarkEnd w:id="30"/>
    </w:p>
    <w:p w14:paraId="575D2205">
      <w:pPr>
        <w:spacing w:line="600" w:lineRule="exact"/>
        <w:ind w:firstLine="640" w:firstLineChars="200"/>
        <w:outlineLvl w:val="1"/>
        <w:rPr>
          <w:rFonts w:eastAsia="仿宋_GB2312"/>
          <w:color w:val="000000"/>
          <w:sz w:val="32"/>
          <w:szCs w:val="32"/>
        </w:rPr>
      </w:pPr>
      <w:r>
        <w:rPr>
          <w:rFonts w:eastAsia="仿宋_GB2312"/>
          <w:color w:val="000000"/>
          <w:sz w:val="32"/>
          <w:szCs w:val="32"/>
        </w:rPr>
        <w:t>2019年本年支出合计115.66万元，其中：基本支出89.26万元，占77.2%；项目支出26.40万元，占22.8%；上缴上级支出0万元，占0%；经营支出0万元，占0%；对附属单位补助支出0万元，占0%。完成预算100%。</w:t>
      </w:r>
    </w:p>
    <w:p w14:paraId="2056DB8B">
      <w:pPr>
        <w:spacing w:line="600" w:lineRule="exact"/>
        <w:ind w:firstLine="640" w:firstLineChars="200"/>
        <w:rPr>
          <w:rFonts w:eastAsia="仿宋_GB2312"/>
          <w:color w:val="000000" w:themeColor="text1"/>
          <w:sz w:val="32"/>
          <w:szCs w:val="32"/>
        </w:rPr>
      </w:pPr>
      <w:r>
        <w:rPr>
          <w:rFonts w:eastAsia="仿宋_GB2312"/>
          <w:color w:val="000000" w:themeColor="text1"/>
          <w:sz w:val="32"/>
          <w:szCs w:val="32"/>
        </w:rPr>
        <w:t>（图3：支出决算结构图）（饼状图）</w:t>
      </w:r>
    </w:p>
    <w:p w14:paraId="0F62E6FC">
      <w:pPr>
        <w:ind w:firstLine="640" w:firstLineChars="200"/>
        <w:rPr>
          <w:rFonts w:eastAsia="仿宋"/>
          <w:color w:val="000000" w:themeColor="text1"/>
          <w:sz w:val="32"/>
          <w:szCs w:val="32"/>
        </w:rPr>
      </w:pPr>
      <w:r>
        <w:rPr>
          <w:rFonts w:eastAsia="仿宋"/>
          <w:color w:val="000000" w:themeColor="text1"/>
          <w:sz w:val="32"/>
          <w:szCs w:val="32"/>
        </w:rPr>
        <w:drawing>
          <wp:inline distT="0" distB="0" distL="0" distR="0">
            <wp:extent cx="3892550" cy="2647315"/>
            <wp:effectExtent l="19050" t="0" r="12258" b="166"/>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3987D49">
      <w:pPr>
        <w:spacing w:line="600" w:lineRule="exact"/>
        <w:ind w:firstLine="640" w:firstLineChars="200"/>
        <w:outlineLvl w:val="1"/>
        <w:rPr>
          <w:rStyle w:val="25"/>
          <w:rFonts w:ascii="Times New Roman" w:hAnsi="Times New Roman" w:eastAsia="黑体" w:cs="Times New Roman"/>
          <w:b w:val="0"/>
        </w:rPr>
      </w:pPr>
      <w:bookmarkStart w:id="31" w:name="_Toc15377208"/>
      <w:bookmarkStart w:id="32" w:name="_Toc15396606"/>
      <w:r>
        <w:rPr>
          <w:rFonts w:eastAsia="黑体"/>
          <w:color w:val="000000"/>
          <w:sz w:val="32"/>
          <w:szCs w:val="32"/>
        </w:rPr>
        <w:t>四、财</w:t>
      </w:r>
      <w:r>
        <w:rPr>
          <w:rStyle w:val="25"/>
          <w:rFonts w:ascii="Times New Roman" w:hAnsi="Times New Roman" w:eastAsia="黑体" w:cs="Times New Roman"/>
          <w:b w:val="0"/>
        </w:rPr>
        <w:t>政拨款收入支出决算总体情况说明</w:t>
      </w:r>
      <w:bookmarkEnd w:id="31"/>
      <w:bookmarkEnd w:id="32"/>
    </w:p>
    <w:p w14:paraId="71798E79">
      <w:pPr>
        <w:spacing w:line="600" w:lineRule="exact"/>
        <w:ind w:firstLine="640" w:firstLineChars="200"/>
        <w:rPr>
          <w:rFonts w:eastAsia="仿宋_GB2312"/>
          <w:color w:val="000000"/>
          <w:sz w:val="32"/>
          <w:szCs w:val="32"/>
        </w:rPr>
      </w:pPr>
      <w:r>
        <w:rPr>
          <w:rFonts w:eastAsia="仿宋_GB2312"/>
          <w:color w:val="000000"/>
          <w:sz w:val="32"/>
          <w:szCs w:val="32"/>
        </w:rPr>
        <w:t>2019年财政拨款收入总计115.66万元，支出合计115.66万元。与2018年相比，财政拨款收入总计增加收入总计增加10.22万元，增长9.7%，支出总计增加1.57万元，增长1.4%，主要变动原因是人员基本支出的增加。2019年财政拨款支出决算为115.66万元，完成预算100%。</w:t>
      </w:r>
    </w:p>
    <w:p w14:paraId="74BBC39A">
      <w:pPr>
        <w:spacing w:line="600" w:lineRule="exact"/>
        <w:ind w:firstLine="640" w:firstLineChars="200"/>
        <w:rPr>
          <w:rFonts w:eastAsia="仿宋_GB2312"/>
          <w:color w:val="000000" w:themeColor="text1"/>
          <w:sz w:val="32"/>
          <w:szCs w:val="32"/>
        </w:rPr>
      </w:pPr>
      <w:r>
        <w:rPr>
          <w:rFonts w:eastAsia="仿宋_GB2312"/>
          <w:color w:val="000000" w:themeColor="text1"/>
          <w:sz w:val="32"/>
          <w:szCs w:val="32"/>
        </w:rPr>
        <w:t>（图4：财政拨款收、支决算总计变动情况）（柱状图）</w:t>
      </w:r>
    </w:p>
    <w:p w14:paraId="49FD7D04">
      <w:pPr>
        <w:ind w:firstLine="640"/>
        <w:rPr>
          <w:rFonts w:eastAsia="仿宋"/>
          <w:b/>
          <w:color w:val="00B050"/>
          <w:sz w:val="32"/>
          <w:szCs w:val="32"/>
        </w:rPr>
      </w:pPr>
      <w:r>
        <w:rPr>
          <w:rFonts w:eastAsia="仿宋"/>
          <w:b/>
          <w:color w:val="00B050"/>
          <w:sz w:val="32"/>
          <w:szCs w:val="32"/>
        </w:rPr>
        <w:drawing>
          <wp:inline distT="0" distB="0" distL="0" distR="0">
            <wp:extent cx="4337685" cy="2798445"/>
            <wp:effectExtent l="19050" t="0" r="24185" b="149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33E87C">
      <w:pPr>
        <w:spacing w:line="600" w:lineRule="exact"/>
        <w:ind w:firstLine="640" w:firstLineChars="200"/>
        <w:outlineLvl w:val="1"/>
        <w:rPr>
          <w:rStyle w:val="25"/>
          <w:rFonts w:ascii="Times New Roman" w:hAnsi="Times New Roman" w:eastAsia="黑体" w:cs="Times New Roman"/>
          <w:b w:val="0"/>
        </w:rPr>
      </w:pPr>
      <w:bookmarkStart w:id="33" w:name="_Toc15396607"/>
      <w:bookmarkStart w:id="34" w:name="_Toc15377209"/>
      <w:r>
        <w:rPr>
          <w:rFonts w:eastAsia="黑体"/>
          <w:color w:val="000000"/>
          <w:sz w:val="32"/>
          <w:szCs w:val="32"/>
        </w:rPr>
        <w:t>五、</w:t>
      </w:r>
      <w:r>
        <w:rPr>
          <w:rFonts w:eastAsia="黑体"/>
          <w:b/>
          <w:color w:val="000000"/>
          <w:sz w:val="32"/>
          <w:szCs w:val="32"/>
        </w:rPr>
        <w:t>一</w:t>
      </w:r>
      <w:r>
        <w:rPr>
          <w:rStyle w:val="25"/>
          <w:rFonts w:ascii="Times New Roman" w:hAnsi="Times New Roman" w:eastAsia="黑体" w:cs="Times New Roman"/>
          <w:b w:val="0"/>
        </w:rPr>
        <w:t>般公共预算财政拨款支出决算情况说明</w:t>
      </w:r>
      <w:bookmarkEnd w:id="33"/>
      <w:bookmarkEnd w:id="34"/>
    </w:p>
    <w:p w14:paraId="7613F390">
      <w:pPr>
        <w:spacing w:line="600" w:lineRule="exact"/>
        <w:ind w:firstLine="643" w:firstLineChars="200"/>
        <w:outlineLvl w:val="2"/>
        <w:rPr>
          <w:rFonts w:eastAsia="楷体_GB2312"/>
          <w:b/>
          <w:color w:val="000000"/>
          <w:sz w:val="32"/>
          <w:szCs w:val="32"/>
        </w:rPr>
      </w:pPr>
      <w:bookmarkStart w:id="35" w:name="_Toc15377210"/>
      <w:r>
        <w:rPr>
          <w:rFonts w:eastAsia="楷体_GB2312"/>
          <w:b/>
          <w:color w:val="000000"/>
          <w:sz w:val="32"/>
          <w:szCs w:val="32"/>
        </w:rPr>
        <w:t>（一）一般公共预算财政拨款支出决算总体情况</w:t>
      </w:r>
      <w:bookmarkEnd w:id="35"/>
    </w:p>
    <w:p w14:paraId="73161265">
      <w:pPr>
        <w:spacing w:line="600" w:lineRule="exact"/>
        <w:ind w:firstLine="640" w:firstLineChars="200"/>
        <w:rPr>
          <w:rFonts w:eastAsia="仿宋_GB2312"/>
          <w:color w:val="000000"/>
          <w:sz w:val="32"/>
          <w:szCs w:val="32"/>
        </w:rPr>
      </w:pPr>
      <w:r>
        <w:rPr>
          <w:rFonts w:eastAsia="仿宋_GB2312"/>
          <w:color w:val="000000"/>
          <w:sz w:val="32"/>
          <w:szCs w:val="32"/>
        </w:rPr>
        <w:t>2019年一般公共预算财政拨款支出115.66万元，占本年支出合计的100%。完成预算100%。与2018年相比，一般公共预算财政拨款增加1.57万元，增长1.4%。主要变动原因是人员基本支出增加。</w:t>
      </w:r>
    </w:p>
    <w:p w14:paraId="6CCE3BF4">
      <w:pPr>
        <w:spacing w:line="600" w:lineRule="exact"/>
        <w:ind w:firstLine="600" w:firstLineChars="200"/>
        <w:rPr>
          <w:rFonts w:eastAsia="仿宋_GB2312"/>
          <w:color w:val="000000" w:themeColor="text1"/>
          <w:spacing w:val="-10"/>
          <w:sz w:val="32"/>
          <w:szCs w:val="32"/>
        </w:rPr>
      </w:pPr>
      <w:r>
        <w:rPr>
          <w:rFonts w:eastAsia="仿宋_GB2312"/>
          <w:color w:val="000000" w:themeColor="text1"/>
          <w:spacing w:val="-10"/>
          <w:sz w:val="32"/>
          <w:szCs w:val="32"/>
        </w:rPr>
        <w:t>（图5：一般公共预算财政拨款支出决算变动情况）（柱状图）</w:t>
      </w:r>
    </w:p>
    <w:p w14:paraId="692EA05D">
      <w:pPr>
        <w:ind w:firstLine="640" w:firstLineChars="200"/>
        <w:jc w:val="center"/>
        <w:rPr>
          <w:rFonts w:eastAsia="仿宋"/>
          <w:color w:val="000000" w:themeColor="text1"/>
          <w:sz w:val="32"/>
          <w:szCs w:val="32"/>
        </w:rPr>
      </w:pPr>
      <w:r>
        <w:rPr>
          <w:rFonts w:eastAsia="仿宋"/>
          <w:color w:val="000000" w:themeColor="text1"/>
          <w:sz w:val="32"/>
          <w:szCs w:val="32"/>
        </w:rPr>
        <w:drawing>
          <wp:inline distT="0" distB="0" distL="0" distR="0">
            <wp:extent cx="4412615" cy="2814320"/>
            <wp:effectExtent l="0" t="0" r="6985" b="508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E04BE5A">
      <w:pPr>
        <w:ind w:firstLine="643" w:firstLineChars="200"/>
        <w:outlineLvl w:val="2"/>
        <w:rPr>
          <w:rFonts w:eastAsia="楷体_GB2312"/>
          <w:b/>
          <w:color w:val="000000"/>
          <w:sz w:val="32"/>
          <w:szCs w:val="32"/>
        </w:rPr>
      </w:pPr>
      <w:bookmarkStart w:id="36" w:name="_Toc15377211"/>
      <w:r>
        <w:rPr>
          <w:rFonts w:eastAsia="楷体_GB2312"/>
          <w:b/>
          <w:color w:val="000000"/>
          <w:sz w:val="32"/>
          <w:szCs w:val="32"/>
        </w:rPr>
        <w:t>（二）一般公共预算财政拨款支出决算结构情况</w:t>
      </w:r>
      <w:bookmarkEnd w:id="36"/>
    </w:p>
    <w:p w14:paraId="77E1DF12">
      <w:pPr>
        <w:spacing w:line="600" w:lineRule="exact"/>
        <w:ind w:firstLine="641"/>
        <w:rPr>
          <w:rFonts w:eastAsia="仿宋_GB2312"/>
          <w:color w:val="000000" w:themeColor="text1"/>
          <w:sz w:val="32"/>
          <w:szCs w:val="32"/>
        </w:rPr>
      </w:pPr>
      <w:r>
        <w:rPr>
          <w:rFonts w:eastAsia="仿宋_GB2312"/>
          <w:color w:val="000000"/>
          <w:sz w:val="32"/>
          <w:szCs w:val="32"/>
        </w:rPr>
        <w:t>2019年一般公共预算财政拨款支出115.66万元，主要用于以下方面:文化旅游体育与传媒支出97.76万元，占84.5%；社会保障和就业支出7.64万元，占6.6%；医疗卫生支出3.52万元，占3.1%；住房保障支出6.73万元，占5.8%。</w:t>
      </w:r>
    </w:p>
    <w:p w14:paraId="7E936B1C">
      <w:pPr>
        <w:spacing w:line="600" w:lineRule="exact"/>
        <w:ind w:firstLine="641"/>
        <w:rPr>
          <w:rFonts w:eastAsia="仿宋_GB2312"/>
          <w:color w:val="000000"/>
          <w:sz w:val="32"/>
          <w:szCs w:val="32"/>
        </w:rPr>
      </w:pPr>
      <w:r>
        <w:rPr>
          <w:rFonts w:eastAsia="仿宋_GB2312"/>
          <w:color w:val="000000"/>
          <w:sz w:val="32"/>
          <w:szCs w:val="32"/>
        </w:rPr>
        <w:t>（图6：一般公共预算财政拨款支出决算结构）（饼状图）</w:t>
      </w:r>
    </w:p>
    <w:p w14:paraId="154C1339">
      <w:pPr>
        <w:ind w:firstLine="640" w:firstLineChars="200"/>
        <w:jc w:val="center"/>
        <w:rPr>
          <w:rFonts w:eastAsia="仿宋"/>
          <w:color w:val="000000"/>
          <w:sz w:val="32"/>
          <w:szCs w:val="32"/>
        </w:rPr>
      </w:pPr>
      <w:r>
        <w:rPr>
          <w:rFonts w:eastAsia="仿宋"/>
          <w:color w:val="000000"/>
          <w:sz w:val="32"/>
          <w:szCs w:val="32"/>
        </w:rPr>
        <w:drawing>
          <wp:inline distT="0" distB="0" distL="0" distR="0">
            <wp:extent cx="4046855" cy="2536190"/>
            <wp:effectExtent l="0" t="0" r="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9B178C">
      <w:pPr>
        <w:spacing w:line="600" w:lineRule="exact"/>
        <w:ind w:firstLine="643" w:firstLineChars="200"/>
        <w:outlineLvl w:val="2"/>
        <w:rPr>
          <w:rFonts w:eastAsia="楷体_GB2312"/>
          <w:b/>
          <w:color w:val="000000"/>
          <w:sz w:val="32"/>
          <w:szCs w:val="32"/>
        </w:rPr>
      </w:pPr>
      <w:bookmarkStart w:id="37" w:name="_Toc15377212"/>
      <w:r>
        <w:rPr>
          <w:rFonts w:eastAsia="楷体_GB2312"/>
          <w:b/>
          <w:color w:val="000000"/>
          <w:sz w:val="32"/>
          <w:szCs w:val="32"/>
        </w:rPr>
        <w:t>（三）一般公共预算财政拨款支出决算具体情况</w:t>
      </w:r>
      <w:bookmarkEnd w:id="37"/>
    </w:p>
    <w:p w14:paraId="69EFE7BF">
      <w:pPr>
        <w:spacing w:line="600" w:lineRule="exact"/>
        <w:ind w:firstLine="640" w:firstLineChars="200"/>
        <w:rPr>
          <w:rFonts w:eastAsia="仿宋_GB2312"/>
          <w:color w:val="000000"/>
          <w:sz w:val="32"/>
          <w:szCs w:val="32"/>
        </w:rPr>
      </w:pPr>
      <w:r>
        <w:rPr>
          <w:rFonts w:eastAsia="仿宋_GB2312"/>
          <w:color w:val="000000"/>
          <w:sz w:val="32"/>
          <w:szCs w:val="32"/>
        </w:rPr>
        <w:t>2019年般公共预算支出决算数为115.66，完成预算100%。其中：</w:t>
      </w:r>
    </w:p>
    <w:p w14:paraId="00D20A7D">
      <w:pPr>
        <w:spacing w:line="600" w:lineRule="exact"/>
        <w:ind w:firstLine="640" w:firstLineChars="200"/>
        <w:rPr>
          <w:rFonts w:eastAsia="仿宋_GB2312"/>
          <w:color w:val="000000"/>
          <w:sz w:val="32"/>
          <w:szCs w:val="32"/>
        </w:rPr>
      </w:pPr>
      <w:r>
        <w:rPr>
          <w:rFonts w:eastAsia="仿宋_GB2312"/>
          <w:color w:val="000000"/>
          <w:sz w:val="32"/>
          <w:szCs w:val="32"/>
        </w:rPr>
        <w:t>1.文化旅游体育与传媒（类）文化（款）图书馆（项）: 支出决算为97.76万元，完成预算100%。</w:t>
      </w:r>
    </w:p>
    <w:p w14:paraId="177283CD">
      <w:pPr>
        <w:spacing w:line="600" w:lineRule="exact"/>
        <w:ind w:firstLine="640" w:firstLineChars="200"/>
        <w:rPr>
          <w:rFonts w:eastAsia="仿宋_GB2312"/>
          <w:color w:val="000000"/>
          <w:sz w:val="32"/>
          <w:szCs w:val="32"/>
        </w:rPr>
      </w:pPr>
      <w:r>
        <w:rPr>
          <w:rFonts w:eastAsia="仿宋_GB2312"/>
          <w:color w:val="000000"/>
          <w:sz w:val="32"/>
          <w:szCs w:val="32"/>
        </w:rPr>
        <w:t>2.社会保障和就业（类）行政事业单位离退休（款）机关事业单位基本养老保险缴费支出（项）: 支出决算为7.64万元，完成预算100%。</w:t>
      </w:r>
    </w:p>
    <w:p w14:paraId="29B20F64">
      <w:pPr>
        <w:spacing w:line="600" w:lineRule="exact"/>
        <w:ind w:firstLine="640" w:firstLineChars="200"/>
        <w:rPr>
          <w:rFonts w:eastAsia="仿宋_GB2312"/>
          <w:color w:val="000000"/>
          <w:sz w:val="32"/>
          <w:szCs w:val="32"/>
        </w:rPr>
      </w:pPr>
      <w:r>
        <w:rPr>
          <w:rFonts w:eastAsia="仿宋_GB2312"/>
          <w:color w:val="000000"/>
          <w:sz w:val="32"/>
          <w:szCs w:val="32"/>
        </w:rPr>
        <w:t>3.卫生健康（类）行政事业单位医疗（款）事业单位医疗（项）:支出决算为3.12万元，完成预算100%；公务员医疗补助支出决算为0.40万元，完成预算100%。</w:t>
      </w:r>
    </w:p>
    <w:p w14:paraId="4C7D4498">
      <w:pPr>
        <w:spacing w:line="600" w:lineRule="exact"/>
        <w:ind w:firstLine="640" w:firstLineChars="200"/>
        <w:rPr>
          <w:rFonts w:eastAsia="仿宋_GB2312"/>
          <w:color w:val="000000"/>
          <w:sz w:val="32"/>
          <w:szCs w:val="32"/>
        </w:rPr>
      </w:pPr>
      <w:r>
        <w:rPr>
          <w:rFonts w:eastAsia="仿宋_GB2312"/>
          <w:color w:val="000000"/>
          <w:sz w:val="32"/>
          <w:szCs w:val="32"/>
        </w:rPr>
        <w:t>4.住房保障支出（类）住房改革支出（款）住房公积金（项）:支出决算为6.73万元，完成预算100%。</w:t>
      </w:r>
    </w:p>
    <w:p w14:paraId="03117753">
      <w:pPr>
        <w:tabs>
          <w:tab w:val="right" w:pos="8306"/>
        </w:tabs>
        <w:ind w:firstLine="640"/>
        <w:outlineLvl w:val="1"/>
        <w:rPr>
          <w:rStyle w:val="25"/>
          <w:rFonts w:ascii="Times New Roman" w:hAnsi="Times New Roman" w:cs="Times New Roman"/>
        </w:rPr>
      </w:pPr>
      <w:bookmarkStart w:id="38" w:name="_Toc15377214"/>
      <w:bookmarkStart w:id="39" w:name="_Toc15396608"/>
      <w:r>
        <w:rPr>
          <w:rFonts w:eastAsia="黑体"/>
          <w:color w:val="000000"/>
          <w:sz w:val="32"/>
          <w:szCs w:val="32"/>
        </w:rPr>
        <w:t>六</w:t>
      </w:r>
      <w:r>
        <w:rPr>
          <w:rFonts w:eastAsia="黑体"/>
          <w:b/>
          <w:color w:val="000000"/>
          <w:sz w:val="32"/>
          <w:szCs w:val="32"/>
        </w:rPr>
        <w:t>、一</w:t>
      </w:r>
      <w:r>
        <w:rPr>
          <w:rStyle w:val="25"/>
          <w:rFonts w:ascii="Times New Roman" w:hAnsi="Times New Roman" w:eastAsia="黑体" w:cs="Times New Roman"/>
          <w:b w:val="0"/>
        </w:rPr>
        <w:t>般公共预算财政拨款基本支出决算情况说明</w:t>
      </w:r>
      <w:bookmarkEnd w:id="38"/>
      <w:bookmarkEnd w:id="39"/>
      <w:r>
        <w:rPr>
          <w:rStyle w:val="25"/>
          <w:rFonts w:ascii="Times New Roman" w:hAnsi="Times New Roman" w:eastAsia="黑体" w:cs="Times New Roman"/>
          <w:b w:val="0"/>
        </w:rPr>
        <w:tab/>
      </w:r>
    </w:p>
    <w:p w14:paraId="6964DB1E">
      <w:pPr>
        <w:ind w:firstLine="645"/>
        <w:rPr>
          <w:rFonts w:eastAsia="仿宋_GB2312"/>
          <w:color w:val="000000"/>
          <w:sz w:val="32"/>
          <w:szCs w:val="32"/>
        </w:rPr>
      </w:pPr>
      <w:r>
        <w:rPr>
          <w:rFonts w:eastAsia="仿宋_GB2312"/>
          <w:color w:val="000000"/>
          <w:sz w:val="32"/>
          <w:szCs w:val="32"/>
        </w:rPr>
        <w:t>2019年一般公共预算财政拨款基本支出115.66万元，其中：人员经费81.91万元，主要包括：基本工资、津贴补贴、奖金、绩效工资、机关事业单位基本养老保险缴费、其他社会保障缴费、其他工资福利支出、退休费、抚恤金、生活补助、医疗费、奖励金、住房公积金等。</w:t>
      </w:r>
      <w:r>
        <w:rPr>
          <w:rFonts w:eastAsia="仿宋_GB2312"/>
          <w:color w:val="000000"/>
          <w:sz w:val="32"/>
          <w:szCs w:val="32"/>
        </w:rPr>
        <w:br w:type="textWrapping"/>
      </w:r>
      <w:r>
        <w:rPr>
          <w:rFonts w:eastAsia="仿宋_GB2312"/>
          <w:color w:val="000000"/>
          <w:sz w:val="32"/>
          <w:szCs w:val="32"/>
        </w:rPr>
        <w:t>　　</w:t>
      </w:r>
      <w:r>
        <w:rPr>
          <w:rFonts w:eastAsia="仿宋"/>
          <w:color w:val="000000"/>
          <w:sz w:val="32"/>
          <w:szCs w:val="32"/>
        </w:rPr>
        <w:t>日常</w:t>
      </w:r>
      <w:r>
        <w:rPr>
          <w:rFonts w:eastAsia="仿宋_GB2312"/>
          <w:color w:val="000000"/>
          <w:sz w:val="32"/>
          <w:szCs w:val="32"/>
        </w:rPr>
        <w:t>公用经费7.35万元，主要包括：办公费、水费、电费、邮电费、差旅费、公务接待费、劳务费、委托业务费、福利费、公务用车运行维护费、其他商品和服务支出等。</w:t>
      </w:r>
    </w:p>
    <w:p w14:paraId="7EACE8D0">
      <w:pPr>
        <w:spacing w:line="600" w:lineRule="exact"/>
        <w:ind w:firstLine="640"/>
        <w:outlineLvl w:val="1"/>
        <w:rPr>
          <w:rStyle w:val="25"/>
          <w:rFonts w:ascii="Times New Roman" w:hAnsi="Times New Roman" w:eastAsia="黑体" w:cs="Times New Roman"/>
          <w:b w:val="0"/>
        </w:rPr>
      </w:pPr>
      <w:bookmarkStart w:id="40" w:name="_Toc15396609"/>
      <w:bookmarkStart w:id="41" w:name="_Toc15377215"/>
      <w:r>
        <w:rPr>
          <w:rFonts w:eastAsia="黑体"/>
          <w:color w:val="000000"/>
          <w:sz w:val="32"/>
          <w:szCs w:val="32"/>
        </w:rPr>
        <w:t>七、</w:t>
      </w:r>
      <w:r>
        <w:rPr>
          <w:rStyle w:val="25"/>
          <w:rFonts w:ascii="Times New Roman" w:hAnsi="Times New Roman" w:eastAsia="黑体" w:cs="Times New Roman"/>
        </w:rPr>
        <w:t>“</w:t>
      </w:r>
      <w:r>
        <w:rPr>
          <w:rStyle w:val="25"/>
          <w:rFonts w:ascii="Times New Roman" w:hAnsi="Times New Roman" w:eastAsia="黑体" w:cs="Times New Roman"/>
          <w:b w:val="0"/>
        </w:rPr>
        <w:t>三公”经费财政拨款支出决算情况说明</w:t>
      </w:r>
      <w:bookmarkEnd w:id="40"/>
      <w:bookmarkEnd w:id="41"/>
    </w:p>
    <w:p w14:paraId="3B0978C9">
      <w:pPr>
        <w:spacing w:line="600" w:lineRule="exact"/>
        <w:ind w:firstLine="640"/>
        <w:outlineLvl w:val="2"/>
        <w:rPr>
          <w:rFonts w:eastAsia="楷体_GB2312"/>
          <w:b/>
          <w:color w:val="000000"/>
          <w:sz w:val="32"/>
          <w:szCs w:val="32"/>
        </w:rPr>
      </w:pPr>
      <w:bookmarkStart w:id="42" w:name="_Toc15377216"/>
      <w:r>
        <w:rPr>
          <w:rFonts w:eastAsia="楷体_GB2312"/>
          <w:b/>
          <w:color w:val="000000"/>
          <w:sz w:val="32"/>
          <w:szCs w:val="32"/>
        </w:rPr>
        <w:t>（一）“三公”经费财政拨款支出决算总体情况说明</w:t>
      </w:r>
      <w:bookmarkEnd w:id="42"/>
    </w:p>
    <w:p w14:paraId="194CEB76">
      <w:pPr>
        <w:spacing w:line="600" w:lineRule="exact"/>
        <w:ind w:firstLine="640"/>
        <w:rPr>
          <w:rFonts w:eastAsia="仿宋_GB2312"/>
          <w:color w:val="000000"/>
          <w:sz w:val="32"/>
          <w:szCs w:val="32"/>
        </w:rPr>
      </w:pPr>
      <w:r>
        <w:rPr>
          <w:rFonts w:eastAsia="仿宋_GB2312"/>
          <w:color w:val="000000"/>
          <w:sz w:val="32"/>
          <w:szCs w:val="32"/>
        </w:rPr>
        <w:t>2019年“三公”经费财政拨款支出决算为7.35万元，完成预算100%。</w:t>
      </w:r>
    </w:p>
    <w:p w14:paraId="28A45A55">
      <w:pPr>
        <w:spacing w:line="600" w:lineRule="exact"/>
        <w:ind w:firstLine="640"/>
        <w:outlineLvl w:val="2"/>
        <w:rPr>
          <w:rFonts w:eastAsia="楷体_GB2312"/>
          <w:b/>
          <w:color w:val="000000"/>
          <w:sz w:val="32"/>
          <w:szCs w:val="32"/>
        </w:rPr>
      </w:pPr>
      <w:bookmarkStart w:id="43" w:name="_Toc15377217"/>
      <w:r>
        <w:rPr>
          <w:rFonts w:eastAsia="楷体_GB2312"/>
          <w:b/>
          <w:color w:val="000000"/>
          <w:sz w:val="32"/>
          <w:szCs w:val="32"/>
        </w:rPr>
        <w:t>（二）“三公”经费财政拨款支出决算具体情况说明</w:t>
      </w:r>
      <w:bookmarkEnd w:id="43"/>
    </w:p>
    <w:p w14:paraId="6A051C98">
      <w:pPr>
        <w:spacing w:line="600" w:lineRule="exact"/>
        <w:ind w:firstLine="640"/>
        <w:rPr>
          <w:rFonts w:eastAsia="仿宋_GB2312"/>
          <w:color w:val="000000"/>
          <w:sz w:val="32"/>
          <w:szCs w:val="32"/>
        </w:rPr>
      </w:pPr>
      <w:r>
        <w:rPr>
          <w:rFonts w:eastAsia="仿宋_GB2312"/>
          <w:color w:val="000000"/>
          <w:sz w:val="32"/>
          <w:szCs w:val="32"/>
        </w:rPr>
        <w:t>2019年“三公”经费财政拨款支出决算中，因公出国（境）费支出决算0万元，占0%；公务用车购置及运行维护费支出决算0.57万元，占7.8%；公务接待费支出决算0.09万元，占1.2%。具体情况如下：</w:t>
      </w:r>
    </w:p>
    <w:p w14:paraId="3ABBE08E">
      <w:pPr>
        <w:spacing w:line="600" w:lineRule="exact"/>
        <w:ind w:firstLine="640"/>
        <w:rPr>
          <w:rFonts w:eastAsia="仿宋_GB2312"/>
          <w:color w:val="000000"/>
          <w:sz w:val="32"/>
          <w:szCs w:val="32"/>
        </w:rPr>
      </w:pPr>
      <w:r>
        <w:rPr>
          <w:rFonts w:eastAsia="仿宋_GB2312"/>
          <w:color w:val="000000"/>
          <w:sz w:val="32"/>
          <w:szCs w:val="32"/>
        </w:rPr>
        <w:t>（图7：“三公”经费财政拨款支出结构）（饼状图）</w:t>
      </w:r>
    </w:p>
    <w:p w14:paraId="4E80E85A">
      <w:pPr>
        <w:spacing w:line="600" w:lineRule="exact"/>
        <w:ind w:firstLine="640"/>
        <w:rPr>
          <w:rFonts w:eastAsia="仿宋_GB2312"/>
          <w:color w:val="000000"/>
          <w:sz w:val="32"/>
          <w:szCs w:val="32"/>
        </w:rPr>
      </w:pPr>
      <w:r>
        <w:rPr>
          <w:rFonts w:eastAsia="仿宋_GB2312"/>
          <w:color w:val="000000"/>
          <w:sz w:val="32"/>
          <w:szCs w:val="32"/>
        </w:rPr>
        <w:t>1.公务用车购置及运行维护费支出0.57万元,</w:t>
      </w:r>
      <w:r>
        <w:rPr>
          <w:rStyle w:val="14"/>
          <w:rFonts w:eastAsia="仿宋_GB2312"/>
          <w:b w:val="0"/>
          <w:bCs/>
          <w:color w:val="000000"/>
          <w:sz w:val="32"/>
          <w:szCs w:val="32"/>
        </w:rPr>
        <w:t>完成预算100%。</w:t>
      </w:r>
      <w:r>
        <w:rPr>
          <w:rFonts w:eastAsia="仿宋_GB2312"/>
          <w:color w:val="000000"/>
          <w:sz w:val="32"/>
          <w:szCs w:val="32"/>
        </w:rPr>
        <w:t>公务用车购置及运行维护费支出决算比2018年增加0.18万元，增长46%。主要原因是汽车维修维护费用增加。</w:t>
      </w:r>
    </w:p>
    <w:p w14:paraId="5AA5CBD3">
      <w:pPr>
        <w:spacing w:line="600" w:lineRule="exact"/>
        <w:ind w:firstLine="640" w:firstLineChars="200"/>
        <w:rPr>
          <w:rFonts w:eastAsia="仿宋_GB2312"/>
          <w:color w:val="000000"/>
          <w:sz w:val="32"/>
          <w:szCs w:val="32"/>
        </w:rPr>
      </w:pPr>
      <w:r>
        <w:rPr>
          <w:rFonts w:eastAsia="仿宋_GB2312"/>
          <w:color w:val="000000"/>
          <w:sz w:val="32"/>
          <w:szCs w:val="32"/>
        </w:rPr>
        <w:t>公务用车运行维护费支出0.57万元。主要用于送书下乡、流动服务等所需的公务用车燃料费、维修费、过路过桥费、保险费等支出。</w:t>
      </w:r>
    </w:p>
    <w:p w14:paraId="2E70C659">
      <w:pPr>
        <w:spacing w:line="600" w:lineRule="exact"/>
        <w:ind w:firstLine="640"/>
        <w:rPr>
          <w:rFonts w:eastAsia="仿宋_GB2312"/>
          <w:color w:val="000000"/>
          <w:sz w:val="32"/>
          <w:szCs w:val="32"/>
        </w:rPr>
      </w:pPr>
      <w:r>
        <w:rPr>
          <w:rFonts w:eastAsia="仿宋_GB2312"/>
          <w:color w:val="000000"/>
          <w:sz w:val="32"/>
          <w:szCs w:val="32"/>
        </w:rPr>
        <w:t>2.公务接待费支出0.09万元，</w:t>
      </w:r>
      <w:r>
        <w:rPr>
          <w:rStyle w:val="14"/>
          <w:rFonts w:eastAsia="仿宋_GB2312"/>
          <w:b w:val="0"/>
          <w:bCs/>
          <w:color w:val="000000"/>
          <w:sz w:val="32"/>
          <w:szCs w:val="32"/>
        </w:rPr>
        <w:t>完成预算100%。</w:t>
      </w:r>
      <w:r>
        <w:rPr>
          <w:rFonts w:eastAsia="仿宋_GB2312"/>
          <w:color w:val="000000"/>
          <w:sz w:val="32"/>
          <w:szCs w:val="32"/>
        </w:rPr>
        <w:t>公务接待费支出决算比2018年增加0.09万元，增长100%。主要原因是2018年未产生公务接待，2019年因工作需要产生了公务接待。</w:t>
      </w:r>
    </w:p>
    <w:p w14:paraId="368DB3E3">
      <w:pPr>
        <w:spacing w:line="600" w:lineRule="exact"/>
        <w:ind w:firstLine="640" w:firstLineChars="200"/>
        <w:rPr>
          <w:rFonts w:eastAsia="仿宋_GB2312"/>
          <w:color w:val="000000"/>
          <w:sz w:val="32"/>
          <w:szCs w:val="32"/>
        </w:rPr>
      </w:pPr>
      <w:r>
        <w:rPr>
          <w:rFonts w:eastAsia="仿宋_GB2312"/>
          <w:color w:val="000000"/>
          <w:sz w:val="32"/>
          <w:szCs w:val="32"/>
        </w:rPr>
        <w:t>主要用于执行公务用餐费。国内公务接待1批次，5人次（不包括陪同人员），共计支出0.09万元，具体内容四川省中心图书馆委员会办公室调研我馆读者活动、安全保卫、人事管理等相关工作。公务用餐共计0.09万元。</w:t>
      </w:r>
    </w:p>
    <w:p w14:paraId="3C1FA335">
      <w:pPr>
        <w:spacing w:line="600" w:lineRule="exact"/>
        <w:ind w:firstLine="640"/>
        <w:outlineLvl w:val="1"/>
        <w:rPr>
          <w:rStyle w:val="25"/>
          <w:rFonts w:ascii="Times New Roman" w:hAnsi="Times New Roman" w:eastAsia="黑体" w:cs="Times New Roman"/>
        </w:rPr>
      </w:pPr>
      <w:bookmarkStart w:id="44" w:name="_Toc15396610"/>
      <w:bookmarkStart w:id="45" w:name="_Toc15377218"/>
      <w:r>
        <w:rPr>
          <w:rFonts w:eastAsia="黑体"/>
          <w:color w:val="000000"/>
          <w:sz w:val="32"/>
          <w:szCs w:val="32"/>
        </w:rPr>
        <w:t>八、</w:t>
      </w:r>
      <w:r>
        <w:rPr>
          <w:rStyle w:val="25"/>
          <w:rFonts w:ascii="Times New Roman" w:hAnsi="Times New Roman" w:eastAsia="黑体" w:cs="Times New Roman"/>
          <w:b w:val="0"/>
        </w:rPr>
        <w:t>政府性基金预算支出决算情况说明</w:t>
      </w:r>
      <w:bookmarkEnd w:id="44"/>
      <w:bookmarkEnd w:id="45"/>
    </w:p>
    <w:p w14:paraId="757C3DB7">
      <w:pPr>
        <w:spacing w:line="600" w:lineRule="exact"/>
        <w:ind w:firstLine="640"/>
        <w:rPr>
          <w:rFonts w:eastAsia="仿宋_GB2312"/>
          <w:color w:val="000000"/>
          <w:sz w:val="32"/>
          <w:szCs w:val="32"/>
        </w:rPr>
      </w:pPr>
      <w:r>
        <w:rPr>
          <w:rFonts w:eastAsia="仿宋_GB2312"/>
          <w:color w:val="000000"/>
          <w:sz w:val="32"/>
          <w:szCs w:val="32"/>
        </w:rPr>
        <w:t>2019年政府性基金预算财政拨款收、支总计0万元。</w:t>
      </w:r>
    </w:p>
    <w:p w14:paraId="58169D41">
      <w:pPr>
        <w:numPr>
          <w:ilvl w:val="0"/>
          <w:numId w:val="2"/>
        </w:numPr>
        <w:spacing w:line="600" w:lineRule="exact"/>
        <w:ind w:firstLine="640"/>
        <w:outlineLvl w:val="1"/>
        <w:rPr>
          <w:rStyle w:val="25"/>
          <w:rFonts w:ascii="Times New Roman" w:hAnsi="Times New Roman" w:eastAsia="黑体" w:cs="Times New Roman"/>
          <w:b w:val="0"/>
        </w:rPr>
      </w:pPr>
      <w:bookmarkStart w:id="46" w:name="_Toc15377219"/>
      <w:bookmarkStart w:id="47" w:name="_Toc15396611"/>
      <w:r>
        <w:rPr>
          <w:rStyle w:val="25"/>
          <w:rFonts w:ascii="Times New Roman" w:hAnsi="Times New Roman" w:eastAsia="黑体" w:cs="Times New Roman"/>
          <w:b w:val="0"/>
        </w:rPr>
        <w:t>国有资本经营预算支出决算情况说明</w:t>
      </w:r>
      <w:bookmarkEnd w:id="46"/>
      <w:bookmarkEnd w:id="47"/>
    </w:p>
    <w:p w14:paraId="3289F102">
      <w:pPr>
        <w:spacing w:line="600" w:lineRule="exact"/>
        <w:ind w:firstLine="640"/>
        <w:rPr>
          <w:rFonts w:eastAsia="仿宋_GB2312"/>
          <w:color w:val="000000"/>
          <w:sz w:val="32"/>
          <w:szCs w:val="32"/>
        </w:rPr>
      </w:pPr>
      <w:r>
        <w:rPr>
          <w:rFonts w:eastAsia="仿宋_GB2312"/>
          <w:color w:val="000000"/>
          <w:sz w:val="32"/>
          <w:szCs w:val="32"/>
        </w:rPr>
        <w:t>2019年国有资本经营预算拨款支出0万元。</w:t>
      </w:r>
    </w:p>
    <w:p w14:paraId="03EBED49">
      <w:pPr>
        <w:spacing w:line="600" w:lineRule="exact"/>
        <w:ind w:firstLine="640" w:firstLineChars="200"/>
        <w:outlineLvl w:val="1"/>
        <w:rPr>
          <w:rStyle w:val="25"/>
          <w:rFonts w:ascii="Times New Roman" w:hAnsi="Times New Roman" w:eastAsia="黑体" w:cs="Times New Roman"/>
        </w:rPr>
      </w:pPr>
      <w:bookmarkStart w:id="48" w:name="_Toc15396612"/>
      <w:bookmarkStart w:id="49" w:name="_Toc15377221"/>
      <w:r>
        <w:rPr>
          <w:rFonts w:eastAsia="黑体"/>
          <w:color w:val="000000"/>
          <w:sz w:val="32"/>
          <w:szCs w:val="32"/>
        </w:rPr>
        <w:t>十</w:t>
      </w:r>
      <w:r>
        <w:rPr>
          <w:rStyle w:val="25"/>
          <w:rFonts w:ascii="Times New Roman" w:hAnsi="Times New Roman" w:eastAsia="黑体" w:cs="Times New Roman"/>
        </w:rPr>
        <w:t>、</w:t>
      </w:r>
      <w:r>
        <w:rPr>
          <w:rStyle w:val="25"/>
          <w:rFonts w:ascii="Times New Roman" w:hAnsi="Times New Roman" w:eastAsia="黑体" w:cs="Times New Roman"/>
          <w:b w:val="0"/>
        </w:rPr>
        <w:t>其他重要事项的情况说明</w:t>
      </w:r>
      <w:bookmarkEnd w:id="48"/>
      <w:bookmarkEnd w:id="49"/>
    </w:p>
    <w:p w14:paraId="0F22E941">
      <w:pPr>
        <w:spacing w:line="600" w:lineRule="exact"/>
        <w:ind w:firstLine="640"/>
        <w:outlineLvl w:val="2"/>
        <w:rPr>
          <w:rFonts w:eastAsia="楷体_GB2312"/>
          <w:b/>
          <w:color w:val="000000"/>
          <w:sz w:val="32"/>
          <w:szCs w:val="32"/>
        </w:rPr>
      </w:pPr>
      <w:bookmarkStart w:id="50" w:name="_Toc15377223"/>
      <w:r>
        <w:rPr>
          <w:rFonts w:eastAsia="楷体_GB2312"/>
          <w:b/>
          <w:color w:val="000000"/>
          <w:sz w:val="32"/>
          <w:szCs w:val="32"/>
        </w:rPr>
        <w:t>（一）政府采购支出情况</w:t>
      </w:r>
      <w:bookmarkEnd w:id="50"/>
    </w:p>
    <w:p w14:paraId="17785FD8">
      <w:pPr>
        <w:spacing w:line="600" w:lineRule="exact"/>
        <w:ind w:firstLine="640" w:firstLineChars="200"/>
        <w:rPr>
          <w:rFonts w:eastAsia="仿宋_GB2312"/>
          <w:color w:val="000000"/>
          <w:sz w:val="32"/>
          <w:szCs w:val="32"/>
        </w:rPr>
      </w:pPr>
      <w:r>
        <w:rPr>
          <w:rFonts w:eastAsia="仿宋_GB2312"/>
          <w:color w:val="000000"/>
          <w:sz w:val="32"/>
          <w:szCs w:val="32"/>
        </w:rPr>
        <w:t>2019年，政府采购支出总额0万元。</w:t>
      </w:r>
    </w:p>
    <w:p w14:paraId="5D99D9EE">
      <w:pPr>
        <w:spacing w:line="600" w:lineRule="exact"/>
        <w:ind w:firstLine="640"/>
        <w:outlineLvl w:val="2"/>
        <w:rPr>
          <w:rFonts w:eastAsia="楷体_GB2312"/>
          <w:b/>
          <w:color w:val="000000"/>
          <w:sz w:val="32"/>
          <w:szCs w:val="32"/>
        </w:rPr>
      </w:pPr>
      <w:bookmarkStart w:id="51" w:name="_Toc15377224"/>
      <w:r>
        <w:rPr>
          <w:rFonts w:eastAsia="楷体_GB2312"/>
          <w:b/>
          <w:color w:val="000000"/>
          <w:sz w:val="32"/>
          <w:szCs w:val="32"/>
        </w:rPr>
        <w:t>（二）国有资产占有使用情况</w:t>
      </w:r>
      <w:bookmarkEnd w:id="51"/>
    </w:p>
    <w:p w14:paraId="111AE84D">
      <w:pPr>
        <w:autoSpaceDE w:val="0"/>
        <w:autoSpaceDN w:val="0"/>
        <w:adjustRightInd w:val="0"/>
        <w:spacing w:line="600" w:lineRule="exact"/>
        <w:ind w:firstLine="640" w:firstLineChars="200"/>
        <w:jc w:val="left"/>
        <w:rPr>
          <w:rFonts w:eastAsia="仿宋_GB2312"/>
          <w:b/>
          <w:color w:val="FF0000"/>
          <w:sz w:val="32"/>
          <w:szCs w:val="32"/>
        </w:rPr>
      </w:pPr>
      <w:r>
        <w:rPr>
          <w:rFonts w:eastAsia="仿宋_GB2312"/>
          <w:color w:val="000000"/>
          <w:sz w:val="32"/>
          <w:szCs w:val="32"/>
        </w:rPr>
        <w:t>截至2019年12月31日，图书馆共有车辆1辆，其中：公务用车1辆，</w:t>
      </w:r>
      <w:r>
        <w:rPr>
          <w:rFonts w:eastAsia="仿宋_GB2312"/>
          <w:color w:val="000000" w:themeColor="text1"/>
          <w:sz w:val="32"/>
          <w:szCs w:val="32"/>
        </w:rPr>
        <w:t>主要是用于送书下乡及图书馆流动服务。</w:t>
      </w:r>
    </w:p>
    <w:p w14:paraId="7861D2D3">
      <w:pPr>
        <w:autoSpaceDE w:val="0"/>
        <w:autoSpaceDN w:val="0"/>
        <w:adjustRightInd w:val="0"/>
        <w:spacing w:line="600" w:lineRule="exact"/>
        <w:ind w:firstLine="643" w:firstLineChars="200"/>
        <w:jc w:val="left"/>
        <w:outlineLvl w:val="2"/>
        <w:rPr>
          <w:rFonts w:eastAsia="仿宋_GB2312"/>
          <w:b/>
          <w:color w:val="000000"/>
          <w:sz w:val="32"/>
          <w:szCs w:val="32"/>
        </w:rPr>
      </w:pPr>
      <w:r>
        <w:rPr>
          <w:rFonts w:eastAsia="楷体_GB2312"/>
          <w:b/>
          <w:color w:val="000000"/>
          <w:sz w:val="32"/>
          <w:szCs w:val="32"/>
        </w:rPr>
        <w:t>（三）预算绩效管理情况。</w:t>
      </w:r>
    </w:p>
    <w:p w14:paraId="772E38E3">
      <w:pPr>
        <w:spacing w:line="600" w:lineRule="exact"/>
        <w:ind w:firstLine="640" w:firstLineChars="200"/>
        <w:rPr>
          <w:rFonts w:eastAsia="仿宋_GB2312"/>
          <w:sz w:val="32"/>
          <w:szCs w:val="32"/>
        </w:rPr>
      </w:pPr>
      <w:r>
        <w:rPr>
          <w:rFonts w:eastAsia="仿宋_GB2312"/>
          <w:sz w:val="32"/>
          <w:szCs w:val="32"/>
        </w:rPr>
        <w:t>根据预算绩效管理要求，本部门在年初预算编制阶段，组织对图书馆免费开放运行项目开展了预算事前绩效评估，对3个项目编制了绩效目标，预算执行过程中，开展绩效监控，年终执行完毕后，对部门整体支出开展绩效自评。</w:t>
      </w:r>
    </w:p>
    <w:p w14:paraId="6E34DBEF">
      <w:pPr>
        <w:spacing w:line="600" w:lineRule="exact"/>
        <w:ind w:firstLine="627" w:firstLineChars="196"/>
        <w:rPr>
          <w:rFonts w:eastAsia="仿宋_GB2312"/>
          <w:sz w:val="32"/>
          <w:szCs w:val="32"/>
        </w:rPr>
      </w:pPr>
      <w:r>
        <w:rPr>
          <w:rFonts w:eastAsia="仿宋_GB2312"/>
          <w:sz w:val="32"/>
          <w:szCs w:val="32"/>
        </w:rPr>
        <w:t>1.项目绩效目标完成情况。</w:t>
      </w:r>
      <w:r>
        <w:rPr>
          <w:rFonts w:eastAsia="仿宋_GB2312"/>
          <w:sz w:val="32"/>
          <w:szCs w:val="32"/>
        </w:rPr>
        <w:br w:type="textWrapping"/>
      </w:r>
      <w:r>
        <w:rPr>
          <w:rFonts w:eastAsia="仿宋_GB2312"/>
          <w:sz w:val="32"/>
          <w:szCs w:val="32"/>
        </w:rPr>
        <w:t xml:space="preserve">    本部门在2019年度部门决算中反映“图书馆免费开放基本运行（政府购买服务）”“公共数字文化服务”“报刊征订”3个项目绩效目标实际完成情况。</w:t>
      </w:r>
    </w:p>
    <w:p w14:paraId="446C7A76">
      <w:pPr>
        <w:spacing w:line="600" w:lineRule="exact"/>
        <w:ind w:firstLine="640" w:firstLineChars="200"/>
        <w:rPr>
          <w:rFonts w:eastAsia="仿宋_GB2312"/>
          <w:sz w:val="32"/>
          <w:szCs w:val="32"/>
        </w:rPr>
      </w:pPr>
      <w:r>
        <w:rPr>
          <w:rFonts w:eastAsia="仿宋_GB2312"/>
          <w:sz w:val="32"/>
          <w:szCs w:val="32"/>
        </w:rPr>
        <w:t>（1）图书馆免费开放基本运行（政府购买服务）项目绩效目标完成情况综述。项目全年预算数19.22万元，执行数为19.22万元，完成预算的100%。通过项目实施，有效保障了图书馆全年免费开放的正常运行，组织开展各种全民阅读推广活动，丰富了群众文化生活，发挥了图书馆社会教育职能及公共文化服务职能，助推我县创建全国文明城市工作的开展。</w:t>
      </w:r>
      <w:r>
        <w:rPr>
          <w:rFonts w:eastAsia="仿宋_GB2312"/>
          <w:color w:val="000000"/>
          <w:sz w:val="32"/>
          <w:szCs w:val="32"/>
        </w:rPr>
        <w:t>2019年荣获四川省图书馆学会授予的“全民阅读示范基地”荣誉称号和</w:t>
      </w:r>
      <w:r>
        <w:rPr>
          <w:rFonts w:eastAsia="仿宋_GB2312"/>
          <w:sz w:val="32"/>
          <w:szCs w:val="32"/>
        </w:rPr>
        <w:t>“全民阅读优秀竞赛组织奖”。发现的主要问题：该项目经费主要用于购买服务，支付劳务人员的劳务费。相对来说此经费不够充足，所以我们支付的劳务费</w:t>
      </w:r>
    </w:p>
    <w:p w14:paraId="36DC6682">
      <w:pPr>
        <w:spacing w:line="600" w:lineRule="exact"/>
        <w:ind w:firstLine="640" w:firstLineChars="200"/>
        <w:rPr>
          <w:rFonts w:eastAsia="仿宋_GB2312"/>
          <w:sz w:val="32"/>
          <w:szCs w:val="32"/>
        </w:rPr>
      </w:pPr>
      <w:r>
        <w:rPr>
          <w:rFonts w:eastAsia="仿宋_GB2312"/>
          <w:sz w:val="32"/>
          <w:szCs w:val="32"/>
        </w:rPr>
        <w:t>在同等工作情况中居于中下水平，不能很好的激发劳务人员的工作积极性。下一步改进措施：适当增加劳务人员工资，有效激发工资积极性，让人员岗位相对稳定。</w:t>
      </w:r>
    </w:p>
    <w:p w14:paraId="6B3754CC">
      <w:pPr>
        <w:ind w:firstLine="640" w:firstLineChars="200"/>
        <w:jc w:val="center"/>
        <w:rPr>
          <w:rFonts w:eastAsia="仿宋_GB2312"/>
          <w:sz w:val="32"/>
          <w:szCs w:val="32"/>
        </w:rPr>
      </w:pPr>
      <w:r>
        <w:rPr>
          <w:rFonts w:eastAsia="黑体"/>
          <w:bCs/>
          <w:color w:val="000000"/>
          <w:kern w:val="0"/>
          <w:sz w:val="32"/>
          <w:szCs w:val="32"/>
        </w:rPr>
        <w:t>项目支出绩效目标完成情况表</w:t>
      </w:r>
      <w:r>
        <w:rPr>
          <w:bCs/>
          <w:color w:val="000000"/>
          <w:kern w:val="0"/>
          <w:sz w:val="32"/>
          <w:szCs w:val="32"/>
        </w:rPr>
        <w:br w:type="textWrapping"/>
      </w:r>
      <w:r>
        <w:rPr>
          <w:color w:val="000000"/>
          <w:kern w:val="0"/>
          <w:sz w:val="32"/>
          <w:szCs w:val="32"/>
        </w:rPr>
        <w:t>(2019 年度)</w:t>
      </w:r>
    </w:p>
    <w:tbl>
      <w:tblPr>
        <w:tblStyle w:val="12"/>
        <w:tblpPr w:leftFromText="180" w:rightFromText="180" w:vertAnchor="text" w:horzAnchor="margin" w:tblpXSpec="center" w:tblpY="377"/>
        <w:tblOverlap w:val="never"/>
        <w:tblW w:w="10080" w:type="dxa"/>
        <w:tblInd w:w="0" w:type="dxa"/>
        <w:tblLayout w:type="fixed"/>
        <w:tblCellMar>
          <w:top w:w="0" w:type="dxa"/>
          <w:left w:w="0" w:type="dxa"/>
          <w:bottom w:w="0" w:type="dxa"/>
          <w:right w:w="0" w:type="dxa"/>
        </w:tblCellMar>
      </w:tblPr>
      <w:tblGrid>
        <w:gridCol w:w="1291"/>
        <w:gridCol w:w="992"/>
        <w:gridCol w:w="851"/>
        <w:gridCol w:w="1701"/>
        <w:gridCol w:w="2693"/>
        <w:gridCol w:w="40"/>
        <w:gridCol w:w="2512"/>
      </w:tblGrid>
      <w:tr w14:paraId="2FA3BBEE">
        <w:tblPrEx>
          <w:tblCellMar>
            <w:top w:w="0" w:type="dxa"/>
            <w:left w:w="0" w:type="dxa"/>
            <w:bottom w:w="0" w:type="dxa"/>
            <w:right w:w="0" w:type="dxa"/>
          </w:tblCellMar>
        </w:tblPrEx>
        <w:trPr>
          <w:trHeight w:val="276" w:hRule="atLeast"/>
        </w:trPr>
        <w:tc>
          <w:tcPr>
            <w:tcW w:w="313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73FF8B">
            <w:pPr>
              <w:widowControl/>
              <w:textAlignment w:val="center"/>
              <w:rPr>
                <w:rFonts w:eastAsia="仿宋_GB2312"/>
                <w:color w:val="000000"/>
                <w:kern w:val="0"/>
                <w:sz w:val="15"/>
                <w:szCs w:val="15"/>
              </w:rPr>
            </w:pPr>
            <w:r>
              <w:rPr>
                <w:rFonts w:eastAsia="仿宋_GB2312"/>
                <w:color w:val="000000"/>
                <w:kern w:val="0"/>
                <w:sz w:val="15"/>
                <w:szCs w:val="15"/>
              </w:rPr>
              <w:t>项目名称</w:t>
            </w:r>
          </w:p>
        </w:tc>
        <w:tc>
          <w:tcPr>
            <w:tcW w:w="6946"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D57DB2">
            <w:pPr>
              <w:widowControl/>
              <w:textAlignment w:val="center"/>
              <w:rPr>
                <w:rFonts w:eastAsia="仿宋_GB2312"/>
                <w:color w:val="000000"/>
                <w:kern w:val="0"/>
                <w:sz w:val="15"/>
                <w:szCs w:val="15"/>
              </w:rPr>
            </w:pPr>
            <w:r>
              <w:rPr>
                <w:rFonts w:eastAsia="仿宋_GB2312"/>
                <w:color w:val="000000"/>
                <w:kern w:val="0"/>
                <w:sz w:val="15"/>
                <w:szCs w:val="15"/>
              </w:rPr>
              <w:t>图书馆免费开放</w:t>
            </w:r>
          </w:p>
        </w:tc>
      </w:tr>
      <w:tr w14:paraId="7934D5DC">
        <w:tblPrEx>
          <w:tblCellMar>
            <w:top w:w="0" w:type="dxa"/>
            <w:left w:w="0" w:type="dxa"/>
            <w:bottom w:w="0" w:type="dxa"/>
            <w:right w:w="0" w:type="dxa"/>
          </w:tblCellMar>
        </w:tblPrEx>
        <w:trPr>
          <w:trHeight w:val="276" w:hRule="atLeast"/>
        </w:trPr>
        <w:tc>
          <w:tcPr>
            <w:tcW w:w="313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617408">
            <w:pPr>
              <w:widowControl/>
              <w:textAlignment w:val="center"/>
              <w:rPr>
                <w:rFonts w:eastAsia="仿宋_GB2312"/>
                <w:color w:val="000000"/>
                <w:kern w:val="0"/>
                <w:sz w:val="15"/>
                <w:szCs w:val="15"/>
              </w:rPr>
            </w:pPr>
            <w:r>
              <w:rPr>
                <w:rFonts w:eastAsia="仿宋_GB2312"/>
                <w:color w:val="000000"/>
                <w:kern w:val="0"/>
                <w:sz w:val="15"/>
                <w:szCs w:val="15"/>
              </w:rPr>
              <w:t>预算单位</w:t>
            </w:r>
          </w:p>
        </w:tc>
        <w:tc>
          <w:tcPr>
            <w:tcW w:w="6946"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18FC3D">
            <w:pPr>
              <w:widowControl/>
              <w:textAlignment w:val="center"/>
              <w:rPr>
                <w:rFonts w:eastAsia="仿宋_GB2312"/>
                <w:color w:val="000000"/>
                <w:kern w:val="0"/>
                <w:sz w:val="15"/>
                <w:szCs w:val="15"/>
              </w:rPr>
            </w:pPr>
            <w:r>
              <w:rPr>
                <w:rFonts w:eastAsia="仿宋_GB2312"/>
                <w:color w:val="000000"/>
                <w:kern w:val="0"/>
                <w:sz w:val="15"/>
                <w:szCs w:val="15"/>
              </w:rPr>
              <w:t>米易县图书馆</w:t>
            </w:r>
          </w:p>
        </w:tc>
      </w:tr>
      <w:tr w14:paraId="48AAF83E">
        <w:tblPrEx>
          <w:tblCellMar>
            <w:top w:w="0" w:type="dxa"/>
            <w:left w:w="0" w:type="dxa"/>
            <w:bottom w:w="0" w:type="dxa"/>
            <w:right w:w="0" w:type="dxa"/>
          </w:tblCellMar>
        </w:tblPrEx>
        <w:trPr>
          <w:trHeight w:val="276" w:hRule="atLeast"/>
        </w:trPr>
        <w:tc>
          <w:tcPr>
            <w:tcW w:w="129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08B144">
            <w:pPr>
              <w:widowControl/>
              <w:textAlignment w:val="center"/>
              <w:rPr>
                <w:rFonts w:eastAsia="仿宋_GB2312"/>
                <w:color w:val="000000"/>
                <w:kern w:val="0"/>
                <w:sz w:val="15"/>
                <w:szCs w:val="15"/>
              </w:rPr>
            </w:pPr>
            <w:r>
              <w:rPr>
                <w:rFonts w:eastAsia="仿宋_GB2312"/>
                <w:color w:val="000000"/>
                <w:kern w:val="0"/>
                <w:sz w:val="15"/>
                <w:szCs w:val="15"/>
              </w:rPr>
              <w:t>预算执行情况(万元)</w:t>
            </w: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9E983D">
            <w:pPr>
              <w:widowControl/>
              <w:textAlignment w:val="center"/>
              <w:rPr>
                <w:rFonts w:eastAsia="仿宋_GB2312"/>
                <w:color w:val="000000"/>
                <w:kern w:val="0"/>
                <w:sz w:val="15"/>
                <w:szCs w:val="15"/>
              </w:rPr>
            </w:pPr>
            <w:r>
              <w:rPr>
                <w:rFonts w:eastAsia="仿宋_GB2312"/>
                <w:color w:val="000000"/>
                <w:kern w:val="0"/>
                <w:sz w:val="15"/>
                <w:szCs w:val="15"/>
              </w:rPr>
              <w:t>预算数:</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2EB40E">
            <w:pPr>
              <w:widowControl/>
              <w:textAlignment w:val="center"/>
              <w:rPr>
                <w:rFonts w:eastAsia="仿宋_GB2312"/>
                <w:color w:val="000000"/>
                <w:kern w:val="0"/>
                <w:sz w:val="15"/>
                <w:szCs w:val="15"/>
              </w:rPr>
            </w:pPr>
            <w:r>
              <w:rPr>
                <w:rFonts w:eastAsia="仿宋_GB2312"/>
                <w:color w:val="000000"/>
                <w:kern w:val="0"/>
                <w:sz w:val="15"/>
                <w:szCs w:val="15"/>
              </w:rPr>
              <w:t>19.22</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B9E001">
            <w:pPr>
              <w:widowControl/>
              <w:textAlignment w:val="center"/>
              <w:rPr>
                <w:rFonts w:eastAsia="仿宋_GB2312"/>
                <w:color w:val="000000"/>
                <w:kern w:val="0"/>
                <w:sz w:val="15"/>
                <w:szCs w:val="15"/>
              </w:rPr>
            </w:pPr>
            <w:r>
              <w:rPr>
                <w:rFonts w:eastAsia="仿宋_GB2312"/>
                <w:color w:val="000000"/>
                <w:kern w:val="0"/>
                <w:sz w:val="15"/>
                <w:szCs w:val="15"/>
              </w:rPr>
              <w:t>执行数:</w:t>
            </w:r>
          </w:p>
        </w:tc>
        <w:tc>
          <w:tcPr>
            <w:tcW w:w="255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2E44C0">
            <w:pPr>
              <w:widowControl/>
              <w:textAlignment w:val="center"/>
              <w:rPr>
                <w:rFonts w:eastAsia="仿宋_GB2312"/>
                <w:color w:val="000000"/>
                <w:kern w:val="0"/>
                <w:sz w:val="15"/>
                <w:szCs w:val="15"/>
              </w:rPr>
            </w:pPr>
            <w:r>
              <w:rPr>
                <w:rFonts w:eastAsia="仿宋_GB2312"/>
                <w:color w:val="000000"/>
                <w:kern w:val="0"/>
                <w:sz w:val="15"/>
                <w:szCs w:val="15"/>
              </w:rPr>
              <w:t>19.22</w:t>
            </w:r>
          </w:p>
        </w:tc>
      </w:tr>
      <w:tr w14:paraId="32AFCB2D">
        <w:tblPrEx>
          <w:tblCellMar>
            <w:top w:w="0" w:type="dxa"/>
            <w:left w:w="0" w:type="dxa"/>
            <w:bottom w:w="0" w:type="dxa"/>
            <w:right w:w="0" w:type="dxa"/>
          </w:tblCellMar>
        </w:tblPrEx>
        <w:trPr>
          <w:trHeight w:val="276" w:hRule="atLeast"/>
        </w:trPr>
        <w:tc>
          <w:tcPr>
            <w:tcW w:w="1291" w:type="dxa"/>
            <w:vMerge w:val="continue"/>
            <w:tcBorders>
              <w:top w:val="single" w:color="000000" w:sz="4" w:space="0"/>
              <w:left w:val="single" w:color="000000" w:sz="4" w:space="0"/>
              <w:bottom w:val="single" w:color="000000" w:sz="4" w:space="0"/>
              <w:right w:val="single" w:color="000000" w:sz="4" w:space="0"/>
            </w:tcBorders>
            <w:vAlign w:val="center"/>
          </w:tcPr>
          <w:p w14:paraId="7891725E">
            <w:pPr>
              <w:widowControl/>
              <w:textAlignment w:val="center"/>
              <w:rPr>
                <w:rFonts w:eastAsia="仿宋_GB2312"/>
                <w:color w:val="000000"/>
                <w:kern w:val="0"/>
                <w:sz w:val="15"/>
                <w:szCs w:val="15"/>
              </w:rPr>
            </w:pP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7490E0">
            <w:pPr>
              <w:widowControl/>
              <w:textAlignment w:val="center"/>
              <w:rPr>
                <w:rFonts w:eastAsia="仿宋_GB2312"/>
                <w:color w:val="000000"/>
                <w:kern w:val="0"/>
                <w:sz w:val="15"/>
                <w:szCs w:val="15"/>
              </w:rPr>
            </w:pPr>
            <w:r>
              <w:rPr>
                <w:rFonts w:eastAsia="仿宋_GB2312"/>
                <w:color w:val="000000"/>
                <w:kern w:val="0"/>
                <w:sz w:val="15"/>
                <w:szCs w:val="15"/>
              </w:rPr>
              <w:t>其中-财政拨款:</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C3B03E">
            <w:pPr>
              <w:widowControl/>
              <w:textAlignment w:val="center"/>
              <w:rPr>
                <w:rFonts w:eastAsia="仿宋_GB2312"/>
                <w:color w:val="000000"/>
                <w:kern w:val="0"/>
                <w:sz w:val="15"/>
                <w:szCs w:val="15"/>
              </w:rPr>
            </w:pPr>
            <w:r>
              <w:rPr>
                <w:rFonts w:eastAsia="仿宋_GB2312"/>
                <w:color w:val="000000"/>
                <w:kern w:val="0"/>
                <w:sz w:val="15"/>
                <w:szCs w:val="15"/>
              </w:rPr>
              <w:t>19.22</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9A24FB">
            <w:pPr>
              <w:widowControl/>
              <w:textAlignment w:val="center"/>
              <w:rPr>
                <w:rFonts w:eastAsia="仿宋_GB2312"/>
                <w:color w:val="000000"/>
                <w:kern w:val="0"/>
                <w:sz w:val="15"/>
                <w:szCs w:val="15"/>
              </w:rPr>
            </w:pPr>
            <w:r>
              <w:rPr>
                <w:rFonts w:eastAsia="仿宋_GB2312"/>
                <w:color w:val="000000"/>
                <w:kern w:val="0"/>
                <w:sz w:val="15"/>
                <w:szCs w:val="15"/>
              </w:rPr>
              <w:t>其中-财政拨款:</w:t>
            </w:r>
          </w:p>
        </w:tc>
        <w:tc>
          <w:tcPr>
            <w:tcW w:w="255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1542F7">
            <w:pPr>
              <w:widowControl/>
              <w:textAlignment w:val="center"/>
              <w:rPr>
                <w:rFonts w:eastAsia="仿宋_GB2312"/>
                <w:color w:val="000000"/>
                <w:kern w:val="0"/>
                <w:sz w:val="15"/>
                <w:szCs w:val="15"/>
              </w:rPr>
            </w:pPr>
            <w:r>
              <w:rPr>
                <w:rFonts w:eastAsia="仿宋_GB2312"/>
                <w:color w:val="000000"/>
                <w:kern w:val="0"/>
                <w:sz w:val="15"/>
                <w:szCs w:val="15"/>
              </w:rPr>
              <w:t>19.22</w:t>
            </w:r>
          </w:p>
        </w:tc>
      </w:tr>
      <w:tr w14:paraId="63A3F175">
        <w:tblPrEx>
          <w:tblCellMar>
            <w:top w:w="0" w:type="dxa"/>
            <w:left w:w="0" w:type="dxa"/>
            <w:bottom w:w="0" w:type="dxa"/>
            <w:right w:w="0" w:type="dxa"/>
          </w:tblCellMar>
        </w:tblPrEx>
        <w:trPr>
          <w:trHeight w:val="318" w:hRule="atLeast"/>
        </w:trPr>
        <w:tc>
          <w:tcPr>
            <w:tcW w:w="1291" w:type="dxa"/>
            <w:vMerge w:val="continue"/>
            <w:tcBorders>
              <w:top w:val="single" w:color="000000" w:sz="4" w:space="0"/>
              <w:left w:val="single" w:color="000000" w:sz="4" w:space="0"/>
              <w:bottom w:val="single" w:color="000000" w:sz="4" w:space="0"/>
              <w:right w:val="single" w:color="000000" w:sz="4" w:space="0"/>
            </w:tcBorders>
            <w:vAlign w:val="center"/>
          </w:tcPr>
          <w:p w14:paraId="114E143D">
            <w:pPr>
              <w:widowControl/>
              <w:textAlignment w:val="center"/>
              <w:rPr>
                <w:rFonts w:eastAsia="仿宋_GB2312"/>
                <w:color w:val="000000"/>
                <w:kern w:val="0"/>
                <w:sz w:val="15"/>
                <w:szCs w:val="15"/>
              </w:rPr>
            </w:pP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951758">
            <w:pPr>
              <w:widowControl/>
              <w:textAlignment w:val="center"/>
              <w:rPr>
                <w:rFonts w:eastAsia="仿宋_GB2312"/>
                <w:color w:val="000000"/>
                <w:kern w:val="0"/>
                <w:sz w:val="15"/>
                <w:szCs w:val="15"/>
              </w:rPr>
            </w:pPr>
            <w:r>
              <w:rPr>
                <w:rFonts w:eastAsia="仿宋_GB2312"/>
                <w:color w:val="000000"/>
                <w:kern w:val="0"/>
                <w:sz w:val="15"/>
                <w:szCs w:val="15"/>
              </w:rPr>
              <w:t>其它资金:</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28C60A">
            <w:pPr>
              <w:widowControl/>
              <w:textAlignment w:val="center"/>
              <w:rPr>
                <w:rFonts w:eastAsia="仿宋_GB2312"/>
                <w:color w:val="000000"/>
                <w:kern w:val="0"/>
                <w:sz w:val="15"/>
                <w:szCs w:val="15"/>
              </w:rPr>
            </w:pPr>
            <w:r>
              <w:rPr>
                <w:rFonts w:eastAsia="仿宋_GB2312"/>
                <w:color w:val="000000"/>
                <w:kern w:val="0"/>
                <w:sz w:val="15"/>
                <w:szCs w:val="15"/>
              </w:rPr>
              <w:t>0</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0C3F8F">
            <w:pPr>
              <w:widowControl/>
              <w:textAlignment w:val="center"/>
              <w:rPr>
                <w:rFonts w:eastAsia="仿宋_GB2312"/>
                <w:color w:val="000000"/>
                <w:kern w:val="0"/>
                <w:sz w:val="15"/>
                <w:szCs w:val="15"/>
              </w:rPr>
            </w:pPr>
            <w:r>
              <w:rPr>
                <w:rFonts w:eastAsia="仿宋_GB2312"/>
                <w:color w:val="000000"/>
                <w:kern w:val="0"/>
                <w:sz w:val="15"/>
                <w:szCs w:val="15"/>
              </w:rPr>
              <w:t>其它资金:</w:t>
            </w:r>
          </w:p>
        </w:tc>
        <w:tc>
          <w:tcPr>
            <w:tcW w:w="255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00D60E">
            <w:pPr>
              <w:textAlignment w:val="center"/>
              <w:rPr>
                <w:rFonts w:eastAsia="仿宋_GB2312"/>
                <w:color w:val="000000"/>
                <w:kern w:val="0"/>
                <w:sz w:val="15"/>
                <w:szCs w:val="15"/>
              </w:rPr>
            </w:pPr>
          </w:p>
        </w:tc>
      </w:tr>
      <w:tr w14:paraId="6E5958AD">
        <w:tblPrEx>
          <w:tblCellMar>
            <w:top w:w="0" w:type="dxa"/>
            <w:left w:w="0" w:type="dxa"/>
            <w:bottom w:w="0" w:type="dxa"/>
            <w:right w:w="0" w:type="dxa"/>
          </w:tblCellMar>
        </w:tblPrEx>
        <w:trPr>
          <w:trHeight w:val="276" w:hRule="atLeast"/>
        </w:trPr>
        <w:tc>
          <w:tcPr>
            <w:tcW w:w="129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CCD08D">
            <w:pPr>
              <w:widowControl/>
              <w:textAlignment w:val="center"/>
              <w:rPr>
                <w:rFonts w:eastAsia="仿宋_GB2312"/>
                <w:color w:val="000000"/>
                <w:kern w:val="0"/>
                <w:sz w:val="15"/>
                <w:szCs w:val="15"/>
              </w:rPr>
            </w:pPr>
            <w:r>
              <w:rPr>
                <w:rFonts w:eastAsia="仿宋_GB2312"/>
                <w:color w:val="000000"/>
                <w:kern w:val="0"/>
                <w:sz w:val="15"/>
                <w:szCs w:val="15"/>
              </w:rPr>
              <w:t>年度目标完成情况</w:t>
            </w:r>
          </w:p>
        </w:tc>
        <w:tc>
          <w:tcPr>
            <w:tcW w:w="354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13E925">
            <w:pPr>
              <w:widowControl/>
              <w:textAlignment w:val="center"/>
              <w:rPr>
                <w:rFonts w:eastAsia="仿宋_GB2312"/>
                <w:color w:val="000000"/>
                <w:kern w:val="0"/>
                <w:sz w:val="15"/>
                <w:szCs w:val="15"/>
              </w:rPr>
            </w:pPr>
            <w:r>
              <w:rPr>
                <w:rFonts w:eastAsia="仿宋_GB2312"/>
                <w:color w:val="000000"/>
                <w:kern w:val="0"/>
                <w:sz w:val="15"/>
                <w:szCs w:val="15"/>
              </w:rPr>
              <w:t>预期目标</w:t>
            </w:r>
          </w:p>
        </w:tc>
        <w:tc>
          <w:tcPr>
            <w:tcW w:w="524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BDE9DC">
            <w:pPr>
              <w:widowControl/>
              <w:textAlignment w:val="center"/>
              <w:rPr>
                <w:rFonts w:eastAsia="仿宋_GB2312"/>
                <w:color w:val="000000"/>
                <w:kern w:val="0"/>
                <w:sz w:val="15"/>
                <w:szCs w:val="15"/>
              </w:rPr>
            </w:pPr>
            <w:r>
              <w:rPr>
                <w:rFonts w:eastAsia="仿宋_GB2312"/>
                <w:color w:val="000000"/>
                <w:kern w:val="0"/>
                <w:sz w:val="15"/>
                <w:szCs w:val="15"/>
              </w:rPr>
              <w:t>实际完成目标</w:t>
            </w:r>
          </w:p>
        </w:tc>
      </w:tr>
      <w:tr w14:paraId="16258485">
        <w:tblPrEx>
          <w:tblCellMar>
            <w:top w:w="0" w:type="dxa"/>
            <w:left w:w="0" w:type="dxa"/>
            <w:bottom w:w="0" w:type="dxa"/>
            <w:right w:w="0" w:type="dxa"/>
          </w:tblCellMar>
        </w:tblPrEx>
        <w:trPr>
          <w:trHeight w:val="640" w:hRule="atLeast"/>
        </w:trPr>
        <w:tc>
          <w:tcPr>
            <w:tcW w:w="1291" w:type="dxa"/>
            <w:vMerge w:val="continue"/>
            <w:tcBorders>
              <w:top w:val="single" w:color="000000" w:sz="4" w:space="0"/>
              <w:left w:val="single" w:color="000000" w:sz="4" w:space="0"/>
              <w:bottom w:val="single" w:color="000000" w:sz="4" w:space="0"/>
              <w:right w:val="single" w:color="000000" w:sz="4" w:space="0"/>
            </w:tcBorders>
            <w:vAlign w:val="center"/>
          </w:tcPr>
          <w:p w14:paraId="3F98739C">
            <w:pPr>
              <w:widowControl/>
              <w:textAlignment w:val="center"/>
              <w:rPr>
                <w:rFonts w:eastAsia="仿宋_GB2312"/>
                <w:color w:val="000000"/>
                <w:kern w:val="0"/>
                <w:sz w:val="15"/>
                <w:szCs w:val="15"/>
              </w:rPr>
            </w:pPr>
          </w:p>
        </w:tc>
        <w:tc>
          <w:tcPr>
            <w:tcW w:w="354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FCAA52">
            <w:pPr>
              <w:widowControl/>
              <w:textAlignment w:val="center"/>
              <w:rPr>
                <w:rFonts w:eastAsia="仿宋_GB2312"/>
                <w:color w:val="000000"/>
                <w:kern w:val="0"/>
                <w:sz w:val="15"/>
                <w:szCs w:val="15"/>
              </w:rPr>
            </w:pPr>
            <w:r>
              <w:rPr>
                <w:rFonts w:eastAsia="仿宋_GB2312"/>
                <w:color w:val="000000"/>
                <w:kern w:val="0"/>
                <w:sz w:val="15"/>
                <w:szCs w:val="15"/>
              </w:rPr>
              <w:t>保障图书馆全年免费开放的基本运行及业务活动开展</w:t>
            </w:r>
          </w:p>
        </w:tc>
        <w:tc>
          <w:tcPr>
            <w:tcW w:w="524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D89428">
            <w:pPr>
              <w:widowControl/>
              <w:textAlignment w:val="center"/>
              <w:rPr>
                <w:rFonts w:eastAsia="仿宋_GB2312"/>
                <w:color w:val="000000"/>
                <w:kern w:val="0"/>
                <w:sz w:val="15"/>
                <w:szCs w:val="15"/>
              </w:rPr>
            </w:pPr>
            <w:r>
              <w:rPr>
                <w:rFonts w:eastAsia="仿宋_GB2312"/>
                <w:color w:val="000000"/>
                <w:kern w:val="0"/>
                <w:sz w:val="15"/>
                <w:szCs w:val="15"/>
              </w:rPr>
              <w:t>有效完成全年各项工作目标任务，荣获四川省图书馆学会授予的“全民阅读示范基地”荣誉称号和“全民阅读优秀竞赛组织奖”。</w:t>
            </w:r>
          </w:p>
        </w:tc>
      </w:tr>
      <w:tr w14:paraId="62E57C89">
        <w:tblPrEx>
          <w:tblCellMar>
            <w:top w:w="0" w:type="dxa"/>
            <w:left w:w="0" w:type="dxa"/>
            <w:bottom w:w="0" w:type="dxa"/>
            <w:right w:w="0" w:type="dxa"/>
          </w:tblCellMar>
        </w:tblPrEx>
        <w:trPr>
          <w:trHeight w:val="698" w:hRule="atLeast"/>
        </w:trPr>
        <w:tc>
          <w:tcPr>
            <w:tcW w:w="129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1FD642">
            <w:pPr>
              <w:widowControl/>
              <w:textAlignment w:val="center"/>
              <w:rPr>
                <w:rFonts w:eastAsia="仿宋_GB2312"/>
                <w:color w:val="000000"/>
                <w:kern w:val="0"/>
                <w:sz w:val="15"/>
                <w:szCs w:val="15"/>
              </w:rPr>
            </w:pPr>
            <w:r>
              <w:rPr>
                <w:rFonts w:eastAsia="仿宋_GB2312"/>
                <w:color w:val="000000"/>
                <w:kern w:val="0"/>
                <w:sz w:val="15"/>
                <w:szCs w:val="15"/>
              </w:rPr>
              <w:t>绩效指标完成情况</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AD60A8">
            <w:pPr>
              <w:widowControl/>
              <w:textAlignment w:val="center"/>
              <w:rPr>
                <w:rFonts w:eastAsia="仿宋_GB2312"/>
                <w:color w:val="000000"/>
                <w:kern w:val="0"/>
                <w:sz w:val="15"/>
                <w:szCs w:val="15"/>
              </w:rPr>
            </w:pPr>
            <w:r>
              <w:rPr>
                <w:rFonts w:eastAsia="仿宋_GB2312"/>
                <w:color w:val="000000"/>
                <w:kern w:val="0"/>
                <w:sz w:val="15"/>
                <w:szCs w:val="15"/>
              </w:rPr>
              <w:t>一级指标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FC8F1A">
            <w:pPr>
              <w:widowControl/>
              <w:textAlignment w:val="center"/>
              <w:rPr>
                <w:rFonts w:eastAsia="仿宋_GB2312"/>
                <w:color w:val="000000"/>
                <w:kern w:val="0"/>
                <w:sz w:val="15"/>
                <w:szCs w:val="15"/>
              </w:rPr>
            </w:pPr>
            <w:r>
              <w:rPr>
                <w:rFonts w:eastAsia="仿宋_GB2312"/>
                <w:color w:val="000000"/>
                <w:kern w:val="0"/>
                <w:sz w:val="15"/>
                <w:szCs w:val="15"/>
              </w:rPr>
              <w:t>二级指标</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C53607">
            <w:pPr>
              <w:widowControl/>
              <w:textAlignment w:val="center"/>
              <w:rPr>
                <w:rFonts w:eastAsia="仿宋_GB2312"/>
                <w:color w:val="000000"/>
                <w:kern w:val="0"/>
                <w:sz w:val="15"/>
                <w:szCs w:val="15"/>
              </w:rPr>
            </w:pPr>
            <w:r>
              <w:rPr>
                <w:rFonts w:eastAsia="仿宋_GB2312"/>
                <w:color w:val="000000"/>
                <w:kern w:val="0"/>
                <w:sz w:val="15"/>
                <w:szCs w:val="15"/>
              </w:rPr>
              <w:t>三级指标</w:t>
            </w:r>
          </w:p>
        </w:tc>
        <w:tc>
          <w:tcPr>
            <w:tcW w:w="27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A3CD86">
            <w:pPr>
              <w:widowControl/>
              <w:textAlignment w:val="center"/>
              <w:rPr>
                <w:rFonts w:eastAsia="仿宋_GB2312"/>
                <w:color w:val="000000"/>
                <w:kern w:val="0"/>
                <w:sz w:val="15"/>
                <w:szCs w:val="15"/>
              </w:rPr>
            </w:pPr>
            <w:r>
              <w:rPr>
                <w:rFonts w:eastAsia="仿宋_GB2312"/>
                <w:color w:val="000000"/>
                <w:kern w:val="0"/>
                <w:sz w:val="15"/>
                <w:szCs w:val="15"/>
              </w:rPr>
              <w:t>预期指标值(包含数字及文字描述)</w:t>
            </w:r>
          </w:p>
        </w:tc>
        <w:tc>
          <w:tcPr>
            <w:tcW w:w="25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D7A46B">
            <w:pPr>
              <w:widowControl/>
              <w:textAlignment w:val="center"/>
              <w:rPr>
                <w:rFonts w:eastAsia="仿宋_GB2312"/>
                <w:color w:val="000000"/>
                <w:kern w:val="0"/>
                <w:sz w:val="15"/>
                <w:szCs w:val="15"/>
              </w:rPr>
            </w:pPr>
            <w:r>
              <w:rPr>
                <w:rFonts w:eastAsia="仿宋_GB2312"/>
                <w:color w:val="000000"/>
                <w:kern w:val="0"/>
                <w:sz w:val="15"/>
                <w:szCs w:val="15"/>
              </w:rPr>
              <w:t>实际完成指标值(包含数字及文字描述)</w:t>
            </w:r>
          </w:p>
        </w:tc>
      </w:tr>
      <w:tr w14:paraId="3FAE7084">
        <w:tblPrEx>
          <w:tblCellMar>
            <w:top w:w="0" w:type="dxa"/>
            <w:left w:w="0" w:type="dxa"/>
            <w:bottom w:w="0" w:type="dxa"/>
            <w:right w:w="0" w:type="dxa"/>
          </w:tblCellMar>
        </w:tblPrEx>
        <w:trPr>
          <w:trHeight w:val="953" w:hRule="atLeast"/>
        </w:trPr>
        <w:tc>
          <w:tcPr>
            <w:tcW w:w="1291" w:type="dxa"/>
            <w:vMerge w:val="continue"/>
            <w:tcBorders>
              <w:top w:val="single" w:color="000000" w:sz="4" w:space="0"/>
              <w:left w:val="single" w:color="000000" w:sz="4" w:space="0"/>
              <w:bottom w:val="single" w:color="000000" w:sz="4" w:space="0"/>
              <w:right w:val="single" w:color="000000" w:sz="4" w:space="0"/>
            </w:tcBorders>
            <w:vAlign w:val="center"/>
          </w:tcPr>
          <w:p w14:paraId="4B7FE82A">
            <w:pPr>
              <w:widowControl/>
              <w:textAlignment w:val="center"/>
              <w:rPr>
                <w:rFonts w:eastAsia="仿宋_GB2312"/>
                <w:color w:val="000000"/>
                <w:kern w:val="0"/>
                <w:sz w:val="15"/>
                <w:szCs w:val="15"/>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7AA152">
            <w:pPr>
              <w:widowControl/>
              <w:textAlignment w:val="center"/>
              <w:rPr>
                <w:rFonts w:eastAsia="仿宋_GB2312"/>
                <w:color w:val="000000"/>
                <w:kern w:val="0"/>
                <w:sz w:val="15"/>
                <w:szCs w:val="15"/>
              </w:rPr>
            </w:pPr>
            <w:r>
              <w:rPr>
                <w:rFonts w:eastAsia="仿宋_GB2312"/>
                <w:color w:val="000000"/>
                <w:kern w:val="0"/>
                <w:sz w:val="15"/>
                <w:szCs w:val="15"/>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E4C249">
            <w:pPr>
              <w:widowControl/>
              <w:textAlignment w:val="center"/>
              <w:rPr>
                <w:rFonts w:eastAsia="仿宋_GB2312"/>
                <w:color w:val="000000"/>
                <w:kern w:val="0"/>
                <w:sz w:val="15"/>
                <w:szCs w:val="15"/>
              </w:rPr>
            </w:pPr>
            <w:r>
              <w:rPr>
                <w:rFonts w:eastAsia="仿宋_GB2312"/>
                <w:color w:val="000000"/>
                <w:kern w:val="0"/>
                <w:sz w:val="15"/>
                <w:szCs w:val="15"/>
              </w:rPr>
              <w:t>数量指标</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F985A1">
            <w:pPr>
              <w:widowControl/>
              <w:textAlignment w:val="center"/>
              <w:rPr>
                <w:rFonts w:eastAsia="仿宋_GB2312"/>
                <w:color w:val="000000"/>
                <w:kern w:val="0"/>
                <w:sz w:val="15"/>
                <w:szCs w:val="15"/>
              </w:rPr>
            </w:pPr>
            <w:r>
              <w:rPr>
                <w:rFonts w:eastAsia="仿宋_GB2312"/>
                <w:color w:val="000000"/>
                <w:kern w:val="0"/>
                <w:sz w:val="15"/>
                <w:szCs w:val="15"/>
              </w:rPr>
              <w:t>保障图书馆全年基本运行及业务活动开展</w:t>
            </w:r>
          </w:p>
        </w:tc>
        <w:tc>
          <w:tcPr>
            <w:tcW w:w="27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DFDB03">
            <w:pPr>
              <w:widowControl/>
              <w:textAlignment w:val="center"/>
              <w:rPr>
                <w:rFonts w:eastAsia="仿宋_GB2312"/>
                <w:color w:val="000000"/>
                <w:kern w:val="0"/>
                <w:sz w:val="15"/>
                <w:szCs w:val="15"/>
              </w:rPr>
            </w:pPr>
            <w:r>
              <w:rPr>
                <w:rFonts w:eastAsia="仿宋_GB2312"/>
                <w:color w:val="000000"/>
                <w:kern w:val="0"/>
                <w:sz w:val="15"/>
                <w:szCs w:val="15"/>
              </w:rPr>
              <w:t>政府购买服务，聘用劳务派遣人员。:图书管理员5人，保洁1人，物业1人。保障图书馆阅览室正常对外开放每周63小时，图书馆根据实际开展读者活动。</w:t>
            </w:r>
          </w:p>
        </w:tc>
        <w:tc>
          <w:tcPr>
            <w:tcW w:w="25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9E727A">
            <w:pPr>
              <w:widowControl/>
              <w:textAlignment w:val="center"/>
              <w:rPr>
                <w:rFonts w:eastAsia="仿宋_GB2312"/>
                <w:color w:val="000000"/>
                <w:kern w:val="0"/>
                <w:sz w:val="15"/>
                <w:szCs w:val="15"/>
              </w:rPr>
            </w:pPr>
            <w:r>
              <w:rPr>
                <w:rFonts w:eastAsia="仿宋_GB2312"/>
                <w:color w:val="000000"/>
                <w:kern w:val="0"/>
                <w:sz w:val="15"/>
                <w:szCs w:val="15"/>
              </w:rPr>
              <w:t>开放时间每周≥63小时，年接待读者63850人次，开展各种读书活动、培训、讲座20余种、130余场次，共计8600余人次参加活动。</w:t>
            </w:r>
          </w:p>
        </w:tc>
      </w:tr>
      <w:tr w14:paraId="61A978E0">
        <w:tblPrEx>
          <w:tblCellMar>
            <w:top w:w="0" w:type="dxa"/>
            <w:left w:w="0" w:type="dxa"/>
            <w:bottom w:w="0" w:type="dxa"/>
            <w:right w:w="0" w:type="dxa"/>
          </w:tblCellMar>
        </w:tblPrEx>
        <w:trPr>
          <w:trHeight w:val="805" w:hRule="atLeast"/>
        </w:trPr>
        <w:tc>
          <w:tcPr>
            <w:tcW w:w="1291" w:type="dxa"/>
            <w:vMerge w:val="continue"/>
            <w:tcBorders>
              <w:top w:val="single" w:color="000000" w:sz="4" w:space="0"/>
              <w:left w:val="single" w:color="000000" w:sz="4" w:space="0"/>
              <w:bottom w:val="single" w:color="000000" w:sz="4" w:space="0"/>
              <w:right w:val="single" w:color="000000" w:sz="4" w:space="0"/>
            </w:tcBorders>
            <w:vAlign w:val="center"/>
          </w:tcPr>
          <w:p w14:paraId="585D4DFD">
            <w:pPr>
              <w:widowControl/>
              <w:textAlignment w:val="center"/>
              <w:rPr>
                <w:rFonts w:eastAsia="仿宋_GB2312"/>
                <w:color w:val="000000"/>
                <w:kern w:val="0"/>
                <w:sz w:val="15"/>
                <w:szCs w:val="15"/>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7B6E4C">
            <w:pPr>
              <w:widowControl/>
              <w:textAlignment w:val="center"/>
              <w:rPr>
                <w:rFonts w:eastAsia="仿宋_GB2312"/>
                <w:color w:val="000000"/>
                <w:kern w:val="0"/>
                <w:sz w:val="15"/>
                <w:szCs w:val="15"/>
              </w:rPr>
            </w:pPr>
            <w:r>
              <w:rPr>
                <w:rFonts w:eastAsia="仿宋_GB2312"/>
                <w:color w:val="000000"/>
                <w:kern w:val="0"/>
                <w:sz w:val="15"/>
                <w:szCs w:val="15"/>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F820FB">
            <w:pPr>
              <w:widowControl/>
              <w:textAlignment w:val="center"/>
              <w:rPr>
                <w:rFonts w:eastAsia="仿宋_GB2312"/>
                <w:color w:val="000000"/>
                <w:kern w:val="0"/>
                <w:sz w:val="15"/>
                <w:szCs w:val="15"/>
              </w:rPr>
            </w:pPr>
            <w:r>
              <w:rPr>
                <w:rFonts w:eastAsia="仿宋_GB2312"/>
                <w:color w:val="000000"/>
                <w:kern w:val="0"/>
                <w:sz w:val="15"/>
                <w:szCs w:val="15"/>
              </w:rPr>
              <w:t>质量指标</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4BE135">
            <w:pPr>
              <w:widowControl/>
              <w:textAlignment w:val="center"/>
              <w:rPr>
                <w:rFonts w:eastAsia="仿宋_GB2312"/>
                <w:color w:val="000000"/>
                <w:kern w:val="0"/>
                <w:sz w:val="15"/>
                <w:szCs w:val="15"/>
              </w:rPr>
            </w:pPr>
            <w:r>
              <w:rPr>
                <w:rFonts w:eastAsia="仿宋_GB2312"/>
                <w:color w:val="000000"/>
                <w:kern w:val="0"/>
                <w:sz w:val="15"/>
                <w:szCs w:val="15"/>
              </w:rPr>
              <w:t>保证图书馆各阅览室正常开放和基本运行</w:t>
            </w:r>
          </w:p>
        </w:tc>
        <w:tc>
          <w:tcPr>
            <w:tcW w:w="27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A36862">
            <w:pPr>
              <w:widowControl/>
              <w:textAlignment w:val="center"/>
              <w:rPr>
                <w:rFonts w:eastAsia="仿宋_GB2312"/>
                <w:color w:val="000000"/>
                <w:kern w:val="0"/>
                <w:sz w:val="15"/>
                <w:szCs w:val="15"/>
              </w:rPr>
            </w:pPr>
            <w:r>
              <w:rPr>
                <w:rFonts w:eastAsia="仿宋_GB2312"/>
                <w:color w:val="000000"/>
                <w:kern w:val="0"/>
                <w:sz w:val="15"/>
                <w:szCs w:val="15"/>
              </w:rPr>
              <w:t>完成图书馆各阅览室借阅、图书管理工作，保障免费开放。完成图书馆各项活动开展。</w:t>
            </w:r>
          </w:p>
        </w:tc>
        <w:tc>
          <w:tcPr>
            <w:tcW w:w="25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2CE31D">
            <w:pPr>
              <w:widowControl/>
              <w:textAlignment w:val="center"/>
              <w:rPr>
                <w:rFonts w:eastAsia="仿宋_GB2312"/>
                <w:color w:val="000000"/>
                <w:kern w:val="0"/>
                <w:sz w:val="15"/>
                <w:szCs w:val="15"/>
              </w:rPr>
            </w:pPr>
            <w:r>
              <w:rPr>
                <w:rFonts w:eastAsia="仿宋_GB2312"/>
                <w:color w:val="000000"/>
                <w:kern w:val="0"/>
                <w:sz w:val="15"/>
                <w:szCs w:val="15"/>
              </w:rPr>
              <w:t>图书馆共接待读者63850人次，借阅图书资料202100余册次。</w:t>
            </w:r>
          </w:p>
        </w:tc>
      </w:tr>
      <w:tr w14:paraId="4D1671E0">
        <w:tblPrEx>
          <w:tblCellMar>
            <w:top w:w="0" w:type="dxa"/>
            <w:left w:w="0" w:type="dxa"/>
            <w:bottom w:w="0" w:type="dxa"/>
            <w:right w:w="0" w:type="dxa"/>
          </w:tblCellMar>
        </w:tblPrEx>
        <w:trPr>
          <w:trHeight w:val="406" w:hRule="atLeast"/>
        </w:trPr>
        <w:tc>
          <w:tcPr>
            <w:tcW w:w="1291" w:type="dxa"/>
            <w:vMerge w:val="continue"/>
            <w:tcBorders>
              <w:top w:val="single" w:color="000000" w:sz="4" w:space="0"/>
              <w:left w:val="single" w:color="000000" w:sz="4" w:space="0"/>
              <w:bottom w:val="single" w:color="000000" w:sz="4" w:space="0"/>
              <w:right w:val="single" w:color="000000" w:sz="4" w:space="0"/>
            </w:tcBorders>
            <w:vAlign w:val="center"/>
          </w:tcPr>
          <w:p w14:paraId="02127D93">
            <w:pPr>
              <w:widowControl/>
              <w:textAlignment w:val="center"/>
              <w:rPr>
                <w:rFonts w:eastAsia="仿宋_GB2312"/>
                <w:color w:val="000000"/>
                <w:kern w:val="0"/>
                <w:sz w:val="15"/>
                <w:szCs w:val="15"/>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FBD18F">
            <w:pPr>
              <w:widowControl/>
              <w:textAlignment w:val="center"/>
              <w:rPr>
                <w:rFonts w:eastAsia="仿宋_GB2312"/>
                <w:color w:val="000000"/>
                <w:kern w:val="0"/>
                <w:sz w:val="15"/>
                <w:szCs w:val="15"/>
              </w:rPr>
            </w:pPr>
            <w:r>
              <w:rPr>
                <w:rFonts w:eastAsia="仿宋_GB2312"/>
                <w:color w:val="000000"/>
                <w:kern w:val="0"/>
                <w:sz w:val="15"/>
                <w:szCs w:val="15"/>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66970F">
            <w:pPr>
              <w:widowControl/>
              <w:textAlignment w:val="center"/>
              <w:rPr>
                <w:rFonts w:eastAsia="仿宋_GB2312"/>
                <w:color w:val="000000"/>
                <w:kern w:val="0"/>
                <w:sz w:val="15"/>
                <w:szCs w:val="15"/>
              </w:rPr>
            </w:pPr>
            <w:r>
              <w:rPr>
                <w:rFonts w:eastAsia="仿宋_GB2312"/>
                <w:color w:val="000000"/>
                <w:kern w:val="0"/>
                <w:sz w:val="15"/>
                <w:szCs w:val="15"/>
              </w:rPr>
              <w:t>实效指标</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6512BD">
            <w:pPr>
              <w:widowControl/>
              <w:textAlignment w:val="center"/>
              <w:rPr>
                <w:rFonts w:eastAsia="仿宋_GB2312"/>
                <w:color w:val="000000"/>
                <w:kern w:val="0"/>
                <w:sz w:val="15"/>
                <w:szCs w:val="15"/>
              </w:rPr>
            </w:pPr>
            <w:r>
              <w:rPr>
                <w:rFonts w:eastAsia="仿宋_GB2312"/>
                <w:color w:val="000000"/>
                <w:kern w:val="0"/>
                <w:sz w:val="15"/>
                <w:szCs w:val="15"/>
              </w:rPr>
              <w:t>完成时间</w:t>
            </w:r>
          </w:p>
        </w:tc>
        <w:tc>
          <w:tcPr>
            <w:tcW w:w="27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028AE4">
            <w:pPr>
              <w:widowControl/>
              <w:textAlignment w:val="center"/>
              <w:rPr>
                <w:rFonts w:eastAsia="仿宋_GB2312"/>
                <w:color w:val="000000"/>
                <w:kern w:val="0"/>
                <w:sz w:val="15"/>
                <w:szCs w:val="15"/>
              </w:rPr>
            </w:pPr>
            <w:r>
              <w:rPr>
                <w:rFonts w:eastAsia="仿宋_GB2312"/>
                <w:color w:val="000000"/>
                <w:kern w:val="0"/>
                <w:sz w:val="15"/>
                <w:szCs w:val="15"/>
              </w:rPr>
              <w:t>2019年12月31日前</w:t>
            </w:r>
          </w:p>
        </w:tc>
        <w:tc>
          <w:tcPr>
            <w:tcW w:w="25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B92F1E">
            <w:pPr>
              <w:widowControl/>
              <w:textAlignment w:val="center"/>
              <w:rPr>
                <w:rFonts w:eastAsia="仿宋_GB2312"/>
                <w:color w:val="000000"/>
                <w:kern w:val="0"/>
                <w:sz w:val="15"/>
                <w:szCs w:val="15"/>
              </w:rPr>
            </w:pPr>
            <w:r>
              <w:rPr>
                <w:rFonts w:eastAsia="仿宋_GB2312"/>
                <w:color w:val="000000"/>
                <w:kern w:val="0"/>
                <w:sz w:val="15"/>
                <w:szCs w:val="15"/>
              </w:rPr>
              <w:t>2019年12月31日前</w:t>
            </w:r>
          </w:p>
        </w:tc>
      </w:tr>
      <w:tr w14:paraId="4F4C3754">
        <w:tblPrEx>
          <w:tblCellMar>
            <w:top w:w="0" w:type="dxa"/>
            <w:left w:w="0" w:type="dxa"/>
            <w:bottom w:w="0" w:type="dxa"/>
            <w:right w:w="0" w:type="dxa"/>
          </w:tblCellMar>
        </w:tblPrEx>
        <w:trPr>
          <w:trHeight w:val="1042" w:hRule="atLeast"/>
        </w:trPr>
        <w:tc>
          <w:tcPr>
            <w:tcW w:w="1291" w:type="dxa"/>
            <w:vMerge w:val="continue"/>
            <w:tcBorders>
              <w:top w:val="single" w:color="000000" w:sz="4" w:space="0"/>
              <w:left w:val="single" w:color="000000" w:sz="4" w:space="0"/>
              <w:bottom w:val="single" w:color="000000" w:sz="4" w:space="0"/>
              <w:right w:val="single" w:color="000000" w:sz="4" w:space="0"/>
            </w:tcBorders>
            <w:vAlign w:val="center"/>
          </w:tcPr>
          <w:p w14:paraId="7EB8EE7B">
            <w:pPr>
              <w:widowControl/>
              <w:textAlignment w:val="center"/>
              <w:rPr>
                <w:rFonts w:eastAsia="仿宋_GB2312"/>
                <w:color w:val="000000"/>
                <w:kern w:val="0"/>
                <w:sz w:val="15"/>
                <w:szCs w:val="15"/>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5E7994">
            <w:pPr>
              <w:widowControl/>
              <w:textAlignment w:val="center"/>
              <w:rPr>
                <w:rFonts w:eastAsia="仿宋_GB2312"/>
                <w:color w:val="000000"/>
                <w:kern w:val="0"/>
                <w:sz w:val="15"/>
                <w:szCs w:val="15"/>
              </w:rPr>
            </w:pPr>
            <w:r>
              <w:rPr>
                <w:rFonts w:eastAsia="仿宋_GB2312"/>
                <w:color w:val="000000"/>
                <w:kern w:val="0"/>
                <w:sz w:val="15"/>
                <w:szCs w:val="15"/>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123E02">
            <w:pPr>
              <w:widowControl/>
              <w:textAlignment w:val="center"/>
              <w:rPr>
                <w:rFonts w:eastAsia="仿宋_GB2312"/>
                <w:color w:val="000000"/>
                <w:kern w:val="0"/>
                <w:sz w:val="15"/>
                <w:szCs w:val="15"/>
              </w:rPr>
            </w:pPr>
            <w:r>
              <w:rPr>
                <w:rFonts w:eastAsia="仿宋_GB2312"/>
                <w:color w:val="000000"/>
                <w:kern w:val="0"/>
                <w:sz w:val="15"/>
                <w:szCs w:val="15"/>
              </w:rPr>
              <w:t>效益指标</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D42FF4">
            <w:pPr>
              <w:widowControl/>
              <w:textAlignment w:val="center"/>
              <w:rPr>
                <w:rFonts w:eastAsia="仿宋_GB2312"/>
                <w:color w:val="000000"/>
                <w:kern w:val="0"/>
                <w:sz w:val="15"/>
                <w:szCs w:val="15"/>
              </w:rPr>
            </w:pPr>
            <w:r>
              <w:rPr>
                <w:rFonts w:eastAsia="仿宋_GB2312"/>
                <w:color w:val="000000"/>
                <w:kern w:val="0"/>
                <w:sz w:val="15"/>
                <w:szCs w:val="15"/>
              </w:rPr>
              <w:t>社会舆情汇集和分析</w:t>
            </w:r>
          </w:p>
        </w:tc>
        <w:tc>
          <w:tcPr>
            <w:tcW w:w="27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2ED552">
            <w:pPr>
              <w:widowControl/>
              <w:textAlignment w:val="center"/>
              <w:rPr>
                <w:rFonts w:eastAsia="仿宋_GB2312"/>
                <w:color w:val="000000"/>
                <w:kern w:val="0"/>
                <w:sz w:val="15"/>
                <w:szCs w:val="15"/>
              </w:rPr>
            </w:pPr>
            <w:r>
              <w:rPr>
                <w:rFonts w:eastAsia="仿宋_GB2312"/>
                <w:color w:val="000000"/>
                <w:kern w:val="0"/>
                <w:sz w:val="15"/>
                <w:szCs w:val="15"/>
              </w:rPr>
              <w:t>及时掌握广大读者阅读及文化生活需求，满足群众对美好文化生活的向往。让广大群众尤其未成年人有良好的看书读报习惯，提高全民素质，建设学习型社会。</w:t>
            </w:r>
          </w:p>
        </w:tc>
        <w:tc>
          <w:tcPr>
            <w:tcW w:w="25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D5904C">
            <w:pPr>
              <w:widowControl/>
              <w:textAlignment w:val="center"/>
              <w:rPr>
                <w:rFonts w:eastAsia="仿宋_GB2312"/>
                <w:color w:val="000000"/>
                <w:kern w:val="0"/>
                <w:sz w:val="15"/>
                <w:szCs w:val="15"/>
              </w:rPr>
            </w:pPr>
            <w:r>
              <w:rPr>
                <w:rFonts w:eastAsia="仿宋_GB2312"/>
                <w:color w:val="000000"/>
                <w:kern w:val="0"/>
                <w:sz w:val="15"/>
                <w:szCs w:val="15"/>
              </w:rPr>
              <w:t>有效满足广大群众的阅读需求，开展的各种读书活动丰富了群众文化生活。</w:t>
            </w:r>
          </w:p>
        </w:tc>
      </w:tr>
      <w:tr w14:paraId="100EF49D">
        <w:tblPrEx>
          <w:tblCellMar>
            <w:top w:w="0" w:type="dxa"/>
            <w:left w:w="0" w:type="dxa"/>
            <w:bottom w:w="0" w:type="dxa"/>
            <w:right w:w="0" w:type="dxa"/>
          </w:tblCellMar>
        </w:tblPrEx>
        <w:trPr>
          <w:trHeight w:val="826" w:hRule="atLeast"/>
        </w:trPr>
        <w:tc>
          <w:tcPr>
            <w:tcW w:w="1291" w:type="dxa"/>
            <w:vMerge w:val="continue"/>
            <w:tcBorders>
              <w:top w:val="single" w:color="000000" w:sz="4" w:space="0"/>
              <w:left w:val="single" w:color="000000" w:sz="4" w:space="0"/>
              <w:bottom w:val="single" w:color="000000" w:sz="4" w:space="0"/>
              <w:right w:val="single" w:color="000000" w:sz="4" w:space="0"/>
            </w:tcBorders>
            <w:vAlign w:val="center"/>
          </w:tcPr>
          <w:p w14:paraId="2301A437">
            <w:pPr>
              <w:widowControl/>
              <w:textAlignment w:val="center"/>
              <w:rPr>
                <w:rFonts w:eastAsia="仿宋_GB2312"/>
                <w:color w:val="000000"/>
                <w:kern w:val="0"/>
                <w:sz w:val="15"/>
                <w:szCs w:val="15"/>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138975">
            <w:pPr>
              <w:widowControl/>
              <w:textAlignment w:val="center"/>
              <w:rPr>
                <w:rFonts w:eastAsia="仿宋_GB2312"/>
                <w:color w:val="000000"/>
                <w:kern w:val="0"/>
                <w:sz w:val="15"/>
                <w:szCs w:val="15"/>
              </w:rPr>
            </w:pPr>
            <w:r>
              <w:rPr>
                <w:rFonts w:eastAsia="仿宋_GB2312"/>
                <w:color w:val="000000"/>
                <w:kern w:val="0"/>
                <w:sz w:val="15"/>
                <w:szCs w:val="15"/>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631938">
            <w:pPr>
              <w:widowControl/>
              <w:textAlignment w:val="center"/>
              <w:rPr>
                <w:rFonts w:eastAsia="仿宋_GB2312"/>
                <w:color w:val="000000"/>
                <w:kern w:val="0"/>
                <w:sz w:val="15"/>
                <w:szCs w:val="15"/>
              </w:rPr>
            </w:pPr>
            <w:r>
              <w:rPr>
                <w:rFonts w:eastAsia="仿宋_GB2312"/>
                <w:color w:val="000000"/>
                <w:kern w:val="0"/>
                <w:sz w:val="15"/>
                <w:szCs w:val="15"/>
              </w:rPr>
              <w:t>满意度指标</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C0F0C6">
            <w:pPr>
              <w:widowControl/>
              <w:textAlignment w:val="center"/>
              <w:rPr>
                <w:rFonts w:eastAsia="仿宋_GB2312"/>
                <w:color w:val="000000"/>
                <w:kern w:val="0"/>
                <w:sz w:val="15"/>
                <w:szCs w:val="15"/>
              </w:rPr>
            </w:pPr>
            <w:r>
              <w:rPr>
                <w:rFonts w:eastAsia="仿宋_GB2312"/>
                <w:color w:val="000000"/>
                <w:kern w:val="0"/>
                <w:sz w:val="15"/>
                <w:szCs w:val="15"/>
              </w:rPr>
              <w:t>服务对象满意度:抽样调查满意度≥95%</w:t>
            </w:r>
          </w:p>
        </w:tc>
        <w:tc>
          <w:tcPr>
            <w:tcW w:w="27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E3C15A">
            <w:pPr>
              <w:widowControl/>
              <w:textAlignment w:val="center"/>
              <w:rPr>
                <w:rFonts w:eastAsia="仿宋_GB2312"/>
                <w:color w:val="000000"/>
                <w:kern w:val="0"/>
                <w:sz w:val="15"/>
                <w:szCs w:val="15"/>
              </w:rPr>
            </w:pPr>
            <w:r>
              <w:rPr>
                <w:rFonts w:eastAsia="仿宋_GB2312"/>
                <w:color w:val="000000"/>
                <w:kern w:val="0"/>
                <w:sz w:val="15"/>
                <w:szCs w:val="15"/>
              </w:rPr>
              <w:t>抽样调查服务对象，满意度达到基本满意以上。</w:t>
            </w:r>
          </w:p>
        </w:tc>
        <w:tc>
          <w:tcPr>
            <w:tcW w:w="25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B84492">
            <w:pPr>
              <w:widowControl/>
              <w:textAlignment w:val="center"/>
              <w:rPr>
                <w:rFonts w:eastAsia="仿宋_GB2312"/>
                <w:color w:val="000000"/>
                <w:kern w:val="0"/>
                <w:sz w:val="15"/>
                <w:szCs w:val="15"/>
              </w:rPr>
            </w:pPr>
            <w:r>
              <w:rPr>
                <w:rFonts w:eastAsia="仿宋_GB2312"/>
                <w:color w:val="000000"/>
                <w:kern w:val="0"/>
                <w:sz w:val="15"/>
                <w:szCs w:val="15"/>
              </w:rPr>
              <w:t>抽样调查读者，满意率达95%以上。</w:t>
            </w:r>
          </w:p>
        </w:tc>
      </w:tr>
    </w:tbl>
    <w:p w14:paraId="0FD01C05">
      <w:pPr>
        <w:tabs>
          <w:tab w:val="left" w:pos="312"/>
        </w:tabs>
        <w:spacing w:line="600" w:lineRule="exact"/>
        <w:ind w:firstLine="640" w:firstLineChars="200"/>
        <w:rPr>
          <w:rFonts w:eastAsia="仿宋_GB2312"/>
          <w:sz w:val="32"/>
          <w:szCs w:val="32"/>
        </w:rPr>
      </w:pPr>
      <w:r>
        <w:rPr>
          <w:rFonts w:eastAsia="仿宋_GB2312"/>
          <w:sz w:val="32"/>
          <w:szCs w:val="32"/>
        </w:rPr>
        <w:t>（2）公共数字文化服务项目绩效目标完成情况综述。项目全年预算数2.4万元，执行数为2.4万元，完成预算的100%。通过项目实施，保障公共数字文化服务的正常运行，支持了数字图书馆网站运行维护、电子书刊借阅机资源更新、图书馆微信公众号的有效运行，促进公共数字文化服务工作的实施，提高了图书馆公共数字文化服务效能。满足广大群众对移动阅读、数字资源的需求，较好的适应了数字信息技术的发展。发现的主要问题：资金有限，所能购买的数字资源有限。图书馆缺乏此项工作的专业技术人员，不利于更好的开展此项工作。下一步改进措施：适当增加此项目经费，有效保障群众能享受到更优质的数字资源，广大群众可不受时空限制开展阅读学习。</w:t>
      </w:r>
    </w:p>
    <w:tbl>
      <w:tblPr>
        <w:tblStyle w:val="12"/>
        <w:tblpPr w:leftFromText="180" w:rightFromText="180" w:vertAnchor="text" w:horzAnchor="page" w:tblpXSpec="center" w:tblpY="423"/>
        <w:tblOverlap w:val="never"/>
        <w:tblW w:w="10080" w:type="dxa"/>
        <w:tblInd w:w="0" w:type="dxa"/>
        <w:tblLayout w:type="fixed"/>
        <w:tblCellMar>
          <w:top w:w="0" w:type="dxa"/>
          <w:left w:w="0" w:type="dxa"/>
          <w:bottom w:w="0" w:type="dxa"/>
          <w:right w:w="0" w:type="dxa"/>
        </w:tblCellMar>
      </w:tblPr>
      <w:tblGrid>
        <w:gridCol w:w="1008"/>
        <w:gridCol w:w="992"/>
        <w:gridCol w:w="782"/>
        <w:gridCol w:w="68"/>
        <w:gridCol w:w="1276"/>
        <w:gridCol w:w="3119"/>
        <w:gridCol w:w="2835"/>
      </w:tblGrid>
      <w:tr w14:paraId="08E531E2">
        <w:tblPrEx>
          <w:tblCellMar>
            <w:top w:w="0" w:type="dxa"/>
            <w:left w:w="0" w:type="dxa"/>
            <w:bottom w:w="0" w:type="dxa"/>
            <w:right w:w="0" w:type="dxa"/>
          </w:tblCellMar>
        </w:tblPrEx>
        <w:trPr>
          <w:trHeight w:val="1034" w:hRule="atLeast"/>
        </w:trPr>
        <w:tc>
          <w:tcPr>
            <w:tcW w:w="10080" w:type="dxa"/>
            <w:gridSpan w:val="7"/>
            <w:tcMar>
              <w:top w:w="15" w:type="dxa"/>
              <w:left w:w="15" w:type="dxa"/>
              <w:bottom w:w="0" w:type="dxa"/>
              <w:right w:w="15" w:type="dxa"/>
            </w:tcMar>
            <w:vAlign w:val="center"/>
          </w:tcPr>
          <w:p w14:paraId="4EF67C3B">
            <w:pPr>
              <w:pStyle w:val="30"/>
              <w:widowControl/>
              <w:ind w:left="2" w:firstLine="0" w:firstLineChars="0"/>
              <w:jc w:val="center"/>
              <w:textAlignment w:val="center"/>
              <w:rPr>
                <w:rFonts w:eastAsia="仿宋_GB2312"/>
                <w:color w:val="000000"/>
                <w:sz w:val="32"/>
                <w:szCs w:val="32"/>
              </w:rPr>
            </w:pPr>
            <w:r>
              <w:rPr>
                <w:rFonts w:eastAsia="仿宋_GB2312"/>
                <w:bCs/>
                <w:color w:val="000000"/>
                <w:kern w:val="0"/>
                <w:sz w:val="32"/>
                <w:szCs w:val="32"/>
              </w:rPr>
              <w:t>项目支出绩效目标完成情况表</w:t>
            </w:r>
            <w:r>
              <w:rPr>
                <w:rFonts w:eastAsia="仿宋_GB2312"/>
                <w:bCs/>
                <w:color w:val="000000"/>
                <w:kern w:val="0"/>
                <w:sz w:val="32"/>
                <w:szCs w:val="32"/>
              </w:rPr>
              <w:br w:type="textWrapping"/>
            </w:r>
            <w:r>
              <w:rPr>
                <w:rFonts w:eastAsia="仿宋_GB2312"/>
                <w:color w:val="000000"/>
                <w:kern w:val="0"/>
                <w:sz w:val="32"/>
                <w:szCs w:val="32"/>
              </w:rPr>
              <w:t>(2019年度)</w:t>
            </w:r>
          </w:p>
        </w:tc>
      </w:tr>
      <w:tr w14:paraId="0AA54506">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1AF28F">
            <w:pPr>
              <w:widowControl/>
              <w:jc w:val="center"/>
              <w:textAlignment w:val="center"/>
              <w:rPr>
                <w:rFonts w:eastAsia="仿宋_GB2312"/>
                <w:color w:val="000000"/>
                <w:sz w:val="15"/>
                <w:szCs w:val="15"/>
              </w:rPr>
            </w:pPr>
            <w:r>
              <w:rPr>
                <w:rFonts w:eastAsia="仿宋_GB2312"/>
                <w:color w:val="000000"/>
                <w:kern w:val="0"/>
                <w:sz w:val="15"/>
                <w:szCs w:val="15"/>
              </w:rPr>
              <w:t>项目名称</w:t>
            </w:r>
          </w:p>
        </w:tc>
        <w:tc>
          <w:tcPr>
            <w:tcW w:w="729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C56D23">
            <w:pPr>
              <w:widowControl/>
              <w:jc w:val="center"/>
              <w:textAlignment w:val="center"/>
              <w:rPr>
                <w:rFonts w:eastAsia="仿宋_GB2312"/>
                <w:color w:val="000000"/>
                <w:sz w:val="15"/>
                <w:szCs w:val="15"/>
              </w:rPr>
            </w:pPr>
            <w:r>
              <w:rPr>
                <w:rFonts w:eastAsia="仿宋_GB2312"/>
                <w:color w:val="000000"/>
                <w:sz w:val="15"/>
                <w:szCs w:val="15"/>
              </w:rPr>
              <w:t>公共数字文化服务</w:t>
            </w:r>
          </w:p>
        </w:tc>
      </w:tr>
      <w:tr w14:paraId="3057AFE8">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08464B">
            <w:pPr>
              <w:widowControl/>
              <w:jc w:val="center"/>
              <w:textAlignment w:val="center"/>
              <w:rPr>
                <w:rFonts w:eastAsia="仿宋_GB2312"/>
                <w:color w:val="000000"/>
                <w:sz w:val="15"/>
                <w:szCs w:val="15"/>
              </w:rPr>
            </w:pPr>
            <w:r>
              <w:rPr>
                <w:rFonts w:eastAsia="仿宋_GB2312"/>
                <w:color w:val="000000"/>
                <w:kern w:val="0"/>
                <w:sz w:val="15"/>
                <w:szCs w:val="15"/>
              </w:rPr>
              <w:t>预算单位</w:t>
            </w:r>
          </w:p>
        </w:tc>
        <w:tc>
          <w:tcPr>
            <w:tcW w:w="729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3EEED6">
            <w:pPr>
              <w:widowControl/>
              <w:jc w:val="center"/>
              <w:textAlignment w:val="center"/>
              <w:rPr>
                <w:rFonts w:eastAsia="仿宋_GB2312"/>
                <w:color w:val="000000"/>
                <w:sz w:val="15"/>
                <w:szCs w:val="15"/>
              </w:rPr>
            </w:pPr>
            <w:r>
              <w:rPr>
                <w:rFonts w:eastAsia="仿宋_GB2312"/>
                <w:color w:val="000000"/>
                <w:sz w:val="15"/>
                <w:szCs w:val="15"/>
              </w:rPr>
              <w:t>米易县图书馆</w:t>
            </w:r>
          </w:p>
        </w:tc>
      </w:tr>
      <w:tr w14:paraId="30A8472B">
        <w:tblPrEx>
          <w:tblCellMar>
            <w:top w:w="0" w:type="dxa"/>
            <w:left w:w="0" w:type="dxa"/>
            <w:bottom w:w="0" w:type="dxa"/>
            <w:right w:w="0" w:type="dxa"/>
          </w:tblCellMar>
        </w:tblPrEx>
        <w:trPr>
          <w:trHeight w:val="276" w:hRule="atLeast"/>
        </w:trPr>
        <w:tc>
          <w:tcPr>
            <w:tcW w:w="100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F4E633">
            <w:pPr>
              <w:widowControl/>
              <w:jc w:val="center"/>
              <w:textAlignment w:val="center"/>
              <w:rPr>
                <w:rFonts w:eastAsia="仿宋_GB2312"/>
                <w:color w:val="000000"/>
                <w:sz w:val="15"/>
                <w:szCs w:val="15"/>
              </w:rPr>
            </w:pPr>
            <w:r>
              <w:rPr>
                <w:rFonts w:eastAsia="仿宋_GB2312"/>
                <w:color w:val="000000"/>
                <w:kern w:val="0"/>
                <w:sz w:val="15"/>
                <w:szCs w:val="15"/>
              </w:rPr>
              <w:t>预算执行情况(万元)</w:t>
            </w:r>
          </w:p>
        </w:tc>
        <w:tc>
          <w:tcPr>
            <w:tcW w:w="177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56C407">
            <w:pPr>
              <w:widowControl/>
              <w:jc w:val="center"/>
              <w:textAlignment w:val="center"/>
              <w:rPr>
                <w:rFonts w:eastAsia="仿宋_GB2312"/>
                <w:color w:val="000000"/>
                <w:sz w:val="15"/>
                <w:szCs w:val="15"/>
              </w:rPr>
            </w:pPr>
            <w:r>
              <w:rPr>
                <w:rFonts w:eastAsia="仿宋_GB2312"/>
                <w:color w:val="000000"/>
                <w:kern w:val="0"/>
                <w:sz w:val="15"/>
                <w:szCs w:val="15"/>
              </w:rPr>
              <w:t>预算数:</w:t>
            </w:r>
          </w:p>
        </w:tc>
        <w:tc>
          <w:tcPr>
            <w:tcW w:w="134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1B1C2B">
            <w:pPr>
              <w:widowControl/>
              <w:jc w:val="center"/>
              <w:textAlignment w:val="center"/>
              <w:rPr>
                <w:rFonts w:eastAsia="仿宋_GB2312"/>
                <w:color w:val="000000"/>
                <w:sz w:val="15"/>
                <w:szCs w:val="15"/>
              </w:rPr>
            </w:pPr>
            <w:r>
              <w:rPr>
                <w:rFonts w:eastAsia="仿宋_GB2312"/>
                <w:color w:val="000000"/>
                <w:sz w:val="15"/>
                <w:szCs w:val="15"/>
              </w:rPr>
              <w:t>2.4万元</w:t>
            </w:r>
          </w:p>
        </w:tc>
        <w:tc>
          <w:tcPr>
            <w:tcW w:w="3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F320E3">
            <w:pPr>
              <w:widowControl/>
              <w:jc w:val="center"/>
              <w:textAlignment w:val="center"/>
              <w:rPr>
                <w:rFonts w:eastAsia="仿宋_GB2312"/>
                <w:color w:val="000000"/>
                <w:sz w:val="15"/>
                <w:szCs w:val="15"/>
              </w:rPr>
            </w:pPr>
            <w:r>
              <w:rPr>
                <w:rFonts w:eastAsia="仿宋_GB2312"/>
                <w:color w:val="000000"/>
                <w:kern w:val="0"/>
                <w:sz w:val="15"/>
                <w:szCs w:val="15"/>
              </w:rPr>
              <w:t>执行数:</w:t>
            </w:r>
          </w:p>
        </w:tc>
        <w:tc>
          <w:tcPr>
            <w:tcW w:w="28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36EDDC">
            <w:pPr>
              <w:widowControl/>
              <w:jc w:val="center"/>
              <w:textAlignment w:val="center"/>
              <w:rPr>
                <w:rFonts w:eastAsia="仿宋_GB2312"/>
                <w:color w:val="000000"/>
                <w:sz w:val="15"/>
                <w:szCs w:val="15"/>
              </w:rPr>
            </w:pPr>
            <w:r>
              <w:rPr>
                <w:rFonts w:eastAsia="仿宋_GB2312"/>
                <w:color w:val="000000"/>
                <w:sz w:val="15"/>
                <w:szCs w:val="15"/>
              </w:rPr>
              <w:t>2.4万元</w:t>
            </w:r>
          </w:p>
        </w:tc>
      </w:tr>
      <w:tr w14:paraId="669AFA13">
        <w:tblPrEx>
          <w:tblCellMar>
            <w:top w:w="0" w:type="dxa"/>
            <w:left w:w="0" w:type="dxa"/>
            <w:bottom w:w="0" w:type="dxa"/>
            <w:right w:w="0" w:type="dxa"/>
          </w:tblCellMar>
        </w:tblPrEx>
        <w:trPr>
          <w:trHeight w:val="276"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7CEA2228">
            <w:pPr>
              <w:widowControl/>
              <w:jc w:val="left"/>
              <w:rPr>
                <w:rFonts w:eastAsia="仿宋_GB2312"/>
                <w:color w:val="000000"/>
                <w:sz w:val="15"/>
                <w:szCs w:val="15"/>
              </w:rPr>
            </w:pPr>
          </w:p>
        </w:tc>
        <w:tc>
          <w:tcPr>
            <w:tcW w:w="177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8CC039">
            <w:pPr>
              <w:widowControl/>
              <w:jc w:val="center"/>
              <w:textAlignment w:val="center"/>
              <w:rPr>
                <w:rFonts w:eastAsia="仿宋_GB2312"/>
                <w:color w:val="000000"/>
                <w:sz w:val="15"/>
                <w:szCs w:val="15"/>
              </w:rPr>
            </w:pPr>
            <w:r>
              <w:rPr>
                <w:rFonts w:eastAsia="仿宋_GB2312"/>
                <w:color w:val="000000"/>
                <w:kern w:val="0"/>
                <w:sz w:val="15"/>
                <w:szCs w:val="15"/>
              </w:rPr>
              <w:t>其中-财政拨款:</w:t>
            </w:r>
          </w:p>
        </w:tc>
        <w:tc>
          <w:tcPr>
            <w:tcW w:w="134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69DC3A">
            <w:pPr>
              <w:widowControl/>
              <w:jc w:val="center"/>
              <w:textAlignment w:val="center"/>
              <w:rPr>
                <w:rFonts w:eastAsia="仿宋_GB2312"/>
                <w:color w:val="000000"/>
                <w:sz w:val="15"/>
                <w:szCs w:val="15"/>
              </w:rPr>
            </w:pPr>
            <w:r>
              <w:rPr>
                <w:rFonts w:eastAsia="仿宋_GB2312"/>
                <w:color w:val="000000"/>
                <w:sz w:val="15"/>
                <w:szCs w:val="15"/>
              </w:rPr>
              <w:t>2.4万元</w:t>
            </w:r>
          </w:p>
        </w:tc>
        <w:tc>
          <w:tcPr>
            <w:tcW w:w="3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52C3B0">
            <w:pPr>
              <w:widowControl/>
              <w:jc w:val="center"/>
              <w:textAlignment w:val="center"/>
              <w:rPr>
                <w:rFonts w:eastAsia="仿宋_GB2312"/>
                <w:color w:val="000000"/>
                <w:sz w:val="15"/>
                <w:szCs w:val="15"/>
              </w:rPr>
            </w:pPr>
            <w:r>
              <w:rPr>
                <w:rFonts w:eastAsia="仿宋_GB2312"/>
                <w:color w:val="000000"/>
                <w:kern w:val="0"/>
                <w:sz w:val="15"/>
                <w:szCs w:val="15"/>
              </w:rPr>
              <w:t>其中-财政拨款:</w:t>
            </w:r>
          </w:p>
        </w:tc>
        <w:tc>
          <w:tcPr>
            <w:tcW w:w="28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29B9C7">
            <w:pPr>
              <w:widowControl/>
              <w:jc w:val="center"/>
              <w:textAlignment w:val="center"/>
              <w:rPr>
                <w:rFonts w:eastAsia="仿宋_GB2312"/>
                <w:color w:val="000000"/>
                <w:sz w:val="15"/>
                <w:szCs w:val="15"/>
              </w:rPr>
            </w:pPr>
            <w:r>
              <w:rPr>
                <w:rFonts w:eastAsia="仿宋_GB2312"/>
                <w:color w:val="000000"/>
                <w:sz w:val="15"/>
                <w:szCs w:val="15"/>
              </w:rPr>
              <w:t>2.4万元</w:t>
            </w:r>
          </w:p>
        </w:tc>
      </w:tr>
      <w:tr w14:paraId="34CF7328">
        <w:trPr>
          <w:trHeight w:val="344"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410C3ABF">
            <w:pPr>
              <w:widowControl/>
              <w:jc w:val="left"/>
              <w:rPr>
                <w:rFonts w:eastAsia="仿宋_GB2312"/>
                <w:color w:val="000000"/>
                <w:sz w:val="15"/>
                <w:szCs w:val="15"/>
              </w:rPr>
            </w:pPr>
          </w:p>
        </w:tc>
        <w:tc>
          <w:tcPr>
            <w:tcW w:w="177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99A168">
            <w:pPr>
              <w:widowControl/>
              <w:jc w:val="center"/>
              <w:textAlignment w:val="center"/>
              <w:rPr>
                <w:rFonts w:eastAsia="仿宋_GB2312"/>
                <w:color w:val="000000"/>
                <w:sz w:val="15"/>
                <w:szCs w:val="15"/>
              </w:rPr>
            </w:pPr>
            <w:r>
              <w:rPr>
                <w:rFonts w:eastAsia="仿宋_GB2312"/>
                <w:color w:val="000000"/>
                <w:kern w:val="0"/>
                <w:sz w:val="15"/>
                <w:szCs w:val="15"/>
              </w:rPr>
              <w:t>其它资金:</w:t>
            </w:r>
          </w:p>
        </w:tc>
        <w:tc>
          <w:tcPr>
            <w:tcW w:w="134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67D5E1">
            <w:pPr>
              <w:widowControl/>
              <w:jc w:val="center"/>
              <w:textAlignment w:val="center"/>
              <w:rPr>
                <w:rFonts w:eastAsia="仿宋_GB2312"/>
                <w:color w:val="000000"/>
                <w:sz w:val="15"/>
                <w:szCs w:val="15"/>
              </w:rPr>
            </w:pPr>
            <w:r>
              <w:rPr>
                <w:rFonts w:eastAsia="仿宋_GB2312"/>
                <w:color w:val="000000"/>
                <w:kern w:val="0"/>
                <w:sz w:val="15"/>
                <w:szCs w:val="15"/>
              </w:rPr>
              <w:t>0</w:t>
            </w:r>
          </w:p>
        </w:tc>
        <w:tc>
          <w:tcPr>
            <w:tcW w:w="3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4D339A">
            <w:pPr>
              <w:widowControl/>
              <w:jc w:val="center"/>
              <w:textAlignment w:val="center"/>
              <w:rPr>
                <w:rFonts w:eastAsia="仿宋_GB2312"/>
                <w:color w:val="000000"/>
                <w:sz w:val="15"/>
                <w:szCs w:val="15"/>
              </w:rPr>
            </w:pPr>
            <w:r>
              <w:rPr>
                <w:rFonts w:eastAsia="仿宋_GB2312"/>
                <w:color w:val="000000"/>
                <w:kern w:val="0"/>
                <w:sz w:val="15"/>
                <w:szCs w:val="15"/>
              </w:rPr>
              <w:t>其它资金:</w:t>
            </w:r>
          </w:p>
        </w:tc>
        <w:tc>
          <w:tcPr>
            <w:tcW w:w="28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3C575D">
            <w:pPr>
              <w:jc w:val="center"/>
              <w:rPr>
                <w:rFonts w:eastAsia="仿宋_GB2312"/>
                <w:color w:val="000000"/>
                <w:sz w:val="15"/>
                <w:szCs w:val="15"/>
              </w:rPr>
            </w:pPr>
          </w:p>
        </w:tc>
      </w:tr>
      <w:tr w14:paraId="5A3BEB98">
        <w:tblPrEx>
          <w:tblCellMar>
            <w:top w:w="0" w:type="dxa"/>
            <w:left w:w="0" w:type="dxa"/>
            <w:bottom w:w="0" w:type="dxa"/>
            <w:right w:w="0" w:type="dxa"/>
          </w:tblCellMar>
        </w:tblPrEx>
        <w:trPr>
          <w:trHeight w:val="276" w:hRule="atLeast"/>
        </w:trPr>
        <w:tc>
          <w:tcPr>
            <w:tcW w:w="100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4A66D0">
            <w:pPr>
              <w:widowControl/>
              <w:jc w:val="center"/>
              <w:textAlignment w:val="center"/>
              <w:rPr>
                <w:rFonts w:eastAsia="仿宋_GB2312"/>
                <w:color w:val="000000"/>
                <w:sz w:val="15"/>
                <w:szCs w:val="15"/>
              </w:rPr>
            </w:pPr>
            <w:r>
              <w:rPr>
                <w:rFonts w:eastAsia="仿宋_GB2312"/>
                <w:color w:val="000000"/>
                <w:kern w:val="0"/>
                <w:sz w:val="15"/>
                <w:szCs w:val="15"/>
              </w:rPr>
              <w:t>年度目标完成情况</w:t>
            </w:r>
          </w:p>
        </w:tc>
        <w:tc>
          <w:tcPr>
            <w:tcW w:w="311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104BF2">
            <w:pPr>
              <w:widowControl/>
              <w:jc w:val="center"/>
              <w:textAlignment w:val="center"/>
              <w:rPr>
                <w:rFonts w:eastAsia="仿宋_GB2312"/>
                <w:color w:val="000000"/>
                <w:sz w:val="15"/>
                <w:szCs w:val="15"/>
              </w:rPr>
            </w:pPr>
            <w:r>
              <w:rPr>
                <w:rFonts w:eastAsia="仿宋_GB2312"/>
                <w:color w:val="000000"/>
                <w:kern w:val="0"/>
                <w:sz w:val="15"/>
                <w:szCs w:val="15"/>
              </w:rPr>
              <w:t>预期目标</w:t>
            </w:r>
          </w:p>
        </w:tc>
        <w:tc>
          <w:tcPr>
            <w:tcW w:w="595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D9CA6B">
            <w:pPr>
              <w:widowControl/>
              <w:jc w:val="center"/>
              <w:textAlignment w:val="center"/>
              <w:rPr>
                <w:rFonts w:eastAsia="仿宋_GB2312"/>
                <w:color w:val="000000"/>
                <w:sz w:val="15"/>
                <w:szCs w:val="15"/>
              </w:rPr>
            </w:pPr>
            <w:r>
              <w:rPr>
                <w:rFonts w:eastAsia="仿宋_GB2312"/>
                <w:color w:val="000000"/>
                <w:kern w:val="0"/>
                <w:sz w:val="15"/>
                <w:szCs w:val="15"/>
              </w:rPr>
              <w:t>实际完成目标</w:t>
            </w:r>
          </w:p>
        </w:tc>
      </w:tr>
      <w:tr w14:paraId="6B595899">
        <w:tblPrEx>
          <w:tblCellMar>
            <w:top w:w="0" w:type="dxa"/>
            <w:left w:w="0" w:type="dxa"/>
            <w:bottom w:w="0" w:type="dxa"/>
            <w:right w:w="0" w:type="dxa"/>
          </w:tblCellMar>
        </w:tblPrEx>
        <w:trPr>
          <w:trHeight w:val="482"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29B55E20">
            <w:pPr>
              <w:widowControl/>
              <w:jc w:val="left"/>
              <w:rPr>
                <w:rFonts w:eastAsia="仿宋_GB2312"/>
                <w:color w:val="000000"/>
                <w:sz w:val="15"/>
                <w:szCs w:val="15"/>
              </w:rPr>
            </w:pPr>
          </w:p>
        </w:tc>
        <w:tc>
          <w:tcPr>
            <w:tcW w:w="311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8B618F">
            <w:pPr>
              <w:widowControl/>
              <w:jc w:val="center"/>
              <w:textAlignment w:val="center"/>
              <w:rPr>
                <w:rFonts w:eastAsia="仿宋_GB2312"/>
                <w:color w:val="000000"/>
                <w:sz w:val="15"/>
                <w:szCs w:val="15"/>
              </w:rPr>
            </w:pPr>
            <w:r>
              <w:rPr>
                <w:rFonts w:eastAsia="仿宋_GB2312"/>
                <w:color w:val="000000"/>
                <w:sz w:val="15"/>
                <w:szCs w:val="15"/>
              </w:rPr>
              <w:t>保证公共数字文化服务的正常运行</w:t>
            </w:r>
          </w:p>
        </w:tc>
        <w:tc>
          <w:tcPr>
            <w:tcW w:w="595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C8AD23">
            <w:pPr>
              <w:widowControl/>
              <w:jc w:val="center"/>
              <w:textAlignment w:val="center"/>
              <w:rPr>
                <w:rFonts w:eastAsia="仿宋_GB2312"/>
                <w:color w:val="000000"/>
                <w:sz w:val="15"/>
                <w:szCs w:val="15"/>
              </w:rPr>
            </w:pPr>
            <w:r>
              <w:rPr>
                <w:rFonts w:eastAsia="仿宋_GB2312"/>
                <w:color w:val="000000"/>
                <w:sz w:val="15"/>
                <w:szCs w:val="15"/>
              </w:rPr>
              <w:t>完成年度公共数字文化服务工作</w:t>
            </w:r>
          </w:p>
        </w:tc>
      </w:tr>
      <w:tr w14:paraId="38B27E9E">
        <w:trPr>
          <w:trHeight w:val="404" w:hRule="atLeast"/>
        </w:trPr>
        <w:tc>
          <w:tcPr>
            <w:tcW w:w="100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7F594B">
            <w:pPr>
              <w:widowControl/>
              <w:jc w:val="center"/>
              <w:textAlignment w:val="center"/>
              <w:rPr>
                <w:rFonts w:eastAsia="仿宋_GB2312"/>
                <w:color w:val="000000"/>
                <w:sz w:val="15"/>
                <w:szCs w:val="15"/>
              </w:rPr>
            </w:pPr>
            <w:r>
              <w:rPr>
                <w:rFonts w:eastAsia="仿宋_GB2312"/>
                <w:color w:val="000000"/>
                <w:sz w:val="15"/>
                <w:szCs w:val="15"/>
              </w:rPr>
              <w:t>绩效指标完成情况</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DA9259">
            <w:pPr>
              <w:widowControl/>
              <w:jc w:val="center"/>
              <w:textAlignment w:val="center"/>
              <w:rPr>
                <w:rFonts w:eastAsia="仿宋_GB2312"/>
                <w:color w:val="000000"/>
                <w:sz w:val="15"/>
                <w:szCs w:val="15"/>
              </w:rPr>
            </w:pPr>
            <w:r>
              <w:rPr>
                <w:rFonts w:eastAsia="仿宋_GB2312"/>
                <w:color w:val="000000"/>
                <w:kern w:val="0"/>
                <w:sz w:val="15"/>
                <w:szCs w:val="15"/>
              </w:rPr>
              <w:t>一级指标</w:t>
            </w:r>
          </w:p>
        </w:tc>
        <w:tc>
          <w:tcPr>
            <w:tcW w:w="85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7B8287">
            <w:pPr>
              <w:widowControl/>
              <w:jc w:val="center"/>
              <w:textAlignment w:val="center"/>
              <w:rPr>
                <w:rFonts w:eastAsia="仿宋_GB2312"/>
                <w:color w:val="000000"/>
                <w:sz w:val="15"/>
                <w:szCs w:val="15"/>
              </w:rPr>
            </w:pPr>
            <w:r>
              <w:rPr>
                <w:rFonts w:eastAsia="仿宋_GB2312"/>
                <w:color w:val="000000"/>
                <w:kern w:val="0"/>
                <w:sz w:val="15"/>
                <w:szCs w:val="15"/>
              </w:rPr>
              <w:t>二级指标</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E7DEC0">
            <w:pPr>
              <w:widowControl/>
              <w:jc w:val="center"/>
              <w:textAlignment w:val="center"/>
              <w:rPr>
                <w:rFonts w:eastAsia="仿宋_GB2312"/>
                <w:color w:val="000000"/>
                <w:sz w:val="15"/>
                <w:szCs w:val="15"/>
              </w:rPr>
            </w:pPr>
            <w:r>
              <w:rPr>
                <w:rFonts w:eastAsia="仿宋_GB2312"/>
                <w:color w:val="000000"/>
                <w:kern w:val="0"/>
                <w:sz w:val="15"/>
                <w:szCs w:val="15"/>
              </w:rPr>
              <w:t>三级指标</w:t>
            </w:r>
          </w:p>
        </w:tc>
        <w:tc>
          <w:tcPr>
            <w:tcW w:w="3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59EAB3">
            <w:pPr>
              <w:widowControl/>
              <w:jc w:val="center"/>
              <w:textAlignment w:val="center"/>
              <w:rPr>
                <w:rFonts w:eastAsia="仿宋_GB2312"/>
                <w:color w:val="000000"/>
                <w:sz w:val="15"/>
                <w:szCs w:val="15"/>
              </w:rPr>
            </w:pPr>
            <w:r>
              <w:rPr>
                <w:rFonts w:eastAsia="仿宋_GB2312"/>
                <w:color w:val="000000"/>
                <w:kern w:val="0"/>
                <w:sz w:val="15"/>
                <w:szCs w:val="15"/>
              </w:rPr>
              <w:t>预期指标值(包含数字及文字描述)</w:t>
            </w:r>
          </w:p>
        </w:tc>
        <w:tc>
          <w:tcPr>
            <w:tcW w:w="28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73AF4B">
            <w:pPr>
              <w:widowControl/>
              <w:jc w:val="center"/>
              <w:textAlignment w:val="center"/>
              <w:rPr>
                <w:rFonts w:eastAsia="仿宋_GB2312"/>
                <w:color w:val="000000"/>
                <w:sz w:val="15"/>
                <w:szCs w:val="15"/>
              </w:rPr>
            </w:pPr>
            <w:r>
              <w:rPr>
                <w:rFonts w:eastAsia="仿宋_GB2312"/>
                <w:color w:val="000000"/>
                <w:kern w:val="0"/>
                <w:sz w:val="15"/>
                <w:szCs w:val="15"/>
              </w:rPr>
              <w:t>实际完成指标值(包含数字及文字描述)</w:t>
            </w:r>
          </w:p>
        </w:tc>
      </w:tr>
      <w:tr w14:paraId="67BAF2F8">
        <w:tblPrEx>
          <w:tblCellMar>
            <w:top w:w="0" w:type="dxa"/>
            <w:left w:w="0" w:type="dxa"/>
            <w:bottom w:w="0" w:type="dxa"/>
            <w:right w:w="0" w:type="dxa"/>
          </w:tblCellMar>
        </w:tblPrEx>
        <w:trPr>
          <w:trHeight w:val="953"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321108EC">
            <w:pPr>
              <w:widowControl/>
              <w:jc w:val="left"/>
              <w:rPr>
                <w:rFonts w:eastAsia="仿宋_GB2312"/>
                <w:color w:val="000000"/>
                <w:sz w:val="15"/>
                <w:szCs w:val="15"/>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0166EE">
            <w:pPr>
              <w:widowControl/>
              <w:jc w:val="left"/>
              <w:textAlignment w:val="center"/>
              <w:rPr>
                <w:rFonts w:eastAsia="仿宋_GB2312"/>
                <w:color w:val="000000"/>
                <w:sz w:val="15"/>
                <w:szCs w:val="15"/>
              </w:rPr>
            </w:pPr>
            <w:r>
              <w:rPr>
                <w:rFonts w:eastAsia="仿宋_GB2312"/>
                <w:color w:val="000000"/>
                <w:kern w:val="0"/>
                <w:sz w:val="15"/>
                <w:szCs w:val="15"/>
              </w:rPr>
              <w:t>项目完成指标</w:t>
            </w:r>
          </w:p>
        </w:tc>
        <w:tc>
          <w:tcPr>
            <w:tcW w:w="85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01CDFF">
            <w:pPr>
              <w:widowControl/>
              <w:jc w:val="left"/>
              <w:textAlignment w:val="center"/>
              <w:rPr>
                <w:rFonts w:eastAsia="仿宋_GB2312"/>
                <w:color w:val="000000"/>
                <w:sz w:val="15"/>
                <w:szCs w:val="15"/>
              </w:rPr>
            </w:pPr>
            <w:r>
              <w:rPr>
                <w:rFonts w:eastAsia="仿宋_GB2312"/>
                <w:color w:val="000000"/>
                <w:sz w:val="15"/>
                <w:szCs w:val="15"/>
              </w:rPr>
              <w:t>数量指标</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9572BF">
            <w:pPr>
              <w:widowControl/>
              <w:jc w:val="left"/>
              <w:textAlignment w:val="center"/>
              <w:rPr>
                <w:rFonts w:eastAsia="仿宋_GB2312"/>
                <w:color w:val="000000"/>
                <w:sz w:val="15"/>
                <w:szCs w:val="15"/>
              </w:rPr>
            </w:pPr>
            <w:r>
              <w:rPr>
                <w:rFonts w:eastAsia="仿宋_GB2312"/>
                <w:color w:val="000000"/>
                <w:sz w:val="15"/>
                <w:szCs w:val="15"/>
              </w:rPr>
              <w:t>图书馆公共数字文化设备及系统</w:t>
            </w:r>
          </w:p>
        </w:tc>
        <w:tc>
          <w:tcPr>
            <w:tcW w:w="3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E81058">
            <w:pPr>
              <w:widowControl/>
              <w:jc w:val="left"/>
              <w:textAlignment w:val="center"/>
              <w:rPr>
                <w:rFonts w:eastAsia="仿宋_GB2312"/>
                <w:color w:val="000000"/>
                <w:sz w:val="15"/>
                <w:szCs w:val="15"/>
              </w:rPr>
            </w:pPr>
            <w:r>
              <w:rPr>
                <w:rFonts w:eastAsia="仿宋_GB2312"/>
                <w:color w:val="000000"/>
                <w:sz w:val="15"/>
                <w:szCs w:val="15"/>
              </w:rPr>
              <w:t>保障米易县数字图书馆网站1个、移动图书馆1个、微信公众号1个、2台电子书刊借阅机正常运行</w:t>
            </w:r>
          </w:p>
        </w:tc>
        <w:tc>
          <w:tcPr>
            <w:tcW w:w="28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A86A90">
            <w:pPr>
              <w:widowControl/>
              <w:jc w:val="left"/>
              <w:textAlignment w:val="center"/>
              <w:rPr>
                <w:rFonts w:eastAsia="仿宋_GB2312"/>
                <w:color w:val="000000"/>
                <w:sz w:val="15"/>
                <w:szCs w:val="15"/>
              </w:rPr>
            </w:pPr>
            <w:r>
              <w:rPr>
                <w:rFonts w:eastAsia="仿宋_GB2312"/>
                <w:color w:val="000000"/>
                <w:sz w:val="15"/>
                <w:szCs w:val="15"/>
              </w:rPr>
              <w:t>完成相关设备及系统的运行维护、资源更新</w:t>
            </w:r>
          </w:p>
        </w:tc>
      </w:tr>
      <w:tr w14:paraId="60A87ACC">
        <w:tblPrEx>
          <w:tblCellMar>
            <w:top w:w="0" w:type="dxa"/>
            <w:left w:w="0" w:type="dxa"/>
            <w:bottom w:w="0" w:type="dxa"/>
            <w:right w:w="0" w:type="dxa"/>
          </w:tblCellMar>
        </w:tblPrEx>
        <w:trPr>
          <w:trHeight w:val="401"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78A5CC43">
            <w:pPr>
              <w:widowControl/>
              <w:jc w:val="left"/>
              <w:rPr>
                <w:rFonts w:eastAsia="仿宋_GB2312"/>
                <w:color w:val="000000"/>
                <w:sz w:val="15"/>
                <w:szCs w:val="15"/>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212878">
            <w:pPr>
              <w:widowControl/>
              <w:jc w:val="left"/>
              <w:textAlignment w:val="center"/>
              <w:rPr>
                <w:rFonts w:eastAsia="仿宋_GB2312"/>
                <w:color w:val="000000"/>
                <w:kern w:val="0"/>
                <w:sz w:val="15"/>
                <w:szCs w:val="15"/>
              </w:rPr>
            </w:pPr>
            <w:r>
              <w:rPr>
                <w:rFonts w:eastAsia="仿宋_GB2312"/>
                <w:color w:val="000000"/>
                <w:kern w:val="0"/>
                <w:sz w:val="15"/>
                <w:szCs w:val="15"/>
              </w:rPr>
              <w:t>项目完成指标</w:t>
            </w:r>
          </w:p>
        </w:tc>
        <w:tc>
          <w:tcPr>
            <w:tcW w:w="85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AE6FD5">
            <w:pPr>
              <w:widowControl/>
              <w:jc w:val="left"/>
              <w:textAlignment w:val="center"/>
              <w:rPr>
                <w:rFonts w:eastAsia="仿宋_GB2312"/>
                <w:color w:val="000000"/>
                <w:kern w:val="0"/>
                <w:sz w:val="15"/>
                <w:szCs w:val="15"/>
              </w:rPr>
            </w:pPr>
            <w:r>
              <w:rPr>
                <w:rFonts w:eastAsia="仿宋_GB2312"/>
                <w:color w:val="000000"/>
                <w:kern w:val="0"/>
                <w:sz w:val="15"/>
                <w:szCs w:val="15"/>
              </w:rPr>
              <w:t>质量指标</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F02A06">
            <w:pPr>
              <w:widowControl/>
              <w:jc w:val="left"/>
              <w:textAlignment w:val="center"/>
              <w:rPr>
                <w:rFonts w:eastAsia="仿宋_GB2312"/>
                <w:color w:val="000000"/>
                <w:sz w:val="15"/>
                <w:szCs w:val="15"/>
              </w:rPr>
            </w:pPr>
            <w:r>
              <w:rPr>
                <w:rFonts w:eastAsia="仿宋_GB2312"/>
                <w:color w:val="000000"/>
                <w:sz w:val="15"/>
                <w:szCs w:val="15"/>
              </w:rPr>
              <w:t>保证设备及系统正常运行</w:t>
            </w:r>
          </w:p>
        </w:tc>
        <w:tc>
          <w:tcPr>
            <w:tcW w:w="3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B4499B">
            <w:pPr>
              <w:widowControl/>
              <w:jc w:val="left"/>
              <w:textAlignment w:val="center"/>
              <w:rPr>
                <w:rFonts w:eastAsia="仿宋_GB2312"/>
                <w:color w:val="000000"/>
                <w:sz w:val="15"/>
                <w:szCs w:val="15"/>
              </w:rPr>
            </w:pPr>
            <w:r>
              <w:rPr>
                <w:rFonts w:eastAsia="仿宋_GB2312"/>
                <w:color w:val="000000"/>
                <w:sz w:val="15"/>
                <w:szCs w:val="15"/>
              </w:rPr>
              <w:t>完成设备及系统的维护、维修及运行</w:t>
            </w:r>
          </w:p>
        </w:tc>
        <w:tc>
          <w:tcPr>
            <w:tcW w:w="28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98A461">
            <w:pPr>
              <w:widowControl/>
              <w:jc w:val="left"/>
              <w:textAlignment w:val="center"/>
              <w:rPr>
                <w:rFonts w:eastAsia="仿宋_GB2312"/>
                <w:color w:val="000000"/>
                <w:sz w:val="15"/>
                <w:szCs w:val="15"/>
              </w:rPr>
            </w:pPr>
            <w:r>
              <w:rPr>
                <w:rFonts w:eastAsia="仿宋_GB2312"/>
                <w:color w:val="000000"/>
                <w:sz w:val="15"/>
                <w:szCs w:val="15"/>
              </w:rPr>
              <w:t>完成数字图书馆网站运行维护，网站年访问量3200余次，完成2台电子书刊借阅机数字资源更新，电子书年下载量1.5万余册，微信公众号每周推送一次信息，全年总计阅读量1.5万余次。</w:t>
            </w:r>
          </w:p>
        </w:tc>
      </w:tr>
      <w:tr w14:paraId="790746CA">
        <w:tblPrEx>
          <w:tblCellMar>
            <w:top w:w="0" w:type="dxa"/>
            <w:left w:w="0" w:type="dxa"/>
            <w:bottom w:w="0" w:type="dxa"/>
            <w:right w:w="0" w:type="dxa"/>
          </w:tblCellMar>
        </w:tblPrEx>
        <w:trPr>
          <w:trHeight w:val="407"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08CCF6A2">
            <w:pPr>
              <w:widowControl/>
              <w:jc w:val="left"/>
              <w:rPr>
                <w:rFonts w:eastAsia="仿宋_GB2312"/>
                <w:color w:val="000000"/>
                <w:sz w:val="15"/>
                <w:szCs w:val="15"/>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CEDA87">
            <w:pPr>
              <w:widowControl/>
              <w:jc w:val="left"/>
              <w:textAlignment w:val="center"/>
              <w:rPr>
                <w:rFonts w:eastAsia="仿宋_GB2312"/>
                <w:color w:val="000000"/>
                <w:kern w:val="0"/>
                <w:sz w:val="15"/>
                <w:szCs w:val="15"/>
              </w:rPr>
            </w:pPr>
            <w:r>
              <w:rPr>
                <w:rFonts w:eastAsia="仿宋_GB2312"/>
                <w:color w:val="000000"/>
                <w:kern w:val="0"/>
                <w:sz w:val="15"/>
                <w:szCs w:val="15"/>
              </w:rPr>
              <w:t>项目完成指标</w:t>
            </w:r>
          </w:p>
        </w:tc>
        <w:tc>
          <w:tcPr>
            <w:tcW w:w="85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603302">
            <w:pPr>
              <w:widowControl/>
              <w:jc w:val="left"/>
              <w:textAlignment w:val="center"/>
              <w:rPr>
                <w:rFonts w:eastAsia="仿宋_GB2312"/>
                <w:color w:val="000000"/>
                <w:kern w:val="0"/>
                <w:sz w:val="15"/>
                <w:szCs w:val="15"/>
              </w:rPr>
            </w:pPr>
            <w:r>
              <w:rPr>
                <w:rFonts w:eastAsia="仿宋_GB2312"/>
                <w:color w:val="000000"/>
                <w:kern w:val="0"/>
                <w:sz w:val="15"/>
                <w:szCs w:val="15"/>
              </w:rPr>
              <w:t>实效指标</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A441F3">
            <w:pPr>
              <w:widowControl/>
              <w:jc w:val="left"/>
              <w:textAlignment w:val="center"/>
              <w:rPr>
                <w:rFonts w:eastAsia="仿宋_GB2312"/>
                <w:color w:val="000000"/>
                <w:kern w:val="0"/>
                <w:sz w:val="15"/>
                <w:szCs w:val="15"/>
              </w:rPr>
            </w:pPr>
            <w:r>
              <w:rPr>
                <w:rFonts w:eastAsia="仿宋_GB2312"/>
                <w:color w:val="000000"/>
                <w:kern w:val="0"/>
                <w:sz w:val="15"/>
                <w:szCs w:val="15"/>
              </w:rPr>
              <w:t>完成时间</w:t>
            </w:r>
          </w:p>
        </w:tc>
        <w:tc>
          <w:tcPr>
            <w:tcW w:w="3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7DAAC1">
            <w:pPr>
              <w:widowControl/>
              <w:jc w:val="left"/>
              <w:textAlignment w:val="center"/>
              <w:rPr>
                <w:rFonts w:eastAsia="仿宋_GB2312"/>
                <w:color w:val="000000"/>
                <w:kern w:val="0"/>
                <w:sz w:val="15"/>
                <w:szCs w:val="15"/>
              </w:rPr>
            </w:pPr>
            <w:r>
              <w:rPr>
                <w:rFonts w:eastAsia="仿宋_GB2312"/>
                <w:color w:val="000000"/>
                <w:kern w:val="0"/>
                <w:sz w:val="15"/>
                <w:szCs w:val="15"/>
              </w:rPr>
              <w:t>2019年12月31日前</w:t>
            </w:r>
          </w:p>
        </w:tc>
        <w:tc>
          <w:tcPr>
            <w:tcW w:w="28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AC80DB">
            <w:pPr>
              <w:widowControl/>
              <w:jc w:val="left"/>
              <w:textAlignment w:val="center"/>
              <w:rPr>
                <w:rFonts w:eastAsia="仿宋_GB2312"/>
                <w:color w:val="000000"/>
                <w:kern w:val="0"/>
                <w:sz w:val="15"/>
                <w:szCs w:val="15"/>
              </w:rPr>
            </w:pPr>
            <w:r>
              <w:rPr>
                <w:rFonts w:eastAsia="仿宋_GB2312"/>
                <w:color w:val="000000"/>
                <w:kern w:val="0"/>
                <w:sz w:val="15"/>
                <w:szCs w:val="15"/>
              </w:rPr>
              <w:t>2019年12月31日前</w:t>
            </w:r>
          </w:p>
        </w:tc>
      </w:tr>
      <w:tr w14:paraId="146EA5D7">
        <w:tblPrEx>
          <w:tblCellMar>
            <w:top w:w="0" w:type="dxa"/>
            <w:left w:w="0" w:type="dxa"/>
            <w:bottom w:w="0" w:type="dxa"/>
            <w:right w:w="0" w:type="dxa"/>
          </w:tblCellMar>
        </w:tblPrEx>
        <w:trPr>
          <w:trHeight w:val="1093"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6C4D36E8">
            <w:pPr>
              <w:widowControl/>
              <w:jc w:val="left"/>
              <w:rPr>
                <w:rFonts w:eastAsia="仿宋_GB2312"/>
                <w:color w:val="000000"/>
                <w:sz w:val="15"/>
                <w:szCs w:val="15"/>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D474D8">
            <w:pPr>
              <w:widowControl/>
              <w:jc w:val="left"/>
              <w:textAlignment w:val="center"/>
              <w:rPr>
                <w:rFonts w:eastAsia="仿宋_GB2312"/>
                <w:color w:val="000000"/>
                <w:kern w:val="0"/>
                <w:sz w:val="15"/>
                <w:szCs w:val="15"/>
              </w:rPr>
            </w:pPr>
            <w:r>
              <w:rPr>
                <w:rFonts w:eastAsia="仿宋_GB2312"/>
                <w:color w:val="000000"/>
                <w:kern w:val="0"/>
                <w:sz w:val="15"/>
                <w:szCs w:val="15"/>
              </w:rPr>
              <w:t>项目完成指标</w:t>
            </w:r>
          </w:p>
        </w:tc>
        <w:tc>
          <w:tcPr>
            <w:tcW w:w="85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2BDBD4">
            <w:pPr>
              <w:widowControl/>
              <w:jc w:val="left"/>
              <w:textAlignment w:val="center"/>
              <w:rPr>
                <w:rFonts w:eastAsia="仿宋_GB2312"/>
                <w:color w:val="000000"/>
                <w:kern w:val="0"/>
                <w:sz w:val="15"/>
                <w:szCs w:val="15"/>
              </w:rPr>
            </w:pPr>
            <w:r>
              <w:rPr>
                <w:rFonts w:eastAsia="仿宋_GB2312"/>
                <w:color w:val="000000"/>
                <w:kern w:val="0"/>
                <w:sz w:val="15"/>
                <w:szCs w:val="15"/>
              </w:rPr>
              <w:t>效益指标</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4D2075">
            <w:pPr>
              <w:widowControl/>
              <w:jc w:val="left"/>
              <w:textAlignment w:val="center"/>
              <w:rPr>
                <w:rFonts w:eastAsia="仿宋_GB2312"/>
                <w:color w:val="000000"/>
                <w:sz w:val="15"/>
                <w:szCs w:val="15"/>
              </w:rPr>
            </w:pPr>
            <w:r>
              <w:rPr>
                <w:rFonts w:eastAsia="仿宋_GB2312"/>
                <w:color w:val="000000"/>
                <w:kern w:val="0"/>
                <w:sz w:val="15"/>
                <w:szCs w:val="15"/>
              </w:rPr>
              <w:t>社会舆情汇集和分析</w:t>
            </w:r>
          </w:p>
        </w:tc>
        <w:tc>
          <w:tcPr>
            <w:tcW w:w="3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C01457">
            <w:pPr>
              <w:widowControl/>
              <w:jc w:val="left"/>
              <w:textAlignment w:val="center"/>
              <w:rPr>
                <w:rFonts w:eastAsia="仿宋_GB2312"/>
                <w:color w:val="000000"/>
                <w:sz w:val="15"/>
                <w:szCs w:val="15"/>
              </w:rPr>
            </w:pPr>
            <w:r>
              <w:rPr>
                <w:rFonts w:eastAsia="仿宋_GB2312"/>
                <w:color w:val="000000"/>
                <w:sz w:val="15"/>
                <w:szCs w:val="15"/>
              </w:rPr>
              <w:t>满足广大群众对移动阅读、数字信息的需求</w:t>
            </w:r>
          </w:p>
        </w:tc>
        <w:tc>
          <w:tcPr>
            <w:tcW w:w="28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81F0B5">
            <w:pPr>
              <w:widowControl/>
              <w:jc w:val="left"/>
              <w:textAlignment w:val="center"/>
              <w:rPr>
                <w:rFonts w:eastAsia="仿宋_GB2312"/>
                <w:color w:val="000000"/>
                <w:sz w:val="15"/>
                <w:szCs w:val="15"/>
              </w:rPr>
            </w:pPr>
            <w:r>
              <w:rPr>
                <w:rFonts w:eastAsia="仿宋_GB2312"/>
                <w:color w:val="000000"/>
                <w:sz w:val="15"/>
                <w:szCs w:val="15"/>
              </w:rPr>
              <w:t>基本满足广大读者尤其青年壮年读者的移动阅读需求，助力推广全民阅读、共建书香米易，共创全国文明城市</w:t>
            </w:r>
          </w:p>
        </w:tc>
      </w:tr>
      <w:tr w14:paraId="73B45533">
        <w:tblPrEx>
          <w:tblCellMar>
            <w:top w:w="0" w:type="dxa"/>
            <w:left w:w="0" w:type="dxa"/>
            <w:bottom w:w="0" w:type="dxa"/>
            <w:right w:w="0" w:type="dxa"/>
          </w:tblCellMar>
        </w:tblPrEx>
        <w:trPr>
          <w:trHeight w:val="697"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0797B55A">
            <w:pPr>
              <w:widowControl/>
              <w:jc w:val="left"/>
              <w:rPr>
                <w:rFonts w:eastAsia="仿宋_GB2312"/>
                <w:color w:val="000000"/>
                <w:sz w:val="15"/>
                <w:szCs w:val="15"/>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7A0F38">
            <w:pPr>
              <w:widowControl/>
              <w:jc w:val="left"/>
              <w:textAlignment w:val="center"/>
              <w:rPr>
                <w:rFonts w:eastAsia="仿宋_GB2312"/>
                <w:color w:val="000000"/>
                <w:kern w:val="0"/>
                <w:sz w:val="15"/>
                <w:szCs w:val="15"/>
              </w:rPr>
            </w:pPr>
            <w:r>
              <w:rPr>
                <w:rFonts w:eastAsia="仿宋_GB2312"/>
                <w:color w:val="000000"/>
                <w:kern w:val="0"/>
                <w:sz w:val="15"/>
                <w:szCs w:val="15"/>
              </w:rPr>
              <w:t>项目完成指标</w:t>
            </w:r>
          </w:p>
        </w:tc>
        <w:tc>
          <w:tcPr>
            <w:tcW w:w="85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90DC15">
            <w:pPr>
              <w:widowControl/>
              <w:jc w:val="left"/>
              <w:textAlignment w:val="center"/>
              <w:rPr>
                <w:rFonts w:eastAsia="仿宋_GB2312"/>
                <w:color w:val="000000"/>
                <w:kern w:val="0"/>
                <w:sz w:val="15"/>
                <w:szCs w:val="15"/>
              </w:rPr>
            </w:pPr>
            <w:r>
              <w:rPr>
                <w:rFonts w:eastAsia="仿宋_GB2312"/>
                <w:color w:val="000000"/>
                <w:kern w:val="0"/>
                <w:sz w:val="15"/>
                <w:szCs w:val="15"/>
              </w:rPr>
              <w:t>满意度指标</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6BB774">
            <w:pPr>
              <w:widowControl/>
              <w:jc w:val="left"/>
              <w:textAlignment w:val="center"/>
              <w:rPr>
                <w:rFonts w:eastAsia="仿宋_GB2312"/>
                <w:color w:val="000000"/>
                <w:kern w:val="0"/>
                <w:sz w:val="15"/>
                <w:szCs w:val="15"/>
              </w:rPr>
            </w:pPr>
            <w:r>
              <w:rPr>
                <w:rFonts w:eastAsia="仿宋_GB2312"/>
                <w:color w:val="000000"/>
                <w:kern w:val="0"/>
                <w:sz w:val="15"/>
                <w:szCs w:val="15"/>
              </w:rPr>
              <w:t>服务对象满意度:抽样调查满意度达95%以上</w:t>
            </w:r>
          </w:p>
        </w:tc>
        <w:tc>
          <w:tcPr>
            <w:tcW w:w="3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C7FCC5">
            <w:pPr>
              <w:widowControl/>
              <w:jc w:val="left"/>
              <w:textAlignment w:val="center"/>
              <w:rPr>
                <w:rFonts w:eastAsia="仿宋_GB2312"/>
                <w:color w:val="000000"/>
                <w:kern w:val="0"/>
                <w:sz w:val="15"/>
                <w:szCs w:val="15"/>
              </w:rPr>
            </w:pPr>
            <w:r>
              <w:rPr>
                <w:rFonts w:eastAsia="仿宋_GB2312"/>
                <w:color w:val="000000"/>
                <w:kern w:val="0"/>
                <w:sz w:val="15"/>
                <w:szCs w:val="15"/>
              </w:rPr>
              <w:t>抽样调查服务对象，满意度达到基本满意以上。</w:t>
            </w:r>
          </w:p>
        </w:tc>
        <w:tc>
          <w:tcPr>
            <w:tcW w:w="28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09872B">
            <w:pPr>
              <w:widowControl/>
              <w:jc w:val="left"/>
              <w:textAlignment w:val="center"/>
              <w:rPr>
                <w:rFonts w:eastAsia="仿宋_GB2312"/>
                <w:color w:val="000000"/>
                <w:kern w:val="0"/>
                <w:sz w:val="15"/>
                <w:szCs w:val="15"/>
              </w:rPr>
            </w:pPr>
            <w:r>
              <w:rPr>
                <w:rFonts w:eastAsia="仿宋_GB2312"/>
                <w:color w:val="000000"/>
                <w:kern w:val="0"/>
                <w:sz w:val="15"/>
                <w:szCs w:val="15"/>
              </w:rPr>
              <w:t>抽样调查读者，满意率达95%以上。</w:t>
            </w:r>
          </w:p>
        </w:tc>
      </w:tr>
    </w:tbl>
    <w:p w14:paraId="22A192CE">
      <w:pPr>
        <w:tabs>
          <w:tab w:val="left" w:pos="312"/>
        </w:tabs>
        <w:spacing w:line="600" w:lineRule="exact"/>
        <w:ind w:firstLine="640" w:firstLineChars="200"/>
        <w:rPr>
          <w:rFonts w:eastAsia="仿宋_GB2312"/>
          <w:sz w:val="32"/>
          <w:szCs w:val="32"/>
        </w:rPr>
      </w:pPr>
      <w:r>
        <w:rPr>
          <w:rFonts w:eastAsia="仿宋_GB2312"/>
          <w:sz w:val="32"/>
          <w:szCs w:val="32"/>
        </w:rPr>
        <w:t>（3）报刊征订项目绩效目标完成情况综述。项目全年预算数5.3万元，执行数为5万元，完成预算的94%。通过项目实施，保障图书馆报刊及时更新，广大读者能阅读到最新的报纸、刊物，满足群众读书看报需要。</w:t>
      </w:r>
    </w:p>
    <w:tbl>
      <w:tblPr>
        <w:tblStyle w:val="12"/>
        <w:tblpPr w:leftFromText="180" w:rightFromText="180" w:vertAnchor="text" w:horzAnchor="page" w:tblpXSpec="center" w:tblpY="423"/>
        <w:tblOverlap w:val="never"/>
        <w:tblW w:w="10221" w:type="dxa"/>
        <w:tblInd w:w="0" w:type="dxa"/>
        <w:tblLayout w:type="fixed"/>
        <w:tblCellMar>
          <w:top w:w="0" w:type="dxa"/>
          <w:left w:w="0" w:type="dxa"/>
          <w:bottom w:w="0" w:type="dxa"/>
          <w:right w:w="0" w:type="dxa"/>
        </w:tblCellMar>
      </w:tblPr>
      <w:tblGrid>
        <w:gridCol w:w="866"/>
        <w:gridCol w:w="992"/>
        <w:gridCol w:w="924"/>
        <w:gridCol w:w="1911"/>
        <w:gridCol w:w="2410"/>
        <w:gridCol w:w="3118"/>
      </w:tblGrid>
      <w:tr w14:paraId="494ACA3E">
        <w:tblPrEx>
          <w:tblCellMar>
            <w:top w:w="0" w:type="dxa"/>
            <w:left w:w="0" w:type="dxa"/>
            <w:bottom w:w="0" w:type="dxa"/>
            <w:right w:w="0" w:type="dxa"/>
          </w:tblCellMar>
        </w:tblPrEx>
        <w:trPr>
          <w:trHeight w:val="1034" w:hRule="atLeast"/>
        </w:trPr>
        <w:tc>
          <w:tcPr>
            <w:tcW w:w="10221" w:type="dxa"/>
            <w:gridSpan w:val="6"/>
            <w:tcMar>
              <w:top w:w="15" w:type="dxa"/>
              <w:left w:w="15" w:type="dxa"/>
              <w:bottom w:w="0" w:type="dxa"/>
              <w:right w:w="15" w:type="dxa"/>
            </w:tcMar>
            <w:vAlign w:val="center"/>
          </w:tcPr>
          <w:p w14:paraId="3CF881C6">
            <w:pPr>
              <w:pStyle w:val="30"/>
              <w:widowControl/>
              <w:ind w:left="2" w:firstLine="0" w:firstLineChars="0"/>
              <w:jc w:val="center"/>
              <w:textAlignment w:val="center"/>
              <w:rPr>
                <w:rFonts w:eastAsia="仿宋_GB2312"/>
                <w:color w:val="000000"/>
                <w:sz w:val="32"/>
                <w:szCs w:val="32"/>
              </w:rPr>
            </w:pPr>
            <w:r>
              <w:rPr>
                <w:rFonts w:eastAsia="仿宋_GB2312"/>
                <w:bCs/>
                <w:color w:val="000000"/>
                <w:kern w:val="0"/>
                <w:sz w:val="32"/>
                <w:szCs w:val="32"/>
              </w:rPr>
              <w:t>项目支出绩效目标完成情况表</w:t>
            </w:r>
            <w:r>
              <w:rPr>
                <w:rFonts w:eastAsia="仿宋_GB2312"/>
                <w:bCs/>
                <w:color w:val="000000"/>
                <w:kern w:val="0"/>
                <w:sz w:val="32"/>
                <w:szCs w:val="32"/>
              </w:rPr>
              <w:br w:type="textWrapping"/>
            </w:r>
            <w:r>
              <w:rPr>
                <w:rFonts w:eastAsia="仿宋_GB2312"/>
                <w:color w:val="000000"/>
                <w:kern w:val="0"/>
                <w:sz w:val="32"/>
                <w:szCs w:val="32"/>
              </w:rPr>
              <w:t>(2019年度)</w:t>
            </w:r>
          </w:p>
        </w:tc>
      </w:tr>
      <w:tr w14:paraId="0A91D323">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489294">
            <w:pPr>
              <w:widowControl/>
              <w:jc w:val="center"/>
              <w:textAlignment w:val="center"/>
              <w:rPr>
                <w:rFonts w:eastAsia="仿宋_GB2312"/>
                <w:color w:val="000000"/>
                <w:sz w:val="15"/>
                <w:szCs w:val="15"/>
              </w:rPr>
            </w:pPr>
            <w:r>
              <w:rPr>
                <w:rFonts w:eastAsia="仿宋_GB2312"/>
                <w:color w:val="000000"/>
                <w:kern w:val="0"/>
                <w:sz w:val="15"/>
                <w:szCs w:val="15"/>
              </w:rPr>
              <w:t>项目名称</w:t>
            </w:r>
          </w:p>
        </w:tc>
        <w:tc>
          <w:tcPr>
            <w:tcW w:w="743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0369D8">
            <w:pPr>
              <w:widowControl/>
              <w:jc w:val="center"/>
              <w:textAlignment w:val="center"/>
              <w:rPr>
                <w:rFonts w:eastAsia="仿宋_GB2312"/>
                <w:color w:val="000000"/>
                <w:sz w:val="15"/>
                <w:szCs w:val="15"/>
              </w:rPr>
            </w:pPr>
            <w:r>
              <w:rPr>
                <w:rFonts w:eastAsia="仿宋_GB2312"/>
                <w:color w:val="000000"/>
                <w:sz w:val="15"/>
                <w:szCs w:val="15"/>
              </w:rPr>
              <w:t>报刊征订</w:t>
            </w:r>
          </w:p>
        </w:tc>
      </w:tr>
      <w:tr w14:paraId="2F7A10F2">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810CD9">
            <w:pPr>
              <w:widowControl/>
              <w:jc w:val="center"/>
              <w:textAlignment w:val="center"/>
              <w:rPr>
                <w:rFonts w:eastAsia="仿宋_GB2312"/>
                <w:color w:val="000000"/>
                <w:sz w:val="15"/>
                <w:szCs w:val="15"/>
              </w:rPr>
            </w:pPr>
            <w:r>
              <w:rPr>
                <w:rFonts w:eastAsia="仿宋_GB2312"/>
                <w:color w:val="000000"/>
                <w:kern w:val="0"/>
                <w:sz w:val="15"/>
                <w:szCs w:val="15"/>
              </w:rPr>
              <w:t>预算单位</w:t>
            </w:r>
          </w:p>
        </w:tc>
        <w:tc>
          <w:tcPr>
            <w:tcW w:w="743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B9D02C">
            <w:pPr>
              <w:widowControl/>
              <w:jc w:val="center"/>
              <w:textAlignment w:val="center"/>
              <w:rPr>
                <w:rFonts w:eastAsia="仿宋_GB2312"/>
                <w:color w:val="000000"/>
                <w:sz w:val="15"/>
                <w:szCs w:val="15"/>
              </w:rPr>
            </w:pPr>
            <w:r>
              <w:rPr>
                <w:rFonts w:eastAsia="仿宋_GB2312"/>
                <w:color w:val="000000"/>
                <w:sz w:val="15"/>
                <w:szCs w:val="15"/>
              </w:rPr>
              <w:t>米易县图书馆</w:t>
            </w:r>
          </w:p>
        </w:tc>
      </w:tr>
      <w:tr w14:paraId="157DC423">
        <w:tblPrEx>
          <w:tblCellMar>
            <w:top w:w="0" w:type="dxa"/>
            <w:left w:w="0" w:type="dxa"/>
            <w:bottom w:w="0" w:type="dxa"/>
            <w:right w:w="0" w:type="dxa"/>
          </w:tblCellMar>
        </w:tblPrEx>
        <w:trPr>
          <w:trHeight w:val="276" w:hRule="atLeast"/>
        </w:trPr>
        <w:tc>
          <w:tcPr>
            <w:tcW w:w="866"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8B8BFF">
            <w:pPr>
              <w:widowControl/>
              <w:jc w:val="center"/>
              <w:textAlignment w:val="center"/>
              <w:rPr>
                <w:rFonts w:eastAsia="仿宋_GB2312"/>
                <w:color w:val="000000"/>
                <w:sz w:val="15"/>
                <w:szCs w:val="15"/>
              </w:rPr>
            </w:pPr>
            <w:r>
              <w:rPr>
                <w:rFonts w:eastAsia="仿宋_GB2312"/>
                <w:color w:val="000000"/>
                <w:kern w:val="0"/>
                <w:sz w:val="15"/>
                <w:szCs w:val="15"/>
              </w:rPr>
              <w:t>预算执行情况(万元)</w:t>
            </w:r>
          </w:p>
        </w:tc>
        <w:tc>
          <w:tcPr>
            <w:tcW w:w="191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0A2FBA">
            <w:pPr>
              <w:widowControl/>
              <w:jc w:val="center"/>
              <w:textAlignment w:val="center"/>
              <w:rPr>
                <w:rFonts w:eastAsia="仿宋_GB2312"/>
                <w:color w:val="000000"/>
                <w:sz w:val="15"/>
                <w:szCs w:val="15"/>
              </w:rPr>
            </w:pPr>
            <w:r>
              <w:rPr>
                <w:rFonts w:eastAsia="仿宋_GB2312"/>
                <w:color w:val="000000"/>
                <w:kern w:val="0"/>
                <w:sz w:val="15"/>
                <w:szCs w:val="15"/>
              </w:rPr>
              <w:t>预算数:</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59519F">
            <w:pPr>
              <w:widowControl/>
              <w:jc w:val="center"/>
              <w:textAlignment w:val="center"/>
              <w:rPr>
                <w:rFonts w:eastAsia="仿宋_GB2312"/>
                <w:color w:val="000000"/>
                <w:sz w:val="15"/>
                <w:szCs w:val="15"/>
              </w:rPr>
            </w:pPr>
            <w:r>
              <w:rPr>
                <w:rFonts w:eastAsia="仿宋_GB2312"/>
                <w:color w:val="000000"/>
                <w:sz w:val="15"/>
                <w:szCs w:val="15"/>
              </w:rPr>
              <w:t>5.3万元</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25E537">
            <w:pPr>
              <w:widowControl/>
              <w:jc w:val="center"/>
              <w:textAlignment w:val="center"/>
              <w:rPr>
                <w:rFonts w:eastAsia="仿宋_GB2312"/>
                <w:color w:val="000000"/>
                <w:sz w:val="15"/>
                <w:szCs w:val="15"/>
              </w:rPr>
            </w:pPr>
            <w:r>
              <w:rPr>
                <w:rFonts w:eastAsia="仿宋_GB2312"/>
                <w:color w:val="000000"/>
                <w:kern w:val="0"/>
                <w:sz w:val="15"/>
                <w:szCs w:val="15"/>
              </w:rPr>
              <w:t>执行数:</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7F5497">
            <w:pPr>
              <w:widowControl/>
              <w:jc w:val="center"/>
              <w:textAlignment w:val="center"/>
              <w:rPr>
                <w:rFonts w:eastAsia="仿宋_GB2312"/>
                <w:color w:val="000000"/>
                <w:sz w:val="15"/>
                <w:szCs w:val="15"/>
              </w:rPr>
            </w:pPr>
            <w:r>
              <w:rPr>
                <w:rFonts w:eastAsia="仿宋_GB2312"/>
                <w:color w:val="000000"/>
                <w:sz w:val="15"/>
                <w:szCs w:val="15"/>
              </w:rPr>
              <w:t>5万元</w:t>
            </w:r>
          </w:p>
        </w:tc>
      </w:tr>
      <w:tr w14:paraId="527902D7">
        <w:tblPrEx>
          <w:tblCellMar>
            <w:top w:w="0" w:type="dxa"/>
            <w:left w:w="0" w:type="dxa"/>
            <w:bottom w:w="0" w:type="dxa"/>
            <w:right w:w="0" w:type="dxa"/>
          </w:tblCellMar>
        </w:tblPrEx>
        <w:trPr>
          <w:trHeight w:val="276" w:hRule="atLeast"/>
        </w:trPr>
        <w:tc>
          <w:tcPr>
            <w:tcW w:w="866" w:type="dxa"/>
            <w:vMerge w:val="continue"/>
            <w:tcBorders>
              <w:top w:val="single" w:color="000000" w:sz="4" w:space="0"/>
              <w:left w:val="single" w:color="000000" w:sz="4" w:space="0"/>
              <w:bottom w:val="single" w:color="000000" w:sz="4" w:space="0"/>
              <w:right w:val="single" w:color="000000" w:sz="4" w:space="0"/>
            </w:tcBorders>
            <w:vAlign w:val="center"/>
          </w:tcPr>
          <w:p w14:paraId="2ACB1E91">
            <w:pPr>
              <w:widowControl/>
              <w:jc w:val="left"/>
              <w:rPr>
                <w:rFonts w:eastAsia="仿宋_GB2312"/>
                <w:color w:val="000000"/>
                <w:sz w:val="15"/>
                <w:szCs w:val="15"/>
              </w:rPr>
            </w:pPr>
          </w:p>
        </w:tc>
        <w:tc>
          <w:tcPr>
            <w:tcW w:w="191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21830C">
            <w:pPr>
              <w:widowControl/>
              <w:jc w:val="center"/>
              <w:textAlignment w:val="center"/>
              <w:rPr>
                <w:rFonts w:eastAsia="仿宋_GB2312"/>
                <w:color w:val="000000"/>
                <w:sz w:val="15"/>
                <w:szCs w:val="15"/>
              </w:rPr>
            </w:pPr>
            <w:r>
              <w:rPr>
                <w:rFonts w:eastAsia="仿宋_GB2312"/>
                <w:color w:val="000000"/>
                <w:kern w:val="0"/>
                <w:sz w:val="15"/>
                <w:szCs w:val="15"/>
              </w:rPr>
              <w:t>其中-财政拨款:</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987875">
            <w:pPr>
              <w:widowControl/>
              <w:jc w:val="center"/>
              <w:textAlignment w:val="center"/>
              <w:rPr>
                <w:rFonts w:eastAsia="仿宋_GB2312"/>
                <w:color w:val="000000"/>
                <w:sz w:val="15"/>
                <w:szCs w:val="15"/>
              </w:rPr>
            </w:pPr>
            <w:r>
              <w:rPr>
                <w:rFonts w:eastAsia="仿宋_GB2312"/>
                <w:color w:val="000000"/>
                <w:sz w:val="15"/>
                <w:szCs w:val="15"/>
              </w:rPr>
              <w:t>5.3万元</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91C6F5">
            <w:pPr>
              <w:widowControl/>
              <w:jc w:val="center"/>
              <w:textAlignment w:val="center"/>
              <w:rPr>
                <w:rFonts w:eastAsia="仿宋_GB2312"/>
                <w:color w:val="000000"/>
                <w:sz w:val="15"/>
                <w:szCs w:val="15"/>
              </w:rPr>
            </w:pPr>
            <w:r>
              <w:rPr>
                <w:rFonts w:eastAsia="仿宋_GB2312"/>
                <w:color w:val="000000"/>
                <w:kern w:val="0"/>
                <w:sz w:val="15"/>
                <w:szCs w:val="15"/>
              </w:rPr>
              <w:t>其中-财政拨款:</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D1AB42">
            <w:pPr>
              <w:widowControl/>
              <w:jc w:val="center"/>
              <w:textAlignment w:val="center"/>
              <w:rPr>
                <w:rFonts w:eastAsia="仿宋_GB2312"/>
                <w:color w:val="000000"/>
                <w:sz w:val="15"/>
                <w:szCs w:val="15"/>
              </w:rPr>
            </w:pPr>
            <w:r>
              <w:rPr>
                <w:rFonts w:eastAsia="仿宋_GB2312"/>
                <w:color w:val="000000"/>
                <w:sz w:val="15"/>
                <w:szCs w:val="15"/>
              </w:rPr>
              <w:t>5万元</w:t>
            </w:r>
          </w:p>
        </w:tc>
      </w:tr>
      <w:tr w14:paraId="6775B9D2">
        <w:trPr>
          <w:trHeight w:val="373" w:hRule="atLeast"/>
        </w:trPr>
        <w:tc>
          <w:tcPr>
            <w:tcW w:w="866" w:type="dxa"/>
            <w:vMerge w:val="continue"/>
            <w:tcBorders>
              <w:top w:val="single" w:color="000000" w:sz="4" w:space="0"/>
              <w:left w:val="single" w:color="000000" w:sz="4" w:space="0"/>
              <w:bottom w:val="single" w:color="000000" w:sz="4" w:space="0"/>
              <w:right w:val="single" w:color="000000" w:sz="4" w:space="0"/>
            </w:tcBorders>
            <w:vAlign w:val="center"/>
          </w:tcPr>
          <w:p w14:paraId="05A4380A">
            <w:pPr>
              <w:widowControl/>
              <w:jc w:val="left"/>
              <w:rPr>
                <w:rFonts w:eastAsia="仿宋_GB2312"/>
                <w:color w:val="000000"/>
                <w:sz w:val="15"/>
                <w:szCs w:val="15"/>
              </w:rPr>
            </w:pPr>
          </w:p>
        </w:tc>
        <w:tc>
          <w:tcPr>
            <w:tcW w:w="191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6CD605">
            <w:pPr>
              <w:widowControl/>
              <w:jc w:val="center"/>
              <w:textAlignment w:val="center"/>
              <w:rPr>
                <w:rFonts w:eastAsia="仿宋_GB2312"/>
                <w:color w:val="000000"/>
                <w:sz w:val="15"/>
                <w:szCs w:val="15"/>
              </w:rPr>
            </w:pPr>
            <w:r>
              <w:rPr>
                <w:rFonts w:eastAsia="仿宋_GB2312"/>
                <w:color w:val="000000"/>
                <w:kern w:val="0"/>
                <w:sz w:val="15"/>
                <w:szCs w:val="15"/>
              </w:rPr>
              <w:t>其它资金:</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24BA1C">
            <w:pPr>
              <w:widowControl/>
              <w:jc w:val="center"/>
              <w:textAlignment w:val="center"/>
              <w:rPr>
                <w:rFonts w:eastAsia="仿宋_GB2312"/>
                <w:color w:val="000000"/>
                <w:sz w:val="15"/>
                <w:szCs w:val="15"/>
              </w:rPr>
            </w:pPr>
            <w:r>
              <w:rPr>
                <w:rFonts w:eastAsia="仿宋_GB2312"/>
                <w:color w:val="000000"/>
                <w:kern w:val="0"/>
                <w:sz w:val="15"/>
                <w:szCs w:val="15"/>
              </w:rPr>
              <w:t>0</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0C3F91">
            <w:pPr>
              <w:widowControl/>
              <w:jc w:val="center"/>
              <w:textAlignment w:val="center"/>
              <w:rPr>
                <w:rFonts w:eastAsia="仿宋_GB2312"/>
                <w:color w:val="000000"/>
                <w:sz w:val="15"/>
                <w:szCs w:val="15"/>
              </w:rPr>
            </w:pPr>
            <w:r>
              <w:rPr>
                <w:rFonts w:eastAsia="仿宋_GB2312"/>
                <w:color w:val="000000"/>
                <w:kern w:val="0"/>
                <w:sz w:val="15"/>
                <w:szCs w:val="15"/>
              </w:rPr>
              <w:t>其它资金:</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271724">
            <w:pPr>
              <w:jc w:val="center"/>
              <w:rPr>
                <w:rFonts w:eastAsia="仿宋_GB2312"/>
                <w:color w:val="000000"/>
                <w:sz w:val="15"/>
                <w:szCs w:val="15"/>
              </w:rPr>
            </w:pPr>
          </w:p>
        </w:tc>
      </w:tr>
      <w:tr w14:paraId="0364E39E">
        <w:tblPrEx>
          <w:tblCellMar>
            <w:top w:w="0" w:type="dxa"/>
            <w:left w:w="0" w:type="dxa"/>
            <w:bottom w:w="0" w:type="dxa"/>
            <w:right w:w="0" w:type="dxa"/>
          </w:tblCellMar>
        </w:tblPrEx>
        <w:trPr>
          <w:trHeight w:val="276" w:hRule="atLeast"/>
        </w:trPr>
        <w:tc>
          <w:tcPr>
            <w:tcW w:w="866"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020484">
            <w:pPr>
              <w:widowControl/>
              <w:jc w:val="center"/>
              <w:textAlignment w:val="center"/>
              <w:rPr>
                <w:rFonts w:eastAsia="仿宋_GB2312"/>
                <w:color w:val="000000"/>
                <w:sz w:val="15"/>
                <w:szCs w:val="15"/>
              </w:rPr>
            </w:pPr>
            <w:r>
              <w:rPr>
                <w:rFonts w:eastAsia="仿宋_GB2312"/>
                <w:color w:val="000000"/>
                <w:kern w:val="0"/>
                <w:sz w:val="15"/>
                <w:szCs w:val="15"/>
              </w:rPr>
              <w:t>年度目标完成情况</w:t>
            </w:r>
          </w:p>
        </w:tc>
        <w:tc>
          <w:tcPr>
            <w:tcW w:w="382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EA6C09">
            <w:pPr>
              <w:widowControl/>
              <w:jc w:val="center"/>
              <w:textAlignment w:val="center"/>
              <w:rPr>
                <w:rFonts w:eastAsia="仿宋_GB2312"/>
                <w:color w:val="000000"/>
                <w:sz w:val="15"/>
                <w:szCs w:val="15"/>
              </w:rPr>
            </w:pPr>
            <w:r>
              <w:rPr>
                <w:rFonts w:eastAsia="仿宋_GB2312"/>
                <w:color w:val="000000"/>
                <w:kern w:val="0"/>
                <w:sz w:val="15"/>
                <w:szCs w:val="15"/>
              </w:rPr>
              <w:t>预期目标</w:t>
            </w:r>
          </w:p>
        </w:tc>
        <w:tc>
          <w:tcPr>
            <w:tcW w:w="552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72178D">
            <w:pPr>
              <w:widowControl/>
              <w:jc w:val="center"/>
              <w:textAlignment w:val="center"/>
              <w:rPr>
                <w:rFonts w:eastAsia="仿宋_GB2312"/>
                <w:color w:val="000000"/>
                <w:sz w:val="15"/>
                <w:szCs w:val="15"/>
              </w:rPr>
            </w:pPr>
            <w:r>
              <w:rPr>
                <w:rFonts w:eastAsia="仿宋_GB2312"/>
                <w:color w:val="000000"/>
                <w:kern w:val="0"/>
                <w:sz w:val="15"/>
                <w:szCs w:val="15"/>
              </w:rPr>
              <w:t>实际完成目标</w:t>
            </w:r>
          </w:p>
        </w:tc>
      </w:tr>
      <w:tr w14:paraId="35978DC9">
        <w:tblPrEx>
          <w:tblCellMar>
            <w:top w:w="0" w:type="dxa"/>
            <w:left w:w="0" w:type="dxa"/>
            <w:bottom w:w="0" w:type="dxa"/>
            <w:right w:w="0" w:type="dxa"/>
          </w:tblCellMar>
        </w:tblPrEx>
        <w:trPr>
          <w:trHeight w:val="465" w:hRule="atLeast"/>
        </w:trPr>
        <w:tc>
          <w:tcPr>
            <w:tcW w:w="866" w:type="dxa"/>
            <w:vMerge w:val="continue"/>
            <w:tcBorders>
              <w:top w:val="single" w:color="000000" w:sz="4" w:space="0"/>
              <w:left w:val="single" w:color="000000" w:sz="4" w:space="0"/>
              <w:bottom w:val="single" w:color="000000" w:sz="4" w:space="0"/>
              <w:right w:val="single" w:color="000000" w:sz="4" w:space="0"/>
            </w:tcBorders>
            <w:vAlign w:val="center"/>
          </w:tcPr>
          <w:p w14:paraId="7C29C62F">
            <w:pPr>
              <w:widowControl/>
              <w:jc w:val="left"/>
              <w:rPr>
                <w:rFonts w:eastAsia="仿宋_GB2312"/>
                <w:color w:val="000000"/>
                <w:sz w:val="15"/>
                <w:szCs w:val="15"/>
              </w:rPr>
            </w:pPr>
          </w:p>
        </w:tc>
        <w:tc>
          <w:tcPr>
            <w:tcW w:w="382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AF31F2">
            <w:pPr>
              <w:widowControl/>
              <w:textAlignment w:val="center"/>
              <w:rPr>
                <w:rFonts w:eastAsia="仿宋_GB2312"/>
                <w:color w:val="000000"/>
                <w:sz w:val="15"/>
                <w:szCs w:val="15"/>
              </w:rPr>
            </w:pPr>
            <w:r>
              <w:rPr>
                <w:rFonts w:eastAsia="仿宋_GB2312"/>
                <w:color w:val="000000"/>
                <w:sz w:val="15"/>
                <w:szCs w:val="15"/>
              </w:rPr>
              <w:t>为馆外15个联建图书室、4个公共场所报刊免费阅读点及图书馆需要，为2020年征订报刊330种。</w:t>
            </w:r>
          </w:p>
        </w:tc>
        <w:tc>
          <w:tcPr>
            <w:tcW w:w="552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FEE5BE">
            <w:pPr>
              <w:widowControl/>
              <w:jc w:val="center"/>
              <w:textAlignment w:val="center"/>
              <w:rPr>
                <w:rFonts w:eastAsia="仿宋_GB2312"/>
                <w:color w:val="000000"/>
                <w:sz w:val="15"/>
                <w:szCs w:val="15"/>
              </w:rPr>
            </w:pPr>
            <w:r>
              <w:rPr>
                <w:rFonts w:eastAsia="仿宋_GB2312"/>
                <w:color w:val="000000"/>
                <w:sz w:val="15"/>
                <w:szCs w:val="15"/>
              </w:rPr>
              <w:t>完成报刊征订353种</w:t>
            </w:r>
          </w:p>
        </w:tc>
      </w:tr>
      <w:tr w14:paraId="5C49A7E0">
        <w:trPr>
          <w:trHeight w:val="406" w:hRule="atLeast"/>
        </w:trPr>
        <w:tc>
          <w:tcPr>
            <w:tcW w:w="866"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C5566E">
            <w:pPr>
              <w:widowControl/>
              <w:jc w:val="center"/>
              <w:textAlignment w:val="center"/>
              <w:rPr>
                <w:rFonts w:eastAsia="仿宋_GB2312"/>
                <w:color w:val="000000"/>
                <w:sz w:val="15"/>
                <w:szCs w:val="15"/>
              </w:rPr>
            </w:pPr>
            <w:r>
              <w:rPr>
                <w:rFonts w:eastAsia="仿宋_GB2312"/>
                <w:color w:val="000000"/>
                <w:sz w:val="15"/>
                <w:szCs w:val="15"/>
              </w:rPr>
              <w:t>绩效指标完成情况</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6D3323">
            <w:pPr>
              <w:widowControl/>
              <w:jc w:val="center"/>
              <w:textAlignment w:val="center"/>
              <w:rPr>
                <w:rFonts w:eastAsia="仿宋_GB2312"/>
                <w:color w:val="000000"/>
                <w:sz w:val="15"/>
                <w:szCs w:val="15"/>
              </w:rPr>
            </w:pPr>
            <w:r>
              <w:rPr>
                <w:rFonts w:eastAsia="仿宋_GB2312"/>
                <w:color w:val="000000"/>
                <w:kern w:val="0"/>
                <w:sz w:val="15"/>
                <w:szCs w:val="15"/>
              </w:rPr>
              <w:t>一级指标</w:t>
            </w: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9D498A">
            <w:pPr>
              <w:widowControl/>
              <w:jc w:val="center"/>
              <w:textAlignment w:val="center"/>
              <w:rPr>
                <w:rFonts w:eastAsia="仿宋_GB2312"/>
                <w:color w:val="000000"/>
                <w:sz w:val="15"/>
                <w:szCs w:val="15"/>
              </w:rPr>
            </w:pPr>
            <w:r>
              <w:rPr>
                <w:rFonts w:eastAsia="仿宋_GB2312"/>
                <w:color w:val="000000"/>
                <w:kern w:val="0"/>
                <w:sz w:val="15"/>
                <w:szCs w:val="15"/>
              </w:rPr>
              <w:t>二级指标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0D4AED">
            <w:pPr>
              <w:widowControl/>
              <w:jc w:val="center"/>
              <w:textAlignment w:val="center"/>
              <w:rPr>
                <w:rFonts w:eastAsia="仿宋_GB2312"/>
                <w:color w:val="000000"/>
                <w:sz w:val="15"/>
                <w:szCs w:val="15"/>
              </w:rPr>
            </w:pPr>
            <w:r>
              <w:rPr>
                <w:rFonts w:eastAsia="仿宋_GB2312"/>
                <w:color w:val="000000"/>
                <w:kern w:val="0"/>
                <w:sz w:val="15"/>
                <w:szCs w:val="15"/>
              </w:rPr>
              <w:t>三级指标</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FE3631">
            <w:pPr>
              <w:widowControl/>
              <w:jc w:val="center"/>
              <w:textAlignment w:val="center"/>
              <w:rPr>
                <w:rFonts w:eastAsia="仿宋_GB2312"/>
                <w:color w:val="000000"/>
                <w:sz w:val="15"/>
                <w:szCs w:val="15"/>
              </w:rPr>
            </w:pPr>
            <w:r>
              <w:rPr>
                <w:rFonts w:eastAsia="仿宋_GB2312"/>
                <w:color w:val="000000"/>
                <w:kern w:val="0"/>
                <w:sz w:val="15"/>
                <w:szCs w:val="15"/>
              </w:rPr>
              <w:t>预期指标值(包含数字及文字描述)</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6899B2">
            <w:pPr>
              <w:widowControl/>
              <w:jc w:val="center"/>
              <w:textAlignment w:val="center"/>
              <w:rPr>
                <w:rFonts w:eastAsia="仿宋_GB2312"/>
                <w:color w:val="000000"/>
                <w:sz w:val="15"/>
                <w:szCs w:val="15"/>
              </w:rPr>
            </w:pPr>
            <w:r>
              <w:rPr>
                <w:rFonts w:eastAsia="仿宋_GB2312"/>
                <w:color w:val="000000"/>
                <w:kern w:val="0"/>
                <w:sz w:val="15"/>
                <w:szCs w:val="15"/>
              </w:rPr>
              <w:t>实际完成指标值(包含数字及文字描述)</w:t>
            </w:r>
          </w:p>
        </w:tc>
      </w:tr>
      <w:tr w14:paraId="38D37CDD">
        <w:tblPrEx>
          <w:tblCellMar>
            <w:top w:w="0" w:type="dxa"/>
            <w:left w:w="0" w:type="dxa"/>
            <w:bottom w:w="0" w:type="dxa"/>
            <w:right w:w="0" w:type="dxa"/>
          </w:tblCellMar>
        </w:tblPrEx>
        <w:trPr>
          <w:trHeight w:val="381" w:hRule="atLeast"/>
        </w:trPr>
        <w:tc>
          <w:tcPr>
            <w:tcW w:w="866" w:type="dxa"/>
            <w:vMerge w:val="continue"/>
            <w:tcBorders>
              <w:top w:val="single" w:color="000000" w:sz="4" w:space="0"/>
              <w:left w:val="single" w:color="000000" w:sz="4" w:space="0"/>
              <w:bottom w:val="single" w:color="000000" w:sz="4" w:space="0"/>
              <w:right w:val="single" w:color="000000" w:sz="4" w:space="0"/>
            </w:tcBorders>
            <w:vAlign w:val="center"/>
          </w:tcPr>
          <w:p w14:paraId="6C5DBF0E">
            <w:pPr>
              <w:widowControl/>
              <w:jc w:val="left"/>
              <w:rPr>
                <w:rFonts w:eastAsia="仿宋_GB2312"/>
                <w:color w:val="000000"/>
                <w:sz w:val="15"/>
                <w:szCs w:val="15"/>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FD030C">
            <w:pPr>
              <w:widowControl/>
              <w:jc w:val="left"/>
              <w:textAlignment w:val="center"/>
              <w:rPr>
                <w:rFonts w:eastAsia="仿宋_GB2312"/>
                <w:color w:val="000000"/>
                <w:sz w:val="15"/>
                <w:szCs w:val="15"/>
              </w:rPr>
            </w:pPr>
            <w:r>
              <w:rPr>
                <w:rFonts w:eastAsia="仿宋_GB2312"/>
                <w:color w:val="000000"/>
                <w:kern w:val="0"/>
                <w:sz w:val="15"/>
                <w:szCs w:val="15"/>
              </w:rPr>
              <w:t>项目完成指标</w:t>
            </w: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0CD30B">
            <w:pPr>
              <w:widowControl/>
              <w:jc w:val="left"/>
              <w:textAlignment w:val="center"/>
              <w:rPr>
                <w:rFonts w:eastAsia="仿宋_GB2312"/>
                <w:color w:val="000000"/>
                <w:sz w:val="15"/>
                <w:szCs w:val="15"/>
              </w:rPr>
            </w:pPr>
            <w:r>
              <w:rPr>
                <w:rFonts w:eastAsia="仿宋_GB2312"/>
                <w:color w:val="000000"/>
                <w:sz w:val="15"/>
                <w:szCs w:val="15"/>
              </w:rPr>
              <w:t>数量指标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D5B4F6">
            <w:pPr>
              <w:widowControl/>
              <w:jc w:val="left"/>
              <w:textAlignment w:val="center"/>
              <w:rPr>
                <w:rFonts w:eastAsia="仿宋_GB2312"/>
                <w:color w:val="000000"/>
                <w:sz w:val="15"/>
                <w:szCs w:val="15"/>
              </w:rPr>
            </w:pPr>
            <w:r>
              <w:rPr>
                <w:rFonts w:eastAsia="仿宋_GB2312"/>
                <w:color w:val="000000"/>
                <w:sz w:val="15"/>
                <w:szCs w:val="15"/>
              </w:rPr>
              <w:t>保障300余种报刊更新</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B10585">
            <w:pPr>
              <w:widowControl/>
              <w:jc w:val="left"/>
              <w:textAlignment w:val="center"/>
              <w:rPr>
                <w:rFonts w:eastAsia="仿宋_GB2312"/>
                <w:color w:val="000000"/>
                <w:sz w:val="15"/>
                <w:szCs w:val="15"/>
              </w:rPr>
            </w:pPr>
            <w:r>
              <w:rPr>
                <w:rFonts w:eastAsia="仿宋_GB2312"/>
                <w:color w:val="000000"/>
                <w:sz w:val="15"/>
                <w:szCs w:val="15"/>
              </w:rPr>
              <w:t>征订报刊330种</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0A2A8F">
            <w:pPr>
              <w:widowControl/>
              <w:jc w:val="left"/>
              <w:textAlignment w:val="center"/>
              <w:rPr>
                <w:rFonts w:eastAsia="仿宋_GB2312"/>
                <w:color w:val="000000"/>
                <w:sz w:val="15"/>
                <w:szCs w:val="15"/>
              </w:rPr>
            </w:pPr>
            <w:r>
              <w:rPr>
                <w:rFonts w:eastAsia="仿宋_GB2312"/>
                <w:color w:val="000000"/>
                <w:sz w:val="15"/>
                <w:szCs w:val="15"/>
              </w:rPr>
              <w:t>征订报刊353种</w:t>
            </w:r>
          </w:p>
        </w:tc>
      </w:tr>
      <w:tr w14:paraId="5CB6712F">
        <w:tblPrEx>
          <w:tblCellMar>
            <w:top w:w="0" w:type="dxa"/>
            <w:left w:w="0" w:type="dxa"/>
            <w:bottom w:w="0" w:type="dxa"/>
            <w:right w:w="0" w:type="dxa"/>
          </w:tblCellMar>
        </w:tblPrEx>
        <w:trPr>
          <w:trHeight w:val="670" w:hRule="atLeast"/>
        </w:trPr>
        <w:tc>
          <w:tcPr>
            <w:tcW w:w="866" w:type="dxa"/>
            <w:vMerge w:val="continue"/>
            <w:tcBorders>
              <w:top w:val="single" w:color="000000" w:sz="4" w:space="0"/>
              <w:left w:val="single" w:color="000000" w:sz="4" w:space="0"/>
              <w:bottom w:val="single" w:color="000000" w:sz="4" w:space="0"/>
              <w:right w:val="single" w:color="000000" w:sz="4" w:space="0"/>
            </w:tcBorders>
            <w:vAlign w:val="center"/>
          </w:tcPr>
          <w:p w14:paraId="1E9EF4AE">
            <w:pPr>
              <w:widowControl/>
              <w:jc w:val="left"/>
              <w:rPr>
                <w:rFonts w:eastAsia="仿宋_GB2312"/>
                <w:color w:val="000000"/>
                <w:sz w:val="15"/>
                <w:szCs w:val="15"/>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7ACBF8">
            <w:pPr>
              <w:widowControl/>
              <w:jc w:val="left"/>
              <w:textAlignment w:val="center"/>
              <w:rPr>
                <w:rFonts w:eastAsia="仿宋_GB2312"/>
                <w:color w:val="000000"/>
                <w:kern w:val="0"/>
                <w:sz w:val="15"/>
                <w:szCs w:val="15"/>
              </w:rPr>
            </w:pPr>
            <w:r>
              <w:rPr>
                <w:rFonts w:eastAsia="仿宋_GB2312"/>
                <w:color w:val="000000"/>
                <w:kern w:val="0"/>
                <w:sz w:val="15"/>
                <w:szCs w:val="15"/>
              </w:rPr>
              <w:t>项目完成指标</w:t>
            </w: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AD6B77">
            <w:pPr>
              <w:widowControl/>
              <w:jc w:val="left"/>
              <w:textAlignment w:val="center"/>
              <w:rPr>
                <w:rFonts w:eastAsia="仿宋_GB2312"/>
                <w:color w:val="000000"/>
                <w:kern w:val="0"/>
                <w:sz w:val="15"/>
                <w:szCs w:val="15"/>
              </w:rPr>
            </w:pPr>
            <w:r>
              <w:rPr>
                <w:rFonts w:eastAsia="仿宋_GB2312"/>
                <w:color w:val="000000"/>
                <w:kern w:val="0"/>
                <w:sz w:val="15"/>
                <w:szCs w:val="15"/>
              </w:rPr>
              <w:t>质量指标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733D81">
            <w:pPr>
              <w:widowControl/>
              <w:jc w:val="left"/>
              <w:textAlignment w:val="center"/>
              <w:rPr>
                <w:rFonts w:eastAsia="仿宋_GB2312"/>
                <w:color w:val="000000"/>
                <w:sz w:val="15"/>
                <w:szCs w:val="15"/>
              </w:rPr>
            </w:pPr>
            <w:r>
              <w:rPr>
                <w:rFonts w:eastAsia="仿宋_GB2312"/>
                <w:color w:val="000000"/>
                <w:sz w:val="15"/>
                <w:szCs w:val="15"/>
              </w:rPr>
              <w:t>保证阅读需要</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886D60">
            <w:pPr>
              <w:widowControl/>
              <w:jc w:val="left"/>
              <w:textAlignment w:val="center"/>
              <w:rPr>
                <w:rFonts w:eastAsia="仿宋_GB2312"/>
                <w:color w:val="000000"/>
                <w:sz w:val="15"/>
                <w:szCs w:val="15"/>
              </w:rPr>
            </w:pPr>
            <w:r>
              <w:rPr>
                <w:rFonts w:eastAsia="仿宋_GB2312"/>
                <w:color w:val="000000"/>
                <w:sz w:val="15"/>
                <w:szCs w:val="15"/>
              </w:rPr>
              <w:t>满足广大群众读书看报需要</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339D54">
            <w:pPr>
              <w:widowControl/>
              <w:jc w:val="left"/>
              <w:textAlignment w:val="center"/>
              <w:rPr>
                <w:rFonts w:eastAsia="仿宋_GB2312"/>
                <w:color w:val="000000"/>
                <w:sz w:val="15"/>
                <w:szCs w:val="15"/>
              </w:rPr>
            </w:pPr>
            <w:r>
              <w:rPr>
                <w:rFonts w:eastAsia="仿宋_GB2312"/>
                <w:color w:val="000000"/>
                <w:sz w:val="15"/>
                <w:szCs w:val="15"/>
              </w:rPr>
              <w:t>选择群众喜闻乐见的、需要学习了解的报刊进行征订，保障广大读者的阅读学习</w:t>
            </w:r>
          </w:p>
        </w:tc>
      </w:tr>
      <w:tr w14:paraId="58609B9D">
        <w:tblPrEx>
          <w:tblCellMar>
            <w:top w:w="0" w:type="dxa"/>
            <w:left w:w="0" w:type="dxa"/>
            <w:bottom w:w="0" w:type="dxa"/>
            <w:right w:w="0" w:type="dxa"/>
          </w:tblCellMar>
        </w:tblPrEx>
        <w:trPr>
          <w:trHeight w:val="429" w:hRule="atLeast"/>
        </w:trPr>
        <w:tc>
          <w:tcPr>
            <w:tcW w:w="866" w:type="dxa"/>
            <w:vMerge w:val="continue"/>
            <w:tcBorders>
              <w:top w:val="single" w:color="000000" w:sz="4" w:space="0"/>
              <w:left w:val="single" w:color="000000" w:sz="4" w:space="0"/>
              <w:bottom w:val="single" w:color="000000" w:sz="4" w:space="0"/>
              <w:right w:val="single" w:color="000000" w:sz="4" w:space="0"/>
            </w:tcBorders>
            <w:vAlign w:val="center"/>
          </w:tcPr>
          <w:p w14:paraId="15E516BD">
            <w:pPr>
              <w:widowControl/>
              <w:jc w:val="left"/>
              <w:rPr>
                <w:rFonts w:eastAsia="仿宋_GB2312"/>
                <w:color w:val="000000"/>
                <w:sz w:val="15"/>
                <w:szCs w:val="15"/>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99F708">
            <w:pPr>
              <w:widowControl/>
              <w:jc w:val="left"/>
              <w:textAlignment w:val="center"/>
              <w:rPr>
                <w:rFonts w:eastAsia="仿宋_GB2312"/>
                <w:color w:val="000000"/>
                <w:kern w:val="0"/>
                <w:sz w:val="15"/>
                <w:szCs w:val="15"/>
              </w:rPr>
            </w:pPr>
            <w:r>
              <w:rPr>
                <w:rFonts w:eastAsia="仿宋_GB2312"/>
                <w:color w:val="000000"/>
                <w:kern w:val="0"/>
                <w:sz w:val="15"/>
                <w:szCs w:val="15"/>
              </w:rPr>
              <w:t>项目完成指标</w:t>
            </w: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74EC1C">
            <w:pPr>
              <w:widowControl/>
              <w:jc w:val="left"/>
              <w:textAlignment w:val="center"/>
              <w:rPr>
                <w:rFonts w:eastAsia="仿宋_GB2312"/>
                <w:color w:val="000000"/>
                <w:kern w:val="0"/>
                <w:sz w:val="15"/>
                <w:szCs w:val="15"/>
              </w:rPr>
            </w:pPr>
            <w:r>
              <w:rPr>
                <w:rFonts w:eastAsia="仿宋_GB2312"/>
                <w:color w:val="000000"/>
                <w:kern w:val="0"/>
                <w:sz w:val="15"/>
                <w:szCs w:val="15"/>
              </w:rPr>
              <w:t>实效指标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F1FEDC">
            <w:pPr>
              <w:widowControl/>
              <w:jc w:val="left"/>
              <w:textAlignment w:val="center"/>
              <w:rPr>
                <w:rFonts w:eastAsia="仿宋_GB2312"/>
                <w:color w:val="000000"/>
                <w:kern w:val="0"/>
                <w:sz w:val="15"/>
                <w:szCs w:val="15"/>
              </w:rPr>
            </w:pPr>
            <w:r>
              <w:rPr>
                <w:rFonts w:eastAsia="仿宋_GB2312"/>
                <w:color w:val="000000"/>
                <w:kern w:val="0"/>
                <w:sz w:val="15"/>
                <w:szCs w:val="15"/>
              </w:rPr>
              <w:t>完成时间</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D16E40">
            <w:pPr>
              <w:widowControl/>
              <w:jc w:val="left"/>
              <w:textAlignment w:val="center"/>
              <w:rPr>
                <w:rFonts w:eastAsia="仿宋_GB2312"/>
                <w:color w:val="000000"/>
                <w:kern w:val="0"/>
                <w:sz w:val="15"/>
                <w:szCs w:val="15"/>
              </w:rPr>
            </w:pPr>
            <w:r>
              <w:rPr>
                <w:rFonts w:eastAsia="仿宋_GB2312"/>
                <w:color w:val="000000"/>
                <w:kern w:val="0"/>
                <w:sz w:val="15"/>
                <w:szCs w:val="15"/>
              </w:rPr>
              <w:t>2019年12月31日前</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BFA4EC">
            <w:pPr>
              <w:widowControl/>
              <w:jc w:val="left"/>
              <w:textAlignment w:val="center"/>
              <w:rPr>
                <w:rFonts w:eastAsia="仿宋_GB2312"/>
                <w:color w:val="000000"/>
                <w:kern w:val="0"/>
                <w:sz w:val="15"/>
                <w:szCs w:val="15"/>
              </w:rPr>
            </w:pPr>
            <w:r>
              <w:rPr>
                <w:rFonts w:eastAsia="仿宋_GB2312"/>
                <w:color w:val="000000"/>
                <w:kern w:val="0"/>
                <w:sz w:val="15"/>
                <w:szCs w:val="15"/>
              </w:rPr>
              <w:t>2019年12月31日前</w:t>
            </w:r>
          </w:p>
        </w:tc>
      </w:tr>
      <w:tr w14:paraId="0C113349">
        <w:tblPrEx>
          <w:tblCellMar>
            <w:top w:w="0" w:type="dxa"/>
            <w:left w:w="0" w:type="dxa"/>
            <w:bottom w:w="0" w:type="dxa"/>
            <w:right w:w="0" w:type="dxa"/>
          </w:tblCellMar>
        </w:tblPrEx>
        <w:trPr>
          <w:trHeight w:val="530" w:hRule="atLeast"/>
        </w:trPr>
        <w:tc>
          <w:tcPr>
            <w:tcW w:w="866" w:type="dxa"/>
            <w:vMerge w:val="continue"/>
            <w:tcBorders>
              <w:top w:val="single" w:color="000000" w:sz="4" w:space="0"/>
              <w:left w:val="single" w:color="000000" w:sz="4" w:space="0"/>
              <w:bottom w:val="single" w:color="000000" w:sz="4" w:space="0"/>
              <w:right w:val="single" w:color="000000" w:sz="4" w:space="0"/>
            </w:tcBorders>
            <w:vAlign w:val="center"/>
          </w:tcPr>
          <w:p w14:paraId="0070E25E">
            <w:pPr>
              <w:widowControl/>
              <w:jc w:val="left"/>
              <w:rPr>
                <w:rFonts w:eastAsia="仿宋_GB2312"/>
                <w:color w:val="000000"/>
                <w:sz w:val="15"/>
                <w:szCs w:val="15"/>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D926ED">
            <w:pPr>
              <w:widowControl/>
              <w:jc w:val="left"/>
              <w:textAlignment w:val="center"/>
              <w:rPr>
                <w:rFonts w:eastAsia="仿宋_GB2312"/>
                <w:color w:val="000000"/>
                <w:kern w:val="0"/>
                <w:sz w:val="15"/>
                <w:szCs w:val="15"/>
              </w:rPr>
            </w:pPr>
            <w:r>
              <w:rPr>
                <w:rFonts w:eastAsia="仿宋_GB2312"/>
                <w:color w:val="000000"/>
                <w:kern w:val="0"/>
                <w:sz w:val="15"/>
                <w:szCs w:val="15"/>
              </w:rPr>
              <w:t>项目完成指标</w:t>
            </w: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294994">
            <w:pPr>
              <w:widowControl/>
              <w:jc w:val="left"/>
              <w:textAlignment w:val="center"/>
              <w:rPr>
                <w:rFonts w:eastAsia="仿宋_GB2312"/>
                <w:color w:val="000000"/>
                <w:kern w:val="0"/>
                <w:sz w:val="15"/>
                <w:szCs w:val="15"/>
              </w:rPr>
            </w:pPr>
            <w:r>
              <w:rPr>
                <w:rFonts w:eastAsia="仿宋_GB2312"/>
                <w:color w:val="000000"/>
                <w:kern w:val="0"/>
                <w:sz w:val="15"/>
                <w:szCs w:val="15"/>
              </w:rPr>
              <w:t>效益指标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8EE065">
            <w:pPr>
              <w:widowControl/>
              <w:jc w:val="left"/>
              <w:textAlignment w:val="center"/>
              <w:rPr>
                <w:rFonts w:eastAsia="仿宋_GB2312"/>
                <w:color w:val="000000"/>
                <w:sz w:val="15"/>
                <w:szCs w:val="15"/>
              </w:rPr>
            </w:pPr>
            <w:r>
              <w:rPr>
                <w:rFonts w:eastAsia="仿宋_GB2312"/>
                <w:color w:val="000000"/>
                <w:kern w:val="0"/>
                <w:sz w:val="15"/>
                <w:szCs w:val="15"/>
              </w:rPr>
              <w:t>社会舆情汇集和分析</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26F46D">
            <w:pPr>
              <w:widowControl/>
              <w:jc w:val="left"/>
              <w:textAlignment w:val="center"/>
              <w:rPr>
                <w:rFonts w:eastAsia="仿宋_GB2312"/>
                <w:color w:val="000000"/>
                <w:sz w:val="15"/>
                <w:szCs w:val="15"/>
              </w:rPr>
            </w:pPr>
            <w:r>
              <w:rPr>
                <w:rFonts w:eastAsia="仿宋_GB2312"/>
                <w:color w:val="000000"/>
                <w:sz w:val="15"/>
                <w:szCs w:val="15"/>
              </w:rPr>
              <w:t>满足广大群看书读报需求</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931F43">
            <w:pPr>
              <w:widowControl/>
              <w:jc w:val="left"/>
              <w:textAlignment w:val="center"/>
              <w:rPr>
                <w:rFonts w:eastAsia="仿宋_GB2312"/>
                <w:color w:val="000000"/>
                <w:sz w:val="15"/>
                <w:szCs w:val="15"/>
              </w:rPr>
            </w:pPr>
            <w:r>
              <w:rPr>
                <w:rFonts w:eastAsia="仿宋_GB2312"/>
                <w:color w:val="000000"/>
                <w:sz w:val="15"/>
                <w:szCs w:val="15"/>
              </w:rPr>
              <w:t>满足广大群众阅读需求，助力推广全民阅读、共建书香米易，共创全国文明城市</w:t>
            </w:r>
          </w:p>
        </w:tc>
      </w:tr>
      <w:tr w14:paraId="5157BD71">
        <w:tblPrEx>
          <w:tblCellMar>
            <w:top w:w="0" w:type="dxa"/>
            <w:left w:w="0" w:type="dxa"/>
            <w:bottom w:w="0" w:type="dxa"/>
            <w:right w:w="0" w:type="dxa"/>
          </w:tblCellMar>
        </w:tblPrEx>
        <w:trPr>
          <w:trHeight w:val="684" w:hRule="atLeast"/>
        </w:trPr>
        <w:tc>
          <w:tcPr>
            <w:tcW w:w="866" w:type="dxa"/>
            <w:vMerge w:val="continue"/>
            <w:tcBorders>
              <w:top w:val="single" w:color="000000" w:sz="4" w:space="0"/>
              <w:left w:val="single" w:color="000000" w:sz="4" w:space="0"/>
              <w:bottom w:val="single" w:color="000000" w:sz="4" w:space="0"/>
              <w:right w:val="single" w:color="000000" w:sz="4" w:space="0"/>
            </w:tcBorders>
            <w:vAlign w:val="center"/>
          </w:tcPr>
          <w:p w14:paraId="7B21D7C7">
            <w:pPr>
              <w:widowControl/>
              <w:jc w:val="left"/>
              <w:rPr>
                <w:rFonts w:eastAsia="仿宋_GB2312"/>
                <w:color w:val="000000"/>
                <w:sz w:val="15"/>
                <w:szCs w:val="15"/>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758E32">
            <w:pPr>
              <w:widowControl/>
              <w:jc w:val="left"/>
              <w:textAlignment w:val="center"/>
              <w:rPr>
                <w:rFonts w:eastAsia="仿宋_GB2312"/>
                <w:color w:val="000000"/>
                <w:kern w:val="0"/>
                <w:sz w:val="15"/>
                <w:szCs w:val="15"/>
              </w:rPr>
            </w:pPr>
            <w:r>
              <w:rPr>
                <w:rFonts w:eastAsia="仿宋_GB2312"/>
                <w:color w:val="000000"/>
                <w:kern w:val="0"/>
                <w:sz w:val="15"/>
                <w:szCs w:val="15"/>
              </w:rPr>
              <w:t>项目完成指标</w:t>
            </w: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1C53B0">
            <w:pPr>
              <w:widowControl/>
              <w:jc w:val="left"/>
              <w:textAlignment w:val="center"/>
              <w:rPr>
                <w:rFonts w:eastAsia="仿宋_GB2312"/>
                <w:color w:val="000000"/>
                <w:kern w:val="0"/>
                <w:sz w:val="15"/>
                <w:szCs w:val="15"/>
              </w:rPr>
            </w:pPr>
            <w:r>
              <w:rPr>
                <w:rFonts w:eastAsia="仿宋_GB2312"/>
                <w:color w:val="000000"/>
                <w:kern w:val="0"/>
                <w:sz w:val="15"/>
                <w:szCs w:val="15"/>
              </w:rPr>
              <w:t>满意度指标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D00CF3">
            <w:pPr>
              <w:widowControl/>
              <w:jc w:val="left"/>
              <w:textAlignment w:val="center"/>
              <w:rPr>
                <w:rFonts w:eastAsia="仿宋_GB2312"/>
                <w:color w:val="000000"/>
                <w:kern w:val="0"/>
                <w:sz w:val="15"/>
                <w:szCs w:val="15"/>
              </w:rPr>
            </w:pPr>
            <w:r>
              <w:rPr>
                <w:rFonts w:eastAsia="仿宋_GB2312"/>
                <w:color w:val="000000"/>
                <w:kern w:val="0"/>
                <w:sz w:val="15"/>
                <w:szCs w:val="15"/>
              </w:rPr>
              <w:t>服务对象满意度:抽样调查满意度达95%以上</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9F0AFB">
            <w:pPr>
              <w:widowControl/>
              <w:jc w:val="left"/>
              <w:textAlignment w:val="center"/>
              <w:rPr>
                <w:rFonts w:eastAsia="仿宋_GB2312"/>
                <w:color w:val="000000"/>
                <w:kern w:val="0"/>
                <w:sz w:val="15"/>
                <w:szCs w:val="15"/>
              </w:rPr>
            </w:pPr>
            <w:r>
              <w:rPr>
                <w:rFonts w:eastAsia="仿宋_GB2312"/>
                <w:color w:val="000000"/>
                <w:kern w:val="0"/>
                <w:sz w:val="15"/>
                <w:szCs w:val="15"/>
              </w:rPr>
              <w:t>抽样调查服务对象，满意度达到基本满意以上。</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6D3663">
            <w:pPr>
              <w:widowControl/>
              <w:jc w:val="left"/>
              <w:textAlignment w:val="center"/>
              <w:rPr>
                <w:rFonts w:eastAsia="仿宋_GB2312"/>
                <w:color w:val="000000"/>
                <w:kern w:val="0"/>
                <w:sz w:val="15"/>
                <w:szCs w:val="15"/>
              </w:rPr>
            </w:pPr>
            <w:r>
              <w:rPr>
                <w:rFonts w:eastAsia="仿宋_GB2312"/>
                <w:color w:val="000000"/>
                <w:kern w:val="0"/>
                <w:sz w:val="15"/>
                <w:szCs w:val="15"/>
              </w:rPr>
              <w:t>抽样调查读者，满意率达95%以上。</w:t>
            </w:r>
          </w:p>
        </w:tc>
      </w:tr>
    </w:tbl>
    <w:p w14:paraId="12DBD239">
      <w:pPr>
        <w:spacing w:line="600" w:lineRule="exact"/>
        <w:ind w:left="630"/>
        <w:rPr>
          <w:rFonts w:eastAsia="仿宋_GB2312"/>
          <w:sz w:val="32"/>
          <w:szCs w:val="32"/>
        </w:rPr>
      </w:pPr>
      <w:r>
        <w:rPr>
          <w:rFonts w:eastAsia="仿宋_GB2312"/>
          <w:sz w:val="32"/>
          <w:szCs w:val="32"/>
        </w:rPr>
        <w:t>2.部门绩效评价结果。</w:t>
      </w:r>
    </w:p>
    <w:p w14:paraId="76ED8098">
      <w:pPr>
        <w:spacing w:line="600" w:lineRule="exact"/>
        <w:ind w:firstLine="640" w:firstLineChars="200"/>
        <w:rPr>
          <w:rFonts w:eastAsia="仿宋_GB2312"/>
          <w:sz w:val="32"/>
          <w:szCs w:val="32"/>
        </w:rPr>
      </w:pPr>
      <w:r>
        <w:rPr>
          <w:rFonts w:eastAsia="仿宋_GB2312"/>
          <w:sz w:val="32"/>
          <w:szCs w:val="32"/>
        </w:rPr>
        <w:t>本部门按要求对2019年部门整体支出开展绩效自评，《米易县图书馆2019年部门整体支出绩效评价报告》见附件（附件1）。从评价情况来看米易县图书馆财政拨款支出有效保障图书馆正常运转、完成日常工作任务及行业发展相关工作，全年工作有效满足了广大群众的读书学习需求，有效发挥了图书馆社会教育职能及公共文化服务职能。</w:t>
      </w:r>
    </w:p>
    <w:p w14:paraId="6F8DC58F">
      <w:pPr>
        <w:widowControl/>
        <w:jc w:val="left"/>
        <w:rPr>
          <w:rFonts w:eastAsia="仿宋_GB2312"/>
          <w:b/>
          <w:color w:val="000000"/>
          <w:sz w:val="32"/>
          <w:szCs w:val="32"/>
        </w:rPr>
      </w:pPr>
      <w:r>
        <w:rPr>
          <w:rFonts w:eastAsia="仿宋_GB2312"/>
          <w:b/>
          <w:color w:val="000000"/>
          <w:sz w:val="32"/>
          <w:szCs w:val="32"/>
        </w:rPr>
        <w:br w:type="page"/>
      </w:r>
    </w:p>
    <w:p w14:paraId="6A24EF8D">
      <w:pPr>
        <w:numPr>
          <w:ilvl w:val="0"/>
          <w:numId w:val="3"/>
        </w:numPr>
        <w:ind w:firstLine="660" w:firstLineChars="150"/>
        <w:jc w:val="center"/>
        <w:outlineLvl w:val="0"/>
        <w:rPr>
          <w:rStyle w:val="24"/>
          <w:rFonts w:eastAsia="方正小标宋简体"/>
          <w:b w:val="0"/>
        </w:rPr>
      </w:pPr>
      <w:bookmarkStart w:id="52" w:name="_Toc15396613"/>
      <w:bookmarkStart w:id="53" w:name="_Toc15377225"/>
      <w:r>
        <w:rPr>
          <w:rFonts w:eastAsia="方正小标宋简体"/>
          <w:color w:val="000000"/>
          <w:sz w:val="44"/>
          <w:szCs w:val="44"/>
        </w:rPr>
        <w:t>名</w:t>
      </w:r>
      <w:r>
        <w:rPr>
          <w:rStyle w:val="24"/>
          <w:rFonts w:eastAsia="方正小标宋简体"/>
          <w:b w:val="0"/>
        </w:rPr>
        <w:t>词解释</w:t>
      </w:r>
      <w:bookmarkEnd w:id="52"/>
      <w:bookmarkEnd w:id="53"/>
    </w:p>
    <w:p w14:paraId="17E37AD7">
      <w:pPr>
        <w:jc w:val="left"/>
        <w:rPr>
          <w:b/>
          <w:color w:val="000000"/>
          <w:sz w:val="44"/>
          <w:szCs w:val="44"/>
        </w:rPr>
      </w:pPr>
    </w:p>
    <w:p w14:paraId="0796E620">
      <w:pPr>
        <w:pStyle w:val="22"/>
        <w:ind w:firstLine="600" w:firstLineChars="200"/>
        <w:rPr>
          <w:rFonts w:ascii="Times New Roman" w:hAnsi="Times New Roman" w:eastAsia="仿宋_GB2312" w:cs="Times New Roman"/>
          <w:spacing w:val="-10"/>
          <w:sz w:val="32"/>
          <w:szCs w:val="32"/>
        </w:rPr>
      </w:pPr>
      <w:r>
        <w:rPr>
          <w:rFonts w:ascii="Times New Roman" w:hAnsi="Times New Roman" w:eastAsia="仿宋_GB2312" w:cs="Times New Roman"/>
          <w:spacing w:val="-10"/>
          <w:sz w:val="32"/>
          <w:szCs w:val="32"/>
        </w:rPr>
        <w:t>1.财政拨款收入：指单位从同级财政部门取得的财政预算资金。</w:t>
      </w:r>
    </w:p>
    <w:p w14:paraId="7E42CD22">
      <w:pPr>
        <w:pStyle w:val="2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2.事业收入：指事业单位开展专业业务活动及辅助活动取得的收入。如…（二级预算单位事业收入情况）等。</w:t>
      </w:r>
    </w:p>
    <w:p w14:paraId="02594B62">
      <w:pPr>
        <w:pStyle w:val="2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3.经营收入：指事业单位在专业业务活动及其辅助活动之外开展非独立核算经营活动取得的收入。如…（二级预算单位经营收入情况）等。</w:t>
      </w:r>
    </w:p>
    <w:p w14:paraId="2CB80B84">
      <w:pPr>
        <w:pStyle w:val="2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4.其他收入：指单位取得的除上述收入以外的各项收入。主要是…（收入类型）等。 </w:t>
      </w:r>
    </w:p>
    <w:p w14:paraId="71E19830">
      <w:pPr>
        <w:pStyle w:val="2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1CAA6F4D">
      <w:pPr>
        <w:pStyle w:val="2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6.年初结转和结余：指以前年度尚未完成、结转到本年按有关规定继续使用的资金。 </w:t>
      </w:r>
    </w:p>
    <w:p w14:paraId="399EBD95">
      <w:pPr>
        <w:pStyle w:val="2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7.结余分配：指事业单位按照事业单位会计制度的规定从非财政补助结余中分配的事业基金和职工福利基金等。</w:t>
      </w:r>
    </w:p>
    <w:p w14:paraId="2B56185B">
      <w:pPr>
        <w:pStyle w:val="2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8、年末结转和结余：指单位按有关规定结转到下年或以后年度继续使用的资金。</w:t>
      </w:r>
    </w:p>
    <w:p w14:paraId="0CAE52A0">
      <w:pPr>
        <w:ind w:firstLine="640" w:firstLineChars="200"/>
        <w:rPr>
          <w:rFonts w:eastAsia="仿宋_GB2312"/>
          <w:color w:val="000000"/>
          <w:sz w:val="32"/>
          <w:szCs w:val="32"/>
        </w:rPr>
      </w:pPr>
      <w:r>
        <w:rPr>
          <w:rFonts w:eastAsia="仿宋_GB2312"/>
          <w:color w:val="000000"/>
          <w:sz w:val="32"/>
          <w:szCs w:val="32"/>
        </w:rPr>
        <w:t>9.一般公共服务（类）…（款）…（项）：指……。</w:t>
      </w:r>
    </w:p>
    <w:p w14:paraId="14E7B732">
      <w:pPr>
        <w:ind w:firstLine="640" w:firstLineChars="200"/>
        <w:rPr>
          <w:rFonts w:eastAsia="仿宋_GB2312"/>
          <w:color w:val="000000"/>
          <w:sz w:val="32"/>
          <w:szCs w:val="32"/>
        </w:rPr>
      </w:pPr>
      <w:r>
        <w:rPr>
          <w:rFonts w:eastAsia="仿宋_GB2312"/>
          <w:color w:val="000000"/>
          <w:sz w:val="32"/>
          <w:szCs w:val="32"/>
        </w:rPr>
        <w:t>10.外交（类）…（款）…（项）：指……。</w:t>
      </w:r>
    </w:p>
    <w:p w14:paraId="42B19779">
      <w:pPr>
        <w:ind w:firstLine="640" w:firstLineChars="200"/>
        <w:rPr>
          <w:rFonts w:eastAsia="仿宋_GB2312"/>
          <w:color w:val="000000"/>
          <w:sz w:val="32"/>
          <w:szCs w:val="32"/>
        </w:rPr>
      </w:pPr>
      <w:r>
        <w:rPr>
          <w:rFonts w:eastAsia="仿宋_GB2312"/>
          <w:color w:val="000000"/>
          <w:sz w:val="32"/>
          <w:szCs w:val="32"/>
        </w:rPr>
        <w:t>11.公共安全（类）…（款）…（项）：指……。</w:t>
      </w:r>
    </w:p>
    <w:p w14:paraId="4E3B40D8">
      <w:pPr>
        <w:ind w:firstLine="640" w:firstLineChars="200"/>
        <w:rPr>
          <w:rFonts w:eastAsia="仿宋_GB2312"/>
          <w:color w:val="000000"/>
          <w:sz w:val="32"/>
          <w:szCs w:val="32"/>
        </w:rPr>
      </w:pPr>
      <w:r>
        <w:rPr>
          <w:rFonts w:eastAsia="仿宋_GB2312"/>
          <w:color w:val="000000"/>
          <w:sz w:val="32"/>
          <w:szCs w:val="32"/>
        </w:rPr>
        <w:t>12.教育（类）…（款）…（项）：指……。</w:t>
      </w:r>
    </w:p>
    <w:p w14:paraId="28BBAC99">
      <w:pPr>
        <w:ind w:firstLine="640" w:firstLineChars="200"/>
        <w:rPr>
          <w:rFonts w:eastAsia="仿宋_GB2312"/>
          <w:color w:val="000000"/>
          <w:sz w:val="32"/>
          <w:szCs w:val="32"/>
        </w:rPr>
      </w:pPr>
      <w:r>
        <w:rPr>
          <w:rFonts w:eastAsia="仿宋_GB2312"/>
          <w:color w:val="000000"/>
          <w:sz w:val="32"/>
          <w:szCs w:val="32"/>
        </w:rPr>
        <w:t>13.科学技术（类）…（款）…（项）：指……。</w:t>
      </w:r>
    </w:p>
    <w:p w14:paraId="4CF0F7D7">
      <w:pPr>
        <w:ind w:firstLine="640" w:firstLineChars="200"/>
        <w:rPr>
          <w:rFonts w:eastAsia="仿宋_GB2312"/>
          <w:color w:val="000000"/>
          <w:sz w:val="32"/>
          <w:szCs w:val="32"/>
        </w:rPr>
      </w:pPr>
      <w:r>
        <w:rPr>
          <w:rFonts w:eastAsia="仿宋_GB2312"/>
          <w:color w:val="000000"/>
          <w:sz w:val="32"/>
          <w:szCs w:val="32"/>
        </w:rPr>
        <w:t>14.文化体育与传媒（类）…（款）…（项）：指……。</w:t>
      </w:r>
    </w:p>
    <w:p w14:paraId="162648BB">
      <w:pPr>
        <w:ind w:firstLine="640" w:firstLineChars="200"/>
        <w:rPr>
          <w:rFonts w:eastAsia="仿宋_GB2312"/>
          <w:color w:val="000000"/>
          <w:sz w:val="32"/>
          <w:szCs w:val="32"/>
        </w:rPr>
      </w:pPr>
      <w:r>
        <w:rPr>
          <w:rFonts w:eastAsia="仿宋_GB2312"/>
          <w:color w:val="000000"/>
          <w:sz w:val="32"/>
          <w:szCs w:val="32"/>
        </w:rPr>
        <w:t>15.社会保障和就业（类）…（款）…（项）：指……。</w:t>
      </w:r>
    </w:p>
    <w:p w14:paraId="1C191407">
      <w:pPr>
        <w:ind w:firstLine="640" w:firstLineChars="200"/>
        <w:rPr>
          <w:rFonts w:eastAsia="仿宋_GB2312"/>
          <w:color w:val="000000"/>
          <w:sz w:val="32"/>
          <w:szCs w:val="32"/>
        </w:rPr>
      </w:pPr>
      <w:r>
        <w:rPr>
          <w:rFonts w:eastAsia="仿宋_GB2312"/>
          <w:color w:val="000000"/>
          <w:sz w:val="32"/>
          <w:szCs w:val="32"/>
        </w:rPr>
        <w:t>16.医疗卫生与计划生育（类）…（款）…（项）：指……。</w:t>
      </w:r>
    </w:p>
    <w:p w14:paraId="7ACC7804">
      <w:pPr>
        <w:ind w:firstLine="640" w:firstLineChars="200"/>
        <w:rPr>
          <w:rFonts w:eastAsia="仿宋_GB2312"/>
          <w:color w:val="000000"/>
          <w:sz w:val="32"/>
          <w:szCs w:val="32"/>
        </w:rPr>
      </w:pPr>
      <w:r>
        <w:rPr>
          <w:rFonts w:eastAsia="仿宋_GB2312"/>
          <w:color w:val="000000"/>
          <w:sz w:val="32"/>
          <w:szCs w:val="32"/>
        </w:rPr>
        <w:t>17.节能环保（类）…（款）…（项）：指……。</w:t>
      </w:r>
    </w:p>
    <w:p w14:paraId="2EE187EA">
      <w:pPr>
        <w:ind w:firstLine="640" w:firstLineChars="200"/>
        <w:rPr>
          <w:rFonts w:eastAsia="仿宋_GB2312"/>
          <w:color w:val="000000"/>
          <w:sz w:val="32"/>
          <w:szCs w:val="32"/>
        </w:rPr>
      </w:pPr>
      <w:r>
        <w:rPr>
          <w:rFonts w:eastAsia="仿宋_GB2312"/>
          <w:color w:val="000000"/>
          <w:sz w:val="32"/>
          <w:szCs w:val="32"/>
        </w:rPr>
        <w:t>18.城乡社区（类）…（款）…（项）：指……。</w:t>
      </w:r>
    </w:p>
    <w:p w14:paraId="0DD374C8">
      <w:pPr>
        <w:ind w:firstLine="640" w:firstLineChars="200"/>
        <w:rPr>
          <w:rFonts w:eastAsia="仿宋_GB2312"/>
          <w:color w:val="000000"/>
          <w:sz w:val="32"/>
          <w:szCs w:val="32"/>
        </w:rPr>
      </w:pPr>
      <w:r>
        <w:rPr>
          <w:rFonts w:eastAsia="仿宋_GB2312"/>
          <w:color w:val="000000"/>
          <w:sz w:val="32"/>
          <w:szCs w:val="32"/>
        </w:rPr>
        <w:t>19.农林水（类）…（款）…（项）：指……。</w:t>
      </w:r>
    </w:p>
    <w:p w14:paraId="11C7D53E">
      <w:pPr>
        <w:ind w:firstLine="640" w:firstLineChars="200"/>
        <w:rPr>
          <w:rFonts w:eastAsia="仿宋_GB2312"/>
          <w:color w:val="000000"/>
          <w:sz w:val="32"/>
          <w:szCs w:val="32"/>
        </w:rPr>
      </w:pPr>
      <w:r>
        <w:rPr>
          <w:rFonts w:eastAsia="仿宋_GB2312"/>
          <w:color w:val="000000"/>
          <w:sz w:val="32"/>
          <w:szCs w:val="32"/>
        </w:rPr>
        <w:t>20.交通运输（类）…（款）…（项）：指……。</w:t>
      </w:r>
    </w:p>
    <w:p w14:paraId="68D4ED7C">
      <w:pPr>
        <w:ind w:firstLine="640" w:firstLineChars="200"/>
        <w:rPr>
          <w:rFonts w:eastAsia="仿宋_GB2312"/>
          <w:color w:val="000000"/>
          <w:sz w:val="32"/>
          <w:szCs w:val="32"/>
        </w:rPr>
      </w:pPr>
      <w:r>
        <w:rPr>
          <w:rFonts w:eastAsia="仿宋_GB2312"/>
          <w:color w:val="000000"/>
          <w:sz w:val="32"/>
          <w:szCs w:val="32"/>
        </w:rPr>
        <w:t>21.资源勘探信息等（类）…（款）…（项）：指……。</w:t>
      </w:r>
    </w:p>
    <w:p w14:paraId="4653319F">
      <w:pPr>
        <w:ind w:firstLine="640" w:firstLineChars="200"/>
        <w:rPr>
          <w:rFonts w:eastAsia="仿宋_GB2312"/>
          <w:color w:val="000000"/>
          <w:sz w:val="32"/>
          <w:szCs w:val="32"/>
        </w:rPr>
      </w:pPr>
      <w:r>
        <w:rPr>
          <w:rFonts w:eastAsia="仿宋_GB2312"/>
          <w:color w:val="000000"/>
          <w:sz w:val="32"/>
          <w:szCs w:val="32"/>
        </w:rPr>
        <w:t>22.商业服务业（类）…（款）…（项）：指……。</w:t>
      </w:r>
    </w:p>
    <w:p w14:paraId="60D00D2A">
      <w:pPr>
        <w:ind w:firstLine="640" w:firstLineChars="200"/>
        <w:rPr>
          <w:rFonts w:eastAsia="仿宋_GB2312"/>
          <w:color w:val="000000"/>
          <w:sz w:val="32"/>
          <w:szCs w:val="32"/>
        </w:rPr>
      </w:pPr>
      <w:r>
        <w:rPr>
          <w:rFonts w:eastAsia="仿宋_GB2312"/>
          <w:color w:val="000000"/>
          <w:sz w:val="32"/>
          <w:szCs w:val="32"/>
        </w:rPr>
        <w:t>23.金融（类）…（款）…（项）：指……。</w:t>
      </w:r>
    </w:p>
    <w:p w14:paraId="3F61BEB1">
      <w:pPr>
        <w:ind w:firstLine="640" w:firstLineChars="200"/>
        <w:rPr>
          <w:rFonts w:eastAsia="仿宋_GB2312"/>
          <w:color w:val="000000"/>
          <w:sz w:val="32"/>
          <w:szCs w:val="32"/>
        </w:rPr>
      </w:pPr>
      <w:r>
        <w:rPr>
          <w:rFonts w:eastAsia="仿宋_GB2312"/>
          <w:color w:val="000000"/>
          <w:sz w:val="32"/>
          <w:szCs w:val="32"/>
        </w:rPr>
        <w:t>24.国土海洋气象等（类）…（款）…（项）：指……。</w:t>
      </w:r>
    </w:p>
    <w:p w14:paraId="623D5ECE">
      <w:pPr>
        <w:ind w:firstLine="640" w:firstLineChars="200"/>
        <w:rPr>
          <w:rFonts w:eastAsia="仿宋_GB2312"/>
          <w:color w:val="000000"/>
          <w:sz w:val="32"/>
          <w:szCs w:val="32"/>
        </w:rPr>
      </w:pPr>
      <w:r>
        <w:rPr>
          <w:rFonts w:eastAsia="仿宋_GB2312"/>
          <w:color w:val="000000"/>
          <w:sz w:val="32"/>
          <w:szCs w:val="32"/>
        </w:rPr>
        <w:t>25.住房保障（类）…（款）…（项）：指……。</w:t>
      </w:r>
    </w:p>
    <w:p w14:paraId="4D5832E9">
      <w:pPr>
        <w:ind w:firstLine="640" w:firstLineChars="200"/>
        <w:rPr>
          <w:rFonts w:eastAsia="仿宋_GB2312"/>
          <w:color w:val="000000"/>
          <w:sz w:val="32"/>
          <w:szCs w:val="32"/>
        </w:rPr>
      </w:pPr>
      <w:r>
        <w:rPr>
          <w:rFonts w:eastAsia="仿宋_GB2312"/>
          <w:color w:val="000000"/>
          <w:sz w:val="32"/>
          <w:szCs w:val="32"/>
        </w:rPr>
        <w:t>26.粮油物资储备（类）…（款）…（项）：指……。</w:t>
      </w:r>
    </w:p>
    <w:p w14:paraId="16BB8407">
      <w:pPr>
        <w:ind w:firstLine="640"/>
        <w:rPr>
          <w:rFonts w:eastAsia="仿宋_GB2312"/>
          <w:b/>
          <w:color w:val="000000"/>
          <w:sz w:val="32"/>
          <w:szCs w:val="32"/>
        </w:rPr>
      </w:pPr>
      <w:r>
        <w:rPr>
          <w:rFonts w:eastAsia="仿宋_GB2312"/>
          <w:b/>
          <w:color w:val="000000"/>
          <w:sz w:val="32"/>
          <w:szCs w:val="32"/>
        </w:rPr>
        <w:t>（解释本部门决算报表中全部功能分类科目至项级，请参照《2019年政府收支分类科目》增减内容。）</w:t>
      </w:r>
    </w:p>
    <w:p w14:paraId="30136EB9">
      <w:pPr>
        <w:ind w:firstLine="640" w:firstLineChars="200"/>
        <w:rPr>
          <w:rFonts w:eastAsia="仿宋_GB2312"/>
          <w:color w:val="000000"/>
          <w:sz w:val="32"/>
          <w:szCs w:val="32"/>
        </w:rPr>
      </w:pPr>
      <w:r>
        <w:rPr>
          <w:rFonts w:eastAsia="仿宋_GB2312"/>
          <w:color w:val="000000"/>
          <w:sz w:val="32"/>
          <w:szCs w:val="32"/>
        </w:rPr>
        <w:t>27.基本支出：指为保障机构正常运转、完成日常工作任务而发生的人员支出和公用支出。</w:t>
      </w:r>
    </w:p>
    <w:p w14:paraId="03830B69">
      <w:pPr>
        <w:ind w:firstLine="640" w:firstLineChars="200"/>
        <w:rPr>
          <w:rFonts w:eastAsia="仿宋_GB2312"/>
          <w:color w:val="000000"/>
          <w:sz w:val="32"/>
          <w:szCs w:val="32"/>
        </w:rPr>
      </w:pPr>
      <w:r>
        <w:rPr>
          <w:rFonts w:eastAsia="仿宋_GB2312"/>
          <w:color w:val="000000"/>
          <w:sz w:val="32"/>
          <w:szCs w:val="32"/>
        </w:rPr>
        <w:t xml:space="preserve">28.项目支出：指在基本支出之外为完成特定行政任务和事业发展目标所发生的支出。 </w:t>
      </w:r>
    </w:p>
    <w:p w14:paraId="5FDA646D">
      <w:pPr>
        <w:ind w:firstLine="640" w:firstLineChars="200"/>
        <w:rPr>
          <w:rFonts w:eastAsia="仿宋_GB2312"/>
          <w:color w:val="000000"/>
          <w:sz w:val="32"/>
          <w:szCs w:val="32"/>
        </w:rPr>
      </w:pPr>
      <w:r>
        <w:rPr>
          <w:rFonts w:eastAsia="仿宋_GB2312"/>
          <w:color w:val="000000"/>
          <w:sz w:val="32"/>
          <w:szCs w:val="32"/>
        </w:rPr>
        <w:t>29.经营支出：指事业单位在专业业务活动及其辅助活动之外开展非独立核算经营活动发生的支出。</w:t>
      </w:r>
    </w:p>
    <w:p w14:paraId="13808DBA">
      <w:pPr>
        <w:pStyle w:val="2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7B5A3BC">
      <w:pPr>
        <w:pStyle w:val="2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6929DA5">
      <w:pPr>
        <w:pStyle w:val="2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32.……。</w:t>
      </w:r>
    </w:p>
    <w:p w14:paraId="68C08A5D">
      <w:pPr>
        <w:pStyle w:val="22"/>
        <w:ind w:firstLine="640" w:firstLineChars="200"/>
        <w:rPr>
          <w:rFonts w:ascii="Times New Roman" w:hAnsi="Times New Roman" w:eastAsia="仿宋_GB2312" w:cs="Times New Roman"/>
          <w:sz w:val="32"/>
          <w:szCs w:val="32"/>
        </w:rPr>
      </w:pPr>
    </w:p>
    <w:p w14:paraId="2F1F4570">
      <w:pPr>
        <w:jc w:val="center"/>
        <w:outlineLvl w:val="0"/>
        <w:rPr>
          <w:rStyle w:val="24"/>
          <w:rFonts w:eastAsia="黑体"/>
          <w:b w:val="0"/>
        </w:rPr>
      </w:pPr>
      <w:bookmarkStart w:id="54" w:name="_Toc15377226"/>
      <w:r>
        <w:rPr>
          <w:b/>
          <w:color w:val="000000"/>
          <w:sz w:val="44"/>
          <w:szCs w:val="44"/>
        </w:rPr>
        <w:br w:type="page"/>
      </w:r>
      <w:bookmarkStart w:id="55" w:name="_Toc15396614"/>
      <w:r>
        <w:rPr>
          <w:rFonts w:eastAsia="黑体"/>
          <w:color w:val="000000"/>
          <w:sz w:val="44"/>
          <w:szCs w:val="44"/>
        </w:rPr>
        <w:t>第</w:t>
      </w:r>
      <w:r>
        <w:rPr>
          <w:rStyle w:val="24"/>
          <w:rFonts w:eastAsia="黑体"/>
          <w:b w:val="0"/>
        </w:rPr>
        <w:t>四部分 附件</w:t>
      </w:r>
      <w:bookmarkEnd w:id="55"/>
    </w:p>
    <w:p w14:paraId="04296C6C">
      <w:pPr>
        <w:jc w:val="left"/>
        <w:outlineLvl w:val="0"/>
        <w:rPr>
          <w:rFonts w:eastAsia="方正小标宋简体"/>
          <w:sz w:val="32"/>
          <w:szCs w:val="32"/>
        </w:rPr>
      </w:pPr>
      <w:r>
        <w:rPr>
          <w:rFonts w:eastAsia="黑体"/>
          <w:sz w:val="32"/>
          <w:szCs w:val="32"/>
        </w:rPr>
        <w:t>附件1</w:t>
      </w:r>
    </w:p>
    <w:p w14:paraId="4CBE0E4D">
      <w:pPr>
        <w:pStyle w:val="32"/>
        <w:spacing w:line="0" w:lineRule="atLeast"/>
        <w:jc w:val="center"/>
        <w:rPr>
          <w:rFonts w:ascii="Times New Roman" w:hAnsi="Times New Roman" w:eastAsia="方正小标宋简体" w:cs="Times New Roman"/>
          <w:color w:val="auto"/>
          <w:kern w:val="2"/>
          <w:sz w:val="44"/>
          <w:szCs w:val="44"/>
        </w:rPr>
      </w:pPr>
      <w:r>
        <w:rPr>
          <w:rFonts w:ascii="Times New Roman" w:hAnsi="Times New Roman" w:eastAsia="方正小标宋简体" w:cs="Times New Roman"/>
          <w:color w:val="auto"/>
          <w:kern w:val="2"/>
          <w:sz w:val="44"/>
          <w:szCs w:val="44"/>
        </w:rPr>
        <w:t>米易县图书馆</w:t>
      </w:r>
    </w:p>
    <w:p w14:paraId="4697860E">
      <w:pPr>
        <w:pStyle w:val="32"/>
        <w:spacing w:line="0" w:lineRule="atLeast"/>
        <w:jc w:val="center"/>
        <w:rPr>
          <w:rFonts w:ascii="Times New Roman" w:hAnsi="Times New Roman" w:eastAsia="方正小标宋简体" w:cs="Times New Roman"/>
          <w:color w:val="auto"/>
          <w:kern w:val="2"/>
          <w:sz w:val="32"/>
          <w:szCs w:val="32"/>
        </w:rPr>
      </w:pPr>
      <w:r>
        <w:rPr>
          <w:rFonts w:ascii="Times New Roman" w:hAnsi="Times New Roman" w:eastAsia="方正小标宋简体" w:cs="Times New Roman"/>
          <w:color w:val="auto"/>
          <w:kern w:val="2"/>
          <w:sz w:val="44"/>
          <w:szCs w:val="44"/>
        </w:rPr>
        <w:t>部门整体支出绩效评价自评报告</w:t>
      </w:r>
    </w:p>
    <w:p w14:paraId="6E0DDD9C">
      <w:pPr>
        <w:adjustRightInd w:val="0"/>
        <w:snapToGrid w:val="0"/>
        <w:spacing w:line="560" w:lineRule="exact"/>
        <w:ind w:firstLine="720"/>
        <w:rPr>
          <w:rFonts w:eastAsia="黑体"/>
          <w:sz w:val="32"/>
          <w:szCs w:val="32"/>
        </w:rPr>
      </w:pPr>
    </w:p>
    <w:p w14:paraId="2B1C33A1">
      <w:pPr>
        <w:adjustRightInd w:val="0"/>
        <w:snapToGrid w:val="0"/>
        <w:spacing w:line="600" w:lineRule="exact"/>
        <w:ind w:firstLine="720"/>
        <w:rPr>
          <w:rFonts w:eastAsia="仿宋_GB2312"/>
          <w:sz w:val="32"/>
          <w:szCs w:val="32"/>
        </w:rPr>
      </w:pPr>
      <w:r>
        <w:rPr>
          <w:rFonts w:eastAsia="仿宋_GB2312"/>
          <w:sz w:val="32"/>
          <w:szCs w:val="32"/>
        </w:rPr>
        <w:t>为进一步强化部门责任意识，规范财政资金管理，提高财政资金使用效益，根据《米易县财政局关于开展2020年财政绩效评价工作的通知》（米财预〔2020〕93号）文件精神，按照部门支出绩效自评的相关要求，我馆对2019年部门支出进行了绩效自评，现将2019年部门支出绩效自评报告如下：</w:t>
      </w:r>
    </w:p>
    <w:p w14:paraId="1B76D488">
      <w:pPr>
        <w:adjustRightInd w:val="0"/>
        <w:snapToGrid w:val="0"/>
        <w:spacing w:line="600" w:lineRule="exact"/>
        <w:ind w:firstLine="720"/>
        <w:rPr>
          <w:rFonts w:eastAsia="黑体"/>
          <w:sz w:val="32"/>
          <w:szCs w:val="32"/>
          <w:lang w:val="zh-CN"/>
        </w:rPr>
      </w:pPr>
      <w:r>
        <w:rPr>
          <w:rFonts w:eastAsia="黑体"/>
          <w:sz w:val="32"/>
          <w:szCs w:val="32"/>
        </w:rPr>
        <w:t>一、</w:t>
      </w:r>
      <w:r>
        <w:rPr>
          <w:rFonts w:eastAsia="黑体"/>
          <w:sz w:val="32"/>
          <w:szCs w:val="32"/>
          <w:lang w:val="zh-CN"/>
        </w:rPr>
        <w:t>部门概况</w:t>
      </w:r>
    </w:p>
    <w:p w14:paraId="3BC192E2">
      <w:pPr>
        <w:spacing w:line="600" w:lineRule="exact"/>
        <w:ind w:firstLine="640" w:firstLineChars="200"/>
        <w:rPr>
          <w:rFonts w:eastAsia="仿宋_GB2312"/>
          <w:sz w:val="32"/>
          <w:szCs w:val="32"/>
        </w:rPr>
      </w:pPr>
      <w:r>
        <w:rPr>
          <w:rFonts w:eastAsia="仿宋_GB2312"/>
          <w:sz w:val="32"/>
          <w:szCs w:val="32"/>
        </w:rPr>
        <w:t>米易县图书馆是由米易县人民政府举办的为全县人民服务的纯公益性社会文化服务机构,是我县最大综合性公共图书馆。它是向社会公众免费开放，收集、整理、保存文献信息并提供查询、借阅及相关服务，开展社会教育的公共文化设施。具有保存人类文化遗产、开展社会教育、传递科学情报、开发智力资源、提供文化娱乐的社会职能。2019年机构调整后，米易县图书馆是属县文广旅局下属事业单位，属公益一类事业单位，是财政拨款独立核算的一级预算单位。现有在编在岗人员4人，新聘工勤1人，2019年年末实有工作人员共计11人，其中5人为劳务派遣人员，1人系统调配借调人员。</w:t>
      </w:r>
    </w:p>
    <w:p w14:paraId="741037CE">
      <w:pPr>
        <w:adjustRightInd w:val="0"/>
        <w:snapToGrid w:val="0"/>
        <w:spacing w:line="600" w:lineRule="exact"/>
        <w:ind w:firstLine="720"/>
        <w:rPr>
          <w:rFonts w:eastAsia="黑体"/>
          <w:sz w:val="32"/>
          <w:szCs w:val="32"/>
        </w:rPr>
      </w:pPr>
      <w:r>
        <w:rPr>
          <w:rFonts w:eastAsia="黑体"/>
          <w:sz w:val="32"/>
          <w:szCs w:val="32"/>
        </w:rPr>
        <w:t>二、部门财政资金收支情况</w:t>
      </w:r>
    </w:p>
    <w:p w14:paraId="01143CE3">
      <w:pPr>
        <w:spacing w:line="600" w:lineRule="exact"/>
        <w:ind w:firstLine="643" w:firstLineChars="200"/>
        <w:rPr>
          <w:rFonts w:eastAsia="楷体_GB2312"/>
          <w:b/>
          <w:sz w:val="32"/>
          <w:szCs w:val="32"/>
          <w:lang w:val="zh-CN"/>
        </w:rPr>
      </w:pPr>
      <w:r>
        <w:rPr>
          <w:rFonts w:eastAsia="楷体_GB2312"/>
          <w:b/>
          <w:sz w:val="32"/>
          <w:szCs w:val="32"/>
          <w:lang w:val="zh-CN"/>
        </w:rPr>
        <w:t>（一）部门财政资金收入情况</w:t>
      </w:r>
    </w:p>
    <w:p w14:paraId="7A656474">
      <w:pPr>
        <w:spacing w:line="600" w:lineRule="exact"/>
        <w:ind w:firstLine="640" w:firstLineChars="200"/>
        <w:rPr>
          <w:rFonts w:eastAsia="仿宋_GB2312"/>
          <w:sz w:val="32"/>
          <w:szCs w:val="32"/>
        </w:rPr>
      </w:pPr>
      <w:r>
        <w:rPr>
          <w:rFonts w:eastAsia="仿宋_GB2312"/>
          <w:sz w:val="32"/>
          <w:szCs w:val="32"/>
        </w:rPr>
        <w:t>2019年一般公共预算财政拨款收入115.66万元：其中文化旅游体育与传媒支出收入97.76万元，社会保障和就业支出收入7.64万元，卫生健康支出收入3.52万元，住房保障支出收入6.73万元。</w:t>
      </w:r>
    </w:p>
    <w:p w14:paraId="7FFBCF9D">
      <w:pPr>
        <w:spacing w:line="600" w:lineRule="exact"/>
        <w:ind w:firstLine="643" w:firstLineChars="200"/>
        <w:rPr>
          <w:rFonts w:eastAsia="楷体_GB2312"/>
          <w:b/>
          <w:sz w:val="32"/>
          <w:szCs w:val="32"/>
          <w:lang w:val="zh-CN"/>
        </w:rPr>
      </w:pPr>
      <w:r>
        <w:rPr>
          <w:rFonts w:eastAsia="楷体_GB2312"/>
          <w:b/>
          <w:sz w:val="32"/>
          <w:szCs w:val="32"/>
          <w:lang w:val="zh-CN"/>
        </w:rPr>
        <w:t>（二）部门财政资金支出情况</w:t>
      </w:r>
    </w:p>
    <w:p w14:paraId="436A4E0D">
      <w:pPr>
        <w:spacing w:line="600" w:lineRule="exact"/>
        <w:ind w:firstLine="640" w:firstLineChars="200"/>
        <w:rPr>
          <w:rFonts w:eastAsia="仿宋_GB2312"/>
          <w:sz w:val="32"/>
          <w:szCs w:val="32"/>
        </w:rPr>
      </w:pPr>
      <w:r>
        <w:rPr>
          <w:rFonts w:eastAsia="仿宋_GB2312"/>
          <w:sz w:val="32"/>
          <w:szCs w:val="32"/>
        </w:rPr>
        <w:t>2019年一般公共预算财政拨款支出1156589.50：文化旅游体育与传媒支出收入97.76万元，其中基本支出71.37万元，项目支出26.40万元，社会保障和就业支出收入7.64万元，卫生健康支出收入3.52万元，住房保障支出收入6.73万元。</w:t>
      </w:r>
    </w:p>
    <w:p w14:paraId="5555EC5B">
      <w:pPr>
        <w:adjustRightInd w:val="0"/>
        <w:snapToGrid w:val="0"/>
        <w:spacing w:line="600" w:lineRule="exact"/>
        <w:ind w:firstLine="720"/>
        <w:rPr>
          <w:rFonts w:eastAsia="黑体"/>
          <w:sz w:val="32"/>
          <w:szCs w:val="32"/>
        </w:rPr>
      </w:pPr>
      <w:r>
        <w:rPr>
          <w:rFonts w:eastAsia="黑体"/>
          <w:sz w:val="32"/>
          <w:szCs w:val="32"/>
        </w:rPr>
        <w:t>三、部门财政支出管理情况</w:t>
      </w:r>
    </w:p>
    <w:p w14:paraId="5E2ECD80">
      <w:pPr>
        <w:spacing w:line="600" w:lineRule="exact"/>
        <w:ind w:firstLine="643" w:firstLineChars="200"/>
        <w:rPr>
          <w:rFonts w:eastAsia="楷体_GB2312"/>
          <w:b/>
          <w:sz w:val="32"/>
          <w:szCs w:val="32"/>
          <w:lang w:val="zh-CN"/>
        </w:rPr>
      </w:pPr>
      <w:r>
        <w:rPr>
          <w:rFonts w:eastAsia="楷体_GB2312"/>
          <w:b/>
          <w:sz w:val="32"/>
          <w:szCs w:val="32"/>
          <w:lang w:val="zh-CN"/>
        </w:rPr>
        <w:t>（一）预算编制情况</w:t>
      </w:r>
    </w:p>
    <w:p w14:paraId="39B12B1A">
      <w:pPr>
        <w:spacing w:line="600" w:lineRule="exact"/>
        <w:ind w:firstLine="640" w:firstLineChars="200"/>
        <w:rPr>
          <w:rFonts w:eastAsia="仿宋_GB2312"/>
          <w:sz w:val="32"/>
          <w:szCs w:val="32"/>
          <w:lang w:val="zh-CN"/>
        </w:rPr>
      </w:pPr>
      <w:r>
        <w:rPr>
          <w:rFonts w:eastAsia="仿宋_GB2312"/>
          <w:sz w:val="32"/>
          <w:szCs w:val="32"/>
          <w:lang w:val="zh-CN"/>
        </w:rPr>
        <w:t>2019年预算编制严格按照县编办、县人社局核定人员编制、实有人数、工资等基础信息为预算编制提供真实准确的基础资料，按照财政编制方法和口径编制部门年初预算，</w:t>
      </w:r>
      <w:r>
        <w:rPr>
          <w:rFonts w:eastAsia="仿宋_GB2312"/>
          <w:sz w:val="32"/>
          <w:szCs w:val="32"/>
        </w:rPr>
        <w:t>并根据财政的审核，准确在E财软件中录入了相关信息，提交了部门预算草案。</w:t>
      </w:r>
      <w:r>
        <w:rPr>
          <w:rFonts w:eastAsia="仿宋_GB2312"/>
          <w:sz w:val="32"/>
          <w:szCs w:val="32"/>
          <w:lang w:val="zh-CN"/>
        </w:rPr>
        <w:t>2019年部门预算在米易县公众信息网财政预决算栏已及时公开。</w:t>
      </w:r>
    </w:p>
    <w:p w14:paraId="63DF0DF5">
      <w:pPr>
        <w:spacing w:line="600" w:lineRule="exact"/>
        <w:ind w:firstLine="643" w:firstLineChars="200"/>
        <w:rPr>
          <w:rFonts w:eastAsia="楷体_GB2312"/>
          <w:b/>
          <w:sz w:val="32"/>
          <w:szCs w:val="32"/>
          <w:lang w:val="zh-CN"/>
        </w:rPr>
      </w:pPr>
      <w:r>
        <w:rPr>
          <w:rFonts w:eastAsia="楷体_GB2312"/>
          <w:b/>
          <w:sz w:val="32"/>
          <w:szCs w:val="32"/>
          <w:lang w:val="zh-CN"/>
        </w:rPr>
        <w:t>（二）执行管理情况</w:t>
      </w:r>
    </w:p>
    <w:p w14:paraId="3AE96C88">
      <w:pPr>
        <w:spacing w:line="600" w:lineRule="exact"/>
        <w:ind w:firstLine="640" w:firstLineChars="200"/>
        <w:rPr>
          <w:rFonts w:eastAsia="仿宋_GB2312"/>
          <w:sz w:val="32"/>
          <w:szCs w:val="32"/>
          <w:lang w:val="zh-CN"/>
        </w:rPr>
      </w:pPr>
      <w:r>
        <w:rPr>
          <w:rFonts w:eastAsia="仿宋_GB2312"/>
          <w:sz w:val="32"/>
          <w:szCs w:val="32"/>
          <w:lang w:val="zh-CN"/>
        </w:rPr>
        <w:t>米易县图书馆属独立核算的一级预算单位，执行行政事业单位会计制度，共设立账户两套，其中：行政经费账户主要用于正常运转的日常支出，基本工资、津贴补贴、离退休费、住房公积金和日常公用经费的核算；项目经费账户主要用于图书馆项目的核算。全年执行基本符合正常进度，按时完成中期评估。</w:t>
      </w:r>
    </w:p>
    <w:p w14:paraId="2460C3CA">
      <w:pPr>
        <w:spacing w:line="600" w:lineRule="exact"/>
        <w:ind w:firstLine="643" w:firstLineChars="200"/>
        <w:rPr>
          <w:rFonts w:eastAsia="楷体_GB2312"/>
          <w:b/>
          <w:sz w:val="32"/>
          <w:szCs w:val="32"/>
          <w:lang w:val="zh-CN"/>
        </w:rPr>
      </w:pPr>
      <w:r>
        <w:rPr>
          <w:rFonts w:eastAsia="楷体_GB2312"/>
          <w:b/>
          <w:sz w:val="32"/>
          <w:szCs w:val="32"/>
          <w:lang w:val="zh-CN"/>
        </w:rPr>
        <w:t>（三）支出绩效情况</w:t>
      </w:r>
    </w:p>
    <w:p w14:paraId="30D60034">
      <w:pPr>
        <w:spacing w:line="600" w:lineRule="exact"/>
        <w:ind w:firstLine="643" w:firstLineChars="200"/>
        <w:rPr>
          <w:rFonts w:eastAsia="仿宋_GB2312"/>
          <w:b/>
          <w:sz w:val="32"/>
          <w:szCs w:val="32"/>
          <w:lang w:val="zh-CN"/>
        </w:rPr>
      </w:pPr>
      <w:r>
        <w:rPr>
          <w:rFonts w:eastAsia="仿宋_GB2312"/>
          <w:b/>
          <w:sz w:val="32"/>
          <w:szCs w:val="32"/>
          <w:lang w:val="zh-CN"/>
        </w:rPr>
        <w:t xml:space="preserve"> 1.部门支出绩效</w:t>
      </w:r>
    </w:p>
    <w:p w14:paraId="7B18BB89">
      <w:pPr>
        <w:spacing w:line="600" w:lineRule="exact"/>
        <w:ind w:firstLine="643" w:firstLineChars="200"/>
        <w:rPr>
          <w:rFonts w:eastAsia="仿宋_GB2312"/>
          <w:b/>
          <w:sz w:val="32"/>
          <w:szCs w:val="32"/>
          <w:lang w:val="zh-CN"/>
        </w:rPr>
      </w:pPr>
      <w:r>
        <w:rPr>
          <w:rFonts w:eastAsia="仿宋_GB2312"/>
          <w:b/>
          <w:sz w:val="32"/>
          <w:szCs w:val="32"/>
          <w:lang w:val="zh-CN"/>
        </w:rPr>
        <w:t>（1）行政运转保障</w:t>
      </w:r>
    </w:p>
    <w:p w14:paraId="0174DEE1">
      <w:pPr>
        <w:spacing w:line="600" w:lineRule="exact"/>
        <w:ind w:firstLine="640" w:firstLineChars="200"/>
        <w:rPr>
          <w:rFonts w:eastAsia="仿宋_GB2312"/>
          <w:sz w:val="32"/>
          <w:szCs w:val="32"/>
        </w:rPr>
      </w:pPr>
      <w:r>
        <w:rPr>
          <w:rFonts w:eastAsia="仿宋_GB2312"/>
          <w:sz w:val="32"/>
          <w:szCs w:val="32"/>
        </w:rPr>
        <w:t>按照图书馆2019年工作计划及文广旅局工作部署，</w:t>
      </w:r>
      <w:r>
        <w:rPr>
          <w:rFonts w:eastAsia="仿宋_GB2312"/>
          <w:color w:val="000000"/>
          <w:kern w:val="0"/>
          <w:sz w:val="32"/>
          <w:szCs w:val="32"/>
          <w:shd w:val="clear" w:color="auto" w:fill="FFFFFF"/>
          <w:lang w:val="zh-CN"/>
        </w:rPr>
        <w:t>图书馆履行职能职责总体情况</w:t>
      </w:r>
      <w:r>
        <w:rPr>
          <w:rFonts w:eastAsia="仿宋_GB2312"/>
          <w:sz w:val="32"/>
          <w:szCs w:val="32"/>
        </w:rPr>
        <w:t>主要如下：</w:t>
      </w:r>
    </w:p>
    <w:p w14:paraId="40027982">
      <w:pPr>
        <w:spacing w:line="600" w:lineRule="exact"/>
        <w:ind w:firstLine="630" w:firstLineChars="196"/>
        <w:rPr>
          <w:rFonts w:eastAsia="仿宋_GB2312"/>
          <w:sz w:val="32"/>
          <w:szCs w:val="32"/>
        </w:rPr>
      </w:pPr>
      <w:r>
        <w:rPr>
          <w:rFonts w:eastAsia="仿宋_GB2312"/>
          <w:b/>
          <w:sz w:val="32"/>
          <w:szCs w:val="32"/>
        </w:rPr>
        <w:t>加强图书馆标准化建设和运行保障能力。</w:t>
      </w:r>
      <w:r>
        <w:rPr>
          <w:rFonts w:eastAsia="仿宋_GB2312"/>
          <w:sz w:val="32"/>
          <w:szCs w:val="32"/>
        </w:rPr>
        <w:t>进行图书馆纸本资源和数字资源结构调整，完成建馆以来规模最大的一次图书剔旧工作，将1978年建馆至今的图书进行剔旧，剔除旧书5万余册，切实加强馆藏图书的精良化，提高读者对图书的有效利用率。有效推进落实图书馆免费开放工作，基本服务、设施、场地空间完全免费开放。不断优化借阅环境，营造浓厚的文化氛围，提升服务效能。全年我馆共接待读者63850人次，借、阅图书资料202100册次。新办读者证400余个。</w:t>
      </w:r>
    </w:p>
    <w:p w14:paraId="56F9D410">
      <w:pPr>
        <w:spacing w:line="600" w:lineRule="exact"/>
        <w:ind w:firstLine="630" w:firstLineChars="196"/>
        <w:rPr>
          <w:rFonts w:eastAsia="仿宋_GB2312"/>
          <w:sz w:val="32"/>
          <w:szCs w:val="32"/>
        </w:rPr>
      </w:pPr>
      <w:r>
        <w:rPr>
          <w:rFonts w:eastAsia="仿宋_GB2312"/>
          <w:b/>
          <w:sz w:val="32"/>
          <w:szCs w:val="32"/>
        </w:rPr>
        <w:t>围绕建国70周年，组织开展全民阅读推广活动。</w:t>
      </w:r>
      <w:r>
        <w:rPr>
          <w:rFonts w:eastAsia="仿宋_GB2312"/>
          <w:sz w:val="32"/>
          <w:szCs w:val="32"/>
        </w:rPr>
        <w:t>组织开展“安宁讲堂”闻希康养讲座43期，共计730余人次参加，公众反响良好。组织开展“走进图书馆，快乐度假期”寒暑假少儿读书活动，活动主要包括朗诵、书法、手工、传统礼仪、武术、趣味化学、少儿影片展播、幼儿故事会、“童心绘祖国”等形式多样、内容丰富的少儿阅读活动。全年共计18场次活动，共计1500余人次参加活动。继续实施“阅读伴我成长”幼儿阅读成长计划试点工作。与幼儿园及幼儿家庭合作，共同开展“馆</w:t>
      </w:r>
      <w:r>
        <w:rPr>
          <w:rFonts w:hint="eastAsia" w:eastAsia="仿宋_GB2312"/>
          <w:sz w:val="32"/>
          <w:szCs w:val="32"/>
        </w:rPr>
        <w:t>·</w:t>
      </w:r>
      <w:r>
        <w:rPr>
          <w:rFonts w:eastAsia="仿宋_GB2312"/>
          <w:sz w:val="32"/>
          <w:szCs w:val="32"/>
        </w:rPr>
        <w:t>园</w:t>
      </w:r>
      <w:r>
        <w:rPr>
          <w:rFonts w:hint="eastAsia" w:eastAsia="仿宋_GB2312"/>
          <w:sz w:val="32"/>
          <w:szCs w:val="32"/>
        </w:rPr>
        <w:t>·</w:t>
      </w:r>
      <w:r>
        <w:rPr>
          <w:rFonts w:eastAsia="仿宋_GB2312"/>
          <w:sz w:val="32"/>
          <w:szCs w:val="32"/>
        </w:rPr>
        <w:t>家”读书活动。在“4</w:t>
      </w:r>
      <w:r>
        <w:rPr>
          <w:rFonts w:hint="eastAsia" w:eastAsia="仿宋_GB2312"/>
          <w:sz w:val="32"/>
          <w:szCs w:val="32"/>
        </w:rPr>
        <w:t>·</w:t>
      </w:r>
      <w:r>
        <w:rPr>
          <w:rFonts w:eastAsia="仿宋_GB2312"/>
          <w:sz w:val="32"/>
          <w:szCs w:val="32"/>
        </w:rPr>
        <w:t>23世界读书日”对县城城区及白马镇、垭口镇10所幼儿的200名幼儿代表赠送“读书礼包”，让家长有意识的引导孩子从小养成良好的阅读习惯，促进全民阅读活动的延伸。在幼儿阅览室每周开展“听妈妈讲故事”文化志愿服务活动，该活动受到广大幼儿及家长的喜爱和好评，全年共开展43期，共计1930余人次参与活动。在图书馆开展以“读经典 学新知 链接美好生活”为主题的“</w:t>
      </w:r>
      <w:r>
        <w:rPr>
          <w:rFonts w:hint="eastAsia" w:eastAsia="仿宋_GB2312"/>
          <w:sz w:val="32"/>
          <w:szCs w:val="32"/>
        </w:rPr>
        <w:t>4·23</w:t>
      </w:r>
      <w:r>
        <w:rPr>
          <w:rFonts w:eastAsia="仿宋_GB2312"/>
          <w:sz w:val="32"/>
          <w:szCs w:val="32"/>
        </w:rPr>
        <w:t>世界读书日”全民阅读系列活动，包括幼儿诵读表演、2018年度优秀读者表彰、“你选书，我买单”“同城共读 万卷共知”线上线下相结合的全民阅读推广活动，共计800余人参加线下活动。利用传统节日组织开展以“我们的节日”为主题的文化活动，弘扬中华优秀传统文化。活动主要包括元宵诗文朗诵，包汤圆，猜灯谜，亲子游园等元宵系列活动；“诗书端午” 主题活动，有趣话端午、古筝茶艺表演、端午诗文朗诵、端午家庭情景剧表演、拴五色丝线、闻香识草药、包粽子、做香包等端午活动；清明、中秋讲故事、诵诗文，“迎国庆 诵重阳”诗文朗诵会等读书活动。共计500余人次参加活动。进一步加强公共数字文化服务平台建设。继续利用米易县图书馆移动图书馆、米易县图书馆微信公众平台，开展形式多样的阅读推荐和推广，开展好新媒体服务；每周通过微信公众号开展一期 “扫码读书 百城共读”宣传，完成电子书刊借阅机年度数字资源的更新，有效满足广大读者移动阅读的需求。</w:t>
      </w:r>
    </w:p>
    <w:p w14:paraId="1DF7A7C3">
      <w:pPr>
        <w:spacing w:line="600" w:lineRule="exact"/>
        <w:ind w:firstLine="630" w:firstLineChars="196"/>
        <w:rPr>
          <w:rFonts w:eastAsia="仿宋_GB2312"/>
          <w:bCs/>
          <w:snapToGrid w:val="0"/>
          <w:sz w:val="32"/>
          <w:szCs w:val="32"/>
        </w:rPr>
      </w:pPr>
      <w:r>
        <w:rPr>
          <w:rFonts w:eastAsia="仿宋_GB2312"/>
          <w:b/>
          <w:sz w:val="32"/>
          <w:szCs w:val="32"/>
        </w:rPr>
        <w:t>切实加强公共文化服务体系建设，让广大群众享受到优质的文化服务。</w:t>
      </w:r>
      <w:r>
        <w:rPr>
          <w:rFonts w:eastAsia="仿宋_GB2312"/>
          <w:sz w:val="32"/>
          <w:szCs w:val="32"/>
        </w:rPr>
        <w:t>结合攀枝花市创建国家公共文化服务体系示范区工作要求，通过维修馆房墙面、玻璃屋面，增添绿植，采购新书，与市图书馆共享数字信息资源等措施，切实加强图书馆阅读服务环境建设、软硬件设施建设。指导农家书屋开展农民读书月活动。在11个乡镇（村）开展送书、科普宣传、数字阅读推广。为村民送书刊2400余册，展出科普挂图36幅，进行数字阅读推广11次。完成总分馆制建设（三期）湾丘乡、新山乡、撒莲镇、得石镇、麻陇乡五个乡镇分馆建设，对各分馆</w:t>
      </w:r>
      <w:r>
        <w:rPr>
          <w:rFonts w:eastAsia="仿宋_GB2312"/>
          <w:sz w:val="32"/>
          <w:szCs w:val="32"/>
          <w:shd w:val="clear" w:color="auto" w:fill="FFFFFF"/>
        </w:rPr>
        <w:t>提供图书馆</w:t>
      </w:r>
      <w:r>
        <w:rPr>
          <w:rFonts w:eastAsia="仿宋_GB2312"/>
          <w:sz w:val="32"/>
          <w:szCs w:val="32"/>
        </w:rPr>
        <w:t>自动化管理系统及流通帐户，配备工作电脑、读卡器、扫码枪1套，阅览桌2张，阅览椅12把，书架2个，期刊架1个，加工</w:t>
      </w:r>
      <w:r>
        <w:rPr>
          <w:rFonts w:eastAsia="仿宋_GB2312"/>
          <w:sz w:val="32"/>
          <w:szCs w:val="32"/>
          <w:shd w:val="clear" w:color="auto" w:fill="FFFFFF"/>
        </w:rPr>
        <w:t>村（社区）</w:t>
      </w:r>
      <w:r>
        <w:rPr>
          <w:rFonts w:eastAsia="仿宋_GB2312"/>
          <w:sz w:val="32"/>
          <w:szCs w:val="32"/>
        </w:rPr>
        <w:t>图书共计7403册，</w:t>
      </w:r>
      <w:r>
        <w:rPr>
          <w:rFonts w:eastAsia="仿宋_GB2312"/>
          <w:sz w:val="32"/>
          <w:szCs w:val="32"/>
          <w:shd w:val="clear" w:color="auto" w:fill="FFFFFF"/>
        </w:rPr>
        <w:t>实现了基础设施标准化、管理自动化、文献信息资源共享化、服务工作网络化。</w:t>
      </w:r>
      <w:r>
        <w:rPr>
          <w:rFonts w:eastAsia="仿宋_GB2312"/>
          <w:bCs/>
          <w:snapToGrid w:val="0"/>
          <w:sz w:val="32"/>
          <w:szCs w:val="32"/>
        </w:rPr>
        <w:t>在县旅游集散中心设立报刊免费阅读点一个。配备</w:t>
      </w:r>
      <w:r>
        <w:rPr>
          <w:rFonts w:eastAsia="仿宋_GB2312"/>
          <w:kern w:val="36"/>
          <w:sz w:val="32"/>
          <w:szCs w:val="32"/>
        </w:rPr>
        <w:t>了一批健康养生、医疗保健、家庭生活、旅游及文学艺术类刊</w:t>
      </w:r>
      <w:r>
        <w:rPr>
          <w:rFonts w:eastAsia="仿宋_GB2312"/>
          <w:bCs/>
          <w:snapToGrid w:val="0"/>
          <w:sz w:val="32"/>
          <w:szCs w:val="32"/>
        </w:rPr>
        <w:t>物共计150余册，期刊架2个。图书进军营，为武警米易中队赠送书刊200余册。阅读进社区，在攀莲镇新北社区迷阳水岸小区组织开展“喜迎国庆·欢度重阳”诵读活动。</w:t>
      </w:r>
    </w:p>
    <w:p w14:paraId="231A2EB4">
      <w:pPr>
        <w:spacing w:line="600" w:lineRule="exact"/>
        <w:ind w:firstLine="643" w:firstLineChars="200"/>
        <w:rPr>
          <w:rFonts w:eastAsia="仿宋_GB2312"/>
          <w:b/>
          <w:sz w:val="32"/>
          <w:szCs w:val="32"/>
          <w:lang w:val="zh-CN"/>
        </w:rPr>
      </w:pPr>
      <w:r>
        <w:rPr>
          <w:rFonts w:eastAsia="仿宋_GB2312"/>
          <w:b/>
          <w:sz w:val="32"/>
          <w:szCs w:val="32"/>
          <w:lang w:val="zh-CN"/>
        </w:rPr>
        <w:t>（2）机关厉行节约</w:t>
      </w:r>
    </w:p>
    <w:p w14:paraId="6D4F9007">
      <w:pPr>
        <w:spacing w:line="600" w:lineRule="exact"/>
        <w:ind w:firstLine="640" w:firstLineChars="200"/>
        <w:rPr>
          <w:rFonts w:eastAsia="仿宋_GB2312"/>
          <w:sz w:val="32"/>
          <w:szCs w:val="32"/>
          <w:lang w:val="zh-CN"/>
        </w:rPr>
      </w:pPr>
      <w:r>
        <w:rPr>
          <w:rFonts w:eastAsia="仿宋_GB2312"/>
          <w:sz w:val="32"/>
          <w:szCs w:val="32"/>
          <w:lang w:val="zh-CN"/>
        </w:rPr>
        <w:t>2019年无公务出国费用。全年公务接待880.00元，认</w:t>
      </w:r>
      <w:r>
        <w:rPr>
          <w:rFonts w:eastAsia="仿宋_GB2312"/>
          <w:spacing w:val="-10"/>
          <w:sz w:val="32"/>
          <w:szCs w:val="32"/>
          <w:lang w:val="zh-CN"/>
        </w:rPr>
        <w:t>真坚持贯彻八项规定，坚决执行县级部门出台接待要求和标准。</w:t>
      </w:r>
    </w:p>
    <w:p w14:paraId="37C853C0">
      <w:pPr>
        <w:spacing w:line="600" w:lineRule="exact"/>
        <w:ind w:firstLine="643" w:firstLineChars="200"/>
        <w:rPr>
          <w:rFonts w:eastAsia="仿宋_GB2312"/>
          <w:b/>
          <w:sz w:val="32"/>
          <w:szCs w:val="32"/>
          <w:lang w:val="zh-CN"/>
        </w:rPr>
      </w:pPr>
      <w:r>
        <w:rPr>
          <w:rFonts w:eastAsia="仿宋_GB2312"/>
          <w:b/>
          <w:sz w:val="32"/>
          <w:szCs w:val="32"/>
          <w:lang w:val="zh-CN"/>
        </w:rPr>
        <w:t>（3）机关节能降耗</w:t>
      </w:r>
    </w:p>
    <w:p w14:paraId="211CCE63">
      <w:pPr>
        <w:spacing w:line="600" w:lineRule="exact"/>
        <w:ind w:firstLine="640" w:firstLineChars="200"/>
        <w:rPr>
          <w:rFonts w:eastAsia="仿宋_GB2312"/>
          <w:sz w:val="32"/>
          <w:szCs w:val="32"/>
          <w:lang w:val="zh-CN"/>
        </w:rPr>
      </w:pPr>
      <w:r>
        <w:rPr>
          <w:rFonts w:eastAsia="仿宋_GB2312"/>
          <w:sz w:val="32"/>
          <w:szCs w:val="32"/>
          <w:lang w:val="zh-CN"/>
        </w:rPr>
        <w:t>2019年水电费5000.00元，图书馆与米易中学共用一栋大楼，本着节能降耗的原则，与米易中学共同承担大楼的水电费用。公务用车运行维护费5658.16元。</w:t>
      </w:r>
    </w:p>
    <w:p w14:paraId="7B887F07">
      <w:pPr>
        <w:widowControl/>
        <w:adjustRightInd w:val="0"/>
        <w:snapToGrid w:val="0"/>
        <w:spacing w:line="600" w:lineRule="exact"/>
        <w:ind w:firstLine="720"/>
        <w:jc w:val="left"/>
        <w:rPr>
          <w:rFonts w:eastAsia="仿宋_GB2312"/>
          <w:b/>
          <w:color w:val="000000"/>
          <w:kern w:val="0"/>
          <w:sz w:val="32"/>
          <w:szCs w:val="32"/>
          <w:shd w:val="clear" w:color="auto" w:fill="FFFFFF"/>
          <w:lang w:val="zh-CN"/>
        </w:rPr>
      </w:pPr>
      <w:r>
        <w:rPr>
          <w:rFonts w:eastAsia="仿宋_GB2312"/>
          <w:b/>
          <w:color w:val="000000"/>
          <w:kern w:val="0"/>
          <w:sz w:val="32"/>
          <w:szCs w:val="32"/>
          <w:shd w:val="clear" w:color="auto" w:fill="FFFFFF"/>
          <w:lang w:val="zh-CN"/>
        </w:rPr>
        <w:t>2.专项预算项目支出绩效</w:t>
      </w:r>
    </w:p>
    <w:p w14:paraId="6EDBFF52">
      <w:pPr>
        <w:widowControl/>
        <w:adjustRightInd w:val="0"/>
        <w:snapToGrid w:val="0"/>
        <w:spacing w:line="600" w:lineRule="exact"/>
        <w:ind w:firstLine="720"/>
        <w:jc w:val="left"/>
        <w:rPr>
          <w:rFonts w:eastAsia="仿宋_GB2312"/>
          <w:b/>
          <w:color w:val="000000"/>
          <w:kern w:val="0"/>
          <w:sz w:val="32"/>
          <w:szCs w:val="32"/>
          <w:shd w:val="clear" w:color="auto" w:fill="FFFFFF"/>
          <w:lang w:val="zh-CN"/>
        </w:rPr>
      </w:pPr>
      <w:r>
        <w:rPr>
          <w:rFonts w:eastAsia="仿宋_GB2312"/>
          <w:b/>
          <w:color w:val="000000"/>
          <w:kern w:val="0"/>
          <w:sz w:val="32"/>
          <w:szCs w:val="32"/>
          <w:shd w:val="clear" w:color="auto" w:fill="FFFFFF"/>
          <w:lang w:val="zh-CN"/>
        </w:rPr>
        <w:t>（1）项目资金管理情况。</w:t>
      </w:r>
    </w:p>
    <w:p w14:paraId="3A0E7F51">
      <w:pPr>
        <w:spacing w:line="600" w:lineRule="exact"/>
        <w:ind w:firstLine="643" w:firstLineChars="200"/>
        <w:jc w:val="left"/>
        <w:rPr>
          <w:rFonts w:eastAsia="仿宋_GB2312"/>
          <w:sz w:val="32"/>
          <w:szCs w:val="32"/>
        </w:rPr>
      </w:pPr>
      <w:r>
        <w:rPr>
          <w:rFonts w:eastAsia="仿宋_GB2312"/>
          <w:b/>
          <w:sz w:val="32"/>
          <w:szCs w:val="32"/>
        </w:rPr>
        <w:t>图书馆免费开放基本运行项目经费。</w:t>
      </w:r>
      <w:r>
        <w:rPr>
          <w:rFonts w:eastAsia="仿宋_GB2312"/>
          <w:sz w:val="32"/>
          <w:szCs w:val="32"/>
        </w:rPr>
        <w:t>县图书馆严格按照《公共文化服务保障法》、《公共图书馆法》、《图书馆免费开放专项资金管理暂行办法》相关法律法规要求，基本服务、设施、场地空间完全免费开放，免费开放项目资金专款专用，主要用于政府购买公共文化服务（劳务费）保障图书馆每周不少于63小时的开放时间，同时保障各项文化活动、阅读活动、公益性讲座、展览等活动的开展。</w:t>
      </w:r>
      <w:r>
        <w:rPr>
          <w:rFonts w:eastAsia="仿宋_GB2312"/>
          <w:b/>
          <w:sz w:val="32"/>
          <w:szCs w:val="32"/>
        </w:rPr>
        <w:t>公共数字文化服务项目经费。</w:t>
      </w:r>
      <w:r>
        <w:rPr>
          <w:rFonts w:eastAsia="仿宋_GB2312"/>
          <w:sz w:val="32"/>
          <w:szCs w:val="32"/>
        </w:rPr>
        <w:t>主要通过微信、数字图书馆、电子书刊借阅机、扫码读书等移动阅读服务，满足不同读者的不同阅读方式需求，该项目经费主要用于电子书刊的资源更新、微信运营服务、网络信息技术服务等。</w:t>
      </w:r>
      <w:r>
        <w:rPr>
          <w:rFonts w:eastAsia="仿宋_GB2312"/>
          <w:b/>
          <w:sz w:val="32"/>
          <w:szCs w:val="32"/>
        </w:rPr>
        <w:t>报刊征订项目经费</w:t>
      </w:r>
      <w:r>
        <w:rPr>
          <w:rFonts w:eastAsia="仿宋_GB2312"/>
          <w:sz w:val="32"/>
          <w:szCs w:val="32"/>
        </w:rPr>
        <w:t>。完成2020年报刊征订并及时上架流通，满足广大读者读报看书需求。本年度共征订315种报刊。</w:t>
      </w:r>
    </w:p>
    <w:p w14:paraId="1F405D87">
      <w:pPr>
        <w:widowControl/>
        <w:adjustRightInd w:val="0"/>
        <w:snapToGrid w:val="0"/>
        <w:spacing w:line="600" w:lineRule="exact"/>
        <w:ind w:firstLine="720"/>
        <w:jc w:val="left"/>
        <w:rPr>
          <w:rFonts w:eastAsia="仿宋_GB2312"/>
          <w:b/>
          <w:color w:val="000000"/>
          <w:kern w:val="0"/>
          <w:sz w:val="32"/>
          <w:szCs w:val="32"/>
          <w:shd w:val="clear" w:color="auto" w:fill="FFFFFF"/>
          <w:lang w:val="zh-CN"/>
        </w:rPr>
      </w:pPr>
      <w:r>
        <w:rPr>
          <w:rFonts w:eastAsia="仿宋_GB2312"/>
          <w:b/>
          <w:color w:val="000000"/>
          <w:kern w:val="0"/>
          <w:sz w:val="32"/>
          <w:szCs w:val="32"/>
          <w:shd w:val="clear" w:color="auto" w:fill="FFFFFF"/>
          <w:lang w:val="zh-CN"/>
        </w:rPr>
        <w:t>（2）绩效目标完成情况</w:t>
      </w:r>
    </w:p>
    <w:p w14:paraId="0D91AB03">
      <w:pPr>
        <w:spacing w:line="600" w:lineRule="exact"/>
        <w:ind w:firstLine="640" w:firstLineChars="200"/>
        <w:rPr>
          <w:rFonts w:eastAsia="仿宋_GB2312"/>
          <w:sz w:val="32"/>
          <w:szCs w:val="32"/>
        </w:rPr>
      </w:pPr>
      <w:r>
        <w:rPr>
          <w:rFonts w:eastAsia="仿宋_GB2312"/>
          <w:sz w:val="32"/>
          <w:szCs w:val="32"/>
        </w:rPr>
        <w:t>图书馆项目资金使用有效保障了图书馆免费开放的正常运行，全年工作有效满足了广大群众的读书学习需求，尽可能满足人民群众对美好文化生活的向往。图书馆以多种形式和内容有效地推进了全民阅读活动的深入开展，2019年荣获“四川省全民阅读示范基地”、全省“全民阅读优秀竞赛组织奖”等荣誉。</w:t>
      </w:r>
    </w:p>
    <w:p w14:paraId="79B59CD3">
      <w:pPr>
        <w:spacing w:line="600" w:lineRule="exact"/>
        <w:ind w:firstLine="643" w:firstLineChars="200"/>
        <w:rPr>
          <w:rFonts w:ascii="楷体_GB2312" w:eastAsia="楷体_GB2312"/>
          <w:b/>
          <w:sz w:val="32"/>
          <w:szCs w:val="32"/>
        </w:rPr>
      </w:pPr>
      <w:r>
        <w:rPr>
          <w:rFonts w:hint="eastAsia" w:ascii="楷体_GB2312" w:eastAsia="楷体_GB2312"/>
          <w:b/>
          <w:sz w:val="32"/>
          <w:szCs w:val="32"/>
        </w:rPr>
        <w:t>（四）财务管理情况</w:t>
      </w:r>
    </w:p>
    <w:p w14:paraId="6CAACBA2">
      <w:pPr>
        <w:spacing w:line="600" w:lineRule="exact"/>
        <w:ind w:firstLine="640" w:firstLineChars="200"/>
        <w:rPr>
          <w:rFonts w:eastAsia="仿宋_GB2312"/>
          <w:sz w:val="32"/>
          <w:szCs w:val="32"/>
        </w:rPr>
      </w:pPr>
      <w:r>
        <w:rPr>
          <w:rFonts w:eastAsia="仿宋_GB2312"/>
          <w:sz w:val="32"/>
          <w:szCs w:val="32"/>
        </w:rPr>
        <w:t>图书馆严格执行县文广旅局财务管理规章制度、会计核算、账务管理，由县文广旅局统一做帐，固定资产由米易县图书馆管理。在预算上，按规定的预算编审程序进行预算编制，防控预算编制不科学等风险。在收支管理上，各项收支事项符合法律法规的规定，关注防范舞弊与腐败；各项收支业务符合规定程序与规范，审批手续完善；各项收支事项凭证真实完整、合规有效；各项收支业务核算正确、相关财务信息真实完整。在资产管理上，建立健全货币资金、实物资产、无形资产等资产内部管理制度。建立健全货币资金管理岗位责任制；加强对银行账户的管理和资金的核查；对资产实施归口管理，建立资产台账，加强资产的实物管理等。在内控管理中，结合业务工作，负责梳理与其相关的预算申报、预算执行以及在执行中涉及的政府采购、合同执行等相关业务流程，加强内部资产实物的管理，建立预算执行分析机制，配合单位各部门完成相关的业务梳理和整改。</w:t>
      </w:r>
      <w:bookmarkStart w:id="70" w:name="_GoBack"/>
      <w:bookmarkEnd w:id="70"/>
    </w:p>
    <w:p w14:paraId="5D69EA08">
      <w:pPr>
        <w:spacing w:line="600" w:lineRule="exact"/>
        <w:ind w:firstLine="640" w:firstLineChars="200"/>
        <w:rPr>
          <w:rFonts w:ascii="黑体" w:hAnsi="黑体" w:eastAsia="黑体"/>
          <w:sz w:val="32"/>
          <w:szCs w:val="32"/>
        </w:rPr>
      </w:pPr>
      <w:r>
        <w:rPr>
          <w:rFonts w:ascii="黑体" w:hAnsi="黑体" w:eastAsia="黑体"/>
          <w:sz w:val="32"/>
          <w:szCs w:val="32"/>
        </w:rPr>
        <w:t>四、评价结论及建议</w:t>
      </w:r>
    </w:p>
    <w:p w14:paraId="58DB40AC">
      <w:pPr>
        <w:spacing w:line="600" w:lineRule="exact"/>
        <w:ind w:firstLine="643" w:firstLineChars="200"/>
        <w:rPr>
          <w:rFonts w:ascii="楷体_GB2312" w:eastAsia="楷体_GB2312"/>
          <w:b/>
          <w:sz w:val="32"/>
          <w:szCs w:val="32"/>
        </w:rPr>
      </w:pPr>
      <w:r>
        <w:rPr>
          <w:rFonts w:hint="eastAsia" w:ascii="楷体_GB2312" w:eastAsia="楷体_GB2312"/>
          <w:b/>
          <w:sz w:val="32"/>
          <w:szCs w:val="32"/>
        </w:rPr>
        <w:t>（一）评价结论</w:t>
      </w:r>
    </w:p>
    <w:p w14:paraId="3F3EB4F7">
      <w:pPr>
        <w:spacing w:line="600" w:lineRule="exact"/>
        <w:ind w:firstLine="640" w:firstLineChars="200"/>
        <w:rPr>
          <w:rFonts w:eastAsia="仿宋_GB2312"/>
          <w:sz w:val="32"/>
          <w:szCs w:val="32"/>
        </w:rPr>
      </w:pPr>
      <w:r>
        <w:rPr>
          <w:rFonts w:eastAsia="仿宋_GB2312"/>
          <w:sz w:val="32"/>
          <w:szCs w:val="32"/>
        </w:rPr>
        <w:t>2019年米易县图书馆将部门整体支出绩效评价作为财政预算资金使用管理的一项重要工作，切实加强预算收入管理，全面梳理内部管理流程，建立健全内部管理制度，有效提升了部门整体支出管理水平，根据部门整体支出绩效评价指标体系，自评综合得分为94分，评价等为“优”。整体上完成了年初设定的绩效目标，保障了全馆的正常运转，促进了公共图书馆事业的发展，充分发挥了财政资金的经济效益和社会效益。</w:t>
      </w:r>
    </w:p>
    <w:p w14:paraId="30E6E005">
      <w:pPr>
        <w:spacing w:line="600" w:lineRule="exact"/>
        <w:ind w:firstLine="643" w:firstLineChars="200"/>
        <w:rPr>
          <w:rFonts w:ascii="楷体_GB2312" w:eastAsia="楷体_GB2312"/>
          <w:b/>
          <w:sz w:val="32"/>
          <w:szCs w:val="32"/>
        </w:rPr>
      </w:pPr>
      <w:r>
        <w:rPr>
          <w:rFonts w:ascii="楷体_GB2312" w:eastAsia="楷体_GB2312"/>
          <w:b/>
          <w:sz w:val="32"/>
          <w:szCs w:val="32"/>
        </w:rPr>
        <w:t>（二）存在问题</w:t>
      </w:r>
    </w:p>
    <w:p w14:paraId="77C8DCC0">
      <w:pPr>
        <w:spacing w:line="600" w:lineRule="exact"/>
        <w:ind w:firstLine="640" w:firstLineChars="200"/>
        <w:rPr>
          <w:rFonts w:eastAsia="仿宋_GB2312"/>
          <w:sz w:val="32"/>
          <w:szCs w:val="32"/>
        </w:rPr>
      </w:pPr>
      <w:r>
        <w:rPr>
          <w:rFonts w:eastAsia="仿宋_GB2312"/>
          <w:sz w:val="32"/>
          <w:szCs w:val="32"/>
        </w:rPr>
        <w:t>从绩效评价看，我馆还存在如下问题：</w:t>
      </w:r>
    </w:p>
    <w:p w14:paraId="1EDBBDCC">
      <w:pPr>
        <w:spacing w:line="600" w:lineRule="exact"/>
        <w:ind w:firstLine="640" w:firstLineChars="200"/>
        <w:rPr>
          <w:rFonts w:eastAsia="仿宋_GB2312"/>
          <w:sz w:val="32"/>
          <w:szCs w:val="32"/>
        </w:rPr>
      </w:pPr>
      <w:r>
        <w:rPr>
          <w:rFonts w:eastAsia="仿宋_GB2312"/>
          <w:sz w:val="32"/>
          <w:szCs w:val="32"/>
        </w:rPr>
        <w:t>预算管理不够精细，在预算管理过程中，需加强全馆内设机构的协调联动，保证预算编制的合理与精细，并加强与财政部门的沟通和协调，确保预算资金的及时下达。</w:t>
      </w:r>
    </w:p>
    <w:p w14:paraId="77CF2E8F">
      <w:pPr>
        <w:pBdr>
          <w:top w:val="single" w:color="FFFFFF" w:sz="4" w:space="0"/>
          <w:left w:val="single" w:color="FFFFFF" w:sz="4" w:space="31"/>
          <w:bottom w:val="single" w:color="FFFFFF" w:sz="4" w:space="31"/>
          <w:right w:val="single" w:color="FFFFFF" w:sz="4" w:space="7"/>
        </w:pBdr>
        <w:adjustRightInd w:val="0"/>
        <w:snapToGrid w:val="0"/>
        <w:spacing w:line="600" w:lineRule="exact"/>
        <w:ind w:right="23" w:rightChars="11" w:firstLine="803" w:firstLineChars="250"/>
        <w:rPr>
          <w:rFonts w:eastAsia="楷体_GB2312"/>
          <w:b/>
          <w:sz w:val="32"/>
          <w:szCs w:val="32"/>
          <w:lang w:val="zh-CN"/>
        </w:rPr>
      </w:pPr>
      <w:r>
        <w:rPr>
          <w:rFonts w:eastAsia="楷体_GB2312"/>
          <w:b/>
          <w:sz w:val="32"/>
          <w:szCs w:val="32"/>
          <w:lang w:val="zh-CN"/>
        </w:rPr>
        <w:t>（三）改进建议</w:t>
      </w:r>
    </w:p>
    <w:p w14:paraId="54FBA2F4">
      <w:pPr>
        <w:pBdr>
          <w:top w:val="single" w:color="FFFFFF" w:sz="4" w:space="0"/>
          <w:left w:val="single" w:color="FFFFFF" w:sz="4" w:space="31"/>
          <w:bottom w:val="single" w:color="FFFFFF" w:sz="4" w:space="31"/>
          <w:right w:val="single" w:color="FFFFFF" w:sz="4" w:space="7"/>
        </w:pBdr>
        <w:adjustRightInd w:val="0"/>
        <w:snapToGrid w:val="0"/>
        <w:spacing w:line="600" w:lineRule="exact"/>
        <w:ind w:right="23" w:rightChars="11" w:firstLine="640" w:firstLineChars="200"/>
        <w:rPr>
          <w:rFonts w:eastAsia="仿宋_GB2312"/>
          <w:sz w:val="32"/>
          <w:szCs w:val="32"/>
        </w:rPr>
      </w:pPr>
      <w:r>
        <w:rPr>
          <w:rFonts w:eastAsia="仿宋_GB2312"/>
          <w:sz w:val="32"/>
          <w:szCs w:val="32"/>
        </w:rPr>
        <w:t>在今后的工作中进一步推行全面预算，改善经费使用结构，提高资金使用效益，全面实施经费绩效评价制度，落实绩效评价结果。</w:t>
      </w:r>
    </w:p>
    <w:p w14:paraId="60411AAE">
      <w:pPr>
        <w:jc w:val="center"/>
        <w:rPr>
          <w:rFonts w:eastAsia="方正小标宋简体"/>
          <w:sz w:val="44"/>
          <w:szCs w:val="44"/>
        </w:rPr>
      </w:pPr>
    </w:p>
    <w:p w14:paraId="40CD5E47">
      <w:pPr>
        <w:ind w:firstLine="640" w:firstLineChars="200"/>
        <w:rPr>
          <w:rFonts w:eastAsia="仿宋_GB2312"/>
          <w:sz w:val="32"/>
          <w:szCs w:val="32"/>
        </w:rPr>
      </w:pPr>
    </w:p>
    <w:p w14:paraId="3FC2C43B">
      <w:pPr>
        <w:jc w:val="center"/>
        <w:outlineLvl w:val="0"/>
        <w:rPr>
          <w:rStyle w:val="24"/>
          <w:rFonts w:eastAsia="黑体"/>
          <w:b w:val="0"/>
        </w:rPr>
      </w:pPr>
      <w:bookmarkStart w:id="56" w:name="_Toc15396618"/>
      <w:r>
        <w:rPr>
          <w:rFonts w:eastAsia="黑体"/>
          <w:color w:val="000000"/>
          <w:sz w:val="44"/>
          <w:szCs w:val="44"/>
        </w:rPr>
        <w:t>第</w:t>
      </w:r>
      <w:r>
        <w:rPr>
          <w:rStyle w:val="24"/>
          <w:rFonts w:eastAsia="黑体"/>
          <w:b w:val="0"/>
        </w:rPr>
        <w:t>五部分 附表</w:t>
      </w:r>
      <w:bookmarkEnd w:id="54"/>
      <w:bookmarkEnd w:id="56"/>
    </w:p>
    <w:p w14:paraId="486A0BDC">
      <w:pPr>
        <w:jc w:val="center"/>
        <w:outlineLvl w:val="0"/>
        <w:rPr>
          <w:rStyle w:val="24"/>
          <w:rFonts w:eastAsia="黑体"/>
          <w:b w:val="0"/>
        </w:rPr>
      </w:pPr>
    </w:p>
    <w:p w14:paraId="688CE135">
      <w:pPr>
        <w:pStyle w:val="3"/>
        <w:spacing w:before="0" w:after="0" w:line="600" w:lineRule="exact"/>
        <w:rPr>
          <w:rFonts w:ascii="Times New Roman" w:hAnsi="Times New Roman" w:eastAsia="仿宋" w:cs="Times New Roman"/>
          <w:color w:val="000000"/>
        </w:rPr>
      </w:pPr>
      <w:bookmarkStart w:id="57" w:name="_Toc15396619"/>
      <w:r>
        <w:rPr>
          <w:rFonts w:ascii="Times New Roman" w:hAnsi="Times New Roman" w:eastAsia="仿宋" w:cs="Times New Roman"/>
          <w:b w:val="0"/>
          <w:color w:val="000000"/>
        </w:rPr>
        <w:t>一、收</w:t>
      </w:r>
      <w:r>
        <w:rPr>
          <w:rStyle w:val="25"/>
          <w:rFonts w:ascii="Times New Roman" w:hAnsi="Times New Roman" w:eastAsia="仿宋" w:cs="Times New Roman"/>
          <w:b w:val="0"/>
          <w:bCs w:val="0"/>
        </w:rPr>
        <w:t>入支出决算总表</w:t>
      </w:r>
      <w:bookmarkEnd w:id="57"/>
    </w:p>
    <w:p w14:paraId="0293C55F">
      <w:pPr>
        <w:pStyle w:val="3"/>
        <w:spacing w:before="0" w:after="0" w:line="600" w:lineRule="exact"/>
        <w:rPr>
          <w:rFonts w:ascii="Times New Roman" w:hAnsi="Times New Roman" w:eastAsia="仿宋" w:cs="Times New Roman"/>
          <w:color w:val="000000"/>
        </w:rPr>
      </w:pPr>
      <w:bookmarkStart w:id="58" w:name="_Toc15396620"/>
      <w:r>
        <w:rPr>
          <w:rFonts w:ascii="Times New Roman" w:hAnsi="Times New Roman" w:eastAsia="仿宋" w:cs="Times New Roman"/>
          <w:b w:val="0"/>
          <w:color w:val="000000"/>
        </w:rPr>
        <w:t>二、收</w:t>
      </w:r>
      <w:r>
        <w:rPr>
          <w:rStyle w:val="25"/>
          <w:rFonts w:ascii="Times New Roman" w:hAnsi="Times New Roman" w:eastAsia="仿宋" w:cs="Times New Roman"/>
          <w:b w:val="0"/>
          <w:bCs w:val="0"/>
        </w:rPr>
        <w:t>入决算表</w:t>
      </w:r>
      <w:bookmarkEnd w:id="58"/>
    </w:p>
    <w:p w14:paraId="60E7CC66">
      <w:pPr>
        <w:pStyle w:val="3"/>
        <w:spacing w:before="0" w:after="0" w:line="600" w:lineRule="exact"/>
        <w:rPr>
          <w:rFonts w:ascii="Times New Roman" w:hAnsi="Times New Roman" w:eastAsia="仿宋" w:cs="Times New Roman"/>
          <w:color w:val="000000"/>
        </w:rPr>
      </w:pPr>
      <w:bookmarkStart w:id="59" w:name="_Toc15396621"/>
      <w:r>
        <w:rPr>
          <w:rStyle w:val="25"/>
          <w:rFonts w:ascii="Times New Roman" w:hAnsi="Times New Roman" w:eastAsia="仿宋" w:cs="Times New Roman"/>
          <w:b w:val="0"/>
          <w:bCs w:val="0"/>
        </w:rPr>
        <w:t>三、</w:t>
      </w:r>
      <w:r>
        <w:rPr>
          <w:rFonts w:ascii="Times New Roman" w:hAnsi="Times New Roman" w:eastAsia="仿宋" w:cs="Times New Roman"/>
          <w:b w:val="0"/>
          <w:color w:val="000000"/>
        </w:rPr>
        <w:t>支</w:t>
      </w:r>
      <w:r>
        <w:rPr>
          <w:rStyle w:val="25"/>
          <w:rFonts w:ascii="Times New Roman" w:hAnsi="Times New Roman" w:eastAsia="仿宋" w:cs="Times New Roman"/>
          <w:b w:val="0"/>
          <w:bCs w:val="0"/>
        </w:rPr>
        <w:t>出决算表</w:t>
      </w:r>
      <w:bookmarkEnd w:id="59"/>
    </w:p>
    <w:p w14:paraId="04CF8ACD">
      <w:pPr>
        <w:pStyle w:val="3"/>
        <w:spacing w:before="0" w:after="0" w:line="600" w:lineRule="exact"/>
        <w:rPr>
          <w:rFonts w:ascii="Times New Roman" w:hAnsi="Times New Roman" w:eastAsia="仿宋" w:cs="Times New Roman"/>
          <w:b w:val="0"/>
          <w:color w:val="000000"/>
        </w:rPr>
      </w:pPr>
      <w:bookmarkStart w:id="60" w:name="_Toc15396622"/>
      <w:r>
        <w:rPr>
          <w:rStyle w:val="25"/>
          <w:rFonts w:ascii="Times New Roman" w:hAnsi="Times New Roman" w:eastAsia="仿宋" w:cs="Times New Roman"/>
          <w:b w:val="0"/>
          <w:bCs w:val="0"/>
        </w:rPr>
        <w:t>四、</w:t>
      </w:r>
      <w:r>
        <w:rPr>
          <w:rFonts w:ascii="Times New Roman" w:hAnsi="Times New Roman" w:eastAsia="仿宋" w:cs="Times New Roman"/>
          <w:b w:val="0"/>
          <w:color w:val="000000"/>
        </w:rPr>
        <w:t>财</w:t>
      </w:r>
      <w:r>
        <w:rPr>
          <w:rStyle w:val="25"/>
          <w:rFonts w:ascii="Times New Roman" w:hAnsi="Times New Roman" w:eastAsia="仿宋" w:cs="Times New Roman"/>
          <w:b w:val="0"/>
          <w:bCs w:val="0"/>
        </w:rPr>
        <w:t>政拨款收入支出决算总表</w:t>
      </w:r>
      <w:bookmarkEnd w:id="60"/>
    </w:p>
    <w:p w14:paraId="752E9B48">
      <w:pPr>
        <w:pStyle w:val="3"/>
        <w:spacing w:before="0" w:after="0" w:line="600" w:lineRule="exact"/>
        <w:rPr>
          <w:rStyle w:val="25"/>
          <w:rFonts w:ascii="Times New Roman" w:hAnsi="Times New Roman" w:eastAsia="仿宋" w:cs="Times New Roman"/>
          <w:b w:val="0"/>
          <w:bCs w:val="0"/>
        </w:rPr>
      </w:pPr>
      <w:bookmarkStart w:id="61" w:name="_Toc15396623"/>
      <w:r>
        <w:rPr>
          <w:rStyle w:val="25"/>
          <w:rFonts w:ascii="Times New Roman" w:hAnsi="Times New Roman" w:eastAsia="仿宋" w:cs="Times New Roman"/>
          <w:b w:val="0"/>
          <w:bCs w:val="0"/>
        </w:rPr>
        <w:t>五、</w:t>
      </w:r>
      <w:r>
        <w:rPr>
          <w:rFonts w:ascii="Times New Roman" w:hAnsi="Times New Roman" w:eastAsia="仿宋" w:cs="Times New Roman"/>
          <w:b w:val="0"/>
          <w:color w:val="000000"/>
        </w:rPr>
        <w:t>财</w:t>
      </w:r>
      <w:r>
        <w:rPr>
          <w:rStyle w:val="25"/>
          <w:rFonts w:ascii="Times New Roman" w:hAnsi="Times New Roman" w:eastAsia="仿宋" w:cs="Times New Roman"/>
          <w:b w:val="0"/>
          <w:bCs w:val="0"/>
        </w:rPr>
        <w:t>政拨款支出决算明细表</w:t>
      </w:r>
      <w:bookmarkEnd w:id="61"/>
      <w:bookmarkStart w:id="62" w:name="_Toc15396624"/>
    </w:p>
    <w:p w14:paraId="12A32F1F">
      <w:pPr>
        <w:pStyle w:val="3"/>
        <w:spacing w:before="0" w:after="0" w:line="600" w:lineRule="exact"/>
        <w:rPr>
          <w:rFonts w:ascii="Times New Roman" w:hAnsi="Times New Roman" w:eastAsia="仿宋" w:cs="Times New Roman"/>
          <w:color w:val="000000"/>
        </w:rPr>
      </w:pPr>
      <w:r>
        <w:rPr>
          <w:rStyle w:val="25"/>
          <w:rFonts w:ascii="Times New Roman" w:hAnsi="Times New Roman" w:eastAsia="仿宋" w:cs="Times New Roman"/>
          <w:b w:val="0"/>
          <w:bCs w:val="0"/>
        </w:rPr>
        <w:t>六、</w:t>
      </w:r>
      <w:r>
        <w:rPr>
          <w:rFonts w:ascii="Times New Roman" w:hAnsi="Times New Roman" w:eastAsia="仿宋" w:cs="Times New Roman"/>
          <w:b w:val="0"/>
          <w:color w:val="000000"/>
        </w:rPr>
        <w:t>一</w:t>
      </w:r>
      <w:r>
        <w:rPr>
          <w:rStyle w:val="25"/>
          <w:rFonts w:ascii="Times New Roman" w:hAnsi="Times New Roman" w:eastAsia="仿宋" w:cs="Times New Roman"/>
          <w:b w:val="0"/>
          <w:bCs w:val="0"/>
        </w:rPr>
        <w:t>般公共预算财政拨款支出决算表</w:t>
      </w:r>
      <w:bookmarkEnd w:id="62"/>
    </w:p>
    <w:p w14:paraId="0FF7DBB6">
      <w:pPr>
        <w:pStyle w:val="3"/>
        <w:spacing w:before="0" w:after="0" w:line="600" w:lineRule="exact"/>
        <w:rPr>
          <w:rFonts w:ascii="Times New Roman" w:hAnsi="Times New Roman" w:eastAsia="仿宋" w:cs="Times New Roman"/>
          <w:color w:val="000000"/>
        </w:rPr>
      </w:pPr>
      <w:bookmarkStart w:id="63" w:name="_Toc15396625"/>
      <w:r>
        <w:rPr>
          <w:rStyle w:val="25"/>
          <w:rFonts w:ascii="Times New Roman" w:hAnsi="Times New Roman" w:eastAsia="仿宋" w:cs="Times New Roman"/>
          <w:b w:val="0"/>
          <w:bCs w:val="0"/>
        </w:rPr>
        <w:t>七、</w:t>
      </w:r>
      <w:r>
        <w:rPr>
          <w:rFonts w:ascii="Times New Roman" w:hAnsi="Times New Roman" w:eastAsia="仿宋" w:cs="Times New Roman"/>
          <w:b w:val="0"/>
          <w:color w:val="000000"/>
        </w:rPr>
        <w:t>一</w:t>
      </w:r>
      <w:r>
        <w:rPr>
          <w:rStyle w:val="25"/>
          <w:rFonts w:ascii="Times New Roman" w:hAnsi="Times New Roman" w:eastAsia="仿宋" w:cs="Times New Roman"/>
          <w:b w:val="0"/>
          <w:bCs w:val="0"/>
        </w:rPr>
        <w:t>般公共预算财政拨款支出决算明细表</w:t>
      </w:r>
      <w:bookmarkEnd w:id="63"/>
    </w:p>
    <w:p w14:paraId="0E08ACA8">
      <w:pPr>
        <w:pStyle w:val="3"/>
        <w:spacing w:before="0" w:after="0" w:line="600" w:lineRule="exact"/>
        <w:rPr>
          <w:rFonts w:ascii="Times New Roman" w:hAnsi="Times New Roman" w:eastAsia="仿宋" w:cs="Times New Roman"/>
          <w:color w:val="000000"/>
        </w:rPr>
      </w:pPr>
      <w:bookmarkStart w:id="64" w:name="_Toc15396626"/>
      <w:r>
        <w:rPr>
          <w:rStyle w:val="25"/>
          <w:rFonts w:ascii="Times New Roman" w:hAnsi="Times New Roman" w:eastAsia="仿宋" w:cs="Times New Roman"/>
          <w:b w:val="0"/>
          <w:bCs w:val="0"/>
        </w:rPr>
        <w:t>八、</w:t>
      </w:r>
      <w:r>
        <w:rPr>
          <w:rFonts w:ascii="Times New Roman" w:hAnsi="Times New Roman" w:eastAsia="仿宋" w:cs="Times New Roman"/>
          <w:b w:val="0"/>
          <w:color w:val="000000"/>
        </w:rPr>
        <w:t>一</w:t>
      </w:r>
      <w:r>
        <w:rPr>
          <w:rStyle w:val="25"/>
          <w:rFonts w:ascii="Times New Roman" w:hAnsi="Times New Roman" w:eastAsia="仿宋" w:cs="Times New Roman"/>
          <w:b w:val="0"/>
          <w:bCs w:val="0"/>
        </w:rPr>
        <w:t>般公共预算财政拨款基本支出决算表</w:t>
      </w:r>
      <w:bookmarkEnd w:id="64"/>
    </w:p>
    <w:p w14:paraId="0A60BAE8">
      <w:pPr>
        <w:pStyle w:val="3"/>
        <w:spacing w:before="0" w:after="0" w:line="600" w:lineRule="exact"/>
        <w:rPr>
          <w:rFonts w:ascii="Times New Roman" w:hAnsi="Times New Roman" w:eastAsia="仿宋" w:cs="Times New Roman"/>
          <w:color w:val="000000"/>
        </w:rPr>
      </w:pPr>
      <w:bookmarkStart w:id="65" w:name="_Toc15396627"/>
      <w:r>
        <w:rPr>
          <w:rStyle w:val="25"/>
          <w:rFonts w:ascii="Times New Roman" w:hAnsi="Times New Roman" w:eastAsia="仿宋" w:cs="Times New Roman"/>
          <w:b w:val="0"/>
          <w:bCs w:val="0"/>
        </w:rPr>
        <w:t>九、</w:t>
      </w:r>
      <w:r>
        <w:rPr>
          <w:rFonts w:ascii="Times New Roman" w:hAnsi="Times New Roman" w:eastAsia="仿宋" w:cs="Times New Roman"/>
          <w:b w:val="0"/>
          <w:color w:val="000000"/>
        </w:rPr>
        <w:t>一</w:t>
      </w:r>
      <w:r>
        <w:rPr>
          <w:rStyle w:val="25"/>
          <w:rFonts w:ascii="Times New Roman" w:hAnsi="Times New Roman" w:eastAsia="仿宋" w:cs="Times New Roman"/>
          <w:b w:val="0"/>
          <w:bCs w:val="0"/>
        </w:rPr>
        <w:t>般公共预算财政拨款项目支出决算表</w:t>
      </w:r>
      <w:bookmarkEnd w:id="65"/>
    </w:p>
    <w:p w14:paraId="70726A13">
      <w:pPr>
        <w:pStyle w:val="3"/>
        <w:spacing w:before="0" w:after="0" w:line="600" w:lineRule="exact"/>
        <w:rPr>
          <w:rFonts w:ascii="Times New Roman" w:hAnsi="Times New Roman" w:eastAsia="仿宋" w:cs="Times New Roman"/>
          <w:color w:val="000000"/>
        </w:rPr>
      </w:pPr>
      <w:bookmarkStart w:id="66" w:name="_Toc15396628"/>
      <w:r>
        <w:rPr>
          <w:rStyle w:val="25"/>
          <w:rFonts w:ascii="Times New Roman" w:hAnsi="Times New Roman" w:eastAsia="仿宋" w:cs="Times New Roman"/>
          <w:b w:val="0"/>
          <w:bCs w:val="0"/>
        </w:rPr>
        <w:t>十、</w:t>
      </w:r>
      <w:r>
        <w:rPr>
          <w:rFonts w:ascii="Times New Roman" w:hAnsi="Times New Roman" w:eastAsia="仿宋" w:cs="Times New Roman"/>
          <w:b w:val="0"/>
          <w:color w:val="000000"/>
        </w:rPr>
        <w:t>一</w:t>
      </w:r>
      <w:r>
        <w:rPr>
          <w:rStyle w:val="25"/>
          <w:rFonts w:ascii="Times New Roman" w:hAnsi="Times New Roman" w:eastAsia="仿宋" w:cs="Times New Roman"/>
          <w:b w:val="0"/>
          <w:bCs w:val="0"/>
        </w:rPr>
        <w:t>般公共预算财政拨款“三公”经费支出决算表</w:t>
      </w:r>
      <w:bookmarkEnd w:id="66"/>
    </w:p>
    <w:p w14:paraId="6A36509E">
      <w:pPr>
        <w:pStyle w:val="3"/>
        <w:spacing w:before="0" w:after="0" w:line="600" w:lineRule="exact"/>
        <w:rPr>
          <w:rFonts w:ascii="Times New Roman" w:hAnsi="Times New Roman" w:eastAsia="仿宋" w:cs="Times New Roman"/>
          <w:color w:val="000000"/>
        </w:rPr>
      </w:pPr>
      <w:bookmarkStart w:id="67" w:name="_Toc15396629"/>
      <w:r>
        <w:rPr>
          <w:rStyle w:val="25"/>
          <w:rFonts w:ascii="Times New Roman" w:hAnsi="Times New Roman" w:eastAsia="仿宋" w:cs="Times New Roman"/>
          <w:b w:val="0"/>
          <w:bCs w:val="0"/>
        </w:rPr>
        <w:t>十一、</w:t>
      </w:r>
      <w:r>
        <w:rPr>
          <w:rFonts w:ascii="Times New Roman" w:hAnsi="Times New Roman" w:eastAsia="仿宋" w:cs="Times New Roman"/>
          <w:b w:val="0"/>
          <w:color w:val="000000"/>
        </w:rPr>
        <w:t>政</w:t>
      </w:r>
      <w:r>
        <w:rPr>
          <w:rStyle w:val="25"/>
          <w:rFonts w:ascii="Times New Roman" w:hAnsi="Times New Roman" w:eastAsia="仿宋" w:cs="Times New Roman"/>
          <w:b w:val="0"/>
          <w:bCs w:val="0"/>
        </w:rPr>
        <w:t>府性基金预算财政拨款收入支出决算表</w:t>
      </w:r>
      <w:bookmarkEnd w:id="67"/>
    </w:p>
    <w:p w14:paraId="5A7A8C25">
      <w:pPr>
        <w:pStyle w:val="3"/>
        <w:spacing w:before="0" w:after="0" w:line="600" w:lineRule="exact"/>
        <w:rPr>
          <w:rFonts w:ascii="Times New Roman" w:hAnsi="Times New Roman" w:eastAsia="仿宋" w:cs="Times New Roman"/>
          <w:color w:val="000000"/>
        </w:rPr>
      </w:pPr>
      <w:bookmarkStart w:id="68" w:name="_Toc15396630"/>
      <w:r>
        <w:rPr>
          <w:rStyle w:val="25"/>
          <w:rFonts w:ascii="Times New Roman" w:hAnsi="Times New Roman" w:eastAsia="仿宋" w:cs="Times New Roman"/>
          <w:b w:val="0"/>
          <w:bCs w:val="0"/>
        </w:rPr>
        <w:t>十二、</w:t>
      </w:r>
      <w:r>
        <w:rPr>
          <w:rFonts w:ascii="Times New Roman" w:hAnsi="Times New Roman" w:eastAsia="仿宋" w:cs="Times New Roman"/>
          <w:b w:val="0"/>
          <w:color w:val="000000"/>
        </w:rPr>
        <w:t>政</w:t>
      </w:r>
      <w:r>
        <w:rPr>
          <w:rStyle w:val="25"/>
          <w:rFonts w:ascii="Times New Roman" w:hAnsi="Times New Roman" w:eastAsia="仿宋" w:cs="Times New Roman"/>
          <w:b w:val="0"/>
          <w:bCs w:val="0"/>
        </w:rPr>
        <w:t>府性基金预算财政拨款“三公”经费支出决算表</w:t>
      </w:r>
      <w:bookmarkEnd w:id="68"/>
    </w:p>
    <w:p w14:paraId="437A201F">
      <w:pPr>
        <w:pStyle w:val="3"/>
        <w:spacing w:before="0" w:after="0" w:line="600" w:lineRule="exact"/>
        <w:rPr>
          <w:rStyle w:val="25"/>
          <w:rFonts w:ascii="Times New Roman" w:hAnsi="Times New Roman" w:eastAsia="仿宋" w:cs="Times New Roman"/>
          <w:b w:val="0"/>
          <w:bCs w:val="0"/>
        </w:rPr>
      </w:pPr>
      <w:bookmarkStart w:id="69" w:name="_Toc15396631"/>
      <w:r>
        <w:rPr>
          <w:rStyle w:val="25"/>
          <w:rFonts w:ascii="Times New Roman" w:hAnsi="Times New Roman" w:eastAsia="仿宋" w:cs="Times New Roman"/>
          <w:b w:val="0"/>
          <w:bCs w:val="0"/>
        </w:rPr>
        <w:t>十三、</w:t>
      </w:r>
      <w:r>
        <w:rPr>
          <w:rFonts w:ascii="Times New Roman" w:hAnsi="Times New Roman" w:eastAsia="仿宋" w:cs="Times New Roman"/>
          <w:b w:val="0"/>
          <w:color w:val="000000"/>
        </w:rPr>
        <w:t>国</w:t>
      </w:r>
      <w:r>
        <w:rPr>
          <w:rStyle w:val="25"/>
          <w:rFonts w:ascii="Times New Roman" w:hAnsi="Times New Roman" w:eastAsia="仿宋" w:cs="Times New Roman"/>
          <w:b w:val="0"/>
          <w:bCs w:val="0"/>
        </w:rPr>
        <w:t>有资本经营预算支出决算表</w:t>
      </w:r>
      <w:bookmarkEnd w:id="69"/>
    </w:p>
    <w:p w14:paraId="50C4B166">
      <w:pPr>
        <w:pStyle w:val="3"/>
        <w:spacing w:before="0" w:after="0" w:line="600" w:lineRule="exact"/>
        <w:rPr>
          <w:rFonts w:ascii="Times New Roman" w:hAnsi="Times New Roman" w:eastAsia="仿宋" w:cs="Times New Roman"/>
          <w:b w:val="0"/>
          <w:bCs w:val="0"/>
        </w:rPr>
      </w:pPr>
      <w:r>
        <w:rPr>
          <w:rStyle w:val="25"/>
          <w:rFonts w:ascii="Times New Roman" w:hAnsi="Times New Roman" w:eastAsia="仿宋" w:cs="Times New Roman"/>
          <w:b w:val="0"/>
          <w:bCs w:val="0"/>
        </w:rPr>
        <w:t>十四</w:t>
      </w:r>
      <w:r>
        <w:rPr>
          <w:rStyle w:val="25"/>
          <w:rFonts w:ascii="Times New Roman" w:hAnsi="Times New Roman" w:eastAsia="仿宋" w:cs="Times New Roman"/>
          <w:b/>
          <w:bCs w:val="0"/>
        </w:rPr>
        <w:t>、</w:t>
      </w:r>
      <w:r>
        <w:rPr>
          <w:rFonts w:eastAsia="仿宋"/>
          <w:b w:val="0"/>
        </w:rPr>
        <w:t>机关运行经费、资产占用情况及政府采购支出信息表</w:t>
      </w:r>
    </w:p>
    <w:p w14:paraId="273E4F2E"/>
    <w:sectPr>
      <w:headerReference r:id="rId3" w:type="default"/>
      <w:footerReference r:id="rId4" w:type="default"/>
      <w:footerReference r:id="rId5" w:type="even"/>
      <w:pgSz w:w="11906" w:h="16838"/>
      <w:pgMar w:top="2098" w:right="1474" w:bottom="1701" w:left="1588"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2000000" w:usb3="00000000" w:csb0="0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方正小标宋简体">
    <w:altName w:val="方正小标宋_GBK"/>
    <w:panose1 w:val="03000509000000000000"/>
    <w:charset w:val="86"/>
    <w:family w:val="script"/>
    <w:pitch w:val="default"/>
    <w:sig w:usb0="00000000" w:usb1="00000000" w:usb2="0000001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779825"/>
      <w:docPartObj>
        <w:docPartGallery w:val="AutoText"/>
      </w:docPartObj>
    </w:sdtPr>
    <w:sdtEndPr>
      <w:rPr>
        <w:rFonts w:ascii="宋体" w:hAnsi="宋体"/>
        <w:sz w:val="28"/>
        <w:szCs w:val="28"/>
      </w:rPr>
    </w:sdtEndPr>
    <w:sdtContent>
      <w:p w14:paraId="0BA58375">
        <w:pPr>
          <w:pStyle w:val="8"/>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29 -</w:t>
        </w:r>
        <w:r>
          <w:rPr>
            <w:rFonts w:ascii="宋体" w:hAnsi="宋体"/>
            <w:sz w:val="28"/>
            <w:szCs w:val="28"/>
          </w:rPr>
          <w:fldChar w:fldCharType="end"/>
        </w:r>
      </w:p>
    </w:sdtContent>
  </w:sdt>
  <w:p w14:paraId="4F64BE06">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312A88AF">
        <w:pPr>
          <w:pStyle w:val="8"/>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30 -</w:t>
        </w:r>
        <w:r>
          <w:rPr>
            <w:rFonts w:ascii="宋体" w:hAnsi="宋体"/>
            <w:sz w:val="28"/>
            <w:szCs w:val="28"/>
          </w:rPr>
          <w:fldChar w:fldCharType="end"/>
        </w:r>
      </w:p>
    </w:sdtContent>
  </w:sdt>
  <w:p w14:paraId="26BA681E">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79E8A">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38F5"/>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0DCA"/>
    <w:rsid w:val="000C3467"/>
    <w:rsid w:val="000C3CA6"/>
    <w:rsid w:val="000D1267"/>
    <w:rsid w:val="000D1D50"/>
    <w:rsid w:val="000D5782"/>
    <w:rsid w:val="000D74FC"/>
    <w:rsid w:val="000E6613"/>
    <w:rsid w:val="000E7119"/>
    <w:rsid w:val="00102E96"/>
    <w:rsid w:val="00114E9B"/>
    <w:rsid w:val="00120CCF"/>
    <w:rsid w:val="00142216"/>
    <w:rsid w:val="00144D6A"/>
    <w:rsid w:val="0014729F"/>
    <w:rsid w:val="00157BAB"/>
    <w:rsid w:val="001654D1"/>
    <w:rsid w:val="00174518"/>
    <w:rsid w:val="0018106D"/>
    <w:rsid w:val="001877A7"/>
    <w:rsid w:val="001910FD"/>
    <w:rsid w:val="00191536"/>
    <w:rsid w:val="00196687"/>
    <w:rsid w:val="001C0962"/>
    <w:rsid w:val="001D3C4B"/>
    <w:rsid w:val="001D7531"/>
    <w:rsid w:val="001E737D"/>
    <w:rsid w:val="001F0592"/>
    <w:rsid w:val="001F4439"/>
    <w:rsid w:val="001F7506"/>
    <w:rsid w:val="002006CD"/>
    <w:rsid w:val="00200FDA"/>
    <w:rsid w:val="00202B36"/>
    <w:rsid w:val="00204B7A"/>
    <w:rsid w:val="00204CDE"/>
    <w:rsid w:val="00205142"/>
    <w:rsid w:val="0021101A"/>
    <w:rsid w:val="00220536"/>
    <w:rsid w:val="0022359A"/>
    <w:rsid w:val="00235629"/>
    <w:rsid w:val="00254066"/>
    <w:rsid w:val="00260C38"/>
    <w:rsid w:val="002616C0"/>
    <w:rsid w:val="00264B82"/>
    <w:rsid w:val="00265372"/>
    <w:rsid w:val="002662AA"/>
    <w:rsid w:val="0027325E"/>
    <w:rsid w:val="00280496"/>
    <w:rsid w:val="00294DC9"/>
    <w:rsid w:val="00295495"/>
    <w:rsid w:val="002A31DE"/>
    <w:rsid w:val="002A38FB"/>
    <w:rsid w:val="002B2613"/>
    <w:rsid w:val="002D19B0"/>
    <w:rsid w:val="002D6D05"/>
    <w:rsid w:val="002F1818"/>
    <w:rsid w:val="002F567B"/>
    <w:rsid w:val="00316432"/>
    <w:rsid w:val="003216A9"/>
    <w:rsid w:val="00335A74"/>
    <w:rsid w:val="00352E00"/>
    <w:rsid w:val="0036561B"/>
    <w:rsid w:val="0037013F"/>
    <w:rsid w:val="00380C92"/>
    <w:rsid w:val="003838F5"/>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628E9"/>
    <w:rsid w:val="00471401"/>
    <w:rsid w:val="00473F31"/>
    <w:rsid w:val="0048263A"/>
    <w:rsid w:val="00482E8C"/>
    <w:rsid w:val="00487E5D"/>
    <w:rsid w:val="004A711F"/>
    <w:rsid w:val="004B199D"/>
    <w:rsid w:val="004B4690"/>
    <w:rsid w:val="004E0A2D"/>
    <w:rsid w:val="004E206B"/>
    <w:rsid w:val="004E4A25"/>
    <w:rsid w:val="004E6DF7"/>
    <w:rsid w:val="004F0FBD"/>
    <w:rsid w:val="004F403E"/>
    <w:rsid w:val="00505A47"/>
    <w:rsid w:val="00512FDA"/>
    <w:rsid w:val="00520DA0"/>
    <w:rsid w:val="005664BB"/>
    <w:rsid w:val="00566FFA"/>
    <w:rsid w:val="0057481D"/>
    <w:rsid w:val="00575F0B"/>
    <w:rsid w:val="0058486E"/>
    <w:rsid w:val="00585B33"/>
    <w:rsid w:val="0059014D"/>
    <w:rsid w:val="005B074D"/>
    <w:rsid w:val="005B5C64"/>
    <w:rsid w:val="005C0A94"/>
    <w:rsid w:val="005C6BD0"/>
    <w:rsid w:val="005C6C4C"/>
    <w:rsid w:val="005D1C8B"/>
    <w:rsid w:val="005D468D"/>
    <w:rsid w:val="005D5CED"/>
    <w:rsid w:val="005E13D3"/>
    <w:rsid w:val="005F1A4C"/>
    <w:rsid w:val="00605688"/>
    <w:rsid w:val="006070AF"/>
    <w:rsid w:val="00607E6C"/>
    <w:rsid w:val="006101B1"/>
    <w:rsid w:val="00614E44"/>
    <w:rsid w:val="006171D5"/>
    <w:rsid w:val="0062190F"/>
    <w:rsid w:val="0062270A"/>
    <w:rsid w:val="00622830"/>
    <w:rsid w:val="00623DA0"/>
    <w:rsid w:val="00630AEF"/>
    <w:rsid w:val="006325F8"/>
    <w:rsid w:val="00633463"/>
    <w:rsid w:val="00634C9A"/>
    <w:rsid w:val="0063782E"/>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47252"/>
    <w:rsid w:val="00850625"/>
    <w:rsid w:val="00853718"/>
    <w:rsid w:val="00855221"/>
    <w:rsid w:val="00860645"/>
    <w:rsid w:val="008667B0"/>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3042"/>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87071"/>
    <w:rsid w:val="00A91760"/>
    <w:rsid w:val="00A93B00"/>
    <w:rsid w:val="00A93C21"/>
    <w:rsid w:val="00AB1377"/>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924"/>
    <w:rsid w:val="00B53C56"/>
    <w:rsid w:val="00B57DAF"/>
    <w:rsid w:val="00B62795"/>
    <w:rsid w:val="00B77EA6"/>
    <w:rsid w:val="00B81598"/>
    <w:rsid w:val="00B841F1"/>
    <w:rsid w:val="00B944D6"/>
    <w:rsid w:val="00BB4DF0"/>
    <w:rsid w:val="00BC289F"/>
    <w:rsid w:val="00BC2D50"/>
    <w:rsid w:val="00BC5361"/>
    <w:rsid w:val="00BC5460"/>
    <w:rsid w:val="00BC6B50"/>
    <w:rsid w:val="00BD0E25"/>
    <w:rsid w:val="00BE5DB3"/>
    <w:rsid w:val="00BF5BD6"/>
    <w:rsid w:val="00C03E31"/>
    <w:rsid w:val="00C30E69"/>
    <w:rsid w:val="00C33E72"/>
    <w:rsid w:val="00C354B2"/>
    <w:rsid w:val="00C35554"/>
    <w:rsid w:val="00C42709"/>
    <w:rsid w:val="00C533CC"/>
    <w:rsid w:val="00C5751C"/>
    <w:rsid w:val="00C61BFC"/>
    <w:rsid w:val="00C62B85"/>
    <w:rsid w:val="00C65438"/>
    <w:rsid w:val="00C91CBB"/>
    <w:rsid w:val="00C959A9"/>
    <w:rsid w:val="00CB4565"/>
    <w:rsid w:val="00CB4E70"/>
    <w:rsid w:val="00CC09B6"/>
    <w:rsid w:val="00CC666F"/>
    <w:rsid w:val="00CD1E3F"/>
    <w:rsid w:val="00CE065E"/>
    <w:rsid w:val="00CE2A3F"/>
    <w:rsid w:val="00CE4452"/>
    <w:rsid w:val="00CE44F6"/>
    <w:rsid w:val="00CE49DA"/>
    <w:rsid w:val="00CE7B61"/>
    <w:rsid w:val="00D00095"/>
    <w:rsid w:val="00D114F0"/>
    <w:rsid w:val="00D20620"/>
    <w:rsid w:val="00D21A36"/>
    <w:rsid w:val="00D254F7"/>
    <w:rsid w:val="00D26091"/>
    <w:rsid w:val="00D2685C"/>
    <w:rsid w:val="00D33EA3"/>
    <w:rsid w:val="00D34E7C"/>
    <w:rsid w:val="00D35489"/>
    <w:rsid w:val="00D36AFE"/>
    <w:rsid w:val="00D376F4"/>
    <w:rsid w:val="00D51276"/>
    <w:rsid w:val="00D65F73"/>
    <w:rsid w:val="00D7035F"/>
    <w:rsid w:val="00D77A1D"/>
    <w:rsid w:val="00D91885"/>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34D4"/>
    <w:rsid w:val="00E53716"/>
    <w:rsid w:val="00E568DF"/>
    <w:rsid w:val="00E6354A"/>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1734C"/>
    <w:rsid w:val="00F23962"/>
    <w:rsid w:val="00F2408F"/>
    <w:rsid w:val="00F240E9"/>
    <w:rsid w:val="00F3033C"/>
    <w:rsid w:val="00F31BC9"/>
    <w:rsid w:val="00F36D8F"/>
    <w:rsid w:val="00F417B1"/>
    <w:rsid w:val="00F45853"/>
    <w:rsid w:val="00F53263"/>
    <w:rsid w:val="00F54FD9"/>
    <w:rsid w:val="00F602DF"/>
    <w:rsid w:val="00F754A1"/>
    <w:rsid w:val="00F81FD9"/>
    <w:rsid w:val="00F841AA"/>
    <w:rsid w:val="00F84A94"/>
    <w:rsid w:val="00F87E96"/>
    <w:rsid w:val="00FA23E8"/>
    <w:rsid w:val="00FD3CC1"/>
    <w:rsid w:val="00FF1E02"/>
    <w:rsid w:val="00FF30B4"/>
    <w:rsid w:val="10C055FF"/>
    <w:rsid w:val="16BB723D"/>
    <w:rsid w:val="240371BF"/>
    <w:rsid w:val="29FD04D3"/>
    <w:rsid w:val="319F7F4E"/>
    <w:rsid w:val="4ECE2238"/>
    <w:rsid w:val="72734D90"/>
    <w:rsid w:val="7977702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0"/>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99"/>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0">
    <w:name w:val="列出段落1"/>
    <w:basedOn w:val="1"/>
    <w:qFormat/>
    <w:uiPriority w:val="0"/>
    <w:pPr>
      <w:ind w:firstLine="420" w:firstLineChars="200"/>
    </w:pPr>
  </w:style>
  <w:style w:type="character" w:customStyle="1" w:styleId="31">
    <w:name w:val="四号正文 Char"/>
    <w:link w:val="32"/>
    <w:qFormat/>
    <w:locked/>
    <w:uiPriority w:val="0"/>
    <w:rPr>
      <w:rFonts w:ascii="??" w:hAnsi="??" w:cs="宋体"/>
      <w:color w:val="000000"/>
      <w:sz w:val="28"/>
      <w:szCs w:val="21"/>
    </w:rPr>
  </w:style>
  <w:style w:type="paragraph" w:customStyle="1" w:styleId="32">
    <w:name w:val="四号正文"/>
    <w:basedOn w:val="1"/>
    <w:link w:val="31"/>
    <w:qFormat/>
    <w:uiPriority w:val="0"/>
    <w:pPr>
      <w:spacing w:line="360" w:lineRule="auto"/>
    </w:pPr>
    <w:rPr>
      <w:rFonts w:ascii="??" w:hAnsi="??" w:cs="宋体"/>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2019年</c:v>
                </c:pt>
              </c:strCache>
            </c:strRef>
          </c:tx>
          <c:invertIfNegative val="0"/>
          <c:dLbls>
            <c:delete val="1"/>
          </c:dLbls>
          <c:cat>
            <c:strRef>
              <c:f>Sheet1!$A$2:$A$5</c:f>
              <c:strCache>
                <c:ptCount val="3"/>
                <c:pt idx="0">
                  <c:v>收入</c:v>
                </c:pt>
                <c:pt idx="1">
                  <c:v>支出</c:v>
                </c:pt>
                <c:pt idx="2">
                  <c:v>单位：万元</c:v>
                </c:pt>
              </c:strCache>
            </c:strRef>
          </c:cat>
          <c:val>
            <c:numRef>
              <c:f>Sheet1!$B$2:$B$5</c:f>
              <c:numCache>
                <c:formatCode>General</c:formatCode>
                <c:ptCount val="4"/>
                <c:pt idx="0">
                  <c:v>115.66</c:v>
                </c:pt>
                <c:pt idx="1">
                  <c:v>115.66</c:v>
                </c:pt>
              </c:numCache>
            </c:numRef>
          </c:val>
        </c:ser>
        <c:ser>
          <c:idx val="1"/>
          <c:order val="1"/>
          <c:tx>
            <c:strRef>
              <c:f>Sheet1!$C$1</c:f>
              <c:strCache>
                <c:ptCount val="1"/>
                <c:pt idx="0">
                  <c:v>2018年</c:v>
                </c:pt>
              </c:strCache>
            </c:strRef>
          </c:tx>
          <c:invertIfNegative val="0"/>
          <c:dLbls>
            <c:delete val="1"/>
          </c:dLbls>
          <c:cat>
            <c:strRef>
              <c:f>Sheet1!$A$2:$A$5</c:f>
              <c:strCache>
                <c:ptCount val="3"/>
                <c:pt idx="0">
                  <c:v>收入</c:v>
                </c:pt>
                <c:pt idx="1">
                  <c:v>支出</c:v>
                </c:pt>
                <c:pt idx="2">
                  <c:v>单位：万元</c:v>
                </c:pt>
              </c:strCache>
            </c:strRef>
          </c:cat>
          <c:val>
            <c:numRef>
              <c:f>Sheet1!$C$2:$C$5</c:f>
              <c:numCache>
                <c:formatCode>General</c:formatCode>
                <c:ptCount val="4"/>
                <c:pt idx="0">
                  <c:v>105.44</c:v>
                </c:pt>
                <c:pt idx="1">
                  <c:v>114.09</c:v>
                </c:pt>
              </c:numCache>
            </c:numRef>
          </c:val>
        </c:ser>
        <c:dLbls>
          <c:showLegendKey val="0"/>
          <c:showVal val="0"/>
          <c:showCatName val="0"/>
          <c:showSerName val="0"/>
          <c:showPercent val="0"/>
          <c:showBubbleSize val="0"/>
        </c:dLbls>
        <c:gapWidth val="150"/>
        <c:axId val="137403392"/>
        <c:axId val="88933504"/>
      </c:barChart>
      <c:catAx>
        <c:axId val="13740339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8933504"/>
        <c:crosses val="autoZero"/>
        <c:auto val="1"/>
        <c:lblAlgn val="ctr"/>
        <c:lblOffset val="100"/>
        <c:noMultiLvlLbl val="0"/>
      </c:catAx>
      <c:valAx>
        <c:axId val="8893350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740339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0f5d4d75-70d0-4d29-81c5-3b975f882c17}"/>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elete val="1"/>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115.66</c:v>
                </c:pt>
                <c:pt idx="1">
                  <c:v>0</c:v>
                </c:pt>
                <c:pt idx="2">
                  <c:v>0</c:v>
                </c:pt>
                <c:pt idx="3">
                  <c:v>0</c:v>
                </c:pt>
                <c:pt idx="4">
                  <c:v>0</c:v>
                </c:pt>
                <c:pt idx="5">
                  <c:v>0</c:v>
                </c:pt>
                <c:pt idx="6">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717ce689-96d8-4bb1-98ee-a5c7434c10cc}"/>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Pt>
            <c:idx val="2"/>
            <c:bubble3D val="0"/>
          </c:dPt>
          <c:dPt>
            <c:idx val="3"/>
            <c:bubble3D val="0"/>
          </c:dPt>
          <c:dPt>
            <c:idx val="4"/>
            <c:bubble3D val="0"/>
          </c:dPt>
          <c:dLbls>
            <c:delete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89.26</c:v>
                </c:pt>
                <c:pt idx="1">
                  <c:v>26.4</c:v>
                </c:pt>
                <c:pt idx="2">
                  <c:v>0</c:v>
                </c:pt>
                <c:pt idx="3">
                  <c:v>0</c:v>
                </c:pt>
                <c:pt idx="4">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b85ae44f-2ccc-413d-aac5-35876b3ea234}"/>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2019年</c:v>
                </c:pt>
              </c:strCache>
            </c:strRef>
          </c:tx>
          <c:invertIfNegative val="0"/>
          <c:dLbls>
            <c:delete val="1"/>
          </c:dLbls>
          <c:cat>
            <c:strRef>
              <c:f>Sheet1!$A$2:$A$5</c:f>
              <c:strCache>
                <c:ptCount val="3"/>
                <c:pt idx="0">
                  <c:v>收入</c:v>
                </c:pt>
                <c:pt idx="1">
                  <c:v>支出</c:v>
                </c:pt>
                <c:pt idx="2">
                  <c:v>单位：万元</c:v>
                </c:pt>
              </c:strCache>
            </c:strRef>
          </c:cat>
          <c:val>
            <c:numRef>
              <c:f>Sheet1!$B$2:$B$5</c:f>
              <c:numCache>
                <c:formatCode>General</c:formatCode>
                <c:ptCount val="4"/>
                <c:pt idx="0">
                  <c:v>115.66</c:v>
                </c:pt>
                <c:pt idx="1">
                  <c:v>115.66</c:v>
                </c:pt>
              </c:numCache>
            </c:numRef>
          </c:val>
        </c:ser>
        <c:ser>
          <c:idx val="1"/>
          <c:order val="1"/>
          <c:tx>
            <c:strRef>
              <c:f>Sheet1!$C$1</c:f>
              <c:strCache>
                <c:ptCount val="1"/>
                <c:pt idx="0">
                  <c:v>2018年</c:v>
                </c:pt>
              </c:strCache>
            </c:strRef>
          </c:tx>
          <c:invertIfNegative val="0"/>
          <c:dLbls>
            <c:delete val="1"/>
          </c:dLbls>
          <c:cat>
            <c:strRef>
              <c:f>Sheet1!$A$2:$A$5</c:f>
              <c:strCache>
                <c:ptCount val="3"/>
                <c:pt idx="0">
                  <c:v>收入</c:v>
                </c:pt>
                <c:pt idx="1">
                  <c:v>支出</c:v>
                </c:pt>
                <c:pt idx="2">
                  <c:v>单位：万元</c:v>
                </c:pt>
              </c:strCache>
            </c:strRef>
          </c:cat>
          <c:val>
            <c:numRef>
              <c:f>Sheet1!$C$2:$C$5</c:f>
              <c:numCache>
                <c:formatCode>General</c:formatCode>
                <c:ptCount val="4"/>
                <c:pt idx="0">
                  <c:v>105.44</c:v>
                </c:pt>
                <c:pt idx="1">
                  <c:v>114.09</c:v>
                </c:pt>
              </c:numCache>
            </c:numRef>
          </c:val>
        </c:ser>
        <c:dLbls>
          <c:showLegendKey val="0"/>
          <c:showVal val="0"/>
          <c:showCatName val="0"/>
          <c:showSerName val="0"/>
          <c:showPercent val="0"/>
          <c:showBubbleSize val="0"/>
        </c:dLbls>
        <c:gapWidth val="150"/>
        <c:axId val="127807488"/>
        <c:axId val="88938112"/>
      </c:barChart>
      <c:catAx>
        <c:axId val="12780748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8938112"/>
        <c:crosses val="autoZero"/>
        <c:auto val="1"/>
        <c:lblAlgn val="ctr"/>
        <c:lblOffset val="100"/>
        <c:noMultiLvlLbl val="0"/>
      </c:catAx>
      <c:valAx>
        <c:axId val="8893811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780748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862de185-87d2-4680-912d-ea8e9c368b6b}"/>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2019年</c:v>
                </c:pt>
              </c:strCache>
            </c:strRef>
          </c:tx>
          <c:invertIfNegative val="0"/>
          <c:dLbls>
            <c:delete val="1"/>
          </c:dLbls>
          <c:cat>
            <c:strRef>
              <c:f>Sheet1!$A$2:$A$5</c:f>
              <c:strCache>
                <c:ptCount val="1"/>
                <c:pt idx="0">
                  <c:v>支出</c:v>
                </c:pt>
              </c:strCache>
            </c:strRef>
          </c:cat>
          <c:val>
            <c:numRef>
              <c:f>Sheet1!$B$2:$B$5</c:f>
              <c:numCache>
                <c:formatCode>General</c:formatCode>
                <c:ptCount val="4"/>
                <c:pt idx="0">
                  <c:v>115.66</c:v>
                </c:pt>
              </c:numCache>
            </c:numRef>
          </c:val>
        </c:ser>
        <c:ser>
          <c:idx val="1"/>
          <c:order val="1"/>
          <c:tx>
            <c:strRef>
              <c:f>Sheet1!$C$1</c:f>
              <c:strCache>
                <c:ptCount val="1"/>
                <c:pt idx="0">
                  <c:v>2018年</c:v>
                </c:pt>
              </c:strCache>
            </c:strRef>
          </c:tx>
          <c:invertIfNegative val="0"/>
          <c:dLbls>
            <c:delete val="1"/>
          </c:dLbls>
          <c:cat>
            <c:strRef>
              <c:f>Sheet1!$A$2:$A$5</c:f>
              <c:strCache>
                <c:ptCount val="1"/>
                <c:pt idx="0">
                  <c:v>支出</c:v>
                </c:pt>
              </c:strCache>
            </c:strRef>
          </c:cat>
          <c:val>
            <c:numRef>
              <c:f>Sheet1!$C$2:$C$5</c:f>
              <c:numCache>
                <c:formatCode>General</c:formatCode>
                <c:ptCount val="4"/>
                <c:pt idx="0">
                  <c:v>114.09</c:v>
                </c:pt>
              </c:numCache>
            </c:numRef>
          </c:val>
        </c:ser>
        <c:dLbls>
          <c:showLegendKey val="0"/>
          <c:showVal val="0"/>
          <c:showCatName val="0"/>
          <c:showSerName val="0"/>
          <c:showPercent val="0"/>
          <c:showBubbleSize val="0"/>
        </c:dLbls>
        <c:gapWidth val="150"/>
        <c:axId val="136181248"/>
        <c:axId val="88939840"/>
      </c:barChart>
      <c:catAx>
        <c:axId val="13618124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8939840"/>
        <c:crosses val="autoZero"/>
        <c:auto val="1"/>
        <c:lblAlgn val="ctr"/>
        <c:lblOffset val="100"/>
        <c:noMultiLvlLbl val="0"/>
      </c:catAx>
      <c:valAx>
        <c:axId val="8893984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618124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91f8a4c1-c72e-4da8-ae2d-3e6b37869fa9}"/>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Pt>
            <c:idx val="3"/>
            <c:bubble3D val="0"/>
          </c:dPt>
          <c:dLbls>
            <c:delete val="1"/>
          </c:dLbls>
          <c:cat>
            <c:strRef>
              <c:f>Sheet1!$A$2:$A$5</c:f>
              <c:strCache>
                <c:ptCount val="4"/>
                <c:pt idx="0">
                  <c:v>文化旅游体育与传媒支出</c:v>
                </c:pt>
                <c:pt idx="1">
                  <c:v>社会保障和就业支出</c:v>
                </c:pt>
                <c:pt idx="2">
                  <c:v>医疗卫生支出</c:v>
                </c:pt>
                <c:pt idx="3">
                  <c:v>住房保障支出</c:v>
                </c:pt>
              </c:strCache>
            </c:strRef>
          </c:cat>
          <c:val>
            <c:numRef>
              <c:f>Sheet1!$B$2:$B$5</c:f>
              <c:numCache>
                <c:formatCode>General</c:formatCode>
                <c:ptCount val="4"/>
                <c:pt idx="0">
                  <c:v>97.76</c:v>
                </c:pt>
                <c:pt idx="1">
                  <c:v>7.64</c:v>
                </c:pt>
                <c:pt idx="2">
                  <c:v>3.52</c:v>
                </c:pt>
                <c:pt idx="3">
                  <c:v>6.73</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9953147b-cca6-4c7d-b351-9a2cbfd02f0a}"/>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98936B78-7BBF-4F55-9D2B-E105DD22CCE2}">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31</Pages>
  <Words>2159</Words>
  <Characters>12310</Characters>
  <Lines>102</Lines>
  <Paragraphs>28</Paragraphs>
  <TotalTime>726</TotalTime>
  <ScaleCrop>false</ScaleCrop>
  <LinksUpToDate>false</LinksUpToDate>
  <CharactersWithSpaces>14441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 回甘</cp:lastModifiedBy>
  <cp:lastPrinted>2020-07-23T10:58:00Z</cp:lastPrinted>
  <dcterms:modified xsi:type="dcterms:W3CDTF">2026-08-18T15:45:39Z</dcterms:modified>
  <dc:title>四川省***</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62FE32F736506E80A30D846AA9710ACD_42</vt:lpwstr>
  </property>
</Properties>
</file>