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F3B57">
      <w:pPr>
        <w:spacing w:line="600" w:lineRule="exact"/>
        <w:jc w:val="center"/>
        <w:outlineLvl w:val="0"/>
        <w:rPr>
          <w:rFonts w:ascii="方正小标宋简体" w:hAnsi="宋体" w:eastAsia="方正小标宋简体"/>
          <w:color w:val="000000"/>
          <w:sz w:val="72"/>
          <w:szCs w:val="72"/>
        </w:rPr>
      </w:pPr>
      <w:bookmarkStart w:id="0" w:name="_Toc15306267"/>
    </w:p>
    <w:p w14:paraId="3726C16E">
      <w:pPr>
        <w:spacing w:line="600" w:lineRule="exact"/>
        <w:jc w:val="center"/>
        <w:outlineLvl w:val="0"/>
        <w:rPr>
          <w:rFonts w:ascii="方正小标宋简体" w:hAnsi="宋体" w:eastAsia="方正小标宋简体"/>
          <w:color w:val="000000"/>
          <w:sz w:val="72"/>
          <w:szCs w:val="72"/>
        </w:rPr>
      </w:pPr>
    </w:p>
    <w:p w14:paraId="72D536D7">
      <w:pPr>
        <w:spacing w:line="600" w:lineRule="exact"/>
        <w:jc w:val="center"/>
        <w:outlineLvl w:val="0"/>
        <w:rPr>
          <w:rFonts w:ascii="方正小标宋简体" w:hAnsi="宋体" w:eastAsia="方正小标宋简体"/>
          <w:color w:val="000000"/>
          <w:sz w:val="72"/>
          <w:szCs w:val="72"/>
        </w:rPr>
      </w:pPr>
    </w:p>
    <w:p w14:paraId="18C40FA5">
      <w:pPr>
        <w:spacing w:line="600" w:lineRule="exact"/>
        <w:jc w:val="center"/>
        <w:outlineLvl w:val="0"/>
        <w:rPr>
          <w:rFonts w:ascii="方正小标宋简体" w:hAnsi="宋体" w:eastAsia="方正小标宋简体"/>
          <w:color w:val="000000"/>
          <w:sz w:val="72"/>
          <w:szCs w:val="72"/>
        </w:rPr>
      </w:pPr>
    </w:p>
    <w:p w14:paraId="07F9CFA0">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1" w:name="_Toc15378441"/>
      <w:bookmarkStart w:id="2" w:name="_Toc15396475"/>
      <w:bookmarkStart w:id="3" w:name="_Toc15377425"/>
      <w:bookmarkStart w:id="4" w:name="_Toc15377193"/>
      <w:bookmarkStart w:id="5" w:name="_Toc15396597"/>
      <w:r>
        <w:rPr>
          <w:rFonts w:hint="eastAsia" w:ascii="方正小标宋简体" w:hAnsi="宋体" w:eastAsia="方正小标宋简体"/>
          <w:color w:val="000000"/>
          <w:sz w:val="72"/>
          <w:szCs w:val="72"/>
        </w:rPr>
        <w:t>2019年度</w:t>
      </w:r>
      <w:bookmarkEnd w:id="1"/>
      <w:bookmarkEnd w:id="2"/>
      <w:bookmarkEnd w:id="3"/>
      <w:bookmarkEnd w:id="4"/>
      <w:bookmarkEnd w:id="5"/>
    </w:p>
    <w:p w14:paraId="714BD70E">
      <w:pPr>
        <w:adjustRightInd w:val="0"/>
        <w:snapToGrid w:val="0"/>
        <w:spacing w:line="360" w:lineRule="auto"/>
        <w:jc w:val="center"/>
        <w:outlineLvl w:val="0"/>
        <w:rPr>
          <w:rFonts w:hint="default" w:ascii="方正小标宋简体" w:hAnsi="宋体" w:eastAsia="方正小标宋简体"/>
          <w:color w:val="000000"/>
          <w:sz w:val="72"/>
          <w:szCs w:val="72"/>
          <w:lang w:val="en-US" w:eastAsia="zh-CN"/>
        </w:rPr>
      </w:pPr>
      <w:bookmarkStart w:id="6" w:name="_Toc15396598"/>
      <w:bookmarkStart w:id="7" w:name="_Toc15377426"/>
      <w:bookmarkStart w:id="8" w:name="_Toc15377194"/>
      <w:bookmarkStart w:id="9" w:name="_Toc15378442"/>
      <w:bookmarkStart w:id="10" w:name="_Toc1539647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val="en-US" w:eastAsia="zh-CN"/>
        </w:rPr>
        <w:t>米易县新山傈僳族乡</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6B8366B8">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27FA6DDD">
      <w:pPr>
        <w:widowControl/>
        <w:jc w:val="center"/>
        <w:rPr>
          <w:rFonts w:ascii="黑体" w:hAnsi="黑体" w:eastAsia="黑体" w:cstheme="minorBidi"/>
          <w:sz w:val="28"/>
          <w:szCs w:val="28"/>
        </w:rPr>
      </w:pPr>
    </w:p>
    <w:p w14:paraId="37A7D0B9">
      <w:pPr>
        <w:pStyle w:val="12"/>
      </w:pPr>
      <w:r>
        <w:rPr>
          <w:rFonts w:hint="eastAsia"/>
        </w:rPr>
        <w:t>公开时间：2020年9月3日</w:t>
      </w:r>
    </w:p>
    <w:p w14:paraId="4FBCE4D0">
      <w:pPr>
        <w:pStyle w:val="2"/>
        <w:jc w:val="center"/>
        <w:rPr>
          <w:b/>
        </w:rPr>
      </w:pPr>
      <w:r>
        <w:fldChar w:fldCharType="begin"/>
      </w:r>
      <w:r>
        <w:instrText xml:space="preserve">TOC \o "1-2" \h \u </w:instrText>
      </w:r>
      <w:r>
        <w:fldChar w:fldCharType="separate"/>
      </w:r>
    </w:p>
    <w:p w14:paraId="3BA9BE97">
      <w:pPr>
        <w:pStyle w:val="32"/>
        <w:tabs>
          <w:tab w:val="right" w:leader="dot" w:pos="8306"/>
        </w:tabs>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fldChar w:fldCharType="begin"/>
      </w:r>
      <w:r>
        <w:rPr>
          <w:rFonts w:hint="eastAsia" w:ascii="仿宋_GB2312" w:hAnsi="仿宋_GB2312" w:eastAsia="仿宋_GB2312" w:cs="仿宋_GB2312"/>
          <w:b/>
          <w:sz w:val="28"/>
          <w:szCs w:val="28"/>
        </w:rPr>
        <w:instrText xml:space="preserve"> HYPERLINK \l _Toc18925 </w:instrText>
      </w:r>
      <w:r>
        <w:rPr>
          <w:rFonts w:hint="eastAsia" w:ascii="仿宋_GB2312" w:hAnsi="仿宋_GB2312" w:eastAsia="仿宋_GB2312" w:cs="仿宋_GB2312"/>
          <w:b/>
          <w:sz w:val="28"/>
          <w:szCs w:val="28"/>
        </w:rPr>
        <w:fldChar w:fldCharType="separate"/>
      </w:r>
      <w:r>
        <w:rPr>
          <w:rFonts w:hint="eastAsia" w:ascii="仿宋_GB2312" w:hAnsi="仿宋_GB2312" w:eastAsia="仿宋_GB2312" w:cs="仿宋_GB2312"/>
          <w:b/>
          <w:sz w:val="28"/>
          <w:szCs w:val="28"/>
          <w:lang w:val="en-US" w:eastAsia="zh-CN"/>
        </w:rPr>
        <w:t>第一部分 部门概况</w:t>
      </w:r>
      <w:r>
        <w:rPr>
          <w:rFonts w:hint="eastAsia" w:ascii="仿宋_GB2312" w:hAnsi="仿宋_GB2312" w:eastAsia="仿宋_GB2312" w:cs="仿宋_GB2312"/>
          <w:b/>
          <w:sz w:val="28"/>
          <w:szCs w:val="28"/>
        </w:rPr>
        <w:tab/>
      </w:r>
      <w:r>
        <w:rPr>
          <w:rFonts w:hint="eastAsia" w:ascii="仿宋_GB2312" w:hAnsi="仿宋_GB2312" w:eastAsia="仿宋_GB2312" w:cs="仿宋_GB2312"/>
          <w:b/>
          <w:sz w:val="28"/>
          <w:szCs w:val="28"/>
          <w:lang w:val="en-US" w:eastAsia="zh-CN"/>
        </w:rPr>
        <w:t>4</w:t>
      </w:r>
      <w:r>
        <w:rPr>
          <w:rFonts w:hint="eastAsia" w:ascii="仿宋_GB2312" w:hAnsi="仿宋_GB2312" w:eastAsia="仿宋_GB2312" w:cs="仿宋_GB2312"/>
          <w:b/>
          <w:sz w:val="28"/>
          <w:szCs w:val="28"/>
        </w:rPr>
        <w:fldChar w:fldCharType="end"/>
      </w:r>
    </w:p>
    <w:p w14:paraId="30172B8F">
      <w:pPr>
        <w:pStyle w:val="33"/>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_Toc28174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一、基本职能及主要工作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p>
    <w:p w14:paraId="56284647">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_Toc2595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二、机构设置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0</w:t>
      </w:r>
    </w:p>
    <w:p w14:paraId="551CE809">
      <w:pPr>
        <w:pStyle w:val="32"/>
        <w:tabs>
          <w:tab w:val="right" w:leader="dot" w:pos="8306"/>
        </w:tabs>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rPr>
        <w:fldChar w:fldCharType="begin"/>
      </w:r>
      <w:r>
        <w:rPr>
          <w:rFonts w:hint="eastAsia" w:ascii="仿宋_GB2312" w:hAnsi="仿宋_GB2312" w:eastAsia="仿宋_GB2312" w:cs="仿宋_GB2312"/>
          <w:b/>
          <w:sz w:val="28"/>
          <w:szCs w:val="28"/>
        </w:rPr>
        <w:instrText xml:space="preserve"> HYPERLINK \l _Toc9130 </w:instrText>
      </w:r>
      <w:r>
        <w:rPr>
          <w:rFonts w:hint="eastAsia" w:ascii="仿宋_GB2312" w:hAnsi="仿宋_GB2312" w:eastAsia="仿宋_GB2312" w:cs="仿宋_GB2312"/>
          <w:b/>
          <w:sz w:val="28"/>
          <w:szCs w:val="28"/>
        </w:rPr>
        <w:fldChar w:fldCharType="separate"/>
      </w:r>
      <w:r>
        <w:rPr>
          <w:rFonts w:hint="eastAsia" w:ascii="仿宋_GB2312" w:hAnsi="仿宋_GB2312" w:eastAsia="仿宋_GB2312" w:cs="仿宋_GB2312"/>
          <w:b/>
          <w:sz w:val="28"/>
          <w:szCs w:val="28"/>
          <w:lang w:val="en-US" w:eastAsia="zh-CN"/>
        </w:rPr>
        <w:t>第二部分 2019年度部门决算情况说明</w:t>
      </w:r>
      <w:r>
        <w:rPr>
          <w:rFonts w:hint="eastAsia" w:ascii="仿宋_GB2312" w:hAnsi="仿宋_GB2312" w:eastAsia="仿宋_GB2312" w:cs="仿宋_GB2312"/>
          <w:b/>
          <w:sz w:val="28"/>
          <w:szCs w:val="28"/>
        </w:rPr>
        <w:tab/>
      </w:r>
      <w:r>
        <w:rPr>
          <w:rFonts w:hint="eastAsia" w:ascii="仿宋_GB2312" w:hAnsi="仿宋_GB2312" w:eastAsia="仿宋_GB2312" w:cs="仿宋_GB2312"/>
          <w:b/>
          <w:sz w:val="28"/>
          <w:szCs w:val="28"/>
          <w:lang w:val="en-US" w:eastAsia="zh-CN"/>
        </w:rPr>
        <w:t>1</w:t>
      </w:r>
      <w:r>
        <w:rPr>
          <w:rFonts w:hint="eastAsia" w:ascii="仿宋_GB2312" w:hAnsi="仿宋_GB2312" w:eastAsia="仿宋_GB2312" w:cs="仿宋_GB2312"/>
          <w:b/>
          <w:sz w:val="28"/>
          <w:szCs w:val="28"/>
        </w:rPr>
        <w:fldChar w:fldCharType="end"/>
      </w:r>
      <w:r>
        <w:rPr>
          <w:rFonts w:hint="eastAsia" w:ascii="仿宋_GB2312" w:hAnsi="仿宋_GB2312" w:eastAsia="仿宋_GB2312" w:cs="仿宋_GB2312"/>
          <w:b/>
          <w:sz w:val="28"/>
          <w:szCs w:val="28"/>
          <w:lang w:val="en-US" w:eastAsia="zh-CN"/>
        </w:rPr>
        <w:t>1</w:t>
      </w:r>
    </w:p>
    <w:p w14:paraId="7BAC4E5F">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_Toc14382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一、收入支出决算总体情况说明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1</w:t>
      </w:r>
    </w:p>
    <w:p w14:paraId="758F681D">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_Toc6152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二、收入决算情况说明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3237F059">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_Toc7735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三、支出决算情况说明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2A9F7B42">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_Toc24744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财政拨款收入支出决算总体情况说明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3</w:t>
      </w:r>
    </w:p>
    <w:p w14:paraId="6026A60E">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_Toc1998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五、</w:t>
      </w:r>
      <w:r>
        <w:rPr>
          <w:rFonts w:hint="eastAsia" w:ascii="仿宋_GB2312" w:hAnsi="仿宋_GB2312" w:eastAsia="仿宋_GB2312" w:cs="仿宋_GB2312"/>
          <w:sz w:val="28"/>
          <w:szCs w:val="28"/>
        </w:rPr>
        <w:t>一般公共预算财政拨款支出决算情况说明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3</w:t>
      </w:r>
    </w:p>
    <w:p w14:paraId="6119A60D">
      <w:pPr>
        <w:pStyle w:val="33"/>
        <w:tabs>
          <w:tab w:val="right" w:leader="dot" w:pos="8306"/>
        </w:tabs>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_Toc16028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六、</w:t>
      </w:r>
      <w:r>
        <w:rPr>
          <w:rFonts w:hint="eastAsia" w:ascii="仿宋_GB2312" w:hAnsi="仿宋_GB2312" w:eastAsia="仿宋_GB2312" w:cs="仿宋_GB2312"/>
          <w:sz w:val="28"/>
          <w:szCs w:val="28"/>
        </w:rPr>
        <w:t>一般公共预算财政拨款基本支出决算情况说明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18</w:t>
      </w:r>
    </w:p>
    <w:p w14:paraId="1E2AAAC2">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_Toc28256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七、“三公”经费财政拨款支出决算情况说明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8</w:t>
      </w:r>
    </w:p>
    <w:p w14:paraId="6D8EED20">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_Toc6081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八、政府性基金预算支出决算情况说明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0</w:t>
      </w:r>
    </w:p>
    <w:p w14:paraId="79386725">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_Toc4614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九、国有资本经营预算支出决算情况说明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0</w:t>
      </w:r>
    </w:p>
    <w:p w14:paraId="174757F8">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_Toc7853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en-US" w:eastAsia="zh-CN"/>
        </w:rPr>
        <w:t>十、</w:t>
      </w:r>
      <w:r>
        <w:rPr>
          <w:rFonts w:hint="eastAsia" w:ascii="仿宋_GB2312" w:hAnsi="仿宋_GB2312" w:eastAsia="仿宋_GB2312" w:cs="仿宋_GB2312"/>
          <w:sz w:val="28"/>
          <w:szCs w:val="28"/>
        </w:rPr>
        <w:t>其他重要事项的情况说明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0</w:t>
      </w:r>
    </w:p>
    <w:p w14:paraId="51100345">
      <w:pPr>
        <w:pStyle w:val="32"/>
        <w:tabs>
          <w:tab w:val="right" w:leader="dot" w:pos="8306"/>
        </w:tabs>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rPr>
        <w:fldChar w:fldCharType="begin"/>
      </w:r>
      <w:r>
        <w:rPr>
          <w:rFonts w:hint="eastAsia" w:ascii="仿宋_GB2312" w:hAnsi="仿宋_GB2312" w:eastAsia="仿宋_GB2312" w:cs="仿宋_GB2312"/>
          <w:b/>
          <w:sz w:val="28"/>
          <w:szCs w:val="28"/>
        </w:rPr>
        <w:instrText xml:space="preserve"> HYPERLINK \l _Toc10815 </w:instrText>
      </w:r>
      <w:r>
        <w:rPr>
          <w:rFonts w:hint="eastAsia" w:ascii="仿宋_GB2312" w:hAnsi="仿宋_GB2312" w:eastAsia="仿宋_GB2312" w:cs="仿宋_GB2312"/>
          <w:b/>
          <w:sz w:val="28"/>
          <w:szCs w:val="28"/>
        </w:rPr>
        <w:fldChar w:fldCharType="separate"/>
      </w:r>
      <w:r>
        <w:rPr>
          <w:rFonts w:hint="eastAsia" w:ascii="仿宋_GB2312" w:hAnsi="仿宋_GB2312" w:eastAsia="仿宋_GB2312" w:cs="仿宋_GB2312"/>
          <w:b/>
          <w:sz w:val="28"/>
          <w:szCs w:val="28"/>
          <w:lang w:val="en-US" w:eastAsia="zh-CN"/>
        </w:rPr>
        <w:t>第三部分名词解释</w:t>
      </w:r>
      <w:r>
        <w:rPr>
          <w:rFonts w:hint="eastAsia" w:ascii="仿宋_GB2312" w:hAnsi="仿宋_GB2312" w:eastAsia="仿宋_GB2312" w:cs="仿宋_GB2312"/>
          <w:b/>
          <w:sz w:val="28"/>
          <w:szCs w:val="28"/>
        </w:rPr>
        <w:tab/>
      </w:r>
      <w:r>
        <w:rPr>
          <w:rFonts w:hint="eastAsia" w:ascii="仿宋_GB2312" w:hAnsi="仿宋_GB2312" w:eastAsia="仿宋_GB2312" w:cs="仿宋_GB2312"/>
          <w:b/>
          <w:sz w:val="28"/>
          <w:szCs w:val="28"/>
          <w:lang w:val="en-US" w:eastAsia="zh-CN"/>
        </w:rPr>
        <w:t>2</w:t>
      </w:r>
      <w:r>
        <w:rPr>
          <w:rFonts w:hint="eastAsia" w:ascii="仿宋_GB2312" w:hAnsi="仿宋_GB2312" w:eastAsia="仿宋_GB2312" w:cs="仿宋_GB2312"/>
          <w:b/>
          <w:sz w:val="28"/>
          <w:szCs w:val="28"/>
        </w:rPr>
        <w:fldChar w:fldCharType="end"/>
      </w:r>
      <w:r>
        <w:rPr>
          <w:rFonts w:hint="eastAsia" w:ascii="仿宋_GB2312" w:hAnsi="仿宋_GB2312" w:eastAsia="仿宋_GB2312" w:cs="仿宋_GB2312"/>
          <w:b/>
          <w:sz w:val="28"/>
          <w:szCs w:val="28"/>
          <w:lang w:val="en-US" w:eastAsia="zh-CN"/>
        </w:rPr>
        <w:t>5</w:t>
      </w:r>
    </w:p>
    <w:p w14:paraId="534C969A">
      <w:pPr>
        <w:pStyle w:val="32"/>
        <w:tabs>
          <w:tab w:val="right" w:leader="dot" w:pos="8306"/>
        </w:tabs>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rPr>
        <w:fldChar w:fldCharType="begin"/>
      </w:r>
      <w:r>
        <w:rPr>
          <w:rFonts w:hint="eastAsia" w:ascii="仿宋_GB2312" w:hAnsi="仿宋_GB2312" w:eastAsia="仿宋_GB2312" w:cs="仿宋_GB2312"/>
          <w:b/>
          <w:sz w:val="28"/>
          <w:szCs w:val="28"/>
        </w:rPr>
        <w:instrText xml:space="preserve"> HYPERLINK \l _Toc18212 </w:instrText>
      </w:r>
      <w:r>
        <w:rPr>
          <w:rFonts w:hint="eastAsia" w:ascii="仿宋_GB2312" w:hAnsi="仿宋_GB2312" w:eastAsia="仿宋_GB2312" w:cs="仿宋_GB2312"/>
          <w:b/>
          <w:sz w:val="28"/>
          <w:szCs w:val="28"/>
        </w:rPr>
        <w:fldChar w:fldCharType="separate"/>
      </w:r>
      <w:r>
        <w:rPr>
          <w:rFonts w:hint="eastAsia" w:ascii="仿宋_GB2312" w:hAnsi="仿宋_GB2312" w:eastAsia="仿宋_GB2312" w:cs="仿宋_GB2312"/>
          <w:b/>
          <w:sz w:val="28"/>
          <w:szCs w:val="28"/>
        </w:rPr>
        <w:t>第四部分 附件</w:t>
      </w:r>
      <w:r>
        <w:rPr>
          <w:rFonts w:hint="eastAsia" w:ascii="仿宋_GB2312" w:hAnsi="仿宋_GB2312" w:eastAsia="仿宋_GB2312" w:cs="仿宋_GB2312"/>
          <w:b/>
          <w:sz w:val="28"/>
          <w:szCs w:val="28"/>
        </w:rPr>
        <w:tab/>
      </w:r>
      <w:r>
        <w:rPr>
          <w:rFonts w:hint="eastAsia" w:ascii="仿宋_GB2312" w:hAnsi="仿宋_GB2312" w:eastAsia="仿宋_GB2312" w:cs="仿宋_GB2312"/>
          <w:b/>
          <w:sz w:val="28"/>
          <w:szCs w:val="28"/>
          <w:lang w:val="en-US" w:eastAsia="zh-CN"/>
        </w:rPr>
        <w:t>3</w:t>
      </w:r>
      <w:r>
        <w:rPr>
          <w:rFonts w:hint="eastAsia" w:ascii="仿宋_GB2312" w:hAnsi="仿宋_GB2312" w:eastAsia="仿宋_GB2312" w:cs="仿宋_GB2312"/>
          <w:b/>
          <w:sz w:val="28"/>
          <w:szCs w:val="28"/>
        </w:rPr>
        <w:fldChar w:fldCharType="end"/>
      </w:r>
      <w:r>
        <w:rPr>
          <w:rFonts w:hint="eastAsia" w:ascii="仿宋_GB2312" w:hAnsi="仿宋_GB2312" w:eastAsia="仿宋_GB2312" w:cs="仿宋_GB2312"/>
          <w:b/>
          <w:sz w:val="28"/>
          <w:szCs w:val="28"/>
          <w:lang w:val="en-US" w:eastAsia="zh-CN"/>
        </w:rPr>
        <w:t>0</w:t>
      </w:r>
    </w:p>
    <w:p w14:paraId="656F3C40">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_Toc29974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附件1</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0</w:t>
      </w:r>
    </w:p>
    <w:p w14:paraId="377B543B">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_Toc21261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附件2</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4</w:t>
      </w:r>
    </w:p>
    <w:p w14:paraId="1BB6A4FB">
      <w:pPr>
        <w:pStyle w:val="32"/>
        <w:tabs>
          <w:tab w:val="right" w:leader="dot" w:pos="8306"/>
        </w:tabs>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rPr>
        <w:fldChar w:fldCharType="begin"/>
      </w:r>
      <w:r>
        <w:rPr>
          <w:rFonts w:hint="eastAsia" w:ascii="仿宋_GB2312" w:hAnsi="仿宋_GB2312" w:eastAsia="仿宋_GB2312" w:cs="仿宋_GB2312"/>
          <w:b/>
          <w:sz w:val="28"/>
          <w:szCs w:val="28"/>
        </w:rPr>
        <w:instrText xml:space="preserve"> HYPERLINK \l _Toc25664 </w:instrText>
      </w:r>
      <w:r>
        <w:rPr>
          <w:rFonts w:hint="eastAsia" w:ascii="仿宋_GB2312" w:hAnsi="仿宋_GB2312" w:eastAsia="仿宋_GB2312" w:cs="仿宋_GB2312"/>
          <w:b/>
          <w:sz w:val="28"/>
          <w:szCs w:val="28"/>
        </w:rPr>
        <w:fldChar w:fldCharType="separate"/>
      </w:r>
      <w:r>
        <w:rPr>
          <w:rFonts w:hint="eastAsia" w:ascii="仿宋_GB2312" w:hAnsi="仿宋_GB2312" w:eastAsia="仿宋_GB2312" w:cs="仿宋_GB2312"/>
          <w:b/>
          <w:sz w:val="28"/>
          <w:szCs w:val="28"/>
        </w:rPr>
        <w:t>第五部分 附表</w:t>
      </w:r>
      <w:r>
        <w:rPr>
          <w:rFonts w:hint="eastAsia" w:ascii="仿宋_GB2312" w:hAnsi="仿宋_GB2312" w:eastAsia="仿宋_GB2312" w:cs="仿宋_GB2312"/>
          <w:b/>
          <w:sz w:val="28"/>
          <w:szCs w:val="28"/>
        </w:rPr>
        <w:tab/>
      </w:r>
      <w:r>
        <w:rPr>
          <w:rFonts w:hint="eastAsia" w:ascii="仿宋_GB2312" w:hAnsi="仿宋_GB2312" w:eastAsia="仿宋_GB2312" w:cs="仿宋_GB2312"/>
          <w:b/>
          <w:sz w:val="28"/>
          <w:szCs w:val="28"/>
          <w:lang w:val="en-US" w:eastAsia="zh-CN"/>
        </w:rPr>
        <w:t>4</w:t>
      </w:r>
      <w:r>
        <w:rPr>
          <w:rFonts w:hint="eastAsia" w:ascii="仿宋_GB2312" w:hAnsi="仿宋_GB2312" w:eastAsia="仿宋_GB2312" w:cs="仿宋_GB2312"/>
          <w:b/>
          <w:sz w:val="28"/>
          <w:szCs w:val="28"/>
        </w:rPr>
        <w:fldChar w:fldCharType="end"/>
      </w:r>
      <w:r>
        <w:rPr>
          <w:rFonts w:hint="eastAsia" w:ascii="仿宋_GB2312" w:hAnsi="仿宋_GB2312" w:eastAsia="仿宋_GB2312" w:cs="仿宋_GB2312"/>
          <w:b/>
          <w:sz w:val="28"/>
          <w:szCs w:val="28"/>
          <w:lang w:val="en-US" w:eastAsia="zh-CN"/>
        </w:rPr>
        <w:t>2</w:t>
      </w:r>
    </w:p>
    <w:p w14:paraId="3E7D65A2">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_Toc10888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一、收入支出决算总表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1AA007F7">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_Toc8617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二、收入决算表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7EE81283">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_Toc26698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三、支出决算表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1219845C">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_Toc12943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四、财政拨款收入支出决算总表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59346B02">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_Toc21176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五、财政拨款支出决算明细表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52753184">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_Toc10496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六、一般公共预算财政拨款支出决算表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35C6A18B">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_Toc9931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七、一般公共预算财政拨款支出决算明细表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31F859EB">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_Toc31922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八、一般公共预算财政拨款基本支出决算表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20D018E7">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_Toc22932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九、一般公共预算财政拨款项目支出决算表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4EFB8FEE">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_Toc474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十、一般公共预算财政拨款“三公”经费支出决算表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08CA8FD5">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_Toc31799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十一、政府性基金预算财政拨款收入支出决算表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0B13313B">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_Toc25539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十二、政府性基金预算财政拨款“三公”经费支出决算表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718EC58F">
      <w:pPr>
        <w:pStyle w:val="33"/>
        <w:tabs>
          <w:tab w:val="right" w:leader="dot" w:pos="8306"/>
        </w:tabs>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_Toc22689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十三、国有资本经营预算支出决算表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4D3D9D6E">
      <w:pPr>
        <w:pStyle w:val="33"/>
        <w:tabs>
          <w:tab w:val="right" w:leader="dot" w:pos="8306"/>
        </w:tabs>
        <w:rPr>
          <w:rFonts w:hint="eastAsia" w:eastAsia="仿宋_GB2312"/>
          <w:lang w:val="en-US" w:eastAsia="zh-CN"/>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_Toc10550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lang w:val="en-US" w:eastAsia="zh-CN"/>
        </w:rPr>
        <w:t>十四、机关运行经费、资产占用情况及政府采购支出信息表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2</w:t>
      </w:r>
    </w:p>
    <w:p w14:paraId="26D9AC94">
      <w:pPr>
        <w:rPr>
          <w:b/>
        </w:rPr>
      </w:pPr>
      <w:r>
        <w:rPr>
          <w:b/>
        </w:rPr>
        <w:fldChar w:fldCharType="end"/>
      </w:r>
    </w:p>
    <w:p w14:paraId="1833D736">
      <w:pPr>
        <w:rPr>
          <w:b/>
        </w:rPr>
      </w:pPr>
    </w:p>
    <w:p w14:paraId="28E76C02">
      <w:pPr>
        <w:rPr>
          <w:b/>
        </w:rPr>
      </w:pPr>
    </w:p>
    <w:p w14:paraId="783615E1">
      <w:pPr>
        <w:rPr>
          <w:rFonts w:hint="eastAsia"/>
          <w:b/>
          <w:lang w:val="en-US" w:eastAsia="zh-CN"/>
        </w:rPr>
      </w:pPr>
    </w:p>
    <w:p w14:paraId="77E48EFB"/>
    <w:p w14:paraId="3E4ECF4C">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2315DFC7">
      <w:pPr>
        <w:pStyle w:val="3"/>
        <w:jc w:val="center"/>
        <w:rPr>
          <w:rFonts w:ascii="黑体" w:eastAsia="黑体"/>
          <w:color w:val="000000"/>
          <w:sz w:val="32"/>
          <w:szCs w:val="32"/>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14:paraId="645980C0">
      <w:pPr>
        <w:pStyle w:val="4"/>
        <w:rPr>
          <w:rStyle w:val="27"/>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14:paraId="162AC1BF">
      <w:pPr>
        <w:pStyle w:val="7"/>
        <w:adjustRightInd w:val="0"/>
        <w:snapToGrid w:val="0"/>
        <w:spacing w:before="93" w:line="600" w:lineRule="exact"/>
        <w:ind w:firstLine="640" w:firstLineChars="20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p>
    <w:bookmarkEnd w:id="16"/>
    <w:bookmarkEnd w:id="17"/>
    <w:p w14:paraId="46220537">
      <w:pPr>
        <w:widowControl/>
        <w:shd w:val="clear" w:color="auto" w:fill="FFFFFF"/>
        <w:spacing w:line="600" w:lineRule="exact"/>
        <w:ind w:firstLine="640" w:firstLineChars="200"/>
        <w:jc w:val="left"/>
        <w:rPr>
          <w:rFonts w:hint="eastAsia" w:ascii="仿宋" w:hAnsi="仿宋" w:eastAsia="仿宋"/>
          <w:color w:val="000000"/>
          <w:sz w:val="32"/>
          <w:szCs w:val="32"/>
          <w:lang w:eastAsia="zh-CN"/>
        </w:rPr>
      </w:pPr>
      <w:bookmarkStart w:id="18" w:name="_Toc15378446"/>
      <w:bookmarkStart w:id="19" w:name="_Toc15377199"/>
      <w:r>
        <w:rPr>
          <w:rFonts w:hint="eastAsia" w:ascii="仿宋" w:hAnsi="仿宋" w:eastAsia="仿宋"/>
          <w:color w:val="000000"/>
          <w:sz w:val="32"/>
          <w:szCs w:val="32"/>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）落实国家政策，严格依法行政，发挥经济管理职能，加强政策引导，制定发展规划，服务市场主体和营造发展环境，搞好市场监管，大力促进社会事业发展，发展</w:t>
      </w:r>
      <w:r>
        <w:rPr>
          <w:rFonts w:hint="eastAsia" w:ascii="仿宋" w:hAnsi="仿宋" w:eastAsia="仿宋"/>
          <w:color w:val="000000"/>
          <w:sz w:val="32"/>
          <w:szCs w:val="32"/>
          <w:lang w:eastAsia="zh-CN"/>
        </w:rPr>
        <w:t>乡</w:t>
      </w:r>
      <w:r>
        <w:rPr>
          <w:rFonts w:hint="eastAsia" w:ascii="仿宋" w:hAnsi="仿宋" w:eastAsia="仿宋"/>
          <w:color w:val="000000"/>
          <w:sz w:val="32"/>
          <w:szCs w:val="32"/>
        </w:rPr>
        <w:t>村经济、文化和社会事业，提供公共服务，维护社会稳定，构建社会主义和谐社会</w:t>
      </w:r>
      <w:r>
        <w:rPr>
          <w:rFonts w:hint="eastAsia" w:ascii="仿宋" w:hAnsi="仿宋" w:eastAsia="仿宋"/>
          <w:color w:val="000000"/>
          <w:sz w:val="32"/>
          <w:szCs w:val="32"/>
          <w:lang w:eastAsia="zh-CN"/>
        </w:rPr>
        <w:t>；</w:t>
      </w:r>
    </w:p>
    <w:p w14:paraId="49E14742">
      <w:pPr>
        <w:widowControl/>
        <w:shd w:val="clear" w:color="auto" w:fill="FFFFFF"/>
        <w:spacing w:line="600" w:lineRule="exact"/>
        <w:ind w:firstLine="640" w:firstLineChars="200"/>
        <w:jc w:val="left"/>
        <w:rPr>
          <w:rFonts w:hint="eastAsia" w:ascii="仿宋" w:hAnsi="仿宋" w:eastAsia="仿宋"/>
          <w:color w:val="000000"/>
          <w:sz w:val="32"/>
          <w:szCs w:val="32"/>
        </w:rPr>
      </w:pPr>
      <w:r>
        <w:rPr>
          <w:rFonts w:hint="eastAsia" w:ascii="仿宋" w:hAnsi="仿宋" w:eastAsia="仿宋"/>
          <w:color w:val="000000"/>
          <w:sz w:val="32"/>
          <w:szCs w:val="32"/>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）执行本级人民代表大会的决议和上级国家行政机关的决定和命令，发布决定和命令;</w:t>
      </w:r>
    </w:p>
    <w:p w14:paraId="4D6B861D">
      <w:pPr>
        <w:widowControl/>
        <w:shd w:val="clear" w:color="auto" w:fill="FFFFFF"/>
        <w:spacing w:line="600" w:lineRule="exact"/>
        <w:ind w:firstLine="640" w:firstLineChars="200"/>
        <w:jc w:val="left"/>
        <w:rPr>
          <w:rFonts w:hint="eastAsia" w:ascii="仿宋" w:hAnsi="仿宋" w:eastAsia="仿宋"/>
          <w:color w:val="000000"/>
          <w:sz w:val="32"/>
          <w:szCs w:val="32"/>
        </w:rPr>
      </w:pPr>
      <w:r>
        <w:rPr>
          <w:rFonts w:hint="eastAsia" w:ascii="仿宋" w:hAnsi="仿宋" w:eastAsia="仿宋"/>
          <w:color w:val="000000"/>
          <w:sz w:val="32"/>
          <w:szCs w:val="32"/>
        </w:rPr>
        <w:t>（</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）执行本行政区域内的经济和社会发展计划、预算，管理本行政区域内的经济、教育、科学、文化、卫生、体育事业和财政、民政、公安、司法行政、计划生育等行政工作;</w:t>
      </w:r>
    </w:p>
    <w:p w14:paraId="7A14DC3C">
      <w:pPr>
        <w:widowControl/>
        <w:shd w:val="clear" w:color="auto" w:fill="FFFFFF"/>
        <w:spacing w:line="600" w:lineRule="exact"/>
        <w:ind w:firstLine="640" w:firstLineChars="200"/>
        <w:jc w:val="left"/>
        <w:rPr>
          <w:rFonts w:hint="eastAsia" w:ascii="仿宋" w:hAnsi="仿宋" w:eastAsia="仿宋"/>
          <w:color w:val="000000"/>
          <w:sz w:val="32"/>
          <w:szCs w:val="32"/>
        </w:rPr>
      </w:pPr>
      <w:r>
        <w:rPr>
          <w:rFonts w:hint="eastAsia" w:ascii="仿宋" w:hAnsi="仿宋" w:eastAsia="仿宋"/>
          <w:color w:val="000000"/>
          <w:sz w:val="32"/>
          <w:szCs w:val="32"/>
        </w:rPr>
        <w:t>（</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）保护社会主义的全民所有的财产和劳动群众集体所有的财产，保护公民私人所有的合法财产，维护社会秩序，保障公民的人身权利、民主权利和其他权利;</w:t>
      </w:r>
    </w:p>
    <w:p w14:paraId="41A1DE0F">
      <w:pPr>
        <w:widowControl/>
        <w:shd w:val="clear" w:color="auto" w:fill="FFFFFF"/>
        <w:spacing w:line="600" w:lineRule="exact"/>
        <w:ind w:firstLine="640" w:firstLineChars="200"/>
        <w:jc w:val="left"/>
        <w:rPr>
          <w:rFonts w:hint="eastAsia" w:ascii="仿宋" w:hAnsi="仿宋" w:eastAsia="仿宋"/>
          <w:color w:val="000000"/>
          <w:sz w:val="32"/>
          <w:szCs w:val="32"/>
        </w:rPr>
      </w:pPr>
      <w:r>
        <w:rPr>
          <w:rFonts w:hint="eastAsia" w:ascii="仿宋" w:hAnsi="仿宋" w:eastAsia="仿宋"/>
          <w:color w:val="000000"/>
          <w:sz w:val="32"/>
          <w:szCs w:val="32"/>
        </w:rPr>
        <w:t>（</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）保护各种经济组织的合法权益;</w:t>
      </w:r>
    </w:p>
    <w:p w14:paraId="769A1554">
      <w:pPr>
        <w:widowControl/>
        <w:shd w:val="clear" w:color="auto" w:fill="FFFFFF"/>
        <w:spacing w:line="600" w:lineRule="exact"/>
        <w:ind w:firstLine="640" w:firstLineChars="200"/>
        <w:jc w:val="left"/>
        <w:rPr>
          <w:rFonts w:hint="eastAsia" w:ascii="仿宋" w:hAnsi="仿宋" w:eastAsia="仿宋"/>
          <w:color w:val="000000"/>
          <w:sz w:val="32"/>
          <w:szCs w:val="32"/>
          <w:lang w:eastAsia="zh-CN"/>
        </w:rPr>
      </w:pPr>
      <w:r>
        <w:rPr>
          <w:rFonts w:hint="eastAsia" w:ascii="仿宋" w:hAnsi="仿宋" w:eastAsia="仿宋"/>
          <w:color w:val="000000"/>
          <w:sz w:val="32"/>
          <w:szCs w:val="32"/>
        </w:rPr>
        <w:t>（</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）保障少数民族的权利和尊重少数民族的风俗习</w:t>
      </w:r>
      <w:r>
        <w:rPr>
          <w:rFonts w:hint="eastAsia" w:ascii="仿宋" w:hAnsi="仿宋" w:eastAsia="仿宋"/>
          <w:color w:val="000000"/>
          <w:sz w:val="32"/>
          <w:szCs w:val="32"/>
          <w:lang w:eastAsia="zh-CN"/>
        </w:rPr>
        <w:t>惯；</w:t>
      </w:r>
    </w:p>
    <w:p w14:paraId="7B0AB0CE">
      <w:pPr>
        <w:widowControl/>
        <w:shd w:val="clear" w:color="auto" w:fill="FFFFFF"/>
        <w:spacing w:line="600" w:lineRule="exact"/>
        <w:ind w:firstLine="640" w:firstLineChars="200"/>
        <w:jc w:val="left"/>
        <w:rPr>
          <w:rFonts w:hint="eastAsia" w:ascii="仿宋" w:hAnsi="仿宋" w:eastAsia="仿宋"/>
          <w:color w:val="000000"/>
          <w:sz w:val="32"/>
          <w:szCs w:val="32"/>
        </w:rPr>
      </w:pPr>
      <w:r>
        <w:rPr>
          <w:rFonts w:hint="eastAsia" w:ascii="仿宋" w:hAnsi="仿宋" w:eastAsia="仿宋"/>
          <w:color w:val="000000"/>
          <w:sz w:val="32"/>
          <w:szCs w:val="32"/>
        </w:rPr>
        <w:t>（</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）办理上级县委、县政府政府交办的其他事项。</w:t>
      </w:r>
    </w:p>
    <w:p w14:paraId="5C6B51A8">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14:paraId="56ECCEE5">
      <w:pPr>
        <w:widowControl/>
        <w:shd w:val="clear" w:color="auto" w:fill="FFFFFF"/>
        <w:spacing w:line="600" w:lineRule="exact"/>
        <w:ind w:firstLine="643" w:firstLineChars="200"/>
        <w:jc w:val="left"/>
        <w:rPr>
          <w:rFonts w:hint="eastAsia" w:ascii="仿宋" w:hAnsi="仿宋" w:eastAsia="仿宋"/>
          <w:color w:val="000000"/>
          <w:sz w:val="32"/>
          <w:szCs w:val="32"/>
        </w:rPr>
      </w:pPr>
      <w:r>
        <w:rPr>
          <w:rFonts w:hint="eastAsia" w:eastAsia="方正楷体_GBK"/>
          <w:b/>
          <w:bCs/>
          <w:sz w:val="32"/>
          <w:szCs w:val="32"/>
        </w:rPr>
        <w:t>（一）团结一心，经济总量迈向新台阶。</w:t>
      </w:r>
      <w:r>
        <w:rPr>
          <w:rFonts w:hint="eastAsia" w:ascii="仿宋" w:hAnsi="仿宋" w:eastAsia="仿宋"/>
          <w:color w:val="000000"/>
          <w:sz w:val="32"/>
          <w:szCs w:val="32"/>
        </w:rPr>
        <w:t>2019年预计实现第一产业生产总值7300万元；第二产业生产总值4778万元，第三产业生产总值6174万元；完成固定资产投资2.5亿元，完成招商引资2.5亿元。农民人均可支配收入19735元，全乡2019年GDP总量为18167万元。</w:t>
      </w:r>
    </w:p>
    <w:p w14:paraId="2D665CA5">
      <w:pPr>
        <w:spacing w:line="600" w:lineRule="exact"/>
        <w:ind w:firstLine="643" w:firstLineChars="200"/>
        <w:rPr>
          <w:rFonts w:hint="eastAsia" w:ascii="仿宋" w:hAnsi="仿宋" w:eastAsia="仿宋"/>
          <w:color w:val="000000"/>
          <w:sz w:val="32"/>
          <w:szCs w:val="32"/>
        </w:rPr>
      </w:pPr>
      <w:r>
        <w:rPr>
          <w:rFonts w:hint="eastAsia" w:eastAsia="方正楷体_GBK"/>
          <w:b/>
          <w:bCs/>
          <w:sz w:val="32"/>
          <w:szCs w:val="32"/>
        </w:rPr>
        <w:t>（二）埋头苦干，进一步优化产业结构</w:t>
      </w:r>
      <w:r>
        <w:rPr>
          <w:rFonts w:eastAsia="方正楷体_GBK"/>
          <w:b/>
          <w:bCs/>
          <w:sz w:val="32"/>
          <w:szCs w:val="32"/>
        </w:rPr>
        <w:t>。</w:t>
      </w:r>
      <w:r>
        <w:rPr>
          <w:rFonts w:hint="eastAsia" w:ascii="仿宋" w:hAnsi="仿宋" w:eastAsia="仿宋"/>
          <w:color w:val="000000"/>
          <w:sz w:val="32"/>
          <w:szCs w:val="32"/>
        </w:rPr>
        <w:t>大力开展农业产业结构调整，促进农业增效和农民增收。坚决落实传统农业向现代农业转变，突出“一村一品”特色，通过支部引领、合作社推动、党员带头、群众参与方式，大力发展芒果、核桃、烤烟等特色产业，农村经济得到长足发展，农民收入持续提高。发展早春蔬菜2070余亩，产值7762万元；烤烟种植5900亩，交售烟叶15200担，产值2050万元；芒果种植12600亩，全年销售1600余吨，销售额2200万元；核桃种植12800亩，全年销售500余吨，销售额250余万元。新山芒果、核桃、香米等新山农产品知名度不断提升，特色产业初具规模，新山象牙菜获得有机产品认证。在全县率先推进了农村集体产权制度改革工作。</w:t>
      </w:r>
    </w:p>
    <w:p w14:paraId="79A7FDCA">
      <w:pPr>
        <w:spacing w:line="600" w:lineRule="exact"/>
        <w:ind w:firstLine="643" w:firstLineChars="200"/>
        <w:textAlignment w:val="baseline"/>
        <w:rPr>
          <w:rFonts w:hint="eastAsia" w:ascii="仿宋" w:hAnsi="仿宋" w:eastAsia="仿宋"/>
          <w:color w:val="000000"/>
          <w:sz w:val="32"/>
          <w:szCs w:val="32"/>
        </w:rPr>
      </w:pPr>
      <w:r>
        <w:rPr>
          <w:rFonts w:hint="eastAsia" w:eastAsia="方正楷体_GBK"/>
          <w:b/>
          <w:bCs/>
          <w:sz w:val="32"/>
          <w:szCs w:val="32"/>
        </w:rPr>
        <w:t>（三）筑巢引凤，打造康养旅游特色乡镇</w:t>
      </w:r>
      <w:r>
        <w:rPr>
          <w:rFonts w:eastAsia="方正楷体_GBK"/>
          <w:b/>
          <w:bCs/>
          <w:sz w:val="32"/>
          <w:szCs w:val="32"/>
        </w:rPr>
        <w:t>。</w:t>
      </w:r>
      <w:r>
        <w:rPr>
          <w:rFonts w:hint="eastAsia" w:ascii="仿宋" w:hAnsi="仿宋" w:eastAsia="仿宋"/>
          <w:color w:val="000000"/>
          <w:sz w:val="32"/>
          <w:szCs w:val="32"/>
        </w:rPr>
        <w:t>深入贯彻县党代会确定的新山全域旅游发展目标，结合米易太阳谷、米易时光田园综合体项目和米易傈僳梯田等景区建设，全力推动乡村旅游发展。东方太阳谷“花山果海”景区初具规模，全年接待游客20万人次。2019年完成了2.5公里梯田观光栈道，傈僳族祖居博物馆已完成主体建设，20套特色民居已建设完成，傈僳天街已完成主体工程建设。芦笙客栈正在升级改造。2019年我乡先后承办了“清凉度假•在米易（第二季）”等市县各种大型特色节庆活动20余场，新山村充分发挥全市青少年教育体验点作用，积极组织青少年到新山开展社会实践活动千余人次。全乡全年共接待游客40余万人，带来经济收入约2000万元，为贫困户提供就业岗位50余个。乡村旅游规模进一步扩大，景区基础建设日趋成熟。</w:t>
      </w:r>
    </w:p>
    <w:p w14:paraId="4C0D5D7A">
      <w:pPr>
        <w:spacing w:line="600" w:lineRule="exact"/>
        <w:ind w:firstLine="643" w:firstLineChars="200"/>
        <w:rPr>
          <w:rFonts w:hint="eastAsia" w:ascii="仿宋" w:hAnsi="仿宋" w:eastAsia="仿宋"/>
          <w:color w:val="000000"/>
          <w:sz w:val="32"/>
          <w:szCs w:val="32"/>
        </w:rPr>
      </w:pPr>
      <w:r>
        <w:rPr>
          <w:rFonts w:hint="eastAsia" w:eastAsia="方正楷体_GBK"/>
          <w:b/>
          <w:bCs/>
          <w:color w:val="000000"/>
          <w:kern w:val="0"/>
          <w:sz w:val="32"/>
          <w:szCs w:val="32"/>
        </w:rPr>
        <w:t>（四）发起总攻，坚决打赢脱贫攻坚战役</w:t>
      </w:r>
      <w:r>
        <w:rPr>
          <w:rFonts w:eastAsia="方正楷体_GBK"/>
          <w:b/>
          <w:bCs/>
          <w:color w:val="000000"/>
          <w:kern w:val="0"/>
          <w:sz w:val="32"/>
          <w:szCs w:val="32"/>
        </w:rPr>
        <w:t>。</w:t>
      </w:r>
      <w:r>
        <w:rPr>
          <w:rFonts w:hint="eastAsia" w:ascii="仿宋" w:hAnsi="仿宋" w:eastAsia="仿宋"/>
          <w:color w:val="000000"/>
          <w:sz w:val="32"/>
          <w:szCs w:val="32"/>
        </w:rPr>
        <w:t>我乡始终把脱贫攻坚工作当作首要任务来抓。突出抓好政策落实、责任落实、工作落实,巩固脱贫攻坚成果。一是抓好政策落实。加强对脱贫户的后期扶持和帮助，因户制定发展规划，找到适合自身的发展路子，增加其内在发展动力，确保群众增收，全面、足额、高效地落实现有的扶贫政策，持续加大帮扶力度，落实扶贫政策，凝聚攻坚合力，拓宽增收渠道，确保贫困户稳定增收、稳定脱贫。认真落实贫困学生资助政策；落实好城乡居民基本医疗保险制度、大病保险制度、大病补充医疗保险制度、医疗救助制度和第五道医疗保障线兜底医疗保障制度。加快村级集体经济发展，力争新山村集体经济收入达10万元以上。二是抓好工作落实。新修新山村8组村组公路1.7公里，9组的村组公路1公里、坪山村新开工修建通村公路2.2公里，坪山村9组村组公路1.7公里。所有贫困户通电、通水、通信号。全面开展农村低保对象核查清理，将符合条件的对象分别纳入农村特困、农村低保范围，不符合低保条件的予以清退，加快推动农村低保标准与贫困线标准“两线合一”。积极协调各方力量，拓宽贫困户中有劳动能力人员的就业渠道。大力实施产业扶贫，对部分已脱贫户实施到户产业增收项目，巩固脱贫成效。三是抓好责任落实。进一步加强精准扶贫工作宣传力度，认真研究谋划，创新宣传方式，营造人人关心扶贫、人人重视扶贫、人人支持扶贫、人人参与扶贫的良好氛围。扶贫干部认清形势，高度重视，提高政治站位，切实增强责任感，不断压实包村组长对所在村脱贫攻坚工作的领导责任；压实村“两委”守土之责，充分发挥村党组织作用，调动村“两委”成员、广大党员参与脱贫攻坚的积极性、主动性；压实第一书记和帮扶责任人的帮扶责任。</w:t>
      </w:r>
    </w:p>
    <w:p w14:paraId="52EFAF07">
      <w:pPr>
        <w:spacing w:line="600" w:lineRule="exact"/>
        <w:ind w:firstLine="643" w:firstLineChars="200"/>
        <w:rPr>
          <w:rFonts w:hint="eastAsia" w:ascii="仿宋" w:hAnsi="仿宋" w:eastAsia="仿宋"/>
          <w:color w:val="000000"/>
          <w:sz w:val="32"/>
          <w:szCs w:val="32"/>
        </w:rPr>
      </w:pPr>
      <w:r>
        <w:rPr>
          <w:rFonts w:hint="eastAsia" w:eastAsia="方正楷体_GBK"/>
          <w:b/>
          <w:bCs/>
          <w:color w:val="000000"/>
          <w:kern w:val="0"/>
          <w:sz w:val="32"/>
          <w:szCs w:val="32"/>
        </w:rPr>
        <w:t>（五）</w:t>
      </w:r>
      <w:r>
        <w:rPr>
          <w:rFonts w:eastAsia="方正楷体_GBK"/>
          <w:b/>
          <w:bCs/>
          <w:color w:val="000000"/>
          <w:kern w:val="0"/>
          <w:sz w:val="32"/>
          <w:szCs w:val="32"/>
        </w:rPr>
        <w:t>惠民生、促和谐，民生事业持续增强</w:t>
      </w:r>
      <w:r>
        <w:rPr>
          <w:rFonts w:eastAsia="方正仿宋_GBK"/>
          <w:color w:val="2B2B2B"/>
          <w:kern w:val="0"/>
          <w:sz w:val="32"/>
          <w:szCs w:val="32"/>
        </w:rPr>
        <w:t>。</w:t>
      </w:r>
      <w:r>
        <w:rPr>
          <w:rFonts w:hint="eastAsia" w:ascii="仿宋" w:hAnsi="仿宋" w:eastAsia="仿宋"/>
          <w:color w:val="000000"/>
          <w:sz w:val="32"/>
          <w:szCs w:val="32"/>
        </w:rPr>
        <w:t>坚持教育卫生事业优先发展，吸引社会力量为新山乡贫困学生捐资助学7万余元。全面完成劳动保障工作目标任务，城乡养老保险续保参保4207人，完成率100%，全年发放职业培训补贴11人5280元，完成下达劳动就业及培训目标。评选享受最低生活保障户112户232人，发放低保金42.0534万元，发放分散特困人员供养资金42人24.882万元，发放医疗救助28人90511元、发放优抚资金27.1678万元、发放高龄津贴39600元、发放临救68100元，计划生育工作持续推进，全乡全年出生80人，死亡51人，女性“两癌”筛查320人次，发放计划生育奖励金21.112万元，为71名残疾人发放残疾人护理补贴4.115万元。</w:t>
      </w:r>
    </w:p>
    <w:p w14:paraId="05C9E56C">
      <w:pPr>
        <w:spacing w:line="600" w:lineRule="exact"/>
        <w:ind w:firstLine="643" w:firstLineChars="200"/>
        <w:rPr>
          <w:rFonts w:hint="eastAsia" w:ascii="仿宋" w:hAnsi="仿宋" w:eastAsia="仿宋"/>
          <w:color w:val="000000"/>
          <w:sz w:val="32"/>
          <w:szCs w:val="32"/>
        </w:rPr>
      </w:pPr>
      <w:r>
        <w:rPr>
          <w:rFonts w:hint="eastAsia" w:eastAsia="方正楷体_GBK"/>
          <w:b/>
          <w:sz w:val="32"/>
          <w:szCs w:val="32"/>
        </w:rPr>
        <w:t>（六）构建绿色乡村，</w:t>
      </w:r>
      <w:r>
        <w:rPr>
          <w:rFonts w:eastAsia="方正楷体_GBK"/>
          <w:b/>
          <w:sz w:val="32"/>
          <w:szCs w:val="32"/>
        </w:rPr>
        <w:t>生态</w:t>
      </w:r>
      <w:r>
        <w:rPr>
          <w:rFonts w:hint="eastAsia" w:eastAsia="方正楷体_GBK"/>
          <w:b/>
          <w:sz w:val="32"/>
          <w:szCs w:val="32"/>
        </w:rPr>
        <w:t>环境不断改善。</w:t>
      </w:r>
      <w:r>
        <w:rPr>
          <w:rFonts w:hint="eastAsia" w:ascii="仿宋" w:hAnsi="仿宋" w:eastAsia="仿宋"/>
          <w:color w:val="000000"/>
          <w:sz w:val="32"/>
          <w:szCs w:val="32"/>
        </w:rPr>
        <w:t>认真开展中央环保督查整改工作，环境清查活动。牢固树立“青山绿水就是金山银山”的发展理念,积极巩固、培育、放大生态优势,切实加大生态文明建设力度,加大野生动植物、古村落保护力度,促进人与自然和谐相处。认真推进河长制工作，对河道进行全面清理及整治，保护饮水水源点4处。持续推进农村面源污染整治工作，农用地膜、农药包装废弃物进行集中处理。购买垃圾清运服务，配备和完善垃圾桶400余个，米会路中山、坪山段做到每两天一清运。开展全民增绿行动，引导群众对荒山荒地、裸露山体、道路两側、房前屋后、河岸塘边进行绿化美化，生态环境得到有效保护。秸秆禁烧整治取得实效，秸秆综合利用逐步推广。积极践行“两山理论”，依法保护生态环境，成效开展了打击毁林开荒、大棚房整治行动，强化森林防火工作，全乡累计29年未发生森林火灾。</w:t>
      </w:r>
    </w:p>
    <w:p w14:paraId="6A56225E">
      <w:pPr>
        <w:spacing w:line="600" w:lineRule="exact"/>
        <w:ind w:firstLine="643" w:firstLineChars="200"/>
        <w:rPr>
          <w:rFonts w:eastAsia="方正仿宋_GBK"/>
          <w:sz w:val="32"/>
          <w:szCs w:val="32"/>
        </w:rPr>
      </w:pPr>
      <w:r>
        <w:rPr>
          <w:rFonts w:hint="eastAsia" w:eastAsia="方正楷体_GBK"/>
          <w:b/>
          <w:sz w:val="32"/>
          <w:szCs w:val="32"/>
        </w:rPr>
        <w:t>（七）夜不闭户，</w:t>
      </w:r>
      <w:r>
        <w:rPr>
          <w:rFonts w:eastAsia="方正楷体_GBK"/>
          <w:b/>
          <w:sz w:val="32"/>
          <w:szCs w:val="32"/>
        </w:rPr>
        <w:t>社会</w:t>
      </w:r>
      <w:r>
        <w:rPr>
          <w:rFonts w:hint="eastAsia" w:eastAsia="方正楷体_GBK"/>
          <w:b/>
          <w:sz w:val="32"/>
          <w:szCs w:val="32"/>
        </w:rPr>
        <w:t>治安稳定</w:t>
      </w:r>
      <w:r>
        <w:rPr>
          <w:rFonts w:eastAsia="方正楷体_GBK"/>
          <w:b/>
          <w:sz w:val="32"/>
          <w:szCs w:val="32"/>
        </w:rPr>
        <w:t>。</w:t>
      </w:r>
      <w:r>
        <w:rPr>
          <w:rFonts w:hint="eastAsia" w:ascii="仿宋" w:hAnsi="仿宋" w:eastAsia="仿宋"/>
          <w:color w:val="000000"/>
          <w:sz w:val="32"/>
          <w:szCs w:val="32"/>
        </w:rPr>
        <w:t>2019年我乡以“平安新山”巩固创建为载体，强化矛盾纠纷调处力度，全年共收到信访件24件，全部办理完毕。信访积案全部“清零”，扎实推进扫黑除恶专项斗争、禁毒、防邪等工作，广泛开展宣传教育和线索排查，实现全面小康社会营造出平安稳定的政治生态和社会环境。深入推进“扫黑除恶”专项行动，凝聚合力形成压倒性态势，“扫黑除恶”取得阶段性成果。及时化解各种矛盾纠纷，建立长效信访工作机制，定期开展维稳形势分析，有力地维护了一方稳定。对全乡重点区域、重点问题、重点群体进行拉网式排查，对存在问题进行及时化解，共化解矛</w:t>
      </w:r>
      <w:r>
        <w:rPr>
          <w:rFonts w:eastAsia="方正仿宋_GBK"/>
          <w:sz w:val="32"/>
          <w:szCs w:val="32"/>
        </w:rPr>
        <w:t>盾纠纷</w:t>
      </w:r>
      <w:r>
        <w:rPr>
          <w:rFonts w:hint="eastAsia" w:eastAsia="方正仿宋_GBK"/>
          <w:sz w:val="32"/>
          <w:szCs w:val="32"/>
        </w:rPr>
        <w:t>67</w:t>
      </w:r>
      <w:r>
        <w:rPr>
          <w:rFonts w:eastAsia="方正仿宋_GBK"/>
          <w:sz w:val="32"/>
          <w:szCs w:val="32"/>
        </w:rPr>
        <w:t>件，调处率达100%。辖区内没有发生5人以上上访和重大群体</w:t>
      </w:r>
      <w:r>
        <w:rPr>
          <w:rFonts w:hint="eastAsia" w:eastAsia="方正仿宋_GBK"/>
          <w:sz w:val="32"/>
          <w:szCs w:val="32"/>
        </w:rPr>
        <w:t>上访</w:t>
      </w:r>
      <w:r>
        <w:rPr>
          <w:rFonts w:eastAsia="方正仿宋_GBK"/>
          <w:sz w:val="32"/>
          <w:szCs w:val="32"/>
        </w:rPr>
        <w:t>事件。</w:t>
      </w:r>
    </w:p>
    <w:p w14:paraId="7F81BDC7">
      <w:pPr>
        <w:spacing w:line="600" w:lineRule="exact"/>
        <w:ind w:firstLine="643" w:firstLineChars="200"/>
        <w:textAlignment w:val="baseline"/>
        <w:rPr>
          <w:rFonts w:hint="eastAsia" w:ascii="仿宋" w:hAnsi="仿宋" w:eastAsia="仿宋"/>
          <w:color w:val="000000"/>
          <w:sz w:val="32"/>
          <w:szCs w:val="32"/>
        </w:rPr>
      </w:pPr>
      <w:r>
        <w:rPr>
          <w:rFonts w:hint="eastAsia" w:eastAsia="方正楷体_GBK"/>
          <w:b/>
          <w:sz w:val="32"/>
          <w:szCs w:val="32"/>
        </w:rPr>
        <w:t>（八）</w:t>
      </w:r>
      <w:r>
        <w:rPr>
          <w:rFonts w:eastAsia="方正楷体_GBK"/>
          <w:b/>
          <w:sz w:val="32"/>
          <w:szCs w:val="32"/>
        </w:rPr>
        <w:t>重点项目稳步</w:t>
      </w:r>
      <w:r>
        <w:rPr>
          <w:rFonts w:hint="eastAsia" w:eastAsia="方正楷体_GBK"/>
          <w:b/>
          <w:sz w:val="32"/>
          <w:szCs w:val="32"/>
        </w:rPr>
        <w:t>推进</w:t>
      </w:r>
      <w:r>
        <w:rPr>
          <w:rFonts w:eastAsia="方正楷体_GBK"/>
          <w:b/>
          <w:sz w:val="32"/>
          <w:szCs w:val="32"/>
        </w:rPr>
        <w:t>。</w:t>
      </w:r>
      <w:r>
        <w:rPr>
          <w:rFonts w:hint="eastAsia" w:ascii="仿宋" w:hAnsi="仿宋" w:eastAsia="仿宋"/>
          <w:color w:val="000000"/>
          <w:sz w:val="32"/>
          <w:szCs w:val="32"/>
        </w:rPr>
        <w:t>米易太阳谷项目二期于10月开工建设，目前项目已经完成集体土地征收530余亩，土地流转240余亩，签订安置协议148户297人，支付土地补偿款、缴纳社保等费用3600余万元，花山果海样板区已建成使用，游客中心、康养医院、康养社区、精品酒店、逐日大道、安置小区等工程稳步推进。米易时光田园综合体项目已完成土地流转300余亩，食品加工厂已投入使用，康养社区、野舍酒店等工程有序推进。</w:t>
      </w:r>
    </w:p>
    <w:p w14:paraId="3CC52572">
      <w:pPr>
        <w:shd w:val="clear" w:color="auto" w:fill="FFFFFF"/>
        <w:spacing w:line="600" w:lineRule="exact"/>
        <w:ind w:firstLine="643" w:firstLineChars="200"/>
        <w:rPr>
          <w:rFonts w:hint="eastAsia" w:ascii="仿宋" w:hAnsi="仿宋" w:eastAsia="仿宋"/>
          <w:color w:val="000000"/>
          <w:sz w:val="32"/>
          <w:szCs w:val="32"/>
        </w:rPr>
      </w:pPr>
      <w:r>
        <w:rPr>
          <w:rFonts w:hint="eastAsia" w:eastAsia="方正楷体_GBK"/>
          <w:b/>
          <w:sz w:val="32"/>
          <w:szCs w:val="32"/>
        </w:rPr>
        <w:t>（九）政务服务改革取得实效。</w:t>
      </w:r>
      <w:r>
        <w:rPr>
          <w:rFonts w:hint="eastAsia" w:ascii="仿宋" w:hAnsi="仿宋" w:eastAsia="仿宋"/>
          <w:color w:val="000000"/>
          <w:sz w:val="32"/>
          <w:szCs w:val="32"/>
        </w:rPr>
        <w:t>加强机关效能建设，推进政务服务改革，按照县级政务服务改革的深入推进，全面落实“最多跑一次”政务改革，全面完成了政务服务改革任务，推行延时服务制度，在周末和节假日将公章交由值班人员管理，保证了及时高效为民服务；整合便民服务中心资源，优化便民服务制度，全面提升行政效率。高效办理人大代表议案建议16件、办复率100%；办理党群服务热线5件，办结率和满意率均达100%；政务公开扎实推进，主动公开政府信息46条，公开的深度、广度持续提升。</w:t>
      </w:r>
    </w:p>
    <w:p w14:paraId="35C55841">
      <w:pPr>
        <w:shd w:val="clear" w:color="auto" w:fill="FFFFFF"/>
        <w:spacing w:line="600" w:lineRule="exact"/>
        <w:ind w:firstLine="643" w:firstLineChars="200"/>
        <w:rPr>
          <w:rFonts w:ascii="仿宋" w:hAnsi="仿宋" w:eastAsia="仿宋"/>
          <w:color w:val="000000"/>
          <w:sz w:val="32"/>
          <w:szCs w:val="32"/>
        </w:rPr>
      </w:pPr>
      <w:r>
        <w:rPr>
          <w:rFonts w:hint="eastAsia" w:eastAsia="方正楷体_GBK"/>
          <w:b/>
          <w:sz w:val="32"/>
          <w:szCs w:val="32"/>
        </w:rPr>
        <w:t>（十）廉洁政府建设持续推进</w:t>
      </w:r>
      <w:r>
        <w:rPr>
          <w:rFonts w:hint="eastAsia" w:eastAsia="方正仿宋_GBK"/>
          <w:b/>
          <w:bCs/>
          <w:color w:val="2B2B2B"/>
          <w:kern w:val="0"/>
          <w:sz w:val="32"/>
          <w:szCs w:val="32"/>
        </w:rPr>
        <w:t>。</w:t>
      </w:r>
      <w:r>
        <w:rPr>
          <w:rFonts w:hint="eastAsia" w:ascii="仿宋" w:hAnsi="仿宋" w:eastAsia="仿宋"/>
          <w:color w:val="000000"/>
          <w:sz w:val="32"/>
          <w:szCs w:val="32"/>
        </w:rPr>
        <w:t>我们切实加强政府自身建设，努力提升服务效能。始终在思想上政治上行动上同以习近平同志为核心的党中央保持高度一致。进一步改进工作作风，不断巩固与人民群众的紧密联系。严格执行中央八项规定实施细则和省、市、县实施办法，深入整治“四风”问题新表现，集中整治形式主义、官僚主义，严肃查处群众身边的不正之风。厉行勤俭节约，“三公”经费继续下降。狠抓重点领域反腐倡廉工作，政府系统党风廉政建设全面加强。</w:t>
      </w:r>
    </w:p>
    <w:p w14:paraId="6DAAF86D">
      <w:pPr>
        <w:pStyle w:val="4"/>
        <w:rPr>
          <w:rStyle w:val="27"/>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14:paraId="712EB83E">
      <w:pPr>
        <w:spacing w:line="6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米易县新山傈僳族乡人民政府机构类型为机关法人，法人代表贺桂雄，无独立核算的下属单位。内设党政综合办事机构有党政办、党建办、经济发展办、社会事务办、综合执法办、社会治理办、财政所；下设4个全额拨款事业单位，分别是农业农村服务中心、便民服务中心、村镇建设服务中心、宣传文化旅游服务中心。</w:t>
      </w:r>
    </w:p>
    <w:p w14:paraId="0C4A6509">
      <w:pPr>
        <w:pStyle w:val="7"/>
        <w:rPr>
          <w:rFonts w:hint="eastAsia" w:ascii="仿宋_GB2312" w:eastAsia="仿宋_GB2312"/>
          <w:sz w:val="32"/>
          <w:szCs w:val="32"/>
          <w:lang w:val="en-US" w:eastAsia="zh-CN"/>
        </w:rPr>
      </w:pPr>
    </w:p>
    <w:p w14:paraId="3600EA65">
      <w:pPr>
        <w:pStyle w:val="7"/>
        <w:rPr>
          <w:rFonts w:hint="eastAsia" w:ascii="仿宋_GB2312" w:eastAsia="仿宋_GB2312"/>
          <w:sz w:val="32"/>
          <w:szCs w:val="32"/>
          <w:lang w:val="en-US" w:eastAsia="zh-CN"/>
        </w:rPr>
      </w:pPr>
    </w:p>
    <w:p w14:paraId="5AA39BCE">
      <w:pPr>
        <w:pStyle w:val="7"/>
        <w:rPr>
          <w:rFonts w:hint="eastAsia" w:ascii="仿宋_GB2312" w:eastAsia="仿宋_GB2312"/>
          <w:sz w:val="32"/>
          <w:szCs w:val="32"/>
          <w:lang w:val="en-US" w:eastAsia="zh-CN"/>
        </w:rPr>
      </w:pPr>
    </w:p>
    <w:p w14:paraId="218F60B9">
      <w:pPr>
        <w:pStyle w:val="7"/>
        <w:rPr>
          <w:rFonts w:hint="eastAsia" w:ascii="仿宋_GB2312" w:eastAsia="仿宋_GB2312"/>
          <w:sz w:val="32"/>
          <w:szCs w:val="32"/>
          <w:lang w:val="en-US" w:eastAsia="zh-CN"/>
        </w:rPr>
      </w:pPr>
    </w:p>
    <w:p w14:paraId="6408F728">
      <w:pPr>
        <w:pStyle w:val="7"/>
        <w:rPr>
          <w:rFonts w:hint="eastAsia" w:ascii="仿宋_GB2312" w:eastAsia="仿宋_GB2312"/>
          <w:sz w:val="32"/>
          <w:szCs w:val="32"/>
          <w:lang w:val="en-US" w:eastAsia="zh-CN"/>
        </w:rPr>
      </w:pPr>
    </w:p>
    <w:p w14:paraId="6E20A2C6">
      <w:pPr>
        <w:pStyle w:val="7"/>
        <w:rPr>
          <w:rFonts w:hint="eastAsia" w:ascii="仿宋_GB2312" w:eastAsia="仿宋_GB2312"/>
          <w:sz w:val="32"/>
          <w:szCs w:val="32"/>
          <w:lang w:val="en-US" w:eastAsia="zh-CN"/>
        </w:rPr>
      </w:pPr>
    </w:p>
    <w:p w14:paraId="1CB4267C">
      <w:pPr>
        <w:pStyle w:val="3"/>
        <w:ind w:right="440"/>
        <w:jc w:val="right"/>
        <w:rPr>
          <w:rStyle w:val="26"/>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2"/>
      <w:bookmarkEnd w:id="23"/>
    </w:p>
    <w:p w14:paraId="29EC50E1"/>
    <w:p w14:paraId="42AB83DB">
      <w:pPr>
        <w:pStyle w:val="25"/>
        <w:numPr>
          <w:ilvl w:val="0"/>
          <w:numId w:val="1"/>
        </w:numPr>
        <w:spacing w:line="600" w:lineRule="exact"/>
        <w:ind w:firstLineChars="0"/>
        <w:outlineLvl w:val="1"/>
        <w:rPr>
          <w:rStyle w:val="27"/>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14:paraId="61793297">
      <w:pPr>
        <w:spacing w:line="600" w:lineRule="exact"/>
        <w:ind w:firstLine="640" w:firstLineChars="200"/>
        <w:rPr>
          <w:rFonts w:hint="eastAsia" w:ascii="仿宋" w:hAnsi="仿宋" w:eastAsia="仿宋"/>
          <w:sz w:val="32"/>
          <w:szCs w:val="32"/>
          <w:lang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val="en-US" w:eastAsia="zh-CN"/>
        </w:rPr>
        <w:t>入决算数为4842.05万元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出决算数为：4931.25</w:t>
      </w:r>
      <w:r>
        <w:rPr>
          <w:rFonts w:hint="eastAsia" w:ascii="仿宋" w:hAnsi="仿宋" w:eastAsia="仿宋"/>
          <w:color w:val="000000"/>
          <w:sz w:val="32"/>
          <w:szCs w:val="32"/>
        </w:rPr>
        <w:t>万元。与2018年相比，收</w:t>
      </w:r>
      <w:r>
        <w:rPr>
          <w:rFonts w:hint="eastAsia" w:ascii="仿宋" w:hAnsi="仿宋" w:eastAsia="仿宋"/>
          <w:color w:val="000000"/>
          <w:sz w:val="32"/>
          <w:szCs w:val="32"/>
          <w:lang w:val="en-US" w:eastAsia="zh-CN"/>
        </w:rPr>
        <w:t>入增加3421.94万元，</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240.96</w:t>
      </w:r>
      <w:r>
        <w:rPr>
          <w:rFonts w:ascii="仿宋" w:hAnsi="仿宋" w:eastAsia="仿宋"/>
          <w:color w:val="000000"/>
          <w:sz w:val="32"/>
          <w:szCs w:val="32"/>
        </w:rPr>
        <w:t>%</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3818.63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343.21</w:t>
      </w:r>
      <w:r>
        <w:rPr>
          <w:rFonts w:ascii="仿宋" w:hAnsi="仿宋" w:eastAsia="仿宋"/>
          <w:color w:val="000000"/>
          <w:sz w:val="32"/>
          <w:szCs w:val="32"/>
        </w:rPr>
        <w:t>%</w:t>
      </w:r>
      <w:r>
        <w:rPr>
          <w:rFonts w:hint="eastAsia" w:ascii="仿宋" w:hAnsi="仿宋" w:eastAsia="仿宋"/>
          <w:color w:val="000000"/>
          <w:sz w:val="32"/>
          <w:szCs w:val="32"/>
        </w:rPr>
        <w:t>。主要变动原因是项目较2018年增多，</w:t>
      </w:r>
      <w:r>
        <w:rPr>
          <w:rFonts w:hint="eastAsia" w:ascii="仿宋" w:hAnsi="仿宋" w:eastAsia="仿宋"/>
          <w:color w:val="000000"/>
          <w:sz w:val="32"/>
          <w:szCs w:val="32"/>
          <w:lang w:val="en-US" w:eastAsia="zh-CN"/>
        </w:rPr>
        <w:t>大部分为</w:t>
      </w:r>
      <w:r>
        <w:rPr>
          <w:rFonts w:hint="eastAsia" w:ascii="仿宋" w:hAnsi="仿宋" w:eastAsia="仿宋"/>
          <w:color w:val="000000"/>
          <w:sz w:val="32"/>
          <w:szCs w:val="32"/>
        </w:rPr>
        <w:t>米易东方太阳谷国际达康养旅游度假区项目的建设资金</w:t>
      </w:r>
      <w:r>
        <w:rPr>
          <w:rFonts w:hint="eastAsia" w:ascii="仿宋" w:hAnsi="仿宋" w:eastAsia="仿宋"/>
          <w:color w:val="000000"/>
          <w:sz w:val="32"/>
          <w:szCs w:val="32"/>
          <w:lang w:eastAsia="zh-CN"/>
        </w:rPr>
        <w:t>；</w:t>
      </w:r>
      <w:r>
        <w:rPr>
          <w:rFonts w:hint="eastAsia" w:ascii="仿宋" w:hAnsi="仿宋" w:eastAsia="仿宋"/>
          <w:sz w:val="32"/>
          <w:szCs w:val="32"/>
        </w:rPr>
        <w:t>人员的调入调出导致人员经费和日常公用经费的增加，项目增多导致项目支出增高</w:t>
      </w:r>
      <w:r>
        <w:rPr>
          <w:rFonts w:hint="eastAsia" w:ascii="仿宋" w:hAnsi="仿宋" w:eastAsia="仿宋"/>
          <w:sz w:val="32"/>
          <w:szCs w:val="32"/>
          <w:lang w:eastAsia="zh-CN"/>
        </w:rPr>
        <w:t>。</w:t>
      </w:r>
    </w:p>
    <w:p w14:paraId="4A72EB70">
      <w:pPr>
        <w:spacing w:line="600" w:lineRule="exact"/>
        <w:ind w:firstLine="640" w:firstLineChars="200"/>
        <w:rPr>
          <w:rFonts w:hint="eastAsia" w:ascii="仿宋" w:hAnsi="仿宋" w:eastAsia="仿宋"/>
          <w:color w:val="000000" w:themeColor="text1"/>
          <w:sz w:val="32"/>
          <w:szCs w:val="32"/>
        </w:rPr>
      </w:pPr>
    </w:p>
    <w:p w14:paraId="5F915899">
      <w:pPr>
        <w:spacing w:line="600" w:lineRule="exact"/>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object>
          <v:shape id="_x0000_i1025" o:spt="75" type="#_x0000_t75" style="height:66pt;width:72.75pt;" o:ole="t" filled="f" o:preferrelative="t" stroked="f" coordsize="21600,21600">
            <v:path/>
            <v:fill on="f" focussize="0,0"/>
            <v:stroke on="f"/>
            <v:imagedata r:id="rId6" o:title=""/>
            <o:lock v:ext="edit" aspectratio="t"/>
            <w10:wrap type="none"/>
            <w10:anchorlock/>
          </v:shape>
          <o:OLEObject Type="Embed" ProgID="Excel.Sheet.12" ShapeID="_x0000_i1025" DrawAspect="Icon" ObjectID="_1468075725">
            <o:LockedField>false</o:LockedField>
          </o:OLEObject>
        </w:object>
      </w:r>
    </w:p>
    <w:p w14:paraId="4E5C4950">
      <w:pPr>
        <w:spacing w:line="600" w:lineRule="exact"/>
        <w:ind w:firstLine="640" w:firstLineChars="200"/>
        <w:rPr>
          <w:rFonts w:hint="eastAsia" w:ascii="仿宋" w:hAnsi="仿宋" w:eastAsia="仿宋"/>
          <w:color w:val="000000" w:themeColor="text1"/>
          <w:sz w:val="32"/>
          <w:szCs w:val="32"/>
        </w:rPr>
      </w:pPr>
    </w:p>
    <w:p w14:paraId="4215718D">
      <w:pPr>
        <w:spacing w:line="600" w:lineRule="exact"/>
        <w:ind w:firstLine="640" w:firstLineChars="200"/>
        <w:rPr>
          <w:rFonts w:hint="eastAsia" w:ascii="仿宋" w:hAnsi="仿宋" w:eastAsia="仿宋"/>
          <w:color w:val="000000" w:themeColor="text1"/>
          <w:sz w:val="32"/>
          <w:szCs w:val="32"/>
        </w:rPr>
      </w:pPr>
    </w:p>
    <w:p w14:paraId="3C82F017">
      <w:pPr>
        <w:spacing w:line="600" w:lineRule="exact"/>
        <w:ind w:firstLine="640" w:firstLineChars="200"/>
        <w:rPr>
          <w:rFonts w:hint="eastAsia" w:ascii="仿宋" w:hAnsi="仿宋" w:eastAsia="仿宋"/>
          <w:color w:val="000000" w:themeColor="text1"/>
          <w:sz w:val="32"/>
          <w:szCs w:val="32"/>
        </w:rPr>
      </w:pPr>
    </w:p>
    <w:p w14:paraId="33659D96">
      <w:pPr>
        <w:spacing w:line="600" w:lineRule="exact"/>
        <w:ind w:firstLine="640" w:firstLineChars="200"/>
        <w:rPr>
          <w:rFonts w:hint="eastAsia" w:ascii="仿宋" w:hAnsi="仿宋" w:eastAsia="仿宋"/>
          <w:color w:val="000000" w:themeColor="text1"/>
          <w:sz w:val="32"/>
          <w:szCs w:val="32"/>
        </w:rPr>
      </w:pPr>
    </w:p>
    <w:p w14:paraId="68D7339F">
      <w:pPr>
        <w:spacing w:line="600" w:lineRule="exact"/>
        <w:ind w:firstLine="640" w:firstLineChars="200"/>
        <w:rPr>
          <w:rFonts w:hint="eastAsia" w:ascii="仿宋" w:hAnsi="仿宋" w:eastAsia="仿宋"/>
          <w:color w:val="000000" w:themeColor="text1"/>
          <w:sz w:val="32"/>
          <w:szCs w:val="32"/>
        </w:rPr>
      </w:pPr>
    </w:p>
    <w:p w14:paraId="782688DF">
      <w:pPr>
        <w:spacing w:line="600" w:lineRule="exact"/>
        <w:ind w:firstLine="640" w:firstLineChars="200"/>
        <w:rPr>
          <w:rFonts w:hint="eastAsia" w:ascii="仿宋" w:hAnsi="仿宋" w:eastAsia="仿宋"/>
          <w:color w:val="000000" w:themeColor="text1"/>
          <w:sz w:val="32"/>
          <w:szCs w:val="32"/>
        </w:rPr>
      </w:pPr>
    </w:p>
    <w:p w14:paraId="4AACC81D">
      <w:pPr>
        <w:spacing w:line="600" w:lineRule="exact"/>
        <w:ind w:firstLine="420" w:firstLineChars="200"/>
        <w:rPr>
          <w:rFonts w:hint="eastAsia" w:ascii="仿宋" w:hAnsi="仿宋" w:eastAsia="仿宋"/>
          <w:color w:val="000000" w:themeColor="text1"/>
          <w:sz w:val="32"/>
          <w:szCs w:val="32"/>
        </w:rPr>
      </w:pPr>
      <w:r>
        <w:drawing>
          <wp:anchor distT="0" distB="0" distL="114300" distR="114300" simplePos="0" relativeHeight="251660288" behindDoc="0" locked="0" layoutInCell="1" allowOverlap="1">
            <wp:simplePos x="0" y="0"/>
            <wp:positionH relativeFrom="column">
              <wp:posOffset>271145</wp:posOffset>
            </wp:positionH>
            <wp:positionV relativeFrom="paragraph">
              <wp:posOffset>-2795905</wp:posOffset>
            </wp:positionV>
            <wp:extent cx="4781550" cy="3095625"/>
            <wp:effectExtent l="4445" t="4445" r="14605" b="5080"/>
            <wp:wrapNone/>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3E6223D6">
      <w:pPr>
        <w:spacing w:line="600" w:lineRule="exact"/>
        <w:rPr>
          <w:rFonts w:hint="eastAsia" w:ascii="仿宋" w:hAnsi="仿宋" w:eastAsia="仿宋"/>
          <w:color w:val="000000" w:themeColor="text1"/>
          <w:sz w:val="32"/>
          <w:szCs w:val="32"/>
        </w:rPr>
      </w:pPr>
    </w:p>
    <w:p w14:paraId="200F64F8">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14:paraId="3548B971">
      <w:pPr>
        <w:spacing w:line="600" w:lineRule="exact"/>
        <w:ind w:firstLine="640" w:firstLineChars="200"/>
        <w:jc w:val="left"/>
        <w:rPr>
          <w:rFonts w:ascii="仿宋_GB2312" w:eastAsia="仿宋_GB2312"/>
          <w:color w:val="000000"/>
          <w:sz w:val="32"/>
          <w:szCs w:val="32"/>
        </w:rPr>
      </w:pPr>
    </w:p>
    <w:p w14:paraId="00796B6F">
      <w:pPr>
        <w:pStyle w:val="25"/>
        <w:numPr>
          <w:ilvl w:val="0"/>
          <w:numId w:val="1"/>
        </w:numPr>
        <w:spacing w:line="600" w:lineRule="exact"/>
        <w:ind w:firstLineChars="0"/>
        <w:outlineLvl w:val="1"/>
        <w:rPr>
          <w:rStyle w:val="27"/>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14:paraId="7F452B80">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4842.05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756.6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16</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4085.45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84</w:t>
      </w:r>
      <w:r>
        <w:rPr>
          <w:rFonts w:ascii="仿宋" w:hAnsi="仿宋" w:eastAsia="仿宋"/>
          <w:color w:val="000000"/>
          <w:sz w:val="32"/>
          <w:szCs w:val="32"/>
        </w:rPr>
        <w:t>%</w:t>
      </w:r>
      <w:r>
        <w:rPr>
          <w:rFonts w:hint="eastAsia" w:ascii="仿宋" w:hAnsi="仿宋" w:eastAsia="仿宋"/>
          <w:color w:val="000000"/>
          <w:sz w:val="32"/>
          <w:szCs w:val="32"/>
        </w:rPr>
        <w:t>。</w:t>
      </w:r>
    </w:p>
    <w:p w14:paraId="7190CB2F">
      <w:pPr>
        <w:spacing w:line="600" w:lineRule="exact"/>
        <w:ind w:firstLine="420" w:firstLineChars="200"/>
        <w:outlineLvl w:val="1"/>
        <w:rPr>
          <w:rFonts w:ascii="仿宋" w:hAnsi="仿宋" w:eastAsia="仿宋"/>
          <w:color w:val="000000"/>
          <w:sz w:val="32"/>
          <w:szCs w:val="32"/>
        </w:rPr>
      </w:pPr>
      <w:r>
        <w:drawing>
          <wp:anchor distT="0" distB="0" distL="114300" distR="114300" simplePos="0" relativeHeight="251659264" behindDoc="0" locked="0" layoutInCell="1" allowOverlap="1">
            <wp:simplePos x="0" y="0"/>
            <wp:positionH relativeFrom="column">
              <wp:posOffset>204470</wp:posOffset>
            </wp:positionH>
            <wp:positionV relativeFrom="paragraph">
              <wp:posOffset>99695</wp:posOffset>
            </wp:positionV>
            <wp:extent cx="5162550" cy="2743200"/>
            <wp:effectExtent l="4445" t="4445" r="14605" b="14605"/>
            <wp:wrapNone/>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6322647E">
      <w:pPr>
        <w:spacing w:line="600" w:lineRule="exact"/>
        <w:ind w:firstLine="640" w:firstLineChars="200"/>
        <w:rPr>
          <w:rFonts w:hint="eastAsia" w:ascii="仿宋" w:hAnsi="仿宋" w:eastAsia="仿宋"/>
          <w:color w:val="000000" w:themeColor="text1"/>
          <w:sz w:val="32"/>
          <w:szCs w:val="32"/>
        </w:rPr>
      </w:pPr>
    </w:p>
    <w:p w14:paraId="09CA0D61">
      <w:pPr>
        <w:spacing w:line="600" w:lineRule="exact"/>
        <w:ind w:firstLine="640" w:firstLineChars="200"/>
        <w:rPr>
          <w:rFonts w:hint="eastAsia" w:ascii="仿宋" w:hAnsi="仿宋" w:eastAsia="仿宋"/>
          <w:color w:val="000000" w:themeColor="text1"/>
          <w:sz w:val="32"/>
          <w:szCs w:val="32"/>
        </w:rPr>
      </w:pPr>
    </w:p>
    <w:p w14:paraId="612088E4">
      <w:pPr>
        <w:spacing w:line="600" w:lineRule="exact"/>
        <w:ind w:firstLine="640" w:firstLineChars="200"/>
        <w:rPr>
          <w:rFonts w:hint="eastAsia" w:ascii="仿宋" w:hAnsi="仿宋" w:eastAsia="仿宋"/>
          <w:color w:val="000000" w:themeColor="text1"/>
          <w:sz w:val="32"/>
          <w:szCs w:val="32"/>
        </w:rPr>
      </w:pPr>
    </w:p>
    <w:p w14:paraId="5ABFB333">
      <w:pPr>
        <w:spacing w:line="600" w:lineRule="exact"/>
        <w:ind w:firstLine="640" w:firstLineChars="200"/>
        <w:rPr>
          <w:rFonts w:hint="eastAsia" w:ascii="仿宋" w:hAnsi="仿宋" w:eastAsia="仿宋"/>
          <w:color w:val="000000" w:themeColor="text1"/>
          <w:sz w:val="32"/>
          <w:szCs w:val="32"/>
        </w:rPr>
      </w:pPr>
    </w:p>
    <w:p w14:paraId="4C3F2787">
      <w:pPr>
        <w:spacing w:line="600" w:lineRule="exact"/>
        <w:ind w:firstLine="640" w:firstLineChars="200"/>
        <w:rPr>
          <w:rFonts w:hint="eastAsia" w:ascii="仿宋" w:hAnsi="仿宋" w:eastAsia="仿宋"/>
          <w:color w:val="000000" w:themeColor="text1"/>
          <w:sz w:val="32"/>
          <w:szCs w:val="32"/>
        </w:rPr>
      </w:pPr>
    </w:p>
    <w:p w14:paraId="204F1E38">
      <w:pPr>
        <w:spacing w:line="600" w:lineRule="exact"/>
        <w:ind w:firstLine="640" w:firstLineChars="200"/>
        <w:rPr>
          <w:rFonts w:hint="eastAsia" w:ascii="仿宋" w:hAnsi="仿宋" w:eastAsia="仿宋"/>
          <w:color w:val="000000" w:themeColor="text1"/>
          <w:sz w:val="32"/>
          <w:szCs w:val="32"/>
        </w:rPr>
      </w:pPr>
    </w:p>
    <w:p w14:paraId="70DFC71E">
      <w:pPr>
        <w:spacing w:line="600" w:lineRule="exact"/>
        <w:rPr>
          <w:rFonts w:hint="eastAsia" w:ascii="仿宋" w:hAnsi="仿宋" w:eastAsia="仿宋"/>
          <w:color w:val="000000" w:themeColor="text1"/>
          <w:sz w:val="32"/>
          <w:szCs w:val="32"/>
        </w:rPr>
      </w:pPr>
    </w:p>
    <w:p w14:paraId="46CE630B">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（图2：收入决算结构图）（饼状图）</w:t>
      </w:r>
    </w:p>
    <w:p w14:paraId="62AFE061">
      <w:pPr>
        <w:pStyle w:val="25"/>
        <w:numPr>
          <w:ilvl w:val="0"/>
          <w:numId w:val="1"/>
        </w:numPr>
        <w:spacing w:line="600" w:lineRule="exact"/>
        <w:ind w:firstLineChars="0"/>
        <w:outlineLvl w:val="1"/>
        <w:rPr>
          <w:rStyle w:val="27"/>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14:paraId="6C9F35A5">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4931.25</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540.32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10.96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4390.91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89.04</w:t>
      </w:r>
      <w:r>
        <w:rPr>
          <w:rFonts w:ascii="仿宋" w:hAnsi="仿宋" w:eastAsia="仿宋"/>
          <w:color w:val="000000"/>
          <w:sz w:val="32"/>
          <w:szCs w:val="32"/>
        </w:rPr>
        <w:t>%</w:t>
      </w:r>
      <w:r>
        <w:rPr>
          <w:rFonts w:hint="eastAsia" w:ascii="仿宋" w:hAnsi="仿宋" w:eastAsia="仿宋"/>
          <w:color w:val="000000"/>
          <w:sz w:val="32"/>
          <w:szCs w:val="32"/>
        </w:rPr>
        <w:t>。</w:t>
      </w:r>
    </w:p>
    <w:p w14:paraId="426F9843">
      <w:pPr>
        <w:spacing w:line="600" w:lineRule="exact"/>
        <w:rPr>
          <w:rFonts w:hint="eastAsia" w:ascii="仿宋" w:hAnsi="仿宋" w:eastAsia="仿宋"/>
          <w:color w:val="000000" w:themeColor="text1"/>
          <w:sz w:val="32"/>
          <w:szCs w:val="32"/>
        </w:rPr>
      </w:pPr>
      <w:r>
        <w:drawing>
          <wp:anchor distT="0" distB="0" distL="114300" distR="114300" simplePos="0" relativeHeight="251662336" behindDoc="0" locked="0" layoutInCell="1" allowOverlap="1">
            <wp:simplePos x="0" y="0"/>
            <wp:positionH relativeFrom="column">
              <wp:posOffset>-33020</wp:posOffset>
            </wp:positionH>
            <wp:positionV relativeFrom="paragraph">
              <wp:posOffset>232410</wp:posOffset>
            </wp:positionV>
            <wp:extent cx="5333365" cy="2180590"/>
            <wp:effectExtent l="4445" t="4445" r="15240" b="5715"/>
            <wp:wrapNone/>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4A2C762">
      <w:pPr>
        <w:pStyle w:val="7"/>
        <w:rPr>
          <w:rFonts w:hint="eastAsia" w:ascii="仿宋" w:hAnsi="仿宋" w:eastAsia="仿宋"/>
          <w:color w:val="000000" w:themeColor="text1"/>
          <w:sz w:val="32"/>
          <w:szCs w:val="32"/>
        </w:rPr>
      </w:pPr>
    </w:p>
    <w:p w14:paraId="05E82814">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14:paraId="25849876">
      <w:pPr>
        <w:spacing w:line="600" w:lineRule="exact"/>
        <w:ind w:firstLine="640" w:firstLineChars="200"/>
        <w:rPr>
          <w:rFonts w:ascii="仿宋_GB2312" w:eastAsia="仿宋_GB2312"/>
          <w:color w:val="FF0000"/>
          <w:sz w:val="32"/>
          <w:szCs w:val="32"/>
        </w:rPr>
      </w:pPr>
    </w:p>
    <w:p w14:paraId="667436F5">
      <w:pPr>
        <w:spacing w:line="600" w:lineRule="exact"/>
        <w:ind w:firstLine="640" w:firstLineChars="200"/>
        <w:rPr>
          <w:rFonts w:hint="eastAsia" w:ascii="仿宋" w:hAnsi="仿宋" w:eastAsia="仿宋"/>
          <w:color w:val="000000" w:themeColor="text1"/>
          <w:sz w:val="32"/>
          <w:szCs w:val="32"/>
        </w:rPr>
      </w:pPr>
      <w:bookmarkStart w:id="30" w:name="_Toc15377208"/>
      <w:bookmarkStart w:id="31" w:name="_Toc15396606"/>
    </w:p>
    <w:p w14:paraId="7CA716AB">
      <w:pPr>
        <w:spacing w:line="600" w:lineRule="exact"/>
        <w:ind w:firstLine="640" w:firstLineChars="200"/>
        <w:rPr>
          <w:rFonts w:hint="eastAsia" w:ascii="仿宋" w:hAnsi="仿宋" w:eastAsia="仿宋"/>
          <w:color w:val="000000" w:themeColor="text1"/>
          <w:sz w:val="32"/>
          <w:szCs w:val="32"/>
        </w:rPr>
      </w:pPr>
    </w:p>
    <w:p w14:paraId="61EE87A8">
      <w:pPr>
        <w:spacing w:line="600" w:lineRule="exact"/>
        <w:ind w:firstLine="640" w:firstLineChars="200"/>
        <w:rPr>
          <w:rFonts w:hint="eastAsia" w:ascii="黑体" w:hAnsi="黑体" w:eastAsia="黑体"/>
          <w:color w:val="000000"/>
          <w:sz w:val="32"/>
          <w:szCs w:val="32"/>
        </w:rPr>
      </w:pPr>
      <w:r>
        <w:rPr>
          <w:rFonts w:hint="eastAsia" w:ascii="仿宋" w:hAnsi="仿宋" w:eastAsia="仿宋"/>
          <w:color w:val="000000" w:themeColor="text1"/>
          <w:sz w:val="32"/>
          <w:szCs w:val="32"/>
        </w:rPr>
        <w:t>（图</w:t>
      </w:r>
      <w:r>
        <w:rPr>
          <w:rFonts w:hint="eastAsia" w:ascii="仿宋" w:hAnsi="仿宋" w:eastAsia="仿宋"/>
          <w:color w:val="000000" w:themeColor="text1"/>
          <w:sz w:val="32"/>
          <w:szCs w:val="32"/>
          <w:lang w:val="en-US" w:eastAsia="zh-CN"/>
        </w:rPr>
        <w:t>3</w:t>
      </w:r>
      <w:r>
        <w:rPr>
          <w:rFonts w:hint="eastAsia" w:ascii="仿宋" w:hAnsi="仿宋" w:eastAsia="仿宋"/>
          <w:color w:val="000000" w:themeColor="text1"/>
          <w:sz w:val="32"/>
          <w:szCs w:val="32"/>
        </w:rPr>
        <w:t>：</w:t>
      </w:r>
      <w:r>
        <w:rPr>
          <w:rFonts w:hint="eastAsia" w:ascii="仿宋" w:hAnsi="仿宋" w:eastAsia="仿宋"/>
          <w:color w:val="000000" w:themeColor="text1"/>
          <w:sz w:val="32"/>
          <w:szCs w:val="32"/>
          <w:lang w:val="en-US" w:eastAsia="zh-CN"/>
        </w:rPr>
        <w:t>支出</w:t>
      </w:r>
      <w:r>
        <w:rPr>
          <w:rFonts w:hint="eastAsia" w:ascii="仿宋" w:hAnsi="仿宋" w:eastAsia="仿宋"/>
          <w:color w:val="000000" w:themeColor="text1"/>
          <w:sz w:val="32"/>
          <w:szCs w:val="32"/>
        </w:rPr>
        <w:t>决算结构图）（饼状图）</w:t>
      </w:r>
    </w:p>
    <w:p w14:paraId="6B7D52FE">
      <w:pPr>
        <w:spacing w:line="600" w:lineRule="exact"/>
        <w:ind w:firstLine="640" w:firstLineChars="200"/>
        <w:outlineLvl w:val="1"/>
        <w:rPr>
          <w:rFonts w:hint="eastAsia" w:ascii="黑体" w:hAnsi="黑体" w:eastAsia="黑体"/>
          <w:color w:val="000000"/>
          <w:sz w:val="32"/>
          <w:szCs w:val="32"/>
        </w:rPr>
      </w:pPr>
    </w:p>
    <w:p w14:paraId="37DB31FF">
      <w:pPr>
        <w:spacing w:line="600" w:lineRule="exact"/>
        <w:ind w:firstLine="640" w:firstLineChars="200"/>
        <w:outlineLvl w:val="1"/>
        <w:rPr>
          <w:rStyle w:val="27"/>
          <w:rFonts w:ascii="黑体" w:hAnsi="黑体" w:eastAsia="黑体"/>
          <w:b w:val="0"/>
        </w:rPr>
      </w:pPr>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14:paraId="4A4F85F8">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val="en-US" w:eastAsia="zh-CN"/>
        </w:rPr>
        <w:t>入总计4842.05万元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4931.25</w:t>
      </w:r>
      <w:r>
        <w:rPr>
          <w:rFonts w:hint="eastAsia" w:ascii="仿宋" w:hAnsi="仿宋" w:eastAsia="仿宋"/>
          <w:color w:val="000000"/>
          <w:sz w:val="32"/>
          <w:szCs w:val="32"/>
        </w:rPr>
        <w:t>万元。与2018年相比，财政拨款收</w:t>
      </w:r>
      <w:r>
        <w:rPr>
          <w:rFonts w:hint="eastAsia" w:ascii="仿宋" w:hAnsi="仿宋" w:eastAsia="仿宋"/>
          <w:color w:val="000000"/>
          <w:sz w:val="32"/>
          <w:szCs w:val="32"/>
          <w:lang w:val="en-US" w:eastAsia="zh-CN"/>
        </w:rPr>
        <w:t>入增加3421.94万元，</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240.96</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3818.63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343.21</w:t>
      </w:r>
      <w:r>
        <w:rPr>
          <w:rFonts w:ascii="仿宋" w:hAnsi="仿宋" w:eastAsia="仿宋"/>
          <w:color w:val="000000"/>
          <w:sz w:val="32"/>
          <w:szCs w:val="32"/>
        </w:rPr>
        <w:t>%</w:t>
      </w:r>
      <w:r>
        <w:rPr>
          <w:rFonts w:hint="eastAsia" w:ascii="仿宋" w:hAnsi="仿宋" w:eastAsia="仿宋"/>
          <w:color w:val="000000"/>
          <w:sz w:val="32"/>
          <w:szCs w:val="32"/>
        </w:rPr>
        <w:t>。主要变动原因是项目较2018年增多，</w:t>
      </w:r>
      <w:r>
        <w:rPr>
          <w:rFonts w:hint="eastAsia" w:ascii="仿宋" w:hAnsi="仿宋" w:eastAsia="仿宋"/>
          <w:color w:val="000000"/>
          <w:sz w:val="32"/>
          <w:szCs w:val="32"/>
          <w:lang w:val="en-US" w:eastAsia="zh-CN"/>
        </w:rPr>
        <w:t>大部分为</w:t>
      </w:r>
      <w:r>
        <w:rPr>
          <w:rFonts w:hint="eastAsia" w:ascii="仿宋" w:hAnsi="仿宋" w:eastAsia="仿宋"/>
          <w:color w:val="000000"/>
          <w:sz w:val="32"/>
          <w:szCs w:val="32"/>
        </w:rPr>
        <w:t>米易东方太阳谷国际达康养旅游度假区项目的建设资金</w:t>
      </w:r>
      <w:r>
        <w:rPr>
          <w:rFonts w:hint="eastAsia" w:ascii="仿宋" w:hAnsi="仿宋" w:eastAsia="仿宋"/>
          <w:color w:val="000000"/>
          <w:sz w:val="32"/>
          <w:szCs w:val="32"/>
          <w:lang w:eastAsia="zh-CN"/>
        </w:rPr>
        <w:t>；</w:t>
      </w:r>
      <w:r>
        <w:rPr>
          <w:rFonts w:hint="eastAsia" w:ascii="仿宋" w:hAnsi="仿宋" w:eastAsia="仿宋"/>
          <w:sz w:val="32"/>
          <w:szCs w:val="32"/>
        </w:rPr>
        <w:t>人员的调入调出导致人员经费和日常公用经费的增加，项目增多导致项目支出增高</w:t>
      </w:r>
      <w:r>
        <w:rPr>
          <w:rFonts w:hint="eastAsia" w:ascii="仿宋" w:hAnsi="仿宋" w:eastAsia="仿宋"/>
          <w:sz w:val="32"/>
          <w:szCs w:val="32"/>
          <w:lang w:eastAsia="zh-CN"/>
        </w:rPr>
        <w:t>。</w:t>
      </w:r>
    </w:p>
    <w:p w14:paraId="1B3EAAC2">
      <w:pPr>
        <w:pStyle w:val="7"/>
        <w:rPr>
          <w:rFonts w:ascii="仿宋" w:hAnsi="仿宋" w:eastAsia="仿宋"/>
          <w:color w:val="000000"/>
          <w:sz w:val="32"/>
          <w:szCs w:val="32"/>
        </w:rPr>
      </w:pPr>
    </w:p>
    <w:p w14:paraId="756746F3">
      <w:pPr>
        <w:pStyle w:val="7"/>
        <w:rPr>
          <w:rFonts w:ascii="仿宋" w:hAnsi="仿宋" w:eastAsia="仿宋"/>
          <w:color w:val="000000"/>
          <w:sz w:val="32"/>
          <w:szCs w:val="32"/>
        </w:rPr>
      </w:pPr>
    </w:p>
    <w:p w14:paraId="10DA7242">
      <w:pPr>
        <w:pStyle w:val="7"/>
        <w:rPr>
          <w:rFonts w:ascii="仿宋" w:hAnsi="仿宋" w:eastAsia="仿宋"/>
          <w:color w:val="000000"/>
          <w:sz w:val="32"/>
          <w:szCs w:val="32"/>
        </w:rPr>
      </w:pPr>
    </w:p>
    <w:p w14:paraId="45393677">
      <w:pPr>
        <w:pStyle w:val="7"/>
        <w:rPr>
          <w:rFonts w:ascii="仿宋" w:hAnsi="仿宋" w:eastAsia="仿宋"/>
          <w:color w:val="000000"/>
          <w:sz w:val="32"/>
          <w:szCs w:val="32"/>
        </w:rPr>
      </w:pPr>
    </w:p>
    <w:p w14:paraId="1ACE8706">
      <w:pPr>
        <w:pStyle w:val="7"/>
        <w:rPr>
          <w:rFonts w:ascii="仿宋" w:hAnsi="仿宋" w:eastAsia="仿宋"/>
          <w:color w:val="000000"/>
          <w:sz w:val="32"/>
          <w:szCs w:val="32"/>
        </w:rPr>
      </w:pPr>
    </w:p>
    <w:p w14:paraId="538B8C06">
      <w:pPr>
        <w:pStyle w:val="7"/>
        <w:rPr>
          <w:rFonts w:ascii="仿宋" w:hAnsi="仿宋" w:eastAsia="仿宋"/>
          <w:color w:val="000000"/>
          <w:sz w:val="32"/>
          <w:szCs w:val="32"/>
        </w:rPr>
      </w:pPr>
    </w:p>
    <w:p w14:paraId="0934F05C">
      <w:pPr>
        <w:spacing w:line="600" w:lineRule="exact"/>
        <w:ind w:firstLine="420" w:firstLineChars="200"/>
        <w:rPr>
          <w:rFonts w:hint="eastAsia" w:ascii="仿宋" w:hAnsi="仿宋" w:eastAsia="仿宋"/>
          <w:color w:val="000000" w:themeColor="text1"/>
          <w:sz w:val="32"/>
          <w:szCs w:val="32"/>
        </w:rPr>
      </w:pPr>
      <w:r>
        <w:drawing>
          <wp:anchor distT="0" distB="0" distL="114300" distR="114300" simplePos="0" relativeHeight="251661312" behindDoc="0" locked="0" layoutInCell="1" allowOverlap="1">
            <wp:simplePos x="0" y="0"/>
            <wp:positionH relativeFrom="column">
              <wp:posOffset>271145</wp:posOffset>
            </wp:positionH>
            <wp:positionV relativeFrom="paragraph">
              <wp:posOffset>-2795905</wp:posOffset>
            </wp:positionV>
            <wp:extent cx="5181600" cy="3095625"/>
            <wp:effectExtent l="4445" t="4445" r="14605" b="5080"/>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703E4D6">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rPr>
        <w:t>（图4：财政拨款收、支决算总计变动情况）（柱状图）</w:t>
      </w:r>
    </w:p>
    <w:p w14:paraId="60C5410D">
      <w:pPr>
        <w:spacing w:line="600" w:lineRule="exact"/>
        <w:ind w:firstLine="640" w:firstLineChars="200"/>
        <w:outlineLvl w:val="1"/>
        <w:rPr>
          <w:rStyle w:val="27"/>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14:paraId="436F4A74">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3F62CEEC">
      <w:pPr>
        <w:spacing w:line="600" w:lineRule="exact"/>
        <w:ind w:firstLine="640" w:firstLineChars="200"/>
        <w:rPr>
          <w:rFonts w:hint="eastAsia" w:ascii="仿宋" w:hAnsi="仿宋" w:eastAsia="宋体"/>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756.6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16</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76.83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9.22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乡事务减少</w:t>
      </w:r>
      <w:r>
        <w:rPr>
          <w:rFonts w:hint="eastAsia" w:ascii="仿宋" w:hAnsi="仿宋" w:eastAsia="仿宋"/>
          <w:color w:val="000000"/>
          <w:sz w:val="32"/>
          <w:szCs w:val="32"/>
          <w:lang w:eastAsia="zh-CN"/>
        </w:rPr>
        <w:t>。</w:t>
      </w:r>
    </w:p>
    <w:p w14:paraId="68BD97EF">
      <w:pPr>
        <w:spacing w:line="600" w:lineRule="exact"/>
        <w:ind w:firstLine="420" w:firstLineChars="200"/>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328295</wp:posOffset>
            </wp:positionH>
            <wp:positionV relativeFrom="paragraph">
              <wp:posOffset>101600</wp:posOffset>
            </wp:positionV>
            <wp:extent cx="4762500" cy="2172335"/>
            <wp:effectExtent l="5080" t="4445" r="13970" b="13970"/>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B66DDEC">
      <w:pPr>
        <w:spacing w:line="600" w:lineRule="exact"/>
        <w:ind w:firstLine="640" w:firstLineChars="200"/>
        <w:rPr>
          <w:rFonts w:hint="eastAsia" w:ascii="仿宋" w:hAnsi="仿宋" w:eastAsia="仿宋"/>
          <w:color w:val="000000" w:themeColor="text1"/>
          <w:sz w:val="32"/>
          <w:szCs w:val="32"/>
        </w:rPr>
      </w:pPr>
    </w:p>
    <w:p w14:paraId="72B53000">
      <w:pPr>
        <w:spacing w:line="600" w:lineRule="exact"/>
        <w:ind w:firstLine="640" w:firstLineChars="200"/>
        <w:rPr>
          <w:rFonts w:hint="eastAsia" w:ascii="仿宋" w:hAnsi="仿宋" w:eastAsia="仿宋"/>
          <w:color w:val="000000" w:themeColor="text1"/>
          <w:sz w:val="32"/>
          <w:szCs w:val="32"/>
        </w:rPr>
      </w:pPr>
    </w:p>
    <w:p w14:paraId="00D86591">
      <w:pPr>
        <w:spacing w:line="600" w:lineRule="exact"/>
        <w:ind w:firstLine="640" w:firstLineChars="200"/>
        <w:rPr>
          <w:rFonts w:hint="eastAsia" w:ascii="仿宋" w:hAnsi="仿宋" w:eastAsia="仿宋"/>
          <w:color w:val="000000" w:themeColor="text1"/>
          <w:sz w:val="32"/>
          <w:szCs w:val="32"/>
        </w:rPr>
      </w:pPr>
    </w:p>
    <w:p w14:paraId="4538E738">
      <w:pPr>
        <w:spacing w:line="600" w:lineRule="exact"/>
        <w:ind w:firstLine="640" w:firstLineChars="200"/>
        <w:rPr>
          <w:rFonts w:hint="eastAsia" w:ascii="仿宋" w:hAnsi="仿宋" w:eastAsia="仿宋"/>
          <w:color w:val="000000" w:themeColor="text1"/>
          <w:sz w:val="32"/>
          <w:szCs w:val="32"/>
        </w:rPr>
      </w:pPr>
    </w:p>
    <w:p w14:paraId="14670B63">
      <w:pPr>
        <w:spacing w:line="600" w:lineRule="exact"/>
        <w:ind w:firstLine="640" w:firstLineChars="200"/>
        <w:rPr>
          <w:rFonts w:hint="eastAsia" w:ascii="仿宋" w:hAnsi="仿宋" w:eastAsia="仿宋"/>
          <w:color w:val="000000" w:themeColor="text1"/>
          <w:sz w:val="32"/>
          <w:szCs w:val="32"/>
        </w:rPr>
      </w:pPr>
    </w:p>
    <w:p w14:paraId="15DFA5D7">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14:paraId="5DD05959">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48E74CC2">
      <w:pPr>
        <w:spacing w:line="600" w:lineRule="exact"/>
        <w:ind w:firstLine="640"/>
        <w:rPr>
          <w:rFonts w:hint="eastAsia" w:ascii="仿宋" w:hAnsi="仿宋" w:eastAsia="仿宋"/>
          <w:color w:val="000000"/>
          <w:sz w:val="32"/>
          <w:szCs w:val="32"/>
          <w:lang w:val="en-US" w:eastAsia="zh-CN"/>
        </w:rPr>
      </w:pPr>
      <w:r>
        <w:drawing>
          <wp:anchor distT="0" distB="0" distL="114300" distR="114300" simplePos="0" relativeHeight="251664384" behindDoc="0" locked="0" layoutInCell="1" allowOverlap="1">
            <wp:simplePos x="0" y="0"/>
            <wp:positionH relativeFrom="column">
              <wp:posOffset>1446530</wp:posOffset>
            </wp:positionH>
            <wp:positionV relativeFrom="paragraph">
              <wp:posOffset>3036570</wp:posOffset>
            </wp:positionV>
            <wp:extent cx="2885440" cy="1880235"/>
            <wp:effectExtent l="0" t="0" r="10160" b="5715"/>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2"/>
                    <a:stretch>
                      <a:fillRect/>
                    </a:stretch>
                  </pic:blipFill>
                  <pic:spPr>
                    <a:xfrm>
                      <a:off x="0" y="0"/>
                      <a:ext cx="2885440" cy="1880235"/>
                    </a:xfrm>
                    <a:prstGeom prst="rect">
                      <a:avLst/>
                    </a:prstGeom>
                    <a:noFill/>
                    <a:ln>
                      <a:noFill/>
                    </a:ln>
                  </pic:spPr>
                </pic:pic>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4931.25</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color w:val="000000" w:themeColor="text1"/>
          <w:sz w:val="32"/>
          <w:szCs w:val="32"/>
          <w:lang w:val="en-US" w:eastAsia="zh-CN"/>
        </w:rPr>
        <w:t>一</w:t>
      </w:r>
      <w:r>
        <w:rPr>
          <w:rFonts w:hint="eastAsia" w:ascii="仿宋" w:hAnsi="仿宋" w:eastAsia="仿宋"/>
          <w:color w:val="000000"/>
          <w:sz w:val="32"/>
          <w:szCs w:val="32"/>
          <w:lang w:val="en-US" w:eastAsia="zh-CN"/>
        </w:rPr>
        <w:t>般公共服务支出550.38万元，占比11%；科学技术支出1.00万元；文化旅游体育与传媒支出0.30万元；社会保障和就业支出144.43万元，占总支出3%；卫生健康支出28.34万元，占总支出1%；节能环保支出43.98万元，占总支出1%；城乡社区支出4085.45万元，占总支出83%；农林水支出24.14万元；住房保障支出53.23万元，占总支出1%。</w:t>
      </w:r>
    </w:p>
    <w:p w14:paraId="5A8CBDA4">
      <w:pPr>
        <w:pStyle w:val="7"/>
      </w:pPr>
    </w:p>
    <w:p w14:paraId="39BBD71C">
      <w:pPr>
        <w:spacing w:line="600" w:lineRule="exact"/>
        <w:ind w:firstLine="640"/>
        <w:rPr>
          <w:rFonts w:ascii="仿宋" w:hAnsi="仿宋" w:eastAsia="仿宋"/>
          <w:color w:val="000000" w:themeColor="text1"/>
          <w:sz w:val="32"/>
          <w:szCs w:val="32"/>
        </w:rPr>
      </w:pPr>
    </w:p>
    <w:p w14:paraId="495C987E">
      <w:pPr>
        <w:spacing w:line="600" w:lineRule="exact"/>
        <w:ind w:firstLine="640" w:firstLineChars="200"/>
        <w:rPr>
          <w:rFonts w:hint="eastAsia" w:ascii="仿宋" w:hAnsi="仿宋" w:eastAsia="仿宋"/>
          <w:color w:val="000000"/>
          <w:sz w:val="32"/>
          <w:szCs w:val="32"/>
        </w:rPr>
      </w:pPr>
    </w:p>
    <w:p w14:paraId="606ED6F4">
      <w:pPr>
        <w:spacing w:line="600" w:lineRule="exact"/>
        <w:ind w:firstLine="640" w:firstLineChars="200"/>
        <w:rPr>
          <w:rFonts w:hint="eastAsia" w:ascii="仿宋" w:hAnsi="仿宋" w:eastAsia="仿宋"/>
          <w:color w:val="000000"/>
          <w:sz w:val="32"/>
          <w:szCs w:val="32"/>
        </w:rPr>
      </w:pPr>
    </w:p>
    <w:p w14:paraId="0C3D83A3">
      <w:pPr>
        <w:spacing w:line="600" w:lineRule="exact"/>
        <w:ind w:firstLine="640" w:firstLineChars="200"/>
        <w:rPr>
          <w:rFonts w:hint="eastAsia" w:ascii="仿宋" w:hAnsi="仿宋" w:eastAsia="仿宋"/>
          <w:color w:val="000000"/>
          <w:sz w:val="32"/>
          <w:szCs w:val="32"/>
        </w:rPr>
      </w:pPr>
    </w:p>
    <w:p w14:paraId="341DBDE4">
      <w:pPr>
        <w:spacing w:line="600" w:lineRule="exact"/>
        <w:ind w:firstLine="640" w:firstLineChars="200"/>
        <w:rPr>
          <w:rFonts w:hint="eastAsia" w:ascii="仿宋" w:hAnsi="仿宋" w:eastAsia="仿宋"/>
          <w:color w:val="000000"/>
          <w:sz w:val="32"/>
          <w:szCs w:val="32"/>
        </w:rPr>
      </w:pPr>
    </w:p>
    <w:p w14:paraId="3A49E4F8">
      <w:pPr>
        <w:spacing w:line="600" w:lineRule="exact"/>
        <w:ind w:firstLine="320" w:firstLineChars="100"/>
        <w:rPr>
          <w:rFonts w:ascii="仿宋" w:hAnsi="仿宋" w:eastAsia="仿宋"/>
          <w:color w:val="000000"/>
          <w:sz w:val="32"/>
          <w:szCs w:val="32"/>
        </w:rPr>
      </w:pPr>
      <w:bookmarkStart w:id="36" w:name="_Toc15377212"/>
      <w:r>
        <w:rPr>
          <w:rFonts w:hint="eastAsia" w:ascii="仿宋" w:hAnsi="仿宋" w:eastAsia="仿宋"/>
          <w:color w:val="000000"/>
          <w:sz w:val="32"/>
          <w:szCs w:val="32"/>
        </w:rPr>
        <w:t>（图6：一般公共预算财政拨款支出决算结构）（饼状图）</w:t>
      </w:r>
    </w:p>
    <w:p w14:paraId="1F04243D">
      <w:pPr>
        <w:spacing w:line="600" w:lineRule="exact"/>
        <w:ind w:firstLine="321" w:firstLineChars="1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6"/>
    </w:p>
    <w:p w14:paraId="3E2F0767">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rPr>
        <w:t>2019年</w:t>
      </w:r>
      <w:r>
        <w:rPr>
          <w:rFonts w:hint="eastAsia" w:ascii="仿宋" w:hAnsi="仿宋" w:eastAsia="仿宋"/>
          <w:b/>
          <w:color w:val="000000" w:themeColor="text1"/>
          <w:sz w:val="32"/>
          <w:szCs w:val="32"/>
          <w:lang w:val="en-US" w:eastAsia="zh-CN"/>
        </w:rPr>
        <w:t>一</w:t>
      </w:r>
      <w:r>
        <w:rPr>
          <w:rFonts w:hint="eastAsia" w:ascii="仿宋" w:hAnsi="仿宋" w:eastAsia="仿宋"/>
          <w:b/>
          <w:color w:val="000000" w:themeColor="text1"/>
          <w:sz w:val="32"/>
          <w:szCs w:val="32"/>
        </w:rPr>
        <w:t>般公共预算支出决算数为</w:t>
      </w:r>
      <w:r>
        <w:rPr>
          <w:rFonts w:hint="eastAsia" w:ascii="仿宋" w:hAnsi="仿宋" w:eastAsia="仿宋"/>
          <w:b/>
          <w:color w:val="000000" w:themeColor="text1"/>
          <w:sz w:val="32"/>
          <w:szCs w:val="32"/>
          <w:lang w:val="en-US" w:eastAsia="zh-CN"/>
        </w:rPr>
        <w:t>4931.25万元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7"/>
      <w:bookmarkEnd w:id="38"/>
      <w:bookmarkEnd w:id="39"/>
    </w:p>
    <w:p w14:paraId="18C2E6A1">
      <w:pPr>
        <w:numPr>
          <w:ilvl w:val="0"/>
          <w:numId w:val="2"/>
        </w:numPr>
        <w:spacing w:line="600" w:lineRule="exact"/>
        <w:ind w:firstLine="643"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rPr>
        <w:t>一般公共服务（类）政府办公厅（室）及相关机构事务（款）</w:t>
      </w:r>
      <w:r>
        <w:rPr>
          <w:rStyle w:val="16"/>
          <w:rFonts w:hint="eastAsia" w:ascii="仿宋" w:hAnsi="仿宋" w:eastAsia="仿宋"/>
          <w:bCs/>
          <w:color w:val="000000"/>
          <w:sz w:val="32"/>
          <w:szCs w:val="32"/>
          <w:lang w:val="en-US" w:eastAsia="zh-CN"/>
        </w:rPr>
        <w:t>行政运行</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254.24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7D71976D">
      <w:pPr>
        <w:numPr>
          <w:ilvl w:val="0"/>
          <w:numId w:val="0"/>
        </w:numPr>
        <w:spacing w:line="600" w:lineRule="exact"/>
        <w:ind w:firstLine="964" w:firstLineChars="3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rPr>
        <w:t>一般公共服务（类）政府办公厅（室）及相关机构事务（款）</w:t>
      </w:r>
      <w:r>
        <w:rPr>
          <w:rStyle w:val="16"/>
          <w:rFonts w:hint="eastAsia" w:ascii="仿宋" w:hAnsi="仿宋" w:eastAsia="仿宋"/>
          <w:bCs/>
          <w:color w:val="000000"/>
          <w:sz w:val="32"/>
          <w:szCs w:val="32"/>
          <w:lang w:val="en-US" w:eastAsia="zh-CN"/>
        </w:rPr>
        <w:t>一般行政管理事务</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131.85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0C96881E">
      <w:pPr>
        <w:numPr>
          <w:ilvl w:val="0"/>
          <w:numId w:val="0"/>
        </w:numPr>
        <w:spacing w:line="600" w:lineRule="exact"/>
        <w:ind w:firstLine="964" w:firstLineChars="3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rPr>
        <w:t>一般公共服务（类）政府办公厅（室）及相关机构事务（款）</w:t>
      </w:r>
      <w:r>
        <w:rPr>
          <w:rStyle w:val="16"/>
          <w:rFonts w:hint="eastAsia" w:ascii="仿宋" w:hAnsi="仿宋" w:eastAsia="仿宋"/>
          <w:bCs/>
          <w:color w:val="000000"/>
          <w:sz w:val="32"/>
          <w:szCs w:val="32"/>
          <w:lang w:val="en-US" w:eastAsia="zh-CN"/>
        </w:rPr>
        <w:t>信访事务</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2.00</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3F6AE209">
      <w:pPr>
        <w:numPr>
          <w:ilvl w:val="0"/>
          <w:numId w:val="0"/>
        </w:numPr>
        <w:spacing w:line="600" w:lineRule="exact"/>
        <w:ind w:firstLine="964" w:firstLineChars="3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rPr>
        <w:t>一般公共服务（类）政府办公厅（室）及相关机构事务（款）</w:t>
      </w:r>
      <w:r>
        <w:rPr>
          <w:rStyle w:val="16"/>
          <w:rFonts w:hint="eastAsia" w:ascii="仿宋" w:hAnsi="仿宋" w:eastAsia="仿宋"/>
          <w:bCs/>
          <w:color w:val="000000"/>
          <w:sz w:val="32"/>
          <w:szCs w:val="32"/>
          <w:lang w:val="en-US" w:eastAsia="zh-CN"/>
        </w:rPr>
        <w:t>事业运行</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156.71</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3C448674">
      <w:pPr>
        <w:numPr>
          <w:ilvl w:val="0"/>
          <w:numId w:val="0"/>
        </w:num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2</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科学技术（类）</w:t>
      </w:r>
      <w:r>
        <w:rPr>
          <w:rStyle w:val="16"/>
          <w:rFonts w:hint="eastAsia" w:ascii="仿宋" w:hAnsi="仿宋" w:eastAsia="仿宋"/>
          <w:bCs/>
          <w:color w:val="000000"/>
          <w:sz w:val="32"/>
          <w:szCs w:val="32"/>
          <w:lang w:val="en-US" w:eastAsia="zh-CN"/>
        </w:rPr>
        <w:t>科学技术普及</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其他科学技术普及</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1.00</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1374E2B9">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3</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文化旅游体育与传媒（类）</w:t>
      </w:r>
      <w:r>
        <w:rPr>
          <w:rStyle w:val="16"/>
          <w:rFonts w:hint="eastAsia" w:ascii="仿宋" w:hAnsi="仿宋" w:eastAsia="仿宋"/>
          <w:bCs/>
          <w:color w:val="000000"/>
          <w:sz w:val="32"/>
          <w:szCs w:val="32"/>
          <w:lang w:val="en-US" w:eastAsia="zh-CN"/>
        </w:rPr>
        <w:t>新闻出版电影</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其他新闻出版电影</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0.30</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41F3CE2E">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5.</w:t>
      </w:r>
      <w:r>
        <w:rPr>
          <w:rStyle w:val="16"/>
          <w:rFonts w:hint="eastAsia" w:ascii="仿宋" w:hAnsi="仿宋" w:eastAsia="仿宋"/>
          <w:bCs/>
          <w:color w:val="000000"/>
          <w:sz w:val="32"/>
          <w:szCs w:val="32"/>
        </w:rPr>
        <w:t>社会保障和就业（类）</w:t>
      </w:r>
      <w:r>
        <w:rPr>
          <w:rStyle w:val="16"/>
          <w:rFonts w:hint="eastAsia" w:ascii="仿宋" w:hAnsi="仿宋" w:eastAsia="仿宋"/>
          <w:bCs/>
          <w:color w:val="000000"/>
          <w:sz w:val="32"/>
          <w:szCs w:val="32"/>
          <w:lang w:val="en-US" w:eastAsia="zh-CN"/>
        </w:rPr>
        <w:t>民政管理事务</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基层政权和社区建设</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96.36</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0FE723EE">
      <w:pPr>
        <w:spacing w:line="600" w:lineRule="exact"/>
        <w:ind w:firstLine="964" w:firstLineChars="300"/>
        <w:rPr>
          <w:rFonts w:ascii="仿宋" w:hAnsi="仿宋" w:eastAsia="仿宋"/>
          <w:b/>
          <w:color w:val="000000"/>
          <w:sz w:val="32"/>
          <w:szCs w:val="32"/>
        </w:rPr>
      </w:pPr>
      <w:r>
        <w:rPr>
          <w:rStyle w:val="16"/>
          <w:rFonts w:hint="eastAsia" w:ascii="仿宋" w:hAnsi="仿宋" w:eastAsia="仿宋"/>
          <w:bCs/>
          <w:color w:val="000000"/>
          <w:sz w:val="32"/>
          <w:szCs w:val="32"/>
        </w:rPr>
        <w:t>社会保障和就业（类）</w:t>
      </w:r>
      <w:r>
        <w:rPr>
          <w:rStyle w:val="16"/>
          <w:rFonts w:hint="eastAsia" w:ascii="仿宋" w:hAnsi="仿宋" w:eastAsia="仿宋"/>
          <w:bCs/>
          <w:color w:val="000000"/>
          <w:sz w:val="32"/>
          <w:szCs w:val="32"/>
          <w:lang w:val="en-US" w:eastAsia="zh-CN"/>
        </w:rPr>
        <w:t>行政事业单位离休</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未归口管理的行政单位离休费</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10.7</w:t>
      </w:r>
      <w:r>
        <w:rPr>
          <w:rStyle w:val="16"/>
          <w:rFonts w:hint="eastAsia" w:ascii="仿宋" w:hAnsi="仿宋" w:eastAsia="仿宋"/>
          <w:b w:val="0"/>
          <w:bCs/>
          <w:color w:val="000000"/>
          <w:sz w:val="32"/>
          <w:szCs w:val="32"/>
        </w:rPr>
        <w:t>万元，</w:t>
      </w:r>
      <w:r>
        <w:rPr>
          <w:rStyle w:val="16"/>
          <w:rFonts w:hint="eastAsia" w:ascii="仿宋" w:hAnsi="仿宋" w:eastAsia="仿宋"/>
          <w:b w:val="0"/>
          <w:bCs/>
          <w:color w:val="000000"/>
          <w:sz w:val="32"/>
          <w:szCs w:val="32"/>
          <w:lang w:val="en-US" w:eastAsia="zh-CN"/>
        </w:rPr>
        <w:t>决算数与预算数持平；</w:t>
      </w:r>
    </w:p>
    <w:p w14:paraId="0E6CF6D6">
      <w:pPr>
        <w:spacing w:line="600" w:lineRule="exact"/>
        <w:ind w:firstLine="964" w:firstLineChars="300"/>
        <w:rPr>
          <w:rFonts w:ascii="仿宋" w:hAnsi="仿宋" w:eastAsia="仿宋"/>
          <w:b/>
          <w:color w:val="000000"/>
          <w:sz w:val="32"/>
          <w:szCs w:val="32"/>
        </w:rPr>
      </w:pPr>
      <w:r>
        <w:rPr>
          <w:rStyle w:val="16"/>
          <w:rFonts w:hint="eastAsia" w:ascii="仿宋" w:hAnsi="仿宋" w:eastAsia="仿宋"/>
          <w:bCs/>
          <w:color w:val="000000"/>
          <w:sz w:val="32"/>
          <w:szCs w:val="32"/>
        </w:rPr>
        <w:t>社会保障和就业（类）</w:t>
      </w:r>
      <w:r>
        <w:rPr>
          <w:rStyle w:val="16"/>
          <w:rFonts w:hint="eastAsia" w:ascii="仿宋" w:hAnsi="仿宋" w:eastAsia="仿宋"/>
          <w:bCs/>
          <w:color w:val="000000"/>
          <w:sz w:val="32"/>
          <w:szCs w:val="32"/>
          <w:lang w:val="en-US" w:eastAsia="zh-CN"/>
        </w:rPr>
        <w:t>行政事业单位离休</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机关事业单位养老保险费</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37.07</w:t>
      </w:r>
      <w:r>
        <w:rPr>
          <w:rStyle w:val="16"/>
          <w:rFonts w:hint="eastAsia" w:ascii="仿宋" w:hAnsi="仿宋" w:eastAsia="仿宋"/>
          <w:b w:val="0"/>
          <w:bCs/>
          <w:color w:val="000000"/>
          <w:sz w:val="32"/>
          <w:szCs w:val="32"/>
        </w:rPr>
        <w:t>万元，</w:t>
      </w:r>
      <w:r>
        <w:rPr>
          <w:rStyle w:val="16"/>
          <w:rFonts w:hint="eastAsia" w:ascii="仿宋" w:hAnsi="仿宋" w:eastAsia="仿宋"/>
          <w:b w:val="0"/>
          <w:bCs/>
          <w:color w:val="000000"/>
          <w:sz w:val="32"/>
          <w:szCs w:val="32"/>
          <w:lang w:val="en-US" w:eastAsia="zh-CN"/>
        </w:rPr>
        <w:t>决算数与预算数持平；</w:t>
      </w:r>
    </w:p>
    <w:p w14:paraId="2D9C827B">
      <w:pPr>
        <w:spacing w:line="600" w:lineRule="exact"/>
        <w:ind w:firstLine="964" w:firstLineChars="300"/>
        <w:rPr>
          <w:rStyle w:val="16"/>
          <w:rFonts w:ascii="仿宋" w:hAnsi="仿宋" w:eastAsia="仿宋"/>
          <w:bCs/>
          <w:color w:val="000000"/>
          <w:sz w:val="32"/>
          <w:szCs w:val="32"/>
        </w:rPr>
      </w:pPr>
      <w:r>
        <w:rPr>
          <w:rStyle w:val="16"/>
          <w:rFonts w:hint="eastAsia" w:ascii="仿宋" w:hAnsi="仿宋" w:eastAsia="仿宋"/>
          <w:bCs/>
          <w:color w:val="000000"/>
          <w:sz w:val="32"/>
          <w:szCs w:val="32"/>
        </w:rPr>
        <w:t>社会保障和就业（类）</w:t>
      </w:r>
      <w:r>
        <w:rPr>
          <w:rStyle w:val="16"/>
          <w:rFonts w:hint="eastAsia" w:ascii="仿宋" w:hAnsi="仿宋" w:eastAsia="仿宋"/>
          <w:bCs/>
          <w:color w:val="000000"/>
          <w:sz w:val="32"/>
          <w:szCs w:val="32"/>
          <w:lang w:val="en-US" w:eastAsia="zh-CN"/>
        </w:rPr>
        <w:t>退役军人管理事业</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拥军优属</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0.29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75F623A9">
      <w:pPr>
        <w:spacing w:line="600" w:lineRule="exact"/>
        <w:ind w:firstLine="643" w:firstLineChars="200"/>
        <w:rPr>
          <w:rStyle w:val="16"/>
          <w:rFonts w:ascii="仿宋" w:hAnsi="仿宋" w:eastAsia="仿宋"/>
          <w:bCs/>
          <w:color w:val="000000"/>
          <w:sz w:val="32"/>
          <w:szCs w:val="32"/>
        </w:rPr>
      </w:pPr>
      <w:r>
        <w:rPr>
          <w:rStyle w:val="16"/>
          <w:rFonts w:ascii="仿宋" w:hAnsi="仿宋" w:eastAsia="仿宋"/>
          <w:bCs/>
          <w:color w:val="000000"/>
          <w:sz w:val="32"/>
          <w:szCs w:val="32"/>
        </w:rPr>
        <w:t>6.</w:t>
      </w:r>
      <w:r>
        <w:rPr>
          <w:rFonts w:hint="eastAsia" w:ascii="仿宋" w:hAnsi="仿宋" w:eastAsia="仿宋"/>
          <w:b/>
          <w:bCs/>
          <w:color w:val="000000" w:themeColor="text1"/>
          <w:sz w:val="32"/>
          <w:szCs w:val="32"/>
        </w:rPr>
        <w:t>卫生健康</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行政事业单位医疗</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行政事业单位医疗</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16.33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77A4AFBF">
      <w:pPr>
        <w:spacing w:line="600" w:lineRule="exact"/>
        <w:ind w:firstLine="964" w:firstLineChars="300"/>
        <w:rPr>
          <w:rStyle w:val="16"/>
          <w:rFonts w:ascii="仿宋" w:hAnsi="仿宋" w:eastAsia="仿宋"/>
          <w:bCs/>
          <w:color w:val="000000"/>
          <w:sz w:val="32"/>
          <w:szCs w:val="32"/>
        </w:rPr>
      </w:pPr>
      <w:r>
        <w:rPr>
          <w:rFonts w:hint="eastAsia" w:ascii="仿宋" w:hAnsi="仿宋" w:eastAsia="仿宋"/>
          <w:b/>
          <w:bCs/>
          <w:color w:val="000000" w:themeColor="text1"/>
          <w:sz w:val="32"/>
          <w:szCs w:val="32"/>
        </w:rPr>
        <w:t>卫生健康</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行政事业单位医疗</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事业单位医疗</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9.85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0C61A6E5">
      <w:pPr>
        <w:spacing w:line="600" w:lineRule="exact"/>
        <w:ind w:firstLine="964" w:firstLineChars="300"/>
        <w:rPr>
          <w:rStyle w:val="16"/>
          <w:rFonts w:ascii="仿宋" w:hAnsi="仿宋" w:eastAsia="仿宋"/>
          <w:bCs/>
          <w:color w:val="000000"/>
          <w:sz w:val="32"/>
          <w:szCs w:val="32"/>
        </w:rPr>
      </w:pPr>
      <w:r>
        <w:rPr>
          <w:rFonts w:hint="eastAsia" w:ascii="仿宋" w:hAnsi="仿宋" w:eastAsia="仿宋"/>
          <w:b/>
          <w:bCs/>
          <w:color w:val="000000" w:themeColor="text1"/>
          <w:sz w:val="32"/>
          <w:szCs w:val="32"/>
        </w:rPr>
        <w:t>卫生健康</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行政事业单位医疗</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公务员医疗补助</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2.16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0CBA11DB">
      <w:pPr>
        <w:spacing w:line="600" w:lineRule="exact"/>
        <w:ind w:firstLine="643" w:firstLineChars="200"/>
        <w:rPr>
          <w:rStyle w:val="16"/>
          <w:rFonts w:hint="eastAsia" w:ascii="仿宋" w:hAnsi="仿宋" w:eastAsia="仿宋"/>
          <w:bCs/>
          <w:color w:val="000000"/>
          <w:sz w:val="32"/>
          <w:szCs w:val="32"/>
        </w:rPr>
      </w:pPr>
      <w:r>
        <w:rPr>
          <w:rFonts w:hint="eastAsia" w:ascii="仿宋" w:hAnsi="仿宋" w:eastAsia="仿宋"/>
          <w:b/>
          <w:bCs/>
          <w:color w:val="000000" w:themeColor="text1"/>
          <w:sz w:val="32"/>
          <w:szCs w:val="32"/>
          <w:lang w:val="en-US" w:eastAsia="zh-CN"/>
        </w:rPr>
        <w:t>7.节能环保</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污染防治</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水体</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8</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29F2F3FF">
      <w:pPr>
        <w:spacing w:line="600" w:lineRule="exact"/>
        <w:ind w:firstLine="964" w:firstLineChars="300"/>
        <w:rPr>
          <w:rStyle w:val="16"/>
          <w:rFonts w:hint="eastAsia" w:ascii="仿宋" w:hAnsi="仿宋" w:eastAsia="仿宋"/>
          <w:bCs/>
          <w:color w:val="000000"/>
          <w:sz w:val="32"/>
          <w:szCs w:val="32"/>
        </w:rPr>
      </w:pPr>
      <w:r>
        <w:rPr>
          <w:rFonts w:hint="eastAsia" w:ascii="仿宋" w:hAnsi="仿宋" w:eastAsia="仿宋"/>
          <w:b/>
          <w:bCs/>
          <w:color w:val="000000" w:themeColor="text1"/>
          <w:sz w:val="32"/>
          <w:szCs w:val="32"/>
          <w:lang w:val="en-US" w:eastAsia="zh-CN"/>
        </w:rPr>
        <w:t>节能环保</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自然生态保护</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农村环境保护</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28.93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20E960BE">
      <w:pPr>
        <w:spacing w:line="600" w:lineRule="exact"/>
        <w:ind w:firstLine="964" w:firstLineChars="300"/>
        <w:rPr>
          <w:rStyle w:val="16"/>
          <w:rFonts w:hint="eastAsia" w:ascii="仿宋" w:hAnsi="仿宋" w:eastAsia="仿宋"/>
          <w:bCs/>
          <w:color w:val="000000"/>
          <w:sz w:val="32"/>
          <w:szCs w:val="32"/>
        </w:rPr>
      </w:pPr>
      <w:r>
        <w:rPr>
          <w:rFonts w:hint="eastAsia" w:ascii="仿宋" w:hAnsi="仿宋" w:eastAsia="仿宋"/>
          <w:b/>
          <w:bCs/>
          <w:color w:val="000000" w:themeColor="text1"/>
          <w:sz w:val="32"/>
          <w:szCs w:val="32"/>
          <w:lang w:val="en-US" w:eastAsia="zh-CN"/>
        </w:rPr>
        <w:t>节能环保</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其他节能环保</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其他节能环保</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7.05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5CC7AD3A">
      <w:pPr>
        <w:spacing w:line="600" w:lineRule="exact"/>
        <w:ind w:firstLine="643" w:firstLineChars="200"/>
        <w:rPr>
          <w:rStyle w:val="16"/>
          <w:rFonts w:hint="eastAsia" w:ascii="仿宋" w:hAnsi="仿宋" w:eastAsia="仿宋"/>
          <w:bCs/>
          <w:color w:val="000000"/>
          <w:sz w:val="32"/>
          <w:szCs w:val="32"/>
          <w:lang w:val="en-US" w:eastAsia="zh-CN"/>
        </w:rPr>
      </w:pPr>
      <w:r>
        <w:rPr>
          <w:rFonts w:hint="eastAsia" w:ascii="仿宋" w:hAnsi="仿宋" w:eastAsia="仿宋"/>
          <w:b/>
          <w:bCs/>
          <w:color w:val="000000" w:themeColor="text1"/>
          <w:sz w:val="32"/>
          <w:szCs w:val="32"/>
          <w:lang w:val="en-US" w:eastAsia="zh-CN"/>
        </w:rPr>
        <w:t>8.城乡社区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国有土地使用权出让收入及对应专项债务收入安排</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征地和拆迁补偿</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1032.47</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28ECE95D">
      <w:pPr>
        <w:spacing w:line="600" w:lineRule="exact"/>
        <w:ind w:firstLine="964" w:firstLineChars="300"/>
        <w:rPr>
          <w:rStyle w:val="16"/>
          <w:rFonts w:hint="eastAsia" w:ascii="仿宋" w:hAnsi="仿宋" w:eastAsia="仿宋"/>
          <w:bCs/>
          <w:color w:val="000000"/>
          <w:sz w:val="32"/>
          <w:szCs w:val="32"/>
          <w:lang w:val="en-US" w:eastAsia="zh-CN"/>
        </w:rPr>
      </w:pPr>
      <w:r>
        <w:rPr>
          <w:rFonts w:hint="eastAsia" w:ascii="仿宋" w:hAnsi="仿宋" w:eastAsia="仿宋"/>
          <w:b/>
          <w:bCs/>
          <w:color w:val="000000" w:themeColor="text1"/>
          <w:sz w:val="32"/>
          <w:szCs w:val="32"/>
          <w:lang w:val="en-US" w:eastAsia="zh-CN"/>
        </w:rPr>
        <w:t>城乡社区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国有土地使用权出让收入及对应专项债务收入安排</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土地开发支出</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295.35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6CE161A2">
      <w:pPr>
        <w:spacing w:line="600" w:lineRule="exact"/>
        <w:ind w:firstLine="643" w:firstLineChars="200"/>
        <w:rPr>
          <w:rStyle w:val="16"/>
          <w:rFonts w:hint="eastAsia" w:ascii="仿宋" w:hAnsi="仿宋" w:eastAsia="仿宋"/>
          <w:bCs/>
          <w:color w:val="000000"/>
          <w:sz w:val="32"/>
          <w:szCs w:val="32"/>
          <w:lang w:val="en-US" w:eastAsia="zh-CN"/>
        </w:rPr>
      </w:pPr>
      <w:r>
        <w:rPr>
          <w:rFonts w:hint="eastAsia" w:ascii="仿宋" w:hAnsi="仿宋" w:eastAsia="仿宋"/>
          <w:b/>
          <w:bCs/>
          <w:color w:val="000000" w:themeColor="text1"/>
          <w:sz w:val="32"/>
          <w:szCs w:val="32"/>
          <w:lang w:val="en-US" w:eastAsia="zh-CN"/>
        </w:rPr>
        <w:t>城乡社区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国有土地使用权出让收入及对应专项债务收入安排</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补助被征地农民</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2757.63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3A34FDFA">
      <w:pPr>
        <w:spacing w:line="600" w:lineRule="exact"/>
        <w:ind w:firstLine="643" w:firstLineChars="200"/>
        <w:rPr>
          <w:rStyle w:val="16"/>
          <w:rFonts w:hint="eastAsia" w:ascii="仿宋" w:hAnsi="仿宋" w:eastAsia="仿宋"/>
          <w:bCs/>
          <w:color w:val="000000"/>
          <w:sz w:val="32"/>
          <w:szCs w:val="32"/>
          <w:lang w:val="en-US" w:eastAsia="zh-CN"/>
        </w:rPr>
      </w:pPr>
      <w:r>
        <w:rPr>
          <w:rFonts w:hint="eastAsia" w:ascii="仿宋" w:hAnsi="仿宋" w:eastAsia="仿宋"/>
          <w:b/>
          <w:bCs/>
          <w:color w:val="000000" w:themeColor="text1"/>
          <w:sz w:val="32"/>
          <w:szCs w:val="32"/>
          <w:lang w:val="en-US" w:eastAsia="zh-CN"/>
        </w:rPr>
        <w:t>8.农林水</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农业</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农业生产补贴</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0.05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7B1973D8">
      <w:pPr>
        <w:spacing w:line="600" w:lineRule="exact"/>
        <w:ind w:firstLine="643" w:firstLineChars="200"/>
        <w:rPr>
          <w:rStyle w:val="16"/>
          <w:rFonts w:hint="eastAsia" w:ascii="仿宋" w:hAnsi="仿宋" w:eastAsia="仿宋"/>
          <w:bCs/>
          <w:color w:val="000000"/>
          <w:sz w:val="32"/>
          <w:szCs w:val="32"/>
          <w:lang w:val="en-US" w:eastAsia="zh-CN"/>
        </w:rPr>
      </w:pPr>
      <w:r>
        <w:rPr>
          <w:rFonts w:hint="eastAsia" w:ascii="仿宋" w:hAnsi="仿宋" w:eastAsia="仿宋"/>
          <w:b/>
          <w:bCs/>
          <w:color w:val="000000" w:themeColor="text1"/>
          <w:sz w:val="32"/>
          <w:szCs w:val="32"/>
          <w:lang w:val="en-US" w:eastAsia="zh-CN"/>
        </w:rPr>
        <w:t xml:space="preserve"> 农林水</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水利</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抗旱</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3.19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70EE958C">
      <w:pPr>
        <w:spacing w:line="600" w:lineRule="exact"/>
        <w:ind w:firstLine="643" w:firstLineChars="200"/>
        <w:rPr>
          <w:rStyle w:val="16"/>
          <w:rFonts w:hint="eastAsia" w:ascii="仿宋" w:hAnsi="仿宋" w:eastAsia="仿宋"/>
          <w:bCs/>
          <w:color w:val="000000"/>
          <w:sz w:val="32"/>
          <w:szCs w:val="32"/>
          <w:lang w:val="en-US" w:eastAsia="zh-CN"/>
        </w:rPr>
      </w:pPr>
      <w:r>
        <w:rPr>
          <w:rFonts w:hint="eastAsia" w:ascii="仿宋" w:hAnsi="仿宋" w:eastAsia="仿宋"/>
          <w:b/>
          <w:bCs/>
          <w:color w:val="000000" w:themeColor="text1"/>
          <w:sz w:val="32"/>
          <w:szCs w:val="32"/>
          <w:lang w:val="en-US" w:eastAsia="zh-CN"/>
        </w:rPr>
        <w:t xml:space="preserve"> 农林水</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农村综合改革</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对村民委员会和村党支部的补助</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18.9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64D0D7DC">
      <w:pPr>
        <w:spacing w:line="600" w:lineRule="exact"/>
        <w:ind w:firstLine="964" w:firstLineChars="300"/>
        <w:rPr>
          <w:rStyle w:val="16"/>
          <w:rFonts w:hint="eastAsia" w:ascii="仿宋" w:hAnsi="仿宋" w:eastAsia="仿宋"/>
          <w:bCs/>
          <w:color w:val="000000"/>
          <w:sz w:val="32"/>
          <w:szCs w:val="32"/>
          <w:lang w:val="en-US" w:eastAsia="zh-CN"/>
        </w:rPr>
      </w:pPr>
      <w:r>
        <w:rPr>
          <w:rFonts w:hint="eastAsia" w:ascii="仿宋" w:hAnsi="仿宋" w:eastAsia="仿宋"/>
          <w:b/>
          <w:bCs/>
          <w:color w:val="000000" w:themeColor="text1"/>
          <w:sz w:val="32"/>
          <w:szCs w:val="32"/>
          <w:lang w:val="en-US" w:eastAsia="zh-CN"/>
        </w:rPr>
        <w:t>农林水</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其他农林水</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其他农林水</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2.00</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决算数与预算数持平；</w:t>
      </w:r>
    </w:p>
    <w:p w14:paraId="4B62BD43">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9</w:t>
      </w:r>
      <w:r>
        <w:rPr>
          <w:rStyle w:val="16"/>
          <w:rFonts w:ascii="仿宋" w:hAnsi="仿宋" w:eastAsia="仿宋"/>
          <w:bCs/>
          <w:color w:val="000000"/>
          <w:sz w:val="32"/>
          <w:szCs w:val="32"/>
        </w:rPr>
        <w:t>.</w:t>
      </w:r>
      <w:r>
        <w:rPr>
          <w:rStyle w:val="16"/>
          <w:rFonts w:hint="eastAsia" w:ascii="仿宋" w:hAnsi="仿宋" w:eastAsia="仿宋"/>
          <w:bCs/>
          <w:color w:val="000000"/>
          <w:sz w:val="32"/>
          <w:szCs w:val="32"/>
          <w:lang w:eastAsia="zh-CN"/>
        </w:rPr>
        <w:t>住房保障</w:t>
      </w:r>
      <w:r>
        <w:rPr>
          <w:rStyle w:val="16"/>
          <w:rFonts w:hint="eastAsia" w:ascii="仿宋" w:hAnsi="仿宋" w:eastAsia="仿宋"/>
          <w:bCs/>
          <w:color w:val="000000"/>
          <w:sz w:val="32"/>
          <w:szCs w:val="32"/>
        </w:rPr>
        <w:t>（类）住房改革支出（款）住房公积金（项）</w:t>
      </w:r>
      <w:r>
        <w:rPr>
          <w:rStyle w:val="16"/>
          <w:rFonts w:ascii="仿宋" w:hAnsi="仿宋" w:eastAsia="仿宋"/>
          <w:bCs/>
          <w:color w:val="000000"/>
          <w:sz w:val="32"/>
          <w:szCs w:val="32"/>
        </w:rPr>
        <w:t>:</w:t>
      </w:r>
      <w:r>
        <w:rPr>
          <w:rStyle w:val="16"/>
          <w:rFonts w:hint="eastAsia" w:ascii="仿宋" w:hAnsi="仿宋" w:eastAsia="仿宋"/>
          <w:bCs/>
          <w:color w:val="000000"/>
          <w:sz w:val="32"/>
          <w:szCs w:val="32"/>
          <w:lang w:val="en-US" w:eastAsia="zh-CN"/>
        </w:rPr>
        <w:t>支出决算为53.23万元，完成预算100%，决算数与预算数持平。</w:t>
      </w:r>
    </w:p>
    <w:p w14:paraId="3E0CE998">
      <w:pPr>
        <w:tabs>
          <w:tab w:val="right" w:pos="8306"/>
        </w:tabs>
        <w:spacing w:line="600" w:lineRule="exact"/>
        <w:ind w:firstLine="640"/>
        <w:outlineLvl w:val="1"/>
        <w:rPr>
          <w:rStyle w:val="2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14:paraId="5867EC97">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540.33</w:t>
      </w:r>
      <w:r>
        <w:rPr>
          <w:rFonts w:hint="eastAsia" w:ascii="仿宋" w:hAnsi="仿宋" w:eastAsia="仿宋"/>
          <w:color w:val="000000"/>
          <w:sz w:val="32"/>
          <w:szCs w:val="32"/>
        </w:rPr>
        <w:t>万元，其中：</w:t>
      </w:r>
    </w:p>
    <w:p w14:paraId="1CDBE339">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526.17</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14.16</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D1E1B8C">
      <w:pPr>
        <w:spacing w:line="600" w:lineRule="exact"/>
        <w:ind w:firstLine="640"/>
        <w:outlineLvl w:val="1"/>
        <w:rPr>
          <w:rStyle w:val="27"/>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14:paraId="7320B9A5">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0F9CD187">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2.16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30.86</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w:t>
      </w:r>
      <w:r>
        <w:rPr>
          <w:rFonts w:hint="eastAsia" w:ascii="仿宋" w:hAnsi="仿宋" w:eastAsia="仿宋"/>
          <w:color w:val="000000"/>
          <w:sz w:val="32"/>
          <w:szCs w:val="32"/>
          <w:lang w:val="en-US" w:eastAsia="zh-CN"/>
        </w:rPr>
        <w:t>2019年无因公出国（境）费用，以及厉行节约，减少其余三公经费</w:t>
      </w:r>
      <w:r>
        <w:rPr>
          <w:rFonts w:hint="eastAsia" w:ascii="仿宋" w:hAnsi="仿宋" w:eastAsia="仿宋"/>
          <w:color w:val="000000"/>
          <w:sz w:val="32"/>
          <w:szCs w:val="32"/>
        </w:rPr>
        <w:t>。</w:t>
      </w:r>
    </w:p>
    <w:p w14:paraId="354AA586">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62131D67">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2.03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93.98</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6.02</w:t>
      </w:r>
      <w:r>
        <w:rPr>
          <w:rFonts w:ascii="仿宋" w:hAnsi="仿宋" w:eastAsia="仿宋"/>
          <w:color w:val="000000"/>
          <w:sz w:val="32"/>
          <w:szCs w:val="32"/>
        </w:rPr>
        <w:t>%</w:t>
      </w:r>
      <w:r>
        <w:rPr>
          <w:rFonts w:hint="eastAsia" w:ascii="仿宋" w:hAnsi="仿宋" w:eastAsia="仿宋"/>
          <w:color w:val="000000"/>
          <w:sz w:val="32"/>
          <w:szCs w:val="32"/>
        </w:rPr>
        <w:t>。具体情况如下：</w:t>
      </w:r>
    </w:p>
    <w:p w14:paraId="07B313BF">
      <w:pPr>
        <w:spacing w:line="600" w:lineRule="exact"/>
        <w:ind w:firstLine="640"/>
        <w:rPr>
          <w:rFonts w:hint="eastAsia" w:ascii="仿宋" w:hAnsi="仿宋" w:eastAsia="仿宋"/>
          <w:color w:val="000000"/>
          <w:sz w:val="32"/>
          <w:szCs w:val="32"/>
        </w:rPr>
      </w:pPr>
      <w:r>
        <w:drawing>
          <wp:anchor distT="0" distB="0" distL="114300" distR="114300" simplePos="0" relativeHeight="251665408" behindDoc="0" locked="0" layoutInCell="1" allowOverlap="1">
            <wp:simplePos x="0" y="0"/>
            <wp:positionH relativeFrom="column">
              <wp:posOffset>67945</wp:posOffset>
            </wp:positionH>
            <wp:positionV relativeFrom="paragraph">
              <wp:posOffset>65405</wp:posOffset>
            </wp:positionV>
            <wp:extent cx="5115560" cy="1711960"/>
            <wp:effectExtent l="5080" t="4445" r="22860" b="17145"/>
            <wp:wrapNone/>
            <wp:docPr id="20"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EB05A66">
      <w:pPr>
        <w:spacing w:line="600" w:lineRule="exact"/>
        <w:ind w:firstLine="640"/>
        <w:rPr>
          <w:rFonts w:hint="eastAsia" w:ascii="仿宋" w:hAnsi="仿宋" w:eastAsia="仿宋"/>
          <w:color w:val="000000"/>
          <w:sz w:val="32"/>
          <w:szCs w:val="32"/>
        </w:rPr>
      </w:pPr>
    </w:p>
    <w:p w14:paraId="28AA307B">
      <w:pPr>
        <w:spacing w:line="600" w:lineRule="exact"/>
        <w:ind w:firstLine="640"/>
        <w:rPr>
          <w:rFonts w:hint="eastAsia" w:ascii="仿宋" w:hAnsi="仿宋" w:eastAsia="仿宋"/>
          <w:color w:val="000000"/>
          <w:sz w:val="32"/>
          <w:szCs w:val="32"/>
        </w:rPr>
      </w:pPr>
    </w:p>
    <w:p w14:paraId="0B054CDB">
      <w:pPr>
        <w:spacing w:line="600" w:lineRule="exact"/>
        <w:ind w:firstLine="640"/>
        <w:rPr>
          <w:rFonts w:hint="eastAsia" w:ascii="仿宋" w:hAnsi="仿宋" w:eastAsia="仿宋"/>
          <w:color w:val="000000"/>
          <w:sz w:val="32"/>
          <w:szCs w:val="32"/>
        </w:rPr>
      </w:pPr>
    </w:p>
    <w:p w14:paraId="7E80FE7B">
      <w:pPr>
        <w:spacing w:line="600" w:lineRule="exact"/>
        <w:rPr>
          <w:rFonts w:hint="eastAsia" w:ascii="仿宋" w:hAnsi="仿宋" w:eastAsia="仿宋"/>
          <w:color w:val="000000"/>
          <w:sz w:val="32"/>
          <w:szCs w:val="32"/>
        </w:rPr>
      </w:pPr>
    </w:p>
    <w:p w14:paraId="19065C17">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14:paraId="3BF2E1DD">
      <w:pPr>
        <w:numPr>
          <w:ilvl w:val="0"/>
          <w:numId w:val="0"/>
        </w:numPr>
        <w:spacing w:line="600" w:lineRule="exact"/>
        <w:ind w:firstLine="643" w:firstLineChars="200"/>
        <w:rPr>
          <w:rFonts w:hint="eastAsia" w:ascii="仿宋_GB2312" w:eastAsia="仿宋_GB2312"/>
          <w:color w:val="000000"/>
          <w:sz w:val="32"/>
          <w:szCs w:val="32"/>
          <w:lang w:eastAsia="zh-CN"/>
        </w:rPr>
      </w:pPr>
      <w:r>
        <w:rPr>
          <w:rFonts w:hint="eastAsia" w:ascii="仿宋_GB2312" w:eastAsia="仿宋_GB2312"/>
          <w:b/>
          <w:color w:val="000000"/>
          <w:sz w:val="32"/>
          <w:szCs w:val="32"/>
          <w:lang w:val="en-US" w:eastAsia="zh-CN"/>
        </w:rPr>
        <w:t>1</w:t>
      </w:r>
      <w:r>
        <w:rPr>
          <w:rFonts w:ascii="仿宋_GB2312" w:eastAsia="仿宋_GB2312"/>
          <w:b/>
          <w:color w:val="000000"/>
          <w:sz w:val="32"/>
          <w:szCs w:val="32"/>
        </w:rPr>
        <w:t>.</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r>
        <w:rPr>
          <w:rFonts w:hint="eastAsia" w:ascii="仿宋_GB2312" w:eastAsia="仿宋_GB2312"/>
          <w:color w:val="000000"/>
          <w:sz w:val="32"/>
          <w:szCs w:val="32"/>
          <w:lang w:eastAsia="zh-CN"/>
        </w:rPr>
        <w:t>。</w:t>
      </w:r>
    </w:p>
    <w:p w14:paraId="3626A3BF">
      <w:pPr>
        <w:numPr>
          <w:ilvl w:val="0"/>
          <w:numId w:val="0"/>
        </w:numPr>
        <w:spacing w:line="600" w:lineRule="exact"/>
        <w:ind w:firstLine="643" w:firstLineChars="200"/>
        <w:rPr>
          <w:rFonts w:hint="eastAsia" w:ascii="仿宋_GB2312" w:eastAsia="仿宋"/>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2.03</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14:paraId="6EF5E74D">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w:t>
      </w:r>
      <w:r>
        <w:rPr>
          <w:rFonts w:hint="eastAsia" w:ascii="仿宋_GB2312" w:eastAsia="仿宋_GB2312"/>
          <w:color w:val="000000"/>
          <w:sz w:val="32"/>
          <w:szCs w:val="32"/>
          <w:lang w:val="en-US" w:eastAsia="zh-CN"/>
        </w:rPr>
        <w:t>其他车辆4辆。</w:t>
      </w:r>
    </w:p>
    <w:p w14:paraId="01E70306">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2.03</w:t>
      </w:r>
      <w:r>
        <w:rPr>
          <w:rFonts w:hint="eastAsia" w:ascii="仿宋_GB2312" w:eastAsia="仿宋_GB2312"/>
          <w:color w:val="000000"/>
          <w:sz w:val="32"/>
          <w:szCs w:val="32"/>
        </w:rPr>
        <w:t>万元。主要用于公办事、下村、灾害救济、道路执法等所需的公务用车燃料费、维修费、过路过桥费、保险费等支出。</w:t>
      </w:r>
    </w:p>
    <w:p w14:paraId="54339996">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0.13</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0.13</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8.71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87.08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进一步规范</w:t>
      </w:r>
      <w:r>
        <w:rPr>
          <w:rFonts w:hint="eastAsia" w:ascii="仿宋_GB2312" w:eastAsia="仿宋_GB2312"/>
          <w:color w:val="000000"/>
          <w:sz w:val="32"/>
          <w:szCs w:val="32"/>
        </w:rPr>
        <w:t>公务接待</w:t>
      </w:r>
      <w:r>
        <w:rPr>
          <w:rFonts w:hint="eastAsia" w:ascii="仿宋_GB2312" w:eastAsia="仿宋_GB2312"/>
          <w:color w:val="000000"/>
          <w:sz w:val="32"/>
          <w:szCs w:val="32"/>
          <w:lang w:eastAsia="zh-CN"/>
        </w:rPr>
        <w:t>管理，</w:t>
      </w:r>
      <w:r>
        <w:rPr>
          <w:rFonts w:hint="eastAsia" w:ascii="仿宋_GB2312" w:eastAsia="仿宋_GB2312"/>
          <w:color w:val="000000"/>
          <w:sz w:val="32"/>
          <w:szCs w:val="32"/>
        </w:rPr>
        <w:t>其中：</w:t>
      </w:r>
    </w:p>
    <w:p w14:paraId="19119283">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0.13</w:t>
      </w:r>
      <w:r>
        <w:rPr>
          <w:rFonts w:hint="eastAsia" w:ascii="仿宋_GB2312" w:eastAsia="仿宋_GB2312"/>
          <w:color w:val="000000"/>
          <w:sz w:val="32"/>
          <w:szCs w:val="32"/>
        </w:rPr>
        <w:t>万元，</w:t>
      </w:r>
      <w:r>
        <w:rPr>
          <w:rFonts w:hint="eastAsia"/>
          <w:sz w:val="28"/>
          <w:szCs w:val="28"/>
        </w:rPr>
        <w:t>主</w:t>
      </w:r>
      <w:r>
        <w:rPr>
          <w:rFonts w:hint="eastAsia" w:ascii="仿宋_GB2312" w:eastAsia="仿宋_GB2312"/>
          <w:color w:val="000000"/>
          <w:sz w:val="32"/>
          <w:szCs w:val="32"/>
        </w:rPr>
        <w:t>要用于执行公务、开展业务活动开支的交通费、住宿费、用餐费等。国内公务接待</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46</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0.13</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上级单位公务检查及工作调研接待10次102人次支出0.13万元</w:t>
      </w:r>
      <w:r>
        <w:rPr>
          <w:rFonts w:hint="eastAsia" w:ascii="仿宋_GB2312" w:eastAsia="仿宋_GB2312"/>
          <w:color w:val="000000"/>
          <w:sz w:val="32"/>
          <w:szCs w:val="32"/>
        </w:rPr>
        <w:t>。</w:t>
      </w:r>
    </w:p>
    <w:p w14:paraId="7C06C95D">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eastAsia="zh-CN"/>
        </w:rPr>
        <w:t>。</w:t>
      </w:r>
      <w:bookmarkStart w:id="46" w:name="_Toc15377218"/>
      <w:bookmarkStart w:id="47" w:name="_Toc15396610"/>
    </w:p>
    <w:p w14:paraId="22DB0DFD">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14:paraId="1A8960D1">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4085.45</w:t>
      </w:r>
      <w:r>
        <w:rPr>
          <w:rFonts w:hint="eastAsia" w:ascii="仿宋_GB2312" w:eastAsia="仿宋_GB2312"/>
          <w:color w:val="000000"/>
          <w:sz w:val="32"/>
          <w:szCs w:val="32"/>
        </w:rPr>
        <w:t>万元。</w:t>
      </w:r>
    </w:p>
    <w:p w14:paraId="74DD543B">
      <w:pPr>
        <w:numPr>
          <w:ilvl w:val="0"/>
          <w:numId w:val="3"/>
        </w:numPr>
        <w:spacing w:line="600" w:lineRule="exact"/>
        <w:ind w:firstLine="640"/>
        <w:outlineLvl w:val="1"/>
        <w:rPr>
          <w:rStyle w:val="27"/>
          <w:rFonts w:ascii="黑体" w:hAnsi="黑体" w:eastAsia="黑体"/>
          <w:b w:val="0"/>
        </w:rPr>
      </w:pPr>
      <w:bookmarkStart w:id="48" w:name="_Toc15377219"/>
      <w:bookmarkStart w:id="49" w:name="_Toc15396611"/>
      <w:r>
        <w:rPr>
          <w:rStyle w:val="27"/>
          <w:rFonts w:hint="eastAsia" w:ascii="黑体" w:hAnsi="黑体" w:eastAsia="黑体"/>
          <w:b w:val="0"/>
        </w:rPr>
        <w:t>国有资本经营预算支出决算情况说明</w:t>
      </w:r>
      <w:bookmarkEnd w:id="48"/>
      <w:bookmarkEnd w:id="49"/>
    </w:p>
    <w:p w14:paraId="05272165">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D862434">
      <w:pPr>
        <w:spacing w:line="600" w:lineRule="exact"/>
        <w:ind w:firstLine="800" w:firstLineChars="250"/>
        <w:outlineLvl w:val="1"/>
        <w:rPr>
          <w:rStyle w:val="27"/>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50"/>
      <w:bookmarkEnd w:id="51"/>
    </w:p>
    <w:p w14:paraId="356911DB">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5076B486">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新山乡</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14.16</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w:t>
      </w:r>
      <w:r>
        <w:rPr>
          <w:rFonts w:ascii="仿宋_GB2312" w:eastAsia="仿宋_GB2312"/>
          <w:color w:val="000000"/>
          <w:sz w:val="32"/>
          <w:szCs w:val="32"/>
        </w:rPr>
        <w:t>2018</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新山乡</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12.69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1.47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89.64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val="en-US" w:eastAsia="zh-CN"/>
        </w:rPr>
        <w:t>因扶贫工作和金杯太阳谷项目入驻后，乡镇日常工作增加。</w:t>
      </w:r>
    </w:p>
    <w:p w14:paraId="5D4782B2">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6302FDC6">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新山乡</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357.39</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357.39</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新山村博物馆建设</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357.39</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62AD9099">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10C119A1">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新山乡</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w:t>
      </w:r>
      <w:r>
        <w:rPr>
          <w:rFonts w:hint="eastAsia" w:ascii="仿宋_GB2312" w:eastAsia="仿宋_GB2312"/>
          <w:color w:val="000000"/>
          <w:sz w:val="32"/>
          <w:szCs w:val="32"/>
          <w:lang w:val="en-US" w:eastAsia="zh-CN"/>
        </w:rPr>
        <w:t>其他车辆4辆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其他用车主要是用于</w:t>
      </w:r>
      <w:r>
        <w:rPr>
          <w:rFonts w:hint="eastAsia" w:ascii="仿宋_GB2312" w:eastAsia="仿宋_GB2312"/>
          <w:color w:val="000000" w:themeColor="text1"/>
          <w:sz w:val="32"/>
          <w:szCs w:val="32"/>
          <w:lang w:val="en-US" w:eastAsia="zh-CN"/>
        </w:rPr>
        <w:t>日常下村工作使用；</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2ED9C13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3BD3DC5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Times New Roman" w:eastAsia="仿宋_GB2312" w:cs="Times New Roman"/>
          <w:color w:val="000000"/>
          <w:kern w:val="2"/>
          <w:sz w:val="32"/>
          <w:szCs w:val="32"/>
          <w:lang w:val="en-US" w:eastAsia="zh-CN" w:bidi="ar-SA"/>
        </w:rPr>
        <w:t>2018年基层组织活动和农村公共服务运行维护建设项目开展了预算事前绩效评估，</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个项目开展了绩效目标完成情况自评。</w:t>
      </w:r>
    </w:p>
    <w:p w14:paraId="6454B3DD">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部门按要求对2019年部门整体支出开展绩效自评，从评价情况来看我镇整体支出全部按质按量完成。本部门还自行组织了1个项目绩效评价，从评价情况来我乡2018年的农村公共服务运行机制25个项目已全部按质按量完成，并受到了群众极大的肯定。此项目实施后，各项基础设施建设为群众提供了便利，如良好的卫生环境、村内道路方便群众出行，水利设施项目为群众耕作提供水源保障。</w:t>
      </w:r>
    </w:p>
    <w:p w14:paraId="4D758250">
      <w:pPr>
        <w:pStyle w:val="7"/>
        <w:numPr>
          <w:ilvl w:val="0"/>
          <w:numId w:val="4"/>
        </w:numPr>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Times New Roman" w:eastAsia="仿宋_GB2312" w:cs="Times New Roman"/>
          <w:color w:val="000000"/>
          <w:kern w:val="2"/>
          <w:sz w:val="32"/>
          <w:szCs w:val="32"/>
          <w:lang w:val="en-US" w:eastAsia="zh-CN" w:bidi="ar-SA"/>
        </w:rPr>
        <w:t>本部门在2019年度部门决算中反映“2018年基层组织活动和农村公共服务运行维护建设项目”1个项目绩效目标实际完成情况。</w:t>
      </w:r>
    </w:p>
    <w:p w14:paraId="56EAB5E7">
      <w:pPr>
        <w:pStyle w:val="7"/>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2018年基层组织活动和农村公共服务运行维护建设项目绩效目标完成情况综述。项目全年预算数</w:t>
      </w:r>
      <w:r>
        <w:rPr>
          <w:rFonts w:hint="eastAsia" w:hAnsi="仿宋_GB2312" w:cs="仿宋_GB2312"/>
          <w:sz w:val="32"/>
          <w:szCs w:val="32"/>
          <w:lang w:val="en-US" w:eastAsia="zh-CN"/>
        </w:rPr>
        <w:t>34.9</w:t>
      </w:r>
      <w:r>
        <w:rPr>
          <w:rFonts w:hint="eastAsia" w:ascii="仿宋_GB2312" w:hAnsi="仿宋_GB2312" w:eastAsia="仿宋_GB2312" w:cs="仿宋_GB2312"/>
          <w:sz w:val="32"/>
          <w:szCs w:val="32"/>
          <w:lang w:val="en-US" w:eastAsia="zh-CN"/>
        </w:rPr>
        <w:t>万元，执行数为1</w:t>
      </w:r>
      <w:r>
        <w:rPr>
          <w:rFonts w:hint="eastAsia" w:hAnsi="仿宋_GB2312" w:cs="仿宋_GB2312"/>
          <w:sz w:val="32"/>
          <w:szCs w:val="32"/>
          <w:lang w:val="en-US" w:eastAsia="zh-CN"/>
        </w:rPr>
        <w:t>34.9</w:t>
      </w:r>
      <w:r>
        <w:rPr>
          <w:rFonts w:hint="eastAsia" w:ascii="仿宋_GB2312" w:hAnsi="仿宋_GB2312" w:eastAsia="仿宋_GB2312" w:cs="仿宋_GB2312"/>
          <w:sz w:val="32"/>
          <w:szCs w:val="32"/>
          <w:lang w:val="en-US" w:eastAsia="zh-CN"/>
        </w:rPr>
        <w:t>万元，完成预算的100%。通过项目实施，对农村基础设施维护，特别是道路维护、沟渠修复等项目，解决了村民日常出行及农业灌溉用水的问题。</w:t>
      </w:r>
    </w:p>
    <w:p w14:paraId="1C5C1F53">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发现的主要问题：在农村公共服务运行维护机制建设项目实施过程中，存在人力、财力投入力度还不够，各村对农村公共服务运行维护机制建设操作流程还不够熟悉</w:t>
      </w:r>
      <w:r>
        <w:rPr>
          <w:rFonts w:hint="eastAsia" w:ascii="仿宋_GB2312" w:hAnsi="仿宋_GB2312" w:eastAsia="仿宋_GB2312" w:cs="仿宋_GB2312"/>
          <w:sz w:val="32"/>
          <w:szCs w:val="32"/>
        </w:rPr>
        <w:t>。</w:t>
      </w:r>
    </w:p>
    <w:p w14:paraId="0E5A12E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下一步改进措施：建议县综改办每年组织1次乡、村干部业务培训及相关法律政策的学习</w:t>
      </w:r>
      <w:r>
        <w:rPr>
          <w:rFonts w:hint="eastAsia" w:ascii="仿宋_GB2312" w:hAnsi="仿宋_GB2312" w:eastAsia="仿宋_GB2312" w:cs="仿宋_GB2312"/>
          <w:sz w:val="32"/>
          <w:szCs w:val="32"/>
        </w:rPr>
        <w:t>。</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22E950CB">
        <w:tblPrEx>
          <w:tblCellMar>
            <w:top w:w="0" w:type="dxa"/>
            <w:left w:w="0" w:type="dxa"/>
            <w:bottom w:w="0" w:type="dxa"/>
            <w:right w:w="0" w:type="dxa"/>
          </w:tblCellMar>
        </w:tblPrEx>
        <w:trPr>
          <w:trHeight w:val="1034" w:hRule="atLeast"/>
        </w:trPr>
        <w:tc>
          <w:tcPr>
            <w:tcW w:w="9960" w:type="dxa"/>
            <w:gridSpan w:val="6"/>
            <w:noWrap w:val="0"/>
            <w:tcMar>
              <w:top w:w="15" w:type="dxa"/>
              <w:left w:w="15" w:type="dxa"/>
              <w:bottom w:w="0" w:type="dxa"/>
              <w:right w:w="15" w:type="dxa"/>
            </w:tcMar>
            <w:vAlign w:val="center"/>
          </w:tcPr>
          <w:p w14:paraId="52237041">
            <w:pPr>
              <w:pStyle w:val="25"/>
              <w:widowControl/>
              <w:ind w:left="4173" w:leftChars="1310" w:hanging="1422" w:hangingChars="395"/>
              <w:textAlignment w:val="center"/>
              <w:rPr>
                <w:rFonts w:ascii="仿宋_GB2312" w:eastAsia="仿宋_GB2312" w:cs="宋体"/>
                <w:color w:val="000000"/>
                <w:sz w:val="36"/>
                <w:szCs w:val="36"/>
              </w:rPr>
            </w:pPr>
            <w:r>
              <w:rPr>
                <w:rFonts w:hint="eastAsia" w:ascii="仿宋_GB2312" w:hAnsi="黑体" w:eastAsia="仿宋_GB2312" w:cs="宋体"/>
                <w:bCs/>
                <w:color w:val="000000"/>
                <w:kern w:val="0"/>
                <w:sz w:val="36"/>
                <w:szCs w:val="36"/>
              </w:rPr>
              <w:t>项目支出绩效目标完成情况表</w:t>
            </w:r>
            <w:r>
              <w:rPr>
                <w:rFonts w:ascii="仿宋_GB2312" w:eastAsia="仿宋_GB2312" w:cs="宋体"/>
                <w:bCs/>
                <w:color w:val="000000"/>
                <w:kern w:val="0"/>
                <w:sz w:val="36"/>
                <w:szCs w:val="36"/>
              </w:rPr>
              <w:br w:type="textWrapping"/>
            </w:r>
            <w:r>
              <w:rPr>
                <w:rFonts w:ascii="仿宋_GB2312" w:hAnsi="宋体" w:eastAsia="仿宋_GB2312" w:cs="宋体"/>
                <w:color w:val="000000"/>
                <w:kern w:val="0"/>
                <w:sz w:val="36"/>
                <w:szCs w:val="36"/>
              </w:rPr>
              <w:t>(2019</w:t>
            </w:r>
            <w:r>
              <w:rPr>
                <w:rFonts w:hint="eastAsia" w:ascii="仿宋_GB2312" w:hAnsi="宋体" w:eastAsia="仿宋_GB2312" w:cs="宋体"/>
                <w:color w:val="000000"/>
                <w:kern w:val="0"/>
                <w:sz w:val="36"/>
                <w:szCs w:val="36"/>
              </w:rPr>
              <w:t>年度</w:t>
            </w:r>
            <w:r>
              <w:rPr>
                <w:rFonts w:ascii="仿宋_GB2312" w:hAnsi="宋体" w:eastAsia="仿宋_GB2312" w:cs="宋体"/>
                <w:color w:val="000000"/>
                <w:kern w:val="0"/>
                <w:sz w:val="36"/>
                <w:szCs w:val="36"/>
              </w:rPr>
              <w:t>)</w:t>
            </w:r>
          </w:p>
        </w:tc>
      </w:tr>
      <w:tr w14:paraId="60E0CE8F">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1DB86FB">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27AEA41">
            <w:pPr>
              <w:widowControl/>
              <w:jc w:val="center"/>
              <w:textAlignment w:val="center"/>
              <w:rPr>
                <w:rFonts w:ascii="仿宋_GB2312" w:eastAsia="仿宋_GB2312" w:cs="宋体"/>
                <w:color w:val="000000"/>
                <w:sz w:val="24"/>
              </w:rPr>
            </w:pPr>
            <w:r>
              <w:rPr>
                <w:rFonts w:cs="宋体"/>
                <w:color w:val="000000"/>
                <w:kern w:val="0"/>
                <w:sz w:val="24"/>
              </w:rPr>
              <w:t>201</w:t>
            </w:r>
            <w:r>
              <w:rPr>
                <w:rFonts w:hint="eastAsia" w:cs="宋体"/>
                <w:color w:val="000000"/>
                <w:kern w:val="0"/>
                <w:sz w:val="24"/>
                <w:lang w:val="en-US" w:eastAsia="zh-CN"/>
              </w:rPr>
              <w:t>8</w:t>
            </w:r>
            <w:r>
              <w:rPr>
                <w:rFonts w:hint="eastAsia" w:cs="宋体"/>
                <w:color w:val="000000"/>
                <w:kern w:val="0"/>
                <w:sz w:val="24"/>
              </w:rPr>
              <w:t>年基层组织活动和农村公共服务运行维护建设项目</w:t>
            </w:r>
          </w:p>
        </w:tc>
      </w:tr>
      <w:tr w14:paraId="45F01829">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ECDC384">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5FAFAB6">
            <w:pPr>
              <w:widowControl/>
              <w:jc w:val="center"/>
              <w:textAlignment w:val="center"/>
              <w:rPr>
                <w:rFonts w:ascii="仿宋_GB2312" w:eastAsia="仿宋_GB2312" w:cs="宋体"/>
                <w:color w:val="000000"/>
                <w:sz w:val="24"/>
              </w:rPr>
            </w:pPr>
            <w:r>
              <w:rPr>
                <w:rFonts w:hint="eastAsia" w:ascii="仿宋_GB2312" w:eastAsia="仿宋_GB2312" w:cs="宋体"/>
                <w:color w:val="000000"/>
                <w:sz w:val="24"/>
                <w:lang w:val="en-US" w:eastAsia="zh-CN"/>
              </w:rPr>
              <w:t>米易县新山傈僳族乡人民政府</w:t>
            </w:r>
          </w:p>
        </w:tc>
      </w:tr>
      <w:tr w14:paraId="3250C5C8">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82BC8D9">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预算执行情况</w:t>
            </w:r>
            <w:r>
              <w:rPr>
                <w:rFonts w:ascii="仿宋_GB2312" w:hAnsi="宋体" w:eastAsia="仿宋_GB2312" w:cs="宋体"/>
                <w:color w:val="000000"/>
                <w:kern w:val="0"/>
                <w:sz w:val="24"/>
              </w:rPr>
              <w:t>(</w:t>
            </w:r>
            <w:r>
              <w:rPr>
                <w:rFonts w:hint="eastAsia" w:ascii="仿宋_GB2312" w:hAnsi="宋体" w:eastAsia="仿宋_GB2312" w:cs="宋体"/>
                <w:color w:val="000000"/>
                <w:kern w:val="0"/>
                <w:sz w:val="24"/>
              </w:rPr>
              <w:t>万元</w:t>
            </w:r>
            <w:r>
              <w:rPr>
                <w:rFonts w:ascii="仿宋_GB2312" w:hAnsi="宋体" w:eastAsia="仿宋_GB2312"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02889D0">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预算数</w:t>
            </w:r>
            <w:r>
              <w:rPr>
                <w:rFonts w:ascii="仿宋_GB2312" w:hAnsi="宋体" w:eastAsia="仿宋_GB2312"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7B98F65">
            <w:pPr>
              <w:widowControl/>
              <w:jc w:val="center"/>
              <w:textAlignment w:val="center"/>
              <w:rPr>
                <w:rFonts w:hint="default" w:ascii="仿宋_GB2312" w:eastAsia="仿宋_GB2312" w:cs="宋体"/>
                <w:color w:val="000000"/>
                <w:sz w:val="24"/>
                <w:lang w:val="en-US" w:eastAsia="zh-CN"/>
              </w:rPr>
            </w:pPr>
            <w:r>
              <w:rPr>
                <w:rFonts w:hint="eastAsia" w:ascii="仿宋_GB2312" w:eastAsia="仿宋_GB2312" w:cs="宋体"/>
                <w:color w:val="000000"/>
                <w:sz w:val="24"/>
                <w:lang w:val="en-US" w:eastAsia="zh-CN"/>
              </w:rPr>
              <w:t>34.9</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B7042E3">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执行数</w:t>
            </w:r>
            <w:r>
              <w:rPr>
                <w:rFonts w:ascii="仿宋_GB2312" w:hAnsi="宋体" w:eastAsia="仿宋_GB2312"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4C715A1">
            <w:pPr>
              <w:widowControl/>
              <w:jc w:val="center"/>
              <w:textAlignment w:val="center"/>
              <w:rPr>
                <w:rFonts w:hint="default" w:ascii="仿宋_GB2312" w:eastAsia="仿宋_GB2312" w:cs="宋体"/>
                <w:color w:val="000000"/>
                <w:sz w:val="24"/>
                <w:lang w:val="en-US"/>
              </w:rPr>
            </w:pPr>
            <w:r>
              <w:rPr>
                <w:rFonts w:hint="eastAsia" w:ascii="仿宋_GB2312" w:eastAsia="仿宋_GB2312" w:cs="宋体"/>
                <w:color w:val="000000"/>
                <w:sz w:val="24"/>
                <w:lang w:val="en-US" w:eastAsia="zh-CN"/>
              </w:rPr>
              <w:t>34.9</w:t>
            </w:r>
          </w:p>
        </w:tc>
      </w:tr>
      <w:tr w14:paraId="50F58E20">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CC8782">
            <w:pPr>
              <w:widowControl/>
              <w:jc w:val="left"/>
              <w:rPr>
                <w:rFonts w:ascii="仿宋_GB2312" w:eastAsia="仿宋_GB2312"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F4F4C66">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其中</w:t>
            </w:r>
            <w:r>
              <w:rPr>
                <w:rFonts w:ascii="仿宋_GB2312" w:eastAsia="仿宋_GB2312" w:cs="宋体"/>
                <w:color w:val="000000"/>
                <w:kern w:val="0"/>
                <w:sz w:val="24"/>
              </w:rPr>
              <w:t>-</w:t>
            </w:r>
            <w:r>
              <w:rPr>
                <w:rFonts w:hint="eastAsia" w:ascii="仿宋_GB2312" w:hAnsi="宋体" w:eastAsia="仿宋_GB2312" w:cs="宋体"/>
                <w:color w:val="000000"/>
                <w:kern w:val="0"/>
                <w:sz w:val="24"/>
              </w:rPr>
              <w:t>财政拨款</w:t>
            </w:r>
            <w:r>
              <w:rPr>
                <w:rFonts w:ascii="仿宋_GB2312" w:hAnsi="宋体" w:eastAsia="仿宋_GB2312"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8B7A053">
            <w:pPr>
              <w:widowControl/>
              <w:jc w:val="center"/>
              <w:textAlignment w:val="center"/>
              <w:rPr>
                <w:rFonts w:hint="default" w:ascii="仿宋_GB2312" w:eastAsia="仿宋_GB2312" w:cs="宋体"/>
                <w:color w:val="000000"/>
                <w:sz w:val="24"/>
                <w:lang w:val="en-US"/>
              </w:rPr>
            </w:pPr>
            <w:r>
              <w:rPr>
                <w:rFonts w:hint="eastAsia" w:ascii="仿宋_GB2312" w:eastAsia="仿宋_GB2312" w:cs="宋体"/>
                <w:color w:val="000000"/>
                <w:sz w:val="24"/>
                <w:lang w:val="en-US" w:eastAsia="zh-CN"/>
              </w:rPr>
              <w:t>18.9</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C3516D7">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其中</w:t>
            </w:r>
            <w:r>
              <w:rPr>
                <w:rFonts w:ascii="仿宋_GB2312" w:eastAsia="仿宋_GB2312" w:cs="宋体"/>
                <w:color w:val="000000"/>
                <w:kern w:val="0"/>
                <w:sz w:val="24"/>
              </w:rPr>
              <w:t>-</w:t>
            </w:r>
            <w:r>
              <w:rPr>
                <w:rFonts w:hint="eastAsia" w:ascii="仿宋_GB2312" w:hAnsi="宋体" w:eastAsia="仿宋_GB2312" w:cs="宋体"/>
                <w:color w:val="000000"/>
                <w:kern w:val="0"/>
                <w:sz w:val="24"/>
              </w:rPr>
              <w:t>财政拨款</w:t>
            </w:r>
            <w:r>
              <w:rPr>
                <w:rFonts w:ascii="仿宋_GB2312" w:hAnsi="宋体" w:eastAsia="仿宋_GB2312"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1FBE59B">
            <w:pPr>
              <w:widowControl/>
              <w:jc w:val="center"/>
              <w:textAlignment w:val="center"/>
              <w:rPr>
                <w:rFonts w:hint="default" w:ascii="仿宋_GB2312" w:eastAsia="仿宋_GB2312" w:cs="宋体"/>
                <w:color w:val="000000"/>
                <w:sz w:val="24"/>
                <w:lang w:val="en-US" w:eastAsia="zh-CN"/>
              </w:rPr>
            </w:pPr>
            <w:r>
              <w:rPr>
                <w:rFonts w:hint="eastAsia" w:ascii="仿宋_GB2312" w:eastAsia="仿宋_GB2312" w:cs="宋体"/>
                <w:color w:val="000000"/>
                <w:sz w:val="24"/>
                <w:lang w:val="en-US" w:eastAsia="zh-CN"/>
              </w:rPr>
              <w:t>18.9</w:t>
            </w:r>
          </w:p>
        </w:tc>
      </w:tr>
      <w:tr w14:paraId="72D29877">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7C62D3">
            <w:pPr>
              <w:widowControl/>
              <w:jc w:val="left"/>
              <w:rPr>
                <w:rFonts w:ascii="仿宋_GB2312" w:eastAsia="仿宋_GB2312"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1886C3B">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其它资金</w:t>
            </w:r>
            <w:r>
              <w:rPr>
                <w:rFonts w:ascii="仿宋_GB2312" w:hAnsi="宋体" w:eastAsia="仿宋_GB2312"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8996749">
            <w:pPr>
              <w:widowControl/>
              <w:jc w:val="center"/>
              <w:textAlignment w:val="center"/>
              <w:rPr>
                <w:rFonts w:hint="default" w:ascii="仿宋_GB2312" w:eastAsia="仿宋_GB2312" w:cs="宋体"/>
                <w:color w:val="000000"/>
                <w:sz w:val="24"/>
                <w:lang w:val="en-US" w:eastAsia="zh-CN"/>
              </w:rPr>
            </w:pPr>
            <w:r>
              <w:rPr>
                <w:rFonts w:hint="eastAsia" w:ascii="仿宋_GB2312" w:eastAsia="仿宋_GB2312" w:cs="宋体"/>
                <w:color w:val="000000"/>
                <w:kern w:val="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A89AF0E">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其它资金</w:t>
            </w:r>
            <w:r>
              <w:rPr>
                <w:rFonts w:ascii="仿宋_GB2312" w:hAnsi="宋体" w:eastAsia="仿宋_GB2312"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9C7FEB5">
            <w:pPr>
              <w:jc w:val="center"/>
              <w:rPr>
                <w:rFonts w:ascii="仿宋_GB2312" w:eastAsia="仿宋_GB2312" w:cs="宋体"/>
                <w:color w:val="000000"/>
                <w:sz w:val="24"/>
              </w:rPr>
            </w:pPr>
            <w:r>
              <w:rPr>
                <w:rFonts w:hint="eastAsia" w:ascii="仿宋_GB2312" w:eastAsia="仿宋_GB2312" w:cs="宋体"/>
                <w:color w:val="000000"/>
                <w:kern w:val="0"/>
                <w:sz w:val="24"/>
                <w:lang w:val="en-US" w:eastAsia="zh-CN"/>
              </w:rPr>
              <w:t>0</w:t>
            </w:r>
          </w:p>
        </w:tc>
      </w:tr>
      <w:tr w14:paraId="207DBE62">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D427DE7">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5AEEA52">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CCB93F2">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实际完成目标</w:t>
            </w:r>
          </w:p>
        </w:tc>
      </w:tr>
      <w:tr w14:paraId="3FC0FE02">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130A20">
            <w:pPr>
              <w:widowControl/>
              <w:jc w:val="left"/>
              <w:rPr>
                <w:rFonts w:ascii="仿宋_GB2312" w:eastAsia="仿宋_GB2312"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1F101FA">
            <w:pPr>
              <w:widowControl/>
              <w:ind w:firstLine="480" w:firstLineChars="200"/>
              <w:textAlignment w:val="center"/>
              <w:rPr>
                <w:rFonts w:hint="default" w:eastAsia="宋体" w:cs="宋体"/>
                <w:color w:val="000000"/>
                <w:kern w:val="0"/>
                <w:sz w:val="24"/>
                <w:lang w:val="en-US" w:eastAsia="zh-CN"/>
              </w:rPr>
            </w:pPr>
            <w:r>
              <w:rPr>
                <w:rFonts w:hint="eastAsia" w:cs="宋体"/>
                <w:color w:val="000000"/>
                <w:kern w:val="0"/>
                <w:sz w:val="24"/>
              </w:rPr>
              <w:t>通过各项基础设施建设，为群众提供良好的卫生环境、方便群众出行；</w:t>
            </w:r>
            <w:r>
              <w:rPr>
                <w:rFonts w:hint="eastAsia" w:cs="宋体"/>
                <w:color w:val="000000"/>
                <w:kern w:val="0"/>
                <w:sz w:val="24"/>
                <w:lang w:val="en-US" w:eastAsia="zh-CN"/>
              </w:rPr>
              <w:t>文化体育丰富多样化；治安保卫工作有效提高。提高了人们幸福指数。</w:t>
            </w:r>
          </w:p>
          <w:p w14:paraId="366A2842">
            <w:pPr>
              <w:widowControl/>
              <w:jc w:val="center"/>
              <w:textAlignment w:val="center"/>
              <w:rPr>
                <w:rFonts w:ascii="仿宋_GB2312" w:eastAsia="仿宋_GB2312"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3447131">
            <w:pPr>
              <w:widowControl/>
              <w:ind w:firstLine="480" w:firstLineChars="200"/>
              <w:textAlignment w:val="center"/>
              <w:rPr>
                <w:rFonts w:hint="default" w:eastAsia="宋体" w:cs="宋体"/>
                <w:color w:val="000000"/>
                <w:kern w:val="0"/>
                <w:sz w:val="24"/>
                <w:lang w:val="en-US" w:eastAsia="zh-CN"/>
              </w:rPr>
            </w:pPr>
            <w:r>
              <w:rPr>
                <w:rFonts w:hint="eastAsia" w:cs="宋体"/>
                <w:color w:val="000000"/>
                <w:kern w:val="0"/>
                <w:sz w:val="24"/>
              </w:rPr>
              <w:t>项目实施好后，切实为群众提供了良好的卫生环境、也方便群众出行，</w:t>
            </w:r>
            <w:r>
              <w:rPr>
                <w:rFonts w:hint="eastAsia" w:cs="宋体"/>
                <w:color w:val="000000"/>
                <w:kern w:val="0"/>
                <w:sz w:val="24"/>
                <w:lang w:val="en-US" w:eastAsia="zh-CN"/>
              </w:rPr>
              <w:t>文化体育丰富多样化；治安保卫工作有效提高。提高了人们幸福指数。</w:t>
            </w:r>
          </w:p>
          <w:p w14:paraId="7271ED61">
            <w:pPr>
              <w:widowControl/>
              <w:ind w:firstLine="480" w:firstLineChars="200"/>
              <w:textAlignment w:val="center"/>
              <w:rPr>
                <w:rFonts w:hint="default" w:eastAsia="宋体" w:cs="宋体"/>
                <w:color w:val="000000"/>
                <w:kern w:val="0"/>
                <w:sz w:val="24"/>
                <w:lang w:val="en-US" w:eastAsia="zh-CN"/>
              </w:rPr>
            </w:pPr>
            <w:r>
              <w:rPr>
                <w:rFonts w:hint="eastAsia" w:cs="宋体"/>
                <w:color w:val="000000"/>
                <w:kern w:val="0"/>
                <w:sz w:val="24"/>
                <w:lang w:val="en-US" w:eastAsia="zh-CN"/>
              </w:rPr>
              <w:t>。</w:t>
            </w:r>
          </w:p>
          <w:p w14:paraId="369B978B">
            <w:pPr>
              <w:widowControl/>
              <w:jc w:val="center"/>
              <w:textAlignment w:val="center"/>
              <w:rPr>
                <w:rFonts w:ascii="仿宋_GB2312" w:eastAsia="仿宋_GB2312" w:cs="宋体"/>
                <w:color w:val="000000"/>
                <w:sz w:val="24"/>
              </w:rPr>
            </w:pPr>
          </w:p>
        </w:tc>
      </w:tr>
      <w:tr w14:paraId="59E4D1AD">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546BD3C">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F4A3A1D">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0CA7091">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7DC19A4">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BDE0AEF">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预期指标值</w:t>
            </w:r>
            <w:r>
              <w:rPr>
                <w:rFonts w:ascii="仿宋_GB2312" w:hAnsi="宋体" w:eastAsia="仿宋_GB2312" w:cs="宋体"/>
                <w:color w:val="000000"/>
                <w:kern w:val="0"/>
                <w:sz w:val="24"/>
              </w:rPr>
              <w:t>(</w:t>
            </w:r>
            <w:r>
              <w:rPr>
                <w:rFonts w:hint="eastAsia" w:ascii="仿宋_GB2312" w:hAnsi="宋体" w:eastAsia="仿宋_GB2312" w:cs="宋体"/>
                <w:color w:val="000000"/>
                <w:kern w:val="0"/>
                <w:sz w:val="24"/>
              </w:rPr>
              <w:t>包含数字及文字描述</w:t>
            </w:r>
            <w:r>
              <w:rPr>
                <w:rFonts w:ascii="仿宋_GB2312" w:hAnsi="宋体" w:eastAsia="仿宋_GB2312"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B44C1D7">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实际完成指标值</w:t>
            </w:r>
            <w:r>
              <w:rPr>
                <w:rFonts w:ascii="仿宋_GB2312" w:hAnsi="宋体" w:eastAsia="仿宋_GB2312" w:cs="宋体"/>
                <w:color w:val="000000"/>
                <w:kern w:val="0"/>
                <w:sz w:val="24"/>
              </w:rPr>
              <w:t>(</w:t>
            </w:r>
            <w:r>
              <w:rPr>
                <w:rFonts w:hint="eastAsia" w:ascii="仿宋_GB2312" w:hAnsi="宋体" w:eastAsia="仿宋_GB2312" w:cs="宋体"/>
                <w:color w:val="000000"/>
                <w:kern w:val="0"/>
                <w:sz w:val="24"/>
              </w:rPr>
              <w:t>包含数字及文字描述</w:t>
            </w:r>
            <w:r>
              <w:rPr>
                <w:rFonts w:ascii="仿宋_GB2312" w:hAnsi="宋体" w:eastAsia="仿宋_GB2312" w:cs="宋体"/>
                <w:color w:val="000000"/>
                <w:kern w:val="0"/>
                <w:sz w:val="24"/>
              </w:rPr>
              <w:t>)</w:t>
            </w:r>
          </w:p>
        </w:tc>
      </w:tr>
      <w:tr w14:paraId="3F3F8800">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4A687F">
            <w:pPr>
              <w:widowControl/>
              <w:jc w:val="left"/>
              <w:rPr>
                <w:rFonts w:ascii="仿宋_GB2312"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3D75DCF">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F189A4B">
            <w:pPr>
              <w:widowControl/>
              <w:jc w:val="center"/>
              <w:textAlignment w:val="center"/>
              <w:rPr>
                <w:rFonts w:ascii="仿宋_GB2312" w:hAnsi="Times New Roman" w:eastAsia="仿宋_GB2312" w:cs="宋体"/>
                <w:color w:val="000000"/>
                <w:kern w:val="2"/>
                <w:sz w:val="24"/>
                <w:szCs w:val="24"/>
                <w:lang w:val="en-US" w:eastAsia="zh-CN" w:bidi="ar-SA"/>
              </w:rPr>
            </w:pPr>
            <w:r>
              <w:rPr>
                <w:rFonts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0941A2B">
            <w:pPr>
              <w:widowControl/>
              <w:jc w:val="center"/>
              <w:textAlignment w:val="center"/>
              <w:rPr>
                <w:rFonts w:ascii="仿宋_GB2312" w:hAnsi="Times New Roman" w:eastAsia="仿宋_GB2312" w:cs="宋体"/>
                <w:color w:val="000000"/>
                <w:kern w:val="2"/>
                <w:sz w:val="24"/>
                <w:szCs w:val="24"/>
                <w:lang w:val="en-US" w:eastAsia="zh-CN" w:bidi="ar-SA"/>
              </w:rPr>
            </w:pPr>
            <w:r>
              <w:rPr>
                <w:rFonts w:cs="宋体"/>
                <w:color w:val="000000"/>
                <w:sz w:val="24"/>
              </w:rPr>
              <w:t>100%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E5C1D35">
            <w:pPr>
              <w:widowControl/>
              <w:jc w:val="center"/>
              <w:textAlignment w:val="center"/>
              <w:rPr>
                <w:rFonts w:ascii="仿宋_GB2312" w:hAnsi="Times New Roman" w:eastAsia="仿宋_GB2312" w:cs="宋体"/>
                <w:color w:val="000000"/>
                <w:kern w:val="2"/>
                <w:sz w:val="24"/>
                <w:szCs w:val="24"/>
                <w:lang w:val="en-US" w:eastAsia="zh-CN" w:bidi="ar-SA"/>
              </w:rPr>
            </w:pPr>
            <w:r>
              <w:rPr>
                <w:rFonts w:hint="eastAsia" w:cs="宋体"/>
                <w:color w:val="000000"/>
                <w:sz w:val="24"/>
              </w:rPr>
              <w:t>完成</w:t>
            </w:r>
            <w:r>
              <w:rPr>
                <w:rFonts w:cs="宋体"/>
                <w:color w:val="000000"/>
                <w:sz w:val="24"/>
              </w:rPr>
              <w:t>全</w:t>
            </w:r>
            <w:r>
              <w:rPr>
                <w:rFonts w:hint="eastAsia" w:cs="宋体"/>
                <w:color w:val="000000"/>
                <w:sz w:val="24"/>
                <w:lang w:val="en-US" w:eastAsia="zh-CN"/>
              </w:rPr>
              <w:t>乡25</w:t>
            </w:r>
            <w:r>
              <w:rPr>
                <w:rFonts w:hint="eastAsia" w:cs="宋体"/>
                <w:color w:val="000000"/>
                <w:sz w:val="24"/>
              </w:rPr>
              <w:t>个项目</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B7044ED">
            <w:pPr>
              <w:widowControl/>
              <w:jc w:val="center"/>
              <w:textAlignment w:val="center"/>
              <w:rPr>
                <w:rFonts w:ascii="仿宋_GB2312" w:eastAsia="仿宋_GB2312" w:cs="宋体"/>
                <w:color w:val="000000"/>
                <w:sz w:val="24"/>
              </w:rPr>
            </w:pPr>
            <w:r>
              <w:rPr>
                <w:rFonts w:hint="eastAsia" w:cs="宋体"/>
                <w:color w:val="000000"/>
                <w:sz w:val="24"/>
              </w:rPr>
              <w:t>完成</w:t>
            </w:r>
            <w:r>
              <w:rPr>
                <w:rFonts w:cs="宋体"/>
                <w:color w:val="000000"/>
                <w:sz w:val="24"/>
              </w:rPr>
              <w:t>全</w:t>
            </w:r>
            <w:r>
              <w:rPr>
                <w:rFonts w:hint="eastAsia" w:cs="宋体"/>
                <w:color w:val="000000"/>
                <w:sz w:val="24"/>
                <w:lang w:val="en-US" w:eastAsia="zh-CN"/>
              </w:rPr>
              <w:t>乡25</w:t>
            </w:r>
            <w:r>
              <w:rPr>
                <w:rFonts w:hint="eastAsia" w:cs="宋体"/>
                <w:color w:val="000000"/>
                <w:sz w:val="24"/>
              </w:rPr>
              <w:t>个项目</w:t>
            </w:r>
          </w:p>
        </w:tc>
      </w:tr>
      <w:tr w14:paraId="7728173B">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C2A581">
            <w:pPr>
              <w:widowControl/>
              <w:jc w:val="left"/>
              <w:rPr>
                <w:rFonts w:ascii="仿宋_GB2312"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7D807B0">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5F372E1">
            <w:pPr>
              <w:widowControl/>
              <w:jc w:val="center"/>
              <w:textAlignment w:val="center"/>
              <w:rPr>
                <w:rFonts w:hint="eastAsia" w:ascii="仿宋_GB2312" w:hAnsi="Times New Roman" w:eastAsia="仿宋_GB2312" w:cs="宋体"/>
                <w:color w:val="000000"/>
                <w:kern w:val="2"/>
                <w:sz w:val="24"/>
                <w:szCs w:val="24"/>
                <w:lang w:val="en-US" w:eastAsia="zh-CN" w:bidi="ar-SA"/>
              </w:rPr>
            </w:pPr>
            <w:r>
              <w:rPr>
                <w:rFonts w:hint="eastAsia" w:ascii="仿宋_GB2312" w:eastAsia="仿宋_GB2312" w:cs="宋体"/>
                <w:color w:val="000000"/>
                <w:sz w:val="24"/>
                <w:lang w:val="en-US" w:eastAsia="zh-CN"/>
              </w:rPr>
              <w:t>完成</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92E4BBF">
            <w:pPr>
              <w:widowControl/>
              <w:jc w:val="center"/>
              <w:textAlignment w:val="center"/>
              <w:rPr>
                <w:rFonts w:hint="eastAsia" w:ascii="仿宋_GB2312" w:hAnsi="Times New Roman" w:eastAsia="仿宋_GB2312" w:cs="宋体"/>
                <w:color w:val="000000"/>
                <w:kern w:val="2"/>
                <w:sz w:val="24"/>
                <w:szCs w:val="24"/>
                <w:lang w:val="en-US" w:eastAsia="zh-CN" w:bidi="ar-SA"/>
              </w:rPr>
            </w:pPr>
            <w:r>
              <w:rPr>
                <w:rFonts w:hint="eastAsia" w:ascii="仿宋_GB2312" w:eastAsia="仿宋_GB2312" w:cs="宋体"/>
                <w:color w:val="000000"/>
                <w:sz w:val="24"/>
                <w:lang w:val="en-US" w:eastAsia="zh-CN"/>
              </w:rPr>
              <w:t>完成</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25C6123">
            <w:pPr>
              <w:widowControl/>
              <w:ind w:firstLine="480" w:firstLineChars="200"/>
              <w:textAlignment w:val="center"/>
              <w:rPr>
                <w:rFonts w:hint="default" w:eastAsia="宋体" w:cs="宋体"/>
                <w:color w:val="000000"/>
                <w:kern w:val="0"/>
                <w:sz w:val="24"/>
                <w:lang w:val="en-US" w:eastAsia="zh-CN"/>
              </w:rPr>
            </w:pPr>
            <w:r>
              <w:rPr>
                <w:rFonts w:hint="eastAsia" w:cs="宋体"/>
                <w:color w:val="000000"/>
                <w:kern w:val="0"/>
                <w:sz w:val="24"/>
              </w:rPr>
              <w:t>为群众提供良好的卫生环境、方便群众出行；</w:t>
            </w:r>
            <w:r>
              <w:rPr>
                <w:rFonts w:hint="eastAsia" w:cs="宋体"/>
                <w:color w:val="000000"/>
                <w:kern w:val="0"/>
                <w:sz w:val="24"/>
                <w:lang w:val="en-US" w:eastAsia="zh-CN"/>
              </w:rPr>
              <w:t>文化体育丰富多样化；治安保卫工作有效提高。提高了人们幸福指数。</w:t>
            </w:r>
          </w:p>
          <w:p w14:paraId="1D643533">
            <w:pPr>
              <w:widowControl/>
              <w:jc w:val="center"/>
              <w:textAlignment w:val="center"/>
              <w:rPr>
                <w:rFonts w:ascii="仿宋_GB2312" w:hAnsi="Times New Roman" w:eastAsia="仿宋_GB2312" w:cs="宋体"/>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F86FCE2">
            <w:pPr>
              <w:widowControl/>
              <w:ind w:firstLine="480" w:firstLineChars="200"/>
              <w:textAlignment w:val="center"/>
              <w:rPr>
                <w:rFonts w:hint="default" w:eastAsia="宋体" w:cs="宋体"/>
                <w:color w:val="000000"/>
                <w:kern w:val="0"/>
                <w:sz w:val="24"/>
                <w:lang w:val="en-US" w:eastAsia="zh-CN"/>
              </w:rPr>
            </w:pPr>
            <w:r>
              <w:rPr>
                <w:rFonts w:hint="eastAsia" w:cs="宋体"/>
                <w:color w:val="000000"/>
                <w:kern w:val="0"/>
                <w:sz w:val="24"/>
              </w:rPr>
              <w:t>通过各项基础设施建设，为群众提供良好的卫生环境、方便群众出行；</w:t>
            </w:r>
            <w:r>
              <w:rPr>
                <w:rFonts w:hint="eastAsia" w:cs="宋体"/>
                <w:color w:val="000000"/>
                <w:kern w:val="0"/>
                <w:sz w:val="24"/>
                <w:lang w:val="en-US" w:eastAsia="zh-CN"/>
              </w:rPr>
              <w:t>文化体育丰富多样化；治安保卫工作有效提高。提高了人们幸福指数。</w:t>
            </w:r>
          </w:p>
          <w:p w14:paraId="58E87EE3">
            <w:pPr>
              <w:widowControl/>
              <w:jc w:val="center"/>
              <w:textAlignment w:val="center"/>
              <w:rPr>
                <w:rFonts w:ascii="仿宋_GB2312" w:hAnsi="Times New Roman" w:eastAsia="仿宋_GB2312" w:cs="宋体"/>
                <w:color w:val="000000"/>
                <w:kern w:val="2"/>
                <w:sz w:val="24"/>
                <w:szCs w:val="24"/>
                <w:lang w:val="en-US" w:eastAsia="zh-CN" w:bidi="ar-SA"/>
              </w:rPr>
            </w:pPr>
          </w:p>
        </w:tc>
      </w:tr>
      <w:tr w14:paraId="013541F9">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8A56C0">
            <w:pPr>
              <w:widowControl/>
              <w:jc w:val="left"/>
              <w:rPr>
                <w:rFonts w:ascii="仿宋_GB2312"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056D3B7">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88EF1DF">
            <w:pPr>
              <w:widowControl/>
              <w:jc w:val="center"/>
              <w:textAlignment w:val="center"/>
              <w:rPr>
                <w:rFonts w:ascii="仿宋_GB2312" w:hAnsi="Times New Roman" w:eastAsia="仿宋_GB2312" w:cs="宋体"/>
                <w:color w:val="000000"/>
                <w:kern w:val="2"/>
                <w:sz w:val="24"/>
                <w:szCs w:val="24"/>
                <w:lang w:val="en-US" w:eastAsia="zh-CN" w:bidi="ar-SA"/>
              </w:rPr>
            </w:pPr>
            <w:r>
              <w:rPr>
                <w:rFonts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280EE8F">
            <w:pPr>
              <w:widowControl/>
              <w:jc w:val="center"/>
              <w:textAlignment w:val="center"/>
              <w:rPr>
                <w:rFonts w:ascii="仿宋_GB2312" w:hAnsi="Times New Roman" w:eastAsia="仿宋_GB2312" w:cs="宋体"/>
                <w:color w:val="000000"/>
                <w:kern w:val="2"/>
                <w:sz w:val="24"/>
                <w:szCs w:val="24"/>
                <w:lang w:val="en-US" w:eastAsia="zh-CN" w:bidi="ar-SA"/>
              </w:rPr>
            </w:pPr>
            <w:r>
              <w:rPr>
                <w:rFonts w:cs="宋体"/>
                <w:color w:val="000000"/>
                <w:sz w:val="24"/>
              </w:rPr>
              <w:t>100%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1EC4B91">
            <w:pPr>
              <w:widowControl/>
              <w:jc w:val="center"/>
              <w:textAlignment w:val="center"/>
              <w:rPr>
                <w:rFonts w:ascii="仿宋_GB2312" w:hAnsi="Times New Roman" w:eastAsia="仿宋_GB2312" w:cs="宋体"/>
                <w:color w:val="000000"/>
                <w:kern w:val="2"/>
                <w:sz w:val="24"/>
                <w:szCs w:val="24"/>
                <w:lang w:val="en-US" w:eastAsia="zh-CN" w:bidi="ar-SA"/>
              </w:rPr>
            </w:pPr>
            <w:r>
              <w:rPr>
                <w:rFonts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864C097">
            <w:pPr>
              <w:widowControl/>
              <w:jc w:val="center"/>
              <w:textAlignment w:val="center"/>
              <w:rPr>
                <w:rFonts w:ascii="仿宋_GB2312" w:hAnsi="Times New Roman" w:eastAsia="仿宋_GB2312" w:cs="宋体"/>
                <w:color w:val="000000"/>
                <w:kern w:val="2"/>
                <w:sz w:val="24"/>
                <w:szCs w:val="24"/>
                <w:lang w:val="en-US" w:eastAsia="zh-CN" w:bidi="ar-SA"/>
              </w:rPr>
            </w:pPr>
            <w:r>
              <w:rPr>
                <w:rFonts w:cs="宋体"/>
                <w:color w:val="000000"/>
                <w:sz w:val="24"/>
              </w:rPr>
              <w:t>100%</w:t>
            </w:r>
          </w:p>
        </w:tc>
      </w:tr>
      <w:tr w14:paraId="46A85F39">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8B4E66">
            <w:pPr>
              <w:widowControl/>
              <w:jc w:val="left"/>
              <w:rPr>
                <w:rFonts w:ascii="仿宋_GB2312"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07E5BCD">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1551967">
            <w:pPr>
              <w:widowControl/>
              <w:jc w:val="center"/>
              <w:textAlignment w:val="center"/>
              <w:rPr>
                <w:rFonts w:ascii="仿宋_GB2312" w:eastAsia="仿宋_GB2312" w:cs="宋体"/>
                <w:color w:val="000000"/>
                <w:sz w:val="24"/>
              </w:rPr>
            </w:pPr>
            <w:r>
              <w:rPr>
                <w:rFonts w:cs="宋体"/>
                <w:color w:val="000000"/>
                <w:sz w:val="24"/>
              </w:rPr>
              <w:t>达到预期的经济效益和社会效益</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9BE3039">
            <w:pPr>
              <w:widowControl/>
              <w:jc w:val="center"/>
              <w:textAlignment w:val="center"/>
              <w:rPr>
                <w:rFonts w:ascii="仿宋_GB2312" w:eastAsia="仿宋_GB2312" w:cs="宋体"/>
                <w:color w:val="000000"/>
                <w:sz w:val="24"/>
              </w:rPr>
            </w:pPr>
            <w:r>
              <w:rPr>
                <w:rFonts w:cs="宋体"/>
                <w:color w:val="000000"/>
                <w:sz w:val="24"/>
              </w:rPr>
              <w:t>达到预期的经济效益和社会效益</w:t>
            </w:r>
            <w:r>
              <w:rPr>
                <w:rFonts w:hint="eastAsia" w:cs="宋体"/>
                <w:color w:val="000000"/>
                <w:sz w:val="24"/>
              </w:rPr>
              <w:t>。</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ECDDF2E">
            <w:pPr>
              <w:widowControl/>
              <w:ind w:firstLine="480" w:firstLineChars="200"/>
              <w:textAlignment w:val="center"/>
              <w:rPr>
                <w:rFonts w:hint="default" w:eastAsia="宋体" w:cs="宋体"/>
                <w:color w:val="000000"/>
                <w:kern w:val="0"/>
                <w:sz w:val="24"/>
                <w:lang w:val="en-US" w:eastAsia="zh-CN"/>
              </w:rPr>
            </w:pPr>
            <w:r>
              <w:rPr>
                <w:rFonts w:hint="eastAsia" w:cs="宋体"/>
                <w:color w:val="000000"/>
                <w:kern w:val="0"/>
                <w:sz w:val="24"/>
              </w:rPr>
              <w:t>通过各项基础设施建设，为群众提供良好的卫生环境、方便群众出行；</w:t>
            </w:r>
            <w:r>
              <w:rPr>
                <w:rFonts w:hint="eastAsia" w:cs="宋体"/>
                <w:color w:val="000000"/>
                <w:kern w:val="0"/>
                <w:sz w:val="24"/>
                <w:lang w:val="en-US" w:eastAsia="zh-CN"/>
              </w:rPr>
              <w:t>提高了人们幸福指数。</w:t>
            </w:r>
          </w:p>
          <w:p w14:paraId="1E132421">
            <w:pPr>
              <w:widowControl/>
              <w:jc w:val="center"/>
              <w:textAlignment w:val="center"/>
              <w:rPr>
                <w:rFonts w:ascii="仿宋_GB2312" w:hAnsi="Times New Roman" w:eastAsia="仿宋_GB2312" w:cs="宋体"/>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4A66885">
            <w:pPr>
              <w:widowControl/>
              <w:ind w:firstLine="480" w:firstLineChars="200"/>
              <w:textAlignment w:val="center"/>
              <w:rPr>
                <w:rFonts w:hint="default" w:eastAsia="宋体" w:cs="宋体"/>
                <w:color w:val="000000"/>
                <w:kern w:val="0"/>
                <w:sz w:val="24"/>
                <w:lang w:val="en-US" w:eastAsia="zh-CN"/>
              </w:rPr>
            </w:pPr>
            <w:r>
              <w:rPr>
                <w:rFonts w:hint="eastAsia" w:cs="宋体"/>
                <w:color w:val="000000"/>
                <w:kern w:val="0"/>
                <w:sz w:val="24"/>
              </w:rPr>
              <w:t>项目实施好后，切实为群众提供了良好的卫生环境、也方便群众出行，</w:t>
            </w:r>
            <w:r>
              <w:rPr>
                <w:rFonts w:hint="eastAsia" w:cs="宋体"/>
                <w:color w:val="000000"/>
                <w:kern w:val="0"/>
                <w:sz w:val="24"/>
                <w:lang w:val="en-US" w:eastAsia="zh-CN"/>
              </w:rPr>
              <w:t>治安保卫工作有效提高。提高了人们幸福指数。</w:t>
            </w:r>
          </w:p>
          <w:p w14:paraId="2E5AD6B7">
            <w:pPr>
              <w:widowControl/>
              <w:jc w:val="center"/>
              <w:textAlignment w:val="center"/>
              <w:rPr>
                <w:rFonts w:ascii="仿宋_GB2312" w:hAnsi="Times New Roman" w:eastAsia="仿宋_GB2312" w:cs="宋体"/>
                <w:color w:val="000000"/>
                <w:kern w:val="2"/>
                <w:sz w:val="24"/>
                <w:szCs w:val="24"/>
                <w:lang w:val="en-US" w:eastAsia="zh-CN" w:bidi="ar-SA"/>
              </w:rPr>
            </w:pPr>
          </w:p>
        </w:tc>
      </w:tr>
      <w:tr w14:paraId="2E450BB4">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E14E2E">
            <w:pPr>
              <w:widowControl/>
              <w:jc w:val="left"/>
              <w:rPr>
                <w:rFonts w:ascii="仿宋_GB2312"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0B98C30">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08A8501">
            <w:pPr>
              <w:widowControl/>
              <w:jc w:val="center"/>
              <w:textAlignment w:val="center"/>
              <w:rPr>
                <w:rFonts w:ascii="仿宋_GB2312" w:hAnsi="Times New Roman" w:eastAsia="仿宋_GB2312" w:cs="宋体"/>
                <w:color w:val="000000"/>
                <w:kern w:val="2"/>
                <w:sz w:val="24"/>
                <w:szCs w:val="24"/>
                <w:lang w:val="en-US" w:eastAsia="zh-CN" w:bidi="ar-SA"/>
              </w:rPr>
            </w:pPr>
            <w:r>
              <w:rPr>
                <w:rFonts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CE57C2A">
            <w:pPr>
              <w:widowControl/>
              <w:jc w:val="center"/>
              <w:textAlignment w:val="center"/>
              <w:rPr>
                <w:rFonts w:ascii="仿宋_GB2312" w:hAnsi="Times New Roman" w:eastAsia="仿宋_GB2312" w:cs="宋体"/>
                <w:color w:val="000000"/>
                <w:kern w:val="2"/>
                <w:sz w:val="24"/>
                <w:szCs w:val="24"/>
                <w:lang w:val="en-US" w:eastAsia="zh-CN" w:bidi="ar-SA"/>
              </w:rPr>
            </w:pPr>
            <w:r>
              <w:rPr>
                <w:rFonts w:cs="宋体"/>
                <w:color w:val="000000"/>
                <w:sz w:val="24"/>
              </w:rPr>
              <w:t>100%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75CF4F3">
            <w:pPr>
              <w:widowControl/>
              <w:jc w:val="center"/>
              <w:textAlignment w:val="center"/>
              <w:rPr>
                <w:rFonts w:ascii="仿宋_GB2312" w:hAnsi="Times New Roman" w:eastAsia="仿宋_GB2312" w:cs="宋体"/>
                <w:color w:val="000000"/>
                <w:kern w:val="2"/>
                <w:sz w:val="24"/>
                <w:szCs w:val="24"/>
                <w:lang w:val="en-US" w:eastAsia="zh-CN" w:bidi="ar-SA"/>
              </w:rPr>
            </w:pPr>
            <w:r>
              <w:rPr>
                <w:rFonts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9C0ED25">
            <w:pPr>
              <w:widowControl/>
              <w:jc w:val="center"/>
              <w:textAlignment w:val="center"/>
              <w:rPr>
                <w:rFonts w:ascii="仿宋_GB2312" w:hAnsi="Times New Roman" w:eastAsia="仿宋_GB2312" w:cs="宋体"/>
                <w:color w:val="000000"/>
                <w:kern w:val="2"/>
                <w:sz w:val="24"/>
                <w:szCs w:val="24"/>
                <w:lang w:val="en-US" w:eastAsia="zh-CN" w:bidi="ar-SA"/>
              </w:rPr>
            </w:pPr>
            <w:r>
              <w:rPr>
                <w:rFonts w:cs="宋体"/>
                <w:color w:val="000000"/>
                <w:sz w:val="24"/>
              </w:rPr>
              <w:t>100%</w:t>
            </w:r>
          </w:p>
        </w:tc>
      </w:tr>
    </w:tbl>
    <w:p w14:paraId="5323DF38">
      <w:pPr>
        <w:spacing w:line="580" w:lineRule="exact"/>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3D127027">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本部门按要求对2019年部门整体支出绩效评价情况开展自评，《新山乡2019年部门整体支出绩效评价报告》见附件。</w:t>
      </w:r>
    </w:p>
    <w:p w14:paraId="40807394">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本部门自行组织对2018年基层组织活动和农村公共服务运行维护建设项目开展了绩效评价，《2018年基层组织活动和农村公共服务运行维护建设项目2019年绩效评价报告》见附件。</w:t>
      </w:r>
    </w:p>
    <w:p w14:paraId="76284013">
      <w:pPr>
        <w:pStyle w:val="7"/>
        <w:numPr>
          <w:ilvl w:val="0"/>
          <w:numId w:val="0"/>
        </w:numPr>
        <w:ind w:leftChars="200"/>
        <w:rPr>
          <w:rFonts w:hint="eastAsia" w:ascii="仿宋_GB2312" w:hAnsi="Times New Roman" w:eastAsia="仿宋_GB2312" w:cs="Times New Roman"/>
          <w:color w:val="000000"/>
          <w:kern w:val="2"/>
          <w:sz w:val="32"/>
          <w:szCs w:val="32"/>
          <w:lang w:val="en-US" w:eastAsia="zh-CN" w:bidi="ar-SA"/>
        </w:rPr>
      </w:pPr>
    </w:p>
    <w:p w14:paraId="6FACA928">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65BAF647">
      <w:pPr>
        <w:numPr>
          <w:ilvl w:val="0"/>
          <w:numId w:val="5"/>
        </w:numPr>
        <w:spacing w:line="600" w:lineRule="exact"/>
        <w:ind w:firstLine="660" w:firstLineChars="150"/>
        <w:jc w:val="center"/>
        <w:outlineLvl w:val="0"/>
        <w:rPr>
          <w:rStyle w:val="26"/>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6"/>
          <w:rFonts w:hint="eastAsia" w:ascii="黑体" w:hAnsi="黑体" w:eastAsia="黑体"/>
          <w:b w:val="0"/>
        </w:rPr>
        <w:t>词解释</w:t>
      </w:r>
      <w:bookmarkEnd w:id="55"/>
      <w:bookmarkEnd w:id="56"/>
    </w:p>
    <w:p w14:paraId="329F135D">
      <w:pPr>
        <w:spacing w:line="600" w:lineRule="exact"/>
        <w:jc w:val="left"/>
        <w:rPr>
          <w:rFonts w:ascii="宋体"/>
          <w:b/>
          <w:color w:val="000000"/>
          <w:sz w:val="44"/>
          <w:szCs w:val="44"/>
        </w:rPr>
      </w:pPr>
    </w:p>
    <w:p w14:paraId="027A4EC2">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49BCC42">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465BF0D0">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22D0ED52">
      <w:pPr>
        <w:pStyle w:val="24"/>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hint="eastAsia" w:ascii="仿宋_GB2312" w:eastAsia="仿宋_GB2312"/>
          <w:sz w:val="32"/>
          <w:szCs w:val="32"/>
          <w:lang w:eastAsia="zh-CN"/>
        </w:rPr>
        <w:t>包括资收益、</w:t>
      </w:r>
      <w:r>
        <w:rPr>
          <w:rFonts w:hint="default" w:ascii="仿宋_GB2312" w:eastAsia="仿宋_GB2312"/>
          <w:sz w:val="32"/>
          <w:szCs w:val="32"/>
          <w:lang w:eastAsia="zh-CN"/>
        </w:rPr>
        <w:fldChar w:fldCharType="begin"/>
      </w:r>
      <w:r>
        <w:rPr>
          <w:rFonts w:hint="default" w:ascii="仿宋_GB2312" w:eastAsia="仿宋_GB2312"/>
          <w:sz w:val="32"/>
          <w:szCs w:val="32"/>
          <w:lang w:eastAsia="zh-CN"/>
        </w:rPr>
        <w:instrText xml:space="preserve"> HYPERLINK "https://baike.baidu.com/item/%E5%88%A9%E6%81%AF%E6%94%B6%E5%85%A5" \t "https://baike.baidu.com/item/%E5%85%B6%E4%BB%96%E6%94%B6%E5%85%A5/_blank" </w:instrText>
      </w:r>
      <w:r>
        <w:rPr>
          <w:rFonts w:hint="default" w:ascii="仿宋_GB2312" w:eastAsia="仿宋_GB2312"/>
          <w:sz w:val="32"/>
          <w:szCs w:val="32"/>
          <w:lang w:eastAsia="zh-CN"/>
        </w:rPr>
        <w:fldChar w:fldCharType="separate"/>
      </w:r>
      <w:r>
        <w:rPr>
          <w:rFonts w:hint="default" w:ascii="仿宋_GB2312" w:eastAsia="仿宋_GB2312"/>
          <w:sz w:val="32"/>
          <w:szCs w:val="32"/>
          <w:lang w:eastAsia="zh-CN"/>
        </w:rPr>
        <w:t>利息收入</w:t>
      </w:r>
      <w:r>
        <w:rPr>
          <w:rFonts w:hint="default" w:ascii="仿宋_GB2312" w:eastAsia="仿宋_GB2312"/>
          <w:sz w:val="32"/>
          <w:szCs w:val="32"/>
          <w:lang w:eastAsia="zh-CN"/>
        </w:rPr>
        <w:fldChar w:fldCharType="end"/>
      </w:r>
      <w:r>
        <w:rPr>
          <w:rFonts w:hint="default" w:ascii="仿宋_GB2312" w:eastAsia="仿宋_GB2312"/>
          <w:sz w:val="32"/>
          <w:szCs w:val="32"/>
          <w:lang w:eastAsia="zh-CN"/>
        </w:rPr>
        <w:t>、捐赠收入、</w:t>
      </w:r>
      <w:r>
        <w:rPr>
          <w:rFonts w:hint="default" w:ascii="仿宋_GB2312" w:eastAsia="仿宋_GB2312"/>
          <w:sz w:val="32"/>
          <w:szCs w:val="32"/>
          <w:lang w:eastAsia="zh-CN"/>
        </w:rPr>
        <w:fldChar w:fldCharType="begin"/>
      </w:r>
      <w:r>
        <w:rPr>
          <w:rFonts w:hint="default" w:ascii="仿宋_GB2312" w:eastAsia="仿宋_GB2312"/>
          <w:sz w:val="32"/>
          <w:szCs w:val="32"/>
          <w:lang w:eastAsia="zh-CN"/>
        </w:rPr>
        <w:instrText xml:space="preserve"> HYPERLINK "https://baike.baidu.com/item/%E5%9B%BA%E5%AE%9A%E8%B5%84%E4%BA%A7%E7%A7%9F%E8%B5%81" \t "https://baike.baidu.com/item/%E5%85%B6%E4%BB%96%E6%94%B6%E5%85%A5/_blank" </w:instrText>
      </w:r>
      <w:r>
        <w:rPr>
          <w:rFonts w:hint="default" w:ascii="仿宋_GB2312" w:eastAsia="仿宋_GB2312"/>
          <w:sz w:val="32"/>
          <w:szCs w:val="32"/>
          <w:lang w:eastAsia="zh-CN"/>
        </w:rPr>
        <w:fldChar w:fldCharType="separate"/>
      </w:r>
      <w:r>
        <w:rPr>
          <w:rFonts w:hint="default" w:ascii="仿宋_GB2312" w:eastAsia="仿宋_GB2312"/>
          <w:sz w:val="32"/>
          <w:szCs w:val="32"/>
          <w:lang w:eastAsia="zh-CN"/>
        </w:rPr>
        <w:t>固定资产租赁</w:t>
      </w:r>
      <w:r>
        <w:rPr>
          <w:rFonts w:hint="default" w:ascii="仿宋_GB2312" w:eastAsia="仿宋_GB2312"/>
          <w:sz w:val="32"/>
          <w:szCs w:val="32"/>
          <w:lang w:eastAsia="zh-CN"/>
        </w:rPr>
        <w:fldChar w:fldCharType="end"/>
      </w:r>
      <w:r>
        <w:rPr>
          <w:rFonts w:hint="default" w:ascii="仿宋_GB2312" w:eastAsia="仿宋_GB2312"/>
          <w:sz w:val="32"/>
          <w:szCs w:val="32"/>
          <w:lang w:eastAsia="zh-CN"/>
        </w:rPr>
        <w:t>收入、收取的违约金等各种杂项收入。</w:t>
      </w:r>
      <w:r>
        <w:rPr>
          <w:rFonts w:hint="eastAsia" w:ascii="仿宋_GB2312" w:eastAsia="仿宋_GB2312"/>
          <w:sz w:val="32"/>
          <w:szCs w:val="32"/>
          <w:lang w:eastAsia="zh-CN"/>
        </w:rPr>
        <w:t xml:space="preserve"> </w:t>
      </w:r>
    </w:p>
    <w:p w14:paraId="46DC3E32">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2775C1BE">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28F4F4DE">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7C26953F">
      <w:pPr>
        <w:pStyle w:val="2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5A34E4D0">
      <w:pPr>
        <w:pStyle w:val="24"/>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9.</w:t>
      </w:r>
      <w:r>
        <w:rPr>
          <w:rFonts w:hint="eastAsia" w:ascii="仿宋_GB2312" w:eastAsia="仿宋_GB2312"/>
          <w:sz w:val="32"/>
          <w:szCs w:val="32"/>
        </w:rPr>
        <w:t>一般公共服务（类）</w:t>
      </w:r>
      <w:r>
        <w:rPr>
          <w:rFonts w:hint="eastAsia" w:ascii="仿宋_GB2312" w:eastAsia="仿宋_GB2312"/>
          <w:sz w:val="32"/>
          <w:szCs w:val="32"/>
          <w:lang w:eastAsia="zh-CN"/>
        </w:rPr>
        <w:t>政府办公厅（室）及相关机构事务</w:t>
      </w:r>
      <w:r>
        <w:rPr>
          <w:rFonts w:hint="eastAsia" w:ascii="仿宋_GB2312" w:eastAsia="仿宋_GB2312"/>
          <w:sz w:val="32"/>
          <w:szCs w:val="32"/>
        </w:rPr>
        <w:t>（款）</w:t>
      </w:r>
      <w:r>
        <w:rPr>
          <w:rFonts w:hint="eastAsia" w:ascii="仿宋_GB2312" w:eastAsia="仿宋_GB2312"/>
          <w:sz w:val="32"/>
          <w:szCs w:val="32"/>
          <w:lang w:eastAsia="zh-CN"/>
        </w:rPr>
        <w:t>行政运行</w:t>
      </w:r>
      <w:r>
        <w:rPr>
          <w:rFonts w:hint="eastAsia" w:ascii="仿宋_GB2312" w:eastAsia="仿宋_GB2312"/>
          <w:sz w:val="32"/>
          <w:szCs w:val="32"/>
        </w:rPr>
        <w:t>（项）：指</w:t>
      </w:r>
      <w:r>
        <w:rPr>
          <w:rFonts w:hint="eastAsia" w:ascii="仿宋_GB2312" w:eastAsia="仿宋_GB2312"/>
          <w:sz w:val="32"/>
          <w:szCs w:val="32"/>
          <w:lang w:eastAsia="zh-CN"/>
        </w:rPr>
        <w:t>行政单位（包括实行公务员管理的事业单位）的基本支出；一般行政管理事务</w:t>
      </w:r>
      <w:r>
        <w:rPr>
          <w:rFonts w:hint="eastAsia" w:ascii="仿宋_GB2312" w:eastAsia="仿宋_GB2312"/>
          <w:sz w:val="32"/>
          <w:szCs w:val="32"/>
        </w:rPr>
        <w:t>（项）</w:t>
      </w:r>
      <w:r>
        <w:rPr>
          <w:rFonts w:hint="eastAsia" w:ascii="仿宋_GB2312" w:eastAsia="仿宋_GB2312"/>
          <w:sz w:val="32"/>
          <w:szCs w:val="32"/>
          <w:lang w:eastAsia="zh-CN"/>
        </w:rPr>
        <w:t>指行政单位（包括实行公务员管理的事业单位）未单独设置项级科目的其他项目支出；事业运行</w:t>
      </w:r>
      <w:r>
        <w:rPr>
          <w:rFonts w:hint="eastAsia" w:ascii="仿宋_GB2312" w:eastAsia="仿宋_GB2312"/>
          <w:sz w:val="32"/>
          <w:szCs w:val="32"/>
        </w:rPr>
        <w:t>（项）</w:t>
      </w:r>
      <w:r>
        <w:rPr>
          <w:rFonts w:hint="eastAsia" w:ascii="仿宋_GB2312" w:eastAsia="仿宋_GB2312"/>
          <w:sz w:val="32"/>
          <w:szCs w:val="32"/>
          <w:lang w:eastAsia="zh-CN"/>
        </w:rPr>
        <w:t>指事业单位的基本支出，不包括行政单位（包括实行公务员管理的事业单位）后勤服务中心、医务室等附属事业单位；其他一般公共服务支出指除上述项目以外的其他一般公共服务支出。</w:t>
      </w:r>
    </w:p>
    <w:p w14:paraId="1B6A99AE">
      <w:pPr>
        <w:pStyle w:val="24"/>
        <w:spacing w:line="560" w:lineRule="exact"/>
        <w:ind w:firstLine="640" w:firstLineChars="20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公共安全（类）</w:t>
      </w:r>
      <w:r>
        <w:rPr>
          <w:rFonts w:hint="eastAsia" w:ascii="仿宋_GB2312" w:eastAsia="仿宋_GB2312"/>
          <w:sz w:val="32"/>
          <w:szCs w:val="32"/>
          <w:lang w:eastAsia="zh-CN"/>
        </w:rPr>
        <w:t>公安</w:t>
      </w:r>
      <w:r>
        <w:rPr>
          <w:rFonts w:hint="eastAsia" w:ascii="仿宋_GB2312" w:eastAsia="仿宋_GB2312"/>
          <w:sz w:val="32"/>
          <w:szCs w:val="32"/>
        </w:rPr>
        <w:t>（款）</w:t>
      </w:r>
      <w:r>
        <w:rPr>
          <w:rFonts w:hint="eastAsia" w:ascii="仿宋_GB2312" w:eastAsia="仿宋_GB2312"/>
          <w:sz w:val="32"/>
          <w:szCs w:val="32"/>
          <w:lang w:eastAsia="zh-CN"/>
        </w:rPr>
        <w:t>治安管理</w:t>
      </w:r>
      <w:r>
        <w:rPr>
          <w:rFonts w:hint="eastAsia" w:ascii="仿宋_GB2312" w:eastAsia="仿宋_GB2312"/>
          <w:sz w:val="32"/>
          <w:szCs w:val="32"/>
        </w:rPr>
        <w:t>（项）：指</w:t>
      </w:r>
      <w:r>
        <w:rPr>
          <w:rFonts w:hint="eastAsia" w:ascii="仿宋_GB2312" w:eastAsia="仿宋_GB2312"/>
          <w:sz w:val="32"/>
          <w:szCs w:val="32"/>
          <w:lang w:eastAsia="zh-CN"/>
        </w:rPr>
        <w:t>各级公安机关开展治安管理工作的支出，包括所属巡警队、特警队、派出所、</w:t>
      </w:r>
      <w:r>
        <w:rPr>
          <w:rFonts w:hint="eastAsia" w:ascii="仿宋_GB2312" w:eastAsia="仿宋_GB2312"/>
          <w:sz w:val="32"/>
          <w:szCs w:val="32"/>
          <w:lang w:val="en-US" w:eastAsia="zh-CN"/>
        </w:rPr>
        <w:t>110等方面的支出</w:t>
      </w:r>
      <w:r>
        <w:rPr>
          <w:rFonts w:hint="eastAsia" w:ascii="仿宋_GB2312" w:eastAsia="仿宋_GB2312"/>
          <w:sz w:val="32"/>
          <w:szCs w:val="32"/>
        </w:rPr>
        <w:t>。</w:t>
      </w:r>
    </w:p>
    <w:p w14:paraId="6BDA03B6">
      <w:pPr>
        <w:pStyle w:val="24"/>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11.</w:t>
      </w:r>
      <w:r>
        <w:rPr>
          <w:rFonts w:hint="eastAsia" w:ascii="仿宋_GB2312" w:eastAsia="仿宋_GB2312"/>
          <w:sz w:val="32"/>
          <w:szCs w:val="32"/>
        </w:rPr>
        <w:t>社会保障和就业（类）</w:t>
      </w:r>
      <w:r>
        <w:rPr>
          <w:rFonts w:hint="eastAsia" w:ascii="仿宋_GB2312" w:eastAsia="仿宋_GB2312"/>
          <w:sz w:val="32"/>
          <w:szCs w:val="32"/>
          <w:lang w:eastAsia="zh-CN"/>
        </w:rPr>
        <w:t>行政事业单位离退休</w:t>
      </w:r>
      <w:r>
        <w:rPr>
          <w:rFonts w:hint="eastAsia" w:ascii="仿宋_GB2312" w:eastAsia="仿宋_GB2312"/>
          <w:sz w:val="32"/>
          <w:szCs w:val="32"/>
        </w:rPr>
        <w:t>（款）</w:t>
      </w:r>
      <w:r>
        <w:rPr>
          <w:rFonts w:hint="eastAsia" w:ascii="仿宋_GB2312" w:eastAsia="仿宋_GB2312"/>
          <w:sz w:val="32"/>
          <w:szCs w:val="32"/>
          <w:lang w:eastAsia="zh-CN"/>
        </w:rPr>
        <w:t>未归口管理的行政单位离退休</w:t>
      </w:r>
      <w:r>
        <w:rPr>
          <w:rFonts w:hint="eastAsia" w:ascii="仿宋_GB2312" w:eastAsia="仿宋_GB2312"/>
          <w:sz w:val="32"/>
          <w:szCs w:val="32"/>
        </w:rPr>
        <w:t>（项）：指</w:t>
      </w:r>
      <w:r>
        <w:rPr>
          <w:rFonts w:hint="eastAsia" w:ascii="仿宋_GB2312" w:eastAsia="仿宋_GB2312"/>
          <w:sz w:val="32"/>
          <w:szCs w:val="32"/>
          <w:lang w:eastAsia="zh-CN"/>
        </w:rPr>
        <w:t>未实行归口管理的行政单位（包括实行公务员管理的事业单位）开支的离退休支出；机关事业单位基本养老保险缴费支出</w:t>
      </w:r>
      <w:r>
        <w:rPr>
          <w:rFonts w:hint="eastAsia" w:ascii="仿宋_GB2312" w:eastAsia="仿宋_GB2312"/>
          <w:sz w:val="32"/>
          <w:szCs w:val="32"/>
        </w:rPr>
        <w:t>（项）</w:t>
      </w:r>
      <w:r>
        <w:rPr>
          <w:rFonts w:hint="eastAsia" w:ascii="仿宋_GB2312" w:eastAsia="仿宋_GB2312"/>
          <w:sz w:val="32"/>
          <w:szCs w:val="32"/>
          <w:lang w:eastAsia="zh-CN"/>
        </w:rPr>
        <w:t>指机关事业单位实施养老保险制度由单位缴纳的基本养老保险费支出；机关事业单位职业年金缴费支出</w:t>
      </w:r>
      <w:r>
        <w:rPr>
          <w:rFonts w:hint="eastAsia" w:ascii="仿宋_GB2312" w:eastAsia="仿宋_GB2312"/>
          <w:sz w:val="32"/>
          <w:szCs w:val="32"/>
        </w:rPr>
        <w:t>（项）</w:t>
      </w:r>
      <w:r>
        <w:rPr>
          <w:rFonts w:hint="eastAsia" w:ascii="仿宋_GB2312" w:eastAsia="仿宋_GB2312"/>
          <w:sz w:val="32"/>
          <w:szCs w:val="32"/>
          <w:lang w:eastAsia="zh-CN"/>
        </w:rPr>
        <w:t>指指机关事业单位实施养老保险制度由单位实际缴纳的职业年金支出。</w:t>
      </w:r>
    </w:p>
    <w:p w14:paraId="4E79A398">
      <w:pPr>
        <w:pStyle w:val="24"/>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社会保障和就业（类）</w:t>
      </w:r>
      <w:r>
        <w:rPr>
          <w:rFonts w:hint="eastAsia" w:ascii="仿宋_GB2312" w:eastAsia="仿宋_GB2312"/>
          <w:sz w:val="32"/>
          <w:szCs w:val="32"/>
          <w:lang w:eastAsia="zh-CN"/>
        </w:rPr>
        <w:t>抚恤</w:t>
      </w:r>
      <w:r>
        <w:rPr>
          <w:rFonts w:hint="eastAsia" w:ascii="仿宋_GB2312" w:eastAsia="仿宋_GB2312"/>
          <w:sz w:val="32"/>
          <w:szCs w:val="32"/>
        </w:rPr>
        <w:t>（款）</w:t>
      </w:r>
      <w:r>
        <w:rPr>
          <w:rFonts w:hint="eastAsia" w:ascii="仿宋_GB2312" w:eastAsia="仿宋_GB2312"/>
          <w:sz w:val="32"/>
          <w:szCs w:val="32"/>
          <w:lang w:eastAsia="zh-CN"/>
        </w:rPr>
        <w:t>死亡抚恤</w:t>
      </w:r>
      <w:r>
        <w:rPr>
          <w:rFonts w:hint="eastAsia" w:ascii="仿宋_GB2312" w:eastAsia="仿宋_GB2312"/>
          <w:sz w:val="32"/>
          <w:szCs w:val="32"/>
        </w:rPr>
        <w:t>（项）</w:t>
      </w:r>
      <w:r>
        <w:rPr>
          <w:rFonts w:hint="eastAsia" w:ascii="仿宋_GB2312" w:eastAsia="仿宋_GB2312"/>
          <w:sz w:val="32"/>
          <w:szCs w:val="32"/>
          <w:lang w:eastAsia="zh-CN"/>
        </w:rPr>
        <w:t>指按规定用于烈士和牺牲、病故人员家属的一次性和定期抚恤金以及丧葬补助费；伤残抚恤</w:t>
      </w:r>
      <w:r>
        <w:rPr>
          <w:rFonts w:hint="eastAsia" w:ascii="仿宋_GB2312" w:eastAsia="仿宋_GB2312"/>
          <w:sz w:val="32"/>
          <w:szCs w:val="32"/>
        </w:rPr>
        <w:t>（项）</w:t>
      </w:r>
      <w:r>
        <w:rPr>
          <w:rFonts w:hint="eastAsia" w:ascii="仿宋_GB2312" w:eastAsia="仿宋_GB2312"/>
          <w:sz w:val="32"/>
          <w:szCs w:val="32"/>
          <w:lang w:eastAsia="zh-CN"/>
        </w:rPr>
        <w:t>指按规定用于伤残人员的抚恤金和按规定开支的各种伤残补助费。</w:t>
      </w:r>
    </w:p>
    <w:p w14:paraId="1709CF01">
      <w:pPr>
        <w:pStyle w:val="24"/>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社会保障和就业（类）</w:t>
      </w:r>
      <w:r>
        <w:rPr>
          <w:rFonts w:hint="eastAsia" w:ascii="仿宋_GB2312" w:eastAsia="仿宋_GB2312"/>
          <w:sz w:val="32"/>
          <w:szCs w:val="32"/>
          <w:lang w:eastAsia="zh-CN"/>
        </w:rPr>
        <w:t>其他生活救助</w:t>
      </w:r>
      <w:r>
        <w:rPr>
          <w:rFonts w:hint="eastAsia" w:ascii="仿宋_GB2312" w:eastAsia="仿宋_GB2312"/>
          <w:sz w:val="32"/>
          <w:szCs w:val="32"/>
        </w:rPr>
        <w:t>（款）</w:t>
      </w:r>
      <w:r>
        <w:rPr>
          <w:rFonts w:hint="eastAsia" w:ascii="仿宋_GB2312" w:eastAsia="仿宋_GB2312"/>
          <w:sz w:val="32"/>
          <w:szCs w:val="32"/>
          <w:lang w:eastAsia="zh-CN"/>
        </w:rPr>
        <w:t>其他城市生活救助</w:t>
      </w:r>
      <w:r>
        <w:rPr>
          <w:rFonts w:hint="eastAsia" w:ascii="仿宋_GB2312" w:eastAsia="仿宋_GB2312"/>
          <w:sz w:val="32"/>
          <w:szCs w:val="32"/>
        </w:rPr>
        <w:t>（项）</w:t>
      </w:r>
      <w:r>
        <w:rPr>
          <w:rFonts w:hint="eastAsia" w:ascii="仿宋_GB2312" w:eastAsia="仿宋_GB2312"/>
          <w:sz w:val="32"/>
          <w:szCs w:val="32"/>
          <w:lang w:eastAsia="zh-CN"/>
        </w:rPr>
        <w:t>指除最低生活保障、临时救助、特困人员供养外，用于城市生活困难居民生活救助的其他支出。</w:t>
      </w:r>
    </w:p>
    <w:p w14:paraId="701F3EFB">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城乡社区（类）</w:t>
      </w:r>
      <w:r>
        <w:rPr>
          <w:rFonts w:hint="eastAsia" w:ascii="仿宋_GB2312" w:eastAsia="仿宋_GB2312"/>
          <w:sz w:val="32"/>
          <w:szCs w:val="32"/>
          <w:lang w:eastAsia="zh-CN"/>
        </w:rPr>
        <w:t>国有土地使用权出让收入及对应专项债务收入安排的支出</w:t>
      </w:r>
      <w:r>
        <w:rPr>
          <w:rFonts w:hint="eastAsia" w:ascii="仿宋_GB2312" w:eastAsia="仿宋_GB2312"/>
          <w:sz w:val="32"/>
          <w:szCs w:val="32"/>
        </w:rPr>
        <w:t>（款）</w:t>
      </w:r>
      <w:r>
        <w:rPr>
          <w:rFonts w:hint="eastAsia" w:ascii="仿宋_GB2312" w:eastAsia="仿宋_GB2312"/>
          <w:sz w:val="32"/>
          <w:szCs w:val="32"/>
          <w:lang w:eastAsia="zh-CN"/>
        </w:rPr>
        <w:t>征地和拆迁补偿支出</w:t>
      </w:r>
      <w:r>
        <w:rPr>
          <w:rFonts w:hint="eastAsia" w:ascii="仿宋_GB2312" w:eastAsia="仿宋_GB2312"/>
          <w:sz w:val="32"/>
          <w:szCs w:val="32"/>
        </w:rPr>
        <w:t>（项）指</w:t>
      </w:r>
      <w:r>
        <w:rPr>
          <w:rFonts w:hint="eastAsia" w:ascii="仿宋_GB2312" w:eastAsia="仿宋_GB2312"/>
          <w:sz w:val="32"/>
          <w:szCs w:val="32"/>
          <w:lang w:eastAsia="zh-CN"/>
        </w:rPr>
        <w:t>地方人民政府在征地和收购土地过程中支付的土地赔偿费、安置补助费、地上附着和青苗补偿费、拆迁补偿费支出</w:t>
      </w:r>
      <w:r>
        <w:rPr>
          <w:rFonts w:hint="eastAsia" w:ascii="仿宋_GB2312" w:eastAsia="仿宋_GB2312"/>
          <w:sz w:val="32"/>
          <w:szCs w:val="32"/>
        </w:rPr>
        <w:t>。</w:t>
      </w:r>
    </w:p>
    <w:p w14:paraId="6B7EAD11">
      <w:pPr>
        <w:pStyle w:val="24"/>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城乡社区（类）</w:t>
      </w:r>
      <w:r>
        <w:rPr>
          <w:rFonts w:hint="eastAsia" w:ascii="仿宋_GB2312" w:eastAsia="仿宋_GB2312"/>
          <w:sz w:val="32"/>
          <w:szCs w:val="32"/>
          <w:lang w:eastAsia="zh-CN"/>
        </w:rPr>
        <w:t>国有土地使用权出让收入及对应专项债务收入安排的支出</w:t>
      </w:r>
      <w:r>
        <w:rPr>
          <w:rFonts w:hint="eastAsia" w:ascii="仿宋_GB2312" w:eastAsia="仿宋_GB2312"/>
          <w:sz w:val="32"/>
          <w:szCs w:val="32"/>
        </w:rPr>
        <w:t>（款）</w:t>
      </w:r>
      <w:r>
        <w:rPr>
          <w:rFonts w:hint="eastAsia" w:ascii="仿宋_GB2312" w:eastAsia="仿宋_GB2312"/>
          <w:sz w:val="32"/>
          <w:szCs w:val="32"/>
          <w:lang w:eastAsia="zh-CN"/>
        </w:rPr>
        <w:t>补助被征地农民支出</w:t>
      </w:r>
      <w:r>
        <w:rPr>
          <w:rFonts w:hint="eastAsia" w:ascii="仿宋_GB2312" w:eastAsia="仿宋_GB2312"/>
          <w:sz w:val="32"/>
          <w:szCs w:val="32"/>
        </w:rPr>
        <w:t>（项）</w:t>
      </w:r>
      <w:r>
        <w:rPr>
          <w:rFonts w:hint="eastAsia" w:ascii="仿宋_GB2312" w:eastAsia="仿宋_GB2312"/>
          <w:sz w:val="32"/>
          <w:szCs w:val="32"/>
          <w:lang w:eastAsia="zh-CN"/>
        </w:rPr>
        <w:t>指土地出让收入用于补助被征地农民社会保障支出以及保持被征地农民原有生活水平支出。</w:t>
      </w:r>
    </w:p>
    <w:p w14:paraId="319ACCB2">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农林水（类）</w:t>
      </w:r>
      <w:r>
        <w:rPr>
          <w:rFonts w:hint="eastAsia" w:ascii="仿宋_GB2312" w:eastAsia="仿宋_GB2312"/>
          <w:sz w:val="32"/>
          <w:szCs w:val="32"/>
          <w:lang w:eastAsia="zh-CN"/>
        </w:rPr>
        <w:t>农业</w:t>
      </w:r>
      <w:r>
        <w:rPr>
          <w:rFonts w:hint="eastAsia" w:ascii="仿宋_GB2312" w:eastAsia="仿宋_GB2312"/>
          <w:sz w:val="32"/>
          <w:szCs w:val="32"/>
        </w:rPr>
        <w:t>（款）</w:t>
      </w:r>
      <w:r>
        <w:rPr>
          <w:rFonts w:hint="eastAsia" w:ascii="仿宋_GB2312" w:eastAsia="仿宋_GB2312"/>
          <w:sz w:val="32"/>
          <w:szCs w:val="32"/>
          <w:lang w:eastAsia="zh-CN"/>
        </w:rPr>
        <w:t>农业生产支持补贴</w:t>
      </w:r>
      <w:r>
        <w:rPr>
          <w:rFonts w:hint="eastAsia" w:ascii="仿宋_GB2312" w:eastAsia="仿宋_GB2312"/>
          <w:sz w:val="32"/>
          <w:szCs w:val="32"/>
        </w:rPr>
        <w:t>（项）：指</w:t>
      </w:r>
      <w:r>
        <w:rPr>
          <w:rFonts w:hint="eastAsia" w:ascii="仿宋_GB2312" w:eastAsia="仿宋_GB2312"/>
          <w:sz w:val="32"/>
          <w:szCs w:val="32"/>
          <w:lang w:eastAsia="zh-CN"/>
        </w:rPr>
        <w:t>对种粮农民直接补贴，对农业生产资料补贴、技术物化补贴，推广先进适用农技农艺技术等方面支出；对高校毕业生到基层任职补助</w:t>
      </w:r>
      <w:r>
        <w:rPr>
          <w:rFonts w:hint="eastAsia" w:ascii="仿宋_GB2312" w:eastAsia="仿宋_GB2312"/>
          <w:sz w:val="32"/>
          <w:szCs w:val="32"/>
        </w:rPr>
        <w:t>（项）</w:t>
      </w:r>
      <w:r>
        <w:rPr>
          <w:rFonts w:hint="eastAsia" w:ascii="仿宋_GB2312" w:eastAsia="仿宋_GB2312"/>
          <w:sz w:val="32"/>
          <w:szCs w:val="32"/>
          <w:lang w:eastAsia="zh-CN"/>
        </w:rPr>
        <w:t>指按规定对高校毕业生到基层任职的补助支出</w:t>
      </w:r>
      <w:r>
        <w:rPr>
          <w:rFonts w:hint="eastAsia" w:ascii="仿宋_GB2312" w:eastAsia="仿宋_GB2312"/>
          <w:sz w:val="32"/>
          <w:szCs w:val="32"/>
        </w:rPr>
        <w:t>。</w:t>
      </w:r>
    </w:p>
    <w:p w14:paraId="6B3AEA8F">
      <w:pPr>
        <w:pStyle w:val="24"/>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农林水（类）</w:t>
      </w:r>
      <w:r>
        <w:rPr>
          <w:rFonts w:hint="eastAsia" w:ascii="仿宋_GB2312" w:eastAsia="仿宋_GB2312"/>
          <w:sz w:val="32"/>
          <w:szCs w:val="32"/>
          <w:lang w:eastAsia="zh-CN"/>
        </w:rPr>
        <w:t>水利</w:t>
      </w:r>
      <w:r>
        <w:rPr>
          <w:rFonts w:hint="eastAsia" w:ascii="仿宋_GB2312" w:eastAsia="仿宋_GB2312"/>
          <w:sz w:val="32"/>
          <w:szCs w:val="32"/>
        </w:rPr>
        <w:t>（款）</w:t>
      </w:r>
      <w:r>
        <w:rPr>
          <w:rFonts w:hint="eastAsia" w:ascii="仿宋_GB2312" w:eastAsia="仿宋_GB2312"/>
          <w:sz w:val="32"/>
          <w:szCs w:val="32"/>
          <w:lang w:eastAsia="zh-CN"/>
        </w:rPr>
        <w:t>防汛</w:t>
      </w:r>
      <w:r>
        <w:rPr>
          <w:rFonts w:hint="eastAsia" w:ascii="仿宋_GB2312" w:eastAsia="仿宋_GB2312"/>
          <w:sz w:val="32"/>
          <w:szCs w:val="32"/>
        </w:rPr>
        <w:t>（项）：</w:t>
      </w:r>
      <w:r>
        <w:rPr>
          <w:rFonts w:hint="eastAsia" w:ascii="仿宋_GB2312" w:eastAsia="仿宋_GB2312"/>
          <w:sz w:val="32"/>
          <w:szCs w:val="32"/>
          <w:lang w:eastAsia="zh-CN"/>
        </w:rPr>
        <w:t>指防汛业务支出。有关事项包括防汛物资购置管护，防汛通信设施设备、网络系统、车船设备运行维护、防汛值班、水情报讯、防汛指挥系统运行维护、水毁修复以及防汛组织（如防汛预案编制、检查、演习、宣传、会议等），汛期调用民工及劳动保护。水利设施灾后重建，退田还湖，蓄滞洪区补偿、水情、雨情、决策支持，防汛视频会商，应急度汛，山洪灾害防治等。</w:t>
      </w:r>
    </w:p>
    <w:p w14:paraId="4A98F766">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农林水（类）</w:t>
      </w:r>
      <w:r>
        <w:rPr>
          <w:rFonts w:hint="eastAsia" w:ascii="仿宋_GB2312" w:eastAsia="仿宋_GB2312"/>
          <w:sz w:val="32"/>
          <w:szCs w:val="32"/>
          <w:lang w:eastAsia="zh-CN"/>
        </w:rPr>
        <w:t>农村综合改革</w:t>
      </w:r>
      <w:r>
        <w:rPr>
          <w:rFonts w:hint="eastAsia" w:ascii="仿宋_GB2312" w:eastAsia="仿宋_GB2312"/>
          <w:sz w:val="32"/>
          <w:szCs w:val="32"/>
        </w:rPr>
        <w:t>（款）</w:t>
      </w:r>
      <w:r>
        <w:rPr>
          <w:rFonts w:hint="eastAsia" w:ascii="仿宋_GB2312" w:eastAsia="仿宋_GB2312"/>
          <w:sz w:val="32"/>
          <w:szCs w:val="32"/>
          <w:lang w:eastAsia="zh-CN"/>
        </w:rPr>
        <w:t>对村级一事一议的补助</w:t>
      </w:r>
      <w:r>
        <w:rPr>
          <w:rFonts w:hint="eastAsia" w:ascii="仿宋_GB2312" w:eastAsia="仿宋_GB2312"/>
          <w:sz w:val="32"/>
          <w:szCs w:val="32"/>
        </w:rPr>
        <w:t>（项）：指</w:t>
      </w:r>
      <w:r>
        <w:rPr>
          <w:rFonts w:hint="eastAsia" w:ascii="仿宋_GB2312" w:eastAsia="仿宋_GB2312"/>
          <w:sz w:val="32"/>
          <w:szCs w:val="32"/>
          <w:lang w:eastAsia="zh-CN"/>
        </w:rPr>
        <w:t>农村税费改革后对村级公益事业建设一事一议的补助支出；对村民委员会和村党支部的补助</w:t>
      </w:r>
      <w:r>
        <w:rPr>
          <w:rFonts w:hint="eastAsia" w:ascii="仿宋_GB2312" w:eastAsia="仿宋_GB2312"/>
          <w:sz w:val="32"/>
          <w:szCs w:val="32"/>
        </w:rPr>
        <w:t>（项）</w:t>
      </w:r>
      <w:r>
        <w:rPr>
          <w:rFonts w:hint="eastAsia" w:ascii="仿宋_GB2312" w:eastAsia="仿宋_GB2312"/>
          <w:sz w:val="32"/>
          <w:szCs w:val="32"/>
          <w:lang w:eastAsia="zh-CN"/>
        </w:rPr>
        <w:t>指各级财政对村民委员会和村党支部的补助以及支持建立县级基本财力保障机制安排的村级组织运转奖补资金</w:t>
      </w:r>
      <w:r>
        <w:rPr>
          <w:rFonts w:hint="eastAsia" w:ascii="仿宋_GB2312" w:eastAsia="仿宋_GB2312"/>
          <w:sz w:val="32"/>
          <w:szCs w:val="32"/>
        </w:rPr>
        <w:t>。</w:t>
      </w:r>
    </w:p>
    <w:p w14:paraId="0856176C">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住房保障（类）</w:t>
      </w:r>
      <w:r>
        <w:rPr>
          <w:rFonts w:hint="eastAsia" w:ascii="仿宋_GB2312" w:eastAsia="仿宋_GB2312"/>
          <w:sz w:val="32"/>
          <w:szCs w:val="32"/>
          <w:lang w:eastAsia="zh-CN"/>
        </w:rPr>
        <w:t>住房改革支出</w:t>
      </w:r>
      <w:r>
        <w:rPr>
          <w:rFonts w:hint="eastAsia" w:ascii="仿宋_GB2312" w:eastAsia="仿宋_GB2312"/>
          <w:sz w:val="32"/>
          <w:szCs w:val="32"/>
        </w:rPr>
        <w:t>（款）</w:t>
      </w:r>
      <w:r>
        <w:rPr>
          <w:rFonts w:hint="eastAsia" w:ascii="仿宋_GB2312" w:eastAsia="仿宋_GB2312"/>
          <w:sz w:val="32"/>
          <w:szCs w:val="32"/>
          <w:lang w:eastAsia="zh-CN"/>
        </w:rPr>
        <w:t>住房公积金</w:t>
      </w:r>
      <w:r>
        <w:rPr>
          <w:rFonts w:hint="eastAsia" w:ascii="仿宋_GB2312" w:eastAsia="仿宋_GB2312"/>
          <w:sz w:val="32"/>
          <w:szCs w:val="32"/>
        </w:rPr>
        <w:t>（项）：指</w:t>
      </w:r>
      <w:r>
        <w:rPr>
          <w:rFonts w:hint="eastAsia" w:ascii="仿宋_GB2312" w:eastAsia="仿宋_GB2312"/>
          <w:sz w:val="32"/>
          <w:szCs w:val="32"/>
          <w:lang w:eastAsia="zh-CN"/>
        </w:rPr>
        <w:t>行政事业单位按人力资源和社会保障部、财政部规定的基本工资和津贴补贴以及规定比例为职工缴纳的住房公积金</w:t>
      </w:r>
      <w:r>
        <w:rPr>
          <w:rFonts w:hint="eastAsia" w:ascii="仿宋_GB2312" w:eastAsia="仿宋_GB2312"/>
          <w:sz w:val="32"/>
          <w:szCs w:val="32"/>
        </w:rPr>
        <w:t>。</w:t>
      </w:r>
    </w:p>
    <w:p w14:paraId="6BF6707D">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72E24EB6">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2F5B4CD0">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5169E125">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87F8925">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B2E4F2C">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20</w:t>
      </w:r>
      <w:r>
        <w:rPr>
          <w:rFonts w:hint="eastAsia" w:ascii="仿宋_GB2312" w:eastAsia="仿宋_GB2312"/>
          <w:sz w:val="32"/>
          <w:szCs w:val="32"/>
          <w:lang w:eastAsia="zh-CN"/>
        </w:rPr>
        <w:t>.</w:t>
      </w:r>
      <w:r>
        <w:rPr>
          <w:rFonts w:hint="eastAsia" w:ascii="仿宋_GB2312" w:eastAsia="仿宋_GB2312"/>
          <w:sz w:val="32"/>
          <w:szCs w:val="32"/>
        </w:rPr>
        <w:t>固定资产：企业生产经营过程中的重要劳动资料。它能够在若干个生产经营周期中发挥作用，并保持其原有的实物形态，但其价值则由于损耗而逐渐减少。</w:t>
      </w:r>
    </w:p>
    <w:p w14:paraId="6FD4A565">
      <w:pPr>
        <w:pStyle w:val="24"/>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21.固定资产折旧：指固定资产由于损耗而减少的价值。 固定资产损耗分为有形损耗和无形损耗两种。</w:t>
      </w:r>
    </w:p>
    <w:p w14:paraId="6D80EB18">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22.固定资产清理：在固定资产出售或者不能继续使用而报废时对固定资产进行的处置 固定资产报废：由于使用期限已满不再继续使用而形成的正常报废，或由于折旧年限估计不准确或非正常原因造成的提前报废。</w:t>
      </w:r>
      <w:r>
        <w:rPr>
          <w:rFonts w:hint="eastAsia" w:ascii="仿宋_GB2312" w:eastAsia="仿宋_GB2312"/>
          <w:sz w:val="32"/>
          <w:szCs w:val="32"/>
        </w:rPr>
        <w:t> </w:t>
      </w:r>
    </w:p>
    <w:p w14:paraId="0EFAA901">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23.其他交通费用：除公务用车运行维护费以外的其他交通费用。如飞机、船舶等的燃料费、维修费、过桥过路费、保险费、出租车费用、公务交通补贴等。</w:t>
      </w:r>
    </w:p>
    <w:p w14:paraId="6676F519">
      <w:pPr>
        <w:spacing w:line="600" w:lineRule="exact"/>
        <w:jc w:val="center"/>
        <w:outlineLvl w:val="0"/>
        <w:rPr>
          <w:rFonts w:hint="eastAsia" w:ascii="黑体" w:hAnsi="黑体" w:eastAsia="黑体"/>
          <w:color w:val="000000"/>
          <w:sz w:val="44"/>
          <w:szCs w:val="44"/>
        </w:rPr>
      </w:pPr>
      <w:bookmarkStart w:id="57" w:name="_Toc15396614"/>
      <w:bookmarkStart w:id="58" w:name="_Toc15377226"/>
    </w:p>
    <w:p w14:paraId="59F3CD53">
      <w:pPr>
        <w:spacing w:line="600" w:lineRule="exact"/>
        <w:jc w:val="center"/>
        <w:outlineLvl w:val="0"/>
        <w:rPr>
          <w:rFonts w:hint="eastAsia" w:ascii="黑体" w:hAnsi="黑体" w:eastAsia="黑体"/>
          <w:color w:val="000000"/>
          <w:sz w:val="44"/>
          <w:szCs w:val="44"/>
        </w:rPr>
      </w:pPr>
    </w:p>
    <w:p w14:paraId="5911E83D">
      <w:pPr>
        <w:spacing w:line="600" w:lineRule="exact"/>
        <w:jc w:val="center"/>
        <w:outlineLvl w:val="0"/>
        <w:rPr>
          <w:rFonts w:hint="eastAsia" w:ascii="黑体" w:hAnsi="黑体" w:eastAsia="黑体"/>
          <w:color w:val="000000"/>
          <w:sz w:val="44"/>
          <w:szCs w:val="44"/>
        </w:rPr>
      </w:pPr>
    </w:p>
    <w:p w14:paraId="7033FA10">
      <w:pPr>
        <w:spacing w:line="600" w:lineRule="exact"/>
        <w:jc w:val="center"/>
        <w:outlineLvl w:val="0"/>
        <w:rPr>
          <w:rFonts w:hint="eastAsia" w:ascii="黑体" w:hAnsi="黑体" w:eastAsia="黑体"/>
          <w:color w:val="000000"/>
          <w:sz w:val="44"/>
          <w:szCs w:val="44"/>
        </w:rPr>
      </w:pPr>
    </w:p>
    <w:p w14:paraId="11EE4381">
      <w:pPr>
        <w:spacing w:line="600" w:lineRule="exact"/>
        <w:jc w:val="center"/>
        <w:outlineLvl w:val="0"/>
        <w:rPr>
          <w:rFonts w:hint="eastAsia" w:ascii="黑体" w:hAnsi="黑体" w:eastAsia="黑体"/>
          <w:color w:val="000000"/>
          <w:sz w:val="44"/>
          <w:szCs w:val="44"/>
        </w:rPr>
      </w:pPr>
    </w:p>
    <w:p w14:paraId="6DC06E25">
      <w:pPr>
        <w:spacing w:line="600" w:lineRule="exact"/>
        <w:jc w:val="center"/>
        <w:outlineLvl w:val="0"/>
        <w:rPr>
          <w:rFonts w:hint="eastAsia" w:ascii="黑体" w:hAnsi="黑体" w:eastAsia="黑体"/>
          <w:color w:val="000000"/>
          <w:sz w:val="44"/>
          <w:szCs w:val="44"/>
        </w:rPr>
      </w:pPr>
    </w:p>
    <w:p w14:paraId="5941AFC3">
      <w:pPr>
        <w:spacing w:line="600" w:lineRule="exact"/>
        <w:jc w:val="center"/>
        <w:outlineLvl w:val="0"/>
        <w:rPr>
          <w:rFonts w:hint="eastAsia" w:ascii="黑体" w:hAnsi="黑体" w:eastAsia="黑体"/>
          <w:color w:val="000000"/>
          <w:sz w:val="44"/>
          <w:szCs w:val="44"/>
        </w:rPr>
      </w:pPr>
    </w:p>
    <w:p w14:paraId="33F1795C">
      <w:pPr>
        <w:spacing w:line="600" w:lineRule="exact"/>
        <w:jc w:val="center"/>
        <w:outlineLvl w:val="0"/>
        <w:rPr>
          <w:rFonts w:hint="eastAsia" w:ascii="黑体" w:hAnsi="黑体" w:eastAsia="黑体"/>
          <w:color w:val="000000"/>
          <w:sz w:val="44"/>
          <w:szCs w:val="44"/>
        </w:rPr>
      </w:pPr>
    </w:p>
    <w:p w14:paraId="4481647A">
      <w:pPr>
        <w:spacing w:line="600" w:lineRule="exact"/>
        <w:jc w:val="center"/>
        <w:outlineLvl w:val="0"/>
        <w:rPr>
          <w:rFonts w:hint="eastAsia" w:ascii="黑体" w:hAnsi="黑体" w:eastAsia="黑体"/>
          <w:color w:val="000000"/>
          <w:sz w:val="44"/>
          <w:szCs w:val="44"/>
        </w:rPr>
      </w:pPr>
    </w:p>
    <w:p w14:paraId="5EBE3CB7">
      <w:pPr>
        <w:spacing w:line="600" w:lineRule="exact"/>
        <w:jc w:val="center"/>
        <w:outlineLvl w:val="0"/>
        <w:rPr>
          <w:rFonts w:hint="eastAsia" w:ascii="黑体" w:hAnsi="黑体" w:eastAsia="黑体"/>
          <w:color w:val="000000"/>
          <w:sz w:val="44"/>
          <w:szCs w:val="44"/>
        </w:rPr>
      </w:pPr>
    </w:p>
    <w:p w14:paraId="4C166A2E">
      <w:pPr>
        <w:spacing w:line="600" w:lineRule="exact"/>
        <w:jc w:val="center"/>
        <w:outlineLvl w:val="0"/>
        <w:rPr>
          <w:rFonts w:hint="eastAsia" w:ascii="黑体" w:hAnsi="黑体" w:eastAsia="黑体"/>
          <w:color w:val="000000"/>
          <w:sz w:val="44"/>
          <w:szCs w:val="44"/>
        </w:rPr>
      </w:pPr>
    </w:p>
    <w:p w14:paraId="79E26BBC">
      <w:pPr>
        <w:spacing w:line="600" w:lineRule="exact"/>
        <w:jc w:val="center"/>
        <w:outlineLvl w:val="0"/>
        <w:rPr>
          <w:rFonts w:hint="eastAsia" w:ascii="黑体" w:hAnsi="黑体" w:eastAsia="黑体"/>
          <w:color w:val="000000"/>
          <w:sz w:val="44"/>
          <w:szCs w:val="44"/>
        </w:rPr>
      </w:pPr>
    </w:p>
    <w:p w14:paraId="20618DF4">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四部分 附件</w:t>
      </w:r>
      <w:bookmarkEnd w:id="57"/>
    </w:p>
    <w:p w14:paraId="65E40CD0">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586ECF5F">
      <w:pPr>
        <w:spacing w:line="580" w:lineRule="exact"/>
        <w:jc w:val="center"/>
        <w:rPr>
          <w:rFonts w:ascii="方正小标宋简体" w:hAnsi="方正小标宋简体" w:eastAsia="方正小标宋简体" w:cs="方正小标宋简体"/>
          <w:sz w:val="44"/>
          <w:szCs w:val="44"/>
        </w:rPr>
      </w:pPr>
    </w:p>
    <w:p w14:paraId="55D6A178">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en-US" w:eastAsia="zh-CN"/>
        </w:rPr>
        <w:t>新山傈僳族乡人民政府</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799E99EB">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75D43FE7">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1F86EE94">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4A0E474F">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我单位机构数合计5个，包括政府机关1个，事业单位4个。</w:t>
      </w:r>
    </w:p>
    <w:p w14:paraId="5C3FC090">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14:paraId="097F3E5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）落实国家政策，严格依法行政，发挥经济管理职能，加强政策引导，制定发展规划，服务市场主体和营造发展环境，搞好市场监管，大力促进社会事业发展，发展</w:t>
      </w:r>
      <w:r>
        <w:rPr>
          <w:rFonts w:hint="eastAsia" w:ascii="仿宋_GB2312" w:hAnsi="宋体" w:eastAsia="仿宋_GB2312" w:cs="宋体"/>
          <w:color w:val="000000"/>
          <w:kern w:val="0"/>
          <w:sz w:val="32"/>
          <w:szCs w:val="32"/>
          <w:shd w:val="clear" w:color="auto" w:fill="FFFFFF"/>
          <w:lang w:val="zh-CN" w:eastAsia="zh-CN"/>
        </w:rPr>
        <w:t>乡</w:t>
      </w:r>
      <w:r>
        <w:rPr>
          <w:rFonts w:hint="eastAsia" w:ascii="仿宋_GB2312" w:hAnsi="宋体" w:eastAsia="仿宋_GB2312" w:cs="宋体"/>
          <w:color w:val="000000"/>
          <w:kern w:val="0"/>
          <w:sz w:val="32"/>
          <w:szCs w:val="32"/>
          <w:shd w:val="clear" w:color="auto" w:fill="FFFFFF"/>
          <w:lang w:val="zh-CN"/>
        </w:rPr>
        <w:t>村经济、文化和社会事业，提供公共服务，维护社会稳定，构建社会主义和谐社会</w:t>
      </w:r>
      <w:r>
        <w:rPr>
          <w:rFonts w:hint="eastAsia" w:ascii="仿宋_GB2312" w:hAnsi="宋体" w:eastAsia="仿宋_GB2312" w:cs="宋体"/>
          <w:color w:val="000000"/>
          <w:kern w:val="0"/>
          <w:sz w:val="32"/>
          <w:szCs w:val="32"/>
          <w:shd w:val="clear" w:color="auto" w:fill="FFFFFF"/>
          <w:lang w:val="zh-CN" w:eastAsia="zh-CN"/>
        </w:rPr>
        <w:t>；</w:t>
      </w:r>
    </w:p>
    <w:p w14:paraId="67BA112E">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）执行本级人民代表大会的决议和上级国家行政机关的决定和命令，发布决定和命令;</w:t>
      </w:r>
    </w:p>
    <w:p w14:paraId="05050232">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rPr>
        <w:t>）执行本行政区域内的经济和社会发展计划、预算，管理本行政区域内的经济、教育、科学、文化、卫生、体育事业和财政、民政、公安、司法行政、计划生育等行政工作;</w:t>
      </w:r>
    </w:p>
    <w:p w14:paraId="3C8BD247">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4</w:t>
      </w:r>
      <w:r>
        <w:rPr>
          <w:rFonts w:hint="eastAsia" w:ascii="仿宋_GB2312" w:hAnsi="宋体" w:eastAsia="仿宋_GB2312" w:cs="宋体"/>
          <w:color w:val="000000"/>
          <w:kern w:val="0"/>
          <w:sz w:val="32"/>
          <w:szCs w:val="32"/>
          <w:shd w:val="clear" w:color="auto" w:fill="FFFFFF"/>
          <w:lang w:val="zh-CN"/>
        </w:rPr>
        <w:t>）保护社会主义的全民所有的财产和劳动群众集体所有的财产，保护公民私人所有的合法财产，维护社会秩序，保障公民的人身权利、民主权利和其他权利;</w:t>
      </w:r>
    </w:p>
    <w:p w14:paraId="4E5BE884">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5</w:t>
      </w:r>
      <w:r>
        <w:rPr>
          <w:rFonts w:hint="eastAsia" w:ascii="仿宋_GB2312" w:hAnsi="宋体" w:eastAsia="仿宋_GB2312" w:cs="宋体"/>
          <w:color w:val="000000"/>
          <w:kern w:val="0"/>
          <w:sz w:val="32"/>
          <w:szCs w:val="32"/>
          <w:shd w:val="clear" w:color="auto" w:fill="FFFFFF"/>
          <w:lang w:val="zh-CN"/>
        </w:rPr>
        <w:t>）保护各种经济组织的合法权益;</w:t>
      </w:r>
    </w:p>
    <w:p w14:paraId="481827C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6</w:t>
      </w:r>
      <w:r>
        <w:rPr>
          <w:rFonts w:hint="eastAsia" w:ascii="仿宋_GB2312" w:hAnsi="宋体" w:eastAsia="仿宋_GB2312" w:cs="宋体"/>
          <w:color w:val="000000"/>
          <w:kern w:val="0"/>
          <w:sz w:val="32"/>
          <w:szCs w:val="32"/>
          <w:shd w:val="clear" w:color="auto" w:fill="FFFFFF"/>
          <w:lang w:val="zh-CN"/>
        </w:rPr>
        <w:t>）保障少数民族的权利和尊重少数民族的风俗习惯;</w:t>
      </w:r>
    </w:p>
    <w:p w14:paraId="064F6A05">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7</w:t>
      </w:r>
      <w:r>
        <w:rPr>
          <w:rFonts w:hint="eastAsia" w:ascii="仿宋_GB2312" w:hAnsi="宋体" w:eastAsia="仿宋_GB2312" w:cs="宋体"/>
          <w:color w:val="000000"/>
          <w:kern w:val="0"/>
          <w:sz w:val="32"/>
          <w:szCs w:val="32"/>
          <w:shd w:val="clear" w:color="auto" w:fill="FFFFFF"/>
          <w:lang w:val="zh-CN"/>
        </w:rPr>
        <w:t>）办理上级县委、县政府政府交办的其他事项。</w:t>
      </w:r>
    </w:p>
    <w:p w14:paraId="6C78FD9B">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rPr>
        <w:t>（三）人员概况。</w:t>
      </w:r>
    </w:p>
    <w:p w14:paraId="722924F5">
      <w:pPr>
        <w:spacing w:line="58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年末实有在职人员</w:t>
      </w:r>
      <w:r>
        <w:rPr>
          <w:rFonts w:hint="eastAsia" w:ascii="仿宋_GB2312" w:hAnsi="仿宋_GB2312" w:eastAsia="仿宋_GB2312" w:cs="仿宋_GB2312"/>
          <w:sz w:val="32"/>
          <w:szCs w:val="32"/>
          <w:lang w:val="en-US" w:eastAsia="zh-CN" w:bidi="ar"/>
        </w:rPr>
        <w:t>30</w:t>
      </w:r>
      <w:r>
        <w:rPr>
          <w:rFonts w:hint="eastAsia" w:ascii="仿宋_GB2312" w:hAnsi="仿宋_GB2312" w:eastAsia="仿宋_GB2312" w:cs="仿宋_GB2312"/>
          <w:sz w:val="32"/>
          <w:szCs w:val="32"/>
          <w:lang w:bidi="ar"/>
        </w:rPr>
        <w:t>人， 行政人员</w:t>
      </w:r>
      <w:r>
        <w:rPr>
          <w:rFonts w:hint="eastAsia" w:ascii="仿宋_GB2312" w:hAnsi="仿宋_GB2312" w:eastAsia="仿宋_GB2312" w:cs="仿宋_GB2312"/>
          <w:sz w:val="32"/>
          <w:szCs w:val="32"/>
          <w:lang w:val="en-US" w:eastAsia="zh-CN" w:bidi="ar"/>
        </w:rPr>
        <w:t>16</w:t>
      </w:r>
      <w:r>
        <w:rPr>
          <w:rFonts w:hint="eastAsia" w:ascii="仿宋_GB2312" w:hAnsi="仿宋_GB2312" w:eastAsia="仿宋_GB2312" w:cs="仿宋_GB2312"/>
          <w:sz w:val="32"/>
          <w:szCs w:val="32"/>
          <w:lang w:bidi="ar"/>
        </w:rPr>
        <w:t>人，事业人员</w:t>
      </w:r>
      <w:r>
        <w:rPr>
          <w:rFonts w:hint="eastAsia" w:ascii="仿宋_GB2312" w:hAnsi="仿宋_GB2312" w:eastAsia="仿宋_GB2312" w:cs="仿宋_GB2312"/>
          <w:sz w:val="32"/>
          <w:szCs w:val="32"/>
          <w:lang w:val="en-US" w:eastAsia="zh-CN" w:bidi="ar"/>
        </w:rPr>
        <w:t>13</w:t>
      </w:r>
      <w:r>
        <w:rPr>
          <w:rFonts w:hint="eastAsia" w:ascii="仿宋_GB2312" w:hAnsi="仿宋_GB2312" w:eastAsia="仿宋_GB2312" w:cs="仿宋_GB2312"/>
          <w:sz w:val="32"/>
          <w:szCs w:val="32"/>
          <w:lang w:bidi="ar"/>
        </w:rPr>
        <w:t>人</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val="en-US" w:eastAsia="zh-CN" w:bidi="ar"/>
        </w:rPr>
        <w:t>新聘工勤1人</w:t>
      </w:r>
      <w:r>
        <w:rPr>
          <w:rFonts w:hint="eastAsia" w:ascii="仿宋_GB2312" w:hAnsi="仿宋_GB2312" w:eastAsia="仿宋_GB2312" w:cs="仿宋_GB2312"/>
          <w:sz w:val="32"/>
          <w:szCs w:val="32"/>
          <w:lang w:bidi="ar"/>
        </w:rPr>
        <w:t>。</w:t>
      </w:r>
    </w:p>
    <w:p w14:paraId="3B8F6B45">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3934F8C1">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03153D6D">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4842.05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756.6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16</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4085.45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84</w:t>
      </w:r>
      <w:r>
        <w:rPr>
          <w:rFonts w:ascii="仿宋" w:hAnsi="仿宋" w:eastAsia="仿宋"/>
          <w:color w:val="000000"/>
          <w:sz w:val="32"/>
          <w:szCs w:val="32"/>
        </w:rPr>
        <w:t>%</w:t>
      </w:r>
      <w:r>
        <w:rPr>
          <w:rFonts w:hint="eastAsia" w:ascii="仿宋" w:hAnsi="仿宋" w:eastAsia="仿宋"/>
          <w:color w:val="000000"/>
          <w:sz w:val="32"/>
          <w:szCs w:val="32"/>
        </w:rPr>
        <w:t>。</w:t>
      </w:r>
    </w:p>
    <w:p w14:paraId="3A66FFDE">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14:paraId="4B0DDEC8">
      <w:pPr>
        <w:spacing w:line="600" w:lineRule="exact"/>
        <w:ind w:firstLine="64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4931.25</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color w:val="000000" w:themeColor="text1"/>
          <w:sz w:val="32"/>
          <w:szCs w:val="32"/>
          <w:lang w:val="en-US" w:eastAsia="zh-CN"/>
        </w:rPr>
        <w:t>一</w:t>
      </w:r>
      <w:r>
        <w:rPr>
          <w:rFonts w:hint="eastAsia" w:ascii="仿宋" w:hAnsi="仿宋" w:eastAsia="仿宋"/>
          <w:color w:val="000000"/>
          <w:sz w:val="32"/>
          <w:szCs w:val="32"/>
          <w:lang w:val="en-US" w:eastAsia="zh-CN"/>
        </w:rPr>
        <w:t>般公共服务支出550.38万元，占比11%；科学技术支出1.00万元；文化旅游体育与传媒支出0.30万元；社会保障和就业支出144.43万元，占总支出3%；卫生健康支出28.34万元，占总支出1%；节能环保支出43.98万元，占总支出1%；城乡社区支出4085.45万元，占总支出83%；农林水支出24.14万元；住房保障支出53.23万元，占总支出1%。</w:t>
      </w:r>
    </w:p>
    <w:p w14:paraId="54519107">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130AA78D">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5EF2E860">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eastAsia="zh-CN"/>
        </w:rPr>
        <w:t>我乡制定</w:t>
      </w:r>
      <w:r>
        <w:rPr>
          <w:rFonts w:hint="eastAsia" w:ascii="仿宋_GB2312" w:hAnsi="宋体" w:eastAsia="仿宋_GB2312" w:cs="宋体"/>
          <w:color w:val="000000"/>
          <w:kern w:val="0"/>
          <w:sz w:val="32"/>
          <w:szCs w:val="32"/>
          <w:shd w:val="clear" w:color="auto" w:fill="FFFFFF"/>
          <w:lang w:val="zh-CN"/>
        </w:rPr>
        <w:t>部门绩效目标</w:t>
      </w:r>
      <w:r>
        <w:rPr>
          <w:rFonts w:hint="eastAsia" w:ascii="仿宋_GB2312" w:hAnsi="宋体" w:eastAsia="仿宋_GB2312" w:cs="宋体"/>
          <w:color w:val="000000"/>
          <w:kern w:val="0"/>
          <w:sz w:val="32"/>
          <w:szCs w:val="32"/>
          <w:shd w:val="clear" w:color="auto" w:fill="FFFFFF"/>
          <w:lang w:val="zh-CN" w:eastAsia="zh-CN"/>
        </w:rPr>
        <w:t>清晰明确，规划合理，</w:t>
      </w:r>
      <w:r>
        <w:rPr>
          <w:rFonts w:hint="eastAsia" w:ascii="仿宋_GB2312" w:hAnsi="宋体" w:eastAsia="仿宋_GB2312" w:cs="宋体"/>
          <w:color w:val="000000"/>
          <w:kern w:val="0"/>
          <w:sz w:val="32"/>
          <w:szCs w:val="32"/>
          <w:shd w:val="clear" w:color="auto" w:fill="FFFFFF"/>
          <w:lang w:val="zh-CN"/>
        </w:rPr>
        <w:t>目标完成</w:t>
      </w:r>
      <w:r>
        <w:rPr>
          <w:rFonts w:hint="eastAsia" w:ascii="仿宋_GB2312" w:hAnsi="宋体" w:eastAsia="仿宋_GB2312" w:cs="宋体"/>
          <w:color w:val="000000"/>
          <w:kern w:val="0"/>
          <w:sz w:val="32"/>
          <w:szCs w:val="32"/>
          <w:shd w:val="clear" w:color="auto" w:fill="FFFFFF"/>
          <w:lang w:val="zh-CN" w:eastAsia="zh-CN"/>
        </w:rPr>
        <w:t>情况良好</w:t>
      </w:r>
      <w:r>
        <w:rPr>
          <w:rFonts w:hint="eastAsia" w:ascii="仿宋_GB2312" w:hAnsi="宋体" w:eastAsia="仿宋_GB2312" w:cs="宋体"/>
          <w:color w:val="000000"/>
          <w:kern w:val="0"/>
          <w:sz w:val="32"/>
          <w:szCs w:val="32"/>
          <w:shd w:val="clear" w:color="auto" w:fill="FFFFFF"/>
          <w:lang w:val="zh-CN"/>
        </w:rPr>
        <w:t>、预算编制准确、</w:t>
      </w:r>
      <w:r>
        <w:rPr>
          <w:rFonts w:hint="eastAsia" w:ascii="仿宋_GB2312" w:hAnsi="宋体" w:eastAsia="仿宋_GB2312" w:cs="宋体"/>
          <w:color w:val="000000"/>
          <w:kern w:val="0"/>
          <w:sz w:val="32"/>
          <w:szCs w:val="32"/>
          <w:shd w:val="clear" w:color="auto" w:fill="FFFFFF"/>
          <w:lang w:val="zh-CN" w:eastAsia="zh-CN"/>
        </w:rPr>
        <w:t>严格控制</w:t>
      </w:r>
      <w:r>
        <w:rPr>
          <w:rFonts w:hint="eastAsia" w:ascii="仿宋_GB2312" w:hAnsi="宋体" w:eastAsia="仿宋_GB2312" w:cs="宋体"/>
          <w:color w:val="000000"/>
          <w:kern w:val="0"/>
          <w:sz w:val="32"/>
          <w:szCs w:val="32"/>
          <w:shd w:val="clear" w:color="auto" w:fill="FFFFFF"/>
          <w:lang w:val="zh-CN"/>
        </w:rPr>
        <w:t>支出、</w:t>
      </w:r>
      <w:r>
        <w:rPr>
          <w:rFonts w:hint="eastAsia" w:ascii="仿宋_GB2312" w:hAnsi="宋体" w:eastAsia="仿宋_GB2312" w:cs="宋体"/>
          <w:color w:val="000000"/>
          <w:kern w:val="0"/>
          <w:sz w:val="32"/>
          <w:szCs w:val="32"/>
          <w:shd w:val="clear" w:color="auto" w:fill="FFFFFF"/>
          <w:lang w:val="zh-CN" w:eastAsia="zh-CN"/>
        </w:rPr>
        <w:t>适时进行</w:t>
      </w:r>
      <w:r>
        <w:rPr>
          <w:rFonts w:hint="eastAsia" w:ascii="仿宋_GB2312" w:hAnsi="宋体" w:eastAsia="仿宋_GB2312" w:cs="宋体"/>
          <w:color w:val="000000"/>
          <w:kern w:val="0"/>
          <w:sz w:val="32"/>
          <w:szCs w:val="32"/>
          <w:shd w:val="clear" w:color="auto" w:fill="FFFFFF"/>
          <w:lang w:val="zh-CN"/>
        </w:rPr>
        <w:t>预算动态调整、</w:t>
      </w:r>
      <w:r>
        <w:rPr>
          <w:rFonts w:hint="eastAsia" w:ascii="仿宋_GB2312" w:hAnsi="宋体" w:eastAsia="仿宋_GB2312" w:cs="宋体"/>
          <w:color w:val="000000"/>
          <w:kern w:val="0"/>
          <w:sz w:val="32"/>
          <w:szCs w:val="32"/>
          <w:shd w:val="clear" w:color="auto" w:fill="FFFFFF"/>
          <w:lang w:val="zh-CN" w:eastAsia="zh-CN"/>
        </w:rPr>
        <w:t>关注</w:t>
      </w:r>
      <w:r>
        <w:rPr>
          <w:rFonts w:hint="eastAsia" w:ascii="仿宋_GB2312" w:hAnsi="宋体" w:eastAsia="仿宋_GB2312" w:cs="宋体"/>
          <w:color w:val="000000"/>
          <w:kern w:val="0"/>
          <w:sz w:val="32"/>
          <w:szCs w:val="32"/>
          <w:shd w:val="clear" w:color="auto" w:fill="FFFFFF"/>
          <w:lang w:val="zh-CN"/>
        </w:rPr>
        <w:t>执行进度、</w:t>
      </w:r>
      <w:r>
        <w:rPr>
          <w:rFonts w:hint="eastAsia" w:ascii="仿宋_GB2312" w:hAnsi="宋体" w:eastAsia="仿宋_GB2312" w:cs="宋体"/>
          <w:color w:val="000000"/>
          <w:kern w:val="0"/>
          <w:sz w:val="32"/>
          <w:szCs w:val="32"/>
          <w:shd w:val="clear" w:color="auto" w:fill="FFFFFF"/>
          <w:lang w:val="zh-CN" w:eastAsia="zh-CN"/>
        </w:rPr>
        <w:t>结果符合。</w:t>
      </w:r>
      <w:r>
        <w:rPr>
          <w:rFonts w:hint="eastAsia" w:ascii="仿宋_GB2312" w:hAnsi="宋体" w:eastAsia="仿宋_GB2312" w:cs="宋体"/>
          <w:color w:val="000000"/>
          <w:kern w:val="0"/>
          <w:sz w:val="32"/>
          <w:szCs w:val="32"/>
          <w:shd w:val="clear" w:color="auto" w:fill="FFFFFF"/>
          <w:lang w:val="zh-CN"/>
        </w:rPr>
        <w:t>预算完成情况</w:t>
      </w:r>
      <w:r>
        <w:rPr>
          <w:rFonts w:hint="eastAsia" w:ascii="仿宋_GB2312" w:hAnsi="宋体" w:eastAsia="仿宋_GB2312" w:cs="宋体"/>
          <w:color w:val="000000"/>
          <w:kern w:val="0"/>
          <w:sz w:val="32"/>
          <w:szCs w:val="32"/>
          <w:shd w:val="clear" w:color="auto" w:fill="FFFFFF"/>
          <w:lang w:val="zh-CN" w:eastAsia="zh-CN"/>
        </w:rPr>
        <w:t>良好无</w:t>
      </w:r>
      <w:r>
        <w:rPr>
          <w:rFonts w:hint="eastAsia" w:ascii="仿宋_GB2312" w:hAnsi="宋体" w:eastAsia="仿宋_GB2312" w:cs="宋体"/>
          <w:color w:val="000000"/>
          <w:kern w:val="0"/>
          <w:sz w:val="32"/>
          <w:szCs w:val="32"/>
          <w:shd w:val="clear" w:color="auto" w:fill="FFFFFF"/>
          <w:lang w:val="zh-CN"/>
        </w:rPr>
        <w:t>违规记录</w:t>
      </w:r>
      <w:r>
        <w:rPr>
          <w:rFonts w:hint="eastAsia" w:ascii="仿宋_GB2312" w:hAnsi="宋体" w:eastAsia="仿宋_GB2312" w:cs="宋体"/>
          <w:color w:val="000000"/>
          <w:kern w:val="0"/>
          <w:sz w:val="32"/>
          <w:szCs w:val="32"/>
          <w:shd w:val="clear" w:color="auto" w:fill="FFFFFF"/>
          <w:lang w:val="zh-CN" w:eastAsia="zh-CN"/>
        </w:rPr>
        <w:t>出现</w:t>
      </w:r>
      <w:r>
        <w:rPr>
          <w:rFonts w:hint="eastAsia" w:ascii="仿宋_GB2312" w:hAnsi="宋体" w:eastAsia="仿宋_GB2312" w:cs="宋体"/>
          <w:color w:val="000000"/>
          <w:kern w:val="0"/>
          <w:sz w:val="32"/>
          <w:szCs w:val="32"/>
          <w:shd w:val="clear" w:color="auto" w:fill="FFFFFF"/>
          <w:lang w:val="zh-CN"/>
        </w:rPr>
        <w:t>。</w:t>
      </w:r>
    </w:p>
    <w:p w14:paraId="53B8CF7F">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714A7934">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eastAsia="zh-CN"/>
        </w:rPr>
        <w:t>我乡自评质量较高，保证数据准确，结果合理，评价客观公正，不断提高预算管理水平。部门严格遵守“预算编制有目标、预算执行有监控、预算完成有评价、评价结果有反馈、反馈结果要运用”的绩效管理机制。不断提高绩效意识，重视绩效管理，确保绩效目标实现。在日常经费开支过程中全程实现绩效管理，开展自评，将绩效目标公开，自评公开，接受社会各界监督，对评价存在的问题进行整改。</w:t>
      </w:r>
    </w:p>
    <w:p w14:paraId="5683A6C8">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1A34B7DE">
      <w:pPr>
        <w:pStyle w:val="7"/>
        <w:ind w:firstLine="640" w:firstLineChars="200"/>
        <w:rPr>
          <w:rFonts w:hint="eastAsia" w:ascii="仿宋_GB2312" w:hAnsi="Times New Roman" w:eastAsia="仿宋_GB2312" w:cs="仿宋_GB2312"/>
          <w:kern w:val="0"/>
          <w:sz w:val="32"/>
          <w:szCs w:val="32"/>
          <w:lang w:val="zh-CN" w:eastAsia="zh-CN" w:bidi="ar-SA"/>
        </w:rPr>
      </w:pPr>
      <w:r>
        <w:rPr>
          <w:rFonts w:hint="eastAsia" w:ascii="仿宋_GB2312" w:hAnsi="Times New Roman" w:eastAsia="仿宋_GB2312" w:cs="仿宋_GB2312"/>
          <w:kern w:val="0"/>
          <w:sz w:val="32"/>
          <w:szCs w:val="32"/>
          <w:lang w:val="zh-CN" w:eastAsia="zh-CN" w:bidi="ar-SA"/>
        </w:rPr>
        <w:t>（一）评价结论。</w:t>
      </w:r>
    </w:p>
    <w:p w14:paraId="47202C7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Times New Roman" w:eastAsia="仿宋_GB2312" w:cs="仿宋_GB2312"/>
          <w:kern w:val="0"/>
          <w:sz w:val="32"/>
          <w:szCs w:val="32"/>
          <w:lang w:val="zh-CN" w:eastAsia="zh-CN" w:bidi="ar-SA"/>
        </w:rPr>
        <w:t>根据部门整体支出绩</w:t>
      </w:r>
      <w:r>
        <w:rPr>
          <w:rFonts w:hint="eastAsia" w:ascii="仿宋_GB2312" w:hAnsi="仿宋_GB2312" w:eastAsia="仿宋_GB2312" w:cs="仿宋_GB2312"/>
          <w:sz w:val="32"/>
          <w:szCs w:val="32"/>
          <w:lang w:bidi="ar"/>
        </w:rPr>
        <w:t>效评价指标规定的内容，经我单位认真自评，2018年度米易县</w:t>
      </w:r>
      <w:r>
        <w:rPr>
          <w:rFonts w:hint="eastAsia" w:hAnsi="仿宋_GB2312" w:cs="仿宋_GB2312"/>
          <w:sz w:val="32"/>
          <w:szCs w:val="32"/>
          <w:lang w:val="en-US" w:eastAsia="zh-CN" w:bidi="ar"/>
        </w:rPr>
        <w:t>新山傈僳族乡</w:t>
      </w:r>
      <w:r>
        <w:rPr>
          <w:rFonts w:hint="eastAsia" w:ascii="仿宋_GB2312" w:hAnsi="仿宋_GB2312" w:eastAsia="仿宋_GB2312" w:cs="仿宋_GB2312"/>
          <w:sz w:val="32"/>
          <w:szCs w:val="32"/>
          <w:lang w:bidi="ar"/>
        </w:rPr>
        <w:t>人民政府支出绩效评价（自评）总分为</w:t>
      </w:r>
      <w:r>
        <w:rPr>
          <w:rFonts w:hint="eastAsia" w:hAnsi="仿宋_GB2312" w:cs="仿宋_GB2312"/>
          <w:sz w:val="32"/>
          <w:szCs w:val="32"/>
          <w:lang w:val="en-US" w:eastAsia="zh-CN" w:bidi="ar"/>
        </w:rPr>
        <w:t>96</w:t>
      </w:r>
      <w:r>
        <w:rPr>
          <w:rFonts w:hint="eastAsia" w:ascii="仿宋_GB2312" w:hAnsi="仿宋_GB2312" w:eastAsia="仿宋_GB2312" w:cs="仿宋_GB2312"/>
          <w:sz w:val="32"/>
          <w:szCs w:val="32"/>
          <w:lang w:bidi="ar"/>
        </w:rPr>
        <w:t>分。</w:t>
      </w:r>
      <w:r>
        <w:rPr>
          <w:rFonts w:hint="eastAsia" w:ascii="仿宋_GB2312" w:hAnsi="宋体" w:eastAsia="仿宋_GB2312" w:cs="宋体"/>
          <w:color w:val="000000"/>
          <w:kern w:val="0"/>
          <w:sz w:val="32"/>
          <w:szCs w:val="32"/>
          <w:shd w:val="clear" w:color="auto" w:fill="FFFFFF"/>
          <w:lang w:val="en-US" w:eastAsia="zh-CN"/>
        </w:rPr>
        <w:t>2019年</w:t>
      </w:r>
      <w:r>
        <w:rPr>
          <w:rFonts w:hint="eastAsia" w:ascii="仿宋_GB2312" w:hAnsi="宋体" w:eastAsia="仿宋_GB2312" w:cs="宋体"/>
          <w:color w:val="000000"/>
          <w:kern w:val="0"/>
          <w:sz w:val="32"/>
          <w:szCs w:val="32"/>
          <w:shd w:val="clear" w:color="auto" w:fill="FFFFFF"/>
          <w:lang w:val="zh-CN" w:eastAsia="zh-CN"/>
        </w:rPr>
        <w:t>我单位严格按照县级部门预算、决算编制通知和有关要求，按时完成预算、决算编制等工作，并按时提交预决算草案报人大常委会审议，及时在米易县公众信息网财政信息栏中公开。</w:t>
      </w:r>
    </w:p>
    <w:p w14:paraId="2E2222C8">
      <w:pPr>
        <w:pStyle w:val="7"/>
        <w:ind w:firstLine="640" w:firstLineChars="200"/>
        <w:rPr>
          <w:rFonts w:ascii="仿宋_GB2312" w:hAnsi="仿宋_GB2312" w:eastAsia="仿宋_GB2312" w:cs="仿宋_GB2312"/>
          <w:sz w:val="32"/>
          <w:szCs w:val="32"/>
          <w:lang w:bidi="ar"/>
        </w:rPr>
      </w:pPr>
    </w:p>
    <w:p w14:paraId="70C77473">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p>
    <w:p w14:paraId="0EED9BA9">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w:t>
      </w:r>
      <w:r>
        <w:rPr>
          <w:rFonts w:hint="eastAsia" w:ascii="仿宋_GB2312" w:hAnsi="宋体" w:eastAsia="仿宋_GB2312" w:cs="宋体"/>
          <w:color w:val="000000"/>
          <w:kern w:val="0"/>
          <w:sz w:val="32"/>
          <w:szCs w:val="32"/>
          <w:shd w:val="clear" w:color="auto" w:fill="FFFFFF"/>
          <w:lang w:val="en-US" w:eastAsia="zh-CN"/>
        </w:rPr>
        <w:t>二</w:t>
      </w:r>
      <w:r>
        <w:rPr>
          <w:rFonts w:hint="eastAsia" w:ascii="仿宋_GB2312" w:hAnsi="宋体" w:eastAsia="仿宋_GB2312" w:cs="宋体"/>
          <w:color w:val="000000"/>
          <w:kern w:val="0"/>
          <w:sz w:val="32"/>
          <w:szCs w:val="32"/>
          <w:shd w:val="clear" w:color="auto" w:fill="FFFFFF"/>
          <w:lang w:val="zh-CN" w:eastAsia="zh-CN"/>
        </w:rPr>
        <w:t>）存在问题</w:t>
      </w:r>
    </w:p>
    <w:p w14:paraId="0226F5A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我乡财务人员的专业水平不高，对财务知识掌握不足，导致不能很好的完成部分财务工作。</w:t>
      </w:r>
    </w:p>
    <w:p w14:paraId="31B73BF1">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（三）改进建议</w:t>
      </w:r>
    </w:p>
    <w:p w14:paraId="2FEF35C3">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加强财务人员的专业学习，提高工作能力。</w:t>
      </w:r>
    </w:p>
    <w:p w14:paraId="72378C31">
      <w:pPr>
        <w:spacing w:line="580" w:lineRule="exact"/>
        <w:ind w:firstLine="640" w:firstLineChars="200"/>
        <w:rPr>
          <w:rFonts w:ascii="仿宋_GB2312" w:hAnsi="仿宋_GB2312" w:eastAsia="仿宋_GB2312" w:cs="仿宋_GB2312"/>
          <w:sz w:val="32"/>
          <w:szCs w:val="32"/>
        </w:rPr>
      </w:pPr>
    </w:p>
    <w:p w14:paraId="291EEB6E">
      <w:pPr>
        <w:spacing w:line="580" w:lineRule="exact"/>
        <w:rPr>
          <w:rFonts w:hint="eastAsia" w:ascii="黑体" w:hAnsi="黑体" w:eastAsia="黑体" w:cs="黑体"/>
          <w:sz w:val="32"/>
          <w:szCs w:val="32"/>
        </w:rPr>
      </w:pPr>
    </w:p>
    <w:p w14:paraId="2F8F85BD">
      <w:pPr>
        <w:spacing w:line="580" w:lineRule="exact"/>
        <w:rPr>
          <w:rFonts w:hint="eastAsia" w:ascii="黑体" w:hAnsi="黑体" w:eastAsia="黑体" w:cs="黑体"/>
          <w:sz w:val="32"/>
          <w:szCs w:val="32"/>
        </w:rPr>
      </w:pPr>
    </w:p>
    <w:p w14:paraId="4CE3584A">
      <w:pPr>
        <w:spacing w:line="580" w:lineRule="exact"/>
        <w:rPr>
          <w:rFonts w:hint="eastAsia" w:ascii="黑体" w:hAnsi="黑体" w:eastAsia="黑体" w:cs="黑体"/>
          <w:sz w:val="32"/>
          <w:szCs w:val="32"/>
        </w:rPr>
      </w:pPr>
    </w:p>
    <w:p w14:paraId="668EBB67">
      <w:pPr>
        <w:spacing w:line="580" w:lineRule="exact"/>
        <w:rPr>
          <w:rFonts w:hint="eastAsia" w:ascii="黑体" w:hAnsi="黑体" w:eastAsia="黑体" w:cs="黑体"/>
          <w:sz w:val="32"/>
          <w:szCs w:val="32"/>
        </w:rPr>
      </w:pPr>
    </w:p>
    <w:p w14:paraId="4A5FA137">
      <w:pPr>
        <w:spacing w:line="580" w:lineRule="exact"/>
        <w:rPr>
          <w:rFonts w:hint="eastAsia" w:ascii="黑体" w:hAnsi="黑体" w:eastAsia="黑体" w:cs="黑体"/>
          <w:sz w:val="32"/>
          <w:szCs w:val="32"/>
        </w:rPr>
      </w:pPr>
    </w:p>
    <w:p w14:paraId="00D3E8F4">
      <w:pPr>
        <w:spacing w:line="580" w:lineRule="exact"/>
        <w:rPr>
          <w:rFonts w:hint="eastAsia" w:ascii="黑体" w:hAnsi="黑体" w:eastAsia="黑体" w:cs="黑体"/>
          <w:sz w:val="32"/>
          <w:szCs w:val="32"/>
        </w:rPr>
      </w:pPr>
    </w:p>
    <w:p w14:paraId="37272405">
      <w:pPr>
        <w:spacing w:line="580" w:lineRule="exact"/>
        <w:rPr>
          <w:rFonts w:hint="eastAsia" w:ascii="黑体" w:hAnsi="黑体" w:eastAsia="黑体" w:cs="黑体"/>
          <w:sz w:val="32"/>
          <w:szCs w:val="32"/>
        </w:rPr>
      </w:pPr>
    </w:p>
    <w:p w14:paraId="6416CEB7">
      <w:pPr>
        <w:spacing w:line="580" w:lineRule="exact"/>
        <w:rPr>
          <w:rFonts w:hint="eastAsia" w:ascii="黑体" w:hAnsi="黑体" w:eastAsia="黑体" w:cs="黑体"/>
          <w:sz w:val="32"/>
          <w:szCs w:val="32"/>
        </w:rPr>
      </w:pPr>
    </w:p>
    <w:p w14:paraId="557A7DE5">
      <w:pPr>
        <w:spacing w:line="580" w:lineRule="exact"/>
        <w:rPr>
          <w:rFonts w:hint="eastAsia" w:ascii="黑体" w:hAnsi="黑体" w:eastAsia="黑体" w:cs="黑体"/>
          <w:sz w:val="32"/>
          <w:szCs w:val="32"/>
        </w:rPr>
      </w:pPr>
    </w:p>
    <w:p w14:paraId="1BE9A87A">
      <w:pPr>
        <w:spacing w:line="580" w:lineRule="exact"/>
        <w:rPr>
          <w:rFonts w:hint="eastAsia" w:ascii="黑体" w:hAnsi="黑体" w:eastAsia="黑体" w:cs="黑体"/>
          <w:sz w:val="32"/>
          <w:szCs w:val="32"/>
        </w:rPr>
      </w:pPr>
    </w:p>
    <w:p w14:paraId="4B8903CF">
      <w:pPr>
        <w:spacing w:line="580" w:lineRule="exact"/>
        <w:rPr>
          <w:rFonts w:hint="eastAsia" w:ascii="黑体" w:hAnsi="黑体" w:eastAsia="黑体" w:cs="黑体"/>
          <w:sz w:val="32"/>
          <w:szCs w:val="32"/>
        </w:rPr>
      </w:pPr>
    </w:p>
    <w:p w14:paraId="3C23FA92">
      <w:pPr>
        <w:spacing w:line="580" w:lineRule="exact"/>
        <w:rPr>
          <w:rFonts w:hint="eastAsia" w:ascii="黑体" w:hAnsi="黑体" w:eastAsia="黑体" w:cs="黑体"/>
          <w:sz w:val="32"/>
          <w:szCs w:val="32"/>
        </w:rPr>
      </w:pPr>
    </w:p>
    <w:p w14:paraId="52B9C9A5">
      <w:pPr>
        <w:spacing w:line="580" w:lineRule="exact"/>
        <w:rPr>
          <w:rFonts w:hint="eastAsia" w:ascii="黑体" w:hAnsi="黑体" w:eastAsia="黑体" w:cs="黑体"/>
          <w:sz w:val="32"/>
          <w:szCs w:val="32"/>
        </w:rPr>
      </w:pPr>
    </w:p>
    <w:p w14:paraId="28C15E81">
      <w:pPr>
        <w:spacing w:line="580" w:lineRule="exact"/>
        <w:rPr>
          <w:rFonts w:hint="eastAsia" w:ascii="黑体" w:hAnsi="黑体" w:eastAsia="黑体" w:cs="黑体"/>
          <w:sz w:val="32"/>
          <w:szCs w:val="32"/>
        </w:rPr>
      </w:pPr>
    </w:p>
    <w:p w14:paraId="6D7C5C5E">
      <w:pPr>
        <w:spacing w:line="580" w:lineRule="exact"/>
        <w:rPr>
          <w:rFonts w:hint="eastAsia" w:ascii="黑体" w:hAnsi="黑体" w:eastAsia="黑体" w:cs="黑体"/>
          <w:sz w:val="32"/>
          <w:szCs w:val="32"/>
        </w:rPr>
      </w:pPr>
    </w:p>
    <w:p w14:paraId="62CE1634">
      <w:pPr>
        <w:spacing w:line="580" w:lineRule="exact"/>
        <w:rPr>
          <w:rFonts w:hint="eastAsia" w:ascii="黑体" w:hAnsi="黑体" w:eastAsia="黑体" w:cs="黑体"/>
          <w:sz w:val="32"/>
          <w:szCs w:val="32"/>
        </w:rPr>
      </w:pPr>
    </w:p>
    <w:p w14:paraId="39F08DFB">
      <w:pPr>
        <w:spacing w:line="580" w:lineRule="exact"/>
        <w:rPr>
          <w:rFonts w:hint="eastAsia" w:ascii="黑体" w:hAnsi="黑体" w:eastAsia="黑体" w:cs="黑体"/>
          <w:sz w:val="32"/>
          <w:szCs w:val="32"/>
        </w:rPr>
      </w:pPr>
    </w:p>
    <w:p w14:paraId="224078A9">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14:paraId="3143CA25">
      <w:pPr>
        <w:spacing w:line="600" w:lineRule="exact"/>
        <w:jc w:val="center"/>
        <w:rPr>
          <w:rFonts w:hint="eastAsia" w:ascii="方正小标宋简体" w:hAnsi="宋体" w:eastAsia="方正小标宋简体"/>
          <w:color w:val="000000"/>
          <w:kern w:val="0"/>
          <w:sz w:val="36"/>
          <w:szCs w:val="36"/>
        </w:rPr>
      </w:pPr>
      <w:r>
        <w:rPr>
          <w:rFonts w:hint="eastAsia" w:ascii="方正小标宋简体" w:hAnsi="宋体" w:eastAsia="方正小标宋简体"/>
          <w:color w:val="000000"/>
          <w:kern w:val="0"/>
          <w:sz w:val="36"/>
          <w:szCs w:val="36"/>
          <w:lang w:eastAsia="zh-CN"/>
        </w:rPr>
        <w:t>新山傈僳族乡</w:t>
      </w:r>
      <w:r>
        <w:rPr>
          <w:rFonts w:hint="eastAsia" w:ascii="方正小标宋简体" w:hAnsi="宋体" w:eastAsia="方正小标宋简体"/>
          <w:color w:val="000000"/>
          <w:kern w:val="0"/>
          <w:sz w:val="36"/>
          <w:szCs w:val="36"/>
          <w:lang w:val="en-US" w:eastAsia="zh-CN"/>
        </w:rPr>
        <w:t>2019年</w:t>
      </w:r>
      <w:r>
        <w:rPr>
          <w:rFonts w:hint="eastAsia" w:ascii="方正小标宋简体" w:hAnsi="宋体" w:eastAsia="方正小标宋简体"/>
          <w:color w:val="000000"/>
          <w:kern w:val="0"/>
          <w:sz w:val="36"/>
          <w:szCs w:val="36"/>
        </w:rPr>
        <w:t>项目支出绩效自评报告</w:t>
      </w:r>
    </w:p>
    <w:p w14:paraId="63AC3E0D">
      <w:pPr>
        <w:autoSpaceDE w:val="0"/>
        <w:autoSpaceDN w:val="0"/>
        <w:adjustRightInd w:val="0"/>
        <w:spacing w:line="600" w:lineRule="exact"/>
        <w:jc w:val="center"/>
        <w:rPr>
          <w:rFonts w:hint="eastAsia" w:ascii="黑体" w:eastAsia="黑体" w:cs="黑体"/>
          <w:kern w:val="0"/>
          <w:sz w:val="28"/>
          <w:szCs w:val="28"/>
        </w:rPr>
      </w:pP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val="en-US" w:eastAsia="zh-CN"/>
        </w:rPr>
        <w:t>2018年度基层组织活动及农村公共服务运行维护机制建设</w:t>
      </w:r>
      <w:r>
        <w:rPr>
          <w:rFonts w:hint="eastAsia" w:ascii="仿宋_GB2312" w:hAnsi="仿宋_GB2312" w:eastAsia="仿宋_GB2312" w:cs="仿宋_GB2312"/>
          <w:kern w:val="0"/>
          <w:sz w:val="28"/>
          <w:szCs w:val="28"/>
        </w:rPr>
        <w:t>项目）</w:t>
      </w:r>
    </w:p>
    <w:p w14:paraId="708B87B2">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黑体" w:eastAsia="黑体" w:cs="黑体"/>
          <w:kern w:val="0"/>
          <w:sz w:val="32"/>
          <w:szCs w:val="32"/>
        </w:rPr>
      </w:pPr>
      <w:r>
        <w:rPr>
          <w:rFonts w:hint="eastAsia" w:ascii="黑体" w:eastAsia="黑体" w:cs="黑体"/>
          <w:kern w:val="0"/>
          <w:sz w:val="32"/>
          <w:szCs w:val="32"/>
        </w:rPr>
        <w:t>一、项目概况</w:t>
      </w:r>
    </w:p>
    <w:p w14:paraId="326283FE">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楷体_GB2312" w:eastAsia="楷体_GB2312" w:cs="楷体_GB2312"/>
          <w:kern w:val="0"/>
          <w:sz w:val="32"/>
          <w:szCs w:val="32"/>
        </w:rPr>
      </w:pPr>
      <w:r>
        <w:rPr>
          <w:rFonts w:hint="eastAsia" w:ascii="楷体_GB2312" w:eastAsia="楷体_GB2312" w:cs="楷体_GB2312"/>
          <w:kern w:val="0"/>
          <w:sz w:val="32"/>
          <w:szCs w:val="32"/>
        </w:rPr>
        <w:t>（一）项目基本情况。</w:t>
      </w:r>
    </w:p>
    <w:p w14:paraId="41460184">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按照县财政局相关要求，2018至年度农村公共服务运行维护机制建设项目实行乡级报账制。新山傈僳族乡严格按照《四川省农村公共服务运行维护机制建设工作手册》和《米易县农村公共服务运行维护机制建设工作实施方案》制定的相关流程，指导和督促好各村实施运行维护项目。</w:t>
      </w:r>
    </w:p>
    <w:p w14:paraId="2B90455E">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仿宋_GB2312" w:eastAsia="仿宋_GB2312" w:cs="仿宋_GB2312"/>
          <w:kern w:val="0"/>
          <w:sz w:val="32"/>
          <w:szCs w:val="32"/>
          <w:lang w:val="en-US" w:eastAsia="zh-CN"/>
        </w:rPr>
      </w:pPr>
      <w:r>
        <w:rPr>
          <w:rFonts w:ascii="仿宋_GB2312" w:eastAsia="仿宋_GB2312" w:cs="仿宋_GB2312"/>
          <w:kern w:val="0"/>
          <w:sz w:val="32"/>
          <w:szCs w:val="32"/>
        </w:rPr>
        <w:t>2</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新山傈僳族乡共4个行政村，2018年申报项目25个，总投资18.9万元，其中财政资金18.9万元。4个村</w:t>
      </w:r>
      <w:r>
        <w:rPr>
          <w:rFonts w:hint="eastAsia" w:ascii="仿宋_GB2312" w:eastAsia="仿宋_GB2312" w:cs="仿宋_GB2312"/>
          <w:kern w:val="0"/>
          <w:sz w:val="32"/>
          <w:szCs w:val="32"/>
        </w:rPr>
        <w:t>项目</w:t>
      </w:r>
      <w:r>
        <w:rPr>
          <w:rFonts w:hint="eastAsia" w:ascii="仿宋_GB2312" w:eastAsia="仿宋_GB2312" w:cs="仿宋_GB2312"/>
          <w:kern w:val="0"/>
          <w:sz w:val="32"/>
          <w:szCs w:val="32"/>
          <w:lang w:val="en-US" w:eastAsia="zh-CN"/>
        </w:rPr>
        <w:t>实施均按照“三议三定五公开”的要求</w:t>
      </w:r>
      <w:r>
        <w:rPr>
          <w:rFonts w:hint="eastAsia" w:ascii="仿宋_GB2312" w:eastAsia="仿宋_GB2312" w:cs="仿宋_GB2312"/>
          <w:kern w:val="0"/>
          <w:sz w:val="32"/>
          <w:szCs w:val="32"/>
        </w:rPr>
        <w:t>立项</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通过召开村民代表大会，对项目实施内容、施工队伍选择等内容进行公开表决，充分保证了村民的知情权、参与权、决策权、监督权。每个村均成立了工作领导小组、理财小组以及质量监督小组，监督项目的实施。</w:t>
      </w:r>
    </w:p>
    <w:p w14:paraId="522A06CE">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仿宋_GB2312" w:eastAsia="仿宋_GB2312" w:cs="仿宋_GB2312"/>
          <w:kern w:val="0"/>
          <w:sz w:val="32"/>
          <w:szCs w:val="32"/>
        </w:rPr>
      </w:pPr>
      <w:r>
        <w:rPr>
          <w:rFonts w:ascii="仿宋_GB2312" w:eastAsia="仿宋_GB2312" w:cs="仿宋_GB2312"/>
          <w:kern w:val="0"/>
          <w:sz w:val="32"/>
          <w:szCs w:val="32"/>
        </w:rPr>
        <w:t>3</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项目</w:t>
      </w:r>
      <w:r>
        <w:rPr>
          <w:rFonts w:hint="eastAsia" w:ascii="仿宋_GB2312" w:eastAsia="仿宋_GB2312" w:cs="仿宋_GB2312"/>
          <w:kern w:val="0"/>
          <w:sz w:val="32"/>
          <w:szCs w:val="32"/>
        </w:rPr>
        <w:t>资金管理办法</w:t>
      </w:r>
      <w:r>
        <w:rPr>
          <w:rFonts w:hint="eastAsia" w:ascii="仿宋_GB2312" w:eastAsia="仿宋_GB2312" w:cs="仿宋_GB2312"/>
          <w:kern w:val="0"/>
          <w:sz w:val="32"/>
          <w:szCs w:val="32"/>
          <w:lang w:val="en-US" w:eastAsia="zh-CN"/>
        </w:rPr>
        <w:t>按照《米易县农村公共服务运行维护机制示范点奖励资金管理暂行办法》</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重点支持村内道路、沟渠修复，环境卫生维护等项目内容</w:t>
      </w:r>
      <w:r>
        <w:rPr>
          <w:rFonts w:hint="eastAsia" w:ascii="仿宋_GB2312" w:eastAsia="仿宋_GB2312" w:cs="仿宋_GB2312"/>
          <w:kern w:val="0"/>
          <w:sz w:val="32"/>
          <w:szCs w:val="32"/>
        </w:rPr>
        <w:t>。</w:t>
      </w:r>
    </w:p>
    <w:p w14:paraId="51459B9E">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仿宋_GB2312" w:eastAsia="仿宋_GB2312" w:cs="仿宋_GB2312"/>
          <w:kern w:val="0"/>
          <w:sz w:val="32"/>
          <w:szCs w:val="32"/>
        </w:rPr>
      </w:pPr>
      <w:r>
        <w:rPr>
          <w:rFonts w:ascii="仿宋_GB2312" w:eastAsia="仿宋_GB2312" w:cs="仿宋_GB2312"/>
          <w:kern w:val="0"/>
          <w:sz w:val="32"/>
          <w:szCs w:val="32"/>
        </w:rPr>
        <w:t>4</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项目资金分配2018年按照每村4.6万元的标准分配，2018年坪山村4.6万元、中山村4.6万元、新山村5.1万元、高隆村4.6万元。对未按照要求实施的村，未达到验收考评要求，考核不合格的村，下一年度扣减20%补助资金。</w:t>
      </w:r>
    </w:p>
    <w:p w14:paraId="2E0D9B27">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5.新山傈僳族乡共4个行政村，201</w:t>
      </w:r>
      <w:r>
        <w:rPr>
          <w:rFonts w:hint="eastAsia" w:ascii="Times New Roman" w:hAnsi="Times New Roman" w:eastAsia="仿宋_GB2312" w:cs="Times New Roman"/>
          <w:kern w:val="0"/>
          <w:sz w:val="32"/>
          <w:szCs w:val="32"/>
          <w:lang w:val="en-US" w:eastAsia="zh-CN"/>
        </w:rPr>
        <w:t>8</w:t>
      </w:r>
      <w:r>
        <w:rPr>
          <w:rFonts w:hint="default" w:ascii="Times New Roman" w:hAnsi="Times New Roman" w:eastAsia="仿宋_GB2312" w:cs="Times New Roman"/>
          <w:kern w:val="0"/>
          <w:sz w:val="32"/>
          <w:szCs w:val="32"/>
          <w:lang w:val="en-US" w:eastAsia="zh-CN"/>
        </w:rPr>
        <w:t>年共下达基层组织活动经费</w:t>
      </w:r>
      <w:r>
        <w:rPr>
          <w:rFonts w:hint="eastAsia" w:ascii="Times New Roman" w:hAnsi="Times New Roman" w:eastAsia="仿宋_GB2312" w:cs="Times New Roman"/>
          <w:kern w:val="0"/>
          <w:sz w:val="32"/>
          <w:szCs w:val="32"/>
          <w:lang w:val="en-US" w:eastAsia="zh-CN"/>
        </w:rPr>
        <w:t>16</w:t>
      </w:r>
      <w:r>
        <w:rPr>
          <w:rFonts w:hint="default" w:ascii="Times New Roman" w:hAnsi="Times New Roman" w:eastAsia="仿宋_GB2312" w:cs="Times New Roman"/>
          <w:kern w:val="0"/>
          <w:sz w:val="32"/>
          <w:szCs w:val="32"/>
          <w:lang w:val="en-US" w:eastAsia="zh-CN"/>
        </w:rPr>
        <w:t>万元，共收</w:t>
      </w:r>
      <w:r>
        <w:rPr>
          <w:rFonts w:hint="eastAsia" w:ascii="Times New Roman" w:hAnsi="Times New Roman" w:eastAsia="仿宋_GB2312" w:cs="Times New Roman"/>
          <w:kern w:val="0"/>
          <w:sz w:val="32"/>
          <w:szCs w:val="32"/>
          <w:lang w:val="en-US" w:eastAsia="zh-CN"/>
        </w:rPr>
        <w:t>16</w:t>
      </w:r>
      <w:r>
        <w:rPr>
          <w:rFonts w:hint="default" w:ascii="Times New Roman" w:hAnsi="Times New Roman" w:eastAsia="仿宋_GB2312" w:cs="Times New Roman"/>
          <w:kern w:val="0"/>
          <w:sz w:val="32"/>
          <w:szCs w:val="32"/>
          <w:lang w:val="en-US" w:eastAsia="zh-CN"/>
        </w:rPr>
        <w:t>万元。</w:t>
      </w:r>
    </w:p>
    <w:p w14:paraId="2E1A3A53">
      <w:pPr>
        <w:keepNext w:val="0"/>
        <w:keepLines w:val="0"/>
        <w:pageBreakBefore w:val="0"/>
        <w:kinsoku/>
        <w:wordWrap/>
        <w:overflowPunct/>
        <w:topLinePunct w:val="0"/>
        <w:autoSpaceDE w:val="0"/>
        <w:autoSpaceDN w:val="0"/>
        <w:bidi w:val="0"/>
        <w:adjustRightInd w:val="0"/>
        <w:snapToGrid/>
        <w:spacing w:line="560" w:lineRule="exact"/>
        <w:ind w:right="0" w:rightChars="0" w:firstLine="640" w:firstLineChars="200"/>
        <w:jc w:val="left"/>
        <w:outlineLvl w:val="9"/>
        <w:rPr>
          <w:rFonts w:ascii="楷体_GB2312" w:eastAsia="楷体_GB2312" w:cs="楷体_GB2312"/>
          <w:kern w:val="0"/>
          <w:sz w:val="32"/>
          <w:szCs w:val="32"/>
        </w:rPr>
      </w:pPr>
      <w:r>
        <w:rPr>
          <w:rFonts w:hint="eastAsia" w:ascii="楷体_GB2312" w:eastAsia="楷体_GB2312" w:cs="楷体_GB2312"/>
          <w:kern w:val="0"/>
          <w:sz w:val="32"/>
          <w:szCs w:val="32"/>
        </w:rPr>
        <w:t>（二）项目绩效目标。</w:t>
      </w:r>
    </w:p>
    <w:p w14:paraId="1735FD22">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仿宋_GB2312" w:eastAsia="仿宋_GB2312" w:cs="仿宋_GB2312"/>
          <w:kern w:val="0"/>
          <w:sz w:val="32"/>
          <w:szCs w:val="32"/>
          <w:lang w:val="en-US" w:eastAsia="zh-CN"/>
        </w:rPr>
      </w:pPr>
      <w:r>
        <w:rPr>
          <w:rFonts w:ascii="仿宋_GB2312" w:eastAsia="仿宋_GB2312" w:cs="仿宋_GB2312"/>
          <w:kern w:val="0"/>
          <w:sz w:val="32"/>
          <w:szCs w:val="32"/>
        </w:rPr>
        <w:t>1</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2018年度</w:t>
      </w:r>
      <w:r>
        <w:rPr>
          <w:rFonts w:hint="eastAsia" w:ascii="仿宋_GB2312" w:eastAsia="仿宋_GB2312" w:cs="仿宋_GB2312"/>
          <w:kern w:val="0"/>
          <w:sz w:val="32"/>
          <w:szCs w:val="32"/>
        </w:rPr>
        <w:t>项目</w:t>
      </w:r>
      <w:r>
        <w:rPr>
          <w:rFonts w:hint="eastAsia" w:ascii="仿宋_GB2312" w:eastAsia="仿宋_GB2312" w:cs="仿宋_GB2312"/>
          <w:kern w:val="0"/>
          <w:sz w:val="32"/>
          <w:szCs w:val="32"/>
          <w:lang w:val="en-US" w:eastAsia="zh-CN"/>
        </w:rPr>
        <w:t>内容。</w:t>
      </w:r>
    </w:p>
    <w:tbl>
      <w:tblPr>
        <w:tblStyle w:val="14"/>
        <w:tblW w:w="0" w:type="auto"/>
        <w:tblInd w:w="0" w:type="dxa"/>
        <w:tblLayout w:type="fixed"/>
        <w:tblCellMar>
          <w:top w:w="0" w:type="dxa"/>
          <w:left w:w="0" w:type="dxa"/>
          <w:bottom w:w="0" w:type="dxa"/>
          <w:right w:w="0" w:type="dxa"/>
        </w:tblCellMar>
      </w:tblPr>
      <w:tblGrid>
        <w:gridCol w:w="5119"/>
        <w:gridCol w:w="2030"/>
        <w:gridCol w:w="1566"/>
      </w:tblGrid>
      <w:tr w14:paraId="2E077C88">
        <w:tblPrEx>
          <w:tblCellMar>
            <w:top w:w="0" w:type="dxa"/>
            <w:left w:w="0" w:type="dxa"/>
            <w:bottom w:w="0" w:type="dxa"/>
            <w:right w:w="0" w:type="dxa"/>
          </w:tblCellMar>
        </w:tblPrEx>
        <w:trPr>
          <w:trHeight w:val="853"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EDD1FC">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坪山村四清堰水利设施维护项目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90993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17A681">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李国军</w:t>
            </w:r>
          </w:p>
        </w:tc>
      </w:tr>
      <w:tr w14:paraId="574BB336">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14026A">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坪山村一沟水利设施维护项目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CD835">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2118A1">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付克荣</w:t>
            </w:r>
          </w:p>
        </w:tc>
      </w:tr>
      <w:tr w14:paraId="35520932">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D4A5D7">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坪山村四沟水利设施维护项目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7972AD">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08A91A">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敖健</w:t>
            </w:r>
          </w:p>
        </w:tc>
      </w:tr>
      <w:tr w14:paraId="00F6900C">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3C06E">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坪山村五沟水利设施维护项目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2965CC">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5676B8">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王福刚</w:t>
            </w:r>
          </w:p>
        </w:tc>
      </w:tr>
      <w:tr w14:paraId="6E519DF9">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636BCB">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坪山村坡脚底沟水利设施维护项目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1F6B76">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CD7D63">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彭银发</w:t>
            </w:r>
          </w:p>
        </w:tc>
      </w:tr>
      <w:tr w14:paraId="092B0A89">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E48A3">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坪山村环境维护治理设施维护项目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6250E5">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1.3 环境卫生</w:t>
            </w:r>
          </w:p>
        </w:tc>
        <w:tc>
          <w:tcPr>
            <w:tcW w:w="1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B977E4">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毕世毅</w:t>
            </w:r>
          </w:p>
        </w:tc>
      </w:tr>
      <w:tr w14:paraId="0D128472">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388ABA">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坪山村大龙洞公路设施维护项目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965E6D">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B5DDFD">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张伦智</w:t>
            </w:r>
          </w:p>
        </w:tc>
      </w:tr>
      <w:tr w14:paraId="4252829D">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786E33">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中山村水库三条沟堰维护项目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C172C7">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4733D9">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卢仲平</w:t>
            </w:r>
          </w:p>
        </w:tc>
      </w:tr>
      <w:tr w14:paraId="004A8468">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F169FB">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中山村一组公路维护项目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00FB8">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C74724">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张远兰</w:t>
            </w:r>
          </w:p>
        </w:tc>
      </w:tr>
      <w:tr w14:paraId="6B5F11E0">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9347E3">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中山村8组沟堰维护项目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E30D85">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C17577">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崔福元</w:t>
            </w:r>
          </w:p>
        </w:tc>
      </w:tr>
      <w:tr w14:paraId="4AA4FD24">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46228C">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中山村黄龙路维护项目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EB0BE5">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5A82CD">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郭金权</w:t>
            </w:r>
          </w:p>
        </w:tc>
      </w:tr>
      <w:tr w14:paraId="119D5046">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8E114">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新山村环村公路维护项目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4B2825">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430519">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杨正鲜</w:t>
            </w:r>
          </w:p>
        </w:tc>
      </w:tr>
      <w:tr w14:paraId="66989160">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E9569D">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新山村麦地堰维护项目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FB60C4">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10C557">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李万清</w:t>
            </w:r>
          </w:p>
        </w:tc>
      </w:tr>
      <w:tr w14:paraId="5B7661C8">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E7FC1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新山村白杨树沟维护项目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88144F">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01F704">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贺宗移</w:t>
            </w:r>
          </w:p>
        </w:tc>
      </w:tr>
      <w:tr w14:paraId="79A43F92">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09A52F">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新山村大坟坝堰维护项目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4675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F7F277">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财长秀</w:t>
            </w:r>
          </w:p>
        </w:tc>
      </w:tr>
      <w:tr w14:paraId="77268BBC">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09355">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新山村城乡环境综合治理维护项目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1154E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1.3 环境卫生</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E9BC5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谷德桥</w:t>
            </w:r>
          </w:p>
        </w:tc>
      </w:tr>
      <w:tr w14:paraId="599D7261">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B4F7FF">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新山村5组新沟理维护项目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907AD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D22AF3">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杨正祥</w:t>
            </w:r>
          </w:p>
        </w:tc>
      </w:tr>
      <w:tr w14:paraId="6C10E782">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556D3">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新山村至文家屋基公路维护项目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701C49">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2C7A0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贺宗国</w:t>
            </w:r>
          </w:p>
        </w:tc>
      </w:tr>
      <w:tr w14:paraId="40DC70DB">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3B52D9">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新山村1、10组公路维护项目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ACC129">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D6D6CB">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谷少银</w:t>
            </w:r>
          </w:p>
        </w:tc>
      </w:tr>
      <w:tr w14:paraId="1A44B9D5">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5E58D9">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新山村3、4组公路维护项目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3C6008">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F63F02">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谷建高</w:t>
            </w:r>
          </w:p>
        </w:tc>
      </w:tr>
      <w:tr w14:paraId="6971507D">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FCA0A3">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高隆村烟区道路设施管护项目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B8176">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79FC87">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牟珍银</w:t>
            </w:r>
          </w:p>
        </w:tc>
      </w:tr>
      <w:tr w14:paraId="1C366EBE">
        <w:tblPrEx>
          <w:tblCellMar>
            <w:top w:w="0" w:type="dxa"/>
            <w:left w:w="0" w:type="dxa"/>
            <w:bottom w:w="0" w:type="dxa"/>
            <w:right w:w="0" w:type="dxa"/>
          </w:tblCellMar>
        </w:tblPrEx>
        <w:trPr>
          <w:trHeight w:val="870" w:hRule="atLeast"/>
        </w:trPr>
        <w:tc>
          <w:tcPr>
            <w:tcW w:w="5119"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4AE3D67">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高隆村火烧垭口至五组垃圾池公路维护项目</w:t>
            </w:r>
          </w:p>
        </w:tc>
        <w:tc>
          <w:tcPr>
            <w:tcW w:w="203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222E6DCD">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BBA2A69">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崔应斌</w:t>
            </w:r>
          </w:p>
        </w:tc>
      </w:tr>
      <w:tr w14:paraId="615F0A65">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CB4F89">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高隆村五组垃圾池至1组山水沟公路维护项目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31EF46">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7B9653">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李罗顺</w:t>
            </w:r>
          </w:p>
        </w:tc>
      </w:tr>
      <w:tr w14:paraId="037F8737">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FD3AA6">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高隆村1组山水沟至芭蕉箐小坪山公路维护项目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87180E">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CDE0A3">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何友兵</w:t>
            </w:r>
          </w:p>
        </w:tc>
      </w:tr>
      <w:tr w14:paraId="1A59E2B4">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17B064">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高隆村冷水箐上沟维护项目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AAB1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359FFE">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牟从江</w:t>
            </w:r>
          </w:p>
        </w:tc>
      </w:tr>
    </w:tbl>
    <w:p w14:paraId="5F417AC2">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仿宋_GB2312" w:eastAsia="仿宋_GB2312" w:cs="仿宋_GB2312"/>
          <w:kern w:val="0"/>
          <w:sz w:val="32"/>
          <w:szCs w:val="32"/>
          <w:lang w:val="en-US" w:eastAsia="zh-CN"/>
        </w:rPr>
      </w:pPr>
    </w:p>
    <w:p w14:paraId="7C6AA29A">
      <w:pPr>
        <w:keepNext w:val="0"/>
        <w:keepLines w:val="0"/>
        <w:pageBreakBefore w:val="0"/>
        <w:numPr>
          <w:ilvl w:val="0"/>
          <w:numId w:val="7"/>
        </w:numPr>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新山傈僳族乡2018年度项目共实施25个，其中环境卫生类2个，</w:t>
      </w:r>
      <w:bookmarkStart w:id="59" w:name="OLE_LINK1"/>
      <w:r>
        <w:rPr>
          <w:rFonts w:hint="eastAsia" w:ascii="仿宋_GB2312" w:eastAsia="仿宋_GB2312" w:cs="仿宋_GB2312"/>
          <w:kern w:val="0"/>
          <w:sz w:val="32"/>
          <w:szCs w:val="32"/>
          <w:lang w:val="en-US" w:eastAsia="zh-CN"/>
        </w:rPr>
        <w:t>财政补助金额2万元，占总补助金额的10.58%</w:t>
      </w:r>
      <w:bookmarkEnd w:id="59"/>
      <w:r>
        <w:rPr>
          <w:rFonts w:hint="eastAsia" w:ascii="仿宋_GB2312" w:eastAsia="仿宋_GB2312" w:cs="仿宋_GB2312"/>
          <w:kern w:val="0"/>
          <w:sz w:val="32"/>
          <w:szCs w:val="32"/>
          <w:lang w:val="en-US" w:eastAsia="zh-CN"/>
        </w:rPr>
        <w:t>；村内道路维护项目11个，财政补助金额9.22万元，占总补助金额的48.78%</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沟渠水利设施维护项目12个，财政补助金额7.68万元，占总补助金额的40.64%。</w:t>
      </w:r>
    </w:p>
    <w:p w14:paraId="7888C146">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仿宋_GB2312" w:eastAsia="仿宋_GB2312" w:cs="仿宋_GB2312"/>
          <w:kern w:val="0"/>
          <w:sz w:val="32"/>
          <w:szCs w:val="32"/>
        </w:rPr>
      </w:pP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各村申报项目内容与实际相符</w:t>
      </w:r>
      <w:r>
        <w:rPr>
          <w:rFonts w:hint="eastAsia" w:ascii="仿宋_GB2312" w:eastAsia="仿宋_GB2312" w:cs="仿宋_GB2312"/>
          <w:kern w:val="0"/>
          <w:sz w:val="32"/>
          <w:szCs w:val="32"/>
        </w:rPr>
        <w:t>，申报目标合理可行。</w:t>
      </w:r>
    </w:p>
    <w:p w14:paraId="2B8A917D">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楷体_GB2312" w:eastAsia="楷体_GB2312" w:cs="楷体_GB2312"/>
          <w:kern w:val="0"/>
          <w:sz w:val="32"/>
          <w:szCs w:val="32"/>
        </w:rPr>
      </w:pPr>
      <w:r>
        <w:rPr>
          <w:rFonts w:hint="eastAsia" w:ascii="楷体_GB2312" w:eastAsia="楷体_GB2312" w:cs="楷体_GB2312"/>
          <w:kern w:val="0"/>
          <w:sz w:val="32"/>
          <w:szCs w:val="32"/>
        </w:rPr>
        <w:t>（三）项目自评步骤及方法。</w:t>
      </w:r>
    </w:p>
    <w:p w14:paraId="458E84EE">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仿宋_GB2312" w:eastAsia="仿宋_GB2312" w:cs="仿宋_GB2312"/>
          <w:kern w:val="0"/>
          <w:sz w:val="32"/>
          <w:szCs w:val="32"/>
        </w:rPr>
      </w:pPr>
      <w:r>
        <w:rPr>
          <w:rFonts w:hint="eastAsia" w:ascii="仿宋_GB2312" w:eastAsia="仿宋_GB2312" w:cs="仿宋_GB2312"/>
          <w:kern w:val="0"/>
          <w:sz w:val="32"/>
          <w:szCs w:val="32"/>
          <w:lang w:val="en-US" w:eastAsia="zh-CN"/>
        </w:rPr>
        <w:t>各村项目自评，长期项目由质量监督小组按照考评细则表实施季度考核，年底综合考核的方式；各村对实施项目开展自评验收，经验收合格后，向新山傈僳族乡申请复核验收。</w:t>
      </w:r>
    </w:p>
    <w:p w14:paraId="60AB24B3">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黑体" w:eastAsia="黑体" w:cs="黑体"/>
          <w:kern w:val="0"/>
          <w:sz w:val="32"/>
          <w:szCs w:val="32"/>
        </w:rPr>
      </w:pPr>
      <w:r>
        <w:rPr>
          <w:rFonts w:hint="eastAsia" w:ascii="黑体" w:eastAsia="黑体" w:cs="黑体"/>
          <w:kern w:val="0"/>
          <w:sz w:val="32"/>
          <w:szCs w:val="32"/>
        </w:rPr>
        <w:t>二、项目资金申报及使用情况</w:t>
      </w:r>
    </w:p>
    <w:p w14:paraId="446874F3">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楷体_GB2312" w:eastAsia="楷体_GB2312" w:cs="楷体_GB2312"/>
          <w:kern w:val="0"/>
          <w:sz w:val="32"/>
          <w:szCs w:val="32"/>
        </w:rPr>
      </w:pPr>
      <w:r>
        <w:rPr>
          <w:rFonts w:hint="eastAsia" w:ascii="楷体_GB2312" w:eastAsia="楷体_GB2312" w:cs="楷体_GB2312"/>
          <w:kern w:val="0"/>
          <w:sz w:val="32"/>
          <w:szCs w:val="32"/>
        </w:rPr>
        <w:t>（一）项目资金申报及批复情况。</w:t>
      </w:r>
    </w:p>
    <w:p w14:paraId="3A44CC99">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新山傈僳族乡按照各村申报项目的情况，向县综改办申请项目资金。按照米财资预〔2018〕70号、米财资预〔2018〕141号文件批复，新山傈僳族乡2018年农村公共服务运行维护资金共计18.9万元，其中财政资金18.9万元。</w:t>
      </w:r>
    </w:p>
    <w:p w14:paraId="255CF695">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楷体_GB2312" w:eastAsia="楷体_GB2312" w:cs="楷体_GB2312"/>
          <w:kern w:val="0"/>
          <w:sz w:val="32"/>
          <w:szCs w:val="32"/>
        </w:rPr>
      </w:pPr>
      <w:r>
        <w:rPr>
          <w:rFonts w:hint="eastAsia" w:ascii="楷体_GB2312" w:eastAsia="楷体_GB2312" w:cs="楷体_GB2312"/>
          <w:kern w:val="0"/>
          <w:sz w:val="32"/>
          <w:szCs w:val="32"/>
        </w:rPr>
        <w:t>（二）资金计划、到位及使用情况。</w:t>
      </w:r>
    </w:p>
    <w:p w14:paraId="0DF1F743">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楷体_GB2312" w:eastAsia="楷体_GB2312" w:cs="楷体_GB2312"/>
          <w:kern w:val="0"/>
          <w:sz w:val="32"/>
          <w:szCs w:val="32"/>
        </w:rPr>
      </w:pPr>
      <w:r>
        <w:rPr>
          <w:rFonts w:ascii="楷体_GB2312" w:eastAsia="楷体_GB2312" w:cs="楷体_GB2312"/>
          <w:kern w:val="0"/>
          <w:sz w:val="32"/>
          <w:szCs w:val="32"/>
        </w:rPr>
        <w:t>1</w:t>
      </w:r>
      <w:r>
        <w:rPr>
          <w:rFonts w:hint="eastAsia" w:ascii="楷体_GB2312" w:eastAsia="楷体_GB2312" w:cs="楷体_GB2312"/>
          <w:kern w:val="0"/>
          <w:sz w:val="32"/>
          <w:szCs w:val="32"/>
        </w:rPr>
        <w:t>．</w:t>
      </w:r>
      <w:r>
        <w:rPr>
          <w:rFonts w:hint="eastAsia" w:ascii="楷体_GB2312" w:eastAsia="楷体_GB2312" w:cs="楷体_GB2312"/>
          <w:kern w:val="0"/>
          <w:sz w:val="32"/>
          <w:szCs w:val="32"/>
          <w:lang w:val="en-US" w:eastAsia="zh-CN"/>
        </w:rPr>
        <w:t>2018年</w:t>
      </w:r>
      <w:r>
        <w:rPr>
          <w:rFonts w:hint="eastAsia" w:ascii="楷体_GB2312" w:eastAsia="楷体_GB2312" w:cs="楷体_GB2312"/>
          <w:kern w:val="0"/>
          <w:sz w:val="32"/>
          <w:szCs w:val="32"/>
        </w:rPr>
        <w:t>资金计划。</w:t>
      </w:r>
    </w:p>
    <w:tbl>
      <w:tblPr>
        <w:tblStyle w:val="14"/>
        <w:tblW w:w="0" w:type="auto"/>
        <w:tblInd w:w="0" w:type="dxa"/>
        <w:tblLayout w:type="fixed"/>
        <w:tblCellMar>
          <w:top w:w="0" w:type="dxa"/>
          <w:left w:w="0" w:type="dxa"/>
          <w:bottom w:w="0" w:type="dxa"/>
          <w:right w:w="0" w:type="dxa"/>
        </w:tblCellMar>
      </w:tblPr>
      <w:tblGrid>
        <w:gridCol w:w="5119"/>
        <w:gridCol w:w="2030"/>
        <w:gridCol w:w="1566"/>
      </w:tblGrid>
      <w:tr w14:paraId="5A822D68">
        <w:tblPrEx>
          <w:tblCellMar>
            <w:top w:w="0" w:type="dxa"/>
            <w:left w:w="0" w:type="dxa"/>
            <w:bottom w:w="0" w:type="dxa"/>
            <w:right w:w="0" w:type="dxa"/>
          </w:tblCellMar>
        </w:tblPrEx>
        <w:trPr>
          <w:trHeight w:val="853"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B7A217">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坪山村四清堰水利设施维护项目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C9ECF2">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49185C">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李国军</w:t>
            </w:r>
          </w:p>
        </w:tc>
      </w:tr>
      <w:tr w14:paraId="596F050D">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B6F6F5">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坪山村一沟水利设施维护项目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1DED2F">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4D583F">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付克荣</w:t>
            </w:r>
          </w:p>
        </w:tc>
      </w:tr>
      <w:tr w14:paraId="76E0070B">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1BE0CC">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坪山村四沟水利设施维护项目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CA3068">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09B9FB">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敖健</w:t>
            </w:r>
          </w:p>
        </w:tc>
      </w:tr>
      <w:tr w14:paraId="2A4A5CF1">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BB3DB4">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坪山村五沟水利设施维护项目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C66673">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3DF66">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王福刚</w:t>
            </w:r>
          </w:p>
        </w:tc>
      </w:tr>
      <w:tr w14:paraId="5C8A0152">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190C7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坪山村坡脚底沟水利设施维护项目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221F36">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C5A242">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彭银发</w:t>
            </w:r>
          </w:p>
        </w:tc>
      </w:tr>
      <w:tr w14:paraId="207DAE2A">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52F73">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坪山村环境维护治理设施维护项目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61A7B4">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1.3 环境卫生</w:t>
            </w:r>
          </w:p>
        </w:tc>
        <w:tc>
          <w:tcPr>
            <w:tcW w:w="1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385297">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毕世毅</w:t>
            </w:r>
          </w:p>
        </w:tc>
      </w:tr>
      <w:tr w14:paraId="710DA3CF">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587EF8">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坪山村大龙洞公路设施维护项目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37DBC5">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0162E6">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张伦智</w:t>
            </w:r>
          </w:p>
        </w:tc>
      </w:tr>
      <w:tr w14:paraId="7BC6E273">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480224">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中山村水库三条沟堰维护项目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7ADD6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FCFA51">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卢仲平</w:t>
            </w:r>
          </w:p>
        </w:tc>
      </w:tr>
      <w:tr w14:paraId="73784D5D">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DDB49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中山村一组公路维护项目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B5E03D">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A3D59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张远兰</w:t>
            </w:r>
          </w:p>
        </w:tc>
      </w:tr>
      <w:tr w14:paraId="6E749589">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500747">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中山村8组沟堰维护项目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294EDB">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C0A21E">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崔福元</w:t>
            </w:r>
          </w:p>
        </w:tc>
      </w:tr>
      <w:tr w14:paraId="5402EEC4">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C484B7">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中山村黄龙路维护项目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E0190A">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D597B4">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郭金权</w:t>
            </w:r>
          </w:p>
        </w:tc>
      </w:tr>
      <w:tr w14:paraId="0B91D861">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F32795">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新山村环村公路维护项目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46A856">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3684AE">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杨正鲜</w:t>
            </w:r>
          </w:p>
        </w:tc>
      </w:tr>
      <w:tr w14:paraId="4FDDE548">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E2CA0D">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新山村麦地堰维护项目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92BB69">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672ADF">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李万清</w:t>
            </w:r>
          </w:p>
        </w:tc>
      </w:tr>
      <w:tr w14:paraId="5941F247">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03E2D2">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新山村白杨树沟维护项目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429B3A">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5C2E0D">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贺宗移</w:t>
            </w:r>
          </w:p>
        </w:tc>
      </w:tr>
      <w:tr w14:paraId="0B59121B">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E25281">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新山村大坟坝堰维护项目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F48F7C">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47A10D">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财长秀</w:t>
            </w:r>
          </w:p>
        </w:tc>
      </w:tr>
      <w:tr w14:paraId="4766AAE2">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30237B">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新山村城乡环境综合治理维护项目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C3827D">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1.3 环境卫生</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78CD97">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谷德桥</w:t>
            </w:r>
          </w:p>
        </w:tc>
      </w:tr>
      <w:tr w14:paraId="54EA9399">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A7702C">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新山村5组新沟理维护项目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9CDEED">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CDF16A">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杨正祥</w:t>
            </w:r>
          </w:p>
        </w:tc>
      </w:tr>
      <w:tr w14:paraId="322253B3">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BF3C46">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新山村至文家屋基公路维护项目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D19E2">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94929E">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贺宗国</w:t>
            </w:r>
          </w:p>
        </w:tc>
      </w:tr>
      <w:tr w14:paraId="0F14E78B">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C42DC">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新山村1、10组公路维护项目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8E1B91">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2FAD51">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谷少银</w:t>
            </w:r>
          </w:p>
        </w:tc>
      </w:tr>
      <w:tr w14:paraId="040EE2F6">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CE0D61">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新山村3、4组公路维护项目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6E26FE">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94ECA9">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谷建高</w:t>
            </w:r>
          </w:p>
        </w:tc>
      </w:tr>
      <w:tr w14:paraId="5DF8438E">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DBCD6E">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高隆村烟区道路设施管护项目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A6815C">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5C762A">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牟珍银</w:t>
            </w:r>
          </w:p>
        </w:tc>
      </w:tr>
      <w:tr w14:paraId="473C1E00">
        <w:tblPrEx>
          <w:tblCellMar>
            <w:top w:w="0" w:type="dxa"/>
            <w:left w:w="0" w:type="dxa"/>
            <w:bottom w:w="0" w:type="dxa"/>
            <w:right w:w="0" w:type="dxa"/>
          </w:tblCellMar>
        </w:tblPrEx>
        <w:trPr>
          <w:trHeight w:val="870" w:hRule="atLeast"/>
        </w:trPr>
        <w:tc>
          <w:tcPr>
            <w:tcW w:w="5119"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3DA8E2DF">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高隆村火烧垭口至五组垃圾池公路维护项目</w:t>
            </w:r>
          </w:p>
        </w:tc>
        <w:tc>
          <w:tcPr>
            <w:tcW w:w="203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EF3661D">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8FC44FC">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崔应斌</w:t>
            </w:r>
          </w:p>
        </w:tc>
      </w:tr>
      <w:tr w14:paraId="6D61F3B0">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A08F5A">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高隆村五组垃圾池至1组山水沟公路维护项目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FF47EC">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72286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李罗顺</w:t>
            </w:r>
          </w:p>
        </w:tc>
      </w:tr>
      <w:tr w14:paraId="44220BA3">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6A5085">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高隆村1组山水沟至芭蕉箐小坪山公路维护项目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9B62D4">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1.1 村内道路</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2BC6D8">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何友兵</w:t>
            </w:r>
          </w:p>
        </w:tc>
      </w:tr>
      <w:tr w14:paraId="781D2E2B">
        <w:tblPrEx>
          <w:tblCellMar>
            <w:top w:w="0" w:type="dxa"/>
            <w:left w:w="0" w:type="dxa"/>
            <w:bottom w:w="0" w:type="dxa"/>
            <w:right w:w="0" w:type="dxa"/>
          </w:tblCellMar>
        </w:tblPrEx>
        <w:trPr>
          <w:trHeight w:val="870" w:hRule="atLeast"/>
        </w:trPr>
        <w:tc>
          <w:tcPr>
            <w:tcW w:w="51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D6F813">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高隆村冷水箐上沟维护项目</w:t>
            </w:r>
          </w:p>
        </w:tc>
        <w:tc>
          <w:tcPr>
            <w:tcW w:w="2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7667B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1.2 水利</w:t>
            </w:r>
          </w:p>
        </w:tc>
        <w:tc>
          <w:tcPr>
            <w:tcW w:w="1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3E0080">
            <w:pPr>
              <w:keepNext w:val="0"/>
              <w:keepLines w:val="0"/>
              <w:widowControl/>
              <w:suppressLineNumbers w:val="0"/>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牟从江</w:t>
            </w:r>
          </w:p>
        </w:tc>
      </w:tr>
    </w:tbl>
    <w:p w14:paraId="6FFA9214">
      <w:pPr>
        <w:keepNext w:val="0"/>
        <w:keepLines w:val="0"/>
        <w:pageBreakBefore w:val="0"/>
        <w:kinsoku/>
        <w:wordWrap/>
        <w:overflowPunct/>
        <w:topLinePunct w:val="0"/>
        <w:autoSpaceDE w:val="0"/>
        <w:autoSpaceDN w:val="0"/>
        <w:bidi w:val="0"/>
        <w:adjustRightInd w:val="0"/>
        <w:snapToGrid/>
        <w:spacing w:line="560" w:lineRule="exact"/>
        <w:ind w:right="0" w:rightChars="0" w:firstLine="640" w:firstLineChars="200"/>
        <w:jc w:val="left"/>
        <w:outlineLvl w:val="9"/>
        <w:rPr>
          <w:rFonts w:hint="eastAsia" w:ascii="楷体_GB2312" w:eastAsia="楷体_GB2312" w:cs="楷体_GB2312"/>
          <w:kern w:val="0"/>
          <w:sz w:val="32"/>
          <w:szCs w:val="32"/>
          <w:lang w:val="en-US" w:eastAsia="zh-CN"/>
        </w:rPr>
      </w:pPr>
    </w:p>
    <w:p w14:paraId="573F900F">
      <w:pPr>
        <w:keepNext w:val="0"/>
        <w:keepLines w:val="0"/>
        <w:pageBreakBefore w:val="0"/>
        <w:kinsoku/>
        <w:wordWrap/>
        <w:overflowPunct/>
        <w:topLinePunct w:val="0"/>
        <w:autoSpaceDE w:val="0"/>
        <w:autoSpaceDN w:val="0"/>
        <w:bidi w:val="0"/>
        <w:adjustRightInd w:val="0"/>
        <w:snapToGrid/>
        <w:spacing w:line="560" w:lineRule="exact"/>
        <w:ind w:right="0" w:rightChars="0" w:firstLine="640" w:firstLineChars="200"/>
        <w:jc w:val="left"/>
        <w:outlineLvl w:val="9"/>
        <w:rPr>
          <w:rFonts w:ascii="楷体_GB2312" w:eastAsia="楷体_GB2312" w:cs="楷体_GB2312"/>
          <w:kern w:val="0"/>
          <w:sz w:val="32"/>
          <w:szCs w:val="32"/>
        </w:rPr>
      </w:pPr>
      <w:r>
        <w:rPr>
          <w:rFonts w:hint="eastAsia" w:ascii="楷体_GB2312" w:eastAsia="楷体_GB2312" w:cs="楷体_GB2312"/>
          <w:kern w:val="0"/>
          <w:sz w:val="32"/>
          <w:szCs w:val="32"/>
          <w:lang w:val="en-US" w:eastAsia="zh-CN"/>
        </w:rPr>
        <w:t>2</w:t>
      </w:r>
      <w:r>
        <w:rPr>
          <w:rFonts w:hint="eastAsia" w:ascii="楷体_GB2312" w:eastAsia="楷体_GB2312" w:cs="楷体_GB2312"/>
          <w:kern w:val="0"/>
          <w:sz w:val="32"/>
          <w:szCs w:val="32"/>
        </w:rPr>
        <w:t>．资金到位。</w:t>
      </w:r>
    </w:p>
    <w:p w14:paraId="1F50FF7C">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截至目前，新山傈僳族乡所有项目资金已全部到位，2018年其中省市级资金18.9万元，</w:t>
      </w:r>
    </w:p>
    <w:p w14:paraId="5ADFE737">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楷体_GB2312" w:eastAsia="楷体_GB2312" w:cs="楷体_GB2312"/>
          <w:kern w:val="0"/>
          <w:sz w:val="32"/>
          <w:szCs w:val="32"/>
        </w:rPr>
      </w:pPr>
      <w:r>
        <w:rPr>
          <w:rFonts w:hint="eastAsia" w:ascii="楷体_GB2312" w:eastAsia="楷体_GB2312" w:cs="楷体_GB2312"/>
          <w:kern w:val="0"/>
          <w:sz w:val="32"/>
          <w:szCs w:val="32"/>
          <w:lang w:val="en-US" w:eastAsia="zh-CN"/>
        </w:rPr>
        <w:t>3</w:t>
      </w:r>
      <w:r>
        <w:rPr>
          <w:rFonts w:hint="eastAsia" w:ascii="楷体_GB2312" w:eastAsia="楷体_GB2312" w:cs="楷体_GB2312"/>
          <w:kern w:val="0"/>
          <w:sz w:val="32"/>
          <w:szCs w:val="32"/>
        </w:rPr>
        <w:t>．资金使用。</w:t>
      </w:r>
    </w:p>
    <w:p w14:paraId="4BF31A42">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（1）截至目前，新山傈僳族乡所有项目资金已全部支出兑付到位，无挪用、无截留，全部做到专款专用</w:t>
      </w:r>
      <w:r>
        <w:rPr>
          <w:rFonts w:hint="eastAsia" w:ascii="仿宋_GB2312" w:eastAsia="仿宋_GB2312" w:cs="仿宋_GB2312"/>
          <w:kern w:val="0"/>
          <w:sz w:val="32"/>
          <w:szCs w:val="32"/>
        </w:rPr>
        <w:t>。</w:t>
      </w:r>
    </w:p>
    <w:p w14:paraId="0671D5D8">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仿宋_GB2312" w:eastAsia="仿宋_GB2312" w:cs="仿宋_GB2312"/>
          <w:color w:val="000000"/>
          <w:kern w:val="0"/>
          <w:sz w:val="32"/>
          <w:szCs w:val="32"/>
        </w:rPr>
      </w:pP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lang w:eastAsia="zh-CN"/>
        </w:rPr>
        <w:t>）新山傈僳族乡基层组织活动经费在四个村村级账户严格按照规定类别进行使用，不存在滥用的情况，截</w:t>
      </w:r>
      <w:r>
        <w:rPr>
          <w:rFonts w:hint="eastAsia" w:eastAsia="仿宋_GB2312" w:cs="Times New Roman"/>
          <w:color w:val="000000"/>
          <w:kern w:val="0"/>
          <w:sz w:val="32"/>
          <w:szCs w:val="32"/>
          <w:lang w:eastAsia="zh-CN"/>
        </w:rPr>
        <w:t>至</w:t>
      </w:r>
      <w:r>
        <w:rPr>
          <w:rFonts w:hint="default" w:ascii="Times New Roman" w:hAnsi="Times New Roman" w:eastAsia="仿宋_GB2312" w:cs="Times New Roman"/>
          <w:color w:val="000000"/>
          <w:kern w:val="0"/>
          <w:sz w:val="32"/>
          <w:szCs w:val="32"/>
          <w:lang w:eastAsia="zh-CN"/>
        </w:rPr>
        <w:t>目前，我乡基层组织活动经费已使用</w:t>
      </w:r>
      <w:r>
        <w:rPr>
          <w:rFonts w:hint="eastAsia" w:ascii="Times New Roman" w:hAnsi="Times New Roman" w:eastAsia="仿宋_GB2312" w:cs="Times New Roman"/>
          <w:color w:val="000000"/>
          <w:kern w:val="0"/>
          <w:sz w:val="32"/>
          <w:szCs w:val="32"/>
          <w:lang w:val="en-US" w:eastAsia="zh-CN"/>
        </w:rPr>
        <w:t>13.68</w:t>
      </w:r>
      <w:r>
        <w:rPr>
          <w:rFonts w:hint="default" w:ascii="Times New Roman" w:hAnsi="Times New Roman" w:eastAsia="仿宋_GB2312" w:cs="Times New Roman"/>
          <w:color w:val="000000"/>
          <w:kern w:val="0"/>
          <w:sz w:val="32"/>
          <w:szCs w:val="32"/>
          <w:lang w:val="en-US" w:eastAsia="zh-CN"/>
        </w:rPr>
        <w:t>万元</w:t>
      </w:r>
      <w:r>
        <w:rPr>
          <w:rFonts w:hint="eastAsia" w:ascii="Times New Roman" w:hAnsi="Times New Roman" w:eastAsia="仿宋_GB2312" w:cs="Times New Roman"/>
          <w:color w:val="000000"/>
          <w:kern w:val="0"/>
          <w:sz w:val="32"/>
          <w:szCs w:val="32"/>
          <w:lang w:val="en-US" w:eastAsia="zh-CN"/>
        </w:rPr>
        <w:t>，主要用于村上购办公耗材、办公设备、支付维修村委会日常用具的费用，</w:t>
      </w:r>
      <w:r>
        <w:rPr>
          <w:rFonts w:hint="default" w:ascii="Times New Roman" w:hAnsi="Times New Roman" w:eastAsia="仿宋_GB2312" w:cs="Times New Roman"/>
          <w:color w:val="000000"/>
          <w:kern w:val="0"/>
          <w:sz w:val="32"/>
          <w:szCs w:val="32"/>
          <w:lang w:val="en-US" w:eastAsia="zh-CN"/>
        </w:rPr>
        <w:t>目前剩余资金</w:t>
      </w:r>
      <w:r>
        <w:rPr>
          <w:rFonts w:hint="eastAsia" w:ascii="Times New Roman" w:hAnsi="Times New Roman" w:eastAsia="仿宋_GB2312" w:cs="Times New Roman"/>
          <w:color w:val="000000"/>
          <w:kern w:val="0"/>
          <w:sz w:val="32"/>
          <w:szCs w:val="32"/>
          <w:lang w:val="en-US" w:eastAsia="zh-CN"/>
        </w:rPr>
        <w:t>2.32</w:t>
      </w:r>
      <w:r>
        <w:rPr>
          <w:rFonts w:hint="default" w:ascii="Times New Roman" w:hAnsi="Times New Roman" w:eastAsia="仿宋_GB2312" w:cs="Times New Roman"/>
          <w:color w:val="000000"/>
          <w:kern w:val="0"/>
          <w:sz w:val="32"/>
          <w:szCs w:val="32"/>
          <w:lang w:val="en-US" w:eastAsia="zh-CN"/>
        </w:rPr>
        <w:t>万元。</w:t>
      </w:r>
      <w:bookmarkStart w:id="76" w:name="_GoBack"/>
      <w:bookmarkEnd w:id="76"/>
    </w:p>
    <w:p w14:paraId="6BA1485B">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楷体_GB2312" w:eastAsia="楷体_GB2312" w:cs="楷体_GB2312"/>
          <w:kern w:val="0"/>
          <w:sz w:val="32"/>
          <w:szCs w:val="32"/>
        </w:rPr>
      </w:pPr>
      <w:r>
        <w:rPr>
          <w:rFonts w:hint="eastAsia" w:ascii="楷体_GB2312" w:eastAsia="楷体_GB2312" w:cs="楷体_GB2312"/>
          <w:kern w:val="0"/>
          <w:sz w:val="32"/>
          <w:szCs w:val="32"/>
        </w:rPr>
        <w:t>（三）项目财务管理情况。</w:t>
      </w:r>
    </w:p>
    <w:p w14:paraId="0FF1EB51">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仿宋_GB2312" w:eastAsia="仿宋_GB2312" w:cs="仿宋_GB2312"/>
          <w:kern w:val="0"/>
          <w:sz w:val="32"/>
          <w:szCs w:val="32"/>
        </w:rPr>
      </w:pPr>
      <w:r>
        <w:rPr>
          <w:rFonts w:hint="eastAsia" w:ascii="仿宋_GB2312" w:eastAsia="仿宋_GB2312" w:cs="仿宋_GB2312"/>
          <w:kern w:val="0"/>
          <w:sz w:val="32"/>
          <w:szCs w:val="32"/>
          <w:lang w:val="en-US" w:eastAsia="zh-CN"/>
        </w:rPr>
        <w:t>各村</w:t>
      </w:r>
      <w:r>
        <w:rPr>
          <w:rFonts w:hint="eastAsia" w:ascii="仿宋_GB2312" w:eastAsia="仿宋_GB2312" w:cs="仿宋_GB2312"/>
          <w:kern w:val="0"/>
          <w:sz w:val="32"/>
          <w:szCs w:val="32"/>
        </w:rPr>
        <w:t>财务管理制度健全，</w:t>
      </w:r>
      <w:r>
        <w:rPr>
          <w:rFonts w:hint="eastAsia" w:ascii="仿宋_GB2312" w:eastAsia="仿宋_GB2312" w:cs="仿宋_GB2312"/>
          <w:kern w:val="0"/>
          <w:sz w:val="32"/>
          <w:szCs w:val="32"/>
          <w:lang w:val="en-US" w:eastAsia="zh-CN"/>
        </w:rPr>
        <w:t>均</w:t>
      </w:r>
      <w:r>
        <w:rPr>
          <w:rFonts w:hint="eastAsia" w:ascii="仿宋_GB2312" w:eastAsia="仿宋_GB2312" w:cs="仿宋_GB2312"/>
          <w:kern w:val="0"/>
          <w:sz w:val="32"/>
          <w:szCs w:val="32"/>
        </w:rPr>
        <w:t>严格执行财务管理制度，账务处理及时，会计核算规范。</w:t>
      </w:r>
    </w:p>
    <w:p w14:paraId="01C46599">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仿宋_GB2312" w:eastAsia="仿宋_GB2312" w:cs="仿宋_GB2312"/>
          <w:kern w:val="0"/>
          <w:sz w:val="32"/>
          <w:szCs w:val="32"/>
        </w:rPr>
      </w:pPr>
      <w:r>
        <w:rPr>
          <w:rFonts w:hint="eastAsia" w:ascii="黑体" w:eastAsia="黑体" w:cs="黑体"/>
          <w:kern w:val="0"/>
          <w:sz w:val="32"/>
          <w:szCs w:val="32"/>
        </w:rPr>
        <w:t>三、项目实施及管理情况</w:t>
      </w:r>
    </w:p>
    <w:p w14:paraId="36CD8E4C">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楷体_GB2312" w:eastAsia="楷体_GB2312" w:cs="楷体_GB2312"/>
          <w:kern w:val="0"/>
          <w:sz w:val="32"/>
          <w:szCs w:val="32"/>
        </w:rPr>
      </w:pPr>
      <w:r>
        <w:rPr>
          <w:rFonts w:hint="eastAsia" w:ascii="楷体_GB2312" w:eastAsia="楷体_GB2312" w:cs="楷体_GB2312"/>
          <w:kern w:val="0"/>
          <w:sz w:val="32"/>
          <w:szCs w:val="32"/>
        </w:rPr>
        <w:t>（一）项目组织架构及实施流程。</w:t>
      </w:r>
      <w:r>
        <w:rPr>
          <w:rFonts w:hint="eastAsia" w:ascii="仿宋_GB2312" w:hAnsi="仿宋_GB2312" w:eastAsia="仿宋_GB2312" w:cs="仿宋_GB2312"/>
          <w:kern w:val="0"/>
          <w:sz w:val="32"/>
          <w:szCs w:val="32"/>
          <w:lang w:val="en-US" w:eastAsia="zh-CN"/>
        </w:rPr>
        <w:t>各村经召开村民代表大会表决，成立了农村公共服务运行维护机制建设工作领导小组、质量监督小组、理财小组。由村民代表大会表决选择项目实施方。按照公开政策-征求意见-拟定方案-群众审议-方案申报-组织实施-验收评议等步骤实施。</w:t>
      </w:r>
    </w:p>
    <w:p w14:paraId="0591D00D">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仿宋_GB2312" w:eastAsia="仿宋_GB2312" w:cs="仿宋_GB2312"/>
          <w:kern w:val="0"/>
          <w:sz w:val="32"/>
          <w:szCs w:val="32"/>
        </w:rPr>
      </w:pPr>
      <w:r>
        <w:rPr>
          <w:rFonts w:hint="eastAsia" w:ascii="楷体_GB2312" w:eastAsia="楷体_GB2312" w:cs="楷体_GB2312"/>
          <w:kern w:val="0"/>
          <w:sz w:val="32"/>
          <w:szCs w:val="32"/>
        </w:rPr>
        <w:t>（二）项目管理情况。</w:t>
      </w:r>
      <w:r>
        <w:rPr>
          <w:rFonts w:hint="eastAsia" w:ascii="仿宋_GB2312" w:eastAsia="仿宋_GB2312" w:cs="仿宋_GB2312"/>
          <w:kern w:val="0"/>
          <w:sz w:val="32"/>
          <w:szCs w:val="32"/>
          <w:lang w:val="en-US" w:eastAsia="zh-CN"/>
        </w:rPr>
        <w:t>各村项目均能按照计划目标完成，但村质量监督小组、理财小组在监督项目实施过程中存在少数未按照要求开展监督管理工作</w:t>
      </w:r>
      <w:r>
        <w:rPr>
          <w:rFonts w:hint="eastAsia" w:ascii="仿宋_GB2312" w:eastAsia="仿宋_GB2312" w:cs="仿宋_GB2312"/>
          <w:kern w:val="0"/>
          <w:sz w:val="32"/>
          <w:szCs w:val="32"/>
        </w:rPr>
        <w:t>。</w:t>
      </w:r>
    </w:p>
    <w:p w14:paraId="5D72B513">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仿宋_GB2312" w:eastAsia="仿宋_GB2312" w:cs="仿宋_GB2312"/>
          <w:kern w:val="0"/>
          <w:sz w:val="32"/>
          <w:szCs w:val="32"/>
        </w:rPr>
      </w:pPr>
      <w:r>
        <w:rPr>
          <w:rFonts w:hint="eastAsia" w:ascii="楷体_GB2312" w:eastAsia="楷体_GB2312" w:cs="楷体_GB2312"/>
          <w:kern w:val="0"/>
          <w:sz w:val="32"/>
          <w:szCs w:val="32"/>
        </w:rPr>
        <w:t>（三）项目监管情况。</w:t>
      </w:r>
      <w:r>
        <w:rPr>
          <w:rFonts w:hint="eastAsia" w:ascii="仿宋_GB2312" w:eastAsia="仿宋_GB2312" w:cs="仿宋_GB2312"/>
          <w:kern w:val="0"/>
          <w:sz w:val="32"/>
          <w:szCs w:val="32"/>
        </w:rPr>
        <w:t>为加强项目管理</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成立了工作领导小组，制定了实施方案，明确了专人负责管理</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确保了各项工作按照计划全面完成。</w:t>
      </w:r>
    </w:p>
    <w:p w14:paraId="25E235B5">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黑体" w:eastAsia="黑体" w:cs="仿宋_GB2312"/>
          <w:kern w:val="0"/>
          <w:sz w:val="32"/>
          <w:szCs w:val="32"/>
        </w:rPr>
      </w:pPr>
      <w:r>
        <w:rPr>
          <w:rFonts w:hint="eastAsia" w:ascii="黑体" w:eastAsia="黑体" w:cs="仿宋_GB2312"/>
          <w:kern w:val="0"/>
          <w:sz w:val="32"/>
          <w:szCs w:val="32"/>
        </w:rPr>
        <w:t>四、项目绩效情况</w:t>
      </w:r>
    </w:p>
    <w:p w14:paraId="35A21DE8">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楷体_GB2312" w:eastAsia="楷体_GB2312" w:cs="楷体_GB2312"/>
          <w:kern w:val="0"/>
          <w:sz w:val="32"/>
          <w:szCs w:val="32"/>
        </w:rPr>
      </w:pPr>
      <w:r>
        <w:rPr>
          <w:rFonts w:hint="eastAsia" w:ascii="楷体_GB2312" w:eastAsia="楷体_GB2312" w:cs="楷体_GB2312"/>
          <w:kern w:val="0"/>
          <w:sz w:val="32"/>
          <w:szCs w:val="32"/>
        </w:rPr>
        <w:t>（一）项目完成情况。</w:t>
      </w:r>
    </w:p>
    <w:p w14:paraId="1BB4B408">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仿宋_GB2312" w:eastAsia="仿宋_GB2312" w:cs="仿宋_GB2312"/>
          <w:kern w:val="0"/>
          <w:sz w:val="32"/>
          <w:szCs w:val="32"/>
        </w:rPr>
      </w:pPr>
      <w:r>
        <w:rPr>
          <w:rFonts w:hint="eastAsia" w:ascii="仿宋_GB2312" w:eastAsia="仿宋_GB2312" w:cs="仿宋_GB2312"/>
          <w:kern w:val="0"/>
          <w:sz w:val="32"/>
          <w:szCs w:val="32"/>
          <w:lang w:val="en-US" w:eastAsia="zh-CN"/>
        </w:rPr>
        <w:t>截至目前，所有项目均已完成验收、项目资金报账等工作</w:t>
      </w:r>
      <w:r>
        <w:rPr>
          <w:rFonts w:hint="eastAsia" w:ascii="仿宋_GB2312" w:eastAsia="仿宋_GB2312" w:cs="仿宋_GB2312"/>
          <w:kern w:val="0"/>
          <w:sz w:val="32"/>
          <w:szCs w:val="32"/>
        </w:rPr>
        <w:t>。</w:t>
      </w:r>
    </w:p>
    <w:p w14:paraId="617EA7B5">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楷体_GB2312" w:eastAsia="楷体_GB2312" w:cs="楷体_GB2312"/>
          <w:kern w:val="0"/>
          <w:sz w:val="32"/>
          <w:szCs w:val="32"/>
        </w:rPr>
      </w:pPr>
      <w:r>
        <w:rPr>
          <w:rFonts w:hint="eastAsia" w:ascii="楷体_GB2312" w:eastAsia="楷体_GB2312" w:cs="楷体_GB2312"/>
          <w:kern w:val="0"/>
          <w:sz w:val="32"/>
          <w:szCs w:val="32"/>
        </w:rPr>
        <w:t>（二）项目效益情况。</w:t>
      </w:r>
    </w:p>
    <w:p w14:paraId="6A45193E">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仿宋_GB2312" w:eastAsia="仿宋_GB2312" w:cs="仿宋_GB2312"/>
          <w:kern w:val="0"/>
          <w:sz w:val="32"/>
          <w:szCs w:val="32"/>
        </w:rPr>
      </w:pPr>
      <w:r>
        <w:rPr>
          <w:rFonts w:hint="eastAsia" w:ascii="仿宋_GB2312" w:eastAsia="仿宋_GB2312" w:cs="仿宋_GB2312"/>
          <w:kern w:val="0"/>
          <w:sz w:val="32"/>
          <w:szCs w:val="32"/>
          <w:lang w:val="en-US" w:eastAsia="zh-CN"/>
        </w:rPr>
        <w:t>项目的实施，对农村基础设施维护，特别是道路维护、沟渠修复等项目，解决了村民日常出行及农业灌溉用水的问题。</w:t>
      </w:r>
    </w:p>
    <w:p w14:paraId="36EED98A">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黑体" w:eastAsia="黑体" w:cs="仿宋_GB2312"/>
          <w:kern w:val="0"/>
          <w:sz w:val="32"/>
          <w:szCs w:val="32"/>
        </w:rPr>
      </w:pPr>
      <w:r>
        <w:rPr>
          <w:rFonts w:hint="eastAsia" w:ascii="黑体" w:eastAsia="黑体" w:cs="仿宋_GB2312"/>
          <w:kern w:val="0"/>
          <w:sz w:val="32"/>
          <w:szCs w:val="32"/>
        </w:rPr>
        <w:t>五、评价结论及建议</w:t>
      </w:r>
    </w:p>
    <w:p w14:paraId="6824656C">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楷体_GB2312" w:eastAsia="楷体_GB2312" w:cs="楷体_GB2312"/>
          <w:kern w:val="0"/>
          <w:sz w:val="32"/>
          <w:szCs w:val="32"/>
        </w:rPr>
      </w:pPr>
      <w:r>
        <w:rPr>
          <w:rFonts w:hint="eastAsia" w:ascii="楷体_GB2312" w:eastAsia="楷体_GB2312" w:cs="楷体_GB2312"/>
          <w:kern w:val="0"/>
          <w:sz w:val="32"/>
          <w:szCs w:val="32"/>
        </w:rPr>
        <w:t>（一）评价结论。</w:t>
      </w:r>
    </w:p>
    <w:p w14:paraId="47273EB9">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仿宋_GB2312" w:eastAsia="仿宋_GB2312" w:cs="仿宋_GB2312"/>
          <w:kern w:val="0"/>
          <w:sz w:val="32"/>
          <w:szCs w:val="32"/>
        </w:rPr>
      </w:pPr>
      <w:r>
        <w:rPr>
          <w:rFonts w:hint="eastAsia" w:ascii="仿宋_GB2312" w:eastAsia="仿宋_GB2312" w:cs="仿宋_GB2312"/>
          <w:kern w:val="0"/>
          <w:sz w:val="32"/>
          <w:szCs w:val="32"/>
          <w:lang w:val="en-US" w:eastAsia="zh-CN"/>
        </w:rPr>
        <w:t>农村公共服务运行维护机制建设项目总体评价良好，能在一定程度上解决村内实际问题</w:t>
      </w:r>
      <w:r>
        <w:rPr>
          <w:rFonts w:hint="eastAsia" w:ascii="仿宋_GB2312" w:eastAsia="仿宋_GB2312" w:cs="仿宋_GB2312"/>
          <w:kern w:val="0"/>
          <w:sz w:val="32"/>
          <w:szCs w:val="32"/>
        </w:rPr>
        <w:t>。</w:t>
      </w:r>
    </w:p>
    <w:p w14:paraId="62A9DAF7">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楷体_GB2312" w:eastAsia="楷体_GB2312" w:cs="楷体_GB2312"/>
          <w:kern w:val="0"/>
          <w:sz w:val="32"/>
          <w:szCs w:val="32"/>
        </w:rPr>
      </w:pPr>
      <w:r>
        <w:rPr>
          <w:rFonts w:hint="eastAsia" w:ascii="楷体_GB2312" w:eastAsia="楷体_GB2312" w:cs="楷体_GB2312"/>
          <w:kern w:val="0"/>
          <w:sz w:val="32"/>
          <w:szCs w:val="32"/>
        </w:rPr>
        <w:t>（二）存在的问题。</w:t>
      </w:r>
    </w:p>
    <w:p w14:paraId="78A78E4D">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仿宋_GB2312" w:eastAsia="仿宋_GB2312" w:cs="仿宋_GB2312"/>
          <w:kern w:val="0"/>
          <w:sz w:val="32"/>
          <w:szCs w:val="32"/>
        </w:rPr>
      </w:pPr>
      <w:r>
        <w:rPr>
          <w:rFonts w:hint="eastAsia" w:ascii="仿宋_GB2312" w:eastAsia="仿宋_GB2312" w:cs="仿宋_GB2312"/>
          <w:kern w:val="0"/>
          <w:sz w:val="32"/>
          <w:szCs w:val="32"/>
          <w:lang w:val="en-US" w:eastAsia="zh-CN"/>
        </w:rPr>
        <w:t>在农村公共服务运行维护机制建设项目实施过程中，存在人力、财力投入力度还不够，各村对农村公共服务运行维护机制建设操作流程还不够熟悉</w:t>
      </w:r>
      <w:r>
        <w:rPr>
          <w:rFonts w:hint="eastAsia" w:ascii="仿宋_GB2312" w:eastAsia="仿宋_GB2312" w:cs="仿宋_GB2312"/>
          <w:kern w:val="0"/>
          <w:sz w:val="32"/>
          <w:szCs w:val="32"/>
        </w:rPr>
        <w:t>。</w:t>
      </w:r>
    </w:p>
    <w:p w14:paraId="2C69623D">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ascii="楷体_GB2312" w:eastAsia="楷体_GB2312" w:cs="楷体_GB2312"/>
          <w:kern w:val="0"/>
          <w:sz w:val="32"/>
          <w:szCs w:val="32"/>
        </w:rPr>
      </w:pPr>
      <w:r>
        <w:rPr>
          <w:rFonts w:hint="eastAsia" w:ascii="楷体_GB2312" w:eastAsia="楷体_GB2312" w:cs="楷体_GB2312"/>
          <w:kern w:val="0"/>
          <w:sz w:val="32"/>
          <w:szCs w:val="32"/>
        </w:rPr>
        <w:t>（三）相关建议。</w:t>
      </w:r>
    </w:p>
    <w:p w14:paraId="20C356E6">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建议县综改办每年组织1次乡、村干部业务培训及相关法律政策的学习</w:t>
      </w:r>
      <w:r>
        <w:rPr>
          <w:rFonts w:hint="eastAsia" w:ascii="仿宋_GB2312" w:eastAsia="仿宋_GB2312" w:cs="仿宋_GB2312"/>
          <w:kern w:val="0"/>
          <w:sz w:val="32"/>
          <w:szCs w:val="32"/>
        </w:rPr>
        <w:t>。</w:t>
      </w:r>
    </w:p>
    <w:p w14:paraId="434CB682">
      <w:pPr>
        <w:keepNext w:val="0"/>
        <w:keepLines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left"/>
        <w:outlineLvl w:val="9"/>
        <w:rPr>
          <w:rFonts w:hint="eastAsia" w:ascii="仿宋_GB2312" w:eastAsia="仿宋_GB2312" w:cs="仿宋_GB2312"/>
          <w:kern w:val="0"/>
          <w:sz w:val="32"/>
          <w:szCs w:val="32"/>
        </w:rPr>
      </w:pPr>
    </w:p>
    <w:p w14:paraId="2781656C">
      <w:pPr>
        <w:spacing w:line="600" w:lineRule="exact"/>
        <w:jc w:val="center"/>
        <w:rPr>
          <w:rFonts w:hint="eastAsia" w:ascii="方正小标宋简体" w:hAnsi="宋体" w:eastAsia="方正小标宋简体"/>
          <w:color w:val="000000"/>
          <w:kern w:val="0"/>
          <w:sz w:val="44"/>
          <w:szCs w:val="44"/>
        </w:rPr>
      </w:pPr>
    </w:p>
    <w:p w14:paraId="7C99B22B">
      <w:pPr>
        <w:spacing w:line="600" w:lineRule="exact"/>
        <w:rPr>
          <w:rFonts w:ascii="宋体" w:hAnsi="宋体"/>
          <w:sz w:val="32"/>
          <w:szCs w:val="32"/>
          <w:lang w:val="zh-CN"/>
        </w:rPr>
      </w:pPr>
    </w:p>
    <w:p w14:paraId="7983FB94">
      <w:pPr>
        <w:spacing w:line="600" w:lineRule="exact"/>
        <w:jc w:val="center"/>
        <w:outlineLvl w:val="0"/>
        <w:rPr>
          <w:rStyle w:val="26"/>
          <w:rFonts w:ascii="黑体" w:hAnsi="黑体" w:eastAsia="黑体"/>
          <w:b w:val="0"/>
        </w:rPr>
      </w:pPr>
    </w:p>
    <w:p w14:paraId="681922D5">
      <w:pPr>
        <w:spacing w:line="600" w:lineRule="exact"/>
        <w:jc w:val="center"/>
        <w:outlineLvl w:val="0"/>
        <w:rPr>
          <w:rFonts w:hint="eastAsia" w:ascii="黑体" w:hAnsi="黑体" w:eastAsia="黑体"/>
          <w:color w:val="000000"/>
          <w:sz w:val="44"/>
          <w:szCs w:val="44"/>
        </w:rPr>
      </w:pPr>
      <w:bookmarkStart w:id="60" w:name="_Toc15396618"/>
    </w:p>
    <w:p w14:paraId="57608919">
      <w:pPr>
        <w:spacing w:line="600" w:lineRule="exact"/>
        <w:jc w:val="center"/>
        <w:outlineLvl w:val="0"/>
        <w:rPr>
          <w:rFonts w:hint="eastAsia" w:ascii="黑体" w:hAnsi="黑体" w:eastAsia="黑体"/>
          <w:color w:val="000000"/>
          <w:sz w:val="44"/>
          <w:szCs w:val="44"/>
        </w:rPr>
      </w:pPr>
    </w:p>
    <w:p w14:paraId="68FC16E8">
      <w:pPr>
        <w:spacing w:line="600" w:lineRule="exact"/>
        <w:jc w:val="center"/>
        <w:outlineLvl w:val="0"/>
        <w:rPr>
          <w:rFonts w:hint="eastAsia" w:ascii="黑体" w:hAnsi="黑体" w:eastAsia="黑体"/>
          <w:color w:val="000000"/>
          <w:sz w:val="44"/>
          <w:szCs w:val="44"/>
        </w:rPr>
      </w:pPr>
    </w:p>
    <w:p w14:paraId="25C1234F">
      <w:pPr>
        <w:spacing w:line="600" w:lineRule="exact"/>
        <w:jc w:val="center"/>
        <w:outlineLvl w:val="0"/>
        <w:rPr>
          <w:rFonts w:hint="eastAsia" w:ascii="黑体" w:hAnsi="黑体" w:eastAsia="黑体"/>
          <w:color w:val="000000"/>
          <w:sz w:val="44"/>
          <w:szCs w:val="44"/>
        </w:rPr>
      </w:pPr>
    </w:p>
    <w:p w14:paraId="0921BF3D">
      <w:pPr>
        <w:spacing w:line="600" w:lineRule="exact"/>
        <w:jc w:val="center"/>
        <w:outlineLvl w:val="0"/>
        <w:rPr>
          <w:rFonts w:hint="eastAsia" w:ascii="黑体" w:hAnsi="黑体" w:eastAsia="黑体"/>
          <w:color w:val="000000"/>
          <w:sz w:val="44"/>
          <w:szCs w:val="44"/>
        </w:rPr>
      </w:pPr>
    </w:p>
    <w:p w14:paraId="336FF655">
      <w:pPr>
        <w:spacing w:line="600" w:lineRule="exact"/>
        <w:jc w:val="center"/>
        <w:outlineLvl w:val="0"/>
        <w:rPr>
          <w:rFonts w:hint="eastAsia" w:ascii="黑体" w:hAnsi="黑体" w:eastAsia="黑体"/>
          <w:color w:val="000000"/>
          <w:sz w:val="44"/>
          <w:szCs w:val="44"/>
        </w:rPr>
      </w:pPr>
    </w:p>
    <w:p w14:paraId="7A6858D1">
      <w:pPr>
        <w:spacing w:line="600" w:lineRule="exact"/>
        <w:jc w:val="center"/>
        <w:outlineLvl w:val="0"/>
        <w:rPr>
          <w:rFonts w:hint="eastAsia" w:ascii="黑体" w:hAnsi="黑体" w:eastAsia="黑体"/>
          <w:color w:val="000000"/>
          <w:sz w:val="44"/>
          <w:szCs w:val="44"/>
        </w:rPr>
      </w:pPr>
    </w:p>
    <w:p w14:paraId="30DA1547">
      <w:pPr>
        <w:spacing w:line="600" w:lineRule="exact"/>
        <w:jc w:val="center"/>
        <w:outlineLvl w:val="0"/>
        <w:rPr>
          <w:rFonts w:hint="eastAsia" w:ascii="黑体" w:hAnsi="黑体" w:eastAsia="黑体"/>
          <w:color w:val="000000"/>
          <w:sz w:val="44"/>
          <w:szCs w:val="44"/>
        </w:rPr>
      </w:pPr>
    </w:p>
    <w:p w14:paraId="761A8BFC">
      <w:pPr>
        <w:spacing w:line="600" w:lineRule="exact"/>
        <w:jc w:val="center"/>
        <w:outlineLvl w:val="0"/>
        <w:rPr>
          <w:rFonts w:hint="eastAsia" w:ascii="黑体" w:hAnsi="黑体" w:eastAsia="黑体"/>
          <w:color w:val="000000"/>
          <w:sz w:val="44"/>
          <w:szCs w:val="44"/>
        </w:rPr>
      </w:pPr>
    </w:p>
    <w:p w14:paraId="78FE63CD">
      <w:pPr>
        <w:spacing w:line="600" w:lineRule="exact"/>
        <w:jc w:val="center"/>
        <w:outlineLvl w:val="0"/>
        <w:rPr>
          <w:rFonts w:hint="eastAsia" w:ascii="黑体" w:hAnsi="黑体" w:eastAsia="黑体"/>
          <w:color w:val="000000"/>
          <w:sz w:val="44"/>
          <w:szCs w:val="44"/>
        </w:rPr>
      </w:pPr>
    </w:p>
    <w:bookmarkEnd w:id="58"/>
    <w:bookmarkEnd w:id="60"/>
    <w:p w14:paraId="6721B470">
      <w:pPr>
        <w:spacing w:line="600" w:lineRule="exact"/>
        <w:ind w:firstLine="2640" w:firstLineChars="600"/>
        <w:jc w:val="both"/>
        <w:outlineLvl w:val="0"/>
        <w:rPr>
          <w:rFonts w:hint="eastAsia" w:ascii="黑体" w:hAnsi="黑体" w:eastAsia="黑体"/>
          <w:color w:val="000000"/>
          <w:sz w:val="44"/>
          <w:szCs w:val="44"/>
        </w:rPr>
      </w:pPr>
      <w:bookmarkStart w:id="61" w:name="_Toc25664"/>
      <w:bookmarkStart w:id="62" w:name="_Toc15396619"/>
    </w:p>
    <w:p w14:paraId="0F5F9D54">
      <w:pPr>
        <w:spacing w:line="600" w:lineRule="exact"/>
        <w:ind w:firstLine="2640" w:firstLineChars="600"/>
        <w:jc w:val="both"/>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61"/>
    </w:p>
    <w:p w14:paraId="1744C0BE">
      <w:pPr>
        <w:pStyle w:val="4"/>
        <w:rPr>
          <w:rFonts w:hint="eastAsia" w:ascii="仿宋" w:hAnsi="仿宋" w:eastAsia="仿宋"/>
          <w:b w:val="0"/>
          <w:color w:val="000000"/>
        </w:rPr>
      </w:pPr>
      <w:r>
        <w:rPr>
          <w:rFonts w:hint="eastAsia" w:ascii="仿宋" w:hAnsi="仿宋" w:eastAsia="仿宋"/>
          <w:b w:val="0"/>
          <w:color w:val="000000"/>
        </w:rPr>
        <w:t>一、收入支出决算总表</w:t>
      </w:r>
      <w:bookmarkEnd w:id="62"/>
    </w:p>
    <w:p w14:paraId="76100365">
      <w:pPr>
        <w:pStyle w:val="4"/>
        <w:rPr>
          <w:rFonts w:ascii="仿宋" w:hAnsi="仿宋" w:eastAsia="仿宋"/>
          <w:color w:val="000000"/>
        </w:rPr>
      </w:pPr>
      <w:bookmarkStart w:id="63"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63"/>
    </w:p>
    <w:p w14:paraId="1D675EC1">
      <w:pPr>
        <w:pStyle w:val="4"/>
        <w:rPr>
          <w:rFonts w:ascii="仿宋" w:hAnsi="仿宋" w:eastAsia="仿宋"/>
          <w:color w:val="000000"/>
        </w:rPr>
      </w:pPr>
      <w:bookmarkStart w:id="64"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64"/>
    </w:p>
    <w:p w14:paraId="02CB9D44">
      <w:pPr>
        <w:pStyle w:val="4"/>
        <w:rPr>
          <w:rFonts w:ascii="仿宋" w:hAnsi="仿宋" w:eastAsia="仿宋"/>
          <w:b w:val="0"/>
          <w:color w:val="000000"/>
        </w:rPr>
      </w:pPr>
      <w:bookmarkStart w:id="65"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5"/>
    </w:p>
    <w:p w14:paraId="7F1086F4">
      <w:pPr>
        <w:pStyle w:val="4"/>
        <w:rPr>
          <w:rStyle w:val="27"/>
          <w:rFonts w:ascii="仿宋" w:hAnsi="仿宋" w:eastAsia="仿宋"/>
          <w:b w:val="0"/>
          <w:bCs w:val="0"/>
        </w:rPr>
      </w:pPr>
      <w:bookmarkStart w:id="66"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6"/>
      <w:bookmarkStart w:id="67" w:name="_Toc15396624"/>
    </w:p>
    <w:p w14:paraId="27C838BC">
      <w:pPr>
        <w:pStyle w:val="4"/>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7"/>
    </w:p>
    <w:p w14:paraId="47AB70DA">
      <w:pPr>
        <w:pStyle w:val="4"/>
        <w:rPr>
          <w:rFonts w:ascii="仿宋" w:hAnsi="仿宋" w:eastAsia="仿宋"/>
          <w:color w:val="000000"/>
        </w:rPr>
      </w:pPr>
      <w:bookmarkStart w:id="68"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8"/>
    </w:p>
    <w:p w14:paraId="4626F34E">
      <w:pPr>
        <w:pStyle w:val="4"/>
        <w:rPr>
          <w:rFonts w:ascii="仿宋" w:hAnsi="仿宋" w:eastAsia="仿宋"/>
          <w:color w:val="000000"/>
        </w:rPr>
      </w:pPr>
      <w:bookmarkStart w:id="69"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9"/>
    </w:p>
    <w:p w14:paraId="6B1917E2">
      <w:pPr>
        <w:pStyle w:val="4"/>
        <w:rPr>
          <w:rFonts w:ascii="仿宋" w:hAnsi="仿宋" w:eastAsia="仿宋"/>
          <w:color w:val="000000"/>
        </w:rPr>
      </w:pPr>
      <w:bookmarkStart w:id="70"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70"/>
    </w:p>
    <w:p w14:paraId="401480BA">
      <w:pPr>
        <w:pStyle w:val="4"/>
        <w:rPr>
          <w:rFonts w:ascii="仿宋" w:hAnsi="仿宋" w:eastAsia="仿宋"/>
          <w:color w:val="000000"/>
        </w:rPr>
      </w:pPr>
      <w:bookmarkStart w:id="71"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71"/>
    </w:p>
    <w:p w14:paraId="4E27B381">
      <w:pPr>
        <w:pStyle w:val="4"/>
        <w:rPr>
          <w:rFonts w:ascii="仿宋" w:hAnsi="仿宋" w:eastAsia="仿宋"/>
          <w:color w:val="000000"/>
        </w:rPr>
      </w:pPr>
      <w:bookmarkStart w:id="72"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2"/>
    </w:p>
    <w:p w14:paraId="6BA26C01">
      <w:pPr>
        <w:pStyle w:val="4"/>
        <w:rPr>
          <w:rFonts w:ascii="仿宋" w:hAnsi="仿宋" w:eastAsia="仿宋"/>
          <w:color w:val="000000"/>
        </w:rPr>
      </w:pPr>
      <w:bookmarkStart w:id="73"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3"/>
    </w:p>
    <w:p w14:paraId="6EAA1E2C">
      <w:pPr>
        <w:pStyle w:val="4"/>
        <w:rPr>
          <w:rStyle w:val="27"/>
          <w:rFonts w:hint="eastAsia" w:ascii="仿宋" w:hAnsi="仿宋" w:eastAsia="仿宋"/>
          <w:b w:val="0"/>
          <w:bCs w:val="0"/>
        </w:rPr>
      </w:pPr>
      <w:bookmarkStart w:id="74"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4"/>
    </w:p>
    <w:p w14:paraId="75FF7A2A">
      <w:pPr>
        <w:pStyle w:val="4"/>
        <w:rPr>
          <w:rStyle w:val="27"/>
          <w:rFonts w:hint="default" w:ascii="仿宋" w:hAnsi="仿宋" w:eastAsia="仿宋"/>
          <w:b w:val="0"/>
          <w:bCs w:val="0"/>
          <w:lang w:val="en-US" w:eastAsia="zh-CN"/>
        </w:rPr>
      </w:pPr>
      <w:bookmarkStart w:id="75" w:name="_Toc10550"/>
      <w:r>
        <w:rPr>
          <w:rStyle w:val="27"/>
          <w:rFonts w:hint="eastAsia" w:ascii="仿宋" w:hAnsi="仿宋" w:eastAsia="仿宋"/>
          <w:b w:val="0"/>
          <w:bCs w:val="0"/>
          <w:lang w:val="en-US" w:eastAsia="zh-CN"/>
        </w:rPr>
        <w:t>十四、机关运行经费、资产占用情况及政府采购支出信息表</w:t>
      </w:r>
      <w:bookmarkEnd w:id="75"/>
    </w:p>
    <w:p w14:paraId="04280A6B"/>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265B552">
        <w:pPr>
          <w:pStyle w:val="10"/>
          <w:jc w:val="center"/>
        </w:pPr>
        <w:r>
          <w:fldChar w:fldCharType="begin"/>
        </w:r>
        <w:r>
          <w:instrText xml:space="preserve">PAGE   \* MERGEFORMAT</w:instrText>
        </w:r>
        <w:r>
          <w:fldChar w:fldCharType="separate"/>
        </w:r>
        <w:r>
          <w:rPr>
            <w:lang w:val="zh-CN"/>
          </w:rPr>
          <w:t>24</w:t>
        </w:r>
        <w:r>
          <w:fldChar w:fldCharType="end"/>
        </w:r>
      </w:p>
    </w:sdtContent>
  </w:sdt>
  <w:p w14:paraId="0E6E9B6C">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D55B1">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04BC0A34"/>
    <w:multiLevelType w:val="singleLevel"/>
    <w:tmpl w:val="04BC0A34"/>
    <w:lvl w:ilvl="0" w:tentative="0">
      <w:start w:val="1"/>
      <w:numFmt w:val="decimal"/>
      <w:lvlText w:val="%1."/>
      <w:lvlJc w:val="left"/>
      <w:pPr>
        <w:tabs>
          <w:tab w:val="left" w:pos="312"/>
        </w:tabs>
      </w:p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419F808B"/>
    <w:multiLevelType w:val="singleLevel"/>
    <w:tmpl w:val="419F808B"/>
    <w:lvl w:ilvl="0" w:tentative="0">
      <w:start w:val="1"/>
      <w:numFmt w:val="decimal"/>
      <w:lvlText w:val="%1."/>
      <w:lvlJc w:val="left"/>
      <w:pPr>
        <w:tabs>
          <w:tab w:val="left" w:pos="312"/>
        </w:tabs>
      </w:pPr>
    </w:lvl>
  </w:abstractNum>
  <w:abstractNum w:abstractNumId="5">
    <w:nsid w:val="63122C94"/>
    <w:multiLevelType w:val="singleLevel"/>
    <w:tmpl w:val="63122C94"/>
    <w:lvl w:ilvl="0" w:tentative="0">
      <w:start w:val="2"/>
      <w:numFmt w:val="chineseCounting"/>
      <w:suff w:val="nothing"/>
      <w:lvlText w:val="（%1）"/>
      <w:lvlJc w:val="left"/>
      <w:rPr>
        <w:rFonts w:hint="eastAsia"/>
      </w:rPr>
    </w:lvl>
  </w:abstractNum>
  <w:abstractNum w:abstractNumId="6">
    <w:nsid w:val="748B3294"/>
    <w:multiLevelType w:val="singleLevel"/>
    <w:tmpl w:val="748B3294"/>
    <w:lvl w:ilvl="0" w:tentative="0">
      <w:start w:val="2"/>
      <w:numFmt w:val="decimal"/>
      <w:suff w:val="nothing"/>
      <w:lvlText w:val="%1．"/>
      <w:lvlJc w:val="left"/>
    </w:lvl>
  </w:abstractNum>
  <w:num w:numId="1">
    <w:abstractNumId w:val="3"/>
  </w:num>
  <w:num w:numId="2">
    <w:abstractNumId w:val="4"/>
  </w:num>
  <w:num w:numId="3">
    <w:abstractNumId w:val="0"/>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3ED3"/>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5A79"/>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915C7"/>
    <w:rsid w:val="01452F9B"/>
    <w:rsid w:val="01C47DAA"/>
    <w:rsid w:val="02BE4D38"/>
    <w:rsid w:val="02C02159"/>
    <w:rsid w:val="03274E57"/>
    <w:rsid w:val="035333EC"/>
    <w:rsid w:val="042F2F40"/>
    <w:rsid w:val="04331693"/>
    <w:rsid w:val="048E1F2C"/>
    <w:rsid w:val="04FD1B72"/>
    <w:rsid w:val="05656B6C"/>
    <w:rsid w:val="05B60A06"/>
    <w:rsid w:val="05BF462B"/>
    <w:rsid w:val="05D67F30"/>
    <w:rsid w:val="07A27B52"/>
    <w:rsid w:val="07B4222B"/>
    <w:rsid w:val="07B7630D"/>
    <w:rsid w:val="07BA0F24"/>
    <w:rsid w:val="084662D5"/>
    <w:rsid w:val="09267FE0"/>
    <w:rsid w:val="099B38CB"/>
    <w:rsid w:val="0A89170F"/>
    <w:rsid w:val="0B0C5422"/>
    <w:rsid w:val="0B8B731C"/>
    <w:rsid w:val="0D391C11"/>
    <w:rsid w:val="0D5A3962"/>
    <w:rsid w:val="0EDF2A1E"/>
    <w:rsid w:val="0F357B1B"/>
    <w:rsid w:val="0F4528AC"/>
    <w:rsid w:val="0FF3347D"/>
    <w:rsid w:val="10271144"/>
    <w:rsid w:val="10464D52"/>
    <w:rsid w:val="10632999"/>
    <w:rsid w:val="107828CF"/>
    <w:rsid w:val="107C3BA2"/>
    <w:rsid w:val="10A27155"/>
    <w:rsid w:val="10BB2A40"/>
    <w:rsid w:val="10C055FF"/>
    <w:rsid w:val="11607A37"/>
    <w:rsid w:val="11DD2601"/>
    <w:rsid w:val="11DE5986"/>
    <w:rsid w:val="12033F11"/>
    <w:rsid w:val="12A65D59"/>
    <w:rsid w:val="12E57673"/>
    <w:rsid w:val="13E812A6"/>
    <w:rsid w:val="14512FA5"/>
    <w:rsid w:val="14C71424"/>
    <w:rsid w:val="166450DB"/>
    <w:rsid w:val="16BB723D"/>
    <w:rsid w:val="1838407B"/>
    <w:rsid w:val="184010DB"/>
    <w:rsid w:val="185B5D32"/>
    <w:rsid w:val="187867CE"/>
    <w:rsid w:val="18CB0407"/>
    <w:rsid w:val="1928265F"/>
    <w:rsid w:val="1936352E"/>
    <w:rsid w:val="19897DF9"/>
    <w:rsid w:val="198B4E17"/>
    <w:rsid w:val="19CC7FE3"/>
    <w:rsid w:val="1AA24021"/>
    <w:rsid w:val="1ABD372E"/>
    <w:rsid w:val="1AFF38D9"/>
    <w:rsid w:val="1B751A5F"/>
    <w:rsid w:val="1BC14C1D"/>
    <w:rsid w:val="1BC47D0E"/>
    <w:rsid w:val="1BE6206D"/>
    <w:rsid w:val="1C363153"/>
    <w:rsid w:val="1C456D7E"/>
    <w:rsid w:val="1C4E7903"/>
    <w:rsid w:val="1D1F7CA8"/>
    <w:rsid w:val="1D2B1620"/>
    <w:rsid w:val="1D981710"/>
    <w:rsid w:val="1DC0736D"/>
    <w:rsid w:val="1EF8372E"/>
    <w:rsid w:val="1F375E42"/>
    <w:rsid w:val="1F552DC3"/>
    <w:rsid w:val="1F740F4B"/>
    <w:rsid w:val="20017F6C"/>
    <w:rsid w:val="20570E0E"/>
    <w:rsid w:val="20701264"/>
    <w:rsid w:val="20760EAE"/>
    <w:rsid w:val="208A65FE"/>
    <w:rsid w:val="20D81C7C"/>
    <w:rsid w:val="21BE2332"/>
    <w:rsid w:val="21EA7E16"/>
    <w:rsid w:val="22A379FD"/>
    <w:rsid w:val="23A56825"/>
    <w:rsid w:val="23DE1D52"/>
    <w:rsid w:val="240371BF"/>
    <w:rsid w:val="247277B3"/>
    <w:rsid w:val="247D72BD"/>
    <w:rsid w:val="24EC3DAA"/>
    <w:rsid w:val="25D866D4"/>
    <w:rsid w:val="26530255"/>
    <w:rsid w:val="26540755"/>
    <w:rsid w:val="26DB7013"/>
    <w:rsid w:val="26E951A0"/>
    <w:rsid w:val="26EF0D21"/>
    <w:rsid w:val="26FF1A52"/>
    <w:rsid w:val="27530512"/>
    <w:rsid w:val="28F9254A"/>
    <w:rsid w:val="29723DDC"/>
    <w:rsid w:val="29C84879"/>
    <w:rsid w:val="29FD04D3"/>
    <w:rsid w:val="2A4A6677"/>
    <w:rsid w:val="2B834C71"/>
    <w:rsid w:val="2BA21C99"/>
    <w:rsid w:val="2BCA4C38"/>
    <w:rsid w:val="2BE325C3"/>
    <w:rsid w:val="2E033515"/>
    <w:rsid w:val="2E0440E6"/>
    <w:rsid w:val="2E145188"/>
    <w:rsid w:val="2E347AD8"/>
    <w:rsid w:val="2E5C51FA"/>
    <w:rsid w:val="2ECC4B2C"/>
    <w:rsid w:val="2ECC5A26"/>
    <w:rsid w:val="2F2F5AC2"/>
    <w:rsid w:val="2FBB676D"/>
    <w:rsid w:val="30711EE9"/>
    <w:rsid w:val="30BA2A08"/>
    <w:rsid w:val="319F7F4E"/>
    <w:rsid w:val="31C21198"/>
    <w:rsid w:val="32270617"/>
    <w:rsid w:val="336B1BB6"/>
    <w:rsid w:val="33DF1E87"/>
    <w:rsid w:val="341F4087"/>
    <w:rsid w:val="34447BE7"/>
    <w:rsid w:val="348365FA"/>
    <w:rsid w:val="353B588E"/>
    <w:rsid w:val="358E6366"/>
    <w:rsid w:val="35D91F39"/>
    <w:rsid w:val="35EA3ACF"/>
    <w:rsid w:val="373B1394"/>
    <w:rsid w:val="380F4AB7"/>
    <w:rsid w:val="381B502E"/>
    <w:rsid w:val="383A3369"/>
    <w:rsid w:val="38560672"/>
    <w:rsid w:val="386E1B20"/>
    <w:rsid w:val="3974792C"/>
    <w:rsid w:val="397A0A24"/>
    <w:rsid w:val="39A879B9"/>
    <w:rsid w:val="39B5531F"/>
    <w:rsid w:val="39BA6F05"/>
    <w:rsid w:val="3A9811E4"/>
    <w:rsid w:val="3B3E1F1B"/>
    <w:rsid w:val="3B7B2D4C"/>
    <w:rsid w:val="3BB23479"/>
    <w:rsid w:val="3BED5431"/>
    <w:rsid w:val="3C0774A9"/>
    <w:rsid w:val="3C4935E9"/>
    <w:rsid w:val="3D0C0457"/>
    <w:rsid w:val="3DF30442"/>
    <w:rsid w:val="3E7872C4"/>
    <w:rsid w:val="3E983948"/>
    <w:rsid w:val="3F4E1CB3"/>
    <w:rsid w:val="3FCA6C4D"/>
    <w:rsid w:val="400D47DB"/>
    <w:rsid w:val="401621A9"/>
    <w:rsid w:val="40344DC3"/>
    <w:rsid w:val="403E446A"/>
    <w:rsid w:val="410D2CEC"/>
    <w:rsid w:val="41183704"/>
    <w:rsid w:val="416837C1"/>
    <w:rsid w:val="423A4851"/>
    <w:rsid w:val="42501F5F"/>
    <w:rsid w:val="43022CF7"/>
    <w:rsid w:val="43BC0212"/>
    <w:rsid w:val="45884C10"/>
    <w:rsid w:val="45C40B2F"/>
    <w:rsid w:val="46D82E26"/>
    <w:rsid w:val="46DD0239"/>
    <w:rsid w:val="46F02682"/>
    <w:rsid w:val="483E4376"/>
    <w:rsid w:val="485B5ED7"/>
    <w:rsid w:val="485F6C38"/>
    <w:rsid w:val="48804326"/>
    <w:rsid w:val="488C2A61"/>
    <w:rsid w:val="48EC787D"/>
    <w:rsid w:val="49054BB4"/>
    <w:rsid w:val="4A7358E2"/>
    <w:rsid w:val="4A9715E2"/>
    <w:rsid w:val="4AA76FF6"/>
    <w:rsid w:val="4B0A74CB"/>
    <w:rsid w:val="4B123C42"/>
    <w:rsid w:val="4B1A0D43"/>
    <w:rsid w:val="4B317EC3"/>
    <w:rsid w:val="4BA05CB3"/>
    <w:rsid w:val="4BC730EC"/>
    <w:rsid w:val="4C43791E"/>
    <w:rsid w:val="4C45161A"/>
    <w:rsid w:val="4C553BC0"/>
    <w:rsid w:val="4CC14ABC"/>
    <w:rsid w:val="4D62745B"/>
    <w:rsid w:val="4DA15B27"/>
    <w:rsid w:val="4E6957D7"/>
    <w:rsid w:val="4ECE2238"/>
    <w:rsid w:val="4FEB02BC"/>
    <w:rsid w:val="500B4622"/>
    <w:rsid w:val="50275D3F"/>
    <w:rsid w:val="505A751C"/>
    <w:rsid w:val="509F6D75"/>
    <w:rsid w:val="50E05732"/>
    <w:rsid w:val="50F147D9"/>
    <w:rsid w:val="51A93D23"/>
    <w:rsid w:val="52C80C4A"/>
    <w:rsid w:val="52F465B8"/>
    <w:rsid w:val="53965E1F"/>
    <w:rsid w:val="53CC3A27"/>
    <w:rsid w:val="5455300E"/>
    <w:rsid w:val="546225C1"/>
    <w:rsid w:val="54E50AD0"/>
    <w:rsid w:val="55CD1965"/>
    <w:rsid w:val="562A3DAD"/>
    <w:rsid w:val="564E5D7C"/>
    <w:rsid w:val="56B81ADC"/>
    <w:rsid w:val="57111EA2"/>
    <w:rsid w:val="57133351"/>
    <w:rsid w:val="57396A2F"/>
    <w:rsid w:val="57992815"/>
    <w:rsid w:val="57B82A04"/>
    <w:rsid w:val="58117322"/>
    <w:rsid w:val="582675FF"/>
    <w:rsid w:val="58340750"/>
    <w:rsid w:val="58B7572C"/>
    <w:rsid w:val="58DF5F73"/>
    <w:rsid w:val="58F609D8"/>
    <w:rsid w:val="590416CA"/>
    <w:rsid w:val="590717A2"/>
    <w:rsid w:val="59972D6B"/>
    <w:rsid w:val="599B32AB"/>
    <w:rsid w:val="599B5B51"/>
    <w:rsid w:val="59F070DE"/>
    <w:rsid w:val="5A4714BF"/>
    <w:rsid w:val="5A5510CB"/>
    <w:rsid w:val="5AA23522"/>
    <w:rsid w:val="5B4629EC"/>
    <w:rsid w:val="5B4F03DC"/>
    <w:rsid w:val="5C096A9D"/>
    <w:rsid w:val="5C4360EC"/>
    <w:rsid w:val="5C657871"/>
    <w:rsid w:val="5C75553F"/>
    <w:rsid w:val="5D201E17"/>
    <w:rsid w:val="5D311746"/>
    <w:rsid w:val="5D8E187A"/>
    <w:rsid w:val="5DC65C07"/>
    <w:rsid w:val="5DD87E36"/>
    <w:rsid w:val="5E261892"/>
    <w:rsid w:val="5FC20296"/>
    <w:rsid w:val="611D3CE9"/>
    <w:rsid w:val="620B0FBC"/>
    <w:rsid w:val="62774E5B"/>
    <w:rsid w:val="636B1CD6"/>
    <w:rsid w:val="64C959BB"/>
    <w:rsid w:val="64E95630"/>
    <w:rsid w:val="658750AD"/>
    <w:rsid w:val="66442400"/>
    <w:rsid w:val="673B1C6C"/>
    <w:rsid w:val="67747923"/>
    <w:rsid w:val="67C01202"/>
    <w:rsid w:val="67C43743"/>
    <w:rsid w:val="68033955"/>
    <w:rsid w:val="68065F5F"/>
    <w:rsid w:val="683229CB"/>
    <w:rsid w:val="684C62B6"/>
    <w:rsid w:val="689028A6"/>
    <w:rsid w:val="68AF4015"/>
    <w:rsid w:val="69F1638B"/>
    <w:rsid w:val="6A8D7ABD"/>
    <w:rsid w:val="6B286A04"/>
    <w:rsid w:val="6B3E00E3"/>
    <w:rsid w:val="6B742EC3"/>
    <w:rsid w:val="6CBD18C3"/>
    <w:rsid w:val="6D61171E"/>
    <w:rsid w:val="6E6A3800"/>
    <w:rsid w:val="6E83799F"/>
    <w:rsid w:val="6F1C62D5"/>
    <w:rsid w:val="6F2D5FCF"/>
    <w:rsid w:val="703A6C0A"/>
    <w:rsid w:val="706B3010"/>
    <w:rsid w:val="7088685C"/>
    <w:rsid w:val="71227451"/>
    <w:rsid w:val="7158272B"/>
    <w:rsid w:val="72734D90"/>
    <w:rsid w:val="72826580"/>
    <w:rsid w:val="72F26DE6"/>
    <w:rsid w:val="730A1EDC"/>
    <w:rsid w:val="732F0AB3"/>
    <w:rsid w:val="73F74D28"/>
    <w:rsid w:val="742F1949"/>
    <w:rsid w:val="746E63E5"/>
    <w:rsid w:val="748023B2"/>
    <w:rsid w:val="7486654C"/>
    <w:rsid w:val="74C0263B"/>
    <w:rsid w:val="74CE7E79"/>
    <w:rsid w:val="75614946"/>
    <w:rsid w:val="756941BC"/>
    <w:rsid w:val="76041A60"/>
    <w:rsid w:val="766A4540"/>
    <w:rsid w:val="76C373E6"/>
    <w:rsid w:val="76DC664E"/>
    <w:rsid w:val="773C74B4"/>
    <w:rsid w:val="77500003"/>
    <w:rsid w:val="778F0B82"/>
    <w:rsid w:val="77BD3658"/>
    <w:rsid w:val="781355CB"/>
    <w:rsid w:val="78715496"/>
    <w:rsid w:val="78D00AB2"/>
    <w:rsid w:val="795935C9"/>
    <w:rsid w:val="79CB6655"/>
    <w:rsid w:val="7A845181"/>
    <w:rsid w:val="7AB966FD"/>
    <w:rsid w:val="7AE0201C"/>
    <w:rsid w:val="7B1F6440"/>
    <w:rsid w:val="7B7A3947"/>
    <w:rsid w:val="7BBA716B"/>
    <w:rsid w:val="7BC06EA6"/>
    <w:rsid w:val="7C01639B"/>
    <w:rsid w:val="7C3A430B"/>
    <w:rsid w:val="7C674D42"/>
    <w:rsid w:val="7C973D82"/>
    <w:rsid w:val="7CE67055"/>
    <w:rsid w:val="7D592106"/>
    <w:rsid w:val="7D6B50E1"/>
    <w:rsid w:val="7F83130C"/>
    <w:rsid w:val="7FFB181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szCs w:val="20"/>
    </w:rPr>
  </w:style>
  <w:style w:type="paragraph" w:styleId="6">
    <w:name w:val="Normal Indent"/>
    <w:qFormat/>
    <w:uiPriority w:val="0"/>
    <w:pPr>
      <w:ind w:firstLine="420"/>
    </w:pPr>
    <w:rPr>
      <w:rFonts w:ascii="Calibri" w:hAnsi="Calibri" w:eastAsia="宋体" w:cs="Times New Roman"/>
      <w:sz w:val="21"/>
      <w:szCs w:val="22"/>
      <w:lang w:val="en-US" w:eastAsia="zh-CN" w:bidi="ar-SA"/>
    </w:rPr>
  </w:style>
  <w:style w:type="paragraph" w:styleId="7">
    <w:name w:val="Body Text"/>
    <w:basedOn w:val="1"/>
    <w:link w:val="23"/>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semiHidden/>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7"/>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3"/>
    <w:qFormat/>
    <w:uiPriority w:val="9"/>
    <w:rPr>
      <w:rFonts w:ascii="Times New Roman" w:hAnsi="Times New Roman"/>
      <w:b/>
      <w:bCs/>
      <w:kern w:val="44"/>
      <w:sz w:val="44"/>
      <w:szCs w:val="44"/>
    </w:rPr>
  </w:style>
  <w:style w:type="character" w:customStyle="1" w:styleId="27">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9"/>
    <w:semiHidden/>
    <w:qFormat/>
    <w:uiPriority w:val="99"/>
    <w:rPr>
      <w:rFonts w:ascii="Times New Roman" w:hAnsi="Times New Roman"/>
      <w:kern w:val="2"/>
      <w:sz w:val="18"/>
      <w:szCs w:val="18"/>
    </w:rPr>
  </w:style>
  <w:style w:type="character" w:customStyle="1" w:styleId="30">
    <w:name w:val="标题 3 Char"/>
    <w:basedOn w:val="15"/>
    <w:link w:val="5"/>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paragraph" w:customStyle="1" w:styleId="3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chart" Target="charts/chart6.xml"/><Relationship Id="rId12" Type="http://schemas.openxmlformats.org/officeDocument/2006/relationships/image" Target="media/image2.png"/><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2020&#24180;&#20570;&#30340;2019&#24180;&#20915;&#31639;&#20844;&#24320;\&#30011;&#2227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2020&#24180;&#20570;&#30340;2019&#24180;&#20915;&#31639;&#20844;&#24320;\&#30011;&#2227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2020&#24180;&#20570;&#30340;2019&#24180;&#20915;&#31639;&#20844;&#24320;\&#30011;&#2227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2020&#24180;&#20570;&#30340;2019&#24180;&#20915;&#31639;&#20844;&#24320;\&#30011;&#2227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HP\Desktop\2020&#24180;&#20570;&#30340;2019&#24180;&#20915;&#31639;&#20844;&#24320;\&#30011;&#22270;2%20-%20&#21103;&#2641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2020&#24180;&#20570;&#30340;2019&#24180;&#20915;&#31639;&#20844;&#24320;\&#30011;&#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766185476815"/>
          <c:y val="0.102739511407228"/>
          <c:w val="0.708832458442695"/>
          <c:h val="0.648490449110528"/>
        </c:manualLayout>
      </c:layout>
      <c:barChart>
        <c:barDir val="col"/>
        <c:grouping val="clustered"/>
        <c:varyColors val="0"/>
        <c:ser>
          <c:idx val="0"/>
          <c:order val="0"/>
          <c:tx>
            <c:strRef>
              <c:f>[画图.xlsx]Sheet1!$F$6</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[画图.xlsx]Sheet1!$G$5:$L$5</c:f>
              <c:strCache>
                <c:ptCount val="6"/>
                <c:pt idx="0">
                  <c:v>收入</c:v>
                </c:pt>
                <c:pt idx="1">
                  <c:v>支出</c:v>
                </c:pt>
                <c:pt idx="2">
                  <c:v>收入增加</c:v>
                </c:pt>
                <c:pt idx="3">
                  <c:v>支出增加</c:v>
                </c:pt>
                <c:pt idx="4">
                  <c:v>收入增长率</c:v>
                </c:pt>
                <c:pt idx="5">
                  <c:v>支出增长率</c:v>
                </c:pt>
              </c:strCache>
            </c:strRef>
          </c:cat>
          <c:val>
            <c:numRef>
              <c:f>[画图.xlsx]Sheet1!$G$6:$L$6</c:f>
              <c:numCache>
                <c:formatCode>General</c:formatCode>
                <c:ptCount val="6"/>
                <c:pt idx="0">
                  <c:v>4842.05</c:v>
                </c:pt>
                <c:pt idx="1">
                  <c:v>4931.25</c:v>
                </c:pt>
                <c:pt idx="2">
                  <c:v>3421.94</c:v>
                </c:pt>
                <c:pt idx="3">
                  <c:v>3818.63</c:v>
                </c:pt>
                <c:pt idx="4" c:formatCode="0.00%">
                  <c:v>2.40963023991099</c:v>
                </c:pt>
                <c:pt idx="5" c:formatCode="0.00%">
                  <c:v>3.4321061997807</c:v>
                </c:pt>
              </c:numCache>
            </c:numRef>
          </c:val>
        </c:ser>
        <c:ser>
          <c:idx val="1"/>
          <c:order val="1"/>
          <c:tx>
            <c:strRef>
              <c:f>[画图.xlsx]Sheet1!$F$7</c:f>
              <c:strCache>
                <c:ptCount val="1"/>
                <c:pt idx="0">
                  <c:v>2018年</c:v>
                </c:pt>
              </c:strCache>
            </c:strRef>
          </c:tx>
          <c:invertIfNegative val="0"/>
          <c:dLbls>
            <c:delete val="1"/>
          </c:dLbls>
          <c:cat>
            <c:strRef>
              <c:f>[画图.xlsx]Sheet1!$G$5:$L$5</c:f>
              <c:strCache>
                <c:ptCount val="6"/>
                <c:pt idx="0">
                  <c:v>收入</c:v>
                </c:pt>
                <c:pt idx="1">
                  <c:v>支出</c:v>
                </c:pt>
                <c:pt idx="2">
                  <c:v>收入增加</c:v>
                </c:pt>
                <c:pt idx="3">
                  <c:v>支出增加</c:v>
                </c:pt>
                <c:pt idx="4">
                  <c:v>收入增长率</c:v>
                </c:pt>
                <c:pt idx="5">
                  <c:v>支出增长率</c:v>
                </c:pt>
              </c:strCache>
            </c:strRef>
          </c:cat>
          <c:val>
            <c:numRef>
              <c:f>[画图.xlsx]Sheet1!$G$7:$L$7</c:f>
              <c:numCache>
                <c:formatCode>General</c:formatCode>
                <c:ptCount val="6"/>
                <c:pt idx="0">
                  <c:v>1420.11</c:v>
                </c:pt>
                <c:pt idx="1">
                  <c:v>1112.62</c:v>
                </c:pt>
              </c:numCache>
            </c:numRef>
          </c:val>
        </c:ser>
        <c:dLbls>
          <c:showLegendKey val="0"/>
          <c:showVal val="0"/>
          <c:showCatName val="0"/>
          <c:showSerName val="0"/>
          <c:showPercent val="0"/>
          <c:showBubbleSize val="0"/>
        </c:dLbls>
        <c:gapWidth val="150"/>
        <c:axId val="121034240"/>
        <c:axId val="121035776"/>
      </c:barChart>
      <c:catAx>
        <c:axId val="1210342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035776"/>
        <c:crosses val="autoZero"/>
        <c:auto val="1"/>
        <c:lblAlgn val="ctr"/>
        <c:lblOffset val="100"/>
        <c:noMultiLvlLbl val="0"/>
      </c:catAx>
      <c:valAx>
        <c:axId val="12103577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03424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3998bb8-39de-4d0c-8c83-28c1daefa5a6}"/>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r>
              <a:rPr lang="zh-CN" altLang="en-US" sz="1600"/>
              <a:t>收入决算结构图</a:t>
            </a:r>
            <a:endParaRPr lang="zh-CN" altLang="en-US" sz="1600"/>
          </a:p>
        </c:rich>
      </c:tx>
      <c:layout>
        <c:manualLayout>
          <c:xMode val="edge"/>
          <c:yMode val="edge"/>
          <c:x val="0.0260762607626076"/>
          <c:y val="0.0555555555555556"/>
        </c:manualLayout>
      </c:layout>
      <c:overlay val="0"/>
    </c:title>
    <c:autoTitleDeleted val="0"/>
    <c:plotArea>
      <c:layout>
        <c:manualLayout>
          <c:layoutTarget val="inner"/>
          <c:xMode val="edge"/>
          <c:yMode val="edge"/>
          <c:x val="0.214440344403444"/>
          <c:y val="0.32287037037037"/>
          <c:w val="0.356113161131611"/>
          <c:h val="0.670185185185185"/>
        </c:manualLayout>
      </c:layout>
      <c:pieChart>
        <c:varyColors val="1"/>
        <c:ser>
          <c:idx val="0"/>
          <c:order val="0"/>
          <c:tx>
            <c:strRef>
              <c:f>[画图.xlsx]Sheet1!$E$44</c:f>
              <c:strCache>
                <c:ptCount val="1"/>
                <c:pt idx="0">
                  <c:v>数值</c:v>
                </c:pt>
              </c:strCache>
            </c:strRef>
          </c:tx>
          <c:explosion val="0"/>
          <c:dPt>
            <c:idx val="0"/>
            <c:bubble3D val="0"/>
          </c:dPt>
          <c:dPt>
            <c:idx val="1"/>
            <c:bubble3D val="0"/>
          </c:dPt>
          <c:dLbls>
            <c:dLbl>
              <c:idx val="0"/>
              <c:layout>
                <c:manualLayout>
                  <c:x val="0.0596772747156605"/>
                  <c:y val="-0.061886847477398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sz="1000" b="0" i="0" u="none" strike="noStrike" baseline="0"/>
                      <a:t>一般公共预算财政拨款收入：</a:t>
                    </a:r>
                    <a:r>
                      <a:rPr lang="en-US" altLang="zh-CN" sz="1000" b="0" i="0" u="none" strike="noStrike" baseline="0"/>
                      <a:t>74.13%</a:t>
                    </a:r>
                    <a:r>
                      <a:rPr lang="zh-CN" altLang="en-US" sz="1000" b="0" i="0" u="none" strike="noStrike" baseline="0"/>
                      <a:t>（</a:t>
                    </a:r>
                    <a:r>
                      <a:rPr lang="en-US" altLang="zh-CN" sz="1000" b="0" i="0" u="none" strike="noStrike" baseline="0"/>
                      <a:t>1999.22</a:t>
                    </a:r>
                    <a:r>
                      <a:rPr lang="zh-CN" altLang="en-US" sz="1000" b="0" i="0" u="none" strike="noStrike" baseline="0"/>
                      <a:t>万元）  </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544597550306212"/>
                  <c:y val="-0.151978346456693"/>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sz="1000" b="0" i="0" u="none" strike="noStrike" baseline="0"/>
                      <a:t>政府性基金预算财政拨款收入</a:t>
                    </a:r>
                    <a:r>
                      <a:rPr lang="en-US" altLang="zh-CN" sz="1000" b="0" i="0" u="none" strike="noStrike" baseline="0"/>
                      <a:t>:25.87%(697.63</a:t>
                    </a:r>
                    <a:r>
                      <a:rPr lang="zh-CN" altLang="en-US" sz="1000" b="0" i="0" u="none" strike="noStrike" baseline="0"/>
                      <a:t>万元</a:t>
                    </a:r>
                    <a:r>
                      <a:rPr lang="en-US" altLang="zh-CN" sz="1000" b="0" i="0" u="none" strike="noStrike" baseline="0"/>
                      <a:t>)</a:t>
                    </a:r>
                    <a:r>
                      <a:rPr lang="zh-CN" altLang="en-US" sz="1000" b="0" i="0" u="none" strike="noStrike" baseline="0"/>
                      <a:t> </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[画图.xlsx]Sheet1!$F$43:$G$43</c:f>
              <c:strCache>
                <c:ptCount val="2"/>
                <c:pt idx="0">
                  <c:v>一般公共预算财政拨款收入 </c:v>
                </c:pt>
                <c:pt idx="1">
                  <c:v>政府性基金预算财政拨款收入</c:v>
                </c:pt>
              </c:strCache>
            </c:strRef>
          </c:cat>
          <c:val>
            <c:numRef>
              <c:f>[画图.xlsx]Sheet1!$F$44:$G$44</c:f>
              <c:numCache>
                <c:formatCode>General</c:formatCode>
                <c:ptCount val="2"/>
                <c:pt idx="0">
                  <c:v>756.6</c:v>
                </c:pt>
                <c:pt idx="1">
                  <c:v>4085.45</c:v>
                </c:pt>
              </c:numCache>
            </c:numRef>
          </c:val>
        </c:ser>
        <c:ser>
          <c:idx val="1"/>
          <c:order val="1"/>
          <c:tx>
            <c:strRef>
              <c:f>[画图.xlsx]Sheet1!$E$45</c:f>
              <c:strCache>
                <c:ptCount val="1"/>
                <c:pt idx="0">
                  <c:v>占比</c:v>
                </c:pt>
              </c:strCache>
            </c:strRef>
          </c:tx>
          <c:explosion val="0"/>
          <c:dPt>
            <c:idx val="0"/>
            <c:bubble3D val="0"/>
          </c:dPt>
          <c:dPt>
            <c:idx val="1"/>
            <c:bubble3D val="0"/>
          </c:dPt>
          <c:dLbls>
            <c:delete val="1"/>
          </c:dLbls>
          <c:cat>
            <c:strRef>
              <c:f>[画图.xlsx]Sheet1!$F$43:$G$43</c:f>
              <c:strCache>
                <c:ptCount val="2"/>
                <c:pt idx="0">
                  <c:v>一般公共预算财政拨款收入 </c:v>
                </c:pt>
                <c:pt idx="1">
                  <c:v>政府性基金预算财政拨款收入</c:v>
                </c:pt>
              </c:strCache>
            </c:strRef>
          </c:cat>
          <c:val>
            <c:numRef>
              <c:f>[画图.xlsx]Sheet1!$F$45:$G$45</c:f>
              <c:numCache>
                <c:formatCode>0.00%</c:formatCode>
                <c:ptCount val="2"/>
                <c:pt idx="0">
                  <c:v>0.16</c:v>
                </c:pt>
                <c:pt idx="1">
                  <c:v>0.84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58376421697288"/>
          <c:y val="0.250158209390493"/>
          <c:w val="0.324956911636046"/>
          <c:h val="0.307090988626422"/>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77a06c0-9372-4323-819d-e1f6b995ad60}"/>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支出决算结构图</a:t>
            </a:r>
            <a:endParaRPr lang="zh-CN" altLang="en-US"/>
          </a:p>
        </c:rich>
      </c:tx>
      <c:layout>
        <c:manualLayout>
          <c:xMode val="edge"/>
          <c:yMode val="edge"/>
          <c:x val="0.0937269372693727"/>
          <c:y val="0.0868055555555556"/>
        </c:manualLayout>
      </c:layout>
      <c:overlay val="0"/>
    </c:title>
    <c:autoTitleDeleted val="0"/>
    <c:plotArea>
      <c:layout/>
      <c:pieChart>
        <c:varyColors val="1"/>
        <c:ser>
          <c:idx val="0"/>
          <c:order val="0"/>
          <c:tx>
            <c:strRef>
              <c:f>[画图.xlsx]Sheet1!$E$61</c:f>
              <c:strCache>
                <c:ptCount val="1"/>
                <c:pt idx="0">
                  <c:v>数值</c:v>
                </c:pt>
              </c:strCache>
            </c:strRef>
          </c:tx>
          <c:explosion val="0"/>
          <c:dPt>
            <c:idx val="0"/>
            <c:bubble3D val="0"/>
          </c:dPt>
          <c:dPt>
            <c:idx val="1"/>
            <c:bubble3D val="0"/>
          </c:dPt>
          <c:dLbls>
            <c:dLbl>
              <c:idx val="0"/>
              <c:layout>
                <c:manualLayout>
                  <c:x val="0.0254755030621172"/>
                  <c:y val="-0.11060258092738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基本支出</a:t>
                    </a:r>
                    <a:r>
                      <a:rPr lang="en-US" altLang="zh-CN"/>
                      <a:t>:10.96%(540.32</a:t>
                    </a:r>
                    <a:r>
                      <a:rPr lang="zh-CN" altLang="en-US"/>
                      <a:t>万元</a:t>
                    </a:r>
                    <a:r>
                      <a:rPr lang="en-US" altLang="zh-CN"/>
                      <a:t>)</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18099300087489"/>
                  <c:y val="-0.17270705745115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项目支出</a:t>
                    </a:r>
                    <a:r>
                      <a:rPr lang="en-US" altLang="zh-CN"/>
                      <a:t>:89.04%(4390.91</a:t>
                    </a:r>
                    <a:r>
                      <a:rPr lang="zh-CN" altLang="en-US"/>
                      <a:t>万元</a:t>
                    </a:r>
                    <a:r>
                      <a:rPr lang="en-US" altLang="zh-CN"/>
                      <a:t>)</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[画图.xlsx]Sheet1!$F$60:$G$60</c:f>
              <c:strCache>
                <c:ptCount val="2"/>
                <c:pt idx="0">
                  <c:v>基本支出</c:v>
                </c:pt>
                <c:pt idx="1">
                  <c:v>项目支出</c:v>
                </c:pt>
              </c:strCache>
            </c:strRef>
          </c:cat>
          <c:val>
            <c:numRef>
              <c:f>[画图.xlsx]Sheet1!$F$61:$G$61</c:f>
              <c:numCache>
                <c:formatCode>General</c:formatCode>
                <c:ptCount val="2"/>
                <c:pt idx="0">
                  <c:v>540.32</c:v>
                </c:pt>
                <c:pt idx="1">
                  <c:v>4390.91</c:v>
                </c:pt>
              </c:numCache>
            </c:numRef>
          </c:val>
        </c:ser>
        <c:ser>
          <c:idx val="1"/>
          <c:order val="1"/>
          <c:tx>
            <c:strRef>
              <c:f>[画图.xlsx]Sheet1!$E$62</c:f>
              <c:strCache>
                <c:ptCount val="1"/>
                <c:pt idx="0">
                  <c:v>占比</c:v>
                </c:pt>
              </c:strCache>
            </c:strRef>
          </c:tx>
          <c:explosion val="0"/>
          <c:dPt>
            <c:idx val="0"/>
            <c:bubble3D val="0"/>
          </c:dPt>
          <c:dPt>
            <c:idx val="1"/>
            <c:bubble3D val="0"/>
          </c:dPt>
          <c:dLbls>
            <c:delete val="1"/>
          </c:dLbls>
          <c:cat>
            <c:strRef>
              <c:f>[画图.xlsx]Sheet1!$F$60:$G$60</c:f>
              <c:strCache>
                <c:ptCount val="2"/>
                <c:pt idx="0">
                  <c:v>基本支出</c:v>
                </c:pt>
                <c:pt idx="1">
                  <c:v>项目支出</c:v>
                </c:pt>
              </c:strCache>
            </c:strRef>
          </c:cat>
          <c:val>
            <c:numRef>
              <c:f>[画图.xlsx]Sheet1!$F$62:$G$62</c:f>
              <c:numCache>
                <c:formatCode>0.00%</c:formatCode>
                <c:ptCount val="2"/>
                <c:pt idx="0">
                  <c:v>0.1096</c:v>
                </c:pt>
                <c:pt idx="1">
                  <c:v>0.8904</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9156c4e-4bbb-489f-a843-2f8192e3d530}"/>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766185476815"/>
          <c:y val="0.102739511407228"/>
          <c:w val="0.708832458442695"/>
          <c:h val="0.648490449110528"/>
        </c:manualLayout>
      </c:layout>
      <c:barChart>
        <c:barDir val="col"/>
        <c:grouping val="clustered"/>
        <c:varyColors val="0"/>
        <c:ser>
          <c:idx val="0"/>
          <c:order val="0"/>
          <c:tx>
            <c:strRef>
              <c:f>[画图.xlsx]Sheet1!$F$6</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[画图.xlsx]Sheet1!$G$5:$L$5</c:f>
              <c:strCache>
                <c:ptCount val="6"/>
                <c:pt idx="0">
                  <c:v>收入</c:v>
                </c:pt>
                <c:pt idx="1">
                  <c:v>支出</c:v>
                </c:pt>
                <c:pt idx="2">
                  <c:v>收入增加</c:v>
                </c:pt>
                <c:pt idx="3">
                  <c:v>支出增加</c:v>
                </c:pt>
                <c:pt idx="4">
                  <c:v>收入增长率</c:v>
                </c:pt>
                <c:pt idx="5">
                  <c:v>支出增长率</c:v>
                </c:pt>
              </c:strCache>
            </c:strRef>
          </c:cat>
          <c:val>
            <c:numRef>
              <c:f>[画图.xlsx]Sheet1!$G$6:$L$6</c:f>
              <c:numCache>
                <c:formatCode>General</c:formatCode>
                <c:ptCount val="6"/>
                <c:pt idx="0">
                  <c:v>4842.05</c:v>
                </c:pt>
                <c:pt idx="1">
                  <c:v>4931.25</c:v>
                </c:pt>
                <c:pt idx="2">
                  <c:v>3421.94</c:v>
                </c:pt>
                <c:pt idx="3">
                  <c:v>3818.63</c:v>
                </c:pt>
                <c:pt idx="4" c:formatCode="0.00%">
                  <c:v>2.40963023991099</c:v>
                </c:pt>
                <c:pt idx="5" c:formatCode="0.00%">
                  <c:v>3.4321061997807</c:v>
                </c:pt>
              </c:numCache>
            </c:numRef>
          </c:val>
        </c:ser>
        <c:ser>
          <c:idx val="1"/>
          <c:order val="1"/>
          <c:tx>
            <c:strRef>
              <c:f>[画图.xlsx]Sheet1!$F$7</c:f>
              <c:strCache>
                <c:ptCount val="1"/>
                <c:pt idx="0">
                  <c:v>2018年</c:v>
                </c:pt>
              </c:strCache>
            </c:strRef>
          </c:tx>
          <c:invertIfNegative val="0"/>
          <c:dLbls>
            <c:delete val="1"/>
          </c:dLbls>
          <c:cat>
            <c:strRef>
              <c:f>[画图.xlsx]Sheet1!$G$5:$L$5</c:f>
              <c:strCache>
                <c:ptCount val="6"/>
                <c:pt idx="0">
                  <c:v>收入</c:v>
                </c:pt>
                <c:pt idx="1">
                  <c:v>支出</c:v>
                </c:pt>
                <c:pt idx="2">
                  <c:v>收入增加</c:v>
                </c:pt>
                <c:pt idx="3">
                  <c:v>支出增加</c:v>
                </c:pt>
                <c:pt idx="4">
                  <c:v>收入增长率</c:v>
                </c:pt>
                <c:pt idx="5">
                  <c:v>支出增长率</c:v>
                </c:pt>
              </c:strCache>
            </c:strRef>
          </c:cat>
          <c:val>
            <c:numRef>
              <c:f>[画图.xlsx]Sheet1!$G$7:$L$7</c:f>
              <c:numCache>
                <c:formatCode>General</c:formatCode>
                <c:ptCount val="6"/>
                <c:pt idx="0">
                  <c:v>1420.11</c:v>
                </c:pt>
                <c:pt idx="1">
                  <c:v>1112.62</c:v>
                </c:pt>
              </c:numCache>
            </c:numRef>
          </c:val>
        </c:ser>
        <c:dLbls>
          <c:showLegendKey val="0"/>
          <c:showVal val="0"/>
          <c:showCatName val="0"/>
          <c:showSerName val="0"/>
          <c:showPercent val="0"/>
          <c:showBubbleSize val="0"/>
        </c:dLbls>
        <c:gapWidth val="150"/>
        <c:axId val="121034240"/>
        <c:axId val="121035776"/>
      </c:barChart>
      <c:catAx>
        <c:axId val="1210342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035776"/>
        <c:crosses val="autoZero"/>
        <c:auto val="1"/>
        <c:lblAlgn val="ctr"/>
        <c:lblOffset val="100"/>
        <c:noMultiLvlLbl val="0"/>
      </c:catAx>
      <c:valAx>
        <c:axId val="12103577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03424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a18c24e1-cb83-4a85-94d2-798a6bb1ed2b}"/>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r>
              <a:rPr sz="1200">
                <a:latin typeface="宋体" panose="02010600030101010101" charset="-122"/>
                <a:ea typeface="宋体" panose="02010600030101010101" charset="-122"/>
                <a:cs typeface="黑体" panose="02010609060101010101" charset="-122"/>
                <a:sym typeface="黑体" panose="02010609060101010101" charset="-122"/>
              </a:rPr>
              <a:t>一般公共预算财政拨款支出决算变动情况（单位：万元）</a:t>
            </a:r>
            <a:endParaRPr lang="en-US" altLang="zh-CN" sz="1200">
              <a:latin typeface="宋体" panose="02010600030101010101" charset="-122"/>
              <a:ea typeface="宋体" panose="02010600030101010101" charset="-122"/>
              <a:cs typeface="黑体" panose="02010609060101010101" charset="-122"/>
              <a:sym typeface="黑体" panose="02010609060101010101" charset="-122"/>
            </a:endParaRPr>
          </a:p>
        </c:rich>
      </c:tx>
      <c:layout/>
      <c:overlay val="0"/>
      <c:spPr>
        <a:noFill/>
        <a:ln>
          <a:noFill/>
        </a:ln>
        <a:effectLst/>
      </c:spPr>
    </c:title>
    <c:autoTitleDeleted val="0"/>
    <c:plotArea>
      <c:layout>
        <c:manualLayout>
          <c:layoutTarget val="inner"/>
          <c:xMode val="edge"/>
          <c:yMode val="edge"/>
          <c:x val="0.0971604938271605"/>
          <c:y val="0.343373493975904"/>
          <c:w val="0.868888888888889"/>
          <c:h val="0.270105421686747"/>
        </c:manualLayout>
      </c:layout>
      <c:barChart>
        <c:barDir val="col"/>
        <c:grouping val="clustered"/>
        <c:varyColors val="0"/>
        <c:ser>
          <c:idx val="0"/>
          <c:order val="0"/>
          <c:tx>
            <c:strRef>
              <c:f>'[画图2 - 副本.xlsx]Sheet1'!$C$13</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'[画图2 - 副本.xlsx]Sheet1'!$D$12:$I$12</c:f>
              <c:strCache>
                <c:ptCount val="6"/>
                <c:pt idx="0">
                  <c:v>收入</c:v>
                </c:pt>
                <c:pt idx="1">
                  <c:v>支出</c:v>
                </c:pt>
                <c:pt idx="2">
                  <c:v>收入增加</c:v>
                </c:pt>
                <c:pt idx="3">
                  <c:v>支出减少</c:v>
                </c:pt>
                <c:pt idx="4">
                  <c:v>收入增长率</c:v>
                </c:pt>
                <c:pt idx="5">
                  <c:v>减少率</c:v>
                </c:pt>
              </c:strCache>
            </c:strRef>
          </c:cat>
          <c:val>
            <c:numRef>
              <c:f>'[画图2 - 副本.xlsx]Sheet1'!$D$13:$I$13</c:f>
              <c:numCache>
                <c:formatCode>General</c:formatCode>
                <c:ptCount val="6"/>
                <c:pt idx="0">
                  <c:v>0</c:v>
                </c:pt>
                <c:pt idx="1">
                  <c:v>756.6</c:v>
                </c:pt>
                <c:pt idx="2">
                  <c:v>0</c:v>
                </c:pt>
                <c:pt idx="3">
                  <c:v>76.83</c:v>
                </c:pt>
                <c:pt idx="4" c:formatCode="0.00%">
                  <c:v>0</c:v>
                </c:pt>
                <c:pt idx="5" c:formatCode="0.00%">
                  <c:v>0.0922</c:v>
                </c:pt>
              </c:numCache>
            </c:numRef>
          </c:val>
        </c:ser>
        <c:ser>
          <c:idx val="1"/>
          <c:order val="1"/>
          <c:tx>
            <c:strRef>
              <c:f>'[画图2 - 副本.xlsx]Sheet1'!$C$14</c:f>
              <c:strCache>
                <c:ptCount val="1"/>
                <c:pt idx="0">
                  <c:v>2018年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'[画图2 - 副本.xlsx]Sheet1'!$D$12:$I$12</c:f>
              <c:strCache>
                <c:ptCount val="6"/>
                <c:pt idx="0">
                  <c:v>收入</c:v>
                </c:pt>
                <c:pt idx="1">
                  <c:v>支出</c:v>
                </c:pt>
                <c:pt idx="2">
                  <c:v>收入增加</c:v>
                </c:pt>
                <c:pt idx="3">
                  <c:v>支出减少</c:v>
                </c:pt>
                <c:pt idx="4">
                  <c:v>收入增长率</c:v>
                </c:pt>
                <c:pt idx="5">
                  <c:v>减少率</c:v>
                </c:pt>
              </c:strCache>
            </c:strRef>
          </c:cat>
          <c:val>
            <c:numRef>
              <c:f>'[画图2 - 副本.xlsx]Sheet1'!$D$14:$I$14</c:f>
              <c:numCache>
                <c:formatCode>General</c:formatCode>
                <c:ptCount val="6"/>
                <c:pt idx="0">
                  <c:v>0</c:v>
                </c:pt>
                <c:pt idx="1">
                  <c:v>833.43</c:v>
                </c:pt>
              </c:numCache>
            </c:numRef>
          </c:val>
        </c:ser>
        <c:dLbls>
          <c:showLegendKey val="0"/>
          <c:showVal val="1"/>
          <c:showCatName val="0"/>
          <c:showSerName val="0"/>
          <c:showPercent val="0"/>
          <c:showBubbleSize val="0"/>
        </c:dLbls>
        <c:gapWidth val="219"/>
        <c:overlap val="-27"/>
        <c:axId val="654629777"/>
        <c:axId val="883037947"/>
      </c:barChart>
      <c:catAx>
        <c:axId val="65462977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3037947"/>
        <c:crosses val="autoZero"/>
        <c:auto val="1"/>
        <c:lblAlgn val="ctr"/>
        <c:lblOffset val="100"/>
        <c:noMultiLvlLbl val="0"/>
      </c:catAx>
      <c:valAx>
        <c:axId val="8830379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462977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dd76fed-1567-4cc2-a1aa-d727d5047f5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r>
              <a:rPr lang="zh-CN" altLang="en-US" sz="1400"/>
              <a:t>“三公”经费财政拨款支出结构</a:t>
            </a:r>
            <a:endParaRPr lang="zh-CN" altLang="en-US" sz="1400"/>
          </a:p>
        </c:rich>
      </c:tx>
      <c:layout>
        <c:manualLayout>
          <c:xMode val="edge"/>
          <c:yMode val="edge"/>
          <c:x val="0.285041557305337"/>
          <c:y val="0.0185185185185185"/>
        </c:manualLayout>
      </c:layout>
      <c:overlay val="0"/>
    </c:title>
    <c:autoTitleDeleted val="0"/>
    <c:plotArea>
      <c:layout/>
      <c:pieChart>
        <c:varyColors val="1"/>
        <c:ser>
          <c:idx val="0"/>
          <c:order val="0"/>
          <c:tx>
            <c:strRef>
              <c:f>[画图.xlsx]Sheet1!$E$145</c:f>
              <c:strCache>
                <c:ptCount val="1"/>
                <c:pt idx="0">
                  <c:v>数值</c:v>
                </c:pt>
              </c:strCache>
            </c:strRef>
          </c:tx>
          <c:explosion val="0"/>
          <c:dPt>
            <c:idx val="0"/>
            <c:bubble3D val="0"/>
          </c:dPt>
          <c:dPt>
            <c:idx val="1"/>
            <c:bubble3D val="0"/>
          </c:dPt>
          <c:dPt>
            <c:idx val="2"/>
            <c:bubble3D val="0"/>
          </c:dPt>
          <c:dLbls>
            <c:dLbl>
              <c:idx val="0"/>
              <c:layout>
                <c:manualLayout>
                  <c:x val="0.151713692038495"/>
                  <c:y val="0.028255322251385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因公出国（境）费</a:t>
                    </a:r>
                    <a:r>
                      <a:rPr lang="en-US" altLang="zh-CN"/>
                      <a:t>0</a:t>
                    </a:r>
                    <a:r>
                      <a:rPr lang="zh-CN" altLang="en-US"/>
                      <a:t>万元</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公务用车购置及运行维护费：</a:t>
                    </a:r>
                    <a:r>
                      <a:rPr lang="en-US" altLang="zh-CN"/>
                      <a:t>93.98%</a:t>
                    </a:r>
                    <a:r>
                      <a:rPr lang="zh-CN" altLang="en-US"/>
                      <a:t>（</a:t>
                    </a:r>
                    <a:r>
                      <a:rPr lang="en-US" altLang="zh-CN"/>
                      <a:t>2.03</a:t>
                    </a:r>
                    <a:r>
                      <a:rPr lang="zh-CN" altLang="en-US"/>
                      <a:t>万元）</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0.0716727909011374"/>
                  <c:y val="0.00553732866724993"/>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公务接待费：</a:t>
                    </a:r>
                    <a:r>
                      <a:rPr lang="en-US" altLang="zh-CN"/>
                      <a:t>6.02%</a:t>
                    </a:r>
                    <a:r>
                      <a:rPr lang="zh-CN" altLang="en-US"/>
                      <a:t>（</a:t>
                    </a:r>
                    <a:r>
                      <a:rPr lang="en-US" altLang="zh-CN"/>
                      <a:t>0.13</a:t>
                    </a:r>
                    <a:r>
                      <a:rPr lang="zh-CN" altLang="en-US"/>
                      <a:t>万元）</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[画图.xlsx]Sheet1!$F$144:$H$144</c:f>
              <c:strCache>
                <c:ptCount val="3"/>
                <c:pt idx="0">
                  <c:v>因公出国（境）费</c:v>
                </c:pt>
                <c:pt idx="1">
                  <c:v>公务用车购置及运行维护费</c:v>
                </c:pt>
                <c:pt idx="2">
                  <c:v>公务接待费</c:v>
                </c:pt>
              </c:strCache>
            </c:strRef>
          </c:cat>
          <c:val>
            <c:numRef>
              <c:f>[画图.xlsx]Sheet1!$F$145:$H$145</c:f>
              <c:numCache>
                <c:formatCode>General</c:formatCode>
                <c:ptCount val="3"/>
                <c:pt idx="0">
                  <c:v>0</c:v>
                </c:pt>
                <c:pt idx="1">
                  <c:v>2.03</c:v>
                </c:pt>
                <c:pt idx="2">
                  <c:v>0.13</c:v>
                </c:pt>
              </c:numCache>
            </c:numRef>
          </c:val>
        </c:ser>
        <c:ser>
          <c:idx val="1"/>
          <c:order val="1"/>
          <c:tx>
            <c:strRef>
              <c:f>[画图.xlsx]Sheet1!$E$146</c:f>
              <c:strCache>
                <c:ptCount val="1"/>
                <c:pt idx="0">
                  <c:v>占比</c:v>
                </c:pt>
              </c:strCache>
            </c:strRef>
          </c:tx>
          <c:explosion val="0"/>
          <c:dPt>
            <c:idx val="0"/>
            <c:bubble3D val="0"/>
          </c:dPt>
          <c:dPt>
            <c:idx val="1"/>
            <c:bubble3D val="0"/>
          </c:dPt>
          <c:dPt>
            <c:idx val="2"/>
            <c:bubble3D val="0"/>
          </c:dPt>
          <c:dLbls>
            <c:delete val="1"/>
          </c:dLbls>
          <c:cat>
            <c:strRef>
              <c:f>[画图.xlsx]Sheet1!$F$144:$H$144</c:f>
              <c:strCache>
                <c:ptCount val="3"/>
                <c:pt idx="0">
                  <c:v>因公出国（境）费</c:v>
                </c:pt>
                <c:pt idx="1">
                  <c:v>公务用车购置及运行维护费</c:v>
                </c:pt>
                <c:pt idx="2">
                  <c:v>公务接待费</c:v>
                </c:pt>
              </c:strCache>
            </c:strRef>
          </c:cat>
          <c:val>
            <c:numRef>
              <c:f>[画图.xlsx]Sheet1!$F$146:$H$146</c:f>
              <c:numCache>
                <c:formatCode>0%</c:formatCode>
                <c:ptCount val="3"/>
                <c:pt idx="0">
                  <c:v>0</c:v>
                </c:pt>
                <c:pt idx="1" c:formatCode="General">
                  <c:v>93.98</c:v>
                </c:pt>
                <c:pt idx="2" c:formatCode="0.00%">
                  <c:v>0.0602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1111156c-3569-4119-ac5d-75c2fc481134}"/>
      </c:ext>
    </c:extLst>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0ACD3-C931-4644-801A-B9EA7D580E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42</Pages>
  <Words>15709</Words>
  <Characters>16925</Characters>
  <Lines>7</Lines>
  <Paragraphs>17</Paragraphs>
  <TotalTime>13</TotalTime>
  <ScaleCrop>false</ScaleCrop>
  <LinksUpToDate>false</LinksUpToDate>
  <CharactersWithSpaces>17040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嘻耶！</cp:lastModifiedBy>
  <cp:lastPrinted>2020-07-23T02:58:00Z</cp:lastPrinted>
  <dcterms:modified xsi:type="dcterms:W3CDTF">2026-08-18T06:38:34Z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KSOTemplateDocerSaveRecord">
    <vt:lpwstr>eyJoZGlkIjoiYzZlOTRkZTgyY2VkZDc4MzM2NWZmZWQ4Y2FiODEyMmIiLCJ1c2VySWQiOiIxNjQyMzQyMzA3In0=</vt:lpwstr>
  </property>
  <property fmtid="{D5CDD505-2E9C-101B-9397-08002B2CF9AE}" pid="4" name="ICV">
    <vt:lpwstr>3035DDB2841A490798C56D8FB01838F8_12</vt:lpwstr>
  </property>
</Properties>
</file>