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6AA48">
      <w:pPr>
        <w:adjustRightInd w:val="0"/>
        <w:snapToGrid w:val="0"/>
        <w:spacing w:line="240" w:lineRule="auto"/>
        <w:ind w:firstLine="0" w:firstLineChars="0"/>
        <w:jc w:val="center"/>
        <w:outlineLvl w:val="0"/>
        <w:rPr>
          <w:rFonts w:ascii="Times New Roman" w:hAnsi="Times New Roman" w:eastAsia="方正小标宋简体"/>
          <w:b/>
          <w:bCs/>
          <w:sz w:val="72"/>
          <w:szCs w:val="72"/>
        </w:rPr>
      </w:pPr>
    </w:p>
    <w:p w14:paraId="635E9B45">
      <w:pPr>
        <w:adjustRightInd w:val="0"/>
        <w:snapToGrid w:val="0"/>
        <w:spacing w:line="240" w:lineRule="auto"/>
        <w:ind w:firstLine="0" w:firstLineChars="0"/>
        <w:jc w:val="center"/>
        <w:outlineLvl w:val="0"/>
        <w:rPr>
          <w:rFonts w:ascii="Times New Roman" w:hAnsi="Times New Roman" w:eastAsia="方正小标宋简体"/>
          <w:b/>
          <w:bCs/>
          <w:sz w:val="72"/>
          <w:szCs w:val="72"/>
        </w:rPr>
      </w:pPr>
      <w:bookmarkStart w:id="0" w:name="_Toc15396598"/>
      <w:bookmarkStart w:id="1" w:name="_Toc15378442"/>
      <w:bookmarkStart w:id="2" w:name="_Toc15396476"/>
      <w:bookmarkStart w:id="3" w:name="_Toc15377426"/>
      <w:bookmarkStart w:id="4" w:name="_Toc15306268"/>
      <w:bookmarkStart w:id="5" w:name="_Toc15377194"/>
      <w:r>
        <w:rPr>
          <w:rFonts w:ascii="Times New Roman" w:hAnsi="Times New Roman" w:eastAsia="方正小标宋简体"/>
          <w:b/>
          <w:bCs/>
          <w:sz w:val="72"/>
          <w:szCs w:val="72"/>
        </w:rPr>
        <w:t xml:space="preserve">米易县综合行政执法局   </w:t>
      </w:r>
    </w:p>
    <w:p w14:paraId="648A8044">
      <w:pPr>
        <w:adjustRightInd w:val="0"/>
        <w:snapToGrid w:val="0"/>
        <w:spacing w:line="240" w:lineRule="auto"/>
        <w:ind w:firstLine="0" w:firstLineChars="0"/>
        <w:jc w:val="center"/>
        <w:outlineLvl w:val="0"/>
        <w:rPr>
          <w:rFonts w:ascii="Times New Roman" w:hAnsi="Times New Roman" w:eastAsia="方正小标宋简体"/>
          <w:b/>
          <w:bCs/>
          <w:sz w:val="72"/>
          <w:szCs w:val="72"/>
        </w:rPr>
      </w:pPr>
      <w:bookmarkStart w:id="10" w:name="_GoBack"/>
      <w:r>
        <w:rPr>
          <w:rFonts w:ascii="Times New Roman" w:hAnsi="Times New Roman" w:eastAsia="黑体"/>
          <w:b/>
          <w:bCs/>
          <w:sz w:val="72"/>
          <w:szCs w:val="72"/>
        </w:rPr>
        <w:t>2020</w:t>
      </w:r>
      <w:r>
        <w:rPr>
          <w:rFonts w:ascii="Times New Roman" w:hAnsi="Times New Roman" w:eastAsia="方正小标宋简体"/>
          <w:b/>
          <w:bCs/>
          <w:sz w:val="72"/>
          <w:szCs w:val="72"/>
        </w:rPr>
        <w:t>年度部门决算</w:t>
      </w:r>
      <w:bookmarkEnd w:id="0"/>
      <w:bookmarkEnd w:id="1"/>
      <w:bookmarkEnd w:id="2"/>
      <w:bookmarkEnd w:id="3"/>
      <w:bookmarkEnd w:id="4"/>
      <w:bookmarkEnd w:id="5"/>
    </w:p>
    <w:bookmarkEnd w:id="10"/>
    <w:p w14:paraId="62F1652E"/>
    <w:p w14:paraId="6DEF1919"/>
    <w:p w14:paraId="6264C19F"/>
    <w:p w14:paraId="7316C2B0"/>
    <w:p w14:paraId="6D643647"/>
    <w:p w14:paraId="62E81F55"/>
    <w:p w14:paraId="7AF6D4A5"/>
    <w:p w14:paraId="2301CD51"/>
    <w:p w14:paraId="553B05C9"/>
    <w:p w14:paraId="429F0DBA"/>
    <w:p w14:paraId="545D4B12"/>
    <w:p w14:paraId="0FEAF820"/>
    <w:p w14:paraId="66150741"/>
    <w:p w14:paraId="59EE73E8"/>
    <w:p w14:paraId="22F73EB5"/>
    <w:p w14:paraId="4C3E0602"/>
    <w:p w14:paraId="739B1124"/>
    <w:p w14:paraId="24D7C435">
      <w:pPr>
        <w:ind w:firstLine="0" w:firstLineChars="0"/>
        <w:jc w:val="center"/>
        <w:rPr>
          <w:rFonts w:ascii="仿宋_GB2312" w:hAnsi="仿宋_GB2312" w:eastAsia="仿宋_GB2312" w:cs="仿宋_GB2312"/>
        </w:rPr>
      </w:pPr>
      <w:r>
        <w:rPr>
          <w:rFonts w:hint="eastAsia" w:ascii="方正小标宋_GBK" w:hAnsi="方正小标宋_GBK" w:eastAsia="方正小标宋_GBK" w:cs="方正小标宋_GBK"/>
          <w:sz w:val="44"/>
          <w:szCs w:val="44"/>
        </w:rPr>
        <w:t>目 录</w:t>
      </w:r>
    </w:p>
    <w:p w14:paraId="5E1BE44F">
      <w:pPr>
        <w:ind w:firstLine="0" w:firstLineChars="0"/>
        <w:jc w:val="center"/>
        <w:rPr>
          <w:rFonts w:ascii="仿宋_GB2312" w:hAnsi="仿宋_GB2312" w:eastAsia="仿宋_GB2312" w:cs="仿宋_GB2312"/>
        </w:rPr>
      </w:pPr>
      <w:r>
        <w:rPr>
          <w:rFonts w:hint="eastAsia" w:ascii="仿宋_GB2312" w:hAnsi="仿宋_GB2312" w:eastAsia="仿宋_GB2312" w:cs="仿宋_GB2312"/>
        </w:rPr>
        <w:t>公开时间：2021年 10月 26日</w:t>
      </w:r>
    </w:p>
    <w:p w14:paraId="596C03C1">
      <w:pPr>
        <w:jc w:val="left"/>
        <w:rPr>
          <w:rFonts w:ascii="仿宋_GB2312" w:hAnsi="仿宋_GB2312" w:eastAsia="仿宋_GB2312" w:cs="仿宋_GB2312"/>
        </w:rPr>
      </w:pPr>
    </w:p>
    <w:p w14:paraId="2BEF8C53">
      <w:pPr>
        <w:pStyle w:val="6"/>
        <w:spacing w:before="0"/>
        <w:jc w:val="left"/>
        <w:rPr>
          <w:rStyle w:val="12"/>
          <w:rFonts w:ascii="黑体" w:hAnsi="黑体" w:eastAsia="黑体" w:cs="黑体"/>
          <w:sz w:val="32"/>
          <w:szCs w:val="32"/>
          <w:u w:val="none"/>
        </w:rPr>
      </w:pPr>
      <w:r>
        <w:rPr>
          <w:rStyle w:val="12"/>
          <w:rFonts w:hint="eastAsia" w:ascii="仿宋_GB2312" w:hAnsi="仿宋_GB2312" w:eastAsia="仿宋_GB2312" w:cs="仿宋_GB2312"/>
          <w:sz w:val="32"/>
          <w:szCs w:val="32"/>
          <w:u w:val="none"/>
        </w:rPr>
        <w:fldChar w:fldCharType="begin"/>
      </w:r>
      <w:r>
        <w:rPr>
          <w:rStyle w:val="12"/>
          <w:rFonts w:hint="eastAsia" w:ascii="仿宋_GB2312" w:hAnsi="仿宋_GB2312" w:eastAsia="仿宋_GB2312" w:cs="仿宋_GB2312"/>
          <w:sz w:val="32"/>
          <w:szCs w:val="32"/>
          <w:u w:val="none"/>
        </w:rPr>
        <w:instrText xml:space="preserve"> TOC \o "1-2" \h \z \u </w:instrText>
      </w:r>
      <w:r>
        <w:rPr>
          <w:rStyle w:val="12"/>
          <w:rFonts w:hint="eastAsia" w:ascii="仿宋_GB2312" w:hAnsi="仿宋_GB2312" w:eastAsia="仿宋_GB2312" w:cs="仿宋_GB2312"/>
          <w:sz w:val="32"/>
          <w:szCs w:val="32"/>
          <w:u w:val="none"/>
        </w:rPr>
        <w:fldChar w:fldCharType="separate"/>
      </w:r>
      <w:r>
        <w:fldChar w:fldCharType="begin"/>
      </w:r>
      <w:r>
        <w:instrText xml:space="preserve"> HYPERLINK \l "_Toc47519989" </w:instrText>
      </w:r>
      <w:r>
        <w:fldChar w:fldCharType="separate"/>
      </w:r>
      <w:r>
        <w:rPr>
          <w:rStyle w:val="12"/>
          <w:rFonts w:hint="eastAsia" w:ascii="黑体" w:hAnsi="黑体" w:eastAsia="黑体" w:cs="黑体"/>
          <w:sz w:val="32"/>
          <w:szCs w:val="32"/>
          <w:u w:val="none"/>
        </w:rPr>
        <w:t>第一部分部门概况</w:t>
      </w:r>
      <w:r>
        <w:rPr>
          <w:rStyle w:val="12"/>
          <w:rFonts w:hint="eastAsia" w:ascii="黑体" w:hAnsi="黑体" w:eastAsia="黑体" w:cs="黑体"/>
          <w:sz w:val="32"/>
          <w:szCs w:val="32"/>
          <w:u w:val="none"/>
        </w:rPr>
        <w:fldChar w:fldCharType="end"/>
      </w:r>
      <w:r>
        <w:rPr>
          <w:rStyle w:val="12"/>
          <w:rFonts w:ascii="黑体" w:hAnsi="黑体" w:eastAsia="黑体" w:cs="黑体"/>
          <w:sz w:val="32"/>
          <w:szCs w:val="32"/>
          <w:u w:val="none"/>
        </w:rPr>
        <w:t>………………………………………</w:t>
      </w:r>
      <w:r>
        <w:rPr>
          <w:rStyle w:val="12"/>
          <w:rFonts w:hint="eastAsia" w:ascii="黑体" w:hAnsi="黑体" w:eastAsia="黑体" w:cs="黑体"/>
          <w:sz w:val="32"/>
          <w:szCs w:val="32"/>
          <w:u w:val="none"/>
        </w:rPr>
        <w:t>4</w:t>
      </w:r>
    </w:p>
    <w:p w14:paraId="488346D9">
      <w:pPr>
        <w:pStyle w:val="6"/>
        <w:spacing w:before="0"/>
        <w:ind w:firstLine="560"/>
        <w:jc w:val="left"/>
        <w:rPr>
          <w:rStyle w:val="12"/>
          <w:rFonts w:ascii="仿宋_GB2312" w:hAnsi="仿宋_GB2312" w:eastAsia="仿宋_GB2312" w:cs="仿宋_GB2312"/>
          <w:sz w:val="32"/>
          <w:szCs w:val="32"/>
          <w:u w:val="none"/>
        </w:rPr>
      </w:pPr>
      <w:r>
        <w:fldChar w:fldCharType="begin"/>
      </w:r>
      <w:r>
        <w:instrText xml:space="preserve"> HYPERLINK \l "_Toc47519990" </w:instrText>
      </w:r>
      <w:r>
        <w:fldChar w:fldCharType="separate"/>
      </w:r>
      <w:r>
        <w:rPr>
          <w:rStyle w:val="12"/>
          <w:rFonts w:hint="eastAsia" w:ascii="仿宋_GB2312" w:hAnsi="仿宋_GB2312" w:eastAsia="仿宋_GB2312" w:cs="仿宋_GB2312"/>
          <w:sz w:val="32"/>
          <w:szCs w:val="32"/>
          <w:u w:val="none"/>
        </w:rPr>
        <w:t>一、基本职能及主要工作</w:t>
      </w:r>
      <w:r>
        <w:rPr>
          <w:rStyle w:val="12"/>
          <w:rFonts w:ascii="仿宋_GB2312" w:hAnsi="仿宋_GB2312" w:eastAsia="仿宋_GB2312" w:cs="仿宋_GB2312"/>
          <w:sz w:val="32"/>
          <w:szCs w:val="32"/>
          <w:u w:val="none"/>
        </w:rPr>
        <w:t>………………………………</w:t>
      </w:r>
      <w:r>
        <w:rPr>
          <w:rStyle w:val="12"/>
          <w:rFonts w:hint="eastAsia" w:ascii="仿宋_GB2312" w:hAnsi="仿宋_GB2312" w:eastAsia="仿宋_GB2312" w:cs="仿宋_GB2312"/>
          <w:sz w:val="32"/>
          <w:szCs w:val="32"/>
          <w:u w:val="none"/>
        </w:rPr>
        <w:t>4</w:t>
      </w:r>
      <w:r>
        <w:rPr>
          <w:rStyle w:val="12"/>
          <w:rFonts w:hint="eastAsia" w:ascii="仿宋_GB2312" w:hAnsi="仿宋_GB2312" w:eastAsia="仿宋_GB2312" w:cs="仿宋_GB2312"/>
          <w:sz w:val="32"/>
          <w:szCs w:val="32"/>
          <w:u w:val="none"/>
        </w:rPr>
        <w:fldChar w:fldCharType="end"/>
      </w:r>
    </w:p>
    <w:p w14:paraId="70D4A0B3">
      <w:pPr>
        <w:pStyle w:val="6"/>
        <w:spacing w:before="0"/>
        <w:ind w:firstLine="560"/>
        <w:jc w:val="left"/>
        <w:rPr>
          <w:rStyle w:val="12"/>
          <w:rFonts w:ascii="仿宋_GB2312" w:hAnsi="仿宋_GB2312" w:eastAsia="仿宋_GB2312" w:cs="仿宋_GB2312"/>
          <w:sz w:val="32"/>
          <w:szCs w:val="32"/>
          <w:u w:val="none"/>
        </w:rPr>
      </w:pPr>
      <w:r>
        <w:fldChar w:fldCharType="begin"/>
      </w:r>
      <w:r>
        <w:instrText xml:space="preserve"> HYPERLINK \l "_Toc47519991" </w:instrText>
      </w:r>
      <w:r>
        <w:fldChar w:fldCharType="separate"/>
      </w:r>
      <w:r>
        <w:rPr>
          <w:rStyle w:val="12"/>
          <w:rFonts w:hint="eastAsia" w:ascii="仿宋_GB2312" w:hAnsi="仿宋_GB2312" w:eastAsia="仿宋_GB2312" w:cs="仿宋_GB2312"/>
          <w:sz w:val="32"/>
          <w:szCs w:val="32"/>
          <w:u w:val="none"/>
        </w:rPr>
        <w:t>二、机构设置</w:t>
      </w:r>
      <w:r>
        <w:rPr>
          <w:rStyle w:val="12"/>
          <w:rFonts w:ascii="仿宋_GB2312" w:hAnsi="仿宋_GB2312" w:eastAsia="仿宋_GB2312" w:cs="仿宋_GB2312"/>
          <w:sz w:val="32"/>
          <w:szCs w:val="32"/>
          <w:u w:val="none"/>
        </w:rPr>
        <w:t>……………………………………………</w:t>
      </w:r>
      <w:r>
        <w:rPr>
          <w:rStyle w:val="12"/>
          <w:rFonts w:hint="eastAsia" w:ascii="仿宋_GB2312" w:hAnsi="仿宋_GB2312" w:eastAsia="仿宋_GB2312" w:cs="仿宋_GB2312"/>
          <w:sz w:val="32"/>
          <w:szCs w:val="32"/>
          <w:u w:val="none"/>
        </w:rPr>
        <w:t>5</w:t>
      </w:r>
      <w:r>
        <w:rPr>
          <w:rStyle w:val="12"/>
          <w:rFonts w:hint="eastAsia" w:ascii="仿宋_GB2312" w:hAnsi="仿宋_GB2312" w:eastAsia="仿宋_GB2312" w:cs="仿宋_GB2312"/>
          <w:sz w:val="32"/>
          <w:szCs w:val="32"/>
          <w:u w:val="none"/>
        </w:rPr>
        <w:fldChar w:fldCharType="end"/>
      </w:r>
    </w:p>
    <w:p w14:paraId="22860908">
      <w:pPr>
        <w:pStyle w:val="6"/>
        <w:spacing w:before="0"/>
        <w:ind w:firstLine="560"/>
        <w:jc w:val="left"/>
        <w:rPr>
          <w:rFonts w:ascii="黑体" w:hAnsi="黑体" w:eastAsia="黑体" w:cs="黑体"/>
          <w:sz w:val="32"/>
          <w:szCs w:val="32"/>
        </w:rPr>
      </w:pPr>
      <w:r>
        <w:fldChar w:fldCharType="begin"/>
      </w:r>
      <w:r>
        <w:instrText xml:space="preserve"> HYPERLINK \l "_Toc47519992" </w:instrText>
      </w:r>
      <w:r>
        <w:fldChar w:fldCharType="separate"/>
      </w:r>
      <w:r>
        <w:rPr>
          <w:rFonts w:hint="eastAsia" w:ascii="黑体" w:hAnsi="黑体" w:eastAsia="黑体" w:cs="黑体"/>
          <w:sz w:val="32"/>
          <w:szCs w:val="32"/>
        </w:rPr>
        <w:t>第二部分 2020年度部门决算情况说明</w:t>
      </w:r>
      <w:r>
        <w:rPr>
          <w:rFonts w:ascii="黑体" w:hAnsi="黑体" w:eastAsia="黑体" w:cs="黑体"/>
          <w:sz w:val="32"/>
          <w:szCs w:val="32"/>
        </w:rPr>
        <w:t>………………</w:t>
      </w:r>
      <w:r>
        <w:rPr>
          <w:rFonts w:hint="eastAsia" w:ascii="黑体" w:hAnsi="黑体" w:eastAsia="黑体" w:cs="黑体"/>
          <w:sz w:val="32"/>
          <w:szCs w:val="32"/>
        </w:rPr>
        <w:t>7</w:t>
      </w:r>
      <w:r>
        <w:rPr>
          <w:rFonts w:hint="eastAsia" w:ascii="黑体" w:hAnsi="黑体" w:eastAsia="黑体" w:cs="黑体"/>
          <w:sz w:val="32"/>
          <w:szCs w:val="32"/>
        </w:rPr>
        <w:fldChar w:fldCharType="end"/>
      </w:r>
    </w:p>
    <w:p w14:paraId="6A100B67">
      <w:pPr>
        <w:pStyle w:val="6"/>
        <w:spacing w:before="0"/>
        <w:ind w:firstLine="560"/>
        <w:jc w:val="left"/>
        <w:rPr>
          <w:rStyle w:val="12"/>
          <w:rFonts w:ascii="仿宋_GB2312" w:hAnsi="仿宋_GB2312" w:eastAsia="仿宋_GB2312" w:cs="仿宋_GB2312"/>
          <w:sz w:val="32"/>
          <w:szCs w:val="32"/>
          <w:u w:val="none"/>
        </w:rPr>
      </w:pPr>
      <w:r>
        <w:fldChar w:fldCharType="begin"/>
      </w:r>
      <w:r>
        <w:instrText xml:space="preserve"> HYPERLINK \l "_Toc47519994" </w:instrText>
      </w:r>
      <w:r>
        <w:fldChar w:fldCharType="separate"/>
      </w:r>
      <w:r>
        <w:rPr>
          <w:rFonts w:hint="eastAsia" w:ascii="仿宋_GB2312" w:hAnsi="仿宋_GB2312" w:eastAsia="仿宋_GB2312" w:cs="仿宋_GB2312"/>
          <w:sz w:val="32"/>
          <w:szCs w:val="32"/>
        </w:rPr>
        <w:t>一、</w:t>
      </w:r>
      <w:r>
        <w:rPr>
          <w:rStyle w:val="12"/>
          <w:rFonts w:hint="eastAsia" w:ascii="仿宋_GB2312" w:hAnsi="仿宋_GB2312" w:eastAsia="仿宋_GB2312" w:cs="仿宋_GB2312"/>
          <w:sz w:val="32"/>
          <w:szCs w:val="32"/>
          <w:u w:val="none"/>
        </w:rPr>
        <w:t>收入支出决算总体情况说明</w:t>
      </w:r>
      <w:r>
        <w:rPr>
          <w:rStyle w:val="12"/>
          <w:rFonts w:ascii="仿宋_GB2312" w:hAnsi="仿宋_GB2312" w:eastAsia="仿宋_GB2312" w:cs="仿宋_GB2312"/>
          <w:sz w:val="32"/>
          <w:szCs w:val="32"/>
          <w:u w:val="none"/>
        </w:rPr>
        <w:t>………………………</w:t>
      </w:r>
      <w:r>
        <w:rPr>
          <w:rStyle w:val="12"/>
          <w:rFonts w:hint="eastAsia" w:ascii="仿宋_GB2312" w:hAnsi="仿宋_GB2312" w:eastAsia="仿宋_GB2312" w:cs="仿宋_GB2312"/>
          <w:sz w:val="32"/>
          <w:szCs w:val="32"/>
          <w:u w:val="none"/>
        </w:rPr>
        <w:t>7</w:t>
      </w:r>
      <w:r>
        <w:rPr>
          <w:rStyle w:val="12"/>
          <w:rFonts w:hint="eastAsia" w:ascii="仿宋_GB2312" w:hAnsi="仿宋_GB2312" w:eastAsia="仿宋_GB2312" w:cs="仿宋_GB2312"/>
          <w:sz w:val="32"/>
          <w:szCs w:val="32"/>
          <w:u w:val="none"/>
        </w:rPr>
        <w:fldChar w:fldCharType="end"/>
      </w:r>
    </w:p>
    <w:p w14:paraId="3255CC96">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"_Toc47519995" </w:instrText>
      </w:r>
      <w:r>
        <w:fldChar w:fldCharType="separate"/>
      </w:r>
      <w:r>
        <w:rPr>
          <w:rFonts w:hint="eastAsia" w:ascii="仿宋_GB2312" w:hAnsi="仿宋_GB2312" w:eastAsia="仿宋_GB2312" w:cs="仿宋_GB2312"/>
          <w:sz w:val="32"/>
          <w:szCs w:val="32"/>
        </w:rPr>
        <w:t>二、收入决算情况说明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p>
    <w:p w14:paraId="6BE55AF5">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"_Toc47519997" </w:instrText>
      </w:r>
      <w:r>
        <w:fldChar w:fldCharType="separate"/>
      </w:r>
      <w:r>
        <w:rPr>
          <w:rFonts w:hint="eastAsia" w:ascii="仿宋_GB2312" w:hAnsi="仿宋_GB2312" w:eastAsia="仿宋_GB2312" w:cs="仿宋_GB2312"/>
          <w:sz w:val="32"/>
          <w:szCs w:val="32"/>
        </w:rPr>
        <w:t>三、支出决算情况说明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14:paraId="6434C102">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"_Toc47519998" </w:instrText>
      </w:r>
      <w:r>
        <w:fldChar w:fldCharType="separate"/>
      </w:r>
      <w:r>
        <w:rPr>
          <w:rFonts w:hint="eastAsia" w:ascii="仿宋_GB2312" w:hAnsi="仿宋_GB2312" w:eastAsia="仿宋_GB2312" w:cs="仿宋_GB2312"/>
          <w:sz w:val="32"/>
          <w:szCs w:val="32"/>
        </w:rPr>
        <w:t>四、财政拨款收入支出决算总体情况说明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p>
    <w:p w14:paraId="732C9896">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"_Toc47519999" </w:instrText>
      </w:r>
      <w:r>
        <w:fldChar w:fldCharType="separate"/>
      </w:r>
      <w:r>
        <w:rPr>
          <w:rFonts w:hint="eastAsia" w:ascii="仿宋_GB2312" w:hAnsi="仿宋_GB2312" w:eastAsia="仿宋_GB2312" w:cs="仿宋_GB2312"/>
          <w:sz w:val="32"/>
          <w:szCs w:val="32"/>
        </w:rPr>
        <w:t>五、一般公共预算财政拨款支出决算情况说明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p>
    <w:p w14:paraId="5F21D1CF">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"_Toc47520000" </w:instrText>
      </w:r>
      <w:r>
        <w:fldChar w:fldCharType="separate"/>
      </w:r>
      <w:r>
        <w:rPr>
          <w:rFonts w:hint="eastAsia" w:ascii="仿宋_GB2312" w:hAnsi="仿宋_GB2312" w:eastAsia="仿宋_GB2312" w:cs="仿宋_GB2312"/>
          <w:sz w:val="32"/>
          <w:szCs w:val="32"/>
        </w:rPr>
        <w:t>六、一般公共预算财政拨款基本支出决算情况说明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p>
    <w:p w14:paraId="604FB93D">
      <w:pPr>
        <w:pStyle w:val="6"/>
        <w:spacing w:before="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14</w:t>
      </w:r>
    </w:p>
    <w:p w14:paraId="4535AB26">
      <w:pPr>
        <w:pStyle w:val="6"/>
        <w:spacing w:before="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15</w:t>
      </w:r>
    </w:p>
    <w:p w14:paraId="215CF024">
      <w:pPr>
        <w:pStyle w:val="6"/>
        <w:spacing w:before="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九、国有资本经营预算支出决算情况明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15</w:t>
      </w:r>
    </w:p>
    <w:p w14:paraId="07890289">
      <w:pPr>
        <w:pStyle w:val="6"/>
        <w:spacing w:before="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15</w:t>
      </w:r>
    </w:p>
    <w:p w14:paraId="4C9B7062">
      <w:pPr>
        <w:pStyle w:val="6"/>
        <w:spacing w:before="0"/>
        <w:ind w:firstLine="560"/>
        <w:jc w:val="left"/>
        <w:rPr>
          <w:rFonts w:ascii="黑体" w:hAnsi="黑体" w:eastAsia="黑体" w:cs="黑体"/>
          <w:sz w:val="32"/>
          <w:szCs w:val="32"/>
        </w:rPr>
      </w:pPr>
      <w:r>
        <w:fldChar w:fldCharType="begin"/>
      </w:r>
      <w:r>
        <w:instrText xml:space="preserve"> HYPERLINK \l "_Toc47520001" </w:instrText>
      </w:r>
      <w:r>
        <w:fldChar w:fldCharType="separate"/>
      </w:r>
      <w:r>
        <w:rPr>
          <w:rFonts w:hint="eastAsia" w:ascii="黑体" w:hAnsi="黑体" w:eastAsia="黑体" w:cs="黑体"/>
          <w:sz w:val="32"/>
          <w:szCs w:val="32"/>
        </w:rPr>
        <w:t>第三部分 名词解释</w:t>
      </w:r>
      <w:r>
        <w:rPr>
          <w:rFonts w:ascii="黑体" w:hAnsi="黑体" w:eastAsia="黑体" w:cs="黑体"/>
          <w:sz w:val="32"/>
          <w:szCs w:val="32"/>
        </w:rPr>
        <w:t>……………………………………</w:t>
      </w:r>
      <w:r>
        <w:rPr>
          <w:rFonts w:hint="eastAsia" w:ascii="黑体" w:hAnsi="黑体" w:eastAsia="黑体" w:cs="黑体"/>
          <w:sz w:val="32"/>
          <w:szCs w:val="32"/>
        </w:rPr>
        <w:t>32</w:t>
      </w:r>
      <w:r>
        <w:rPr>
          <w:rFonts w:hint="eastAsia" w:ascii="黑体" w:hAnsi="黑体" w:eastAsia="黑体" w:cs="黑体"/>
          <w:sz w:val="32"/>
          <w:szCs w:val="32"/>
        </w:rPr>
        <w:fldChar w:fldCharType="end"/>
      </w:r>
    </w:p>
    <w:p w14:paraId="11F280D5">
      <w:pPr>
        <w:pStyle w:val="6"/>
        <w:spacing w:before="0"/>
        <w:ind w:firstLine="560"/>
        <w:jc w:val="left"/>
        <w:rPr>
          <w:rFonts w:ascii="黑体" w:hAnsi="黑体" w:eastAsia="黑体" w:cs="黑体"/>
          <w:sz w:val="32"/>
          <w:szCs w:val="32"/>
        </w:rPr>
      </w:pPr>
      <w:r>
        <w:fldChar w:fldCharType="begin"/>
      </w:r>
      <w:r>
        <w:instrText xml:space="preserve"> HYPERLINK \l "_Toc47520002" </w:instrText>
      </w:r>
      <w:r>
        <w:fldChar w:fldCharType="separate"/>
      </w:r>
      <w:r>
        <w:rPr>
          <w:rFonts w:hint="eastAsia" w:ascii="黑体" w:hAnsi="黑体" w:eastAsia="黑体" w:cs="黑体"/>
          <w:sz w:val="32"/>
          <w:szCs w:val="32"/>
        </w:rPr>
        <w:t xml:space="preserve">第四部分附件 </w:t>
      </w:r>
      <w:r>
        <w:rPr>
          <w:rFonts w:ascii="黑体" w:hAnsi="黑体" w:eastAsia="黑体" w:cs="黑体"/>
          <w:sz w:val="32"/>
          <w:szCs w:val="32"/>
        </w:rPr>
        <w:t>…………………………………………</w:t>
      </w:r>
      <w:r>
        <w:rPr>
          <w:rFonts w:hint="eastAsia" w:ascii="黑体" w:hAnsi="黑体" w:eastAsia="黑体" w:cs="黑体"/>
          <w:sz w:val="32"/>
          <w:szCs w:val="32"/>
        </w:rPr>
        <w:t>36</w:t>
      </w:r>
      <w:r>
        <w:rPr>
          <w:rFonts w:hint="eastAsia" w:ascii="黑体" w:hAnsi="黑体" w:eastAsia="黑体" w:cs="黑体"/>
          <w:sz w:val="32"/>
          <w:szCs w:val="32"/>
        </w:rPr>
        <w:fldChar w:fldCharType="end"/>
      </w:r>
    </w:p>
    <w:p w14:paraId="6D99C32F">
      <w:pPr>
        <w:jc w:val="left"/>
        <w:rPr>
          <w:rStyle w:val="12"/>
          <w:rFonts w:ascii="Times New Roman" w:hAnsi="Times New Roman" w:eastAsia="仿宋_GB2312"/>
          <w:color w:val="000000"/>
          <w:u w:val="none"/>
        </w:rPr>
      </w:pPr>
      <w:r>
        <w:rPr>
          <w:rFonts w:hint="eastAsia" w:ascii="仿宋_GB2312" w:hAnsi="仿宋_GB2312" w:eastAsia="仿宋_GB2312" w:cs="仿宋_GB2312"/>
        </w:rPr>
        <w:t xml:space="preserve">附件1 </w:t>
      </w:r>
      <w:r>
        <w:rPr>
          <w:rStyle w:val="15"/>
          <w:rFonts w:hint="default" w:ascii="Times New Roman" w:hAnsi="Times New Roman" w:eastAsia="仿宋_GB2312"/>
          <w:sz w:val="32"/>
          <w:szCs w:val="32"/>
        </w:rPr>
        <w:t>2020年米易县部门预算整体绩效评价报告</w:t>
      </w:r>
      <w:r>
        <w:rPr>
          <w:rStyle w:val="12"/>
          <w:rFonts w:ascii="仿宋_GB2312" w:hAnsi="仿宋_GB2312" w:eastAsia="仿宋_GB2312" w:cs="仿宋_GB2312"/>
          <w:u w:val="none"/>
        </w:rPr>
        <w:t>…</w:t>
      </w:r>
      <w:r>
        <w:rPr>
          <w:rStyle w:val="12"/>
          <w:rFonts w:hint="eastAsia" w:ascii="仿宋_GB2312" w:hAnsi="仿宋_GB2312" w:eastAsia="仿宋_GB2312" w:cs="仿宋_GB2312"/>
          <w:u w:val="none"/>
        </w:rPr>
        <w:t xml:space="preserve">36   </w:t>
      </w:r>
    </w:p>
    <w:p w14:paraId="54E89C76">
      <w:pPr>
        <w:jc w:val="center"/>
        <w:rPr>
          <w:rStyle w:val="12"/>
          <w:rFonts w:eastAsia="仿宋_GB2312"/>
          <w:color w:val="000000"/>
          <w:kern w:val="0"/>
          <w:u w:val="none"/>
        </w:rPr>
      </w:pPr>
      <w:r>
        <w:rPr>
          <w:rFonts w:hint="eastAsia" w:ascii="仿宋_GB2312" w:hAnsi="仿宋_GB2312" w:eastAsia="仿宋_GB2312" w:cs="仿宋_GB2312"/>
        </w:rPr>
        <w:t xml:space="preserve">附件2 </w:t>
      </w:r>
      <w:r>
        <w:rPr>
          <w:rFonts w:hint="eastAsia"/>
          <w:kern w:val="0"/>
          <w:lang w:val="zh-CN"/>
        </w:rPr>
        <w:t>米易县第二轮园林绿化养护市场化项目</w:t>
      </w:r>
      <w:r>
        <w:rPr>
          <w:kern w:val="0"/>
        </w:rPr>
        <w:t>2020</w:t>
      </w:r>
      <w:r>
        <w:rPr>
          <w:rFonts w:hint="eastAsia"/>
          <w:kern w:val="0"/>
        </w:rPr>
        <w:t xml:space="preserve">年            </w:t>
      </w:r>
      <w:r>
        <w:rPr>
          <w:rFonts w:hint="eastAsia"/>
          <w:kern w:val="0"/>
          <w:lang w:val="zh-CN"/>
        </w:rPr>
        <w:t xml:space="preserve">绩效评价报     </w:t>
      </w:r>
      <w:r>
        <w:rPr>
          <w:rStyle w:val="12"/>
          <w:rFonts w:ascii="仿宋_GB2312" w:hAnsi="仿宋_GB2312" w:eastAsia="仿宋_GB2312" w:cs="仿宋_GB2312"/>
          <w:u w:val="none"/>
        </w:rPr>
        <w:t>………………………………………</w:t>
      </w:r>
      <w:r>
        <w:rPr>
          <w:rStyle w:val="12"/>
          <w:rFonts w:hint="eastAsia" w:ascii="仿宋_GB2312" w:hAnsi="仿宋_GB2312" w:eastAsia="仿宋_GB2312" w:cs="仿宋_GB2312"/>
          <w:u w:val="none"/>
        </w:rPr>
        <w:t>48</w:t>
      </w:r>
    </w:p>
    <w:p w14:paraId="23E7B478">
      <w:pPr>
        <w:pStyle w:val="6"/>
        <w:spacing w:before="0"/>
        <w:jc w:val="left"/>
        <w:rPr>
          <w:rFonts w:ascii="黑体" w:hAnsi="黑体" w:eastAsia="黑体" w:cs="黑体"/>
          <w:sz w:val="32"/>
          <w:szCs w:val="32"/>
        </w:rPr>
      </w:pPr>
      <w:r>
        <w:rPr>
          <w:rFonts w:hint="eastAsia" w:ascii="黑体" w:hAnsi="黑体" w:eastAsia="黑体" w:cs="黑体"/>
          <w:sz w:val="32"/>
          <w:szCs w:val="32"/>
        </w:rPr>
        <w:t>第五部分 附表</w:t>
      </w:r>
      <w:r>
        <w:rPr>
          <w:rFonts w:ascii="黑体" w:hAnsi="黑体" w:eastAsia="黑体" w:cs="黑体"/>
          <w:sz w:val="32"/>
          <w:szCs w:val="32"/>
        </w:rPr>
        <w:t>…………………………………………</w:t>
      </w:r>
      <w:r>
        <w:rPr>
          <w:rFonts w:hint="eastAsia" w:ascii="黑体" w:hAnsi="黑体" w:eastAsia="黑体" w:cs="黑体"/>
          <w:sz w:val="32"/>
          <w:szCs w:val="32"/>
        </w:rPr>
        <w:t>51</w:t>
      </w:r>
    </w:p>
    <w:p w14:paraId="3AA4DCF5">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"_Toc47520003" </w:instrText>
      </w:r>
      <w:r>
        <w:fldChar w:fldCharType="separate"/>
      </w: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fldChar w:fldCharType="end"/>
      </w:r>
    </w:p>
    <w:p w14:paraId="2FDCE536">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"_Toc47520004" </w:instrText>
      </w:r>
      <w:r>
        <w:fldChar w:fldCharType="separate"/>
      </w: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fldChar w:fldCharType="end"/>
      </w:r>
    </w:p>
    <w:p w14:paraId="21911117">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"_Toc47520005" </w:instrText>
      </w:r>
      <w:r>
        <w:fldChar w:fldCharType="separate"/>
      </w: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fldChar w:fldCharType="end"/>
      </w:r>
    </w:p>
    <w:p w14:paraId="7E4FB25D">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"_Toc47520006" </w:instrText>
      </w:r>
      <w:r>
        <w:fldChar w:fldCharType="separate"/>
      </w: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fldChar w:fldCharType="end"/>
      </w:r>
    </w:p>
    <w:p w14:paraId="7DB29E3F">
      <w:pPr>
        <w:jc w:val="left"/>
        <w:rPr>
          <w:rFonts w:ascii="仿宋_GB2312" w:hAnsi="仿宋_GB2312" w:eastAsia="仿宋_GB2312" w:cs="仿宋_GB2312"/>
        </w:rPr>
      </w:pPr>
      <w:r>
        <w:rPr>
          <w:rFonts w:hint="eastAsia" w:ascii="仿宋_GB2312" w:hAnsi="仿宋_GB2312" w:eastAsia="仿宋_GB2312" w:cs="仿宋_GB2312"/>
        </w:rPr>
        <w:t>五、财政拨款支出决算明细表</w:t>
      </w:r>
    </w:p>
    <w:p w14:paraId="10D9B0A3">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"_Toc47520007" </w:instrText>
      </w:r>
      <w:r>
        <w:fldChar w:fldCharType="separate"/>
      </w: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fldChar w:fldCharType="end"/>
      </w:r>
    </w:p>
    <w:p w14:paraId="34554C95">
      <w:pPr>
        <w:jc w:val="left"/>
        <w:rPr>
          <w:rFonts w:ascii="仿宋_GB2312" w:hAnsi="仿宋_GB2312" w:eastAsia="仿宋_GB2312" w:cs="仿宋_GB2312"/>
        </w:rPr>
      </w:pPr>
      <w:r>
        <w:rPr>
          <w:rFonts w:hint="eastAsia" w:ascii="仿宋_GB2312" w:hAnsi="仿宋_GB2312" w:eastAsia="仿宋_GB2312" w:cs="仿宋_GB2312"/>
        </w:rPr>
        <w:t>七、一般公共预算财政拨款支出决算明细表</w:t>
      </w:r>
    </w:p>
    <w:p w14:paraId="7588754E">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"_Toc47520008" </w:instrText>
      </w:r>
      <w:r>
        <w:fldChar w:fldCharType="separate"/>
      </w: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fldChar w:fldCharType="end"/>
      </w:r>
    </w:p>
    <w:p w14:paraId="77CB5475">
      <w:pPr>
        <w:jc w:val="left"/>
        <w:rPr>
          <w:rFonts w:ascii="仿宋_GB2312" w:hAnsi="仿宋_GB2312" w:eastAsia="仿宋_GB2312" w:cs="仿宋_GB2312"/>
        </w:rPr>
      </w:pPr>
      <w:r>
        <w:rPr>
          <w:rFonts w:hint="eastAsia" w:ascii="仿宋_GB2312" w:hAnsi="仿宋_GB2312" w:eastAsia="仿宋_GB2312" w:cs="仿宋_GB2312"/>
        </w:rPr>
        <w:t>九、一般公共预算财政拨款项目支出决算表</w:t>
      </w:r>
      <w:r>
        <w:rPr>
          <w:rFonts w:hint="eastAsia" w:ascii="仿宋_GB2312" w:hAnsi="仿宋_GB2312" w:eastAsia="仿宋_GB2312" w:cs="仿宋_GB2312"/>
        </w:rPr>
        <w:tab/>
      </w:r>
    </w:p>
    <w:p w14:paraId="37AA7A2F">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"_Toc47520009" </w:instrText>
      </w:r>
      <w:r>
        <w:fldChar w:fldCharType="separate"/>
      </w: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rPr>
        <w:fldChar w:fldCharType="end"/>
      </w:r>
    </w:p>
    <w:p w14:paraId="3DB2339D">
      <w:pPr>
        <w:pStyle w:val="6"/>
        <w:spacing w:before="0"/>
        <w:ind w:firstLine="560"/>
        <w:jc w:val="left"/>
        <w:rPr>
          <w:rFonts w:ascii="仿宋_GB2312" w:hAnsi="仿宋_GB2312" w:eastAsia="仿宋_GB2312" w:cs="仿宋_GB2312"/>
          <w:sz w:val="32"/>
          <w:szCs w:val="32"/>
        </w:rPr>
      </w:pPr>
      <w:r>
        <w:fldChar w:fldCharType="begin"/>
      </w:r>
      <w:r>
        <w:instrText xml:space="preserve"> HYPERLINK \l "_Toc47520010" </w:instrText>
      </w:r>
      <w:r>
        <w:fldChar w:fldCharType="separate"/>
      </w: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rPr>
        <w:fldChar w:fldCharType="end"/>
      </w:r>
    </w:p>
    <w:p w14:paraId="692A0878">
      <w:pPr>
        <w:jc w:val="left"/>
        <w:rPr>
          <w:rFonts w:ascii="仿宋_GB2312" w:hAnsi="仿宋_GB2312" w:eastAsia="仿宋_GB2312" w:cs="仿宋_GB2312"/>
        </w:rPr>
      </w:pPr>
      <w:r>
        <w:rPr>
          <w:rFonts w:hint="eastAsia" w:ascii="仿宋_GB2312" w:hAnsi="仿宋_GB2312" w:eastAsia="仿宋_GB2312" w:cs="仿宋_GB2312"/>
        </w:rPr>
        <w:t>十二、府性基金预算财政拨款“三公”经费支出决算表</w:t>
      </w:r>
    </w:p>
    <w:p w14:paraId="46F3A1B0">
      <w:pPr>
        <w:jc w:val="left"/>
        <w:rPr>
          <w:rFonts w:ascii="仿宋_GB2312" w:hAnsi="仿宋_GB2312" w:eastAsia="仿宋_GB2312" w:cs="仿宋_GB2312"/>
        </w:rPr>
      </w:pPr>
      <w:r>
        <w:rPr>
          <w:rFonts w:hint="eastAsia" w:ascii="仿宋_GB2312" w:hAnsi="仿宋_GB2312" w:eastAsia="仿宋_GB2312" w:cs="仿宋_GB2312"/>
        </w:rPr>
        <w:t>十三、国有资本经营预算财政拨款收入支出决算表</w:t>
      </w:r>
    </w:p>
    <w:p w14:paraId="200F8959">
      <w:pPr>
        <w:jc w:val="left"/>
        <w:rPr>
          <w:rFonts w:ascii="仿宋_GB2312" w:hAnsi="仿宋_GB2312" w:eastAsia="仿宋_GB2312" w:cs="仿宋_GB2312"/>
        </w:rPr>
      </w:pPr>
      <w:r>
        <w:rPr>
          <w:rFonts w:hint="eastAsia" w:ascii="仿宋_GB2312" w:hAnsi="仿宋_GB2312" w:eastAsia="仿宋_GB2312" w:cs="仿宋_GB2312"/>
        </w:rPr>
        <w:t>十四、国有资本经营预算财政拨款支出决算表</w:t>
      </w:r>
    </w:p>
    <w:p w14:paraId="517216A7">
      <w:pPr>
        <w:pStyle w:val="6"/>
        <w:spacing w:before="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十五、机关运行经费、资产占用情况及政府采购支出信息表</w:t>
      </w:r>
    </w:p>
    <w:p w14:paraId="439F1507">
      <w:pPr>
        <w:jc w:val="left"/>
        <w:rPr>
          <w:rStyle w:val="12"/>
          <w:rFonts w:ascii="Times New Roman" w:hAnsi="Times New Roman"/>
        </w:rPr>
      </w:pPr>
      <w:r>
        <w:rPr>
          <w:rStyle w:val="12"/>
          <w:rFonts w:hint="eastAsia" w:ascii="仿宋_GB2312" w:hAnsi="仿宋_GB2312" w:eastAsia="仿宋_GB2312" w:cs="仿宋_GB2312"/>
          <w:u w:val="none"/>
        </w:rPr>
        <w:fldChar w:fldCharType="end"/>
      </w:r>
    </w:p>
    <w:p w14:paraId="3505D158">
      <w:pPr>
        <w:spacing w:line="560" w:lineRule="exact"/>
        <w:jc w:val="left"/>
        <w:rPr>
          <w:rStyle w:val="12"/>
          <w:rFonts w:ascii="Times New Roman" w:hAnsi="Times New Roman"/>
        </w:rPr>
      </w:pPr>
    </w:p>
    <w:p w14:paraId="2C7FF134">
      <w:pPr>
        <w:spacing w:line="560" w:lineRule="exact"/>
        <w:jc w:val="left"/>
        <w:rPr>
          <w:rStyle w:val="12"/>
          <w:rFonts w:ascii="Times New Roman" w:hAnsi="Times New Roman"/>
        </w:rPr>
      </w:pPr>
    </w:p>
    <w:p w14:paraId="0388FF8C">
      <w:pPr>
        <w:spacing w:line="560" w:lineRule="exact"/>
        <w:jc w:val="left"/>
        <w:rPr>
          <w:rStyle w:val="12"/>
          <w:rFonts w:ascii="Times New Roman" w:hAnsi="Times New Roman"/>
        </w:rPr>
      </w:pPr>
    </w:p>
    <w:p w14:paraId="49E3E658">
      <w:pPr>
        <w:spacing w:line="560" w:lineRule="exact"/>
        <w:jc w:val="left"/>
        <w:rPr>
          <w:rStyle w:val="12"/>
          <w:rFonts w:ascii="Times New Roman" w:hAnsi="Times New Roman"/>
        </w:rPr>
      </w:pPr>
    </w:p>
    <w:p w14:paraId="0959020D">
      <w:pPr>
        <w:spacing w:line="560" w:lineRule="exact"/>
        <w:ind w:firstLine="0" w:firstLineChars="0"/>
        <w:jc w:val="left"/>
        <w:rPr>
          <w:rStyle w:val="12"/>
          <w:rFonts w:ascii="Times New Roman" w:hAnsi="Times New Roman"/>
        </w:rPr>
      </w:pPr>
    </w:p>
    <w:p w14:paraId="506EB52A">
      <w:pPr>
        <w:spacing w:line="560" w:lineRule="exact"/>
        <w:ind w:firstLine="0" w:firstLineChars="0"/>
        <w:rPr>
          <w:rFonts w:ascii="Times New Roman" w:hAnsi="Times New Roman" w:eastAsia="方正小标宋_GBK"/>
          <w:sz w:val="44"/>
          <w:szCs w:val="44"/>
        </w:rPr>
      </w:pPr>
    </w:p>
    <w:p w14:paraId="6B977647">
      <w:pPr>
        <w:ind w:firstLine="0" w:firstLineChars="0"/>
        <w:jc w:val="center"/>
        <w:rPr>
          <w:rFonts w:ascii="Times New Roman" w:hAnsi="Times New Roman" w:eastAsia="方正小标宋_GBK"/>
          <w:sz w:val="44"/>
          <w:szCs w:val="44"/>
        </w:rPr>
      </w:pPr>
      <w:r>
        <w:rPr>
          <w:rFonts w:ascii="Times New Roman" w:hAnsi="Times New Roman" w:eastAsia="方正小标宋_GBK"/>
          <w:sz w:val="44"/>
          <w:szCs w:val="44"/>
        </w:rPr>
        <w:t>第一部分部门概况</w:t>
      </w:r>
    </w:p>
    <w:p w14:paraId="4B8EC78A">
      <w:pPr>
        <w:ind w:firstLine="0" w:firstLineChars="0"/>
        <w:jc w:val="center"/>
        <w:rPr>
          <w:rFonts w:ascii="Times New Roman" w:hAnsi="Times New Roman" w:eastAsia="方正小标宋_GBK"/>
          <w:sz w:val="44"/>
          <w:szCs w:val="44"/>
        </w:rPr>
      </w:pPr>
    </w:p>
    <w:p w14:paraId="57545F84">
      <w:pPr>
        <w:pStyle w:val="6"/>
        <w:spacing w:before="0"/>
        <w:jc w:val="left"/>
        <w:rPr>
          <w:rFonts w:ascii="Times New Roman" w:hAnsi="Times New Roman" w:eastAsia="黑体"/>
          <w:sz w:val="32"/>
          <w:szCs w:val="32"/>
        </w:rPr>
      </w:pPr>
      <w:r>
        <w:rPr>
          <w:rFonts w:ascii="Times New Roman" w:hAnsi="Times New Roman" w:eastAsia="黑体"/>
          <w:sz w:val="32"/>
          <w:szCs w:val="32"/>
        </w:rPr>
        <w:t>一、基本职能及主要工作</w:t>
      </w:r>
    </w:p>
    <w:p w14:paraId="0DC3C179">
      <w:pPr>
        <w:jc w:val="left"/>
        <w:rPr>
          <w:rFonts w:ascii="Times New Roman" w:hAnsi="Times New Roman" w:eastAsia="仿宋_GB2312"/>
        </w:rPr>
      </w:pPr>
      <w:r>
        <w:rPr>
          <w:rFonts w:ascii="Times New Roman" w:hAnsi="Times New Roman" w:eastAsia="仿宋_GB2312"/>
        </w:rPr>
        <w:t>2019年3月25日，按照米委办发〔2019〕25号，米易县综合行政执法局（简称县综合执法局）是米易县人民政府工作部门，为正科级。加挂县城市管理局（简称县城管局）牌子。2019年6月4日，根据米编发〔2019〕14 号，将原作为县政府直属事业单位设置的米易县城市管理局更名为米易县城市公用事业服务中心，为县政府直属公益一类事业单位，由县综合行政执法局代管。因</w:t>
      </w:r>
      <w:r>
        <w:rPr>
          <w:rFonts w:ascii="Times New Roman" w:hAnsi="Times New Roman" w:eastAsia="仿宋_GB2312"/>
          <w:bCs/>
        </w:rPr>
        <w:t>本年度“米易县城市公用事业服务中心”尚未建账。</w:t>
      </w:r>
      <w:r>
        <w:rPr>
          <w:rFonts w:ascii="Times New Roman" w:hAnsi="Times New Roman" w:eastAsia="仿宋_GB2312"/>
        </w:rPr>
        <w:t>以下分析所用数据仅包含米易县综合行政执法局（原米易县城市管理局）账务数据。</w:t>
      </w:r>
    </w:p>
    <w:p w14:paraId="18D32F10">
      <w:pPr>
        <w:pStyle w:val="2"/>
        <w:spacing w:beforeLines="0"/>
        <w:jc w:val="left"/>
        <w:rPr>
          <w:rFonts w:ascii="Times New Roman" w:eastAsia="楷体"/>
          <w:sz w:val="32"/>
          <w:szCs w:val="32"/>
        </w:rPr>
      </w:pPr>
      <w:r>
        <w:rPr>
          <w:rFonts w:ascii="Times New Roman" w:eastAsia="楷体"/>
          <w:sz w:val="32"/>
          <w:szCs w:val="32"/>
        </w:rPr>
        <w:t>主要职能：</w:t>
      </w:r>
    </w:p>
    <w:p w14:paraId="2A818DD9">
      <w:pPr>
        <w:jc w:val="left"/>
        <w:rPr>
          <w:rFonts w:ascii="Times New Roman" w:hAnsi="Times New Roman" w:eastAsia="仿宋_GB2312"/>
        </w:rPr>
      </w:pPr>
      <w:r>
        <w:rPr>
          <w:rFonts w:ascii="Times New Roman" w:hAnsi="Times New Roman" w:eastAsia="仿宋_GB2312"/>
        </w:rPr>
        <w:t>根据米委办发〔2019〕25 号，县综合执法局贯彻落实党中央关于推进综合行政执法和城市管理工作的方针政策和省委、市委、县委的决策部署，在履行职责过程中坚持并加强党对综合行政执法和城市管理工作的集中统一领导。</w:t>
      </w:r>
    </w:p>
    <w:p w14:paraId="003514E8">
      <w:pPr>
        <w:jc w:val="left"/>
        <w:rPr>
          <w:rFonts w:ascii="Times New Roman" w:hAnsi="Times New Roman" w:eastAsia="仿宋_GB2312"/>
        </w:rPr>
      </w:pPr>
      <w:r>
        <w:rPr>
          <w:rFonts w:ascii="Times New Roman" w:hAnsi="Times New Roman" w:eastAsia="楷体"/>
        </w:rPr>
        <w:t>主要职责是：</w:t>
      </w:r>
      <w:r>
        <w:rPr>
          <w:rFonts w:ascii="Times New Roman" w:hAnsi="Times New Roman" w:eastAsia="仿宋_GB2312"/>
        </w:rPr>
        <w:t xml:space="preserve">（一）宣传、贯彻、执行国家和省、市、县关于开展综合行政执法工作及市容环卫、市政公用、园林绿化的法律、法规、方针、政策，治理和维护城市管理秩序。参与拟订城市管理地方性法规、规章草案。拟订综合行政执法和城市管理发展规划、实施计划、管理标准、工作目标并组织实施。（二）负责城市管理的行政执法工作。（三）会同城乡规划主管部门编制城市市容环卫、市政公用、园林绿化等各项专业规划，参与城市建设项目设计方案、初步设计的审查。（四）负责城市市容环境卫生综合管理工作。（五）负责全县城市市容环卫、市政公用、园林绿化等基础设施的管理和有关的行政许可工作。（六）负责全县城市绿化监督管理工作。（七）负责城市供水、城市排水、城市节约用水、污水处理和再生水利用的行业指导和监督管理工作。（八）负责燃气行业综合管理工作。（九）负责推进数字化城市管理和信息化建设。（十）会同财政部门拟订城市管理维护和综合行政执法经费的中长期规划和年度计划，并组织实施和监管使用。（十一）参与城市新建、改（扩）建项目中涉及市容环境卫生、园林绿化、市政公用设施建设项目的规划、方案审查、综合验收。（十二）承担职责范围内的安全生产和职业健康、生态环境保护、审批服务便民化等工作。（十三）完成县委、县政府交办的其他任务。 </w:t>
      </w:r>
    </w:p>
    <w:p w14:paraId="1866D565">
      <w:pPr>
        <w:pStyle w:val="2"/>
        <w:spacing w:beforeLines="0"/>
        <w:jc w:val="left"/>
        <w:rPr>
          <w:rFonts w:ascii="Times New Roman" w:eastAsia="楷体"/>
          <w:sz w:val="32"/>
          <w:szCs w:val="32"/>
        </w:rPr>
      </w:pPr>
      <w:r>
        <w:rPr>
          <w:rFonts w:ascii="Times New Roman" w:eastAsia="楷体"/>
          <w:sz w:val="32"/>
          <w:szCs w:val="32"/>
        </w:rPr>
        <w:t>2020年主要指标完成情况</w:t>
      </w:r>
    </w:p>
    <w:p w14:paraId="19806493">
      <w:pPr>
        <w:jc w:val="left"/>
        <w:rPr>
          <w:rFonts w:ascii="Times New Roman" w:hAnsi="Times New Roman" w:eastAsia="仿宋_GB2312"/>
        </w:rPr>
      </w:pPr>
      <w:r>
        <w:rPr>
          <w:rFonts w:ascii="Times New Roman" w:hAnsi="Times New Roman" w:eastAsia="仿宋_GB2312"/>
        </w:rPr>
        <w:t>2020年完成固定资产投资3.5亿元，实现招商引资1.48亿元，全县生活垃圾无害化处理率达100%，密闭清运率达100%，城区道路机械化清扫程度达90%以上，城市生活污水集中处理率达85.09%，亮灯率达98%，市政设施完好率达97.3%，城市绿地率达35.2%，绿化覆盖率达39.8%。</w:t>
      </w:r>
    </w:p>
    <w:p w14:paraId="72A068B0">
      <w:pPr>
        <w:jc w:val="left"/>
        <w:rPr>
          <w:rFonts w:ascii="Times New Roman" w:hAnsi="Times New Roman" w:eastAsia="黑体"/>
        </w:rPr>
      </w:pPr>
      <w:r>
        <w:rPr>
          <w:rFonts w:ascii="Times New Roman" w:hAnsi="Times New Roman" w:eastAsia="黑体"/>
        </w:rPr>
        <w:t>二、机构设置</w:t>
      </w:r>
    </w:p>
    <w:p w14:paraId="74F59E86">
      <w:pPr>
        <w:jc w:val="left"/>
        <w:rPr>
          <w:rFonts w:ascii="Times New Roman" w:hAnsi="Times New Roman" w:eastAsia="仿宋_GB2312"/>
        </w:rPr>
      </w:pPr>
      <w:r>
        <w:rPr>
          <w:rFonts w:ascii="Times New Roman" w:hAnsi="Times New Roman" w:eastAsia="仿宋_GB2312"/>
        </w:rPr>
        <w:t>米易县综合行政执法局内设机构为：</w:t>
      </w:r>
    </w:p>
    <w:p w14:paraId="39C708DA">
      <w:pPr>
        <w:jc w:val="left"/>
        <w:rPr>
          <w:rFonts w:ascii="Times New Roman" w:hAnsi="Times New Roman" w:eastAsia="仿宋_GB2312"/>
        </w:rPr>
      </w:pPr>
      <w:r>
        <w:rPr>
          <w:rFonts w:ascii="Times New Roman" w:hAnsi="Times New Roman" w:eastAsia="仿宋_GB2312"/>
        </w:rPr>
        <w:t>（一）办公室（政策法规股），负责文电、会务、档案、机要、国有资产管理等机关日常运转工作。承担党群、党风廉政建设、保密、信息、人事、财务、绩效管理、政务公开和信访工作。组织办理人大代表建议、政协委员提案。承担有关综合性文稿起草和史志编纂工作。监督指导和开展城管系统依法行政和普法宣传教育工作。研究制定城管系统的综合发展规划、中长期计划等。</w:t>
      </w:r>
    </w:p>
    <w:p w14:paraId="20FAF9A8">
      <w:pPr>
        <w:jc w:val="left"/>
        <w:rPr>
          <w:rFonts w:ascii="Times New Roman" w:hAnsi="Times New Roman" w:eastAsia="仿宋_GB2312"/>
        </w:rPr>
      </w:pPr>
      <w:r>
        <w:rPr>
          <w:rFonts w:ascii="Times New Roman" w:hAnsi="Times New Roman" w:eastAsia="仿宋_GB2312"/>
        </w:rPr>
        <w:t>（二）业务股，负责对规划区内城市园林绿化行业的管理、业务指导、培训、考核和检查工作，负责城市园林绿化、公园建设管理、园林城市创建、园林绿化细胞工程建设、城市规划区古树名木的保护管理、组织园林科研项目申报、省市绿化管理条例的宣传教育、城市园林绿化指标的统计及解释工作，参与城市绿地规划的修编、审定和城市绿化工程的设计审查及竣工验收工作。负责城市市容市貌和环境卫生的行业管理工作，并参与拟订行业管理规划、规范、标准及相关政策；制定城市环境卫生和市容市貌整治工作规划，并监督、指导、组织实施；负责对城市环卫行业的招投标、招商引资、特许经营等工作的指导和协调，城市环卫作业的指导、监督、检查和考核工作，组织处理环卫相关突发、应急事件，组织环卫科研项目申报工作；指导、监督、检查环卫设施设备的建设和规范化管理工作；参与卫生单位创建的指导管理、城市环卫建设项目综合验收等 。</w:t>
      </w:r>
    </w:p>
    <w:p w14:paraId="43613807">
      <w:pPr>
        <w:pStyle w:val="6"/>
        <w:spacing w:before="0" w:line="560" w:lineRule="exact"/>
        <w:jc w:val="left"/>
        <w:rPr>
          <w:rFonts w:ascii="Times New Roman" w:hAnsi="Times New Roman" w:eastAsia="仿宋_GB2312"/>
          <w:sz w:val="32"/>
          <w:szCs w:val="32"/>
        </w:rPr>
      </w:pPr>
    </w:p>
    <w:p w14:paraId="169174E7">
      <w:pPr>
        <w:pStyle w:val="6"/>
        <w:spacing w:before="0"/>
        <w:ind w:firstLine="0" w:firstLineChars="0"/>
        <w:rPr>
          <w:rFonts w:ascii="Times New Roman" w:hAnsi="Times New Roman" w:eastAsia="方正小标宋_GBK"/>
          <w:sz w:val="44"/>
          <w:szCs w:val="44"/>
        </w:rPr>
      </w:pPr>
      <w:r>
        <w:rPr>
          <w:rFonts w:ascii="Times New Roman" w:hAnsi="Times New Roman" w:eastAsia="方正小标宋_GBK"/>
          <w:sz w:val="44"/>
          <w:szCs w:val="44"/>
        </w:rPr>
        <w:t>第二部分 2020年度部门决算情况说明</w:t>
      </w:r>
    </w:p>
    <w:p w14:paraId="5D7651C7">
      <w:pPr>
        <w:rPr>
          <w:rFonts w:ascii="Times New Roman" w:hAnsi="Times New Roman"/>
        </w:rPr>
      </w:pPr>
    </w:p>
    <w:p w14:paraId="47DA3D33">
      <w:pPr>
        <w:pStyle w:val="6"/>
        <w:spacing w:before="0"/>
        <w:jc w:val="left"/>
        <w:rPr>
          <w:rFonts w:ascii="Times New Roman" w:hAnsi="Times New Roman" w:eastAsia="黑体"/>
          <w:sz w:val="32"/>
          <w:szCs w:val="32"/>
        </w:rPr>
      </w:pPr>
      <w:r>
        <w:rPr>
          <w:rFonts w:ascii="Times New Roman" w:hAnsi="Times New Roman" w:eastAsia="黑体"/>
          <w:sz w:val="32"/>
          <w:szCs w:val="32"/>
        </w:rPr>
        <w:t>一、收入支出决算总体情况说明</w:t>
      </w:r>
    </w:p>
    <w:p w14:paraId="06D556EF">
      <w:pPr>
        <w:tabs>
          <w:tab w:val="left" w:pos="0"/>
        </w:tabs>
        <w:jc w:val="left"/>
        <w:rPr>
          <w:rFonts w:ascii="Times New Roman" w:hAnsi="Times New Roman" w:eastAsia="仿宋_GB2312"/>
        </w:rPr>
      </w:pPr>
      <w:r>
        <w:rPr>
          <w:rFonts w:ascii="Times New Roman" w:hAnsi="Times New Roman" w:eastAsia="仿宋_GB2312"/>
        </w:rPr>
        <w:t>2020年度收、支总计均是1165</w:t>
      </w:r>
      <w:r>
        <w:rPr>
          <w:rFonts w:hint="eastAsia" w:ascii="Times New Roman" w:hAnsi="Times New Roman" w:eastAsia="仿宋_GB2312"/>
        </w:rPr>
        <w:t>0.75</w:t>
      </w:r>
      <w:r>
        <w:rPr>
          <w:rFonts w:ascii="Times New Roman" w:hAnsi="Times New Roman" w:eastAsia="仿宋_GB2312"/>
        </w:rPr>
        <w:t>万元,与2019年相比，收、支总计各减少了193</w:t>
      </w:r>
      <w:r>
        <w:rPr>
          <w:rFonts w:hint="eastAsia" w:ascii="Times New Roman" w:hAnsi="Times New Roman" w:eastAsia="仿宋_GB2312"/>
        </w:rPr>
        <w:t>0.53</w:t>
      </w:r>
      <w:r>
        <w:rPr>
          <w:rFonts w:ascii="Times New Roman" w:hAnsi="Times New Roman" w:eastAsia="仿宋_GB2312"/>
        </w:rPr>
        <w:t>万元，减少14.21%。主要变动原因是2019年部分政府性基金预算财政拨款项目减少，2020年中，部分项目</w:t>
      </w:r>
      <w:r>
        <w:rPr>
          <w:rFonts w:hint="eastAsia" w:ascii="Times New Roman" w:hAnsi="Times New Roman" w:eastAsia="仿宋_GB2312"/>
        </w:rPr>
        <w:t>虽已完工，但</w:t>
      </w:r>
      <w:r>
        <w:rPr>
          <w:rFonts w:ascii="Times New Roman" w:hAnsi="Times New Roman" w:eastAsia="仿宋_GB2312"/>
        </w:rPr>
        <w:t>因未完成所有支付程序而尚未最终形成支付。</w:t>
      </w:r>
    </w:p>
    <w:p w14:paraId="3A76A781">
      <w:pPr>
        <w:ind w:firstLine="0" w:firstLineChars="0"/>
        <w:jc w:val="center"/>
        <w:rPr>
          <w:rFonts w:ascii="Times New Roman" w:hAnsi="Times New Roman" w:eastAsia="仿宋_GB2312"/>
        </w:rPr>
      </w:pPr>
      <w:r>
        <w:rPr>
          <w:rFonts w:ascii="Times New Roman" w:hAnsi="Times New Roman" w:eastAsia="仿宋_GB2312"/>
        </w:rPr>
        <w:t>（图1：收、支决算总体情况变动图）（柱状图）</w:t>
      </w:r>
    </w:p>
    <w:p w14:paraId="6E804A0F">
      <w:pPr>
        <w:rPr>
          <w:rFonts w:ascii="Times New Roman" w:hAnsi="Times New Roman"/>
        </w:rPr>
      </w:pPr>
    </w:p>
    <w:p w14:paraId="340C1A4C">
      <w:pPr>
        <w:spacing w:line="240" w:lineRule="auto"/>
        <w:ind w:firstLine="0" w:firstLineChars="0"/>
        <w:rPr>
          <w:rFonts w:ascii="Times New Roman" w:hAnsi="Times New Roman"/>
        </w:rPr>
      </w:pPr>
      <w:r>
        <w:rPr>
          <w:rFonts w:ascii="Times New Roman" w:hAnsi="Times New Roman"/>
        </w:rPr>
        <w:drawing>
          <wp:inline distT="0" distB="0" distL="0" distR="0">
            <wp:extent cx="4655820" cy="2895600"/>
            <wp:effectExtent l="0" t="0" r="0" b="0"/>
            <wp:docPr id="1" name="对象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1F7F36">
      <w:pPr>
        <w:pStyle w:val="7"/>
        <w:ind w:left="640"/>
        <w:rPr>
          <w:rFonts w:ascii="Times New Roman" w:hAnsi="Times New Roman"/>
        </w:rPr>
      </w:pPr>
    </w:p>
    <w:p w14:paraId="78211C5B">
      <w:pPr>
        <w:pStyle w:val="7"/>
        <w:ind w:left="0" w:leftChars="0" w:firstLine="0" w:firstLineChars="0"/>
        <w:rPr>
          <w:rFonts w:ascii="Times New Roman" w:hAnsi="Times New Roman"/>
        </w:rPr>
      </w:pPr>
      <w:r>
        <w:rPr>
          <w:rFonts w:ascii="Times New Roman" w:hAnsi="Times New Roman"/>
        </w:rPr>
        <w:t xml:space="preserve">  </w:t>
      </w:r>
      <w:r>
        <w:rPr>
          <w:rFonts w:ascii="Times New Roman" w:hAnsi="Times New Roman" w:eastAsia="黑体"/>
        </w:rPr>
        <w:t xml:space="preserve">  二、收入决算情况说明</w:t>
      </w:r>
    </w:p>
    <w:p w14:paraId="323F1B1C">
      <w:pPr>
        <w:rPr>
          <w:rFonts w:ascii="Times New Roman" w:hAnsi="Times New Roman" w:eastAsia="仿宋_GB2312"/>
        </w:rPr>
      </w:pPr>
      <w:r>
        <w:rPr>
          <w:rFonts w:ascii="Times New Roman" w:hAnsi="Times New Roman" w:eastAsia="仿宋_GB2312"/>
        </w:rPr>
        <w:t>2020年本年收入合计6971.29万元，其中：一般公共预算财政拨款收入3270.19万元，占46.91%；政府性基金预算财政拨款收入3701.1万元，占53.09 %；国有资本经营预算财政拨款收入0万元；事业收入0万元；经营收入0万元；附属单位上缴收入0万元；其他收入0万元。</w:t>
      </w:r>
    </w:p>
    <w:p w14:paraId="45B9B07B">
      <w:pPr>
        <w:ind w:firstLine="0" w:firstLineChars="0"/>
        <w:jc w:val="center"/>
        <w:rPr>
          <w:rFonts w:ascii="Times New Roman" w:hAnsi="Times New Roman" w:eastAsia="仿宋_GB2312"/>
        </w:rPr>
      </w:pPr>
    </w:p>
    <w:p w14:paraId="46704605">
      <w:pPr>
        <w:ind w:firstLine="0" w:firstLineChars="0"/>
        <w:jc w:val="center"/>
        <w:rPr>
          <w:rFonts w:ascii="Times New Roman" w:hAnsi="Times New Roman" w:eastAsia="仿宋_GB2312"/>
        </w:rPr>
      </w:pPr>
      <w:r>
        <w:rPr>
          <w:rFonts w:ascii="Times New Roman" w:hAnsi="Times New Roman" w:eastAsia="仿宋_GB2312"/>
        </w:rPr>
        <w:t>（图2：收入决算结构图）（饼状图）</w:t>
      </w:r>
    </w:p>
    <w:p w14:paraId="635DE171">
      <w:pPr>
        <w:ind w:firstLine="0" w:firstLineChars="0"/>
        <w:jc w:val="center"/>
        <w:rPr>
          <w:rFonts w:ascii="Times New Roman" w:hAnsi="Times New Roman" w:eastAsia="仿宋_GB2312"/>
        </w:rPr>
      </w:pPr>
      <w:r>
        <w:rPr>
          <w:rFonts w:ascii="Times New Roman" w:hAnsi="Times New Roman" w:eastAsia="仿宋_GB2312"/>
        </w:rPr>
        <w:pict>
          <v:shape id="对象 5" o:spid="_x0000_s1027" o:spt="75" type="#_x0000_t75" style="position:absolute;left:0pt;margin-left:18.15pt;margin-top:7.5pt;height:176.1pt;width:410.7pt;z-index:251659264;mso-width-relative:page;mso-height-relative:page;" o:ole="t" filled="f" o:preferrelative="t" stroked="f" coordsize="21600,21600" o:gfxdata="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">
            <v:path/>
            <v:fill on="f" focussize="0,0"/>
            <v:stroke on="f" joinstyle="miter"/>
            <v:imagedata r:id="rId14" o:title=""/>
            <o:lock v:ext="edit" aspectratio="t"/>
          </v:shape>
          <o:OLEObject Type="Embed" ProgID="Excel.Sheet.8" ShapeID="对象 5" DrawAspect="Content" ObjectID="_1468075725" r:id="rId13">
            <o:LockedField>false</o:LockedField>
          </o:OLEObject>
        </w:pict>
      </w:r>
    </w:p>
    <w:p w14:paraId="7B00F657">
      <w:pPr>
        <w:ind w:firstLine="0" w:firstLineChars="0"/>
        <w:jc w:val="center"/>
        <w:rPr>
          <w:rFonts w:ascii="Times New Roman" w:hAnsi="Times New Roman"/>
        </w:rPr>
      </w:pPr>
      <w:r>
        <w:rPr>
          <w:rFonts w:ascii="Times New Roman" w:hAnsi="Times New Roman"/>
        </w:rPr>
        <w:drawing>
          <wp:inline distT="0" distB="0" distL="0" distR="0">
            <wp:extent cx="4991100" cy="1927860"/>
            <wp:effectExtent l="0" t="0" r="0" b="0"/>
            <wp:docPr id="2" name="对象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9C7683">
      <w:pPr>
        <w:rPr>
          <w:rFonts w:ascii="Times New Roman" w:hAnsi="Times New Roman"/>
        </w:rPr>
      </w:pPr>
    </w:p>
    <w:p w14:paraId="3BAEDF91">
      <w:pPr>
        <w:pStyle w:val="7"/>
        <w:ind w:left="640"/>
        <w:rPr>
          <w:rFonts w:ascii="Times New Roman" w:hAnsi="Times New Roman"/>
        </w:rPr>
      </w:pPr>
    </w:p>
    <w:p w14:paraId="23FE20CC">
      <w:pPr>
        <w:pStyle w:val="7"/>
        <w:ind w:left="640"/>
        <w:rPr>
          <w:rFonts w:ascii="Times New Roman" w:hAnsi="Times New Roman"/>
        </w:rPr>
      </w:pPr>
    </w:p>
    <w:p w14:paraId="4D0DFB45">
      <w:pPr>
        <w:pStyle w:val="7"/>
        <w:ind w:left="0" w:leftChars="0" w:firstLine="0" w:firstLineChars="0"/>
        <w:rPr>
          <w:rFonts w:ascii="Times New Roman" w:hAnsi="Times New Roman"/>
        </w:rPr>
      </w:pPr>
    </w:p>
    <w:p w14:paraId="3C0012A6">
      <w:pPr>
        <w:pStyle w:val="7"/>
        <w:ind w:left="0" w:leftChars="0"/>
        <w:rPr>
          <w:rFonts w:ascii="Times New Roman" w:hAnsi="Times New Roman" w:eastAsia="黑体"/>
        </w:rPr>
      </w:pPr>
      <w:r>
        <w:rPr>
          <w:rFonts w:ascii="Times New Roman" w:hAnsi="Times New Roman" w:eastAsia="黑体"/>
        </w:rPr>
        <w:t>三、支出决算情况说明</w:t>
      </w:r>
    </w:p>
    <w:p w14:paraId="5849D925">
      <w:pPr>
        <w:rPr>
          <w:rFonts w:ascii="Times New Roman" w:hAnsi="Times New Roman" w:eastAsia="仿宋_GB2312"/>
        </w:rPr>
      </w:pPr>
      <w:r>
        <w:rPr>
          <w:rFonts w:ascii="Times New Roman" w:hAnsi="Times New Roman" w:eastAsia="仿宋_GB2312"/>
        </w:rPr>
        <w:t>2020年本年支出合计8469.41万元，其中：基本支出482.61万元，占5.70%；项目支出7986.80万元，占94.30%；上缴上级支出0万元；经营支出0万元；对附属单位补助支出0万元。</w:t>
      </w:r>
    </w:p>
    <w:p w14:paraId="466AA51B">
      <w:pPr>
        <w:ind w:firstLine="0" w:firstLineChars="0"/>
        <w:jc w:val="center"/>
        <w:rPr>
          <w:rFonts w:ascii="Times New Roman" w:hAnsi="Times New Roman" w:eastAsia="仿宋_GB2312"/>
        </w:rPr>
      </w:pPr>
      <w:r>
        <w:rPr>
          <w:rFonts w:ascii="Times New Roman" w:hAnsi="Times New Roman" w:eastAsia="仿宋_GB2312"/>
        </w:rPr>
        <w:t>（图3：支出决算结构图）（饼状图）</w:t>
      </w:r>
    </w:p>
    <w:p w14:paraId="1AC2857C">
      <w:pPr>
        <w:rPr>
          <w:rFonts w:ascii="Times New Roman" w:hAnsi="Times New Roman"/>
        </w:rPr>
      </w:pPr>
      <w:r>
        <w:rPr>
          <w:rFonts w:ascii="Times New Roman" w:hAnsi="Times New Roman"/>
        </w:rPr>
        <w:pict>
          <v:shape id="对象 6" o:spid="_x0000_s1028" o:spt="75" type="#_x0000_t75" style="position:absolute;left:0pt;margin-left:36.8pt;margin-top:2.35pt;height:202.55pt;width:381.6pt;z-index:251660288;mso-width-relative:page;mso-height-relative:page;" o:ole="t" filled="f" o:preferrelative="t" stroked="f" coordsize="21600,21600" o:gfxdata="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">
            <v:path/>
            <v:fill on="f" focussize="0,0"/>
            <v:stroke on="f" joinstyle="miter"/>
            <v:imagedata r:id="rId17" o:title=""/>
            <o:lock v:ext="edit" aspectratio="t"/>
          </v:shape>
          <o:OLEObject Type="Embed" ProgID="Excel.Sheet.8" ShapeID="对象 6" DrawAspect="Content" ObjectID="_1468075726" r:id="rId16">
            <o:LockedField>false</o:LockedField>
          </o:OLEObject>
        </w:pict>
      </w:r>
    </w:p>
    <w:p w14:paraId="172738C0">
      <w:pPr>
        <w:pStyle w:val="7"/>
        <w:ind w:left="640"/>
        <w:rPr>
          <w:rFonts w:ascii="Times New Roman" w:hAnsi="Times New Roman"/>
        </w:rPr>
      </w:pPr>
    </w:p>
    <w:p w14:paraId="14DBDFE5">
      <w:pPr>
        <w:pStyle w:val="7"/>
        <w:ind w:left="640"/>
        <w:rPr>
          <w:rFonts w:ascii="Times New Roman" w:hAnsi="Times New Roman"/>
        </w:rPr>
      </w:pPr>
    </w:p>
    <w:p w14:paraId="1A0B6B96">
      <w:pPr>
        <w:pStyle w:val="7"/>
        <w:ind w:left="0" w:leftChars="0" w:firstLine="0" w:firstLineChars="0"/>
        <w:rPr>
          <w:rFonts w:ascii="Times New Roman" w:hAnsi="Times New Roman"/>
        </w:rPr>
      </w:pPr>
    </w:p>
    <w:p w14:paraId="17368951">
      <w:pPr>
        <w:pStyle w:val="7"/>
        <w:ind w:left="0" w:leftChars="0" w:firstLine="0" w:firstLineChars="0"/>
        <w:rPr>
          <w:rFonts w:ascii="Times New Roman" w:hAnsi="Times New Roman"/>
        </w:rPr>
      </w:pPr>
    </w:p>
    <w:p w14:paraId="793F1CE6">
      <w:pPr>
        <w:pStyle w:val="7"/>
        <w:ind w:left="0" w:leftChars="0" w:firstLine="0" w:firstLineChars="0"/>
        <w:rPr>
          <w:rFonts w:ascii="Times New Roman" w:hAnsi="Times New Roman"/>
        </w:rPr>
      </w:pPr>
    </w:p>
    <w:p w14:paraId="23C38DD6">
      <w:pPr>
        <w:pStyle w:val="7"/>
        <w:ind w:left="0" w:leftChars="0" w:firstLine="0" w:firstLineChars="0"/>
        <w:rPr>
          <w:rFonts w:ascii="Times New Roman" w:hAnsi="Times New Roman"/>
        </w:rPr>
      </w:pPr>
    </w:p>
    <w:p w14:paraId="7ECD7149">
      <w:pPr>
        <w:pStyle w:val="7"/>
        <w:ind w:left="0" w:leftChars="0"/>
        <w:rPr>
          <w:rFonts w:ascii="Times New Roman" w:hAnsi="Times New Roman" w:eastAsia="黑体"/>
        </w:rPr>
      </w:pPr>
      <w:r>
        <w:rPr>
          <w:rFonts w:ascii="Times New Roman" w:hAnsi="Times New Roman" w:eastAsia="黑体"/>
        </w:rPr>
        <w:t>四、财政拨款收入支出决算总体情况说明</w:t>
      </w:r>
    </w:p>
    <w:p w14:paraId="45C83490">
      <w:pPr>
        <w:rPr>
          <w:rFonts w:ascii="Times New Roman" w:hAnsi="Times New Roman" w:eastAsia="仿宋_GB2312"/>
        </w:rPr>
      </w:pPr>
      <w:r>
        <w:rPr>
          <w:rFonts w:ascii="Times New Roman" w:hAnsi="Times New Roman" w:eastAsia="仿宋_GB2312"/>
        </w:rPr>
        <w:t>2020年财政拨款收、支总计均是1165</w:t>
      </w:r>
      <w:r>
        <w:rPr>
          <w:rFonts w:hint="eastAsia" w:ascii="Times New Roman" w:hAnsi="Times New Roman" w:eastAsia="仿宋_GB2312"/>
        </w:rPr>
        <w:t>0.75</w:t>
      </w:r>
      <w:r>
        <w:rPr>
          <w:rFonts w:ascii="Times New Roman" w:hAnsi="Times New Roman" w:eastAsia="仿宋_GB2312"/>
        </w:rPr>
        <w:t>万元,与2019年相比，财政拨款收、支总计各减少了193</w:t>
      </w:r>
      <w:r>
        <w:rPr>
          <w:rFonts w:hint="eastAsia" w:ascii="Times New Roman" w:hAnsi="Times New Roman" w:eastAsia="仿宋_GB2312"/>
        </w:rPr>
        <w:t>0.53</w:t>
      </w:r>
      <w:r>
        <w:rPr>
          <w:rFonts w:ascii="Times New Roman" w:hAnsi="Times New Roman" w:eastAsia="仿宋_GB2312"/>
        </w:rPr>
        <w:t>万元，减少14.21%。主要变动原因是2019年部分政府性基金预算财政拨款项目减少，2020年中，部分项目</w:t>
      </w:r>
      <w:r>
        <w:rPr>
          <w:rFonts w:hint="eastAsia" w:ascii="Times New Roman" w:hAnsi="Times New Roman" w:eastAsia="仿宋_GB2312"/>
        </w:rPr>
        <w:t>虽已完工</w:t>
      </w:r>
      <w:r>
        <w:rPr>
          <w:rFonts w:ascii="Times New Roman" w:hAnsi="Times New Roman" w:eastAsia="仿宋_GB2312"/>
        </w:rPr>
        <w:t>，但因未完成所有支付程序而尚未最终形成支付。</w:t>
      </w:r>
    </w:p>
    <w:p w14:paraId="0C924085">
      <w:pPr>
        <w:ind w:firstLine="0" w:firstLineChars="0"/>
        <w:jc w:val="center"/>
        <w:rPr>
          <w:rFonts w:ascii="Times New Roman" w:hAnsi="Times New Roman" w:eastAsia="仿宋_GB2312"/>
        </w:rPr>
      </w:pPr>
      <w:r>
        <w:rPr>
          <w:rFonts w:ascii="Times New Roman" w:hAnsi="Times New Roman" w:eastAsia="仿宋_GB2312"/>
        </w:rPr>
        <w:t>（图4：财政拨款收入、支出决算总计变动情况）（柱状图）</w:t>
      </w:r>
    </w:p>
    <w:p w14:paraId="66C978F6">
      <w:pPr>
        <w:rPr>
          <w:rFonts w:ascii="Times New Roman" w:hAnsi="Times New Roman"/>
        </w:rPr>
      </w:pPr>
      <w:r>
        <w:rPr>
          <w:rFonts w:ascii="Times New Roman" w:hAnsi="Times New Roman"/>
        </w:rPr>
        <w:drawing>
          <wp:anchor distT="0" distB="0" distL="114300" distR="114300" simplePos="0" relativeHeight="251663360" behindDoc="0" locked="0" layoutInCell="1" allowOverlap="1">
            <wp:simplePos x="0" y="0"/>
            <wp:positionH relativeFrom="column">
              <wp:posOffset>182880</wp:posOffset>
            </wp:positionH>
            <wp:positionV relativeFrom="paragraph">
              <wp:posOffset>167640</wp:posOffset>
            </wp:positionV>
            <wp:extent cx="4899660" cy="2423160"/>
            <wp:effectExtent l="0" t="0" r="0" b="0"/>
            <wp:wrapNone/>
            <wp:docPr id="12" name="对象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3D0AC375">
      <w:pPr>
        <w:rPr>
          <w:rFonts w:ascii="Times New Roman" w:hAnsi="Times New Roman"/>
        </w:rPr>
      </w:pPr>
    </w:p>
    <w:p w14:paraId="03062346">
      <w:pPr>
        <w:rPr>
          <w:rFonts w:ascii="Times New Roman" w:hAnsi="Times New Roman"/>
        </w:rPr>
      </w:pPr>
    </w:p>
    <w:p w14:paraId="419860B7">
      <w:pPr>
        <w:rPr>
          <w:rFonts w:ascii="Times New Roman" w:hAnsi="Times New Roman"/>
        </w:rPr>
      </w:pPr>
    </w:p>
    <w:p w14:paraId="409CC8F3">
      <w:pPr>
        <w:rPr>
          <w:rFonts w:ascii="Times New Roman" w:hAnsi="Times New Roman"/>
        </w:rPr>
      </w:pPr>
    </w:p>
    <w:p w14:paraId="62F522FA">
      <w:pPr>
        <w:pStyle w:val="7"/>
        <w:ind w:left="0" w:leftChars="0" w:firstLine="0" w:firstLineChars="0"/>
        <w:rPr>
          <w:rFonts w:ascii="Times New Roman" w:hAnsi="Times New Roman"/>
        </w:rPr>
      </w:pPr>
    </w:p>
    <w:p w14:paraId="54556D6A">
      <w:pPr>
        <w:pStyle w:val="7"/>
        <w:ind w:left="0" w:leftChars="0" w:firstLine="0" w:firstLineChars="0"/>
        <w:rPr>
          <w:rFonts w:ascii="Times New Roman" w:hAnsi="Times New Roman"/>
        </w:rPr>
      </w:pPr>
    </w:p>
    <w:p w14:paraId="3B9B7869">
      <w:pPr>
        <w:pStyle w:val="7"/>
        <w:ind w:left="0" w:leftChars="0"/>
        <w:rPr>
          <w:rFonts w:ascii="Times New Roman" w:hAnsi="Times New Roman" w:eastAsia="黑体"/>
        </w:rPr>
      </w:pPr>
      <w:r>
        <w:rPr>
          <w:rFonts w:ascii="Times New Roman" w:hAnsi="Times New Roman" w:eastAsia="黑体"/>
        </w:rPr>
        <w:t xml:space="preserve"> 五、一般公共预算财政拨款支出决算情况说明</w:t>
      </w:r>
    </w:p>
    <w:p w14:paraId="77CEAAE0">
      <w:pPr>
        <w:rPr>
          <w:rFonts w:ascii="Times New Roman" w:hAnsi="Times New Roman" w:eastAsia="楷体"/>
        </w:rPr>
      </w:pPr>
      <w:r>
        <w:rPr>
          <w:rFonts w:ascii="Times New Roman" w:hAnsi="Times New Roman" w:eastAsia="楷体"/>
        </w:rPr>
        <w:t>（一）一般公共预算财政拨款支出决算总体情况</w:t>
      </w:r>
    </w:p>
    <w:p w14:paraId="3F65D5CF">
      <w:pPr>
        <w:rPr>
          <w:rFonts w:ascii="Times New Roman" w:hAnsi="Times New Roman" w:eastAsia="仿宋_GB2312"/>
        </w:rPr>
      </w:pPr>
      <w:r>
        <w:rPr>
          <w:rFonts w:ascii="Times New Roman" w:hAnsi="Times New Roman" w:eastAsia="仿宋_GB2312"/>
        </w:rPr>
        <w:t>2020年一般公共预算财政拨款支出4768.31万元，占本年支出合计的56.30%。与2019年2331.78</w:t>
      </w:r>
      <w:r>
        <w:rPr>
          <w:rFonts w:hint="eastAsia" w:ascii="Times New Roman" w:hAnsi="Times New Roman" w:eastAsia="仿宋_GB2312"/>
        </w:rPr>
        <w:t>万元</w:t>
      </w:r>
      <w:r>
        <w:rPr>
          <w:rFonts w:ascii="Times New Roman" w:hAnsi="Times New Roman" w:eastAsia="仿宋_GB2312"/>
        </w:rPr>
        <w:t>相比，一般公共预算财政拨款支出增加2436.53万元，增长104.49%。主要变动原因是社会保障和就业支出、卫生健康支出、节能环保支出、城乡社区支出、住房保障支出分别比上年增加6.23万元、2.02万元、1292.06万元、1568.09万元、2.63万元，而一般公共服务支出、其他支出分别比上年减少5.11万元及429.39万元。</w:t>
      </w:r>
    </w:p>
    <w:p w14:paraId="68C972D6">
      <w:pPr>
        <w:tabs>
          <w:tab w:val="left" w:pos="619"/>
        </w:tabs>
        <w:ind w:firstLine="0" w:firstLineChars="0"/>
        <w:rPr>
          <w:rFonts w:ascii="Times New Roman" w:hAnsi="Times New Roman" w:eastAsia="仿宋_GB2312"/>
        </w:rPr>
      </w:pPr>
      <w:r>
        <w:rPr>
          <w:rFonts w:ascii="Times New Roman" w:hAnsi="Times New Roman" w:eastAsia="仿宋_GB2312"/>
        </w:rPr>
        <w:t>（图5：一般公共预算财政拨款支出决算变动情况）（柱状图）</w:t>
      </w:r>
    </w:p>
    <w:p w14:paraId="67C9E9AB">
      <w:pPr>
        <w:spacing w:line="240" w:lineRule="auto"/>
        <w:ind w:firstLine="0" w:firstLineChars="0"/>
        <w:rPr>
          <w:rFonts w:ascii="Times New Roman" w:hAnsi="Times New Roman" w:eastAsia="楷体"/>
        </w:rPr>
      </w:pPr>
      <w:r>
        <w:rPr>
          <w:rFonts w:hint="eastAsia" w:ascii="Times New Roman" w:hAnsi="Times New Roman" w:eastAsia="楷体"/>
        </w:rPr>
        <w:drawing>
          <wp:inline distT="0" distB="0" distL="0" distR="0">
            <wp:extent cx="5257800" cy="2689860"/>
            <wp:effectExtent l="19050" t="0" r="0" b="0"/>
            <wp:docPr id="3"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片1"/>
                    <pic:cNvPicPr>
                      <a:picLocks noChangeAspect="1" noChangeArrowheads="1"/>
                    </pic:cNvPicPr>
                  </pic:nvPicPr>
                  <pic:blipFill>
                    <a:blip r:embed="rId19"/>
                    <a:srcRect/>
                    <a:stretch>
                      <a:fillRect/>
                    </a:stretch>
                  </pic:blipFill>
                  <pic:spPr>
                    <a:xfrm>
                      <a:off x="0" y="0"/>
                      <a:ext cx="5257800" cy="2689860"/>
                    </a:xfrm>
                    <a:prstGeom prst="rect">
                      <a:avLst/>
                    </a:prstGeom>
                    <a:noFill/>
                    <a:ln w="9525">
                      <a:noFill/>
                      <a:miter lim="800000"/>
                      <a:headEnd/>
                      <a:tailEnd/>
                    </a:ln>
                  </pic:spPr>
                </pic:pic>
              </a:graphicData>
            </a:graphic>
          </wp:inline>
        </w:drawing>
      </w:r>
    </w:p>
    <w:p w14:paraId="5013A09A">
      <w:pPr>
        <w:rPr>
          <w:rFonts w:ascii="Times New Roman" w:hAnsi="Times New Roman" w:eastAsia="楷体"/>
        </w:rPr>
      </w:pPr>
      <w:r>
        <w:rPr>
          <w:rFonts w:ascii="Times New Roman" w:hAnsi="Times New Roman" w:eastAsia="楷体"/>
        </w:rPr>
        <w:t>（二）一般公共预算财政拨款支出决算结构情况</w:t>
      </w:r>
    </w:p>
    <w:p w14:paraId="71CCBBF0">
      <w:pPr>
        <w:rPr>
          <w:rFonts w:ascii="Times New Roman" w:hAnsi="Times New Roman" w:eastAsia="仿宋_GB2312"/>
        </w:rPr>
      </w:pPr>
      <w:r>
        <w:rPr>
          <w:rFonts w:ascii="Times New Roman" w:hAnsi="Times New Roman" w:eastAsia="仿宋_GB2312"/>
        </w:rPr>
        <w:t>2020年一般公共预算财政拨款支出4768.31万元，主要用于以下方面:一般公共服务（类）支出1.35万元，占0.03%；教育支出（类）0万元；科学技术（类）支出0万元；社会保障和就业（类）支出42.25万元，占0.89%；卫生健康支出23.14万元，占0.48%；住房保障支出37.94万元，占0.80%；节能环保支出1677.06万元，占35.17%；城乡社区支出2986.57万元，占62.63%。</w:t>
      </w:r>
    </w:p>
    <w:p w14:paraId="212070D6">
      <w:pPr>
        <w:rPr>
          <w:rFonts w:ascii="Times New Roman" w:hAnsi="Times New Roman" w:eastAsia="仿宋_GB2312"/>
        </w:rPr>
      </w:pPr>
    </w:p>
    <w:p w14:paraId="05A45950">
      <w:pPr>
        <w:rPr>
          <w:rFonts w:ascii="Times New Roman" w:hAnsi="Times New Roman" w:eastAsia="仿宋_GB2312"/>
        </w:rPr>
      </w:pPr>
    </w:p>
    <w:p w14:paraId="0A121920">
      <w:pPr>
        <w:rPr>
          <w:rFonts w:ascii="Times New Roman" w:hAnsi="Times New Roman" w:eastAsia="仿宋_GB2312"/>
        </w:rPr>
      </w:pPr>
    </w:p>
    <w:p w14:paraId="7343D3F9">
      <w:pPr>
        <w:rPr>
          <w:rFonts w:ascii="Times New Roman" w:hAnsi="Times New Roman" w:eastAsia="仿宋_GB2312"/>
        </w:rPr>
      </w:pPr>
    </w:p>
    <w:p w14:paraId="389567A0">
      <w:pPr>
        <w:rPr>
          <w:rFonts w:hint="eastAsia" w:ascii="Times New Roman" w:hAnsi="Times New Roman" w:eastAsia="仿宋_GB2312"/>
        </w:rPr>
      </w:pPr>
    </w:p>
    <w:p w14:paraId="5E4E0D12">
      <w:pPr>
        <w:ind w:firstLine="0" w:firstLineChars="0"/>
        <w:jc w:val="center"/>
        <w:rPr>
          <w:rFonts w:ascii="Times New Roman" w:hAnsi="Times New Roman" w:eastAsia="仿宋_GB2312"/>
        </w:rPr>
      </w:pPr>
      <w:r>
        <w:rPr>
          <w:rFonts w:ascii="Times New Roman" w:hAnsi="Times New Roman" w:eastAsia="仿宋_GB2312"/>
        </w:rPr>
        <w:t>（图6：一般公共预算财政拨款支出决算结构）（饼状图）</w:t>
      </w:r>
    </w:p>
    <w:p w14:paraId="58933116">
      <w:pPr>
        <w:ind w:firstLine="0" w:firstLineChars="0"/>
        <w:jc w:val="center"/>
        <w:rPr>
          <w:rFonts w:ascii="Times New Roman" w:hAnsi="Times New Roman" w:eastAsia="楷体"/>
        </w:rPr>
      </w:pPr>
      <w:r>
        <w:drawing>
          <wp:anchor distT="0" distB="0" distL="114300" distR="114300" simplePos="0" relativeHeight="251661312" behindDoc="0" locked="0" layoutInCell="1" allowOverlap="1">
            <wp:simplePos x="0" y="0"/>
            <wp:positionH relativeFrom="column">
              <wp:posOffset>242570</wp:posOffset>
            </wp:positionH>
            <wp:positionV relativeFrom="paragraph">
              <wp:posOffset>260985</wp:posOffset>
            </wp:positionV>
            <wp:extent cx="5297805" cy="2114550"/>
            <wp:effectExtent l="5080" t="5080" r="12065" b="13970"/>
            <wp:wrapNone/>
            <wp:docPr id="9" name="对象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7F249FBD">
      <w:pPr>
        <w:spacing w:line="240" w:lineRule="auto"/>
        <w:ind w:firstLine="0" w:firstLineChars="0"/>
        <w:rPr>
          <w:rFonts w:ascii="Times New Roman" w:hAnsi="Times New Roman" w:eastAsia="楷体"/>
        </w:rPr>
      </w:pPr>
    </w:p>
    <w:p w14:paraId="6D8B60A1">
      <w:pPr>
        <w:spacing w:line="240" w:lineRule="auto"/>
        <w:ind w:firstLine="0" w:firstLineChars="0"/>
        <w:jc w:val="center"/>
        <w:rPr>
          <w:rFonts w:ascii="Times New Roman" w:hAnsi="Times New Roman" w:eastAsia="楷体"/>
        </w:rPr>
      </w:pPr>
    </w:p>
    <w:p w14:paraId="0AE413CE">
      <w:pPr>
        <w:spacing w:line="240" w:lineRule="auto"/>
        <w:ind w:firstLine="0" w:firstLineChars="0"/>
        <w:jc w:val="center"/>
        <w:rPr>
          <w:rFonts w:ascii="Times New Roman" w:hAnsi="Times New Roman" w:eastAsia="楷体"/>
        </w:rPr>
      </w:pPr>
    </w:p>
    <w:p w14:paraId="7B17BB2D">
      <w:pPr>
        <w:spacing w:line="240" w:lineRule="auto"/>
        <w:ind w:firstLine="0" w:firstLineChars="0"/>
        <w:rPr>
          <w:rFonts w:ascii="Times New Roman" w:hAnsi="Times New Roman" w:eastAsia="楷体"/>
        </w:rPr>
      </w:pPr>
      <w:bookmarkStart w:id="6" w:name="_Toc15377212"/>
    </w:p>
    <w:p w14:paraId="131155B1">
      <w:pPr>
        <w:rPr>
          <w:rFonts w:ascii="Times New Roman" w:hAnsi="Times New Roman" w:eastAsia="楷体"/>
        </w:rPr>
      </w:pPr>
      <w:r>
        <w:rPr>
          <w:rFonts w:ascii="Times New Roman" w:hAnsi="Times New Roman" w:eastAsia="楷体"/>
        </w:rPr>
        <w:t>（三）一般公共预算财政拨款支出决算具体情况</w:t>
      </w:r>
      <w:bookmarkEnd w:id="6"/>
    </w:p>
    <w:p w14:paraId="35612AB9">
      <w:pPr>
        <w:outlineLvl w:val="2"/>
        <w:rPr>
          <w:rStyle w:val="11"/>
          <w:rFonts w:ascii="Times New Roman" w:hAnsi="Times New Roman" w:eastAsia="仿宋_GB2312"/>
          <w:b w:val="0"/>
          <w:bCs/>
        </w:rPr>
      </w:pPr>
      <w:bookmarkStart w:id="7" w:name="_Toc15377444"/>
      <w:bookmarkStart w:id="8" w:name="_Toc15378460"/>
      <w:bookmarkStart w:id="9" w:name="_Toc15377213"/>
      <w:r>
        <w:rPr>
          <w:rFonts w:ascii="Times New Roman" w:hAnsi="Times New Roman" w:eastAsia="仿宋_GB2312"/>
          <w:bCs/>
        </w:rPr>
        <w:t>2020年一般公共预算支出决算数为4768.31万元，</w:t>
      </w:r>
      <w:r>
        <w:rPr>
          <w:rStyle w:val="11"/>
          <w:rFonts w:ascii="Times New Roman" w:hAnsi="Times New Roman" w:eastAsia="仿宋_GB2312"/>
          <w:b w:val="0"/>
          <w:bCs/>
        </w:rPr>
        <w:t>完成预算60.01%。其中：</w:t>
      </w:r>
      <w:bookmarkEnd w:id="7"/>
      <w:bookmarkEnd w:id="8"/>
      <w:bookmarkEnd w:id="9"/>
    </w:p>
    <w:p w14:paraId="341EBDEC">
      <w:pPr>
        <w:pStyle w:val="13"/>
        <w:ind w:firstLine="640"/>
        <w:rPr>
          <w:rFonts w:ascii="Times New Roman" w:hAnsi="Times New Roman" w:eastAsia="仿宋_GB2312"/>
          <w:bCs/>
        </w:rPr>
      </w:pPr>
      <w:r>
        <w:rPr>
          <w:rStyle w:val="11"/>
          <w:rFonts w:ascii="Times New Roman" w:hAnsi="Times New Roman" w:eastAsia="仿宋_GB2312"/>
          <w:b w:val="0"/>
          <w:bCs/>
        </w:rPr>
        <w:t>1.一般公共服务支出（类201）-民族事务（款23）-民族工作专项（项04）: 支出决算数为1.35万元，完成预算100%，</w:t>
      </w:r>
      <w:r>
        <w:rPr>
          <w:rFonts w:ascii="Times New Roman" w:hAnsi="Times New Roman" w:eastAsia="仿宋_GB2312"/>
          <w:bCs/>
        </w:rPr>
        <w:t>决算数与预算数一致。</w:t>
      </w:r>
    </w:p>
    <w:p w14:paraId="70446E60">
      <w:pPr>
        <w:pStyle w:val="13"/>
        <w:ind w:firstLine="640"/>
        <w:rPr>
          <w:rFonts w:ascii="Times New Roman" w:hAnsi="Times New Roman" w:eastAsia="仿宋_GB2312"/>
          <w:bCs/>
        </w:rPr>
      </w:pPr>
      <w:r>
        <w:rPr>
          <w:rStyle w:val="11"/>
          <w:rFonts w:ascii="Times New Roman" w:hAnsi="Times New Roman" w:eastAsia="仿宋_GB2312"/>
          <w:b w:val="0"/>
          <w:bCs/>
        </w:rPr>
        <w:t>2.社会保障和就业支出（类208）－行政事业单位养老支出（05）—行政单位离退休（款01）: 支出决算数为13.50万元，完成预算100%；社会保障和就业支出（类208）－行政事业单位养老支出（05）－机关事业单位基本养老保险缴费支出（项05）:支出决算数为28.75万元，完成100%。</w:t>
      </w:r>
      <w:r>
        <w:rPr>
          <w:rFonts w:ascii="Times New Roman" w:hAnsi="Times New Roman" w:eastAsia="仿宋_GB2312"/>
          <w:bCs/>
        </w:rPr>
        <w:t>决算数与预算数一致。</w:t>
      </w:r>
    </w:p>
    <w:p w14:paraId="15A9AAB2">
      <w:pPr>
        <w:pStyle w:val="13"/>
        <w:ind w:firstLine="640"/>
        <w:rPr>
          <w:rFonts w:ascii="Times New Roman" w:hAnsi="Times New Roman" w:eastAsia="仿宋_GB2312"/>
          <w:bCs/>
        </w:rPr>
      </w:pPr>
      <w:r>
        <w:rPr>
          <w:rStyle w:val="11"/>
          <w:rFonts w:ascii="Times New Roman" w:hAnsi="Times New Roman" w:eastAsia="仿宋_GB2312"/>
          <w:b w:val="0"/>
          <w:bCs/>
        </w:rPr>
        <w:t>3.卫生健康支出（类210）－行政事业单位医疗（款11）－行政单位医疗（项01）:支出决算数为21.92万元，完成预算100%；卫生健康支出（类210）－行政事业单位医疗（款11）－公务员医疗补助（项03）:支出决算数为0.48万元，完成预算100%.</w:t>
      </w:r>
      <w:r>
        <w:rPr>
          <w:rFonts w:ascii="Times New Roman" w:hAnsi="Times New Roman" w:eastAsia="仿宋_GB2312"/>
          <w:bCs/>
        </w:rPr>
        <w:t>决算数与预算数一致。</w:t>
      </w:r>
      <w:r>
        <w:rPr>
          <w:rStyle w:val="11"/>
          <w:rFonts w:ascii="Times New Roman" w:hAnsi="Times New Roman" w:eastAsia="仿宋_GB2312"/>
          <w:b w:val="0"/>
          <w:bCs/>
        </w:rPr>
        <w:t>卫生健康支出（类210）－其他卫生健康支出（款99）－其他卫生健康支出（项01）:支出决算数为0.74万元，完成预算100%.</w:t>
      </w:r>
      <w:r>
        <w:rPr>
          <w:rFonts w:ascii="Times New Roman" w:hAnsi="Times New Roman" w:eastAsia="仿宋_GB2312"/>
          <w:bCs/>
        </w:rPr>
        <w:t>决算数与预算数一致。</w:t>
      </w:r>
    </w:p>
    <w:p w14:paraId="62A57E64">
      <w:pPr>
        <w:rPr>
          <w:rFonts w:ascii="Times New Roman" w:hAnsi="Times New Roman" w:eastAsia="仿宋_GB2312"/>
          <w:bCs/>
        </w:rPr>
      </w:pPr>
      <w:r>
        <w:rPr>
          <w:rStyle w:val="11"/>
          <w:rFonts w:ascii="Times New Roman" w:hAnsi="Times New Roman" w:eastAsia="仿宋_GB2312"/>
          <w:b w:val="0"/>
          <w:bCs/>
        </w:rPr>
        <w:t>4.节能环保支出（类211）-污染防治（款03）-其他污染防治支出（项99）: 支出决算数为1677.06万元，完成预算99.72%，</w:t>
      </w:r>
      <w:r>
        <w:rPr>
          <w:rFonts w:ascii="Times New Roman" w:hAnsi="Times New Roman" w:eastAsia="仿宋_GB2312"/>
          <w:bCs/>
        </w:rPr>
        <w:t>决算数小于预算数的主要原因是生活垃圾处理场封场工程项目年末尚未全部完工，部分款项还未达到支付条件。</w:t>
      </w:r>
    </w:p>
    <w:p w14:paraId="09604CD8">
      <w:pPr>
        <w:rPr>
          <w:rFonts w:ascii="Times New Roman" w:hAnsi="Times New Roman" w:eastAsia="仿宋_GB2312"/>
          <w:bCs/>
        </w:rPr>
      </w:pPr>
      <w:r>
        <w:rPr>
          <w:rStyle w:val="11"/>
          <w:rFonts w:ascii="Times New Roman" w:hAnsi="Times New Roman" w:eastAsia="仿宋_GB2312"/>
          <w:b w:val="0"/>
          <w:bCs/>
        </w:rPr>
        <w:t>5.城乡社区支出（类212）-城乡社区管理事务（款01）-行政运行（项01）: 支出决算数为343.76万元，完成预算100%，</w:t>
      </w:r>
      <w:r>
        <w:rPr>
          <w:rFonts w:ascii="Times New Roman" w:hAnsi="Times New Roman" w:eastAsia="仿宋_GB2312"/>
          <w:bCs/>
        </w:rPr>
        <w:t>决算数与预算数一致；</w:t>
      </w:r>
      <w:r>
        <w:rPr>
          <w:rStyle w:val="11"/>
          <w:rFonts w:ascii="Times New Roman" w:hAnsi="Times New Roman" w:eastAsia="仿宋_GB2312"/>
          <w:b w:val="0"/>
          <w:bCs/>
        </w:rPr>
        <w:t>城乡社区支出（类212）-城乡社区管理事务（款01）-一般行政管理事务（项02）: 支出决算数为1396.48万元，完成预算99.99%，</w:t>
      </w:r>
      <w:r>
        <w:rPr>
          <w:rFonts w:ascii="Times New Roman" w:hAnsi="Times New Roman" w:eastAsia="仿宋_GB2312"/>
          <w:bCs/>
        </w:rPr>
        <w:t>决算数与预算数基本一致；</w:t>
      </w:r>
      <w:r>
        <w:rPr>
          <w:rStyle w:val="11"/>
          <w:rFonts w:ascii="Times New Roman" w:hAnsi="Times New Roman" w:eastAsia="仿宋_GB2312"/>
          <w:b w:val="0"/>
          <w:bCs/>
        </w:rPr>
        <w:t>城乡社区支出（类212）-城乡社区规划与管理（款02）-城乡社区规划与管理（（项01）: 支出决算数为20万元，完成预算</w:t>
      </w:r>
      <w:r>
        <w:rPr>
          <w:rStyle w:val="11"/>
          <w:rFonts w:hint="eastAsia" w:ascii="Times New Roman" w:hAnsi="Times New Roman" w:eastAsia="仿宋_GB2312"/>
          <w:b w:val="0"/>
          <w:bCs/>
        </w:rPr>
        <w:t>100</w:t>
      </w:r>
      <w:r>
        <w:rPr>
          <w:rStyle w:val="11"/>
          <w:rFonts w:ascii="Times New Roman" w:hAnsi="Times New Roman" w:eastAsia="仿宋_GB2312"/>
          <w:b w:val="0"/>
          <w:bCs/>
        </w:rPr>
        <w:t>%，</w:t>
      </w:r>
      <w:r>
        <w:rPr>
          <w:rFonts w:ascii="Times New Roman" w:hAnsi="Times New Roman" w:eastAsia="仿宋_GB2312"/>
          <w:bCs/>
        </w:rPr>
        <w:t>决算数与预算数一致；</w:t>
      </w:r>
      <w:r>
        <w:rPr>
          <w:rStyle w:val="11"/>
          <w:rFonts w:ascii="Times New Roman" w:hAnsi="Times New Roman" w:eastAsia="仿宋_GB2312"/>
          <w:b w:val="0"/>
          <w:bCs/>
        </w:rPr>
        <w:t>城乡社区支出（类212）-城乡社区公共设施（款03）-其他城乡社区公共设施支出（项99）: 支出决算数为15.2万元，完成预算0.8%，</w:t>
      </w:r>
      <w:r>
        <w:rPr>
          <w:rFonts w:ascii="Times New Roman" w:hAnsi="Times New Roman" w:eastAsia="仿宋_GB2312"/>
          <w:bCs/>
        </w:rPr>
        <w:t>决算数与预算数不一致的主要原因是部分工程项目因工程进度，本年末还未达到支付项目工程款项条件；</w:t>
      </w:r>
      <w:r>
        <w:rPr>
          <w:rStyle w:val="11"/>
          <w:rFonts w:ascii="Times New Roman" w:hAnsi="Times New Roman" w:eastAsia="仿宋_GB2312"/>
          <w:b w:val="0"/>
          <w:bCs/>
        </w:rPr>
        <w:t>城乡社区支出（类212）-城乡社区环境卫生（款05）-城乡社区环境卫生（项01）: 支出决算数为495.1万元，完成预算100%，</w:t>
      </w:r>
      <w:r>
        <w:rPr>
          <w:rFonts w:ascii="Times New Roman" w:hAnsi="Times New Roman" w:eastAsia="仿宋_GB2312"/>
          <w:bCs/>
        </w:rPr>
        <w:t>决算数与预算数一致；</w:t>
      </w:r>
      <w:r>
        <w:rPr>
          <w:rStyle w:val="11"/>
          <w:rFonts w:ascii="Times New Roman" w:hAnsi="Times New Roman" w:eastAsia="仿宋_GB2312"/>
          <w:b w:val="0"/>
          <w:bCs/>
        </w:rPr>
        <w:t>城乡社区支出（类212）-其他城乡社区支出（款99）-其他城乡社区支出（项01）: 支出决算为716.03万元，完成预算35.69%，</w:t>
      </w:r>
      <w:r>
        <w:rPr>
          <w:rFonts w:ascii="Times New Roman" w:hAnsi="Times New Roman" w:eastAsia="仿宋_GB2312"/>
          <w:bCs/>
        </w:rPr>
        <w:t>决算数与预算数不一致的主要原因是部分工程项目因工程进度，在本年末还未达到支付项目工程款项条件。</w:t>
      </w:r>
    </w:p>
    <w:p w14:paraId="37A047A1">
      <w:pPr>
        <w:rPr>
          <w:rFonts w:ascii="Times New Roman" w:hAnsi="Times New Roman" w:eastAsia="仿宋_GB2312"/>
          <w:bCs/>
        </w:rPr>
      </w:pPr>
      <w:r>
        <w:rPr>
          <w:rStyle w:val="11"/>
          <w:rFonts w:ascii="Times New Roman" w:hAnsi="Times New Roman" w:eastAsia="仿宋_GB2312"/>
          <w:b w:val="0"/>
          <w:bCs/>
        </w:rPr>
        <w:t>6.住房保障支出（类221）-住房改革支出（款02）-住房公积金（项01）: 支出决算数为37.94万元，完成预算100%，</w:t>
      </w:r>
      <w:r>
        <w:rPr>
          <w:rFonts w:ascii="Times New Roman" w:hAnsi="Times New Roman" w:eastAsia="仿宋_GB2312"/>
          <w:bCs/>
        </w:rPr>
        <w:t>决算数与预算数一致。</w:t>
      </w:r>
    </w:p>
    <w:p w14:paraId="2A02F4FF">
      <w:pPr>
        <w:rPr>
          <w:rFonts w:ascii="Times New Roman" w:hAnsi="Times New Roman" w:eastAsia="黑体"/>
          <w:bCs/>
        </w:rPr>
      </w:pPr>
      <w:r>
        <w:rPr>
          <w:rFonts w:ascii="Times New Roman" w:hAnsi="Times New Roman" w:eastAsia="黑体"/>
          <w:bCs/>
        </w:rPr>
        <w:t>六、一般公共预算财政拨款基本支出决算情况说明</w:t>
      </w:r>
    </w:p>
    <w:p w14:paraId="18CF27C9">
      <w:pPr>
        <w:rPr>
          <w:rFonts w:ascii="Times New Roman" w:hAnsi="Times New Roman" w:eastAsia="仿宋_GB2312"/>
          <w:bCs/>
        </w:rPr>
      </w:pPr>
      <w:r>
        <w:rPr>
          <w:rFonts w:ascii="Times New Roman" w:hAnsi="Times New Roman" w:eastAsia="仿宋_GB2312"/>
          <w:bCs/>
        </w:rPr>
        <w:t>2020年一般公共预算财政拨款基本支出482.61万元，其中：人员经费436.63万元，主要包括：基本工资、津贴补贴、奖金、机关事业单位基本养老保险缴费、</w:t>
      </w:r>
      <w:r>
        <w:rPr>
          <w:rFonts w:hint="eastAsia" w:ascii="Times New Roman" w:hAnsi="Times New Roman" w:eastAsia="仿宋_GB2312"/>
          <w:bCs/>
        </w:rPr>
        <w:t>公务员医疗补助缴费、</w:t>
      </w:r>
      <w:r>
        <w:rPr>
          <w:rFonts w:ascii="Times New Roman" w:hAnsi="Times New Roman" w:eastAsia="仿宋_GB2312"/>
          <w:bCs/>
        </w:rPr>
        <w:t>其他社会保障缴费、其他工资福利支出、退休费、生活补助、奖励金、住房公积金、其他对个人和家庭的补助支出等。</w:t>
      </w:r>
      <w:r>
        <w:rPr>
          <w:rFonts w:ascii="Times New Roman" w:hAnsi="Times New Roman" w:eastAsia="仿宋_GB2312"/>
          <w:bCs/>
        </w:rPr>
        <w:br w:type="textWrapping"/>
      </w:r>
      <w:r>
        <w:rPr>
          <w:rFonts w:ascii="Times New Roman" w:hAnsi="Times New Roman" w:eastAsia="仿宋_GB2312"/>
          <w:bCs/>
        </w:rPr>
        <w:t>　　公用经费45.98万元，主要包括：办公费、咨询费、邮电费、差旅费、培训费、公务接待费、</w:t>
      </w:r>
      <w:r>
        <w:rPr>
          <w:rFonts w:hint="eastAsia" w:ascii="Times New Roman" w:hAnsi="Times New Roman" w:eastAsia="仿宋_GB2312"/>
          <w:bCs/>
        </w:rPr>
        <w:t>福利费、</w:t>
      </w:r>
      <w:r>
        <w:rPr>
          <w:rFonts w:ascii="Times New Roman" w:hAnsi="Times New Roman" w:eastAsia="仿宋_GB2312"/>
          <w:bCs/>
        </w:rPr>
        <w:t>其他交通费、其他商品和服务支出等。</w:t>
      </w:r>
    </w:p>
    <w:p w14:paraId="6DCC52C6">
      <w:pPr>
        <w:pStyle w:val="7"/>
        <w:ind w:left="0" w:leftChars="0"/>
        <w:rPr>
          <w:rFonts w:ascii="Times New Roman" w:hAnsi="Times New Roman" w:eastAsia="黑体"/>
          <w:bCs/>
        </w:rPr>
      </w:pPr>
      <w:r>
        <w:rPr>
          <w:rFonts w:ascii="Times New Roman" w:hAnsi="Times New Roman" w:eastAsia="黑体"/>
          <w:bCs/>
        </w:rPr>
        <w:t>七、“三公”经费财政拨款支出决算情况说明</w:t>
      </w:r>
    </w:p>
    <w:p w14:paraId="308A9AA4">
      <w:pPr>
        <w:outlineLvl w:val="2"/>
        <w:rPr>
          <w:rFonts w:ascii="Times New Roman" w:hAnsi="Times New Roman" w:eastAsia="楷体"/>
          <w:bCs/>
        </w:rPr>
      </w:pPr>
      <w:r>
        <w:rPr>
          <w:rFonts w:ascii="Times New Roman" w:hAnsi="Times New Roman" w:eastAsia="楷体"/>
          <w:bCs/>
        </w:rPr>
        <w:t>（一）“三公”经费财政拨款支出决算总体情况说明</w:t>
      </w:r>
    </w:p>
    <w:p w14:paraId="7322F013">
      <w:pPr>
        <w:rPr>
          <w:rFonts w:ascii="Times New Roman" w:hAnsi="Times New Roman" w:eastAsia="仿宋_GB2312"/>
          <w:bCs/>
        </w:rPr>
      </w:pPr>
      <w:r>
        <w:rPr>
          <w:rFonts w:ascii="Times New Roman" w:hAnsi="Times New Roman" w:eastAsia="仿宋_GB2312"/>
          <w:bCs/>
        </w:rPr>
        <w:t>2020年“三公”经费财政拨款支出决算为1.95万元，完成预算100%，决算数与预算数一致。</w:t>
      </w:r>
    </w:p>
    <w:p w14:paraId="4FF4DC8B">
      <w:pPr>
        <w:outlineLvl w:val="2"/>
        <w:rPr>
          <w:rFonts w:ascii="Times New Roman" w:hAnsi="Times New Roman" w:eastAsia="楷体"/>
          <w:bCs/>
        </w:rPr>
      </w:pPr>
      <w:r>
        <w:rPr>
          <w:rFonts w:ascii="Times New Roman" w:hAnsi="Times New Roman" w:eastAsia="楷体"/>
          <w:bCs/>
        </w:rPr>
        <w:t>（二）“三公”经费财政拨款支出决算具体情况说明</w:t>
      </w:r>
    </w:p>
    <w:p w14:paraId="3EE124BA">
      <w:pPr>
        <w:rPr>
          <w:rFonts w:ascii="Times New Roman" w:hAnsi="Times New Roman" w:eastAsia="仿宋_GB2312"/>
        </w:rPr>
      </w:pPr>
      <w:r>
        <w:rPr>
          <w:rFonts w:ascii="Times New Roman" w:hAnsi="Times New Roman" w:eastAsia="仿宋_GB2312"/>
          <w:bCs/>
        </w:rPr>
        <w:t>2020年“三公”经费财政拨款支出决算中，因公出国（境）费支出决算0万元；公务用车购置及运行维护费支出决算0万元；公务接待费支出决算1.95万元，占100%。具体情况如下：</w:t>
      </w:r>
    </w:p>
    <w:p w14:paraId="00FBB614">
      <w:pPr>
        <w:ind w:firstLine="0" w:firstLineChars="0"/>
        <w:rPr>
          <w:rFonts w:ascii="Times New Roman" w:hAnsi="Times New Roman" w:eastAsia="仿宋_GB2312"/>
        </w:rPr>
      </w:pPr>
      <w:r>
        <w:rPr>
          <w:rFonts w:ascii="Times New Roman" w:hAnsi="Times New Roman" w:eastAsia="仿宋_GB2312"/>
        </w:rPr>
        <w:drawing>
          <wp:anchor distT="0" distB="1270" distL="0" distR="0" simplePos="0" relativeHeight="251662336" behindDoc="0" locked="0" layoutInCell="1" allowOverlap="1">
            <wp:simplePos x="0" y="0"/>
            <wp:positionH relativeFrom="column">
              <wp:posOffset>379730</wp:posOffset>
            </wp:positionH>
            <wp:positionV relativeFrom="paragraph">
              <wp:posOffset>358775</wp:posOffset>
            </wp:positionV>
            <wp:extent cx="4019550" cy="2082800"/>
            <wp:effectExtent l="4445" t="5080" r="14605" b="7620"/>
            <wp:wrapNone/>
            <wp:docPr id="10" name="对象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rFonts w:ascii="Times New Roman" w:hAnsi="Times New Roman" w:eastAsia="仿宋_GB2312"/>
        </w:rPr>
        <w:t>（图7：“三公”经费财政拨款支出结构）（饼状图）</w:t>
      </w:r>
    </w:p>
    <w:p w14:paraId="385AC270">
      <w:pPr>
        <w:jc w:val="left"/>
        <w:rPr>
          <w:rFonts w:ascii="Times New Roman" w:hAnsi="Times New Roman" w:eastAsia="仿宋_GB2312"/>
        </w:rPr>
      </w:pPr>
    </w:p>
    <w:p w14:paraId="29F51EF0">
      <w:pPr>
        <w:ind w:firstLine="0" w:firstLineChars="0"/>
        <w:jc w:val="left"/>
        <w:rPr>
          <w:rFonts w:ascii="Times New Roman" w:hAnsi="Times New Roman" w:eastAsia="仿宋_GB2312"/>
        </w:rPr>
      </w:pPr>
    </w:p>
    <w:p w14:paraId="42C11038">
      <w:pPr>
        <w:jc w:val="left"/>
        <w:rPr>
          <w:rFonts w:ascii="Times New Roman" w:hAnsi="Times New Roman" w:eastAsia="仿宋_GB2312"/>
        </w:rPr>
      </w:pPr>
    </w:p>
    <w:p w14:paraId="55656CCE">
      <w:pPr>
        <w:ind w:firstLine="0" w:firstLineChars="0"/>
        <w:jc w:val="left"/>
        <w:rPr>
          <w:rFonts w:ascii="Times New Roman" w:hAnsi="Times New Roman" w:eastAsia="仿宋_GB2312"/>
        </w:rPr>
      </w:pPr>
      <w:r>
        <w:rPr>
          <w:rFonts w:hint="eastAsia" w:ascii="Times New Roman" w:hAnsi="Times New Roman" w:eastAsia="仿宋_GB2312"/>
        </w:rPr>
        <w:t xml:space="preserve"> </w:t>
      </w:r>
    </w:p>
    <w:p w14:paraId="1B671F2A">
      <w:pPr>
        <w:ind w:firstLine="0" w:firstLineChars="0"/>
        <w:jc w:val="left"/>
        <w:rPr>
          <w:rFonts w:ascii="Times New Roman" w:hAnsi="Times New Roman" w:eastAsia="仿宋_GB2312"/>
        </w:rPr>
      </w:pPr>
    </w:p>
    <w:p w14:paraId="717DAE68">
      <w:pPr>
        <w:ind w:firstLine="0" w:firstLineChars="0"/>
        <w:jc w:val="left"/>
        <w:rPr>
          <w:rFonts w:ascii="Times New Roman" w:hAnsi="Times New Roman" w:eastAsia="仿宋_GB2312"/>
        </w:rPr>
      </w:pPr>
    </w:p>
    <w:p w14:paraId="1BCDC5DA">
      <w:pPr>
        <w:ind w:firstLine="0" w:firstLineChars="0"/>
        <w:jc w:val="left"/>
        <w:rPr>
          <w:rFonts w:ascii="Times New Roman" w:hAnsi="Times New Roman" w:eastAsia="仿宋_GB2312"/>
        </w:rPr>
      </w:pPr>
      <w:r>
        <w:rPr>
          <w:rFonts w:hint="eastAsia" w:ascii="Times New Roman" w:hAnsi="Times New Roman" w:eastAsia="仿宋_GB2312"/>
        </w:rPr>
        <w:t xml:space="preserve">   </w:t>
      </w:r>
      <w:r>
        <w:rPr>
          <w:rFonts w:ascii="Times New Roman" w:hAnsi="Times New Roman" w:eastAsia="仿宋_GB2312"/>
        </w:rPr>
        <w:t>（1）因公出国（境）经费支出0万元</w:t>
      </w:r>
      <w:r>
        <w:rPr>
          <w:rStyle w:val="11"/>
          <w:rFonts w:ascii="Times New Roman" w:hAnsi="Times New Roman" w:eastAsia="仿宋_GB2312"/>
          <w:b w:val="0"/>
        </w:rPr>
        <w:t>。</w:t>
      </w:r>
      <w:r>
        <w:rPr>
          <w:rFonts w:ascii="Times New Roman" w:hAnsi="Times New Roman" w:eastAsia="仿宋_GB2312"/>
        </w:rPr>
        <w:t>全年安排因公出国（境）团组0次，出国（境）0人。因公出国（境）支出决算与2019年持平。</w:t>
      </w:r>
    </w:p>
    <w:p w14:paraId="2BBFD0DC">
      <w:pPr>
        <w:jc w:val="left"/>
        <w:rPr>
          <w:rFonts w:ascii="Times New Roman" w:hAnsi="Times New Roman" w:eastAsia="仿宋_GB2312"/>
        </w:rPr>
      </w:pPr>
      <w:r>
        <w:rPr>
          <w:rFonts w:ascii="Times New Roman" w:hAnsi="Times New Roman" w:eastAsia="仿宋_GB2312"/>
        </w:rPr>
        <w:t>（2）公务用车购置及运行维护费支出0万元</w:t>
      </w:r>
      <w:r>
        <w:rPr>
          <w:rStyle w:val="11"/>
          <w:rFonts w:ascii="Times New Roman" w:hAnsi="Times New Roman" w:eastAsia="仿宋_GB2312"/>
          <w:b w:val="0"/>
        </w:rPr>
        <w:t>。</w:t>
      </w:r>
      <w:r>
        <w:rPr>
          <w:rFonts w:ascii="Times New Roman" w:hAnsi="Times New Roman" w:eastAsia="仿宋_GB2312"/>
        </w:rPr>
        <w:t>公务用车购置及运行维护费支出决算与2019年持平。</w:t>
      </w:r>
    </w:p>
    <w:p w14:paraId="64792B8A">
      <w:pPr>
        <w:jc w:val="left"/>
        <w:rPr>
          <w:rFonts w:ascii="Times New Roman" w:hAnsi="Times New Roman" w:eastAsia="仿宋_GB2312"/>
        </w:rPr>
      </w:pPr>
      <w:r>
        <w:rPr>
          <w:rFonts w:ascii="Times New Roman" w:hAnsi="Times New Roman" w:eastAsia="仿宋_GB2312"/>
        </w:rPr>
        <w:t>其中：公务用车购置支出0万元。全年按规定更新购置公务用车0辆。</w:t>
      </w:r>
    </w:p>
    <w:p w14:paraId="5BFFA479">
      <w:pPr>
        <w:jc w:val="left"/>
        <w:rPr>
          <w:rFonts w:ascii="Times New Roman" w:hAnsi="Times New Roman" w:eastAsia="仿宋_GB2312"/>
        </w:rPr>
      </w:pPr>
      <w:r>
        <w:rPr>
          <w:rFonts w:ascii="Times New Roman" w:hAnsi="Times New Roman" w:eastAsia="仿宋_GB2312"/>
        </w:rPr>
        <w:t>公务用车运行维护费支出0万元。</w:t>
      </w:r>
    </w:p>
    <w:p w14:paraId="723D6D15">
      <w:pPr>
        <w:jc w:val="left"/>
        <w:rPr>
          <w:rFonts w:ascii="Times New Roman" w:hAnsi="Times New Roman" w:eastAsia="仿宋_GB2312"/>
        </w:rPr>
      </w:pPr>
      <w:r>
        <w:rPr>
          <w:rFonts w:ascii="Times New Roman" w:hAnsi="Times New Roman" w:eastAsia="仿宋_GB2312"/>
        </w:rPr>
        <w:t>（3）公务接待费支出1.95万元，</w:t>
      </w:r>
      <w:r>
        <w:rPr>
          <w:rStyle w:val="11"/>
          <w:rFonts w:ascii="Times New Roman" w:hAnsi="Times New Roman" w:eastAsia="仿宋_GB2312"/>
          <w:b w:val="0"/>
        </w:rPr>
        <w:t>完成预算100%。</w:t>
      </w:r>
      <w:r>
        <w:rPr>
          <w:rFonts w:ascii="Times New Roman" w:hAnsi="Times New Roman" w:eastAsia="仿宋_GB2312"/>
        </w:rPr>
        <w:t>公务接待费支出决算数比2019年减少0.04万元，基本持平。</w:t>
      </w:r>
    </w:p>
    <w:p w14:paraId="28EA5333">
      <w:pPr>
        <w:jc w:val="left"/>
        <w:rPr>
          <w:rFonts w:ascii="Times New Roman" w:hAnsi="Times New Roman" w:eastAsia="仿宋_GB2312"/>
        </w:rPr>
      </w:pPr>
      <w:r>
        <w:rPr>
          <w:rFonts w:ascii="Times New Roman" w:hAnsi="Times New Roman" w:eastAsia="仿宋_GB2312"/>
        </w:rPr>
        <w:t>公务接待费主要用于执行公务、开展业务活动开支的交通费、住宿费、用餐费等。2020年国内公务接待7批次，接待10</w:t>
      </w:r>
      <w:r>
        <w:rPr>
          <w:rFonts w:hint="eastAsia" w:ascii="Times New Roman" w:hAnsi="Times New Roman" w:eastAsia="仿宋_GB2312"/>
        </w:rPr>
        <w:t>4</w:t>
      </w:r>
      <w:r>
        <w:rPr>
          <w:rFonts w:ascii="Times New Roman" w:hAnsi="Times New Roman" w:eastAsia="仿宋_GB2312"/>
        </w:rPr>
        <w:t>人次（不包括陪同人员），共计支出1.95万元，具体内容包括接待周边城市学习考察城市管理经验及上级有关部门到我县工作调研用餐费共计1.95万元。</w:t>
      </w:r>
    </w:p>
    <w:p w14:paraId="455CAD00">
      <w:pPr>
        <w:jc w:val="left"/>
        <w:rPr>
          <w:rFonts w:ascii="Times New Roman" w:hAnsi="Times New Roman" w:eastAsia="仿宋_GB2312"/>
        </w:rPr>
      </w:pPr>
      <w:r>
        <w:rPr>
          <w:rFonts w:ascii="Times New Roman" w:hAnsi="Times New Roman" w:eastAsia="仿宋_GB2312"/>
        </w:rPr>
        <w:t>外事接待支出0万元，外事接待0批次，0人，共计支出0万元。</w:t>
      </w:r>
    </w:p>
    <w:p w14:paraId="161D08EF">
      <w:pPr>
        <w:jc w:val="left"/>
        <w:rPr>
          <w:rFonts w:ascii="Times New Roman" w:hAnsi="Times New Roman" w:eastAsia="仿宋_GB2312"/>
        </w:rPr>
      </w:pPr>
      <w:r>
        <w:rPr>
          <w:rFonts w:ascii="Times New Roman" w:hAnsi="Times New Roman" w:eastAsia="仿宋_GB2312"/>
        </w:rPr>
        <w:t>其他国内公务接待支出0</w:t>
      </w:r>
      <w:r>
        <w:rPr>
          <w:rFonts w:hint="eastAsia" w:ascii="Times New Roman" w:hAnsi="Times New Roman" w:eastAsia="仿宋_GB2312"/>
          <w:lang w:eastAsia="zh-CN"/>
        </w:rPr>
        <w:t>万元</w:t>
      </w:r>
      <w:r>
        <w:rPr>
          <w:rFonts w:ascii="Times New Roman" w:hAnsi="Times New Roman" w:eastAsia="仿宋_GB2312"/>
        </w:rPr>
        <w:t>。</w:t>
      </w:r>
    </w:p>
    <w:p w14:paraId="48444EC5">
      <w:pPr>
        <w:pStyle w:val="7"/>
        <w:ind w:left="0" w:leftChars="0"/>
        <w:jc w:val="left"/>
        <w:rPr>
          <w:rFonts w:ascii="Times New Roman" w:hAnsi="Times New Roman" w:eastAsia="黑体"/>
        </w:rPr>
      </w:pPr>
      <w:r>
        <w:rPr>
          <w:rFonts w:ascii="Times New Roman" w:hAnsi="Times New Roman" w:eastAsia="黑体"/>
        </w:rPr>
        <w:t>八、政府性基金预算支出决算情况说明</w:t>
      </w:r>
    </w:p>
    <w:p w14:paraId="0E576165">
      <w:pPr>
        <w:jc w:val="left"/>
        <w:rPr>
          <w:rFonts w:ascii="Times New Roman" w:hAnsi="Times New Roman" w:eastAsia="仿宋_GB2312"/>
        </w:rPr>
      </w:pPr>
      <w:r>
        <w:rPr>
          <w:rFonts w:ascii="Times New Roman" w:hAnsi="Times New Roman" w:eastAsia="仿宋_GB2312"/>
        </w:rPr>
        <w:t>2020年政府性基金预算财政拨款支出决算数为3701.10万元。</w:t>
      </w:r>
    </w:p>
    <w:p w14:paraId="6487D942">
      <w:pPr>
        <w:pStyle w:val="7"/>
        <w:ind w:left="0" w:leftChars="0"/>
        <w:jc w:val="left"/>
        <w:rPr>
          <w:rFonts w:ascii="Times New Roman" w:hAnsi="Times New Roman" w:eastAsia="黑体"/>
        </w:rPr>
      </w:pPr>
      <w:r>
        <w:rPr>
          <w:rFonts w:ascii="Times New Roman" w:hAnsi="Times New Roman" w:eastAsia="黑体"/>
        </w:rPr>
        <w:t>九、国有资本经营预算支出决算情况说明</w:t>
      </w:r>
    </w:p>
    <w:p w14:paraId="08948530">
      <w:pPr>
        <w:jc w:val="left"/>
        <w:rPr>
          <w:rFonts w:ascii="Times New Roman" w:hAnsi="Times New Roman" w:eastAsia="仿宋_GB2312"/>
        </w:rPr>
      </w:pPr>
      <w:r>
        <w:rPr>
          <w:rFonts w:ascii="Times New Roman" w:hAnsi="Times New Roman" w:eastAsia="仿宋_GB2312"/>
        </w:rPr>
        <w:t>2020年国有资本经营预算拨款支出0万元。</w:t>
      </w:r>
    </w:p>
    <w:p w14:paraId="5849DCC8">
      <w:pPr>
        <w:pStyle w:val="7"/>
        <w:ind w:left="0" w:leftChars="0"/>
        <w:jc w:val="left"/>
        <w:rPr>
          <w:rFonts w:ascii="Times New Roman" w:hAnsi="Times New Roman" w:eastAsia="黑体"/>
        </w:rPr>
      </w:pPr>
      <w:r>
        <w:rPr>
          <w:rFonts w:ascii="Times New Roman" w:hAnsi="Times New Roman" w:eastAsia="黑体"/>
        </w:rPr>
        <w:t>十、其他重要事项的情况说明</w:t>
      </w:r>
    </w:p>
    <w:p w14:paraId="01B6661B">
      <w:pPr>
        <w:jc w:val="left"/>
        <w:outlineLvl w:val="2"/>
        <w:rPr>
          <w:rFonts w:ascii="Times New Roman" w:hAnsi="Times New Roman" w:eastAsia="楷体"/>
        </w:rPr>
      </w:pPr>
      <w:r>
        <w:rPr>
          <w:rFonts w:ascii="Times New Roman" w:hAnsi="Times New Roman" w:eastAsia="楷体"/>
        </w:rPr>
        <w:t>（一）机关运行经费支出情况</w:t>
      </w:r>
    </w:p>
    <w:p w14:paraId="4072B875">
      <w:pPr>
        <w:jc w:val="left"/>
        <w:rPr>
          <w:rFonts w:ascii="Times New Roman" w:hAnsi="Times New Roman" w:eastAsia="仿宋_GB2312"/>
        </w:rPr>
      </w:pPr>
      <w:r>
        <w:rPr>
          <w:rFonts w:ascii="Times New Roman" w:hAnsi="Times New Roman" w:eastAsia="仿宋_GB2312"/>
        </w:rPr>
        <w:t>2020年，米易县综合行政执法局机关运行经费支出45.98万元，比2019年102.66万元减少56.68万元，减少55.21%，主要原因是财政压减公用经费使办公费、邮电费、咨询费、差旅费及其他商品和服务支出均有不同程度的减少。</w:t>
      </w:r>
    </w:p>
    <w:p w14:paraId="75227992">
      <w:pPr>
        <w:jc w:val="left"/>
        <w:outlineLvl w:val="2"/>
        <w:rPr>
          <w:rFonts w:ascii="Times New Roman" w:hAnsi="Times New Roman" w:eastAsia="楷体"/>
        </w:rPr>
      </w:pPr>
      <w:r>
        <w:rPr>
          <w:rFonts w:ascii="Times New Roman" w:hAnsi="Times New Roman" w:eastAsia="楷体"/>
        </w:rPr>
        <w:t>（二）政府采购支出情况</w:t>
      </w:r>
    </w:p>
    <w:p w14:paraId="1AA82FEB">
      <w:pPr>
        <w:jc w:val="left"/>
        <w:rPr>
          <w:rFonts w:ascii="Times New Roman" w:hAnsi="Times New Roman" w:eastAsia="仿宋_GB2312"/>
        </w:rPr>
      </w:pPr>
      <w:r>
        <w:rPr>
          <w:rFonts w:ascii="Times New Roman" w:hAnsi="Times New Roman" w:eastAsia="仿宋_GB2312"/>
        </w:rPr>
        <w:t xml:space="preserve"> 2020年，米易县综合行政执法局政府采购支出总额10740.82万元，其中：政府采购货物支出3285.10万元、政府采购工程支出204.05万元、政府采购服务支出7251.67万元。授予中小企业合同金额10740.82万元，占政府采购支出总额的100%，其中：授予小微企业合同金额1058.56万元。</w:t>
      </w:r>
    </w:p>
    <w:p w14:paraId="34DE2922">
      <w:pPr>
        <w:jc w:val="left"/>
        <w:outlineLvl w:val="2"/>
        <w:rPr>
          <w:rFonts w:ascii="Times New Roman" w:hAnsi="Times New Roman" w:eastAsia="楷体"/>
        </w:rPr>
      </w:pPr>
      <w:r>
        <w:rPr>
          <w:rFonts w:ascii="Times New Roman" w:hAnsi="Times New Roman" w:eastAsia="楷体"/>
        </w:rPr>
        <w:t>（三）国有资产占有使用情况</w:t>
      </w:r>
    </w:p>
    <w:p w14:paraId="19D8E273">
      <w:pPr>
        <w:jc w:val="left"/>
        <w:rPr>
          <w:rFonts w:ascii="Times New Roman" w:hAnsi="Times New Roman" w:eastAsia="仿宋_GB2312"/>
        </w:rPr>
      </w:pPr>
      <w:r>
        <w:rPr>
          <w:rFonts w:ascii="Times New Roman" w:hAnsi="Times New Roman" w:eastAsia="仿宋_GB2312"/>
        </w:rPr>
        <w:t>截至 2020年 12 月 31 日，米易县综合行政执法局共有车辆53辆，其中：特种专业技术用车38辆，其他用车15辆，特种专业技术用车主要是城市管理工作用垃圾车、洒水车、吸污车、高架车等，其他用车15辆全部为综合行政执法用电瓶车。无单位价值在 50 万元以上的通用设备及单位价值 100 万元以上的专用设备。</w:t>
      </w:r>
    </w:p>
    <w:p w14:paraId="0AB946FC">
      <w:pPr>
        <w:jc w:val="left"/>
        <w:outlineLvl w:val="2"/>
        <w:rPr>
          <w:rFonts w:ascii="Times New Roman" w:hAnsi="Times New Roman" w:eastAsia="楷体"/>
        </w:rPr>
      </w:pPr>
      <w:r>
        <w:rPr>
          <w:rFonts w:ascii="Times New Roman" w:hAnsi="Times New Roman" w:eastAsia="楷体"/>
        </w:rPr>
        <w:t>（四）预算绩效管理情况</w:t>
      </w:r>
    </w:p>
    <w:p w14:paraId="59AF3209">
      <w:pPr>
        <w:jc w:val="left"/>
        <w:rPr>
          <w:rFonts w:ascii="Times New Roman" w:hAnsi="Times New Roman" w:eastAsia="仿宋_GB2312"/>
        </w:rPr>
      </w:pPr>
      <w:r>
        <w:rPr>
          <w:rFonts w:ascii="Times New Roman" w:hAnsi="Times New Roman" w:eastAsia="仿宋_GB2312"/>
        </w:rPr>
        <w:t>根据预算绩效管理要求，本部门（单位）在年初预算编制阶段，对所有下达的项目进行了绩效目标的编制，并编制了部门整体支出绩效目标。预算执行过程中，对18个项目开展绩效监控。2020年，米易县综合行政执法局深入贯彻落实县委、县政府决策部署，统筹推进疫情防控常态化、城市管理精细化，全力争创天府旅游名县、全国文明城市，决战决胜脱贫攻坚，成功迎接了省委第十巡视组巡视、十四届县委巡察组巡察，荣获“实施乡村振兴战略先进集体”，助力米易县成功夺取全省首批实施乡村振兴战略先进县、第二批天府旅游名县、全国文明城市荣誉。并按要求对2020年部门整体支出开展绩效自评，从评价情况来看，</w:t>
      </w:r>
      <w:r>
        <w:rPr>
          <w:rFonts w:ascii="Times New Roman" w:hAnsi="Times New Roman" w:eastAsia="仿宋_GB2312"/>
          <w:shd w:val="clear" w:color="auto" w:fill="FFFFFF"/>
        </w:rPr>
        <w:t>2020年</w:t>
      </w:r>
      <w:r>
        <w:rPr>
          <w:rFonts w:hint="eastAsia" w:ascii="Times New Roman" w:hAnsi="Times New Roman" w:eastAsia="仿宋_GB2312"/>
          <w:shd w:val="clear" w:color="auto" w:fill="FFFFFF"/>
        </w:rPr>
        <w:t>我</w:t>
      </w:r>
      <w:r>
        <w:rPr>
          <w:rFonts w:ascii="Times New Roman" w:hAnsi="Times New Roman" w:eastAsia="仿宋_GB2312"/>
          <w:shd w:val="clear" w:color="auto" w:fill="FFFFFF"/>
        </w:rPr>
        <w:t>单位认真落实县委市政府决策部署，按照保进度、重质量、求实效的要求，全面推进各项重点工作，较好地完成了各项目标任务。根据《2020年度部门整体支出绩效自评指标计分表》的评分结果，自评综合得分为98分。</w:t>
      </w:r>
    </w:p>
    <w:p w14:paraId="145051F1">
      <w:pPr>
        <w:pStyle w:val="13"/>
        <w:numPr>
          <w:ilvl w:val="0"/>
          <w:numId w:val="1"/>
        </w:numPr>
        <w:ind w:firstLineChars="0"/>
        <w:jc w:val="left"/>
        <w:rPr>
          <w:rFonts w:ascii="Times New Roman" w:hAnsi="Times New Roman" w:eastAsia="仿宋_GB2312"/>
        </w:rPr>
      </w:pPr>
      <w:r>
        <w:rPr>
          <w:rFonts w:ascii="Times New Roman" w:hAnsi="Times New Roman" w:eastAsia="仿宋_GB2312"/>
        </w:rPr>
        <w:t>项目绩效目标完成情况。</w:t>
      </w:r>
    </w:p>
    <w:p w14:paraId="5AB5322B">
      <w:pPr>
        <w:numPr>
          <w:ilvl w:val="0"/>
          <w:numId w:val="2"/>
        </w:numPr>
        <w:spacing w:line="580" w:lineRule="exact"/>
        <w:ind w:firstLineChars="0"/>
        <w:rPr>
          <w:rFonts w:ascii="仿宋_GB2312" w:hAnsi="仿宋_GB2312" w:eastAsia="仿宋_GB2312" w:cs="仿宋_GB2312"/>
        </w:rPr>
      </w:pPr>
      <w:r>
        <w:rPr>
          <w:rFonts w:hint="eastAsia" w:ascii="仿宋_GB2312" w:hAnsi="仿宋_GB2312" w:eastAsia="仿宋_GB2312" w:cs="仿宋_GB2312"/>
        </w:rPr>
        <w:t>“米易县一桥下穿走廊建设”项目绩效目标完成情况综述。项目全年预算数180.23149万元，执行数为144万元，完成预算的80</w:t>
      </w:r>
      <w:r>
        <w:rPr>
          <w:rFonts w:ascii="仿宋_GB2312" w:hAnsi="仿宋_GB2312" w:eastAsia="仿宋_GB2312" w:cs="仿宋_GB2312"/>
        </w:rPr>
        <w:t>%</w:t>
      </w:r>
      <w:r>
        <w:rPr>
          <w:rFonts w:hint="eastAsia" w:ascii="仿宋_GB2312" w:hAnsi="仿宋_GB2312" w:eastAsia="仿宋_GB2312" w:cs="仿宋_GB2312"/>
        </w:rPr>
        <w:t>。通过项目实施，有效</w:t>
      </w:r>
      <w:r>
        <w:rPr>
          <w:rFonts w:hint="eastAsia" w:ascii="Times New Roman" w:hAnsi="Times New Roman" w:eastAsia="仿宋_GB2312"/>
        </w:rPr>
        <w:t>解决一桥东侧现有交通拥堵，实现人车分流，及时补齐基础设施不健全、功能配套品质不高等短板，不断提升城市环境品质，保障人民群众的生命财产安全，</w:t>
      </w:r>
      <w:r>
        <w:rPr>
          <w:rFonts w:hint="eastAsia" w:eastAsia="仿宋_GB2312"/>
          <w:kern w:val="0"/>
        </w:rPr>
        <w:t>促进社会经济的综合发展，进一步提升米易形象打下了坚实的基础</w:t>
      </w:r>
      <w:r>
        <w:rPr>
          <w:rFonts w:hint="eastAsia" w:ascii="Times New Roman" w:hAnsi="Times New Roman" w:eastAsia="仿宋_GB2312"/>
        </w:rPr>
        <w:t>。</w:t>
      </w:r>
      <w:r>
        <w:rPr>
          <w:rFonts w:hint="eastAsia" w:ascii="仿宋_GB2312" w:hAnsi="仿宋_GB2312" w:eastAsia="仿宋_GB2312" w:cs="仿宋_GB2312"/>
        </w:rPr>
        <w:t>发现的主要问题：施工过程中涉及水面施工所产生的安全隐患，部分施工人员在施工过程中存在安全措施防护不到位等情况。下一步改进措施：在后期各类项目中严格要求施工单位加强安全施工。</w:t>
      </w:r>
    </w:p>
    <w:tbl>
      <w:tblPr>
        <w:tblStyle w:val="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6B10EA66">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noWrap/>
            <w:tcMar>
              <w:top w:w="15" w:type="dxa"/>
              <w:left w:w="15" w:type="dxa"/>
              <w:right w:w="15" w:type="dxa"/>
            </w:tcMar>
            <w:vAlign w:val="center"/>
          </w:tcPr>
          <w:p w14:paraId="6BEC60E4">
            <w:pPr>
              <w:widowControl/>
              <w:ind w:firstLine="0" w:firstLineChars="0"/>
              <w:textAlignment w:val="center"/>
              <w:rPr>
                <w:rFonts w:ascii="宋体" w:hAnsi="宋体" w:cs="宋体"/>
                <w:b/>
                <w:bCs/>
                <w:kern w:val="0"/>
                <w:sz w:val="36"/>
                <w:szCs w:val="36"/>
              </w:rPr>
            </w:pPr>
          </w:p>
          <w:p w14:paraId="7DF62D20">
            <w:pPr>
              <w:widowControl/>
              <w:ind w:firstLine="0" w:firstLineChars="0"/>
              <w:jc w:val="center"/>
              <w:textAlignment w:val="center"/>
              <w:rPr>
                <w:rFonts w:ascii="宋体" w:hAnsi="宋体" w:cs="宋体"/>
                <w:b/>
                <w:bCs/>
                <w:kern w:val="0"/>
                <w:sz w:val="36"/>
                <w:szCs w:val="36"/>
              </w:rPr>
            </w:pPr>
            <w:r>
              <w:rPr>
                <w:rFonts w:hint="eastAsia" w:ascii="宋体" w:hAnsi="宋体" w:cs="宋体"/>
                <w:b/>
                <w:bCs/>
                <w:kern w:val="0"/>
                <w:sz w:val="36"/>
                <w:szCs w:val="36"/>
              </w:rPr>
              <w:t>项目绩效目标完成情况表</w:t>
            </w:r>
            <w:r>
              <w:rPr>
                <w:rFonts w:ascii="宋体" w:cs="宋体"/>
                <w:b/>
                <w:bCs/>
                <w:kern w:val="0"/>
                <w:sz w:val="36"/>
                <w:szCs w:val="36"/>
              </w:rPr>
              <w:br w:type="textWrapping"/>
            </w:r>
            <w:r>
              <w:rPr>
                <w:rFonts w:ascii="宋体" w:hAnsi="宋体" w:cs="宋体"/>
                <w:kern w:val="0"/>
                <w:sz w:val="36"/>
                <w:szCs w:val="36"/>
              </w:rPr>
              <w:t>(2020</w:t>
            </w:r>
            <w:r>
              <w:rPr>
                <w:rFonts w:hint="eastAsia" w:ascii="宋体" w:hAnsi="宋体" w:cs="宋体"/>
                <w:kern w:val="0"/>
                <w:sz w:val="36"/>
                <w:szCs w:val="36"/>
              </w:rPr>
              <w:t>年度</w:t>
            </w:r>
            <w:r>
              <w:rPr>
                <w:rFonts w:ascii="宋体" w:hAnsi="宋体" w:cs="宋体"/>
                <w:kern w:val="0"/>
                <w:sz w:val="36"/>
                <w:szCs w:val="36"/>
              </w:rPr>
              <w:t>)</w:t>
            </w:r>
          </w:p>
        </w:tc>
      </w:tr>
      <w:tr w14:paraId="1FF57D15">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11D6EA">
            <w:pPr>
              <w:widowControl/>
              <w:ind w:firstLine="480"/>
              <w:jc w:val="center"/>
              <w:textAlignment w:val="center"/>
              <w:rPr>
                <w:rFonts w:ascii="宋体" w:cs="宋体"/>
                <w:sz w:val="24"/>
              </w:rPr>
            </w:pPr>
            <w:r>
              <w:rPr>
                <w:rFonts w:hint="eastAsia" w:ascii="宋体" w:hAnsi="宋体" w:cs="宋体"/>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F8DB4D">
            <w:pPr>
              <w:widowControl/>
              <w:ind w:firstLine="480"/>
              <w:jc w:val="center"/>
              <w:textAlignment w:val="center"/>
              <w:rPr>
                <w:rFonts w:ascii="宋体" w:cs="宋体"/>
                <w:sz w:val="24"/>
              </w:rPr>
            </w:pPr>
            <w:r>
              <w:rPr>
                <w:rFonts w:hint="eastAsia" w:ascii="宋体" w:cs="宋体"/>
                <w:sz w:val="24"/>
              </w:rPr>
              <w:t>米易县一桥下穿走廊建设项目</w:t>
            </w:r>
          </w:p>
        </w:tc>
      </w:tr>
      <w:tr w14:paraId="752CB08F">
        <w:tblPrEx>
          <w:tblCellMar>
            <w:top w:w="0" w:type="dxa"/>
            <w:left w:w="0" w:type="dxa"/>
            <w:bottom w:w="0" w:type="dxa"/>
            <w:right w:w="0" w:type="dxa"/>
          </w:tblCellMar>
        </w:tblPrEx>
        <w:trPr>
          <w:trHeight w:val="622"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351A78">
            <w:pPr>
              <w:widowControl/>
              <w:ind w:firstLine="480"/>
              <w:jc w:val="center"/>
              <w:textAlignment w:val="center"/>
              <w:rPr>
                <w:rFonts w:ascii="宋体" w:cs="宋体"/>
                <w:sz w:val="24"/>
              </w:rPr>
            </w:pPr>
            <w:r>
              <w:rPr>
                <w:rFonts w:hint="eastAsia" w:ascii="宋体" w:hAnsi="宋体" w:cs="宋体"/>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1E8E77">
            <w:pPr>
              <w:widowControl/>
              <w:ind w:firstLine="480"/>
              <w:jc w:val="center"/>
              <w:textAlignment w:val="center"/>
              <w:rPr>
                <w:rFonts w:ascii="宋体" w:cs="宋体"/>
                <w:sz w:val="24"/>
              </w:rPr>
            </w:pPr>
            <w:r>
              <w:rPr>
                <w:rFonts w:hint="eastAsia" w:ascii="宋体" w:cs="宋体"/>
                <w:sz w:val="24"/>
              </w:rPr>
              <w:t>米易县综和行政执法局</w:t>
            </w:r>
          </w:p>
        </w:tc>
      </w:tr>
      <w:tr w14:paraId="03F334C4">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9A40B6">
            <w:pPr>
              <w:widowControl/>
              <w:ind w:firstLine="480"/>
              <w:jc w:val="center"/>
              <w:textAlignment w:val="center"/>
              <w:rPr>
                <w:rFonts w:ascii="宋体" w:cs="宋体"/>
                <w:sz w:val="24"/>
              </w:rPr>
            </w:pPr>
            <w:r>
              <w:rPr>
                <w:rFonts w:hint="eastAsia" w:ascii="宋体" w:hAnsi="宋体" w:cs="宋体"/>
                <w:kern w:val="0"/>
                <w:sz w:val="24"/>
              </w:rPr>
              <w:t>预算执行情况</w:t>
            </w:r>
            <w:r>
              <w:rPr>
                <w:rFonts w:ascii="宋体" w:hAnsi="宋体" w:cs="宋体"/>
                <w:kern w:val="0"/>
                <w:sz w:val="24"/>
              </w:rPr>
              <w:t>(</w:t>
            </w:r>
            <w:r>
              <w:rPr>
                <w:rFonts w:hint="eastAsia" w:ascii="宋体" w:hAnsi="宋体" w:cs="宋体"/>
                <w:kern w:val="0"/>
                <w:sz w:val="24"/>
              </w:rPr>
              <w:t>万元</w:t>
            </w:r>
            <w:r>
              <w:rPr>
                <w:rFonts w:ascii="宋体" w:hAnsi="宋体" w:cs="宋体"/>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510D12">
            <w:pPr>
              <w:widowControl/>
              <w:ind w:firstLine="480"/>
              <w:jc w:val="center"/>
              <w:textAlignment w:val="center"/>
              <w:rPr>
                <w:rFonts w:ascii="宋体" w:cs="宋体"/>
                <w:sz w:val="24"/>
              </w:rPr>
            </w:pPr>
            <w:r>
              <w:rPr>
                <w:rFonts w:hint="eastAsia" w:ascii="宋体" w:hAnsi="宋体" w:cs="宋体"/>
                <w:kern w:val="0"/>
                <w:sz w:val="24"/>
              </w:rPr>
              <w:t>预算数</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ECBE6A">
            <w:pPr>
              <w:widowControl/>
              <w:ind w:firstLine="240" w:firstLineChars="100"/>
              <w:textAlignment w:val="center"/>
              <w:rPr>
                <w:rFonts w:ascii="宋体" w:cs="宋体"/>
                <w:sz w:val="24"/>
                <w:szCs w:val="24"/>
              </w:rPr>
            </w:pPr>
            <w:r>
              <w:rPr>
                <w:rFonts w:hint="eastAsia" w:ascii="仿宋_GB2312" w:hAnsi="仿宋_GB2312" w:eastAsia="仿宋_GB2312" w:cs="仿宋_GB2312"/>
                <w:sz w:val="24"/>
                <w:szCs w:val="24"/>
              </w:rPr>
              <w:t>180.23149万</w:t>
            </w:r>
            <w:r>
              <w:rPr>
                <w:rFonts w:hint="eastAsia" w:ascii="宋体" w:cs="宋体"/>
                <w:sz w:val="24"/>
                <w:szCs w:val="24"/>
              </w:rPr>
              <w:t>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B48FCD">
            <w:pPr>
              <w:widowControl/>
              <w:ind w:firstLine="480"/>
              <w:jc w:val="center"/>
              <w:textAlignment w:val="center"/>
              <w:rPr>
                <w:rFonts w:ascii="宋体" w:cs="宋体"/>
                <w:sz w:val="24"/>
              </w:rPr>
            </w:pPr>
            <w:r>
              <w:rPr>
                <w:rFonts w:hint="eastAsia" w:ascii="宋体" w:hAnsi="宋体" w:cs="宋体"/>
                <w:kern w:val="0"/>
                <w:sz w:val="24"/>
              </w:rPr>
              <w:t>执行数</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0FC73F">
            <w:pPr>
              <w:widowControl/>
              <w:ind w:firstLine="480"/>
              <w:jc w:val="center"/>
              <w:textAlignment w:val="center"/>
              <w:rPr>
                <w:rFonts w:ascii="宋体" w:cs="宋体"/>
                <w:sz w:val="24"/>
              </w:rPr>
            </w:pPr>
            <w:r>
              <w:rPr>
                <w:rFonts w:hint="eastAsia" w:ascii="宋体" w:cs="宋体"/>
                <w:sz w:val="24"/>
              </w:rPr>
              <w:t>144万元</w:t>
            </w:r>
          </w:p>
        </w:tc>
      </w:tr>
      <w:tr w14:paraId="51338361">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75C679">
            <w:pPr>
              <w:ind w:firstLine="480"/>
              <w:jc w:val="center"/>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DCE584">
            <w:pPr>
              <w:widowControl/>
              <w:ind w:firstLine="480"/>
              <w:jc w:val="center"/>
              <w:textAlignment w:val="center"/>
              <w:rPr>
                <w:rFonts w:ascii="宋体" w:cs="宋体"/>
                <w:sz w:val="24"/>
              </w:rPr>
            </w:pPr>
            <w:r>
              <w:rPr>
                <w:rFonts w:hint="eastAsia" w:ascii="宋体" w:hAnsi="宋体" w:cs="宋体"/>
                <w:kern w:val="0"/>
                <w:sz w:val="24"/>
              </w:rPr>
              <w:t>其中</w:t>
            </w:r>
            <w:r>
              <w:rPr>
                <w:rFonts w:ascii="宋体" w:cs="宋体"/>
                <w:kern w:val="0"/>
                <w:sz w:val="24"/>
              </w:rPr>
              <w:t>-</w:t>
            </w:r>
            <w:r>
              <w:rPr>
                <w:rFonts w:hint="eastAsia" w:ascii="宋体" w:hAnsi="宋体" w:cs="宋体"/>
                <w:kern w:val="0"/>
                <w:sz w:val="24"/>
              </w:rPr>
              <w:t>财政拨款</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97760D">
            <w:pPr>
              <w:widowControl/>
              <w:ind w:firstLine="480"/>
              <w:jc w:val="center"/>
              <w:textAlignment w:val="center"/>
              <w:rPr>
                <w:rFonts w:ascii="宋体" w:cs="宋体"/>
                <w:sz w:val="24"/>
              </w:rPr>
            </w:pPr>
            <w:r>
              <w:rPr>
                <w:rFonts w:hint="eastAsia" w:ascii="仿宋_GB2312" w:hAnsi="仿宋_GB2312" w:eastAsia="仿宋_GB2312" w:cs="仿宋_GB2312"/>
                <w:sz w:val="24"/>
                <w:szCs w:val="24"/>
              </w:rPr>
              <w:t>180.23149万</w:t>
            </w:r>
            <w:r>
              <w:rPr>
                <w:rFonts w:hint="eastAsia" w:ascii="宋体" w:cs="宋体"/>
                <w:sz w:val="24"/>
                <w:szCs w:val="24"/>
              </w:rPr>
              <w:t>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E83D0C">
            <w:pPr>
              <w:widowControl/>
              <w:ind w:firstLine="480"/>
              <w:jc w:val="center"/>
              <w:textAlignment w:val="center"/>
              <w:rPr>
                <w:rFonts w:ascii="宋体" w:cs="宋体"/>
                <w:sz w:val="24"/>
              </w:rPr>
            </w:pPr>
            <w:r>
              <w:rPr>
                <w:rFonts w:hint="eastAsia" w:ascii="宋体" w:hAnsi="宋体" w:cs="宋体"/>
                <w:kern w:val="0"/>
                <w:sz w:val="24"/>
              </w:rPr>
              <w:t>其中</w:t>
            </w:r>
            <w:r>
              <w:rPr>
                <w:rFonts w:ascii="宋体" w:cs="宋体"/>
                <w:kern w:val="0"/>
                <w:sz w:val="24"/>
              </w:rPr>
              <w:t>-</w:t>
            </w:r>
            <w:r>
              <w:rPr>
                <w:rFonts w:hint="eastAsia" w:ascii="宋体" w:hAnsi="宋体" w:cs="宋体"/>
                <w:kern w:val="0"/>
                <w:sz w:val="24"/>
              </w:rPr>
              <w:t>财政拨款</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564183">
            <w:pPr>
              <w:widowControl/>
              <w:ind w:firstLine="480"/>
              <w:jc w:val="center"/>
              <w:textAlignment w:val="center"/>
              <w:rPr>
                <w:rFonts w:ascii="宋体" w:cs="宋体"/>
                <w:sz w:val="24"/>
              </w:rPr>
            </w:pPr>
            <w:r>
              <w:rPr>
                <w:rFonts w:hint="eastAsia" w:ascii="宋体" w:cs="宋体"/>
                <w:sz w:val="24"/>
              </w:rPr>
              <w:t>144万元</w:t>
            </w:r>
          </w:p>
        </w:tc>
      </w:tr>
      <w:tr w14:paraId="5359F3C4">
        <w:tblPrEx>
          <w:tblCellMar>
            <w:top w:w="0" w:type="dxa"/>
            <w:left w:w="0" w:type="dxa"/>
            <w:bottom w:w="0" w:type="dxa"/>
            <w:right w:w="0" w:type="dxa"/>
          </w:tblCellMar>
        </w:tblPrEx>
        <w:trPr>
          <w:trHeight w:val="291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CF7668">
            <w:pPr>
              <w:ind w:firstLine="480"/>
              <w:jc w:val="center"/>
              <w:rPr>
                <w:rFonts w:ascii="宋体" w:cs="宋体"/>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3B9963">
            <w:pPr>
              <w:widowControl/>
              <w:ind w:firstLine="480"/>
              <w:jc w:val="center"/>
              <w:textAlignment w:val="center"/>
              <w:rPr>
                <w:rFonts w:ascii="宋体" w:cs="宋体"/>
                <w:sz w:val="24"/>
              </w:rPr>
            </w:pPr>
            <w:r>
              <w:rPr>
                <w:rFonts w:hint="eastAsia" w:ascii="宋体" w:hAnsi="宋体" w:cs="宋体"/>
                <w:kern w:val="0"/>
                <w:sz w:val="24"/>
              </w:rPr>
              <w:t>其它资金</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C0D906">
            <w:pPr>
              <w:widowControl/>
              <w:ind w:firstLine="480"/>
              <w:jc w:val="center"/>
              <w:textAlignment w:val="center"/>
              <w:rPr>
                <w:rFonts w:ascii="宋体" w:cs="宋体"/>
                <w:sz w:val="24"/>
              </w:rPr>
            </w:pPr>
            <w:r>
              <w:rPr>
                <w:rFonts w:hint="eastAsia" w:ascii="宋体" w:cs="宋体"/>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F3D78D">
            <w:pPr>
              <w:widowControl/>
              <w:ind w:firstLine="480"/>
              <w:jc w:val="center"/>
              <w:textAlignment w:val="center"/>
              <w:rPr>
                <w:rFonts w:ascii="宋体" w:cs="宋体"/>
                <w:sz w:val="24"/>
              </w:rPr>
            </w:pPr>
            <w:r>
              <w:rPr>
                <w:rFonts w:hint="eastAsia" w:ascii="宋体" w:hAnsi="宋体" w:cs="宋体"/>
                <w:kern w:val="0"/>
                <w:sz w:val="24"/>
              </w:rPr>
              <w:t>其它资金</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CCA972">
            <w:pPr>
              <w:ind w:firstLine="480"/>
              <w:jc w:val="center"/>
              <w:rPr>
                <w:rFonts w:ascii="宋体" w:cs="宋体"/>
                <w:sz w:val="24"/>
              </w:rPr>
            </w:pPr>
            <w:r>
              <w:rPr>
                <w:rFonts w:hint="eastAsia" w:ascii="宋体" w:cs="宋体"/>
                <w:sz w:val="24"/>
              </w:rPr>
              <w:t>0</w:t>
            </w:r>
          </w:p>
        </w:tc>
      </w:tr>
      <w:tr w14:paraId="43A51C48">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E39053">
            <w:pPr>
              <w:widowControl/>
              <w:ind w:firstLine="480"/>
              <w:jc w:val="center"/>
              <w:textAlignment w:val="center"/>
              <w:rPr>
                <w:rFonts w:ascii="宋体" w:cs="宋体"/>
                <w:sz w:val="24"/>
              </w:rPr>
            </w:pPr>
            <w:r>
              <w:rPr>
                <w:rFonts w:hint="eastAsia" w:ascii="宋体" w:hAnsi="宋体" w:cs="宋体"/>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D42A78">
            <w:pPr>
              <w:widowControl/>
              <w:ind w:firstLine="480"/>
              <w:jc w:val="center"/>
              <w:textAlignment w:val="center"/>
              <w:rPr>
                <w:rFonts w:ascii="宋体" w:cs="宋体"/>
                <w:sz w:val="24"/>
              </w:rPr>
            </w:pPr>
            <w:r>
              <w:rPr>
                <w:rFonts w:hint="eastAsia" w:ascii="宋体" w:hAnsi="宋体" w:cs="宋体"/>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6B6E36">
            <w:pPr>
              <w:widowControl/>
              <w:ind w:firstLine="480"/>
              <w:jc w:val="center"/>
              <w:textAlignment w:val="center"/>
              <w:rPr>
                <w:rFonts w:ascii="宋体" w:cs="宋体"/>
                <w:sz w:val="24"/>
              </w:rPr>
            </w:pPr>
            <w:r>
              <w:rPr>
                <w:rFonts w:hint="eastAsia" w:ascii="宋体" w:hAnsi="宋体" w:cs="宋体"/>
                <w:kern w:val="0"/>
                <w:sz w:val="24"/>
              </w:rPr>
              <w:t>实际完成目标</w:t>
            </w:r>
          </w:p>
        </w:tc>
      </w:tr>
      <w:tr w14:paraId="2918D9FE">
        <w:tblPrEx>
          <w:tblCellMar>
            <w:top w:w="0" w:type="dxa"/>
            <w:left w:w="0" w:type="dxa"/>
            <w:bottom w:w="0" w:type="dxa"/>
            <w:right w:w="0" w:type="dxa"/>
          </w:tblCellMar>
        </w:tblPrEx>
        <w:trPr>
          <w:trHeight w:val="367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33C773">
            <w:pPr>
              <w:ind w:firstLine="480"/>
              <w:jc w:val="center"/>
              <w:rPr>
                <w:rFonts w:ascii="宋体" w:cs="宋体"/>
                <w:sz w:val="24"/>
              </w:rPr>
            </w:p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8E64D2">
            <w:pPr>
              <w:widowControl/>
              <w:ind w:firstLine="480"/>
              <w:jc w:val="center"/>
              <w:textAlignment w:val="center"/>
              <w:rPr>
                <w:rFonts w:ascii="宋体" w:cs="宋体"/>
                <w:sz w:val="24"/>
              </w:rPr>
            </w:pPr>
            <w:r>
              <w:rPr>
                <w:rFonts w:hint="eastAsia" w:ascii="宋体" w:cs="宋体"/>
                <w:sz w:val="24"/>
              </w:rPr>
              <w:t>解决一桥东侧现有交通拥堵，实现人车分流，及时补齐基础设施不健全、功能配套品质不高等短板，不断提升城市环境品质，保障人民群众的生命财产安全</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AB07EF">
            <w:pPr>
              <w:widowControl/>
              <w:ind w:firstLine="480"/>
              <w:jc w:val="center"/>
              <w:textAlignment w:val="center"/>
              <w:rPr>
                <w:rFonts w:ascii="宋体" w:cs="宋体"/>
                <w:sz w:val="24"/>
              </w:rPr>
            </w:pPr>
            <w:r>
              <w:rPr>
                <w:rFonts w:hint="eastAsia" w:ascii="宋体" w:cs="宋体"/>
                <w:sz w:val="24"/>
              </w:rPr>
              <w:t>一桥东侧交通拥堵情况得到有效解决，现已实现人车分流。</w:t>
            </w:r>
          </w:p>
        </w:tc>
      </w:tr>
      <w:tr w14:paraId="275EAEE2">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14:paraId="2BCFB357">
            <w:pPr>
              <w:widowControl/>
              <w:ind w:firstLine="480"/>
              <w:jc w:val="center"/>
              <w:textAlignment w:val="center"/>
              <w:rPr>
                <w:rFonts w:ascii="宋体" w:cs="宋体"/>
                <w:sz w:val="24"/>
              </w:rPr>
            </w:pPr>
            <w:r>
              <w:rPr>
                <w:rFonts w:hint="eastAsia" w:ascii="宋体" w:hAnsi="宋体" w:cs="宋体"/>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3D5A1F">
            <w:pPr>
              <w:widowControl/>
              <w:ind w:firstLine="480"/>
              <w:jc w:val="center"/>
              <w:textAlignment w:val="center"/>
              <w:rPr>
                <w:rFonts w:ascii="宋体" w:cs="宋体"/>
                <w:sz w:val="24"/>
              </w:rPr>
            </w:pPr>
            <w:r>
              <w:rPr>
                <w:rFonts w:hint="eastAsia" w:ascii="宋体" w:hAnsi="宋体" w:cs="宋体"/>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CB1997">
            <w:pPr>
              <w:widowControl/>
              <w:ind w:firstLine="480"/>
              <w:jc w:val="center"/>
              <w:textAlignment w:val="center"/>
              <w:rPr>
                <w:rFonts w:ascii="宋体" w:cs="宋体"/>
                <w:sz w:val="24"/>
              </w:rPr>
            </w:pPr>
            <w:r>
              <w:rPr>
                <w:rFonts w:hint="eastAsia" w:ascii="宋体" w:hAnsi="宋体" w:cs="宋体"/>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A51244">
            <w:pPr>
              <w:widowControl/>
              <w:ind w:firstLine="480"/>
              <w:jc w:val="center"/>
              <w:textAlignment w:val="center"/>
              <w:rPr>
                <w:rFonts w:ascii="宋体" w:cs="宋体"/>
                <w:sz w:val="24"/>
              </w:rPr>
            </w:pPr>
            <w:r>
              <w:rPr>
                <w:rFonts w:hint="eastAsia" w:ascii="宋体" w:hAnsi="宋体" w:cs="宋体"/>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5A1E59">
            <w:pPr>
              <w:widowControl/>
              <w:ind w:firstLine="480"/>
              <w:jc w:val="center"/>
              <w:textAlignment w:val="center"/>
              <w:rPr>
                <w:rFonts w:ascii="宋体" w:cs="宋体"/>
                <w:sz w:val="24"/>
              </w:rPr>
            </w:pPr>
            <w:r>
              <w:rPr>
                <w:rFonts w:hint="eastAsia" w:ascii="宋体" w:hAnsi="宋体" w:cs="宋体"/>
                <w:kern w:val="0"/>
                <w:sz w:val="24"/>
              </w:rPr>
              <w:t>预期指标值</w:t>
            </w:r>
            <w:r>
              <w:rPr>
                <w:rFonts w:ascii="宋体" w:hAnsi="宋体" w:cs="宋体"/>
                <w:kern w:val="0"/>
                <w:sz w:val="24"/>
              </w:rPr>
              <w:t>(</w:t>
            </w:r>
            <w:r>
              <w:rPr>
                <w:rFonts w:hint="eastAsia" w:ascii="宋体" w:hAnsi="宋体" w:cs="宋体"/>
                <w:kern w:val="0"/>
                <w:sz w:val="24"/>
              </w:rPr>
              <w:t>包含数字及文字描述</w:t>
            </w:r>
            <w:r>
              <w:rPr>
                <w:rFonts w:ascii="宋体" w:hAnsi="宋体" w:cs="宋体"/>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19A767">
            <w:pPr>
              <w:widowControl/>
              <w:ind w:firstLine="480"/>
              <w:jc w:val="center"/>
              <w:textAlignment w:val="center"/>
              <w:rPr>
                <w:rFonts w:ascii="宋体" w:cs="宋体"/>
                <w:sz w:val="24"/>
              </w:rPr>
            </w:pPr>
            <w:r>
              <w:rPr>
                <w:rFonts w:hint="eastAsia" w:ascii="宋体" w:hAnsi="宋体" w:cs="宋体"/>
                <w:kern w:val="0"/>
                <w:sz w:val="24"/>
              </w:rPr>
              <w:t>实际完成指标值</w:t>
            </w:r>
            <w:r>
              <w:rPr>
                <w:rFonts w:ascii="宋体" w:hAnsi="宋体" w:cs="宋体"/>
                <w:kern w:val="0"/>
                <w:sz w:val="24"/>
              </w:rPr>
              <w:t>(</w:t>
            </w:r>
            <w:r>
              <w:rPr>
                <w:rFonts w:hint="eastAsia" w:ascii="宋体" w:hAnsi="宋体" w:cs="宋体"/>
                <w:kern w:val="0"/>
                <w:sz w:val="24"/>
              </w:rPr>
              <w:t>包含数字及文字描述</w:t>
            </w:r>
            <w:r>
              <w:rPr>
                <w:rFonts w:ascii="宋体" w:hAnsi="宋体" w:cs="宋体"/>
                <w:kern w:val="0"/>
                <w:sz w:val="24"/>
              </w:rPr>
              <w:t>)</w:t>
            </w:r>
          </w:p>
        </w:tc>
      </w:tr>
      <w:tr w14:paraId="2E663620">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575A22BB">
            <w:pPr>
              <w:widowControl/>
              <w:ind w:firstLine="480"/>
              <w:jc w:val="center"/>
              <w:textAlignment w:val="center"/>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324CA4">
            <w:pPr>
              <w:widowControl/>
              <w:ind w:firstLine="480"/>
              <w:jc w:val="center"/>
              <w:textAlignment w:val="center"/>
              <w:rPr>
                <w:rFonts w:ascii="宋体" w:cs="宋体"/>
                <w:sz w:val="24"/>
              </w:rPr>
            </w:pPr>
            <w:r>
              <w:rPr>
                <w:rFonts w:hint="eastAsia" w:ascii="仿宋_GB2312" w:hAnsi="宋体" w:eastAsia="仿宋_GB2312"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AF8043">
            <w:pPr>
              <w:widowControl/>
              <w:ind w:firstLine="480"/>
              <w:jc w:val="center"/>
              <w:textAlignment w:val="center"/>
              <w:rPr>
                <w:rFonts w:ascii="宋体" w:cs="宋体"/>
                <w:sz w:val="24"/>
              </w:rPr>
            </w:pPr>
            <w:r>
              <w:rPr>
                <w:rFonts w:hint="eastAsia" w:ascii="仿宋_GB2312" w:eastAsia="仿宋_GB2312" w:cs="宋体"/>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D0FE42">
            <w:pPr>
              <w:widowControl/>
              <w:ind w:firstLine="480"/>
              <w:jc w:val="center"/>
              <w:textAlignment w:val="center"/>
              <w:rPr>
                <w:rFonts w:ascii="宋体" w:eastAsia="仿宋_GB2312" w:cs="宋体"/>
                <w:sz w:val="24"/>
              </w:rPr>
            </w:pPr>
            <w:r>
              <w:rPr>
                <w:rFonts w:hint="eastAsia" w:ascii="宋体" w:hAnsi="Times New Roman" w:eastAsia="仿宋_GB2312" w:cs="宋体"/>
                <w:sz w:val="24"/>
              </w:rPr>
              <w:t>在一桥东侧新建下穿通道桥、桥墩、栏杆美化以及照明等相关设施</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42FC3F">
            <w:pPr>
              <w:widowControl/>
              <w:ind w:firstLine="480"/>
              <w:jc w:val="center"/>
              <w:textAlignment w:val="center"/>
              <w:rPr>
                <w:rFonts w:ascii="宋体" w:eastAsia="仿宋_GB2312" w:cs="宋体"/>
                <w:sz w:val="24"/>
              </w:rPr>
            </w:pPr>
            <w:r>
              <w:rPr>
                <w:rFonts w:hint="eastAsia" w:ascii="宋体" w:hAnsi="Times New Roman" w:eastAsia="仿宋_GB2312" w:cs="宋体"/>
                <w:sz w:val="24"/>
              </w:rPr>
              <w:t>在一桥东侧新建下穿通道桥约86米，面积约860平方米，桥墩、栏杆美化以及照明等相关设施</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1F4315">
            <w:pPr>
              <w:widowControl/>
              <w:ind w:firstLine="480"/>
              <w:jc w:val="center"/>
              <w:textAlignment w:val="center"/>
              <w:rPr>
                <w:rFonts w:ascii="宋体" w:eastAsia="仿宋_GB2312" w:cs="宋体"/>
                <w:sz w:val="24"/>
              </w:rPr>
            </w:pPr>
            <w:r>
              <w:rPr>
                <w:rFonts w:hint="eastAsia" w:ascii="宋体" w:hAnsi="Times New Roman" w:eastAsia="仿宋_GB2312" w:cs="宋体"/>
                <w:sz w:val="24"/>
              </w:rPr>
              <w:t>在一桥东侧新建下穿通道桥约86米，面积约860平方米，桥墩、栏杆美化以及照明等相关设施</w:t>
            </w:r>
          </w:p>
        </w:tc>
      </w:tr>
      <w:tr w14:paraId="333B0CE0">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22CF5E01">
            <w:pPr>
              <w:widowControl/>
              <w:ind w:firstLine="480"/>
              <w:jc w:val="center"/>
              <w:textAlignment w:val="center"/>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34255C">
            <w:pPr>
              <w:widowControl/>
              <w:ind w:firstLine="480"/>
              <w:jc w:val="center"/>
              <w:textAlignment w:val="center"/>
              <w:rPr>
                <w:rFonts w:ascii="宋体" w:cs="宋体"/>
                <w:sz w:val="24"/>
              </w:rPr>
            </w:pPr>
            <w:r>
              <w:rPr>
                <w:rFonts w:hint="eastAsia" w:ascii="仿宋_GB2312" w:hAnsi="宋体" w:eastAsia="仿宋_GB2312"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87DAE8">
            <w:pPr>
              <w:widowControl/>
              <w:ind w:firstLine="480"/>
              <w:jc w:val="center"/>
              <w:textAlignment w:val="center"/>
              <w:rPr>
                <w:rFonts w:ascii="宋体" w:cs="宋体"/>
                <w:sz w:val="24"/>
              </w:rPr>
            </w:pPr>
            <w:r>
              <w:rPr>
                <w:rFonts w:hint="eastAsia" w:ascii="仿宋_GB2312" w:eastAsia="仿宋_GB2312" w:cs="宋体"/>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EAC163">
            <w:pPr>
              <w:widowControl/>
              <w:ind w:firstLine="480"/>
              <w:jc w:val="center"/>
              <w:textAlignment w:val="center"/>
              <w:rPr>
                <w:rFonts w:ascii="宋体" w:eastAsia="仿宋_GB2312" w:cs="宋体"/>
                <w:sz w:val="24"/>
              </w:rPr>
            </w:pPr>
            <w:r>
              <w:rPr>
                <w:rFonts w:hint="eastAsia" w:ascii="宋体" w:eastAsia="仿宋_GB2312" w:cs="宋体"/>
                <w:sz w:val="24"/>
              </w:rPr>
              <w:t>符合国家标准</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E1AF27">
            <w:pPr>
              <w:widowControl/>
              <w:ind w:firstLine="480"/>
              <w:textAlignment w:val="center"/>
              <w:rPr>
                <w:rFonts w:ascii="宋体" w:cs="宋体"/>
                <w:sz w:val="24"/>
              </w:rPr>
            </w:pPr>
            <w:r>
              <w:rPr>
                <w:rFonts w:hint="eastAsia" w:ascii="仿宋_GB2312" w:hAnsi="Times New Roman" w:eastAsia="仿宋_GB2312" w:cs="宋体"/>
                <w:sz w:val="24"/>
              </w:rPr>
              <w:t>进行竣工验收并验收合格</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67C381">
            <w:pPr>
              <w:widowControl/>
              <w:ind w:firstLine="120" w:firstLineChars="50"/>
              <w:textAlignment w:val="center"/>
              <w:rPr>
                <w:rFonts w:ascii="宋体" w:cs="宋体"/>
                <w:sz w:val="24"/>
              </w:rPr>
            </w:pPr>
            <w:r>
              <w:rPr>
                <w:rFonts w:hint="eastAsia" w:ascii="仿宋_GB2312" w:hAnsi="Times New Roman" w:eastAsia="仿宋_GB2312" w:cs="宋体"/>
                <w:sz w:val="24"/>
              </w:rPr>
              <w:t>项目于2020年1月20日竣工验收并验收合格</w:t>
            </w:r>
          </w:p>
        </w:tc>
      </w:tr>
      <w:tr w14:paraId="0F146FE8">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6EB6ECEC">
            <w:pPr>
              <w:widowControl/>
              <w:ind w:firstLine="480"/>
              <w:jc w:val="center"/>
              <w:textAlignment w:val="center"/>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F0CCA4">
            <w:pPr>
              <w:widowControl/>
              <w:ind w:firstLine="480"/>
              <w:jc w:val="center"/>
              <w:textAlignment w:val="center"/>
              <w:rPr>
                <w:rFonts w:ascii="宋体" w:cs="宋体"/>
                <w:sz w:val="24"/>
              </w:rPr>
            </w:pPr>
            <w:r>
              <w:rPr>
                <w:rFonts w:hint="eastAsia" w:ascii="仿宋_GB2312" w:hAnsi="宋体" w:eastAsia="仿宋_GB2312"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D2C346">
            <w:pPr>
              <w:widowControl/>
              <w:ind w:firstLine="480"/>
              <w:jc w:val="center"/>
              <w:textAlignment w:val="center"/>
              <w:rPr>
                <w:rFonts w:ascii="宋体" w:cs="宋体"/>
                <w:sz w:val="24"/>
              </w:rPr>
            </w:pPr>
            <w:r>
              <w:rPr>
                <w:rFonts w:hint="eastAsia" w:ascii="仿宋_GB2312" w:eastAsia="仿宋_GB2312" w:cs="宋体"/>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3C75F6">
            <w:pPr>
              <w:widowControl/>
              <w:ind w:firstLine="480"/>
              <w:jc w:val="center"/>
              <w:textAlignment w:val="center"/>
              <w:rPr>
                <w:rFonts w:ascii="宋体" w:cs="宋体"/>
                <w:sz w:val="24"/>
              </w:rPr>
            </w:pPr>
            <w:r>
              <w:rPr>
                <w:rFonts w:hint="eastAsia" w:ascii="仿宋_GB2312" w:eastAsia="仿宋_GB2312" w:cs="宋体"/>
                <w:sz w:val="24"/>
              </w:rPr>
              <w:t>按合同约定支付工程进度款</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40FE44">
            <w:pPr>
              <w:widowControl/>
              <w:ind w:firstLine="480"/>
              <w:jc w:val="center"/>
              <w:textAlignment w:val="center"/>
              <w:rPr>
                <w:rFonts w:ascii="宋体" w:eastAsia="仿宋_GB2312" w:cs="宋体"/>
                <w:sz w:val="24"/>
              </w:rPr>
            </w:pPr>
            <w:r>
              <w:rPr>
                <w:rFonts w:hint="eastAsia" w:ascii="仿宋_GB2312" w:eastAsia="仿宋_GB2312" w:cs="宋体"/>
                <w:sz w:val="24"/>
              </w:rPr>
              <w:t xml:space="preserve">合同工期为2020年1月到2020年2月 </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7305D6">
            <w:pPr>
              <w:widowControl/>
              <w:ind w:firstLine="480"/>
              <w:jc w:val="center"/>
              <w:textAlignment w:val="center"/>
              <w:rPr>
                <w:rFonts w:ascii="宋体" w:cs="宋体"/>
                <w:sz w:val="24"/>
              </w:rPr>
            </w:pPr>
            <w:r>
              <w:rPr>
                <w:rFonts w:hint="eastAsia" w:ascii="仿宋_GB2312" w:hAnsi="Times New Roman" w:eastAsia="仿宋_GB2312" w:cs="宋体"/>
                <w:sz w:val="24"/>
              </w:rPr>
              <w:t>项目于2020年1月20日竣工验收</w:t>
            </w:r>
          </w:p>
        </w:tc>
      </w:tr>
      <w:tr w14:paraId="374855FB">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63E0DBE3">
            <w:pPr>
              <w:widowControl/>
              <w:ind w:firstLine="480"/>
              <w:jc w:val="center"/>
              <w:textAlignment w:val="center"/>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477921">
            <w:pPr>
              <w:widowControl/>
              <w:ind w:firstLine="480"/>
              <w:jc w:val="center"/>
              <w:textAlignment w:val="center"/>
              <w:rPr>
                <w:rFonts w:ascii="宋体" w:cs="宋体"/>
                <w:kern w:val="0"/>
                <w:sz w:val="24"/>
              </w:rPr>
            </w:pPr>
            <w:r>
              <w:rPr>
                <w:rFonts w:hint="eastAsia" w:ascii="仿宋_GB2312" w:hAnsi="宋体" w:eastAsia="仿宋_GB2312" w:cs="宋体"/>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A3A2A7">
            <w:pPr>
              <w:widowControl/>
              <w:ind w:firstLine="480"/>
              <w:jc w:val="center"/>
              <w:textAlignment w:val="center"/>
              <w:rPr>
                <w:rFonts w:ascii="宋体" w:cs="宋体"/>
                <w:sz w:val="24"/>
              </w:rPr>
            </w:pPr>
            <w:r>
              <w:rPr>
                <w:rFonts w:hint="eastAsia" w:ascii="仿宋_GB2312" w:eastAsia="仿宋_GB2312" w:cs="宋体"/>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645DF1">
            <w:pPr>
              <w:widowControl/>
              <w:ind w:firstLine="480"/>
              <w:jc w:val="center"/>
              <w:textAlignment w:val="center"/>
              <w:rPr>
                <w:rFonts w:ascii="宋体" w:cs="宋体"/>
                <w:sz w:val="24"/>
              </w:rPr>
            </w:pPr>
            <w:r>
              <w:rPr>
                <w:rFonts w:hint="eastAsia" w:ascii="仿宋_GB2312" w:eastAsia="仿宋_GB2312" w:cs="宋体"/>
                <w:sz w:val="24"/>
              </w:rPr>
              <w:t>项目施工费、设计费、监理费</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309EE3">
            <w:pPr>
              <w:widowControl/>
              <w:ind w:firstLine="480"/>
              <w:jc w:val="center"/>
              <w:textAlignment w:val="center"/>
              <w:rPr>
                <w:rFonts w:ascii="宋体" w:cs="宋体"/>
                <w:sz w:val="24"/>
              </w:rPr>
            </w:pPr>
            <w:r>
              <w:rPr>
                <w:rFonts w:hint="eastAsia" w:ascii="仿宋_GB2312" w:hAnsi="仿宋_GB2312" w:eastAsia="仿宋_GB2312" w:cs="仿宋_GB2312"/>
                <w:sz w:val="24"/>
                <w:szCs w:val="24"/>
              </w:rPr>
              <w:t>180.23149万</w:t>
            </w:r>
            <w:r>
              <w:rPr>
                <w:rFonts w:hint="eastAsia" w:ascii="宋体" w:cs="宋体"/>
                <w:sz w:val="24"/>
                <w:szCs w:val="24"/>
              </w:rPr>
              <w:t>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84AB63">
            <w:pPr>
              <w:widowControl/>
              <w:ind w:firstLine="480"/>
              <w:jc w:val="center"/>
              <w:textAlignment w:val="center"/>
              <w:rPr>
                <w:rFonts w:ascii="宋体" w:cs="宋体"/>
                <w:sz w:val="24"/>
              </w:rPr>
            </w:pPr>
            <w:r>
              <w:rPr>
                <w:rFonts w:hint="eastAsia" w:ascii="宋体" w:cs="宋体"/>
                <w:sz w:val="24"/>
              </w:rPr>
              <w:t>144万元</w:t>
            </w:r>
          </w:p>
        </w:tc>
      </w:tr>
      <w:tr w14:paraId="5305335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7956F479">
            <w:pPr>
              <w:widowControl/>
              <w:ind w:firstLine="480"/>
              <w:jc w:val="center"/>
              <w:textAlignment w:val="center"/>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AC2779">
            <w:pPr>
              <w:widowControl/>
              <w:ind w:firstLine="480"/>
              <w:jc w:val="center"/>
              <w:textAlignment w:val="center"/>
              <w:rPr>
                <w:rFonts w:ascii="宋体" w:cs="宋体"/>
                <w:sz w:val="24"/>
              </w:rPr>
            </w:pPr>
            <w:r>
              <w:rPr>
                <w:rFonts w:hint="eastAsia" w:ascii="仿宋_GB2312" w:hAnsi="宋体" w:eastAsia="仿宋_GB2312"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621C90">
            <w:pPr>
              <w:widowControl/>
              <w:ind w:firstLine="480"/>
              <w:jc w:val="center"/>
              <w:textAlignment w:val="center"/>
              <w:rPr>
                <w:rFonts w:ascii="宋体" w:cs="宋体"/>
                <w:sz w:val="24"/>
              </w:rPr>
            </w:pPr>
            <w:r>
              <w:rPr>
                <w:rFonts w:hint="eastAsia" w:ascii="仿宋_GB2312" w:eastAsia="仿宋_GB2312" w:cs="宋体"/>
                <w:sz w:val="24"/>
              </w:rPr>
              <w:t>经济效益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A0647C">
            <w:pPr>
              <w:widowControl/>
              <w:ind w:firstLine="480"/>
              <w:jc w:val="center"/>
              <w:textAlignment w:val="center"/>
              <w:rPr>
                <w:rFonts w:ascii="宋体" w:cs="宋体"/>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9F7634">
            <w:pPr>
              <w:widowControl/>
              <w:ind w:firstLine="480"/>
              <w:jc w:val="center"/>
              <w:textAlignment w:val="center"/>
              <w:rPr>
                <w:rFonts w:ascii="宋体" w:cs="宋体"/>
                <w:sz w:val="24"/>
              </w:rPr>
            </w:pPr>
            <w:r>
              <w:rPr>
                <w:rFonts w:hint="eastAsia" w:ascii="仿宋_GB2312" w:eastAsia="仿宋_GB2312" w:cs="宋体"/>
                <w:sz w:val="24"/>
              </w:rPr>
              <w:t>促进社会经济综合发展</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A9EA00">
            <w:pPr>
              <w:widowControl/>
              <w:ind w:firstLine="480"/>
              <w:jc w:val="center"/>
              <w:textAlignment w:val="center"/>
              <w:rPr>
                <w:rFonts w:ascii="宋体" w:cs="宋体"/>
                <w:sz w:val="24"/>
              </w:rPr>
            </w:pPr>
            <w:r>
              <w:rPr>
                <w:rFonts w:hint="eastAsia" w:ascii="仿宋_GB2312" w:eastAsia="仿宋_GB2312" w:cs="宋体"/>
                <w:sz w:val="24"/>
              </w:rPr>
              <w:t>促进社会经济综合发展</w:t>
            </w:r>
          </w:p>
        </w:tc>
      </w:tr>
      <w:tr w14:paraId="698FB7B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51B19F8B">
            <w:pPr>
              <w:widowControl/>
              <w:ind w:firstLine="480"/>
              <w:jc w:val="center"/>
              <w:textAlignment w:val="center"/>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687135">
            <w:pPr>
              <w:widowControl/>
              <w:ind w:firstLine="480"/>
              <w:jc w:val="center"/>
              <w:textAlignment w:val="center"/>
              <w:rPr>
                <w:rFonts w:ascii="宋体" w:cs="宋体"/>
                <w:sz w:val="24"/>
              </w:rPr>
            </w:pPr>
            <w:r>
              <w:rPr>
                <w:rFonts w:hint="eastAsia" w:ascii="仿宋_GB2312" w:eastAsia="仿宋_GB2312" w:cs="宋体"/>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A9BED0">
            <w:pPr>
              <w:widowControl/>
              <w:ind w:firstLine="480"/>
              <w:jc w:val="center"/>
              <w:textAlignment w:val="center"/>
              <w:rPr>
                <w:rFonts w:ascii="宋体" w:cs="宋体"/>
                <w:sz w:val="24"/>
              </w:rPr>
            </w:pPr>
            <w:r>
              <w:rPr>
                <w:rFonts w:hint="eastAsia" w:ascii="仿宋_GB2312" w:eastAsia="仿宋_GB2312" w:cs="宋体"/>
                <w:sz w:val="24"/>
              </w:rPr>
              <w:t>社会效益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E06794">
            <w:pPr>
              <w:widowControl/>
              <w:ind w:firstLine="480"/>
              <w:jc w:val="center"/>
              <w:textAlignment w:val="center"/>
              <w:rPr>
                <w:rFonts w:ascii="宋体" w:cs="宋体"/>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032E31">
            <w:pPr>
              <w:widowControl/>
              <w:ind w:firstLine="480"/>
              <w:textAlignment w:val="center"/>
              <w:rPr>
                <w:rFonts w:ascii="宋体" w:cs="宋体"/>
                <w:sz w:val="24"/>
              </w:rPr>
            </w:pPr>
            <w:r>
              <w:rPr>
                <w:rFonts w:hint="eastAsia" w:ascii="仿宋_GB2312" w:eastAsia="仿宋_GB2312" w:cs="宋体"/>
                <w:sz w:val="24"/>
              </w:rPr>
              <w:t>提高市民生活质量和幸福指数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880C79">
            <w:pPr>
              <w:widowControl/>
              <w:ind w:firstLine="480"/>
              <w:jc w:val="center"/>
              <w:textAlignment w:val="center"/>
              <w:rPr>
                <w:rFonts w:ascii="宋体" w:cs="宋体"/>
                <w:sz w:val="24"/>
              </w:rPr>
            </w:pPr>
            <w:r>
              <w:rPr>
                <w:rFonts w:hint="eastAsia" w:ascii="仿宋_GB2312" w:eastAsia="仿宋_GB2312" w:cs="宋体"/>
                <w:sz w:val="24"/>
              </w:rPr>
              <w:t>提高市民生活质量和幸福指数</w:t>
            </w:r>
          </w:p>
        </w:tc>
      </w:tr>
      <w:tr w14:paraId="71FF0EF3">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1C48833F">
            <w:pPr>
              <w:widowControl/>
              <w:ind w:firstLine="480"/>
              <w:jc w:val="center"/>
              <w:textAlignment w:val="center"/>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D179CF">
            <w:pPr>
              <w:widowControl/>
              <w:ind w:firstLine="480"/>
              <w:jc w:val="center"/>
              <w:textAlignment w:val="center"/>
              <w:rPr>
                <w:rFonts w:ascii="宋体" w:cs="宋体"/>
                <w:sz w:val="24"/>
              </w:rPr>
            </w:pPr>
            <w:r>
              <w:rPr>
                <w:rFonts w:hint="eastAsia" w:ascii="仿宋_GB2312" w:hAnsi="宋体" w:eastAsia="仿宋_GB2312" w:cs="宋体"/>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80CF4D">
            <w:pPr>
              <w:widowControl/>
              <w:ind w:firstLine="480"/>
              <w:jc w:val="center"/>
              <w:textAlignment w:val="center"/>
              <w:rPr>
                <w:rFonts w:ascii="宋体" w:cs="宋体"/>
                <w:sz w:val="24"/>
              </w:rPr>
            </w:pPr>
            <w:r>
              <w:rPr>
                <w:rFonts w:hint="eastAsia" w:ascii="仿宋_GB2312" w:eastAsia="仿宋_GB2312" w:cs="宋体"/>
                <w:sz w:val="24"/>
              </w:rPr>
              <w:t>生态效益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FAB7F8">
            <w:pPr>
              <w:widowControl/>
              <w:ind w:firstLine="480"/>
              <w:textAlignment w:val="center"/>
              <w:rPr>
                <w:rFonts w:ascii="宋体" w:cs="宋体"/>
                <w:sz w:val="24"/>
              </w:rPr>
            </w:pPr>
            <w:r>
              <w:rPr>
                <w:rFonts w:hint="eastAsia" w:ascii="仿宋_GB2312" w:eastAsia="仿宋_GB2312" w:cs="宋体"/>
                <w:sz w:val="24"/>
              </w:rPr>
              <w:t>施工过程中环境影响保障措施</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EF980F">
            <w:pPr>
              <w:widowControl/>
              <w:ind w:firstLine="480"/>
              <w:textAlignment w:val="center"/>
              <w:rPr>
                <w:rFonts w:ascii="宋体" w:cs="宋体"/>
                <w:sz w:val="24"/>
              </w:rPr>
            </w:pPr>
            <w:r>
              <w:rPr>
                <w:rFonts w:hint="eastAsia" w:ascii="仿宋_GB2312" w:eastAsia="仿宋_GB2312" w:cs="宋体"/>
                <w:sz w:val="24"/>
              </w:rPr>
              <w:t>无环境影响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0703CF">
            <w:pPr>
              <w:widowControl/>
              <w:ind w:firstLine="480"/>
              <w:textAlignment w:val="center"/>
              <w:rPr>
                <w:rFonts w:ascii="宋体" w:cs="宋体"/>
                <w:sz w:val="24"/>
              </w:rPr>
            </w:pPr>
            <w:r>
              <w:rPr>
                <w:rFonts w:hint="eastAsia" w:ascii="仿宋_GB2312" w:eastAsia="仿宋_GB2312" w:cs="宋体"/>
                <w:sz w:val="24"/>
              </w:rPr>
              <w:t>无环境影响</w:t>
            </w:r>
          </w:p>
        </w:tc>
      </w:tr>
      <w:tr w14:paraId="42018A12">
        <w:tblPrEx>
          <w:tblCellMar>
            <w:top w:w="0" w:type="dxa"/>
            <w:left w:w="0" w:type="dxa"/>
            <w:bottom w:w="0" w:type="dxa"/>
            <w:right w:w="0" w:type="dxa"/>
          </w:tblCellMar>
        </w:tblPrEx>
        <w:trPr>
          <w:trHeight w:val="968"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196D7D88">
            <w:pPr>
              <w:widowControl/>
              <w:ind w:firstLine="480"/>
              <w:jc w:val="center"/>
              <w:textAlignment w:val="center"/>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267A3C">
            <w:pPr>
              <w:widowControl/>
              <w:ind w:firstLine="480"/>
              <w:textAlignment w:val="center"/>
              <w:rPr>
                <w:rFonts w:ascii="宋体" w:cs="宋体"/>
                <w:sz w:val="24"/>
              </w:rPr>
            </w:pPr>
            <w:r>
              <w:rPr>
                <w:rFonts w:hint="eastAsia" w:ascii="仿宋_GB2312" w:hAnsi="宋体" w:eastAsia="仿宋_GB2312" w:cs="宋体"/>
                <w:kern w:val="0"/>
                <w:sz w:val="24"/>
              </w:rPr>
              <w:t>效益指 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ECA04C">
            <w:pPr>
              <w:widowControl/>
              <w:ind w:firstLine="480"/>
              <w:jc w:val="center"/>
              <w:textAlignment w:val="center"/>
              <w:rPr>
                <w:rFonts w:ascii="宋体" w:cs="宋体"/>
                <w:sz w:val="24"/>
              </w:rPr>
            </w:pPr>
            <w:r>
              <w:rPr>
                <w:rFonts w:hint="eastAsia" w:ascii="仿宋_GB2312" w:eastAsia="仿宋_GB2312" w:cs="宋体"/>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B05935">
            <w:pPr>
              <w:widowControl/>
              <w:ind w:firstLine="480"/>
              <w:jc w:val="center"/>
              <w:textAlignment w:val="center"/>
              <w:rPr>
                <w:rFonts w:ascii="宋体" w:cs="宋体"/>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5685A9">
            <w:pPr>
              <w:widowControl/>
              <w:ind w:firstLine="480"/>
              <w:jc w:val="center"/>
              <w:textAlignment w:val="center"/>
              <w:rPr>
                <w:rFonts w:ascii="宋体" w:cs="宋体"/>
                <w:sz w:val="24"/>
              </w:rPr>
            </w:pPr>
            <w:r>
              <w:rPr>
                <w:rFonts w:hint="eastAsia" w:ascii="仿宋_GB2312" w:eastAsia="仿宋_GB2312" w:cs="宋体"/>
                <w:sz w:val="24"/>
              </w:rPr>
              <w:t>为创建文明城市、打造宜居城市，进一步提升米易形象打下基础</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A2C57C">
            <w:pPr>
              <w:widowControl/>
              <w:ind w:firstLine="480"/>
              <w:jc w:val="center"/>
              <w:textAlignment w:val="center"/>
              <w:rPr>
                <w:rFonts w:ascii="宋体" w:cs="宋体"/>
                <w:sz w:val="24"/>
              </w:rPr>
            </w:pPr>
            <w:r>
              <w:rPr>
                <w:rFonts w:hint="eastAsia" w:ascii="仿宋_GB2312" w:eastAsia="仿宋_GB2312" w:cs="宋体"/>
                <w:sz w:val="24"/>
              </w:rPr>
              <w:t>为创建文明城市、打造宜居城市，进一步提升米易形象打下基础</w:t>
            </w:r>
          </w:p>
        </w:tc>
      </w:tr>
      <w:tr w14:paraId="410FE597">
        <w:tblPrEx>
          <w:tblCellMar>
            <w:top w:w="0" w:type="dxa"/>
            <w:left w:w="0" w:type="dxa"/>
            <w:bottom w:w="0" w:type="dxa"/>
            <w:right w:w="0" w:type="dxa"/>
          </w:tblCellMar>
        </w:tblPrEx>
        <w:trPr>
          <w:trHeight w:val="1439" w:hRule="atLeast"/>
          <w:jc w:val="center"/>
        </w:trPr>
        <w:tc>
          <w:tcPr>
            <w:tcW w:w="390" w:type="dxa"/>
            <w:vMerge w:val="continue"/>
            <w:tcBorders>
              <w:left w:val="single" w:color="000000" w:sz="4" w:space="0"/>
              <w:right w:val="single" w:color="000000" w:sz="4" w:space="0"/>
            </w:tcBorders>
            <w:noWrap/>
            <w:tcMar>
              <w:top w:w="15" w:type="dxa"/>
              <w:left w:w="15" w:type="dxa"/>
              <w:right w:w="15" w:type="dxa"/>
            </w:tcMar>
            <w:vAlign w:val="center"/>
          </w:tcPr>
          <w:p w14:paraId="63475B18">
            <w:pPr>
              <w:widowControl/>
              <w:ind w:firstLine="480"/>
              <w:jc w:val="center"/>
              <w:textAlignment w:val="center"/>
              <w:rPr>
                <w:rFonts w:ascii="宋体" w:cs="宋体"/>
                <w:sz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23FC76">
            <w:pPr>
              <w:widowControl/>
              <w:ind w:firstLine="480"/>
              <w:jc w:val="center"/>
              <w:textAlignment w:val="center"/>
              <w:rPr>
                <w:rFonts w:ascii="宋体" w:cs="宋体"/>
                <w:kern w:val="0"/>
                <w:sz w:val="24"/>
              </w:rPr>
            </w:pPr>
            <w:r>
              <w:rPr>
                <w:rFonts w:hint="eastAsia" w:ascii="仿宋_GB2312" w:hAnsi="宋体" w:eastAsia="仿宋_GB2312" w:cs="宋体"/>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C9AB30">
            <w:pPr>
              <w:widowControl/>
              <w:ind w:firstLine="480"/>
              <w:textAlignment w:val="center"/>
              <w:rPr>
                <w:rFonts w:ascii="宋体" w:cs="宋体"/>
                <w:sz w:val="24"/>
              </w:rPr>
            </w:pPr>
            <w:r>
              <w:rPr>
                <w:rFonts w:hint="eastAsia" w:ascii="仿宋_GB2312" w:eastAsia="仿宋_GB2312" w:cs="宋体"/>
                <w:sz w:val="24"/>
              </w:rPr>
              <w:t>受益群众满意度</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399B18">
            <w:pPr>
              <w:widowControl/>
              <w:ind w:firstLine="480"/>
              <w:textAlignment w:val="center"/>
              <w:rPr>
                <w:rFonts w:ascii="宋体" w:cs="宋体"/>
                <w:sz w:val="24"/>
              </w:rPr>
            </w:pPr>
            <w:r>
              <w:rPr>
                <w:rFonts w:hint="eastAsia" w:ascii="仿宋_GB2312" w:eastAsia="仿宋_GB2312" w:cs="宋体"/>
                <w:sz w:val="24"/>
              </w:rPr>
              <w:t>受益群众满意率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813164">
            <w:pPr>
              <w:widowControl/>
              <w:ind w:firstLine="480"/>
              <w:jc w:val="center"/>
              <w:textAlignment w:val="center"/>
              <w:rPr>
                <w:rFonts w:ascii="宋体" w:cs="宋体"/>
                <w:sz w:val="24"/>
              </w:rPr>
            </w:pPr>
            <w:r>
              <w:rPr>
                <w:rFonts w:hint="eastAsia" w:ascii="仿宋_GB2312" w:eastAsia="仿宋_GB2312" w:cs="宋体"/>
                <w:sz w:val="24"/>
              </w:rPr>
              <w:t>100%及以上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4CA049">
            <w:pPr>
              <w:widowControl/>
              <w:ind w:firstLine="480"/>
              <w:jc w:val="center"/>
              <w:textAlignment w:val="center"/>
              <w:rPr>
                <w:rFonts w:ascii="宋体" w:cs="宋体"/>
                <w:sz w:val="24"/>
              </w:rPr>
            </w:pPr>
            <w:r>
              <w:rPr>
                <w:rFonts w:hint="eastAsia" w:ascii="仿宋_GB2312" w:eastAsia="仿宋_GB2312" w:cs="宋体"/>
                <w:sz w:val="24"/>
              </w:rPr>
              <w:t>100%</w:t>
            </w:r>
          </w:p>
        </w:tc>
      </w:tr>
    </w:tbl>
    <w:p w14:paraId="7DED27AC">
      <w:pPr>
        <w:spacing w:line="520" w:lineRule="exact"/>
        <w:rPr>
          <w:rFonts w:ascii="仿宋_GB2312" w:hAnsi="仿宋_GB2312" w:eastAsia="仿宋_GB2312" w:cs="仿宋_GB2312"/>
        </w:rPr>
      </w:pPr>
      <w:r>
        <w:rPr>
          <w:rFonts w:hint="eastAsia" w:ascii="仿宋_GB2312" w:hAnsi="仿宋_GB2312" w:eastAsia="仿宋_GB2312" w:cs="仿宋_GB2312"/>
        </w:rPr>
        <w:t>（2）“第二轮绿化养护市场化”项目绩效目标完成情况综述。项目全年预算数</w:t>
      </w:r>
      <w:r>
        <w:rPr>
          <w:rFonts w:hint="eastAsia" w:ascii="仿宋_GB2312" w:eastAsia="仿宋_GB2312" w:cs="宋体"/>
        </w:rPr>
        <w:t>842.23万元</w:t>
      </w:r>
      <w:r>
        <w:rPr>
          <w:rFonts w:hint="eastAsia" w:ascii="仿宋_GB2312" w:hAnsi="仿宋_GB2312" w:eastAsia="仿宋_GB2312" w:cs="仿宋_GB2312"/>
        </w:rPr>
        <w:t>，执行数为</w:t>
      </w:r>
      <w:r>
        <w:rPr>
          <w:rFonts w:hint="eastAsia" w:ascii="仿宋_GB2312" w:eastAsia="仿宋_GB2312" w:cs="宋体"/>
        </w:rPr>
        <w:t>842.23万元</w:t>
      </w:r>
      <w:r>
        <w:rPr>
          <w:rFonts w:hint="eastAsia" w:ascii="仿宋_GB2312" w:hAnsi="仿宋_GB2312" w:eastAsia="仿宋_GB2312" w:cs="仿宋_GB2312"/>
        </w:rPr>
        <w:t>，完成预算的100</w:t>
      </w:r>
      <w:r>
        <w:rPr>
          <w:rFonts w:ascii="仿宋_GB2312" w:hAnsi="仿宋_GB2312" w:eastAsia="仿宋_GB2312" w:cs="仿宋_GB2312"/>
        </w:rPr>
        <w:t>%</w:t>
      </w:r>
      <w:r>
        <w:rPr>
          <w:rFonts w:hint="eastAsia" w:ascii="仿宋_GB2312" w:hAnsi="仿宋_GB2312" w:eastAsia="仿宋_GB2312" w:cs="仿宋_GB2312"/>
        </w:rPr>
        <w:t>。通过项目实施，</w:t>
      </w:r>
      <w:r>
        <w:rPr>
          <w:rFonts w:ascii="仿宋_GB2312" w:hAnsi="仿宋_GB2312" w:eastAsia="仿宋_GB2312" w:cs="仿宋_GB2312"/>
        </w:rPr>
        <w:t>引进了专业化管护队伍，养护效率、养护质量和城市绿化整体水平得到提高，且成效显著</w:t>
      </w:r>
      <w:r>
        <w:rPr>
          <w:rFonts w:hint="eastAsia" w:ascii="仿宋_GB2312" w:hAnsi="仿宋_GB2312" w:eastAsia="仿宋_GB2312" w:cs="仿宋_GB2312"/>
        </w:rPr>
        <w:t>，获得了广泛好评。</w:t>
      </w:r>
    </w:p>
    <w:p w14:paraId="7343CABF">
      <w:pPr>
        <w:spacing w:line="520" w:lineRule="exact"/>
        <w:rPr>
          <w:rFonts w:ascii="仿宋_GB2312" w:eastAsia="仿宋_GB2312"/>
        </w:rPr>
      </w:pPr>
      <w:r>
        <w:rPr>
          <w:rFonts w:hint="eastAsia" w:ascii="仿宋_GB2312" w:hAnsi="仿宋_GB2312" w:eastAsia="仿宋_GB2312" w:cs="仿宋_GB2312"/>
        </w:rPr>
        <w:t>养护期间，中标企业积极配合县委县政府安排的各项任务，服从安排的各项工作，在巩固国家园林县城的同时，为国家文明城市、四川天府旅游名县等创建做出了贡献。发现的主要问题：一是园林</w:t>
      </w:r>
      <w:r>
        <w:rPr>
          <w:rFonts w:hint="eastAsia" w:eastAsia="仿宋_GB2312"/>
        </w:rPr>
        <w:t>绿化废弃物收集面临难题。</w:t>
      </w:r>
      <w:r>
        <w:rPr>
          <w:rFonts w:hint="eastAsia" w:ascii="仿宋_GB2312" w:hAnsi="仿宋_GB2312" w:eastAsia="仿宋_GB2312" w:cs="仿宋_GB2312"/>
        </w:rPr>
        <w:t>二是米易雨季大风、暴雨天气频繁，加之园林树木由于生境特殊，容易出现生长缓慢、树势衰弱、根系受损、树体倾斜等问题，树木</w:t>
      </w:r>
      <w:r>
        <w:rPr>
          <w:rFonts w:hint="eastAsia" w:ascii="仿宋_GB2312" w:hAnsi="仿宋_GB2312" w:eastAsia="仿宋_GB2312" w:cs="仿宋_GB2312"/>
          <w:bCs/>
        </w:rPr>
        <w:t>安全隐患逐年增大</w:t>
      </w:r>
      <w:r>
        <w:rPr>
          <w:rFonts w:hint="eastAsia" w:ascii="仿宋_GB2312" w:hAnsi="仿宋_GB2312" w:eastAsia="仿宋_GB2312" w:cs="仿宋_GB2312"/>
        </w:rPr>
        <w:t>。</w:t>
      </w:r>
      <w:r>
        <w:rPr>
          <w:rFonts w:hint="eastAsia" w:ascii="仿宋_GB2312" w:eastAsia="仿宋_GB2312"/>
        </w:rPr>
        <w:t>三是米易县园林绿化管护技术方面还有待提升，园林绿化精细化管理程度还有待提高。四是米易县市场化管护中管理人才和专业人才还较为缺乏，急需培育和引进相关专业人才</w:t>
      </w:r>
      <w:r>
        <w:rPr>
          <w:rFonts w:hint="eastAsia" w:ascii="仿宋_GB2312" w:hAnsi="仿宋_GB2312" w:eastAsia="仿宋_GB2312" w:cs="仿宋_GB2312"/>
        </w:rPr>
        <w:t>。下一步改进措施：一是</w:t>
      </w:r>
      <w:r>
        <w:rPr>
          <w:rFonts w:hint="eastAsia" w:eastAsia="仿宋_GB2312"/>
        </w:rPr>
        <w:t>充分考虑打造宜居公园城市先行区的整体发展趋势，在下一轮市场化中同步建设米易绿化废弃物资源化利用场，实现我县城区园林绿化垃圾的单独收集、单独处理和资源化利用</w:t>
      </w:r>
      <w:r>
        <w:rPr>
          <w:rFonts w:hint="eastAsia" w:ascii="仿宋_GB2312" w:eastAsia="仿宋_GB2312"/>
        </w:rPr>
        <w:t>。二是为降低安全隐患风险，下一轮招标将进一步加强树木安全巡查，拟增加年度树木安全经费，用于隐患乔木修剪整形、树木支撑、封闭树洞、移植移除等，尽量减少绿地安全隐患。三是加强学习考察，不断提升绿化队伍业务水平。为进一步做好城市园林绿化养护管理工作，每年组织外出考察学习，</w:t>
      </w:r>
      <w:r>
        <w:rPr>
          <w:rFonts w:ascii="仿宋_GB2312" w:eastAsia="仿宋_GB2312"/>
        </w:rPr>
        <w:t>充分学习借鉴先进经验和发展模式，进一步开阔视野，看到工作中的差距，积极学习园林绿化先进理念以及优秀管理方法，进一步理清思路、</w:t>
      </w:r>
      <w:r>
        <w:rPr>
          <w:rFonts w:hint="eastAsia" w:ascii="仿宋_GB2312" w:eastAsia="仿宋_GB2312"/>
        </w:rPr>
        <w:t>明确定位</w:t>
      </w:r>
      <w:r>
        <w:rPr>
          <w:rFonts w:ascii="仿宋_GB2312" w:eastAsia="仿宋_GB2312"/>
        </w:rPr>
        <w:t>，全面提升我</w:t>
      </w:r>
      <w:r>
        <w:rPr>
          <w:rFonts w:hint="eastAsia" w:ascii="仿宋_GB2312" w:eastAsia="仿宋_GB2312"/>
        </w:rPr>
        <w:t>县</w:t>
      </w:r>
      <w:r>
        <w:rPr>
          <w:rFonts w:ascii="仿宋_GB2312" w:eastAsia="仿宋_GB2312"/>
        </w:rPr>
        <w:t>园林绿化的水</w:t>
      </w:r>
      <w:r>
        <w:rPr>
          <w:rFonts w:hint="eastAsia" w:ascii="仿宋_GB2312" w:eastAsia="仿宋_GB2312"/>
        </w:rPr>
        <w:t>平。</w:t>
      </w:r>
    </w:p>
    <w:tbl>
      <w:tblPr>
        <w:tblStyle w:val="9"/>
        <w:tblpPr w:leftFromText="180" w:rightFromText="180" w:vertAnchor="text" w:horzAnchor="page" w:tblpXSpec="center" w:tblpY="423"/>
        <w:tblOverlap w:val="never"/>
        <w:tblW w:w="8662" w:type="dxa"/>
        <w:tblInd w:w="0" w:type="dxa"/>
        <w:tblLayout w:type="fixed"/>
        <w:tblCellMar>
          <w:top w:w="0" w:type="dxa"/>
          <w:left w:w="0" w:type="dxa"/>
          <w:bottom w:w="0" w:type="dxa"/>
          <w:right w:w="0" w:type="dxa"/>
        </w:tblCellMar>
      </w:tblPr>
      <w:tblGrid>
        <w:gridCol w:w="552"/>
        <w:gridCol w:w="1544"/>
        <w:gridCol w:w="1023"/>
        <w:gridCol w:w="1134"/>
        <w:gridCol w:w="1985"/>
        <w:gridCol w:w="268"/>
        <w:gridCol w:w="2156"/>
      </w:tblGrid>
      <w:tr w14:paraId="0BD86427">
        <w:tblPrEx>
          <w:tblCellMar>
            <w:top w:w="0" w:type="dxa"/>
            <w:left w:w="0" w:type="dxa"/>
            <w:bottom w:w="0" w:type="dxa"/>
            <w:right w:w="0" w:type="dxa"/>
          </w:tblCellMar>
        </w:tblPrEx>
        <w:trPr>
          <w:trHeight w:val="1034" w:hRule="atLeast"/>
        </w:trPr>
        <w:tc>
          <w:tcPr>
            <w:tcW w:w="8662" w:type="dxa"/>
            <w:gridSpan w:val="7"/>
            <w:tcMar>
              <w:top w:w="15" w:type="dxa"/>
              <w:left w:w="15" w:type="dxa"/>
              <w:bottom w:w="0" w:type="dxa"/>
              <w:right w:w="15" w:type="dxa"/>
            </w:tcMar>
            <w:vAlign w:val="center"/>
          </w:tcPr>
          <w:p w14:paraId="63D3A1A0">
            <w:pPr>
              <w:pStyle w:val="20"/>
              <w:widowControl/>
              <w:ind w:firstLine="0" w:firstLineChars="0"/>
              <w:jc w:val="center"/>
              <w:textAlignment w:val="center"/>
              <w:rPr>
                <w:rFonts w:ascii="仿宋_GB2312" w:eastAsia="仿宋_GB2312" w:cs="宋体"/>
                <w:color w:val="000000"/>
                <w:sz w:val="36"/>
                <w:szCs w:val="36"/>
              </w:rPr>
            </w:pPr>
            <w:r>
              <w:rPr>
                <w:rFonts w:hint="eastAsia" w:ascii="仿宋_GB2312" w:hAnsi="黑体" w:eastAsia="仿宋_GB2312" w:cs="宋体"/>
                <w:bCs/>
                <w:color w:val="000000"/>
                <w:kern w:val="0"/>
                <w:sz w:val="36"/>
                <w:szCs w:val="36"/>
              </w:rPr>
              <w:t>项目支出绩效目标完成情况表</w:t>
            </w:r>
            <w:r>
              <w:rPr>
                <w:rFonts w:ascii="仿宋_GB2312" w:eastAsia="仿宋_GB2312" w:cs="宋体"/>
                <w:bCs/>
                <w:color w:val="000000"/>
                <w:kern w:val="0"/>
                <w:sz w:val="36"/>
                <w:szCs w:val="36"/>
              </w:rPr>
              <w:br w:type="textWrapping"/>
            </w:r>
            <w:r>
              <w:rPr>
                <w:rFonts w:ascii="仿宋_GB2312" w:hAnsi="宋体" w:eastAsia="仿宋_GB2312" w:cs="宋体"/>
                <w:color w:val="000000"/>
                <w:kern w:val="0"/>
                <w:sz w:val="36"/>
                <w:szCs w:val="36"/>
              </w:rPr>
              <w:t>(20</w:t>
            </w:r>
            <w:r>
              <w:rPr>
                <w:rFonts w:hint="eastAsia" w:ascii="仿宋_GB2312" w:hAnsi="宋体" w:eastAsia="仿宋_GB2312" w:cs="宋体"/>
                <w:color w:val="000000"/>
                <w:kern w:val="0"/>
                <w:sz w:val="36"/>
                <w:szCs w:val="36"/>
              </w:rPr>
              <w:t>20年度</w:t>
            </w:r>
            <w:r>
              <w:rPr>
                <w:rFonts w:ascii="仿宋_GB2312" w:hAnsi="宋体" w:eastAsia="仿宋_GB2312" w:cs="宋体"/>
                <w:color w:val="000000"/>
                <w:kern w:val="0"/>
                <w:sz w:val="36"/>
                <w:szCs w:val="36"/>
              </w:rPr>
              <w:t>)</w:t>
            </w:r>
          </w:p>
        </w:tc>
      </w:tr>
      <w:tr w14:paraId="3C23290B">
        <w:tblPrEx>
          <w:tblCellMar>
            <w:top w:w="0" w:type="dxa"/>
            <w:left w:w="0" w:type="dxa"/>
            <w:bottom w:w="0" w:type="dxa"/>
            <w:right w:w="0" w:type="dxa"/>
          </w:tblCellMar>
        </w:tblPrEx>
        <w:trPr>
          <w:trHeight w:val="276" w:hRule="atLeast"/>
        </w:trPr>
        <w:tc>
          <w:tcPr>
            <w:tcW w:w="209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274F03">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项目名称</w:t>
            </w:r>
          </w:p>
        </w:tc>
        <w:tc>
          <w:tcPr>
            <w:tcW w:w="656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C0F6E6">
            <w:pPr>
              <w:widowControl/>
              <w:ind w:firstLine="480"/>
              <w:jc w:val="center"/>
              <w:textAlignment w:val="center"/>
              <w:rPr>
                <w:rFonts w:ascii="仿宋_GB2312" w:eastAsia="仿宋_GB2312" w:cs="宋体"/>
                <w:sz w:val="24"/>
              </w:rPr>
            </w:pPr>
            <w:r>
              <w:rPr>
                <w:rFonts w:hint="eastAsia" w:ascii="仿宋_GB2312" w:eastAsia="仿宋_GB2312" w:cs="宋体"/>
                <w:sz w:val="24"/>
              </w:rPr>
              <w:t>第二轮绿化养护市场化</w:t>
            </w:r>
          </w:p>
        </w:tc>
      </w:tr>
      <w:tr w14:paraId="3288CC68">
        <w:tblPrEx>
          <w:tblCellMar>
            <w:top w:w="0" w:type="dxa"/>
            <w:left w:w="0" w:type="dxa"/>
            <w:bottom w:w="0" w:type="dxa"/>
            <w:right w:w="0" w:type="dxa"/>
          </w:tblCellMar>
        </w:tblPrEx>
        <w:trPr>
          <w:trHeight w:val="276" w:hRule="atLeast"/>
        </w:trPr>
        <w:tc>
          <w:tcPr>
            <w:tcW w:w="209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0D62D1">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预算单位</w:t>
            </w:r>
          </w:p>
        </w:tc>
        <w:tc>
          <w:tcPr>
            <w:tcW w:w="656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25388D">
            <w:pPr>
              <w:widowControl/>
              <w:ind w:firstLine="480"/>
              <w:jc w:val="center"/>
              <w:textAlignment w:val="center"/>
              <w:rPr>
                <w:rFonts w:ascii="仿宋_GB2312" w:eastAsia="仿宋_GB2312" w:cs="宋体"/>
                <w:sz w:val="24"/>
              </w:rPr>
            </w:pPr>
            <w:r>
              <w:rPr>
                <w:rFonts w:hint="eastAsia" w:ascii="仿宋_GB2312" w:eastAsia="仿宋_GB2312" w:cs="宋体"/>
                <w:sz w:val="24"/>
              </w:rPr>
              <w:t>米易县综合行政执法局</w:t>
            </w:r>
          </w:p>
        </w:tc>
      </w:tr>
      <w:tr w14:paraId="088D6891">
        <w:tblPrEx>
          <w:tblCellMar>
            <w:top w:w="0" w:type="dxa"/>
            <w:left w:w="0" w:type="dxa"/>
            <w:bottom w:w="0" w:type="dxa"/>
            <w:right w:w="0" w:type="dxa"/>
          </w:tblCellMar>
        </w:tblPrEx>
        <w:trPr>
          <w:trHeight w:val="276" w:hRule="atLeast"/>
        </w:trPr>
        <w:tc>
          <w:tcPr>
            <w:tcW w:w="55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D97468">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预算执行情况</w:t>
            </w:r>
            <w:r>
              <w:rPr>
                <w:rFonts w:ascii="仿宋_GB2312" w:hAnsi="宋体" w:eastAsia="仿宋_GB2312" w:cs="宋体"/>
                <w:kern w:val="0"/>
                <w:sz w:val="24"/>
              </w:rPr>
              <w:t>(</w:t>
            </w:r>
            <w:r>
              <w:rPr>
                <w:rFonts w:hint="eastAsia" w:ascii="仿宋_GB2312" w:hAnsi="宋体" w:eastAsia="仿宋_GB2312" w:cs="宋体"/>
                <w:kern w:val="0"/>
                <w:sz w:val="24"/>
              </w:rPr>
              <w:t>万元</w:t>
            </w:r>
            <w:r>
              <w:rPr>
                <w:rFonts w:ascii="仿宋_GB2312" w:hAnsi="宋体" w:eastAsia="仿宋_GB2312" w:cs="宋体"/>
                <w:kern w:val="0"/>
                <w:sz w:val="24"/>
              </w:rPr>
              <w:t>)</w:t>
            </w: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7BAAB6">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预算数</w:t>
            </w:r>
            <w:r>
              <w:rPr>
                <w:rFonts w:ascii="仿宋_GB2312" w:hAnsi="宋体" w:eastAsia="仿宋_GB2312" w:cs="宋体"/>
                <w:kern w:val="0"/>
                <w:sz w:val="24"/>
              </w:rPr>
              <w:t>:</w:t>
            </w:r>
          </w:p>
        </w:tc>
        <w:tc>
          <w:tcPr>
            <w:tcW w:w="215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A08BA5">
            <w:pPr>
              <w:widowControl/>
              <w:ind w:firstLine="480"/>
              <w:jc w:val="center"/>
              <w:textAlignment w:val="center"/>
              <w:rPr>
                <w:rFonts w:ascii="仿宋_GB2312" w:eastAsia="仿宋_GB2312" w:cs="宋体"/>
                <w:sz w:val="24"/>
              </w:rPr>
            </w:pPr>
            <w:r>
              <w:rPr>
                <w:rFonts w:hint="eastAsia" w:ascii="仿宋_GB2312" w:eastAsia="仿宋_GB2312" w:cs="宋体"/>
                <w:sz w:val="24"/>
              </w:rPr>
              <w:t>842.23万元</w:t>
            </w: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C65924">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执行数</w:t>
            </w:r>
            <w:r>
              <w:rPr>
                <w:rFonts w:ascii="仿宋_GB2312" w:hAnsi="宋体" w:eastAsia="仿宋_GB2312" w:cs="宋体"/>
                <w:kern w:val="0"/>
                <w:sz w:val="24"/>
              </w:rPr>
              <w:t>:</w:t>
            </w:r>
          </w:p>
        </w:tc>
        <w:tc>
          <w:tcPr>
            <w:tcW w:w="215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1BCCF4">
            <w:pPr>
              <w:widowControl/>
              <w:ind w:firstLine="480"/>
              <w:jc w:val="center"/>
              <w:textAlignment w:val="center"/>
              <w:rPr>
                <w:rFonts w:ascii="仿宋_GB2312" w:eastAsia="仿宋_GB2312" w:cs="宋体"/>
                <w:sz w:val="24"/>
              </w:rPr>
            </w:pPr>
            <w:r>
              <w:rPr>
                <w:rFonts w:hint="eastAsia" w:ascii="仿宋_GB2312" w:eastAsia="仿宋_GB2312" w:cs="宋体"/>
                <w:sz w:val="24"/>
              </w:rPr>
              <w:t>842.23万元</w:t>
            </w:r>
          </w:p>
        </w:tc>
      </w:tr>
      <w:tr w14:paraId="3B05B8B8">
        <w:tblPrEx>
          <w:tblCellMar>
            <w:top w:w="0" w:type="dxa"/>
            <w:left w:w="0" w:type="dxa"/>
            <w:bottom w:w="0" w:type="dxa"/>
            <w:right w:w="0" w:type="dxa"/>
          </w:tblCellMar>
        </w:tblPrEx>
        <w:trPr>
          <w:trHeight w:val="276"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5ABE33A0">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2E7296">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其中</w:t>
            </w:r>
            <w:r>
              <w:rPr>
                <w:rFonts w:ascii="仿宋_GB2312" w:eastAsia="仿宋_GB2312" w:cs="宋体"/>
                <w:kern w:val="0"/>
                <w:sz w:val="24"/>
              </w:rPr>
              <w:t>-</w:t>
            </w:r>
            <w:r>
              <w:rPr>
                <w:rFonts w:hint="eastAsia" w:ascii="仿宋_GB2312" w:hAnsi="宋体" w:eastAsia="仿宋_GB2312" w:cs="宋体"/>
                <w:kern w:val="0"/>
                <w:sz w:val="24"/>
              </w:rPr>
              <w:t>财政拨款</w:t>
            </w:r>
            <w:r>
              <w:rPr>
                <w:rFonts w:ascii="仿宋_GB2312" w:hAnsi="宋体" w:eastAsia="仿宋_GB2312" w:cs="宋体"/>
                <w:kern w:val="0"/>
                <w:sz w:val="24"/>
              </w:rPr>
              <w:t>:</w:t>
            </w:r>
          </w:p>
        </w:tc>
        <w:tc>
          <w:tcPr>
            <w:tcW w:w="215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A69741">
            <w:pPr>
              <w:widowControl/>
              <w:ind w:firstLine="480"/>
              <w:jc w:val="center"/>
              <w:textAlignment w:val="center"/>
              <w:rPr>
                <w:rFonts w:ascii="仿宋_GB2312" w:eastAsia="仿宋_GB2312" w:cs="宋体"/>
                <w:sz w:val="24"/>
              </w:rPr>
            </w:pPr>
            <w:r>
              <w:rPr>
                <w:rFonts w:hint="eastAsia" w:ascii="仿宋_GB2312" w:eastAsia="仿宋_GB2312" w:cs="宋体"/>
                <w:sz w:val="24"/>
              </w:rPr>
              <w:t>842.23万元</w:t>
            </w: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5B257C">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其中</w:t>
            </w:r>
            <w:r>
              <w:rPr>
                <w:rFonts w:ascii="仿宋_GB2312" w:eastAsia="仿宋_GB2312" w:cs="宋体"/>
                <w:kern w:val="0"/>
                <w:sz w:val="24"/>
              </w:rPr>
              <w:t>-</w:t>
            </w:r>
            <w:r>
              <w:rPr>
                <w:rFonts w:hint="eastAsia" w:ascii="仿宋_GB2312" w:hAnsi="宋体" w:eastAsia="仿宋_GB2312" w:cs="宋体"/>
                <w:kern w:val="0"/>
                <w:sz w:val="24"/>
              </w:rPr>
              <w:t>财政拨款</w:t>
            </w:r>
            <w:r>
              <w:rPr>
                <w:rFonts w:ascii="仿宋_GB2312" w:hAnsi="宋体" w:eastAsia="仿宋_GB2312" w:cs="宋体"/>
                <w:kern w:val="0"/>
                <w:sz w:val="24"/>
              </w:rPr>
              <w:t>:</w:t>
            </w:r>
          </w:p>
        </w:tc>
        <w:tc>
          <w:tcPr>
            <w:tcW w:w="215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127A23">
            <w:pPr>
              <w:widowControl/>
              <w:ind w:firstLine="480"/>
              <w:jc w:val="center"/>
              <w:textAlignment w:val="center"/>
              <w:rPr>
                <w:rFonts w:ascii="仿宋_GB2312" w:eastAsia="仿宋_GB2312" w:cs="宋体"/>
                <w:sz w:val="24"/>
              </w:rPr>
            </w:pPr>
            <w:r>
              <w:rPr>
                <w:rFonts w:hint="eastAsia" w:ascii="仿宋_GB2312" w:eastAsia="仿宋_GB2312" w:cs="宋体"/>
                <w:sz w:val="24"/>
              </w:rPr>
              <w:t>842.23万元</w:t>
            </w:r>
          </w:p>
        </w:tc>
      </w:tr>
      <w:tr w14:paraId="4B2EEFC5">
        <w:tblPrEx>
          <w:tblCellMar>
            <w:top w:w="0" w:type="dxa"/>
            <w:left w:w="0" w:type="dxa"/>
            <w:bottom w:w="0" w:type="dxa"/>
            <w:right w:w="0" w:type="dxa"/>
          </w:tblCellMar>
        </w:tblPrEx>
        <w:trPr>
          <w:trHeight w:val="1511"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211D1769">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83C233">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其它资金</w:t>
            </w:r>
            <w:r>
              <w:rPr>
                <w:rFonts w:ascii="仿宋_GB2312" w:hAnsi="宋体" w:eastAsia="仿宋_GB2312" w:cs="宋体"/>
                <w:kern w:val="0"/>
                <w:sz w:val="24"/>
              </w:rPr>
              <w:t>:</w:t>
            </w:r>
          </w:p>
        </w:tc>
        <w:tc>
          <w:tcPr>
            <w:tcW w:w="215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DA3FBE">
            <w:pPr>
              <w:widowControl/>
              <w:ind w:firstLine="480"/>
              <w:jc w:val="center"/>
              <w:textAlignment w:val="center"/>
              <w:rPr>
                <w:rFonts w:ascii="仿宋_GB2312" w:eastAsia="仿宋_GB2312" w:cs="宋体"/>
                <w:sz w:val="24"/>
              </w:rPr>
            </w:pPr>
            <w:r>
              <w:rPr>
                <w:rFonts w:ascii="仿宋_GB2312" w:eastAsia="仿宋_GB2312" w:cs="宋体"/>
                <w:kern w:val="0"/>
                <w:sz w:val="24"/>
              </w:rPr>
              <w:t>0</w:t>
            </w: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03B8E4">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其它资金</w:t>
            </w:r>
            <w:r>
              <w:rPr>
                <w:rFonts w:ascii="仿宋_GB2312" w:hAnsi="宋体" w:eastAsia="仿宋_GB2312" w:cs="宋体"/>
                <w:kern w:val="0"/>
                <w:sz w:val="24"/>
              </w:rPr>
              <w:t>:</w:t>
            </w:r>
          </w:p>
        </w:tc>
        <w:tc>
          <w:tcPr>
            <w:tcW w:w="215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2C4F2B">
            <w:pPr>
              <w:ind w:firstLine="480"/>
              <w:jc w:val="center"/>
              <w:rPr>
                <w:rFonts w:ascii="仿宋_GB2312" w:eastAsia="仿宋_GB2312" w:cs="宋体"/>
                <w:sz w:val="24"/>
              </w:rPr>
            </w:pPr>
            <w:r>
              <w:rPr>
                <w:rFonts w:hint="eastAsia" w:ascii="仿宋_GB2312" w:eastAsia="仿宋_GB2312" w:cs="宋体"/>
                <w:sz w:val="24"/>
              </w:rPr>
              <w:t>0</w:t>
            </w:r>
          </w:p>
        </w:tc>
      </w:tr>
      <w:tr w14:paraId="072AAEEE">
        <w:tblPrEx>
          <w:tblCellMar>
            <w:top w:w="0" w:type="dxa"/>
            <w:left w:w="0" w:type="dxa"/>
            <w:bottom w:w="0" w:type="dxa"/>
            <w:right w:w="0" w:type="dxa"/>
          </w:tblCellMar>
        </w:tblPrEx>
        <w:trPr>
          <w:trHeight w:val="276" w:hRule="atLeast"/>
        </w:trPr>
        <w:tc>
          <w:tcPr>
            <w:tcW w:w="55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40B719">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年度目标完成情况</w:t>
            </w:r>
          </w:p>
        </w:tc>
        <w:tc>
          <w:tcPr>
            <w:tcW w:w="370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E11A69">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预期目标</w:t>
            </w:r>
          </w:p>
        </w:tc>
        <w:tc>
          <w:tcPr>
            <w:tcW w:w="440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25CDB1">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实际完成目标</w:t>
            </w:r>
          </w:p>
        </w:tc>
      </w:tr>
      <w:tr w14:paraId="606C5AFD">
        <w:tblPrEx>
          <w:tblCellMar>
            <w:top w:w="0" w:type="dxa"/>
            <w:left w:w="0" w:type="dxa"/>
            <w:bottom w:w="0" w:type="dxa"/>
            <w:right w:w="0" w:type="dxa"/>
          </w:tblCellMar>
        </w:tblPrEx>
        <w:trPr>
          <w:trHeight w:val="1159"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2DCBCB3D">
            <w:pPr>
              <w:widowControl/>
              <w:ind w:firstLine="480"/>
              <w:jc w:val="left"/>
              <w:rPr>
                <w:rFonts w:ascii="仿宋_GB2312" w:eastAsia="仿宋_GB2312" w:cs="宋体"/>
                <w:sz w:val="24"/>
              </w:rPr>
            </w:pPr>
          </w:p>
        </w:tc>
        <w:tc>
          <w:tcPr>
            <w:tcW w:w="370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459AE7">
            <w:pPr>
              <w:widowControl/>
              <w:ind w:firstLine="480"/>
              <w:jc w:val="center"/>
              <w:textAlignment w:val="center"/>
              <w:rPr>
                <w:rFonts w:ascii="仿宋_GB2312" w:eastAsia="仿宋_GB2312" w:cs="宋体"/>
                <w:sz w:val="24"/>
              </w:rPr>
            </w:pPr>
            <w:r>
              <w:rPr>
                <w:rFonts w:hint="eastAsia" w:eastAsia="仿宋_GB2312" w:cs="仿宋_GB2312"/>
                <w:kern w:val="0"/>
                <w:sz w:val="24"/>
              </w:rPr>
              <w:t xml:space="preserve">  使我县绿化养护水平更上一层，进一步提高养护资金使用效率</w:t>
            </w:r>
          </w:p>
        </w:tc>
        <w:tc>
          <w:tcPr>
            <w:tcW w:w="440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C239F0">
            <w:pPr>
              <w:widowControl/>
              <w:ind w:firstLine="480"/>
              <w:jc w:val="center"/>
              <w:textAlignment w:val="center"/>
              <w:rPr>
                <w:rFonts w:ascii="仿宋_GB2312" w:eastAsia="仿宋_GB2312" w:cs="宋体"/>
                <w:sz w:val="24"/>
              </w:rPr>
            </w:pPr>
            <w:r>
              <w:rPr>
                <w:rFonts w:hint="eastAsia" w:ascii="仿宋_GB2312" w:eastAsia="仿宋_GB2312"/>
                <w:color w:val="333333"/>
                <w:sz w:val="24"/>
              </w:rPr>
              <w:t>市场化的管理引入竞争，使养护承包公司机械化程度提升，养护水平提高，提高了养护资金的使用效率</w:t>
            </w:r>
          </w:p>
        </w:tc>
      </w:tr>
      <w:tr w14:paraId="42B2C2B3">
        <w:tblPrEx>
          <w:tblCellMar>
            <w:top w:w="0" w:type="dxa"/>
            <w:left w:w="0" w:type="dxa"/>
            <w:bottom w:w="0" w:type="dxa"/>
            <w:right w:w="0" w:type="dxa"/>
          </w:tblCellMar>
        </w:tblPrEx>
        <w:trPr>
          <w:trHeight w:val="1042" w:hRule="atLeast"/>
        </w:trPr>
        <w:tc>
          <w:tcPr>
            <w:tcW w:w="55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DA2086">
            <w:pPr>
              <w:widowControl/>
              <w:ind w:firstLine="480"/>
              <w:jc w:val="center"/>
              <w:textAlignment w:val="center"/>
              <w:rPr>
                <w:rFonts w:ascii="仿宋_GB2312" w:eastAsia="仿宋_GB2312" w:cs="宋体"/>
                <w:sz w:val="24"/>
              </w:rPr>
            </w:pPr>
            <w:r>
              <w:rPr>
                <w:rFonts w:hint="eastAsia" w:ascii="仿宋_GB2312" w:hAnsi="宋体" w:eastAsia="仿宋_GB2312" w:cs="宋体"/>
                <w:sz w:val="24"/>
              </w:rPr>
              <w:t>绩效指标完成情况</w:t>
            </w: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CF5236">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一级指标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EA899B">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二级指标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CFD9FD">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三级指标</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1B4D12">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预期指标值</w:t>
            </w:r>
            <w:r>
              <w:rPr>
                <w:rFonts w:ascii="仿宋_GB2312" w:hAnsi="宋体" w:eastAsia="仿宋_GB2312" w:cs="宋体"/>
                <w:kern w:val="0"/>
                <w:sz w:val="24"/>
              </w:rPr>
              <w:t>(</w:t>
            </w:r>
            <w:r>
              <w:rPr>
                <w:rFonts w:hint="eastAsia" w:ascii="仿宋_GB2312" w:hAnsi="宋体" w:eastAsia="仿宋_GB2312" w:cs="宋体"/>
                <w:kern w:val="0"/>
                <w:sz w:val="24"/>
              </w:rPr>
              <w:t>包含数字及文字描述</w:t>
            </w:r>
            <w:r>
              <w:rPr>
                <w:rFonts w:ascii="仿宋_GB2312" w:hAnsi="宋体" w:eastAsia="仿宋_GB2312" w:cs="宋体"/>
                <w:kern w:val="0"/>
                <w:sz w:val="24"/>
              </w:rPr>
              <w:t>)</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EA3279">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实际完成指标值</w:t>
            </w:r>
            <w:r>
              <w:rPr>
                <w:rFonts w:ascii="仿宋_GB2312" w:hAnsi="宋体" w:eastAsia="仿宋_GB2312" w:cs="宋体"/>
                <w:kern w:val="0"/>
                <w:sz w:val="24"/>
              </w:rPr>
              <w:t>(</w:t>
            </w:r>
            <w:r>
              <w:rPr>
                <w:rFonts w:hint="eastAsia" w:ascii="仿宋_GB2312" w:hAnsi="宋体" w:eastAsia="仿宋_GB2312" w:cs="宋体"/>
                <w:kern w:val="0"/>
                <w:sz w:val="24"/>
              </w:rPr>
              <w:t>包含数字及文字描述</w:t>
            </w:r>
            <w:r>
              <w:rPr>
                <w:rFonts w:ascii="仿宋_GB2312" w:hAnsi="宋体" w:eastAsia="仿宋_GB2312" w:cs="宋体"/>
                <w:kern w:val="0"/>
                <w:sz w:val="24"/>
              </w:rPr>
              <w:t>)</w:t>
            </w:r>
          </w:p>
        </w:tc>
      </w:tr>
      <w:tr w14:paraId="7DE87E9D">
        <w:tblPrEx>
          <w:tblCellMar>
            <w:top w:w="0" w:type="dxa"/>
            <w:left w:w="0" w:type="dxa"/>
            <w:bottom w:w="0" w:type="dxa"/>
            <w:right w:w="0" w:type="dxa"/>
          </w:tblCellMar>
        </w:tblPrEx>
        <w:trPr>
          <w:trHeight w:val="3423"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474A037D">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9416DC">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DD932C">
            <w:pPr>
              <w:widowControl/>
              <w:ind w:firstLine="480"/>
              <w:jc w:val="center"/>
              <w:textAlignment w:val="center"/>
              <w:rPr>
                <w:rFonts w:ascii="仿宋_GB2312" w:eastAsia="仿宋_GB2312" w:cs="宋体"/>
                <w:sz w:val="24"/>
              </w:rPr>
            </w:pPr>
            <w:r>
              <w:rPr>
                <w:rFonts w:hint="eastAsia" w:ascii="仿宋_GB2312" w:eastAsia="仿宋_GB2312" w:cs="宋体"/>
                <w:sz w:val="24"/>
              </w:rPr>
              <w:t>数量指标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D9BBCB">
            <w:pPr>
              <w:widowControl/>
              <w:ind w:firstLine="480"/>
              <w:textAlignment w:val="center"/>
              <w:rPr>
                <w:rFonts w:ascii="仿宋_GB2312" w:eastAsia="仿宋_GB2312" w:cs="宋体"/>
                <w:sz w:val="24"/>
              </w:rPr>
            </w:pPr>
            <w:r>
              <w:rPr>
                <w:rFonts w:hint="eastAsia" w:ascii="仿宋_GB2312" w:eastAsia="仿宋_GB2312" w:cs="宋体"/>
                <w:sz w:val="24"/>
              </w:rPr>
              <w:t>一、二标段绿化管护面积</w:t>
            </w:r>
          </w:p>
          <w:p w14:paraId="4AE58F0B">
            <w:pPr>
              <w:widowControl/>
              <w:ind w:firstLine="480"/>
              <w:textAlignment w:val="center"/>
              <w:rPr>
                <w:rFonts w:ascii="仿宋_GB2312" w:eastAsia="仿宋_GB2312" w:cs="宋体"/>
                <w:sz w:val="24"/>
              </w:rPr>
            </w:pPr>
            <w:r>
              <w:rPr>
                <w:rFonts w:hint="eastAsia" w:ascii="仿宋_GB2312" w:eastAsia="仿宋_GB2312" w:cs="宋体"/>
                <w:sz w:val="24"/>
              </w:rPr>
              <w:t>三标段鲜花摆放</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A85F08">
            <w:pPr>
              <w:widowControl/>
              <w:ind w:firstLine="120" w:firstLineChars="50"/>
              <w:textAlignment w:val="center"/>
              <w:rPr>
                <w:rFonts w:ascii="仿宋_GB2312" w:eastAsia="仿宋_GB2312" w:cs="宋体"/>
                <w:sz w:val="24"/>
              </w:rPr>
            </w:pPr>
            <w:r>
              <w:rPr>
                <w:rFonts w:hint="eastAsia" w:ascii="仿宋_GB2312" w:eastAsia="仿宋_GB2312" w:cs="宋体"/>
                <w:sz w:val="24"/>
              </w:rPr>
              <w:t>34.98万平方米</w:t>
            </w:r>
          </w:p>
          <w:p w14:paraId="125514BD">
            <w:pPr>
              <w:widowControl/>
              <w:ind w:firstLine="120" w:firstLineChars="50"/>
              <w:textAlignment w:val="center"/>
              <w:rPr>
                <w:rFonts w:ascii="仿宋_GB2312" w:eastAsia="仿宋_GB2312" w:cs="宋体"/>
                <w:sz w:val="24"/>
              </w:rPr>
            </w:pPr>
          </w:p>
          <w:p w14:paraId="09E1CC73">
            <w:pPr>
              <w:widowControl/>
              <w:ind w:firstLine="120" w:firstLineChars="50"/>
              <w:textAlignment w:val="center"/>
              <w:rPr>
                <w:rFonts w:ascii="仿宋_GB2312" w:eastAsia="仿宋_GB2312" w:cs="宋体"/>
                <w:sz w:val="24"/>
              </w:rPr>
            </w:pPr>
            <w:r>
              <w:rPr>
                <w:rFonts w:hint="eastAsia" w:ascii="仿宋_GB2312" w:eastAsia="仿宋_GB2312" w:cs="宋体"/>
                <w:sz w:val="24"/>
              </w:rPr>
              <w:t>按合同要求及实际验收数量结算</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2A905F">
            <w:pPr>
              <w:widowControl/>
              <w:ind w:firstLine="480"/>
              <w:jc w:val="center"/>
              <w:textAlignment w:val="center"/>
              <w:rPr>
                <w:rFonts w:ascii="仿宋_GB2312" w:eastAsia="仿宋_GB2312" w:cs="宋体"/>
                <w:sz w:val="24"/>
              </w:rPr>
            </w:pPr>
            <w:r>
              <w:rPr>
                <w:rFonts w:hint="eastAsia" w:ascii="仿宋_GB2312" w:eastAsia="仿宋_GB2312" w:cs="宋体"/>
                <w:sz w:val="24"/>
              </w:rPr>
              <w:t>34.98万平方米</w:t>
            </w:r>
          </w:p>
          <w:p w14:paraId="03DD4754">
            <w:pPr>
              <w:widowControl/>
              <w:ind w:firstLine="480"/>
              <w:jc w:val="center"/>
              <w:textAlignment w:val="center"/>
              <w:rPr>
                <w:rFonts w:ascii="仿宋_GB2312" w:eastAsia="仿宋_GB2312" w:cs="宋体"/>
                <w:sz w:val="24"/>
              </w:rPr>
            </w:pPr>
          </w:p>
          <w:p w14:paraId="074F4DCC">
            <w:pPr>
              <w:widowControl/>
              <w:ind w:firstLine="480"/>
              <w:jc w:val="center"/>
              <w:textAlignment w:val="center"/>
              <w:rPr>
                <w:rFonts w:ascii="仿宋_GB2312" w:eastAsia="仿宋_GB2312" w:cs="宋体"/>
                <w:sz w:val="24"/>
              </w:rPr>
            </w:pPr>
            <w:r>
              <w:rPr>
                <w:rFonts w:hint="eastAsia" w:ascii="仿宋_GB2312" w:eastAsia="仿宋_GB2312" w:cs="宋体"/>
                <w:sz w:val="24"/>
              </w:rPr>
              <w:t>按合同要求及实际验收数量结算</w:t>
            </w:r>
          </w:p>
        </w:tc>
      </w:tr>
      <w:tr w14:paraId="05FE8A94">
        <w:tblPrEx>
          <w:tblCellMar>
            <w:top w:w="0" w:type="dxa"/>
            <w:left w:w="0" w:type="dxa"/>
            <w:bottom w:w="0" w:type="dxa"/>
            <w:right w:w="0" w:type="dxa"/>
          </w:tblCellMar>
        </w:tblPrEx>
        <w:trPr>
          <w:trHeight w:val="3347"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3E0619AE">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379A93">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B008C0">
            <w:pPr>
              <w:widowControl/>
              <w:ind w:firstLine="480"/>
              <w:jc w:val="center"/>
              <w:textAlignment w:val="center"/>
              <w:rPr>
                <w:rFonts w:ascii="仿宋_GB2312" w:eastAsia="仿宋_GB2312" w:cs="宋体"/>
                <w:sz w:val="24"/>
              </w:rPr>
            </w:pPr>
            <w:r>
              <w:rPr>
                <w:rFonts w:hint="eastAsia" w:ascii="仿宋_GB2312" w:eastAsia="仿宋_GB2312" w:cs="宋体"/>
                <w:sz w:val="24"/>
              </w:rPr>
              <w:t>质量指标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0DC69A">
            <w:pPr>
              <w:widowControl/>
              <w:ind w:firstLine="480"/>
              <w:textAlignment w:val="center"/>
              <w:rPr>
                <w:rFonts w:ascii="仿宋_GB2312" w:eastAsia="仿宋_GB2312" w:cs="宋体"/>
                <w:sz w:val="24"/>
              </w:rPr>
            </w:pPr>
            <w:r>
              <w:rPr>
                <w:rFonts w:hint="eastAsia" w:ascii="仿宋_GB2312" w:eastAsia="仿宋_GB2312" w:cs="宋体"/>
                <w:sz w:val="24"/>
              </w:rPr>
              <w:t>一标段</w:t>
            </w:r>
          </w:p>
          <w:p w14:paraId="6E419A5C">
            <w:pPr>
              <w:widowControl/>
              <w:ind w:firstLine="480"/>
              <w:textAlignment w:val="center"/>
              <w:rPr>
                <w:rFonts w:ascii="仿宋_GB2312" w:eastAsia="仿宋_GB2312" w:cs="宋体"/>
                <w:sz w:val="24"/>
              </w:rPr>
            </w:pPr>
            <w:r>
              <w:rPr>
                <w:rFonts w:hint="eastAsia" w:ascii="仿宋_GB2312" w:eastAsia="仿宋_GB2312" w:cs="宋体"/>
                <w:sz w:val="24"/>
              </w:rPr>
              <w:t>二标段</w:t>
            </w:r>
          </w:p>
          <w:p w14:paraId="16E81870">
            <w:pPr>
              <w:widowControl/>
              <w:ind w:firstLine="480"/>
              <w:textAlignment w:val="center"/>
              <w:rPr>
                <w:rFonts w:ascii="仿宋_GB2312" w:eastAsia="仿宋_GB2312" w:cs="宋体"/>
                <w:sz w:val="24"/>
              </w:rPr>
            </w:pPr>
            <w:r>
              <w:rPr>
                <w:rFonts w:hint="eastAsia" w:ascii="仿宋_GB2312" w:eastAsia="仿宋_GB2312" w:cs="宋体"/>
                <w:sz w:val="24"/>
              </w:rPr>
              <w:t>三标段</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87B0B5">
            <w:pPr>
              <w:widowControl/>
              <w:ind w:firstLine="480"/>
              <w:textAlignment w:val="center"/>
              <w:rPr>
                <w:rFonts w:ascii="仿宋_GB2312" w:eastAsia="仿宋_GB2312" w:cs="宋体"/>
                <w:sz w:val="24"/>
              </w:rPr>
            </w:pPr>
            <w:r>
              <w:rPr>
                <w:rFonts w:hint="eastAsia" w:ascii="仿宋_GB2312" w:eastAsia="仿宋_GB2312" w:cs="宋体"/>
                <w:sz w:val="24"/>
              </w:rPr>
              <w:t>17.28元/平方米</w:t>
            </w:r>
          </w:p>
          <w:p w14:paraId="46C2252E">
            <w:pPr>
              <w:widowControl/>
              <w:ind w:firstLine="480"/>
              <w:jc w:val="center"/>
              <w:textAlignment w:val="center"/>
              <w:rPr>
                <w:rFonts w:ascii="仿宋_GB2312" w:eastAsia="仿宋_GB2312" w:cs="宋体"/>
                <w:sz w:val="24"/>
              </w:rPr>
            </w:pPr>
            <w:r>
              <w:rPr>
                <w:rFonts w:hint="eastAsia" w:ascii="仿宋_GB2312" w:eastAsia="仿宋_GB2312" w:cs="宋体"/>
                <w:sz w:val="24"/>
              </w:rPr>
              <w:t>17.69元/平方米</w:t>
            </w:r>
          </w:p>
          <w:p w14:paraId="5375E042">
            <w:pPr>
              <w:widowControl/>
              <w:ind w:firstLine="480"/>
              <w:jc w:val="center"/>
              <w:textAlignment w:val="center"/>
              <w:rPr>
                <w:rFonts w:ascii="仿宋_GB2312" w:eastAsia="仿宋_GB2312" w:cs="宋体"/>
                <w:sz w:val="24"/>
              </w:rPr>
            </w:pPr>
            <w:r>
              <w:rPr>
                <w:rFonts w:hint="eastAsia" w:ascii="仿宋_GB2312" w:eastAsia="仿宋_GB2312" w:cs="宋体"/>
                <w:sz w:val="24"/>
              </w:rPr>
              <w:t>按实际验收数量及单价结算</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D07DA9">
            <w:pPr>
              <w:widowControl/>
              <w:ind w:firstLine="480"/>
              <w:textAlignment w:val="center"/>
              <w:rPr>
                <w:rFonts w:ascii="仿宋_GB2312" w:eastAsia="仿宋_GB2312" w:cs="宋体"/>
                <w:sz w:val="24"/>
              </w:rPr>
            </w:pPr>
            <w:r>
              <w:rPr>
                <w:rFonts w:hint="eastAsia" w:ascii="仿宋_GB2312" w:eastAsia="仿宋_GB2312" w:cs="宋体"/>
                <w:sz w:val="24"/>
              </w:rPr>
              <w:t>17.28元/平方米</w:t>
            </w:r>
          </w:p>
          <w:p w14:paraId="4D1C8C2E">
            <w:pPr>
              <w:widowControl/>
              <w:ind w:firstLine="480"/>
              <w:jc w:val="center"/>
              <w:textAlignment w:val="center"/>
              <w:rPr>
                <w:rFonts w:ascii="仿宋_GB2312" w:eastAsia="仿宋_GB2312" w:cs="宋体"/>
                <w:sz w:val="24"/>
              </w:rPr>
            </w:pPr>
            <w:r>
              <w:rPr>
                <w:rFonts w:hint="eastAsia" w:ascii="仿宋_GB2312" w:eastAsia="仿宋_GB2312" w:cs="宋体"/>
                <w:sz w:val="24"/>
              </w:rPr>
              <w:t>17.69元/平方米</w:t>
            </w:r>
          </w:p>
          <w:p w14:paraId="11680348">
            <w:pPr>
              <w:widowControl/>
              <w:ind w:firstLine="480"/>
              <w:jc w:val="center"/>
              <w:textAlignment w:val="center"/>
              <w:rPr>
                <w:rFonts w:ascii="仿宋_GB2312" w:eastAsia="仿宋_GB2312" w:cs="宋体"/>
                <w:sz w:val="24"/>
              </w:rPr>
            </w:pPr>
            <w:r>
              <w:rPr>
                <w:rFonts w:hint="eastAsia" w:ascii="仿宋_GB2312" w:eastAsia="仿宋_GB2312" w:cs="宋体"/>
                <w:sz w:val="24"/>
              </w:rPr>
              <w:t>按实际验收数量及单价结算</w:t>
            </w:r>
          </w:p>
        </w:tc>
      </w:tr>
      <w:tr w14:paraId="6AB9690C">
        <w:tblPrEx>
          <w:tblCellMar>
            <w:top w:w="0" w:type="dxa"/>
            <w:left w:w="0" w:type="dxa"/>
            <w:bottom w:w="0" w:type="dxa"/>
            <w:right w:w="0" w:type="dxa"/>
          </w:tblCellMar>
        </w:tblPrEx>
        <w:trPr>
          <w:trHeight w:val="974"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5897A143">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3CE069">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E6CE37">
            <w:pPr>
              <w:widowControl/>
              <w:ind w:firstLine="480"/>
              <w:jc w:val="center"/>
              <w:textAlignment w:val="center"/>
              <w:rPr>
                <w:rFonts w:ascii="仿宋_GB2312" w:eastAsia="仿宋_GB2312" w:cs="宋体"/>
                <w:sz w:val="24"/>
              </w:rPr>
            </w:pPr>
            <w:r>
              <w:rPr>
                <w:rFonts w:hint="eastAsia" w:ascii="仿宋_GB2312" w:eastAsia="仿宋_GB2312" w:cs="宋体"/>
                <w:sz w:val="24"/>
              </w:rPr>
              <w:t>时效指标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B94BB6">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72668C">
            <w:pPr>
              <w:widowControl/>
              <w:ind w:firstLine="480"/>
              <w:jc w:val="center"/>
              <w:textAlignment w:val="center"/>
              <w:rPr>
                <w:rFonts w:ascii="仿宋_GB2312" w:eastAsia="仿宋_GB2312" w:cs="宋体"/>
                <w:sz w:val="24"/>
              </w:rPr>
            </w:pPr>
            <w:r>
              <w:rPr>
                <w:rFonts w:hint="eastAsia" w:ascii="仿宋_GB2312" w:eastAsia="仿宋_GB2312" w:cs="宋体"/>
                <w:sz w:val="24"/>
              </w:rPr>
              <w:t>合同期限至2021年1月（本次为2020年底）</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00A18D">
            <w:pPr>
              <w:widowControl/>
              <w:ind w:firstLine="480"/>
              <w:jc w:val="center"/>
              <w:textAlignment w:val="center"/>
              <w:rPr>
                <w:rFonts w:ascii="仿宋_GB2312" w:eastAsia="仿宋_GB2312" w:cs="宋体"/>
                <w:sz w:val="24"/>
              </w:rPr>
            </w:pPr>
            <w:r>
              <w:rPr>
                <w:rFonts w:hint="eastAsia" w:ascii="仿宋_GB2312" w:eastAsia="仿宋_GB2312" w:cs="宋体"/>
                <w:sz w:val="24"/>
              </w:rPr>
              <w:t>合同期限至2021年1月（本次为2020年底）</w:t>
            </w:r>
          </w:p>
        </w:tc>
      </w:tr>
      <w:tr w14:paraId="396121EF">
        <w:tblPrEx>
          <w:tblCellMar>
            <w:top w:w="0" w:type="dxa"/>
            <w:left w:w="0" w:type="dxa"/>
            <w:bottom w:w="0" w:type="dxa"/>
            <w:right w:w="0" w:type="dxa"/>
          </w:tblCellMar>
        </w:tblPrEx>
        <w:trPr>
          <w:trHeight w:val="819"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7F807919">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302BB5">
            <w:pPr>
              <w:widowControl/>
              <w:ind w:firstLine="480"/>
              <w:jc w:val="center"/>
              <w:textAlignment w:val="center"/>
              <w:rPr>
                <w:rFonts w:ascii="仿宋_GB2312" w:eastAsia="仿宋_GB2312" w:cs="宋体"/>
                <w:kern w:val="0"/>
                <w:sz w:val="24"/>
              </w:rPr>
            </w:pPr>
            <w:r>
              <w:rPr>
                <w:rFonts w:hint="eastAsia" w:ascii="仿宋_GB2312" w:hAnsi="宋体" w:eastAsia="仿宋_GB2312" w:cs="宋体"/>
                <w:kern w:val="0"/>
                <w:sz w:val="24"/>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32CE87">
            <w:pPr>
              <w:widowControl/>
              <w:ind w:firstLine="480"/>
              <w:jc w:val="center"/>
              <w:textAlignment w:val="center"/>
              <w:rPr>
                <w:rFonts w:ascii="仿宋_GB2312" w:eastAsia="仿宋_GB2312" w:cs="宋体"/>
                <w:sz w:val="24"/>
              </w:rPr>
            </w:pPr>
            <w:r>
              <w:rPr>
                <w:rFonts w:hint="eastAsia" w:ascii="仿宋_GB2312" w:eastAsia="仿宋_GB2312" w:cs="宋体"/>
                <w:sz w:val="24"/>
              </w:rPr>
              <w:t>成本指标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7E8F42">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75E66A">
            <w:pPr>
              <w:widowControl/>
              <w:ind w:firstLine="360" w:firstLineChars="150"/>
              <w:textAlignment w:val="center"/>
              <w:rPr>
                <w:rFonts w:ascii="仿宋_GB2312" w:eastAsia="仿宋_GB2312" w:cs="宋体"/>
                <w:sz w:val="24"/>
              </w:rPr>
            </w:pPr>
            <w:r>
              <w:rPr>
                <w:rFonts w:hint="eastAsia" w:ascii="仿宋_GB2312" w:eastAsia="仿宋_GB2312" w:cs="宋体"/>
                <w:sz w:val="24"/>
              </w:rPr>
              <w:t>本年度资金842.23万元</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068791">
            <w:pPr>
              <w:widowControl/>
              <w:ind w:firstLine="480"/>
              <w:textAlignment w:val="center"/>
              <w:rPr>
                <w:rFonts w:ascii="仿宋_GB2312" w:eastAsia="仿宋_GB2312" w:cs="宋体"/>
                <w:sz w:val="24"/>
              </w:rPr>
            </w:pPr>
            <w:r>
              <w:rPr>
                <w:rFonts w:hint="eastAsia" w:ascii="仿宋_GB2312" w:eastAsia="仿宋_GB2312" w:cs="宋体"/>
                <w:sz w:val="24"/>
              </w:rPr>
              <w:t>本年度资                                                                                                                                                                                                                                                                                                                                                                       金842.23万元</w:t>
            </w:r>
          </w:p>
        </w:tc>
      </w:tr>
      <w:tr w14:paraId="65F99D3B">
        <w:tblPrEx>
          <w:tblCellMar>
            <w:top w:w="0" w:type="dxa"/>
            <w:left w:w="0" w:type="dxa"/>
            <w:bottom w:w="0" w:type="dxa"/>
            <w:right w:w="0" w:type="dxa"/>
          </w:tblCellMar>
        </w:tblPrEx>
        <w:trPr>
          <w:trHeight w:val="1042"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467851A0">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249825">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效益指标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C6983A">
            <w:pPr>
              <w:widowControl/>
              <w:ind w:firstLine="480"/>
              <w:jc w:val="center"/>
              <w:textAlignment w:val="center"/>
              <w:rPr>
                <w:rFonts w:ascii="仿宋_GB2312" w:eastAsia="仿宋_GB2312" w:cs="宋体"/>
                <w:sz w:val="24"/>
              </w:rPr>
            </w:pPr>
            <w:r>
              <w:rPr>
                <w:rFonts w:hint="eastAsia" w:ascii="仿宋_GB2312" w:eastAsia="仿宋_GB2312" w:cs="宋体"/>
                <w:sz w:val="24"/>
              </w:rPr>
              <w:t>经济效益</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8AEECD">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6AFEF8">
            <w:pPr>
              <w:widowControl/>
              <w:ind w:firstLine="480"/>
              <w:jc w:val="center"/>
              <w:textAlignment w:val="center"/>
              <w:rPr>
                <w:rFonts w:ascii="仿宋_GB2312" w:eastAsia="仿宋_GB2312" w:cs="宋体"/>
                <w:sz w:val="24"/>
              </w:rPr>
            </w:pPr>
            <w:r>
              <w:rPr>
                <w:rFonts w:hint="eastAsia" w:eastAsia="仿宋_GB2312" w:cs="仿宋_GB2312"/>
                <w:kern w:val="0"/>
                <w:sz w:val="24"/>
              </w:rPr>
              <w:t xml:space="preserve"> 通过提升城市整体形象，促进米易经济发展</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31C62">
            <w:pPr>
              <w:widowControl/>
              <w:ind w:firstLine="480"/>
              <w:jc w:val="center"/>
              <w:textAlignment w:val="center"/>
              <w:rPr>
                <w:rFonts w:ascii="仿宋_GB2312" w:eastAsia="仿宋_GB2312" w:cs="宋体"/>
                <w:sz w:val="24"/>
              </w:rPr>
            </w:pPr>
            <w:r>
              <w:rPr>
                <w:rFonts w:hint="eastAsia" w:eastAsia="仿宋_GB2312" w:cs="仿宋_GB2312"/>
                <w:kern w:val="0"/>
                <w:sz w:val="24"/>
              </w:rPr>
              <w:t>通过提升城市整体形象，促进米易经济发展</w:t>
            </w:r>
          </w:p>
        </w:tc>
      </w:tr>
      <w:tr w14:paraId="0826D181">
        <w:tblPrEx>
          <w:tblCellMar>
            <w:top w:w="0" w:type="dxa"/>
            <w:left w:w="0" w:type="dxa"/>
            <w:bottom w:w="0" w:type="dxa"/>
            <w:right w:w="0" w:type="dxa"/>
          </w:tblCellMar>
        </w:tblPrEx>
        <w:trPr>
          <w:trHeight w:val="607"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73D74411">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14926B">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效益指标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616382">
            <w:pPr>
              <w:widowControl/>
              <w:ind w:firstLine="480"/>
              <w:jc w:val="center"/>
              <w:textAlignment w:val="center"/>
              <w:rPr>
                <w:rFonts w:ascii="仿宋_GB2312" w:eastAsia="仿宋_GB2312" w:cs="宋体"/>
                <w:sz w:val="24"/>
              </w:rPr>
            </w:pPr>
            <w:r>
              <w:rPr>
                <w:rFonts w:hint="eastAsia" w:ascii="仿宋_GB2312" w:eastAsia="仿宋_GB2312" w:cs="宋体"/>
                <w:sz w:val="24"/>
              </w:rPr>
              <w:t>社会效益</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70D4AE">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1CBF90">
            <w:pPr>
              <w:widowControl/>
              <w:ind w:firstLine="480"/>
              <w:jc w:val="left"/>
              <w:textAlignment w:val="center"/>
              <w:rPr>
                <w:rFonts w:eastAsia="仿宋_GB2312" w:cs="仿宋_GB2312"/>
                <w:kern w:val="0"/>
                <w:sz w:val="24"/>
              </w:rPr>
            </w:pPr>
            <w:r>
              <w:rPr>
                <w:rFonts w:eastAsia="仿宋_GB2312" w:cs="仿宋_GB2312"/>
                <w:kern w:val="0"/>
                <w:sz w:val="24"/>
              </w:rPr>
              <w:t>提升美化城市景观的水平和质量</w:t>
            </w:r>
            <w:r>
              <w:rPr>
                <w:rFonts w:hint="eastAsia" w:eastAsia="仿宋_GB2312" w:cs="仿宋_GB2312"/>
                <w:kern w:val="0"/>
                <w:sz w:val="24"/>
              </w:rPr>
              <w:t>，提高人民幸福指数</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EED6EA">
            <w:pPr>
              <w:widowControl/>
              <w:ind w:firstLine="480"/>
              <w:jc w:val="left"/>
              <w:textAlignment w:val="center"/>
              <w:rPr>
                <w:rFonts w:eastAsia="仿宋_GB2312" w:cs="仿宋_GB2312"/>
                <w:kern w:val="0"/>
                <w:sz w:val="24"/>
              </w:rPr>
            </w:pPr>
            <w:r>
              <w:rPr>
                <w:rFonts w:eastAsia="仿宋_GB2312" w:cs="仿宋_GB2312"/>
                <w:kern w:val="0"/>
                <w:sz w:val="24"/>
              </w:rPr>
              <w:t>提升美化城市景观的水平和质量</w:t>
            </w:r>
            <w:r>
              <w:rPr>
                <w:rFonts w:hint="eastAsia" w:eastAsia="仿宋_GB2312" w:cs="仿宋_GB2312"/>
                <w:kern w:val="0"/>
                <w:sz w:val="24"/>
              </w:rPr>
              <w:t>，提高人民幸福指数</w:t>
            </w:r>
          </w:p>
        </w:tc>
      </w:tr>
      <w:tr w14:paraId="547CF90F">
        <w:tblPrEx>
          <w:tblCellMar>
            <w:top w:w="0" w:type="dxa"/>
            <w:left w:w="0" w:type="dxa"/>
            <w:bottom w:w="0" w:type="dxa"/>
            <w:right w:w="0" w:type="dxa"/>
          </w:tblCellMar>
        </w:tblPrEx>
        <w:trPr>
          <w:trHeight w:val="466"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5593BEC1">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87CFF5">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效益指标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2080E3">
            <w:pPr>
              <w:widowControl/>
              <w:ind w:firstLine="480"/>
              <w:jc w:val="center"/>
              <w:textAlignment w:val="center"/>
              <w:rPr>
                <w:rFonts w:ascii="仿宋_GB2312" w:eastAsia="仿宋_GB2312" w:cs="宋体"/>
                <w:sz w:val="24"/>
              </w:rPr>
            </w:pPr>
            <w:r>
              <w:rPr>
                <w:rFonts w:hint="eastAsia" w:ascii="仿宋_GB2312" w:eastAsia="仿宋_GB2312" w:cs="宋体"/>
                <w:sz w:val="24"/>
              </w:rPr>
              <w:t>生态效益</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D4DA89">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39D45C">
            <w:pPr>
              <w:widowControl/>
              <w:ind w:firstLine="480"/>
              <w:jc w:val="center"/>
              <w:textAlignment w:val="center"/>
              <w:rPr>
                <w:rFonts w:eastAsia="仿宋_GB2312" w:cs="仿宋_GB2312"/>
                <w:kern w:val="0"/>
                <w:sz w:val="24"/>
              </w:rPr>
            </w:pPr>
            <w:r>
              <w:rPr>
                <w:rFonts w:eastAsia="仿宋_GB2312" w:cs="仿宋_GB2312"/>
                <w:kern w:val="0"/>
                <w:sz w:val="24"/>
              </w:rPr>
              <w:t>改善城市生态环境</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7BA7C1">
            <w:pPr>
              <w:widowControl/>
              <w:ind w:firstLine="480"/>
              <w:jc w:val="center"/>
              <w:textAlignment w:val="center"/>
              <w:rPr>
                <w:rFonts w:eastAsia="仿宋_GB2312" w:cs="仿宋_GB2312"/>
                <w:kern w:val="0"/>
                <w:sz w:val="24"/>
              </w:rPr>
            </w:pPr>
            <w:r>
              <w:rPr>
                <w:rFonts w:eastAsia="仿宋_GB2312" w:cs="仿宋_GB2312"/>
                <w:kern w:val="0"/>
                <w:sz w:val="24"/>
              </w:rPr>
              <w:t>改善城市生态环境</w:t>
            </w:r>
          </w:p>
        </w:tc>
      </w:tr>
      <w:tr w14:paraId="1CF0459B">
        <w:tblPrEx>
          <w:tblCellMar>
            <w:top w:w="0" w:type="dxa"/>
            <w:left w:w="0" w:type="dxa"/>
            <w:bottom w:w="0" w:type="dxa"/>
            <w:right w:w="0" w:type="dxa"/>
          </w:tblCellMar>
        </w:tblPrEx>
        <w:trPr>
          <w:trHeight w:val="1297"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034540ED">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7AD9C0">
            <w:pPr>
              <w:widowControl/>
              <w:ind w:firstLine="480"/>
              <w:jc w:val="center"/>
              <w:textAlignment w:val="center"/>
              <w:rPr>
                <w:rFonts w:ascii="仿宋_GB2312" w:eastAsia="仿宋_GB2312" w:cs="宋体"/>
                <w:kern w:val="0"/>
                <w:sz w:val="24"/>
              </w:rPr>
            </w:pPr>
            <w:r>
              <w:rPr>
                <w:rFonts w:hint="eastAsia" w:ascii="仿宋_GB2312" w:hAnsi="宋体" w:eastAsia="仿宋_GB2312" w:cs="宋体"/>
                <w:kern w:val="0"/>
                <w:sz w:val="24"/>
              </w:rPr>
              <w:t>效益指标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075B26">
            <w:pPr>
              <w:widowControl/>
              <w:ind w:firstLine="480"/>
              <w:jc w:val="center"/>
              <w:textAlignment w:val="center"/>
              <w:rPr>
                <w:rFonts w:ascii="仿宋_GB2312" w:eastAsia="仿宋_GB2312" w:cs="宋体"/>
                <w:sz w:val="24"/>
              </w:rPr>
            </w:pPr>
            <w:r>
              <w:rPr>
                <w:rFonts w:hint="eastAsia" w:ascii="仿宋_GB2312" w:eastAsia="仿宋_GB2312" w:cs="宋体"/>
                <w:sz w:val="24"/>
              </w:rPr>
              <w:t>可持续影响指标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F5ADC3">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A54F09">
            <w:pPr>
              <w:widowControl/>
              <w:ind w:firstLine="480"/>
              <w:textAlignment w:val="center"/>
              <w:rPr>
                <w:rFonts w:ascii="仿宋_GB2312" w:eastAsia="仿宋_GB2312" w:cs="宋体"/>
                <w:sz w:val="24"/>
              </w:rPr>
            </w:pPr>
            <w:r>
              <w:rPr>
                <w:rFonts w:hint="eastAsia" w:eastAsia="仿宋_GB2312" w:cs="仿宋_GB2312"/>
                <w:kern w:val="0"/>
                <w:sz w:val="24"/>
              </w:rPr>
              <w:t>巩固国家园林县城和文明城市创建成果，打造宜居城市，进一步提升米易整体形象打下基础</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54ABE3">
            <w:pPr>
              <w:widowControl/>
              <w:ind w:firstLine="480"/>
              <w:jc w:val="left"/>
              <w:textAlignment w:val="center"/>
              <w:rPr>
                <w:rFonts w:ascii="仿宋_GB2312" w:eastAsia="仿宋_GB2312" w:cs="宋体"/>
                <w:sz w:val="24"/>
              </w:rPr>
            </w:pPr>
            <w:r>
              <w:rPr>
                <w:rFonts w:hint="eastAsia" w:eastAsia="仿宋_GB2312" w:cs="仿宋_GB2312"/>
                <w:kern w:val="0"/>
                <w:sz w:val="24"/>
              </w:rPr>
              <w:t>巩固国家园林县城和文明城市创建成果，打造宜居城市，进一步提升米易整体形象打下基础</w:t>
            </w:r>
          </w:p>
        </w:tc>
      </w:tr>
      <w:tr w14:paraId="7CB2B78C">
        <w:tblPrEx>
          <w:tblCellMar>
            <w:top w:w="0" w:type="dxa"/>
            <w:left w:w="0" w:type="dxa"/>
            <w:bottom w:w="0" w:type="dxa"/>
            <w:right w:w="0" w:type="dxa"/>
          </w:tblCellMar>
        </w:tblPrEx>
        <w:trPr>
          <w:trHeight w:val="857"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2391DA59">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598DA3">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满意度指标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0F0F55">
            <w:pPr>
              <w:widowControl/>
              <w:ind w:firstLine="480"/>
              <w:jc w:val="center"/>
              <w:textAlignment w:val="center"/>
              <w:rPr>
                <w:rFonts w:ascii="仿宋_GB2312" w:eastAsia="仿宋_GB2312" w:cs="宋体"/>
                <w:sz w:val="24"/>
              </w:rPr>
            </w:pPr>
            <w:r>
              <w:rPr>
                <w:rFonts w:hint="eastAsia" w:ascii="仿宋_GB2312" w:eastAsia="仿宋_GB2312" w:cs="宋体"/>
                <w:sz w:val="24"/>
              </w:rPr>
              <w:t>受益群众满意度</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5F571B">
            <w:pPr>
              <w:widowControl/>
              <w:ind w:firstLine="480"/>
              <w:jc w:val="center"/>
              <w:textAlignment w:val="center"/>
              <w:rPr>
                <w:rFonts w:ascii="仿宋_GB2312" w:eastAsia="仿宋_GB2312" w:cs="宋体"/>
                <w:sz w:val="24"/>
              </w:rPr>
            </w:pPr>
            <w:r>
              <w:rPr>
                <w:rFonts w:hint="eastAsia" w:ascii="仿宋_GB2312" w:eastAsia="仿宋_GB2312" w:cs="宋体"/>
                <w:sz w:val="24"/>
              </w:rPr>
              <w:t>受益群众满意率</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EC28DD">
            <w:pPr>
              <w:widowControl/>
              <w:ind w:firstLine="480"/>
              <w:jc w:val="center"/>
              <w:textAlignment w:val="center"/>
              <w:rPr>
                <w:rFonts w:ascii="仿宋_GB2312" w:eastAsia="仿宋_GB2312" w:cs="宋体"/>
                <w:sz w:val="24"/>
              </w:rPr>
            </w:pPr>
            <w:r>
              <w:rPr>
                <w:rFonts w:hint="eastAsia" w:ascii="仿宋_GB2312" w:eastAsia="仿宋_GB2312" w:cs="宋体"/>
                <w:sz w:val="24"/>
              </w:rPr>
              <w:t>100%</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F94FC0">
            <w:pPr>
              <w:widowControl/>
              <w:ind w:firstLine="480"/>
              <w:textAlignment w:val="center"/>
              <w:rPr>
                <w:rFonts w:ascii="仿宋_GB2312" w:eastAsia="仿宋_GB2312" w:cs="宋体"/>
                <w:sz w:val="24"/>
              </w:rPr>
            </w:pPr>
            <w:r>
              <w:rPr>
                <w:rFonts w:hint="eastAsia" w:ascii="仿宋_GB2312" w:eastAsia="仿宋_GB2312" w:cs="宋体"/>
                <w:sz w:val="24"/>
              </w:rPr>
              <w:t xml:space="preserve">    100%                                         </w:t>
            </w:r>
          </w:p>
        </w:tc>
      </w:tr>
    </w:tbl>
    <w:p w14:paraId="524E4138">
      <w:pPr>
        <w:widowControl/>
        <w:spacing w:before="100" w:beforeAutospacing="1" w:after="100" w:afterAutospacing="1"/>
        <w:ind w:firstLine="480" w:firstLineChars="150"/>
        <w:jc w:val="left"/>
        <w:rPr>
          <w:rFonts w:eastAsia="仿宋_GB2312"/>
          <w:bCs/>
        </w:rPr>
      </w:pPr>
      <w:r>
        <w:rPr>
          <w:rFonts w:hint="eastAsia" w:ascii="仿宋_GB2312" w:hAnsi="仿宋_GB2312" w:eastAsia="仿宋_GB2312" w:cs="仿宋_GB2312"/>
        </w:rPr>
        <w:t>（3）“元旦花卉氛围营造”项目绩效目标完成情况综述。项目全年预算数</w:t>
      </w:r>
      <w:r>
        <w:rPr>
          <w:rFonts w:ascii="仿宋_GB2312" w:hAnsi="仿宋_GB2312" w:eastAsia="仿宋_GB2312" w:cs="仿宋_GB2312"/>
        </w:rPr>
        <w:t>49</w:t>
      </w:r>
      <w:r>
        <w:rPr>
          <w:rFonts w:hint="eastAsia" w:ascii="仿宋_GB2312" w:hAnsi="仿宋_GB2312" w:eastAsia="仿宋_GB2312" w:cs="仿宋_GB2312"/>
        </w:rPr>
        <w:t>.90万元，执行数为</w:t>
      </w:r>
      <w:r>
        <w:rPr>
          <w:rFonts w:ascii="仿宋_GB2312" w:hAnsi="仿宋_GB2312" w:eastAsia="仿宋_GB2312" w:cs="仿宋_GB2312"/>
        </w:rPr>
        <w:t>49</w:t>
      </w:r>
      <w:r>
        <w:rPr>
          <w:rFonts w:hint="eastAsia" w:ascii="仿宋_GB2312" w:hAnsi="仿宋_GB2312" w:eastAsia="仿宋_GB2312" w:cs="仿宋_GB2312"/>
        </w:rPr>
        <w:t>.</w:t>
      </w:r>
      <w:r>
        <w:rPr>
          <w:rFonts w:ascii="仿宋_GB2312" w:hAnsi="仿宋_GB2312" w:eastAsia="仿宋_GB2312" w:cs="仿宋_GB2312"/>
        </w:rPr>
        <w:t>401</w:t>
      </w:r>
      <w:r>
        <w:rPr>
          <w:rFonts w:hint="eastAsia" w:ascii="仿宋_GB2312" w:hAnsi="仿宋_GB2312" w:eastAsia="仿宋_GB2312" w:cs="仿宋_GB2312"/>
        </w:rPr>
        <w:t>万元，完成预算的99</w:t>
      </w:r>
      <w:r>
        <w:rPr>
          <w:rFonts w:ascii="仿宋_GB2312" w:hAnsi="仿宋_GB2312" w:eastAsia="仿宋_GB2312" w:cs="仿宋_GB2312"/>
        </w:rPr>
        <w:t>%</w:t>
      </w:r>
      <w:r>
        <w:rPr>
          <w:rFonts w:hint="eastAsia" w:ascii="仿宋_GB2312" w:hAnsi="仿宋_GB2312" w:eastAsia="仿宋_GB2312" w:cs="仿宋_GB2312"/>
        </w:rPr>
        <w:t>。通过项目实施</w:t>
      </w:r>
      <w:r>
        <w:rPr>
          <w:rFonts w:hint="eastAsia" w:ascii="仿宋_GB2312" w:eastAsia="仿宋_GB2312" w:cs="仿宋_GB2312"/>
        </w:rPr>
        <w:t>更好地营造了县城区元旦期间喜庆、祥和的节日氛围，展示米易县“公园城市、花园县城”的城市魅力，提升了城区园林绿地品质。</w:t>
      </w:r>
      <w:r>
        <w:rPr>
          <w:rFonts w:hint="eastAsia" w:eastAsia="仿宋_GB2312"/>
          <w:bCs/>
        </w:rPr>
        <w:t>实际完成质量较好，有效提升了节点景观，深受人民群众喜爱。</w:t>
      </w:r>
      <w:r>
        <w:rPr>
          <w:rFonts w:hint="eastAsia" w:ascii="仿宋_GB2312" w:hAnsi="仿宋_GB2312" w:eastAsia="仿宋_GB2312" w:cs="仿宋_GB2312"/>
        </w:rPr>
        <w:t>发现的主要问题：项目</w:t>
      </w:r>
      <w:r>
        <w:rPr>
          <w:rFonts w:hint="eastAsia" w:ascii="仿宋_GB2312" w:hAnsi="黑体" w:eastAsia="仿宋_GB2312"/>
          <w:bCs/>
        </w:rPr>
        <w:t>拨款资料提交后，拨款进程缓慢</w:t>
      </w:r>
      <w:r>
        <w:rPr>
          <w:rFonts w:hint="eastAsia" w:ascii="仿宋_GB2312" w:hAnsi="仿宋_GB2312" w:eastAsia="仿宋_GB2312" w:cs="仿宋_GB2312"/>
        </w:rPr>
        <w:t>。下一步改进措施：</w:t>
      </w:r>
      <w:r>
        <w:rPr>
          <w:rFonts w:hint="eastAsia" w:ascii="仿宋_GB2312" w:eastAsia="仿宋_GB2312" w:cs="仿宋_GB2312"/>
        </w:rPr>
        <w:t>争取加快项目</w:t>
      </w:r>
      <w:r>
        <w:rPr>
          <w:rFonts w:hint="eastAsia" w:ascii="仿宋_GB2312" w:hAnsi="仿宋_GB2312" w:eastAsia="仿宋_GB2312" w:cs="仿宋_GB2312"/>
        </w:rPr>
        <w:t>资金拨付进度，提高资金使用效益。</w:t>
      </w:r>
    </w:p>
    <w:tbl>
      <w:tblPr>
        <w:tblStyle w:val="9"/>
        <w:tblpPr w:leftFromText="180" w:rightFromText="180" w:vertAnchor="text" w:horzAnchor="page" w:tblpXSpec="center" w:tblpY="423"/>
        <w:tblOverlap w:val="never"/>
        <w:tblW w:w="8662" w:type="dxa"/>
        <w:tblInd w:w="0" w:type="dxa"/>
        <w:tblLayout w:type="fixed"/>
        <w:tblCellMar>
          <w:top w:w="0" w:type="dxa"/>
          <w:left w:w="0" w:type="dxa"/>
          <w:bottom w:w="0" w:type="dxa"/>
          <w:right w:w="0" w:type="dxa"/>
        </w:tblCellMar>
      </w:tblPr>
      <w:tblGrid>
        <w:gridCol w:w="552"/>
        <w:gridCol w:w="1544"/>
        <w:gridCol w:w="1023"/>
        <w:gridCol w:w="1134"/>
        <w:gridCol w:w="1985"/>
        <w:gridCol w:w="268"/>
        <w:gridCol w:w="2156"/>
      </w:tblGrid>
      <w:tr w14:paraId="2F096799">
        <w:tblPrEx>
          <w:tblCellMar>
            <w:top w:w="0" w:type="dxa"/>
            <w:left w:w="0" w:type="dxa"/>
            <w:bottom w:w="0" w:type="dxa"/>
            <w:right w:w="0" w:type="dxa"/>
          </w:tblCellMar>
        </w:tblPrEx>
        <w:trPr>
          <w:trHeight w:val="1034" w:hRule="atLeast"/>
        </w:trPr>
        <w:tc>
          <w:tcPr>
            <w:tcW w:w="8662" w:type="dxa"/>
            <w:gridSpan w:val="7"/>
            <w:tcMar>
              <w:top w:w="15" w:type="dxa"/>
              <w:left w:w="15" w:type="dxa"/>
              <w:bottom w:w="0" w:type="dxa"/>
              <w:right w:w="15" w:type="dxa"/>
            </w:tcMar>
            <w:vAlign w:val="center"/>
          </w:tcPr>
          <w:p w14:paraId="04C2A18B">
            <w:pPr>
              <w:pStyle w:val="20"/>
              <w:widowControl/>
              <w:ind w:firstLine="0" w:firstLineChars="0"/>
              <w:jc w:val="center"/>
              <w:textAlignment w:val="center"/>
              <w:rPr>
                <w:rFonts w:ascii="仿宋_GB2312" w:eastAsia="仿宋_GB2312" w:cs="宋体"/>
                <w:color w:val="000000"/>
                <w:sz w:val="36"/>
                <w:szCs w:val="36"/>
              </w:rPr>
            </w:pPr>
            <w:r>
              <w:rPr>
                <w:rFonts w:hint="eastAsia" w:ascii="仿宋_GB2312" w:hAnsi="黑体" w:eastAsia="仿宋_GB2312" w:cs="宋体"/>
                <w:bCs/>
                <w:color w:val="000000"/>
                <w:kern w:val="0"/>
                <w:sz w:val="36"/>
                <w:szCs w:val="36"/>
              </w:rPr>
              <w:t>项目支出绩效目标完成情况表</w:t>
            </w:r>
            <w:r>
              <w:rPr>
                <w:rFonts w:ascii="仿宋_GB2312" w:eastAsia="仿宋_GB2312" w:cs="宋体"/>
                <w:bCs/>
                <w:color w:val="000000"/>
                <w:kern w:val="0"/>
                <w:sz w:val="36"/>
                <w:szCs w:val="36"/>
              </w:rPr>
              <w:br w:type="textWrapping"/>
            </w:r>
            <w:r>
              <w:rPr>
                <w:rFonts w:ascii="仿宋_GB2312" w:hAnsi="宋体" w:eastAsia="仿宋_GB2312" w:cs="宋体"/>
                <w:color w:val="000000"/>
                <w:kern w:val="0"/>
                <w:sz w:val="36"/>
                <w:szCs w:val="36"/>
              </w:rPr>
              <w:t>(20</w:t>
            </w:r>
            <w:r>
              <w:rPr>
                <w:rFonts w:hint="eastAsia" w:ascii="仿宋_GB2312" w:hAnsi="宋体" w:eastAsia="仿宋_GB2312" w:cs="宋体"/>
                <w:color w:val="000000"/>
                <w:kern w:val="0"/>
                <w:sz w:val="36"/>
                <w:szCs w:val="36"/>
              </w:rPr>
              <w:t>20年度</w:t>
            </w:r>
            <w:r>
              <w:rPr>
                <w:rFonts w:ascii="仿宋_GB2312" w:hAnsi="宋体" w:eastAsia="仿宋_GB2312" w:cs="宋体"/>
                <w:color w:val="000000"/>
                <w:kern w:val="0"/>
                <w:sz w:val="36"/>
                <w:szCs w:val="36"/>
              </w:rPr>
              <w:t>)</w:t>
            </w:r>
          </w:p>
        </w:tc>
      </w:tr>
      <w:tr w14:paraId="0EC3C2EA">
        <w:tblPrEx>
          <w:tblCellMar>
            <w:top w:w="0" w:type="dxa"/>
            <w:left w:w="0" w:type="dxa"/>
            <w:bottom w:w="0" w:type="dxa"/>
            <w:right w:w="0" w:type="dxa"/>
          </w:tblCellMar>
        </w:tblPrEx>
        <w:trPr>
          <w:trHeight w:val="276" w:hRule="atLeast"/>
        </w:trPr>
        <w:tc>
          <w:tcPr>
            <w:tcW w:w="209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76E366">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项目名称</w:t>
            </w:r>
          </w:p>
        </w:tc>
        <w:tc>
          <w:tcPr>
            <w:tcW w:w="656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B829B3">
            <w:pPr>
              <w:widowControl/>
              <w:ind w:firstLine="2640" w:firstLineChars="1100"/>
              <w:textAlignment w:val="center"/>
              <w:rPr>
                <w:rFonts w:ascii="仿宋_GB2312" w:eastAsia="仿宋_GB2312" w:cs="宋体"/>
                <w:sz w:val="24"/>
              </w:rPr>
            </w:pPr>
            <w:r>
              <w:rPr>
                <w:rFonts w:hint="eastAsia" w:ascii="仿宋_GB2312" w:eastAsia="仿宋_GB2312" w:cs="宋体"/>
                <w:sz w:val="24"/>
              </w:rPr>
              <w:t>元旦花卉氛围营造</w:t>
            </w:r>
          </w:p>
        </w:tc>
      </w:tr>
      <w:tr w14:paraId="3B9A48DB">
        <w:tblPrEx>
          <w:tblCellMar>
            <w:top w:w="0" w:type="dxa"/>
            <w:left w:w="0" w:type="dxa"/>
            <w:bottom w:w="0" w:type="dxa"/>
            <w:right w:w="0" w:type="dxa"/>
          </w:tblCellMar>
        </w:tblPrEx>
        <w:trPr>
          <w:trHeight w:val="276" w:hRule="atLeast"/>
        </w:trPr>
        <w:tc>
          <w:tcPr>
            <w:tcW w:w="209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214A44">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预算单位</w:t>
            </w:r>
          </w:p>
        </w:tc>
        <w:tc>
          <w:tcPr>
            <w:tcW w:w="656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2EF9EC">
            <w:pPr>
              <w:widowControl/>
              <w:ind w:firstLine="480"/>
              <w:jc w:val="center"/>
              <w:textAlignment w:val="center"/>
              <w:rPr>
                <w:rFonts w:ascii="仿宋_GB2312" w:eastAsia="仿宋_GB2312" w:cs="宋体"/>
                <w:sz w:val="24"/>
              </w:rPr>
            </w:pPr>
            <w:r>
              <w:rPr>
                <w:rFonts w:hint="eastAsia" w:ascii="仿宋_GB2312" w:eastAsia="仿宋_GB2312" w:cs="宋体"/>
                <w:sz w:val="24"/>
              </w:rPr>
              <w:t>米易县综合行政执法局</w:t>
            </w:r>
          </w:p>
        </w:tc>
      </w:tr>
      <w:tr w14:paraId="388412A5">
        <w:tblPrEx>
          <w:tblCellMar>
            <w:top w:w="0" w:type="dxa"/>
            <w:left w:w="0" w:type="dxa"/>
            <w:bottom w:w="0" w:type="dxa"/>
            <w:right w:w="0" w:type="dxa"/>
          </w:tblCellMar>
        </w:tblPrEx>
        <w:trPr>
          <w:trHeight w:val="276" w:hRule="atLeast"/>
        </w:trPr>
        <w:tc>
          <w:tcPr>
            <w:tcW w:w="55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CE8C23">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预算执行情况</w:t>
            </w:r>
            <w:r>
              <w:rPr>
                <w:rFonts w:ascii="仿宋_GB2312" w:hAnsi="宋体" w:eastAsia="仿宋_GB2312" w:cs="宋体"/>
                <w:kern w:val="0"/>
                <w:sz w:val="24"/>
              </w:rPr>
              <w:t>(</w:t>
            </w:r>
            <w:r>
              <w:rPr>
                <w:rFonts w:hint="eastAsia" w:ascii="仿宋_GB2312" w:hAnsi="宋体" w:eastAsia="仿宋_GB2312" w:cs="宋体"/>
                <w:kern w:val="0"/>
                <w:sz w:val="24"/>
              </w:rPr>
              <w:t>万元</w:t>
            </w:r>
            <w:r>
              <w:rPr>
                <w:rFonts w:ascii="仿宋_GB2312" w:hAnsi="宋体" w:eastAsia="仿宋_GB2312" w:cs="宋体"/>
                <w:kern w:val="0"/>
                <w:sz w:val="24"/>
              </w:rPr>
              <w:t>)</w:t>
            </w: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B5FE0F">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预算数</w:t>
            </w:r>
            <w:r>
              <w:rPr>
                <w:rFonts w:ascii="仿宋_GB2312" w:hAnsi="宋体" w:eastAsia="仿宋_GB2312" w:cs="宋体"/>
                <w:kern w:val="0"/>
                <w:sz w:val="24"/>
              </w:rPr>
              <w:t>:</w:t>
            </w:r>
          </w:p>
        </w:tc>
        <w:tc>
          <w:tcPr>
            <w:tcW w:w="215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812E3E">
            <w:pPr>
              <w:widowControl/>
              <w:ind w:firstLine="480"/>
              <w:jc w:val="center"/>
              <w:textAlignment w:val="center"/>
              <w:rPr>
                <w:rFonts w:ascii="仿宋_GB2312" w:eastAsia="仿宋_GB2312" w:cs="宋体"/>
                <w:sz w:val="24"/>
              </w:rPr>
            </w:pPr>
            <w:r>
              <w:rPr>
                <w:rFonts w:ascii="仿宋_GB2312" w:eastAsia="仿宋_GB2312" w:cs="宋体"/>
                <w:sz w:val="24"/>
              </w:rPr>
              <w:t>49</w:t>
            </w:r>
            <w:r>
              <w:rPr>
                <w:rFonts w:hint="eastAsia" w:ascii="仿宋_GB2312" w:eastAsia="仿宋_GB2312" w:cs="宋体"/>
                <w:sz w:val="24"/>
              </w:rPr>
              <w:t>.90万元</w:t>
            </w: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5CAE6A">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执行数</w:t>
            </w:r>
            <w:r>
              <w:rPr>
                <w:rFonts w:ascii="仿宋_GB2312" w:hAnsi="宋体" w:eastAsia="仿宋_GB2312" w:cs="宋体"/>
                <w:kern w:val="0"/>
                <w:sz w:val="24"/>
              </w:rPr>
              <w:t>:</w:t>
            </w:r>
          </w:p>
        </w:tc>
        <w:tc>
          <w:tcPr>
            <w:tcW w:w="215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073400">
            <w:pPr>
              <w:widowControl/>
              <w:ind w:firstLine="480"/>
              <w:jc w:val="center"/>
              <w:textAlignment w:val="center"/>
              <w:rPr>
                <w:rFonts w:ascii="仿宋_GB2312" w:eastAsia="仿宋_GB2312" w:cs="宋体"/>
                <w:sz w:val="24"/>
              </w:rPr>
            </w:pPr>
            <w:r>
              <w:rPr>
                <w:rFonts w:ascii="仿宋_GB2312" w:eastAsia="仿宋_GB2312" w:cs="宋体"/>
                <w:sz w:val="24"/>
              </w:rPr>
              <w:t>49</w:t>
            </w:r>
            <w:r>
              <w:rPr>
                <w:rFonts w:hint="eastAsia" w:ascii="仿宋_GB2312" w:eastAsia="仿宋_GB2312" w:cs="宋体"/>
                <w:sz w:val="24"/>
              </w:rPr>
              <w:t>.</w:t>
            </w:r>
            <w:r>
              <w:rPr>
                <w:rFonts w:ascii="仿宋_GB2312" w:eastAsia="仿宋_GB2312" w:cs="宋体"/>
                <w:sz w:val="24"/>
              </w:rPr>
              <w:t>401</w:t>
            </w:r>
            <w:r>
              <w:rPr>
                <w:rFonts w:hint="eastAsia" w:ascii="仿宋_GB2312" w:eastAsia="仿宋_GB2312" w:cs="宋体"/>
                <w:sz w:val="24"/>
              </w:rPr>
              <w:t>万元</w:t>
            </w:r>
          </w:p>
        </w:tc>
      </w:tr>
      <w:tr w14:paraId="36F49E1A">
        <w:tblPrEx>
          <w:tblCellMar>
            <w:top w:w="0" w:type="dxa"/>
            <w:left w:w="0" w:type="dxa"/>
            <w:bottom w:w="0" w:type="dxa"/>
            <w:right w:w="0" w:type="dxa"/>
          </w:tblCellMar>
        </w:tblPrEx>
        <w:trPr>
          <w:trHeight w:val="276"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2246A516">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4A3166">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其中</w:t>
            </w:r>
            <w:r>
              <w:rPr>
                <w:rFonts w:ascii="仿宋_GB2312" w:eastAsia="仿宋_GB2312" w:cs="宋体"/>
                <w:kern w:val="0"/>
                <w:sz w:val="24"/>
              </w:rPr>
              <w:t>-</w:t>
            </w:r>
            <w:r>
              <w:rPr>
                <w:rFonts w:hint="eastAsia" w:ascii="仿宋_GB2312" w:hAnsi="宋体" w:eastAsia="仿宋_GB2312" w:cs="宋体"/>
                <w:kern w:val="0"/>
                <w:sz w:val="24"/>
              </w:rPr>
              <w:t>财政拨款</w:t>
            </w:r>
            <w:r>
              <w:rPr>
                <w:rFonts w:ascii="仿宋_GB2312" w:hAnsi="宋体" w:eastAsia="仿宋_GB2312" w:cs="宋体"/>
                <w:kern w:val="0"/>
                <w:sz w:val="24"/>
              </w:rPr>
              <w:t>:</w:t>
            </w:r>
          </w:p>
        </w:tc>
        <w:tc>
          <w:tcPr>
            <w:tcW w:w="215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34218D">
            <w:pPr>
              <w:widowControl/>
              <w:ind w:firstLine="480"/>
              <w:jc w:val="center"/>
              <w:textAlignment w:val="center"/>
              <w:rPr>
                <w:rFonts w:ascii="仿宋_GB2312" w:eastAsia="仿宋_GB2312" w:cs="宋体"/>
                <w:sz w:val="24"/>
              </w:rPr>
            </w:pPr>
            <w:r>
              <w:rPr>
                <w:rFonts w:ascii="仿宋_GB2312" w:eastAsia="仿宋_GB2312" w:cs="宋体"/>
                <w:sz w:val="24"/>
              </w:rPr>
              <w:t>49</w:t>
            </w:r>
            <w:r>
              <w:rPr>
                <w:rFonts w:hint="eastAsia" w:ascii="仿宋_GB2312" w:eastAsia="仿宋_GB2312" w:cs="宋体"/>
                <w:sz w:val="24"/>
              </w:rPr>
              <w:t>.90万元</w:t>
            </w: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B25AAD">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其中</w:t>
            </w:r>
            <w:r>
              <w:rPr>
                <w:rFonts w:ascii="仿宋_GB2312" w:eastAsia="仿宋_GB2312" w:cs="宋体"/>
                <w:kern w:val="0"/>
                <w:sz w:val="24"/>
              </w:rPr>
              <w:t>-</w:t>
            </w:r>
            <w:r>
              <w:rPr>
                <w:rFonts w:hint="eastAsia" w:ascii="仿宋_GB2312" w:hAnsi="宋体" w:eastAsia="仿宋_GB2312" w:cs="宋体"/>
                <w:kern w:val="0"/>
                <w:sz w:val="24"/>
              </w:rPr>
              <w:t>财政拨款</w:t>
            </w:r>
            <w:r>
              <w:rPr>
                <w:rFonts w:ascii="仿宋_GB2312" w:hAnsi="宋体" w:eastAsia="仿宋_GB2312" w:cs="宋体"/>
                <w:kern w:val="0"/>
                <w:sz w:val="24"/>
              </w:rPr>
              <w:t>:</w:t>
            </w:r>
          </w:p>
        </w:tc>
        <w:tc>
          <w:tcPr>
            <w:tcW w:w="215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0B9325">
            <w:pPr>
              <w:widowControl/>
              <w:ind w:firstLine="480"/>
              <w:jc w:val="center"/>
              <w:textAlignment w:val="center"/>
              <w:rPr>
                <w:rFonts w:ascii="仿宋_GB2312" w:eastAsia="仿宋_GB2312" w:cs="宋体"/>
                <w:sz w:val="24"/>
              </w:rPr>
            </w:pPr>
            <w:r>
              <w:rPr>
                <w:rFonts w:ascii="仿宋_GB2312" w:eastAsia="仿宋_GB2312" w:cs="宋体"/>
                <w:sz w:val="24"/>
              </w:rPr>
              <w:t>49</w:t>
            </w:r>
            <w:r>
              <w:rPr>
                <w:rFonts w:hint="eastAsia" w:ascii="仿宋_GB2312" w:eastAsia="仿宋_GB2312" w:cs="宋体"/>
                <w:sz w:val="24"/>
              </w:rPr>
              <w:t>.</w:t>
            </w:r>
            <w:r>
              <w:rPr>
                <w:rFonts w:ascii="仿宋_GB2312" w:eastAsia="仿宋_GB2312" w:cs="宋体"/>
                <w:sz w:val="24"/>
              </w:rPr>
              <w:t>401</w:t>
            </w:r>
            <w:r>
              <w:rPr>
                <w:rFonts w:hint="eastAsia" w:ascii="仿宋_GB2312" w:eastAsia="仿宋_GB2312" w:cs="宋体"/>
                <w:sz w:val="24"/>
              </w:rPr>
              <w:t>万元</w:t>
            </w:r>
          </w:p>
        </w:tc>
      </w:tr>
      <w:tr w14:paraId="5B319DCC">
        <w:tblPrEx>
          <w:tblCellMar>
            <w:top w:w="0" w:type="dxa"/>
            <w:left w:w="0" w:type="dxa"/>
            <w:bottom w:w="0" w:type="dxa"/>
            <w:right w:w="0" w:type="dxa"/>
          </w:tblCellMar>
        </w:tblPrEx>
        <w:trPr>
          <w:trHeight w:val="1574"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27003617">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8EB995">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其它资金</w:t>
            </w:r>
            <w:r>
              <w:rPr>
                <w:rFonts w:ascii="仿宋_GB2312" w:hAnsi="宋体" w:eastAsia="仿宋_GB2312" w:cs="宋体"/>
                <w:kern w:val="0"/>
                <w:sz w:val="24"/>
              </w:rPr>
              <w:t>:</w:t>
            </w:r>
          </w:p>
        </w:tc>
        <w:tc>
          <w:tcPr>
            <w:tcW w:w="215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F93618">
            <w:pPr>
              <w:widowControl/>
              <w:ind w:firstLine="480"/>
              <w:jc w:val="center"/>
              <w:textAlignment w:val="center"/>
              <w:rPr>
                <w:rFonts w:ascii="仿宋_GB2312" w:eastAsia="仿宋_GB2312" w:cs="宋体"/>
                <w:sz w:val="24"/>
              </w:rPr>
            </w:pPr>
            <w:r>
              <w:rPr>
                <w:rFonts w:ascii="仿宋_GB2312" w:eastAsia="仿宋_GB2312" w:cs="宋体"/>
                <w:kern w:val="0"/>
                <w:sz w:val="24"/>
              </w:rPr>
              <w:t>0</w:t>
            </w:r>
          </w:p>
        </w:tc>
        <w:tc>
          <w:tcPr>
            <w:tcW w:w="225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4632DB">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其它资金</w:t>
            </w:r>
            <w:r>
              <w:rPr>
                <w:rFonts w:ascii="仿宋_GB2312" w:hAnsi="宋体" w:eastAsia="仿宋_GB2312" w:cs="宋体"/>
                <w:kern w:val="0"/>
                <w:sz w:val="24"/>
              </w:rPr>
              <w:t>:</w:t>
            </w:r>
          </w:p>
        </w:tc>
        <w:tc>
          <w:tcPr>
            <w:tcW w:w="215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206FA5">
            <w:pPr>
              <w:ind w:firstLine="480"/>
              <w:jc w:val="center"/>
              <w:rPr>
                <w:rFonts w:ascii="仿宋_GB2312" w:eastAsia="仿宋_GB2312" w:cs="宋体"/>
                <w:sz w:val="24"/>
              </w:rPr>
            </w:pPr>
            <w:r>
              <w:rPr>
                <w:rFonts w:hint="eastAsia" w:ascii="仿宋_GB2312" w:eastAsia="仿宋_GB2312" w:cs="宋体"/>
                <w:sz w:val="24"/>
              </w:rPr>
              <w:t>0</w:t>
            </w:r>
          </w:p>
        </w:tc>
      </w:tr>
      <w:tr w14:paraId="731BBAC4">
        <w:tblPrEx>
          <w:tblCellMar>
            <w:top w:w="0" w:type="dxa"/>
            <w:left w:w="0" w:type="dxa"/>
            <w:bottom w:w="0" w:type="dxa"/>
            <w:right w:w="0" w:type="dxa"/>
          </w:tblCellMar>
        </w:tblPrEx>
        <w:trPr>
          <w:trHeight w:val="276" w:hRule="atLeast"/>
        </w:trPr>
        <w:tc>
          <w:tcPr>
            <w:tcW w:w="55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E6A6DE">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年度目标完成情况</w:t>
            </w:r>
          </w:p>
        </w:tc>
        <w:tc>
          <w:tcPr>
            <w:tcW w:w="370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F627B4">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预期目标</w:t>
            </w:r>
          </w:p>
        </w:tc>
        <w:tc>
          <w:tcPr>
            <w:tcW w:w="440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5BDF74">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实际完成目标</w:t>
            </w:r>
          </w:p>
        </w:tc>
      </w:tr>
      <w:tr w14:paraId="4412DAED">
        <w:tblPrEx>
          <w:tblCellMar>
            <w:top w:w="0" w:type="dxa"/>
            <w:left w:w="0" w:type="dxa"/>
            <w:bottom w:w="0" w:type="dxa"/>
            <w:right w:w="0" w:type="dxa"/>
          </w:tblCellMar>
        </w:tblPrEx>
        <w:trPr>
          <w:trHeight w:val="1159"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250793A0">
            <w:pPr>
              <w:widowControl/>
              <w:ind w:firstLine="480"/>
              <w:jc w:val="left"/>
              <w:rPr>
                <w:rFonts w:ascii="仿宋_GB2312" w:eastAsia="仿宋_GB2312" w:cs="宋体"/>
                <w:sz w:val="24"/>
              </w:rPr>
            </w:pPr>
          </w:p>
        </w:tc>
        <w:tc>
          <w:tcPr>
            <w:tcW w:w="370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2EE660">
            <w:pPr>
              <w:widowControl/>
              <w:ind w:firstLine="480"/>
              <w:jc w:val="center"/>
              <w:textAlignment w:val="center"/>
              <w:rPr>
                <w:rFonts w:ascii="仿宋_GB2312" w:eastAsia="仿宋_GB2312" w:cs="宋体"/>
                <w:sz w:val="24"/>
              </w:rPr>
            </w:pPr>
            <w:r>
              <w:rPr>
                <w:rFonts w:hint="eastAsia" w:eastAsia="仿宋_GB2312" w:cs="仿宋_GB2312"/>
                <w:kern w:val="0"/>
                <w:sz w:val="24"/>
              </w:rPr>
              <w:t>完成元旦花卉氛围营造项目，进一步提高项目资金使用效率</w:t>
            </w:r>
          </w:p>
        </w:tc>
        <w:tc>
          <w:tcPr>
            <w:tcW w:w="440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DD21FB">
            <w:pPr>
              <w:widowControl/>
              <w:ind w:firstLine="480"/>
              <w:jc w:val="center"/>
              <w:textAlignment w:val="center"/>
              <w:rPr>
                <w:rFonts w:ascii="仿宋_GB2312" w:eastAsia="仿宋_GB2312" w:cs="宋体"/>
                <w:sz w:val="24"/>
              </w:rPr>
            </w:pPr>
            <w:r>
              <w:rPr>
                <w:rFonts w:hint="eastAsia" w:ascii="仿宋_GB2312" w:eastAsia="仿宋_GB2312"/>
                <w:color w:val="333333"/>
                <w:sz w:val="24"/>
              </w:rPr>
              <w:t>项目的实施进一步提升米易城市形象，展示“阳光时尚花园城、康养度假目的地”的城市魅力提高了养护资金的使用效率</w:t>
            </w:r>
          </w:p>
        </w:tc>
      </w:tr>
      <w:tr w14:paraId="63D141C4">
        <w:tblPrEx>
          <w:tblCellMar>
            <w:top w:w="0" w:type="dxa"/>
            <w:left w:w="0" w:type="dxa"/>
            <w:bottom w:w="0" w:type="dxa"/>
            <w:right w:w="0" w:type="dxa"/>
          </w:tblCellMar>
        </w:tblPrEx>
        <w:trPr>
          <w:trHeight w:val="1042" w:hRule="atLeast"/>
        </w:trPr>
        <w:tc>
          <w:tcPr>
            <w:tcW w:w="55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DCCE11">
            <w:pPr>
              <w:widowControl/>
              <w:ind w:firstLine="480"/>
              <w:jc w:val="center"/>
              <w:textAlignment w:val="center"/>
              <w:rPr>
                <w:rFonts w:ascii="仿宋_GB2312" w:eastAsia="仿宋_GB2312" w:cs="宋体"/>
                <w:sz w:val="24"/>
              </w:rPr>
            </w:pPr>
            <w:r>
              <w:rPr>
                <w:rFonts w:hint="eastAsia" w:ascii="仿宋_GB2312" w:hAnsi="宋体" w:eastAsia="仿宋_GB2312" w:cs="宋体"/>
                <w:sz w:val="24"/>
              </w:rPr>
              <w:t>绩效指标完成情况</w:t>
            </w: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B1B1F5">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一级指标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8042D2">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二级指标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1A6FDF">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三级指标</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18EF6F">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预期指标值</w:t>
            </w:r>
            <w:r>
              <w:rPr>
                <w:rFonts w:ascii="仿宋_GB2312" w:hAnsi="宋体" w:eastAsia="仿宋_GB2312" w:cs="宋体"/>
                <w:kern w:val="0"/>
                <w:sz w:val="24"/>
              </w:rPr>
              <w:t>(</w:t>
            </w:r>
            <w:r>
              <w:rPr>
                <w:rFonts w:hint="eastAsia" w:ascii="仿宋_GB2312" w:hAnsi="宋体" w:eastAsia="仿宋_GB2312" w:cs="宋体"/>
                <w:kern w:val="0"/>
                <w:sz w:val="24"/>
              </w:rPr>
              <w:t>包含数字及文字描述</w:t>
            </w:r>
            <w:r>
              <w:rPr>
                <w:rFonts w:ascii="仿宋_GB2312" w:hAnsi="宋体" w:eastAsia="仿宋_GB2312" w:cs="宋体"/>
                <w:kern w:val="0"/>
                <w:sz w:val="24"/>
              </w:rPr>
              <w:t>)</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3EC790">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实际完成指标值</w:t>
            </w:r>
            <w:r>
              <w:rPr>
                <w:rFonts w:ascii="仿宋_GB2312" w:hAnsi="宋体" w:eastAsia="仿宋_GB2312" w:cs="宋体"/>
                <w:kern w:val="0"/>
                <w:sz w:val="24"/>
              </w:rPr>
              <w:t>(</w:t>
            </w:r>
            <w:r>
              <w:rPr>
                <w:rFonts w:hint="eastAsia" w:ascii="仿宋_GB2312" w:hAnsi="宋体" w:eastAsia="仿宋_GB2312" w:cs="宋体"/>
                <w:kern w:val="0"/>
                <w:sz w:val="24"/>
              </w:rPr>
              <w:t>包含数字及文字描述</w:t>
            </w:r>
            <w:r>
              <w:rPr>
                <w:rFonts w:ascii="仿宋_GB2312" w:hAnsi="宋体" w:eastAsia="仿宋_GB2312" w:cs="宋体"/>
                <w:kern w:val="0"/>
                <w:sz w:val="24"/>
              </w:rPr>
              <w:t>)</w:t>
            </w:r>
          </w:p>
        </w:tc>
      </w:tr>
      <w:tr w14:paraId="5B8687AF">
        <w:tblPrEx>
          <w:tblCellMar>
            <w:top w:w="0" w:type="dxa"/>
            <w:left w:w="0" w:type="dxa"/>
            <w:bottom w:w="0" w:type="dxa"/>
            <w:right w:w="0" w:type="dxa"/>
          </w:tblCellMar>
        </w:tblPrEx>
        <w:trPr>
          <w:trHeight w:val="953"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3410511B">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7ABACF">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4051AA">
            <w:pPr>
              <w:widowControl/>
              <w:ind w:firstLine="480"/>
              <w:jc w:val="center"/>
              <w:textAlignment w:val="center"/>
              <w:rPr>
                <w:rFonts w:ascii="仿宋_GB2312" w:eastAsia="仿宋_GB2312" w:cs="宋体"/>
                <w:sz w:val="24"/>
              </w:rPr>
            </w:pPr>
            <w:r>
              <w:rPr>
                <w:rFonts w:hint="eastAsia" w:ascii="仿宋_GB2312" w:eastAsia="仿宋_GB2312" w:cs="宋体"/>
                <w:sz w:val="24"/>
              </w:rPr>
              <w:t>数量指标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3D270C">
            <w:pPr>
              <w:widowControl/>
              <w:ind w:firstLine="480"/>
              <w:textAlignment w:val="center"/>
              <w:rPr>
                <w:rFonts w:ascii="仿宋_GB2312" w:eastAsia="仿宋_GB2312" w:cs="宋体"/>
                <w:sz w:val="24"/>
              </w:rPr>
            </w:pPr>
            <w:r>
              <w:rPr>
                <w:rFonts w:hint="eastAsia" w:ascii="仿宋_GB2312" w:eastAsia="仿宋_GB2312" w:cs="宋体"/>
                <w:sz w:val="24"/>
              </w:rPr>
              <w:t>元旦花卉氛围营造</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8412A7">
            <w:pPr>
              <w:widowControl/>
              <w:ind w:firstLine="120" w:firstLineChars="50"/>
              <w:textAlignment w:val="center"/>
              <w:rPr>
                <w:rFonts w:ascii="仿宋_GB2312" w:eastAsia="仿宋_GB2312" w:cs="宋体"/>
                <w:sz w:val="24"/>
              </w:rPr>
            </w:pPr>
            <w:r>
              <w:rPr>
                <w:rFonts w:hint="eastAsia" w:ascii="仿宋_GB2312" w:eastAsia="仿宋_GB2312" w:cs="宋体"/>
                <w:sz w:val="24"/>
              </w:rPr>
              <w:t>1.白石子25立方；2.种植黄、白、红不同直径仙人球209个3.种植黄刺丛生8丛；4.种植不同规格七彩马尾铁、巴西龙骨、仙人柱、仙人棒共计148株；5.种植和摆放长寿花、虞美人等时令鲜花共计3144平方米；6.止水带400米；7.河沙5立方；8.绿地恢复草坪1790平方米，（不含后期养护）</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498FB5">
            <w:pPr>
              <w:widowControl/>
              <w:ind w:firstLine="480"/>
              <w:jc w:val="center"/>
              <w:textAlignment w:val="center"/>
              <w:rPr>
                <w:rFonts w:ascii="仿宋_GB2312" w:eastAsia="仿宋_GB2312" w:cs="宋体"/>
                <w:sz w:val="24"/>
              </w:rPr>
            </w:pPr>
            <w:r>
              <w:rPr>
                <w:rFonts w:hint="eastAsia" w:ascii="仿宋_GB2312" w:eastAsia="仿宋_GB2312" w:cs="宋体"/>
                <w:sz w:val="24"/>
              </w:rPr>
              <w:t>1.白石子25立方；2.种植黄、白、红不同直径仙人球209个3.种植黄刺丛生8丛；4.种植不同规格七彩马尾铁、巴西龙骨、仙人柱、仙人棒共计148株；5.种植和摆放长寿花、虞美人等时令鲜花共计3144平方米；6.止水带400米；7.河沙5立方；8.绿地恢复草坪1790平方米，（不含后期养护）</w:t>
            </w:r>
          </w:p>
          <w:p w14:paraId="670726EA">
            <w:pPr>
              <w:widowControl/>
              <w:ind w:firstLine="480"/>
              <w:jc w:val="center"/>
              <w:textAlignment w:val="center"/>
              <w:rPr>
                <w:rFonts w:ascii="仿宋_GB2312" w:eastAsia="仿宋_GB2312" w:cs="宋体"/>
                <w:sz w:val="24"/>
              </w:rPr>
            </w:pPr>
          </w:p>
        </w:tc>
      </w:tr>
      <w:tr w14:paraId="72D70776">
        <w:tblPrEx>
          <w:tblCellMar>
            <w:top w:w="0" w:type="dxa"/>
            <w:left w:w="0" w:type="dxa"/>
            <w:bottom w:w="0" w:type="dxa"/>
            <w:right w:w="0" w:type="dxa"/>
          </w:tblCellMar>
        </w:tblPrEx>
        <w:trPr>
          <w:trHeight w:val="1310"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25ACCFD2">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1116D2">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3574B2">
            <w:pPr>
              <w:widowControl/>
              <w:ind w:firstLine="480"/>
              <w:jc w:val="left"/>
              <w:textAlignment w:val="center"/>
              <w:rPr>
                <w:rFonts w:ascii="仿宋_GB2312" w:eastAsia="仿宋_GB2312" w:cs="宋体"/>
                <w:sz w:val="24"/>
              </w:rPr>
            </w:pPr>
            <w:r>
              <w:rPr>
                <w:rFonts w:hint="eastAsia" w:ascii="仿宋_GB2312" w:eastAsia="仿宋_GB2312" w:cs="宋体"/>
                <w:sz w:val="24"/>
              </w:rPr>
              <w:t>质量指标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7D0985">
            <w:pPr>
              <w:widowControl/>
              <w:ind w:firstLine="480"/>
              <w:jc w:val="left"/>
              <w:textAlignment w:val="center"/>
              <w:rPr>
                <w:rFonts w:ascii="仿宋_GB2312" w:eastAsia="仿宋_GB2312" w:cs="宋体"/>
                <w:sz w:val="24"/>
              </w:rPr>
            </w:pPr>
            <w:r>
              <w:rPr>
                <w:rFonts w:hint="eastAsia" w:ascii="仿宋_GB2312" w:eastAsia="仿宋_GB2312" w:cs="宋体"/>
                <w:sz w:val="24"/>
              </w:rPr>
              <w:t>植物品质</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23AC1A">
            <w:pPr>
              <w:widowControl/>
              <w:ind w:firstLine="480"/>
              <w:jc w:val="center"/>
              <w:textAlignment w:val="center"/>
              <w:rPr>
                <w:rFonts w:ascii="仿宋_GB2312" w:eastAsia="仿宋_GB2312" w:cs="宋体"/>
                <w:sz w:val="24"/>
              </w:rPr>
            </w:pPr>
            <w:r>
              <w:rPr>
                <w:rFonts w:hint="eastAsia" w:ascii="仿宋_GB2312" w:eastAsia="仿宋_GB2312" w:cs="宋体"/>
                <w:sz w:val="24"/>
              </w:rPr>
              <w:t>种植和摆放植株长势良好，无病虫害,株形整齐;喷水保湿，清除杂草等,养护期45日</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43005C">
            <w:pPr>
              <w:widowControl/>
              <w:ind w:firstLine="480"/>
              <w:jc w:val="left"/>
              <w:textAlignment w:val="center"/>
              <w:rPr>
                <w:rFonts w:ascii="仿宋_GB2312" w:eastAsia="仿宋_GB2312" w:cs="宋体"/>
                <w:sz w:val="24"/>
              </w:rPr>
            </w:pPr>
            <w:r>
              <w:rPr>
                <w:rFonts w:hint="eastAsia" w:ascii="仿宋_GB2312" w:eastAsia="仿宋_GB2312" w:cs="宋体"/>
                <w:sz w:val="24"/>
              </w:rPr>
              <w:t>种植和摆放植株长势良好，无病虫害,株形整齐;喷水保湿，清除杂草等,养护期45日</w:t>
            </w:r>
          </w:p>
        </w:tc>
      </w:tr>
      <w:tr w14:paraId="3DE68104">
        <w:tblPrEx>
          <w:tblCellMar>
            <w:top w:w="0" w:type="dxa"/>
            <w:left w:w="0" w:type="dxa"/>
            <w:bottom w:w="0" w:type="dxa"/>
            <w:right w:w="0" w:type="dxa"/>
          </w:tblCellMar>
        </w:tblPrEx>
        <w:trPr>
          <w:trHeight w:val="974"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3B64CC84">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BAB85A">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C8F3F1">
            <w:pPr>
              <w:widowControl/>
              <w:ind w:firstLine="480"/>
              <w:jc w:val="center"/>
              <w:textAlignment w:val="center"/>
              <w:rPr>
                <w:rFonts w:ascii="仿宋_GB2312" w:eastAsia="仿宋_GB2312" w:cs="宋体"/>
                <w:sz w:val="24"/>
              </w:rPr>
            </w:pPr>
            <w:r>
              <w:rPr>
                <w:rFonts w:hint="eastAsia" w:ascii="仿宋_GB2312" w:eastAsia="仿宋_GB2312" w:cs="宋体"/>
                <w:sz w:val="24"/>
              </w:rPr>
              <w:t>时效指标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EB9685">
            <w:pPr>
              <w:widowControl/>
              <w:ind w:firstLine="480"/>
              <w:jc w:val="center"/>
              <w:textAlignment w:val="center"/>
              <w:rPr>
                <w:rFonts w:ascii="仿宋_GB2312" w:eastAsia="仿宋_GB2312" w:cs="宋体"/>
                <w:sz w:val="24"/>
              </w:rPr>
            </w:pPr>
            <w:r>
              <w:rPr>
                <w:rFonts w:hint="eastAsia" w:ascii="仿宋_GB2312" w:eastAsia="仿宋_GB2312" w:cs="宋体"/>
                <w:sz w:val="24"/>
              </w:rPr>
              <w:t>完成时间</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CD3F71">
            <w:pPr>
              <w:widowControl/>
              <w:ind w:firstLine="480"/>
              <w:jc w:val="center"/>
              <w:textAlignment w:val="center"/>
              <w:rPr>
                <w:rFonts w:ascii="仿宋_GB2312" w:eastAsia="仿宋_GB2312" w:cs="宋体"/>
                <w:sz w:val="24"/>
              </w:rPr>
            </w:pPr>
            <w:r>
              <w:rPr>
                <w:rFonts w:hint="eastAsia" w:ascii="仿宋_GB2312" w:eastAsia="仿宋_GB2312" w:cs="宋体"/>
                <w:sz w:val="24"/>
              </w:rPr>
              <w:t>2019年12月底</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17EE2D">
            <w:pPr>
              <w:widowControl/>
              <w:ind w:firstLine="480"/>
              <w:jc w:val="center"/>
              <w:textAlignment w:val="center"/>
              <w:rPr>
                <w:rFonts w:ascii="仿宋_GB2312" w:eastAsia="仿宋_GB2312" w:cs="宋体"/>
                <w:sz w:val="24"/>
              </w:rPr>
            </w:pPr>
            <w:r>
              <w:rPr>
                <w:rFonts w:hint="eastAsia" w:ascii="仿宋_GB2312" w:eastAsia="仿宋_GB2312" w:cs="宋体"/>
                <w:sz w:val="24"/>
              </w:rPr>
              <w:t>2019年12月底</w:t>
            </w:r>
          </w:p>
        </w:tc>
      </w:tr>
      <w:tr w14:paraId="27E97566">
        <w:tblPrEx>
          <w:tblCellMar>
            <w:top w:w="0" w:type="dxa"/>
            <w:left w:w="0" w:type="dxa"/>
            <w:bottom w:w="0" w:type="dxa"/>
            <w:right w:w="0" w:type="dxa"/>
          </w:tblCellMar>
        </w:tblPrEx>
        <w:trPr>
          <w:trHeight w:val="819"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61344B47">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2B8DEE">
            <w:pPr>
              <w:widowControl/>
              <w:ind w:firstLine="480"/>
              <w:jc w:val="center"/>
              <w:textAlignment w:val="center"/>
              <w:rPr>
                <w:rFonts w:ascii="仿宋_GB2312" w:eastAsia="仿宋_GB2312" w:cs="宋体"/>
                <w:kern w:val="0"/>
                <w:sz w:val="24"/>
              </w:rPr>
            </w:pPr>
            <w:r>
              <w:rPr>
                <w:rFonts w:hint="eastAsia" w:ascii="仿宋_GB2312" w:hAnsi="宋体" w:eastAsia="仿宋_GB2312" w:cs="宋体"/>
                <w:kern w:val="0"/>
                <w:sz w:val="24"/>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F04A8D">
            <w:pPr>
              <w:widowControl/>
              <w:ind w:firstLine="480"/>
              <w:jc w:val="center"/>
              <w:textAlignment w:val="center"/>
              <w:rPr>
                <w:rFonts w:ascii="仿宋_GB2312" w:eastAsia="仿宋_GB2312" w:cs="宋体"/>
                <w:sz w:val="24"/>
              </w:rPr>
            </w:pPr>
            <w:r>
              <w:rPr>
                <w:rFonts w:hint="eastAsia" w:ascii="仿宋_GB2312" w:eastAsia="仿宋_GB2312" w:cs="宋体"/>
                <w:sz w:val="24"/>
              </w:rPr>
              <w:t>成本指标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62A36B">
            <w:pPr>
              <w:widowControl/>
              <w:ind w:firstLine="480"/>
              <w:jc w:val="center"/>
              <w:textAlignment w:val="center"/>
              <w:rPr>
                <w:rFonts w:ascii="仿宋_GB2312" w:eastAsia="仿宋_GB2312" w:cs="宋体"/>
                <w:sz w:val="24"/>
              </w:rPr>
            </w:pPr>
            <w:r>
              <w:rPr>
                <w:rFonts w:hint="eastAsia" w:ascii="仿宋_GB2312" w:eastAsia="仿宋_GB2312" w:cs="宋体"/>
                <w:sz w:val="24"/>
              </w:rPr>
              <w:t>项目经费</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B9A23B">
            <w:pPr>
              <w:widowControl/>
              <w:ind w:firstLine="360" w:firstLineChars="150"/>
              <w:textAlignment w:val="center"/>
              <w:rPr>
                <w:rFonts w:ascii="仿宋_GB2312" w:eastAsia="仿宋_GB2312" w:cs="宋体"/>
                <w:sz w:val="24"/>
              </w:rPr>
            </w:pPr>
            <w:r>
              <w:rPr>
                <w:rFonts w:hint="eastAsia" w:ascii="仿宋_GB2312" w:eastAsia="仿宋_GB2312" w:cs="宋体"/>
                <w:sz w:val="24"/>
              </w:rPr>
              <w:t>本年度预算资金</w:t>
            </w:r>
            <w:r>
              <w:rPr>
                <w:rFonts w:ascii="仿宋_GB2312" w:eastAsia="仿宋_GB2312" w:cs="宋体"/>
                <w:sz w:val="24"/>
              </w:rPr>
              <w:t>49</w:t>
            </w:r>
            <w:r>
              <w:rPr>
                <w:rFonts w:hint="eastAsia" w:ascii="仿宋_GB2312" w:eastAsia="仿宋_GB2312" w:cs="宋体"/>
                <w:sz w:val="24"/>
              </w:rPr>
              <w:t>.90万元</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3E70E8">
            <w:pPr>
              <w:widowControl/>
              <w:ind w:firstLine="480"/>
              <w:textAlignment w:val="center"/>
              <w:rPr>
                <w:rFonts w:ascii="仿宋_GB2312" w:eastAsia="仿宋_GB2312" w:cs="宋体"/>
                <w:sz w:val="24"/>
              </w:rPr>
            </w:pPr>
            <w:r>
              <w:rPr>
                <w:rFonts w:hint="eastAsia" w:ascii="仿宋_GB2312" w:eastAsia="仿宋_GB2312" w:cs="宋体"/>
                <w:sz w:val="24"/>
              </w:rPr>
              <w:t>本年度实际拨付资                                                                                                                                                                                                                                                                                                                                                                       金</w:t>
            </w:r>
            <w:r>
              <w:rPr>
                <w:rFonts w:ascii="仿宋_GB2312" w:eastAsia="仿宋_GB2312" w:cs="宋体"/>
                <w:sz w:val="24"/>
              </w:rPr>
              <w:t>49</w:t>
            </w:r>
            <w:r>
              <w:rPr>
                <w:rFonts w:hint="eastAsia" w:ascii="仿宋_GB2312" w:eastAsia="仿宋_GB2312" w:cs="宋体"/>
                <w:sz w:val="24"/>
              </w:rPr>
              <w:t>.</w:t>
            </w:r>
            <w:r>
              <w:rPr>
                <w:rFonts w:ascii="仿宋_GB2312" w:eastAsia="仿宋_GB2312" w:cs="宋体"/>
                <w:sz w:val="24"/>
              </w:rPr>
              <w:t>401</w:t>
            </w:r>
            <w:r>
              <w:rPr>
                <w:rFonts w:hint="eastAsia" w:ascii="仿宋_GB2312" w:eastAsia="仿宋_GB2312" w:cs="宋体"/>
                <w:sz w:val="24"/>
              </w:rPr>
              <w:t>万元</w:t>
            </w:r>
          </w:p>
        </w:tc>
      </w:tr>
      <w:tr w14:paraId="7F44C1AA">
        <w:tblPrEx>
          <w:tblCellMar>
            <w:top w:w="0" w:type="dxa"/>
            <w:left w:w="0" w:type="dxa"/>
            <w:bottom w:w="0" w:type="dxa"/>
            <w:right w:w="0" w:type="dxa"/>
          </w:tblCellMar>
        </w:tblPrEx>
        <w:trPr>
          <w:trHeight w:val="1042"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0501578A">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BED2DC">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效益指标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1AF36D">
            <w:pPr>
              <w:widowControl/>
              <w:ind w:firstLine="480"/>
              <w:jc w:val="center"/>
              <w:textAlignment w:val="center"/>
              <w:rPr>
                <w:rFonts w:ascii="仿宋_GB2312" w:eastAsia="仿宋_GB2312" w:cs="宋体"/>
                <w:sz w:val="24"/>
              </w:rPr>
            </w:pPr>
            <w:r>
              <w:rPr>
                <w:rFonts w:hint="eastAsia" w:ascii="仿宋_GB2312" w:eastAsia="仿宋_GB2312" w:cs="宋体"/>
                <w:sz w:val="24"/>
              </w:rPr>
              <w:t>经济效益</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C9E7FD">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CE02FC">
            <w:pPr>
              <w:widowControl/>
              <w:ind w:firstLine="480"/>
              <w:jc w:val="center"/>
              <w:textAlignment w:val="center"/>
              <w:rPr>
                <w:rFonts w:ascii="仿宋_GB2312" w:eastAsia="仿宋_GB2312" w:cs="宋体"/>
                <w:sz w:val="24"/>
              </w:rPr>
            </w:pPr>
            <w:r>
              <w:rPr>
                <w:rFonts w:hint="eastAsia" w:eastAsia="仿宋_GB2312" w:cs="仿宋_GB2312"/>
                <w:kern w:val="0"/>
                <w:sz w:val="24"/>
              </w:rPr>
              <w:t xml:space="preserve"> 提升县城颜值，促进经济发展</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3C68A2">
            <w:pPr>
              <w:widowControl/>
              <w:ind w:firstLine="480"/>
              <w:jc w:val="center"/>
              <w:textAlignment w:val="center"/>
              <w:rPr>
                <w:rFonts w:ascii="仿宋_GB2312" w:eastAsia="仿宋_GB2312" w:cs="宋体"/>
                <w:sz w:val="24"/>
              </w:rPr>
            </w:pPr>
            <w:r>
              <w:rPr>
                <w:rFonts w:hint="eastAsia" w:eastAsia="仿宋_GB2312" w:cs="仿宋_GB2312"/>
                <w:kern w:val="0"/>
                <w:sz w:val="24"/>
              </w:rPr>
              <w:t>提升县城颜值，促进经济发展</w:t>
            </w:r>
          </w:p>
        </w:tc>
      </w:tr>
      <w:tr w14:paraId="4814B019">
        <w:tblPrEx>
          <w:tblCellMar>
            <w:top w:w="0" w:type="dxa"/>
            <w:left w:w="0" w:type="dxa"/>
            <w:bottom w:w="0" w:type="dxa"/>
            <w:right w:w="0" w:type="dxa"/>
          </w:tblCellMar>
        </w:tblPrEx>
        <w:trPr>
          <w:trHeight w:val="607"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28B7B0A9">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CB672A">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效益指标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B012F6">
            <w:pPr>
              <w:widowControl/>
              <w:ind w:firstLine="480"/>
              <w:jc w:val="center"/>
              <w:textAlignment w:val="center"/>
              <w:rPr>
                <w:rFonts w:ascii="仿宋_GB2312" w:eastAsia="仿宋_GB2312" w:cs="宋体"/>
                <w:sz w:val="24"/>
              </w:rPr>
            </w:pPr>
            <w:r>
              <w:rPr>
                <w:rFonts w:hint="eastAsia" w:ascii="仿宋_GB2312" w:eastAsia="仿宋_GB2312" w:cs="宋体"/>
                <w:sz w:val="24"/>
              </w:rPr>
              <w:t>社会效益</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35F1F0">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64C0EF">
            <w:pPr>
              <w:widowControl/>
              <w:ind w:firstLine="480"/>
              <w:jc w:val="center"/>
              <w:textAlignment w:val="center"/>
              <w:rPr>
                <w:rFonts w:eastAsia="仿宋_GB2312" w:cs="仿宋_GB2312"/>
                <w:kern w:val="0"/>
                <w:sz w:val="24"/>
              </w:rPr>
            </w:pPr>
            <w:r>
              <w:rPr>
                <w:rFonts w:hint="eastAsia" w:eastAsia="仿宋_GB2312" w:cs="仿宋_GB2312"/>
                <w:kern w:val="0"/>
                <w:sz w:val="24"/>
              </w:rPr>
              <w:t>为市民提供休闲游憩场所和环境，满足人民日益增长的物质文化需要</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D584F3">
            <w:pPr>
              <w:widowControl/>
              <w:ind w:firstLine="480"/>
              <w:jc w:val="center"/>
              <w:textAlignment w:val="center"/>
              <w:rPr>
                <w:rFonts w:eastAsia="仿宋_GB2312" w:cs="仿宋_GB2312"/>
                <w:kern w:val="0"/>
                <w:sz w:val="24"/>
              </w:rPr>
            </w:pPr>
            <w:r>
              <w:rPr>
                <w:rFonts w:hint="eastAsia" w:eastAsia="仿宋_GB2312" w:cs="仿宋_GB2312"/>
                <w:kern w:val="0"/>
                <w:sz w:val="24"/>
              </w:rPr>
              <w:t>为市民提供休闲游憩场所和环境，满足人民日益增长的物质文化需要</w:t>
            </w:r>
          </w:p>
        </w:tc>
      </w:tr>
      <w:tr w14:paraId="77C3A02B">
        <w:tblPrEx>
          <w:tblCellMar>
            <w:top w:w="0" w:type="dxa"/>
            <w:left w:w="0" w:type="dxa"/>
            <w:bottom w:w="0" w:type="dxa"/>
            <w:right w:w="0" w:type="dxa"/>
          </w:tblCellMar>
        </w:tblPrEx>
        <w:trPr>
          <w:trHeight w:val="1610"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7741657C">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10AE25">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效益指标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AC1BD2">
            <w:pPr>
              <w:widowControl/>
              <w:ind w:firstLine="480"/>
              <w:jc w:val="center"/>
              <w:textAlignment w:val="center"/>
              <w:rPr>
                <w:rFonts w:ascii="仿宋_GB2312" w:eastAsia="仿宋_GB2312" w:cs="宋体"/>
                <w:sz w:val="24"/>
              </w:rPr>
            </w:pPr>
            <w:r>
              <w:rPr>
                <w:rFonts w:hint="eastAsia" w:ascii="仿宋_GB2312" w:eastAsia="仿宋_GB2312" w:cs="宋体"/>
                <w:sz w:val="24"/>
              </w:rPr>
              <w:t>生态效益</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5259E">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B8F102">
            <w:pPr>
              <w:widowControl/>
              <w:ind w:firstLine="480"/>
              <w:jc w:val="center"/>
              <w:textAlignment w:val="center"/>
              <w:rPr>
                <w:rFonts w:eastAsia="仿宋_GB2312" w:cs="仿宋_GB2312"/>
                <w:kern w:val="0"/>
                <w:sz w:val="24"/>
              </w:rPr>
            </w:pPr>
            <w:r>
              <w:rPr>
                <w:rFonts w:hint="eastAsia" w:eastAsia="仿宋_GB2312" w:cs="仿宋_GB2312"/>
                <w:kern w:val="0"/>
                <w:sz w:val="24"/>
              </w:rPr>
              <w:t>美化城市环境，提高城市绿化品质</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8AB9F4">
            <w:pPr>
              <w:widowControl/>
              <w:ind w:firstLine="480"/>
              <w:jc w:val="center"/>
              <w:textAlignment w:val="center"/>
              <w:rPr>
                <w:rFonts w:eastAsia="仿宋_GB2312" w:cs="仿宋_GB2312"/>
                <w:kern w:val="0"/>
                <w:sz w:val="24"/>
              </w:rPr>
            </w:pPr>
            <w:r>
              <w:rPr>
                <w:rFonts w:hint="eastAsia" w:eastAsia="仿宋_GB2312" w:cs="仿宋_GB2312"/>
                <w:kern w:val="0"/>
                <w:sz w:val="24"/>
              </w:rPr>
              <w:t>美化城市环境，提高城市绿化品质</w:t>
            </w:r>
          </w:p>
        </w:tc>
      </w:tr>
      <w:tr w14:paraId="4DA22960">
        <w:tblPrEx>
          <w:tblCellMar>
            <w:top w:w="0" w:type="dxa"/>
            <w:left w:w="0" w:type="dxa"/>
            <w:bottom w:w="0" w:type="dxa"/>
            <w:right w:w="0" w:type="dxa"/>
          </w:tblCellMar>
        </w:tblPrEx>
        <w:trPr>
          <w:trHeight w:val="2755"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170E3664">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3FCA11">
            <w:pPr>
              <w:widowControl/>
              <w:ind w:firstLine="480"/>
              <w:jc w:val="center"/>
              <w:textAlignment w:val="center"/>
              <w:rPr>
                <w:rFonts w:ascii="仿宋_GB2312" w:eastAsia="仿宋_GB2312" w:cs="宋体"/>
                <w:kern w:val="0"/>
                <w:sz w:val="24"/>
              </w:rPr>
            </w:pPr>
            <w:r>
              <w:rPr>
                <w:rFonts w:hint="eastAsia" w:ascii="仿宋_GB2312" w:hAnsi="宋体" w:eastAsia="仿宋_GB2312" w:cs="宋体"/>
                <w:kern w:val="0"/>
                <w:sz w:val="24"/>
              </w:rPr>
              <w:t>效益指标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AC168">
            <w:pPr>
              <w:widowControl/>
              <w:ind w:firstLine="480"/>
              <w:jc w:val="center"/>
              <w:textAlignment w:val="center"/>
              <w:rPr>
                <w:rFonts w:ascii="仿宋_GB2312" w:eastAsia="仿宋_GB2312" w:cs="宋体"/>
                <w:sz w:val="24"/>
              </w:rPr>
            </w:pPr>
            <w:r>
              <w:rPr>
                <w:rFonts w:hint="eastAsia" w:ascii="仿宋_GB2312" w:eastAsia="仿宋_GB2312" w:cs="宋体"/>
                <w:sz w:val="24"/>
              </w:rPr>
              <w:t>可持续影响指标</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96745F">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EF6758">
            <w:pPr>
              <w:widowControl/>
              <w:ind w:firstLine="480"/>
              <w:textAlignment w:val="center"/>
              <w:rPr>
                <w:rFonts w:ascii="仿宋_GB2312" w:eastAsia="仿宋_GB2312" w:cs="宋体"/>
                <w:sz w:val="24"/>
              </w:rPr>
            </w:pPr>
            <w:r>
              <w:rPr>
                <w:rFonts w:hint="eastAsia" w:eastAsia="仿宋_GB2312" w:cs="仿宋_GB2312"/>
                <w:kern w:val="0"/>
                <w:sz w:val="24"/>
              </w:rPr>
              <w:t>吸引广大市民游客观看，发挥其应有的影响和旅游效应，提升县城品牌形象</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D2C7DE">
            <w:pPr>
              <w:widowControl/>
              <w:ind w:firstLine="480"/>
              <w:jc w:val="center"/>
              <w:textAlignment w:val="center"/>
              <w:rPr>
                <w:rFonts w:ascii="仿宋_GB2312" w:eastAsia="仿宋_GB2312" w:cs="宋体"/>
                <w:sz w:val="24"/>
              </w:rPr>
            </w:pPr>
            <w:r>
              <w:rPr>
                <w:rFonts w:hint="eastAsia" w:eastAsia="仿宋_GB2312" w:cs="仿宋_GB2312"/>
                <w:kern w:val="0"/>
                <w:sz w:val="24"/>
              </w:rPr>
              <w:t>吸引广大市民游客观看，发挥其应有的影响和旅游效应，提升县城品牌形象</w:t>
            </w:r>
          </w:p>
        </w:tc>
      </w:tr>
      <w:tr w14:paraId="492D03F3">
        <w:tblPrEx>
          <w:tblCellMar>
            <w:top w:w="0" w:type="dxa"/>
            <w:left w:w="0" w:type="dxa"/>
            <w:bottom w:w="0" w:type="dxa"/>
            <w:right w:w="0" w:type="dxa"/>
          </w:tblCellMar>
        </w:tblPrEx>
        <w:trPr>
          <w:trHeight w:val="401" w:hRule="atLeast"/>
        </w:trPr>
        <w:tc>
          <w:tcPr>
            <w:tcW w:w="552" w:type="dxa"/>
            <w:vMerge w:val="continue"/>
            <w:tcBorders>
              <w:top w:val="single" w:color="000000" w:sz="4" w:space="0"/>
              <w:left w:val="single" w:color="000000" w:sz="4" w:space="0"/>
              <w:bottom w:val="single" w:color="000000" w:sz="4" w:space="0"/>
              <w:right w:val="single" w:color="000000" w:sz="4" w:space="0"/>
            </w:tcBorders>
            <w:vAlign w:val="center"/>
          </w:tcPr>
          <w:p w14:paraId="5A931468">
            <w:pPr>
              <w:widowControl/>
              <w:ind w:firstLine="480"/>
              <w:jc w:val="left"/>
              <w:rPr>
                <w:rFonts w:ascii="仿宋_GB2312" w:eastAsia="仿宋_GB2312" w:cs="宋体"/>
                <w:sz w:val="24"/>
              </w:rPr>
            </w:pPr>
          </w:p>
        </w:tc>
        <w:tc>
          <w:tcPr>
            <w:tcW w:w="154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4C74CA">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满意度指标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BEE336">
            <w:pPr>
              <w:widowControl/>
              <w:ind w:firstLine="480"/>
              <w:jc w:val="center"/>
              <w:textAlignment w:val="center"/>
              <w:rPr>
                <w:rFonts w:ascii="仿宋_GB2312" w:eastAsia="仿宋_GB2312" w:cs="宋体"/>
                <w:sz w:val="24"/>
              </w:rPr>
            </w:pPr>
            <w:r>
              <w:rPr>
                <w:rFonts w:hint="eastAsia" w:ascii="仿宋_GB2312" w:eastAsia="仿宋_GB2312" w:cs="宋体"/>
                <w:sz w:val="24"/>
              </w:rPr>
              <w:t>受益群众满意度</w:t>
            </w:r>
          </w:p>
        </w:tc>
        <w:tc>
          <w:tcPr>
            <w:tcW w:w="113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865D78">
            <w:pPr>
              <w:widowControl/>
              <w:ind w:firstLine="480"/>
              <w:jc w:val="center"/>
              <w:textAlignment w:val="center"/>
              <w:rPr>
                <w:rFonts w:ascii="仿宋_GB2312" w:eastAsia="仿宋_GB2312" w:cs="宋体"/>
                <w:sz w:val="24"/>
              </w:rPr>
            </w:pPr>
            <w:r>
              <w:rPr>
                <w:rFonts w:hint="eastAsia" w:ascii="仿宋_GB2312" w:eastAsia="仿宋_GB2312" w:cs="宋体"/>
                <w:sz w:val="24"/>
              </w:rPr>
              <w:t>受益群众满意率</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E5FF7D">
            <w:pPr>
              <w:widowControl/>
              <w:ind w:firstLine="480"/>
              <w:jc w:val="center"/>
              <w:textAlignment w:val="center"/>
              <w:rPr>
                <w:rFonts w:ascii="仿宋_GB2312" w:eastAsia="仿宋_GB2312" w:cs="宋体"/>
                <w:sz w:val="24"/>
              </w:rPr>
            </w:pPr>
            <w:r>
              <w:rPr>
                <w:rFonts w:hint="eastAsia" w:ascii="仿宋_GB2312" w:eastAsia="仿宋_GB2312" w:cs="宋体"/>
                <w:sz w:val="24"/>
              </w:rPr>
              <w:t>100%</w:t>
            </w:r>
          </w:p>
        </w:tc>
        <w:tc>
          <w:tcPr>
            <w:tcW w:w="242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81C468">
            <w:pPr>
              <w:widowControl/>
              <w:ind w:firstLine="480"/>
              <w:textAlignment w:val="center"/>
              <w:rPr>
                <w:rFonts w:ascii="仿宋_GB2312" w:eastAsia="仿宋_GB2312" w:cs="宋体"/>
                <w:sz w:val="24"/>
              </w:rPr>
            </w:pPr>
            <w:r>
              <w:rPr>
                <w:rFonts w:hint="eastAsia" w:ascii="仿宋_GB2312" w:eastAsia="仿宋_GB2312" w:cs="宋体"/>
                <w:sz w:val="24"/>
              </w:rPr>
              <w:t xml:space="preserve">    100%                                         </w:t>
            </w:r>
          </w:p>
        </w:tc>
      </w:tr>
    </w:tbl>
    <w:p w14:paraId="558EE4FE">
      <w:pPr>
        <w:spacing w:line="560" w:lineRule="exact"/>
        <w:ind w:firstLine="320" w:firstLineChars="100"/>
        <w:rPr>
          <w:rFonts w:eastAsia="仿宋_GB2312"/>
          <w:kern w:val="0"/>
        </w:rPr>
      </w:pPr>
      <w:r>
        <w:rPr>
          <w:rFonts w:hint="eastAsia" w:ascii="仿宋_GB2312" w:hAnsi="仿宋_GB2312" w:eastAsia="仿宋_GB2312" w:cs="仿宋_GB2312"/>
        </w:rPr>
        <w:t>（4）“环卫市场化”项目绩效目标完成情况综述。项目全年预算数 1124.90万元，执行数为1124.90万元，完成预算的100</w:t>
      </w:r>
      <w:r>
        <w:rPr>
          <w:rFonts w:ascii="仿宋_GB2312" w:hAnsi="仿宋_GB2312" w:eastAsia="仿宋_GB2312" w:cs="仿宋_GB2312"/>
        </w:rPr>
        <w:t>%</w:t>
      </w:r>
      <w:r>
        <w:rPr>
          <w:rFonts w:hint="eastAsia" w:ascii="仿宋_GB2312" w:hAnsi="仿宋_GB2312" w:eastAsia="仿宋_GB2312" w:cs="仿宋_GB2312"/>
        </w:rPr>
        <w:t>。通过项目实施，</w:t>
      </w:r>
      <w:r>
        <w:rPr>
          <w:rFonts w:hint="eastAsia" w:eastAsia="仿宋_GB2312"/>
          <w:kern w:val="0"/>
        </w:rPr>
        <w:t>为创建全国文明城市，打造宜居城市，提高市民生活质量和幸福指数，促进社会经济的综合发展，进一步提升米易形象打下了坚实的基础</w:t>
      </w:r>
      <w:r>
        <w:rPr>
          <w:rFonts w:eastAsia="仿宋_GB2312"/>
          <w:kern w:val="0"/>
        </w:rPr>
        <w:t>。</w:t>
      </w:r>
      <w:r>
        <w:rPr>
          <w:rFonts w:hint="eastAsia" w:ascii="仿宋_GB2312" w:hAnsi="仿宋_GB2312" w:eastAsia="仿宋_GB2312" w:cs="仿宋_GB2312"/>
        </w:rPr>
        <w:t>发现的主要问题：</w:t>
      </w:r>
      <w:r>
        <w:rPr>
          <w:rFonts w:eastAsia="仿宋_GB2312"/>
          <w:kern w:val="0"/>
        </w:rPr>
        <w:t>新一轮的环卫作业市场化</w:t>
      </w:r>
      <w:r>
        <w:rPr>
          <w:rFonts w:hint="eastAsia" w:eastAsia="仿宋_GB2312"/>
          <w:kern w:val="0"/>
        </w:rPr>
        <w:t>虽完善了诸多上一轮</w:t>
      </w:r>
      <w:r>
        <w:rPr>
          <w:rFonts w:eastAsia="仿宋_GB2312"/>
          <w:kern w:val="0"/>
        </w:rPr>
        <w:t>清扫保洁市场化的不足之处</w:t>
      </w:r>
      <w:r>
        <w:rPr>
          <w:rFonts w:hint="eastAsia" w:eastAsia="仿宋_GB2312"/>
          <w:kern w:val="0"/>
        </w:rPr>
        <w:t>，但仍然存在清扫保洁与垃圾清运、绿化管护的一些矛盾和问题。</w:t>
      </w:r>
      <w:r>
        <w:rPr>
          <w:rFonts w:hint="eastAsia" w:ascii="仿宋_GB2312" w:hAnsi="仿宋_GB2312" w:eastAsia="仿宋_GB2312" w:cs="仿宋_GB2312"/>
        </w:rPr>
        <w:t>下一步改进措施：</w:t>
      </w:r>
      <w:r>
        <w:rPr>
          <w:rFonts w:hint="eastAsia" w:eastAsia="仿宋_GB2312"/>
          <w:kern w:val="0"/>
        </w:rPr>
        <w:t>在改革过程中采用环卫清扫保洁、垃圾清运一体市场化，绿化区域清扫保洁划归绿化管护市场化等工作措施并在新一轮市场化运营中予以完善。</w:t>
      </w:r>
    </w:p>
    <w:tbl>
      <w:tblPr>
        <w:tblStyle w:val="9"/>
        <w:tblpPr w:leftFromText="180" w:rightFromText="180" w:vertAnchor="text" w:horzAnchor="page" w:tblpXSpec="center" w:tblpY="423"/>
        <w:tblOverlap w:val="never"/>
        <w:tblW w:w="8662" w:type="dxa"/>
        <w:tblInd w:w="0" w:type="dxa"/>
        <w:tblLayout w:type="fixed"/>
        <w:tblCellMar>
          <w:top w:w="0" w:type="dxa"/>
          <w:left w:w="0" w:type="dxa"/>
          <w:bottom w:w="0" w:type="dxa"/>
          <w:right w:w="0" w:type="dxa"/>
        </w:tblCellMar>
      </w:tblPr>
      <w:tblGrid>
        <w:gridCol w:w="836"/>
        <w:gridCol w:w="709"/>
        <w:gridCol w:w="992"/>
        <w:gridCol w:w="284"/>
        <w:gridCol w:w="1559"/>
        <w:gridCol w:w="1985"/>
        <w:gridCol w:w="379"/>
        <w:gridCol w:w="1918"/>
      </w:tblGrid>
      <w:tr w14:paraId="2E733951">
        <w:tblPrEx>
          <w:tblCellMar>
            <w:top w:w="0" w:type="dxa"/>
            <w:left w:w="0" w:type="dxa"/>
            <w:bottom w:w="0" w:type="dxa"/>
            <w:right w:w="0" w:type="dxa"/>
          </w:tblCellMar>
        </w:tblPrEx>
        <w:trPr>
          <w:trHeight w:val="1034" w:hRule="atLeast"/>
        </w:trPr>
        <w:tc>
          <w:tcPr>
            <w:tcW w:w="8662" w:type="dxa"/>
            <w:gridSpan w:val="8"/>
            <w:tcMar>
              <w:top w:w="15" w:type="dxa"/>
              <w:left w:w="15" w:type="dxa"/>
              <w:bottom w:w="0" w:type="dxa"/>
              <w:right w:w="15" w:type="dxa"/>
            </w:tcMar>
            <w:vAlign w:val="center"/>
          </w:tcPr>
          <w:p w14:paraId="03B5AD74">
            <w:pPr>
              <w:pStyle w:val="20"/>
              <w:widowControl/>
              <w:ind w:left="3590" w:leftChars="672" w:hanging="1440" w:hangingChars="400"/>
              <w:textAlignment w:val="center"/>
              <w:rPr>
                <w:rFonts w:ascii="仿宋_GB2312" w:eastAsia="仿宋_GB2312" w:cs="宋体"/>
                <w:color w:val="000000"/>
                <w:sz w:val="36"/>
                <w:szCs w:val="36"/>
              </w:rPr>
            </w:pPr>
            <w:r>
              <w:rPr>
                <w:rFonts w:hint="eastAsia" w:ascii="仿宋_GB2312" w:hAnsi="黑体" w:eastAsia="仿宋_GB2312" w:cs="宋体"/>
                <w:bCs/>
                <w:color w:val="000000"/>
                <w:kern w:val="0"/>
                <w:sz w:val="36"/>
                <w:szCs w:val="36"/>
              </w:rPr>
              <w:t>项目支出绩效目标完成情况表</w:t>
            </w:r>
            <w:r>
              <w:rPr>
                <w:rFonts w:ascii="仿宋_GB2312" w:eastAsia="仿宋_GB2312" w:cs="宋体"/>
                <w:bCs/>
                <w:color w:val="000000"/>
                <w:kern w:val="0"/>
                <w:sz w:val="36"/>
                <w:szCs w:val="36"/>
              </w:rPr>
              <w:br w:type="textWrapping"/>
            </w:r>
            <w:r>
              <w:rPr>
                <w:rFonts w:ascii="仿宋_GB2312" w:hAnsi="宋体" w:eastAsia="仿宋_GB2312" w:cs="宋体"/>
                <w:color w:val="000000"/>
                <w:kern w:val="0"/>
                <w:sz w:val="36"/>
                <w:szCs w:val="36"/>
              </w:rPr>
              <w:t>(20</w:t>
            </w:r>
            <w:r>
              <w:rPr>
                <w:rFonts w:hint="eastAsia" w:ascii="仿宋_GB2312" w:hAnsi="宋体" w:eastAsia="仿宋_GB2312" w:cs="宋体"/>
                <w:color w:val="000000"/>
                <w:kern w:val="0"/>
                <w:sz w:val="36"/>
                <w:szCs w:val="36"/>
              </w:rPr>
              <w:t>20年度</w:t>
            </w:r>
            <w:r>
              <w:rPr>
                <w:rFonts w:ascii="仿宋_GB2312" w:hAnsi="宋体" w:eastAsia="仿宋_GB2312" w:cs="宋体"/>
                <w:color w:val="000000"/>
                <w:kern w:val="0"/>
                <w:sz w:val="36"/>
                <w:szCs w:val="36"/>
              </w:rPr>
              <w:t>)</w:t>
            </w:r>
          </w:p>
        </w:tc>
      </w:tr>
      <w:tr w14:paraId="1B62578D">
        <w:tblPrEx>
          <w:tblCellMar>
            <w:top w:w="0" w:type="dxa"/>
            <w:left w:w="0" w:type="dxa"/>
            <w:bottom w:w="0" w:type="dxa"/>
            <w:right w:w="0" w:type="dxa"/>
          </w:tblCellMar>
        </w:tblPrEx>
        <w:trPr>
          <w:trHeight w:val="276" w:hRule="atLeast"/>
        </w:trPr>
        <w:tc>
          <w:tcPr>
            <w:tcW w:w="2821"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F5CAAF">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项目名称</w:t>
            </w:r>
          </w:p>
        </w:tc>
        <w:tc>
          <w:tcPr>
            <w:tcW w:w="5841"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524A13">
            <w:pPr>
              <w:widowControl/>
              <w:ind w:firstLine="480"/>
              <w:jc w:val="center"/>
              <w:textAlignment w:val="center"/>
              <w:rPr>
                <w:rFonts w:ascii="仿宋_GB2312" w:eastAsia="仿宋_GB2312" w:cs="宋体"/>
                <w:sz w:val="24"/>
              </w:rPr>
            </w:pPr>
            <w:r>
              <w:rPr>
                <w:rFonts w:hint="eastAsia" w:ascii="仿宋_GB2312" w:eastAsia="仿宋_GB2312" w:cs="宋体"/>
                <w:sz w:val="24"/>
              </w:rPr>
              <w:t>环卫市场化</w:t>
            </w:r>
          </w:p>
        </w:tc>
      </w:tr>
      <w:tr w14:paraId="4F2196FA">
        <w:tblPrEx>
          <w:tblCellMar>
            <w:top w:w="0" w:type="dxa"/>
            <w:left w:w="0" w:type="dxa"/>
            <w:bottom w:w="0" w:type="dxa"/>
            <w:right w:w="0" w:type="dxa"/>
          </w:tblCellMar>
        </w:tblPrEx>
        <w:trPr>
          <w:trHeight w:val="276" w:hRule="atLeast"/>
        </w:trPr>
        <w:tc>
          <w:tcPr>
            <w:tcW w:w="2821"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CB9366">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预算单位</w:t>
            </w:r>
          </w:p>
        </w:tc>
        <w:tc>
          <w:tcPr>
            <w:tcW w:w="5841"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61DE52">
            <w:pPr>
              <w:widowControl/>
              <w:ind w:firstLine="480"/>
              <w:jc w:val="center"/>
              <w:textAlignment w:val="center"/>
              <w:rPr>
                <w:rFonts w:ascii="仿宋_GB2312" w:eastAsia="仿宋_GB2312" w:cs="宋体"/>
                <w:sz w:val="24"/>
              </w:rPr>
            </w:pPr>
            <w:r>
              <w:rPr>
                <w:rFonts w:hint="eastAsia" w:ascii="仿宋_GB2312" w:eastAsia="仿宋_GB2312" w:cs="宋体"/>
                <w:sz w:val="24"/>
              </w:rPr>
              <w:t>米易县综合行政执法局</w:t>
            </w:r>
          </w:p>
        </w:tc>
      </w:tr>
      <w:tr w14:paraId="593C8C4A">
        <w:tblPrEx>
          <w:tblCellMar>
            <w:top w:w="0" w:type="dxa"/>
            <w:left w:w="0" w:type="dxa"/>
            <w:bottom w:w="0" w:type="dxa"/>
            <w:right w:w="0" w:type="dxa"/>
          </w:tblCellMar>
        </w:tblPrEx>
        <w:trPr>
          <w:trHeight w:val="276" w:hRule="atLeast"/>
        </w:trPr>
        <w:tc>
          <w:tcPr>
            <w:tcW w:w="83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5724D0">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预算执行情况</w:t>
            </w:r>
            <w:r>
              <w:rPr>
                <w:rFonts w:ascii="仿宋_GB2312" w:hAnsi="宋体" w:eastAsia="仿宋_GB2312" w:cs="宋体"/>
                <w:kern w:val="0"/>
                <w:sz w:val="24"/>
              </w:rPr>
              <w:t>(</w:t>
            </w:r>
            <w:r>
              <w:rPr>
                <w:rFonts w:hint="eastAsia" w:ascii="仿宋_GB2312" w:hAnsi="宋体" w:eastAsia="仿宋_GB2312" w:cs="宋体"/>
                <w:kern w:val="0"/>
                <w:sz w:val="24"/>
              </w:rPr>
              <w:t>万元</w:t>
            </w:r>
            <w:r>
              <w:rPr>
                <w:rFonts w:ascii="仿宋_GB2312" w:hAnsi="宋体" w:eastAsia="仿宋_GB2312" w:cs="宋体"/>
                <w:kern w:val="0"/>
                <w:sz w:val="24"/>
              </w:rPr>
              <w:t>)</w:t>
            </w:r>
          </w:p>
        </w:tc>
        <w:tc>
          <w:tcPr>
            <w:tcW w:w="198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B22FBD">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预算数</w:t>
            </w:r>
            <w:r>
              <w:rPr>
                <w:rFonts w:ascii="仿宋_GB2312" w:hAnsi="宋体" w:eastAsia="仿宋_GB2312" w:cs="宋体"/>
                <w:kern w:val="0"/>
                <w:sz w:val="24"/>
              </w:rPr>
              <w:t>:</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75F65B">
            <w:pPr>
              <w:widowControl/>
              <w:ind w:firstLine="480"/>
              <w:jc w:val="center"/>
              <w:textAlignment w:val="center"/>
              <w:rPr>
                <w:rFonts w:ascii="仿宋_GB2312" w:eastAsia="仿宋_GB2312" w:cs="宋体"/>
                <w:sz w:val="24"/>
              </w:rPr>
            </w:pPr>
            <w:r>
              <w:rPr>
                <w:rFonts w:hint="eastAsia" w:ascii="宋体" w:hAnsi="宋体" w:eastAsia="宋体" w:cs="宋体"/>
                <w:sz w:val="24"/>
                <w:szCs w:val="24"/>
              </w:rPr>
              <w:t>1124.90</w:t>
            </w:r>
            <w:r>
              <w:rPr>
                <w:rFonts w:hint="eastAsia" w:ascii="仿宋_GB2312" w:eastAsia="仿宋_GB2312" w:cs="宋体"/>
                <w:sz w:val="24"/>
              </w:rPr>
              <w:t>万元</w:t>
            </w:r>
          </w:p>
        </w:tc>
        <w:tc>
          <w:tcPr>
            <w:tcW w:w="236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2FB1EE">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执行数</w:t>
            </w:r>
            <w:r>
              <w:rPr>
                <w:rFonts w:ascii="仿宋_GB2312" w:hAnsi="宋体" w:eastAsia="仿宋_GB2312" w:cs="宋体"/>
                <w:kern w:val="0"/>
                <w:sz w:val="24"/>
              </w:rPr>
              <w:t>:</w:t>
            </w:r>
          </w:p>
        </w:tc>
        <w:tc>
          <w:tcPr>
            <w:tcW w:w="19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0A505B">
            <w:pPr>
              <w:widowControl/>
              <w:ind w:firstLine="480"/>
              <w:jc w:val="center"/>
              <w:textAlignment w:val="center"/>
              <w:rPr>
                <w:rFonts w:ascii="仿宋_GB2312" w:eastAsia="仿宋_GB2312" w:cs="宋体"/>
                <w:sz w:val="24"/>
              </w:rPr>
            </w:pPr>
            <w:r>
              <w:rPr>
                <w:rFonts w:hint="eastAsia" w:ascii="宋体" w:hAnsi="宋体" w:eastAsia="宋体" w:cs="宋体"/>
                <w:sz w:val="24"/>
                <w:szCs w:val="24"/>
              </w:rPr>
              <w:t>1124.90</w:t>
            </w:r>
            <w:r>
              <w:rPr>
                <w:rFonts w:hint="eastAsia" w:ascii="仿宋_GB2312" w:eastAsia="仿宋_GB2312" w:cs="宋体"/>
                <w:sz w:val="24"/>
              </w:rPr>
              <w:t>万元</w:t>
            </w:r>
          </w:p>
        </w:tc>
      </w:tr>
      <w:tr w14:paraId="041ED001">
        <w:tblPrEx>
          <w:tblCellMar>
            <w:top w:w="0" w:type="dxa"/>
            <w:left w:w="0" w:type="dxa"/>
            <w:bottom w:w="0" w:type="dxa"/>
            <w:right w:w="0" w:type="dxa"/>
          </w:tblCellMar>
        </w:tblPrEx>
        <w:trPr>
          <w:trHeight w:val="276"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0EB43649">
            <w:pPr>
              <w:widowControl/>
              <w:ind w:firstLine="480"/>
              <w:jc w:val="left"/>
              <w:rPr>
                <w:rFonts w:ascii="仿宋_GB2312" w:eastAsia="仿宋_GB2312" w:cs="宋体"/>
                <w:sz w:val="24"/>
              </w:rPr>
            </w:pPr>
          </w:p>
        </w:tc>
        <w:tc>
          <w:tcPr>
            <w:tcW w:w="198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E070F3">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其中</w:t>
            </w:r>
            <w:r>
              <w:rPr>
                <w:rFonts w:ascii="仿宋_GB2312" w:eastAsia="仿宋_GB2312" w:cs="宋体"/>
                <w:kern w:val="0"/>
                <w:sz w:val="24"/>
              </w:rPr>
              <w:t>-</w:t>
            </w:r>
            <w:r>
              <w:rPr>
                <w:rFonts w:hint="eastAsia" w:ascii="仿宋_GB2312" w:hAnsi="宋体" w:eastAsia="仿宋_GB2312" w:cs="宋体"/>
                <w:kern w:val="0"/>
                <w:sz w:val="24"/>
              </w:rPr>
              <w:t>财政拨款</w:t>
            </w:r>
            <w:r>
              <w:rPr>
                <w:rFonts w:ascii="仿宋_GB2312" w:hAnsi="宋体" w:eastAsia="仿宋_GB2312" w:cs="宋体"/>
                <w:kern w:val="0"/>
                <w:sz w:val="24"/>
              </w:rPr>
              <w:t>:</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043B4A">
            <w:pPr>
              <w:widowControl/>
              <w:ind w:firstLine="480"/>
              <w:jc w:val="center"/>
              <w:textAlignment w:val="center"/>
              <w:rPr>
                <w:rFonts w:ascii="仿宋_GB2312" w:eastAsia="宋体" w:cs="宋体"/>
                <w:sz w:val="24"/>
              </w:rPr>
            </w:pPr>
            <w:r>
              <w:rPr>
                <w:rFonts w:hint="eastAsia" w:ascii="宋体" w:hAnsi="宋体" w:eastAsia="宋体" w:cs="宋体"/>
                <w:sz w:val="24"/>
                <w:szCs w:val="24"/>
              </w:rPr>
              <w:t>1124.90万元</w:t>
            </w:r>
          </w:p>
        </w:tc>
        <w:tc>
          <w:tcPr>
            <w:tcW w:w="236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BB3FA0">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其中</w:t>
            </w:r>
            <w:r>
              <w:rPr>
                <w:rFonts w:ascii="仿宋_GB2312" w:eastAsia="仿宋_GB2312" w:cs="宋体"/>
                <w:kern w:val="0"/>
                <w:sz w:val="24"/>
              </w:rPr>
              <w:t>-</w:t>
            </w:r>
            <w:r>
              <w:rPr>
                <w:rFonts w:hint="eastAsia" w:ascii="仿宋_GB2312" w:hAnsi="宋体" w:eastAsia="仿宋_GB2312" w:cs="宋体"/>
                <w:kern w:val="0"/>
                <w:sz w:val="24"/>
              </w:rPr>
              <w:t>财政拨款</w:t>
            </w:r>
            <w:r>
              <w:rPr>
                <w:rFonts w:ascii="仿宋_GB2312" w:hAnsi="宋体" w:eastAsia="仿宋_GB2312" w:cs="宋体"/>
                <w:kern w:val="0"/>
                <w:sz w:val="24"/>
              </w:rPr>
              <w:t>:</w:t>
            </w:r>
          </w:p>
        </w:tc>
        <w:tc>
          <w:tcPr>
            <w:tcW w:w="19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F6382C">
            <w:pPr>
              <w:widowControl/>
              <w:ind w:firstLine="480"/>
              <w:jc w:val="center"/>
              <w:textAlignment w:val="center"/>
              <w:rPr>
                <w:rFonts w:ascii="仿宋_GB2312" w:eastAsia="宋体" w:cs="宋体"/>
                <w:sz w:val="24"/>
              </w:rPr>
            </w:pPr>
            <w:r>
              <w:rPr>
                <w:rFonts w:hint="eastAsia" w:ascii="宋体" w:hAnsi="宋体" w:eastAsia="宋体" w:cs="宋体"/>
                <w:sz w:val="24"/>
                <w:szCs w:val="24"/>
              </w:rPr>
              <w:t>1124.90万元</w:t>
            </w:r>
          </w:p>
        </w:tc>
      </w:tr>
      <w:tr w14:paraId="0A255981">
        <w:tblPrEx>
          <w:tblCellMar>
            <w:top w:w="0" w:type="dxa"/>
            <w:left w:w="0" w:type="dxa"/>
            <w:bottom w:w="0" w:type="dxa"/>
            <w:right w:w="0" w:type="dxa"/>
          </w:tblCellMar>
        </w:tblPrEx>
        <w:trPr>
          <w:trHeight w:val="1081"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7524E4C4">
            <w:pPr>
              <w:widowControl/>
              <w:ind w:firstLine="480"/>
              <w:jc w:val="left"/>
              <w:rPr>
                <w:rFonts w:ascii="仿宋_GB2312" w:eastAsia="仿宋_GB2312" w:cs="宋体"/>
                <w:sz w:val="24"/>
              </w:rPr>
            </w:pPr>
          </w:p>
        </w:tc>
        <w:tc>
          <w:tcPr>
            <w:tcW w:w="198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043469">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其它资金</w:t>
            </w:r>
            <w:r>
              <w:rPr>
                <w:rFonts w:ascii="仿宋_GB2312" w:hAnsi="宋体" w:eastAsia="仿宋_GB2312" w:cs="宋体"/>
                <w:kern w:val="0"/>
                <w:sz w:val="24"/>
              </w:rPr>
              <w:t>:</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097A8D">
            <w:pPr>
              <w:widowControl/>
              <w:ind w:firstLine="480"/>
              <w:jc w:val="center"/>
              <w:textAlignment w:val="center"/>
              <w:rPr>
                <w:rFonts w:ascii="仿宋_GB2312" w:eastAsia="仿宋_GB2312" w:cs="宋体"/>
                <w:sz w:val="24"/>
              </w:rPr>
            </w:pPr>
            <w:r>
              <w:rPr>
                <w:rFonts w:ascii="仿宋_GB2312" w:eastAsia="仿宋_GB2312" w:cs="宋体"/>
                <w:kern w:val="0"/>
                <w:sz w:val="24"/>
              </w:rPr>
              <w:t>0</w:t>
            </w:r>
          </w:p>
        </w:tc>
        <w:tc>
          <w:tcPr>
            <w:tcW w:w="236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5DFD0E">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其它资金</w:t>
            </w:r>
            <w:r>
              <w:rPr>
                <w:rFonts w:ascii="仿宋_GB2312" w:hAnsi="宋体" w:eastAsia="仿宋_GB2312" w:cs="宋体"/>
                <w:kern w:val="0"/>
                <w:sz w:val="24"/>
              </w:rPr>
              <w:t>:</w:t>
            </w:r>
          </w:p>
        </w:tc>
        <w:tc>
          <w:tcPr>
            <w:tcW w:w="191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8D4D30">
            <w:pPr>
              <w:ind w:firstLine="480"/>
              <w:jc w:val="center"/>
              <w:rPr>
                <w:rFonts w:ascii="仿宋_GB2312" w:eastAsia="仿宋_GB2312" w:cs="宋体"/>
                <w:sz w:val="24"/>
              </w:rPr>
            </w:pPr>
            <w:r>
              <w:rPr>
                <w:rFonts w:hint="eastAsia" w:ascii="仿宋_GB2312" w:eastAsia="仿宋_GB2312" w:cs="宋体"/>
                <w:sz w:val="24"/>
              </w:rPr>
              <w:t>0</w:t>
            </w:r>
          </w:p>
        </w:tc>
      </w:tr>
      <w:tr w14:paraId="0A58D6EF">
        <w:tblPrEx>
          <w:tblCellMar>
            <w:top w:w="0" w:type="dxa"/>
            <w:left w:w="0" w:type="dxa"/>
            <w:bottom w:w="0" w:type="dxa"/>
            <w:right w:w="0" w:type="dxa"/>
          </w:tblCellMar>
        </w:tblPrEx>
        <w:trPr>
          <w:trHeight w:val="276" w:hRule="atLeast"/>
        </w:trPr>
        <w:tc>
          <w:tcPr>
            <w:tcW w:w="83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3A0877">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年度目标完成情况</w:t>
            </w:r>
          </w:p>
        </w:tc>
        <w:tc>
          <w:tcPr>
            <w:tcW w:w="3544"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A263B8">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预期目标</w:t>
            </w:r>
          </w:p>
        </w:tc>
        <w:tc>
          <w:tcPr>
            <w:tcW w:w="42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E1819">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实际完成目标</w:t>
            </w:r>
          </w:p>
        </w:tc>
      </w:tr>
      <w:tr w14:paraId="5AA13F08">
        <w:tblPrEx>
          <w:tblCellMar>
            <w:top w:w="0" w:type="dxa"/>
            <w:left w:w="0" w:type="dxa"/>
            <w:bottom w:w="0" w:type="dxa"/>
            <w:right w:w="0" w:type="dxa"/>
          </w:tblCellMar>
        </w:tblPrEx>
        <w:trPr>
          <w:trHeight w:val="1159"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388E1B66">
            <w:pPr>
              <w:widowControl/>
              <w:ind w:firstLine="480"/>
              <w:jc w:val="left"/>
              <w:rPr>
                <w:rFonts w:ascii="仿宋_GB2312" w:eastAsia="仿宋_GB2312" w:cs="宋体"/>
                <w:sz w:val="24"/>
              </w:rPr>
            </w:pPr>
          </w:p>
        </w:tc>
        <w:tc>
          <w:tcPr>
            <w:tcW w:w="3544"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DB103B">
            <w:pPr>
              <w:widowControl/>
              <w:ind w:firstLine="480"/>
              <w:jc w:val="center"/>
              <w:textAlignment w:val="center"/>
              <w:rPr>
                <w:rFonts w:ascii="仿宋_GB2312" w:eastAsia="仿宋_GB2312" w:cs="宋体"/>
                <w:sz w:val="24"/>
              </w:rPr>
            </w:pPr>
            <w:r>
              <w:rPr>
                <w:rFonts w:hint="eastAsia" w:ascii="仿宋_GB2312" w:eastAsia="仿宋_GB2312" w:cs="宋体"/>
                <w:sz w:val="24"/>
              </w:rPr>
              <w:t>确保城区环境卫生干净整洁,</w:t>
            </w:r>
            <w:r>
              <w:rPr>
                <w:rFonts w:ascii="仿宋_GB2312" w:eastAsia="仿宋_GB2312"/>
                <w:sz w:val="24"/>
              </w:rPr>
              <w:t>环卫作业质量提升</w:t>
            </w:r>
            <w:r>
              <w:rPr>
                <w:rFonts w:hint="eastAsia" w:ascii="仿宋_GB2312" w:eastAsia="仿宋_GB2312"/>
                <w:sz w:val="24"/>
              </w:rPr>
              <w:t>成效显著。</w:t>
            </w:r>
          </w:p>
        </w:tc>
        <w:tc>
          <w:tcPr>
            <w:tcW w:w="42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963084">
            <w:pPr>
              <w:widowControl/>
              <w:ind w:firstLine="480"/>
              <w:jc w:val="left"/>
              <w:textAlignment w:val="center"/>
              <w:rPr>
                <w:rFonts w:ascii="仿宋_GB2312" w:eastAsia="仿宋_GB2312" w:cs="宋体"/>
                <w:sz w:val="24"/>
              </w:rPr>
            </w:pPr>
            <w:r>
              <w:rPr>
                <w:rFonts w:hint="eastAsia" w:ascii="仿宋_GB2312" w:eastAsia="仿宋_GB2312" w:cs="宋体"/>
                <w:sz w:val="24"/>
              </w:rPr>
              <w:t>城区环境卫生干净整洁，</w:t>
            </w:r>
            <w:r>
              <w:rPr>
                <w:rFonts w:ascii="仿宋_GB2312" w:eastAsia="仿宋_GB2312"/>
                <w:sz w:val="24"/>
              </w:rPr>
              <w:t>环卫作业质量提升</w:t>
            </w:r>
            <w:r>
              <w:rPr>
                <w:rFonts w:hint="eastAsia" w:ascii="仿宋_GB2312" w:eastAsia="仿宋_GB2312"/>
                <w:sz w:val="24"/>
              </w:rPr>
              <w:t>成效显著。</w:t>
            </w:r>
          </w:p>
        </w:tc>
      </w:tr>
      <w:tr w14:paraId="5E6B37A9">
        <w:tblPrEx>
          <w:tblCellMar>
            <w:top w:w="0" w:type="dxa"/>
            <w:left w:w="0" w:type="dxa"/>
            <w:bottom w:w="0" w:type="dxa"/>
            <w:right w:w="0" w:type="dxa"/>
          </w:tblCellMar>
        </w:tblPrEx>
        <w:trPr>
          <w:trHeight w:val="769" w:hRule="atLeast"/>
        </w:trPr>
        <w:tc>
          <w:tcPr>
            <w:tcW w:w="83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ECBEC3">
            <w:pPr>
              <w:widowControl/>
              <w:ind w:firstLine="480"/>
              <w:jc w:val="center"/>
              <w:textAlignment w:val="center"/>
              <w:rPr>
                <w:rFonts w:ascii="仿宋_GB2312" w:eastAsia="仿宋_GB2312" w:cs="宋体"/>
                <w:sz w:val="24"/>
              </w:rPr>
            </w:pPr>
            <w:r>
              <w:rPr>
                <w:rFonts w:hint="eastAsia" w:ascii="仿宋_GB2312" w:hAnsi="宋体" w:eastAsia="仿宋_GB2312" w:cs="宋体"/>
                <w:sz w:val="24"/>
              </w:rPr>
              <w:t>绩效指标完成情况</w:t>
            </w: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9D3113">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一级指标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884C54">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二级指标</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EA9E7D">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三级指标</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BB5FBC">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预期指标值</w:t>
            </w:r>
            <w:r>
              <w:rPr>
                <w:rFonts w:ascii="仿宋_GB2312" w:hAnsi="宋体" w:eastAsia="仿宋_GB2312" w:cs="宋体"/>
                <w:kern w:val="0"/>
                <w:sz w:val="24"/>
              </w:rPr>
              <w:t>(</w:t>
            </w:r>
            <w:r>
              <w:rPr>
                <w:rFonts w:hint="eastAsia" w:ascii="仿宋_GB2312" w:hAnsi="宋体" w:eastAsia="仿宋_GB2312" w:cs="宋体"/>
                <w:kern w:val="0"/>
                <w:sz w:val="24"/>
              </w:rPr>
              <w:t>包含数字及文字描述</w:t>
            </w:r>
            <w:r>
              <w:rPr>
                <w:rFonts w:ascii="仿宋_GB2312" w:hAnsi="宋体" w:eastAsia="仿宋_GB2312" w:cs="宋体"/>
                <w:kern w:val="0"/>
                <w:sz w:val="24"/>
              </w:rPr>
              <w:t>)</w:t>
            </w:r>
          </w:p>
        </w:tc>
        <w:tc>
          <w:tcPr>
            <w:tcW w:w="229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53D675">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实际完成指标值</w:t>
            </w:r>
            <w:r>
              <w:rPr>
                <w:rFonts w:ascii="仿宋_GB2312" w:hAnsi="宋体" w:eastAsia="仿宋_GB2312" w:cs="宋体"/>
                <w:kern w:val="0"/>
                <w:sz w:val="24"/>
              </w:rPr>
              <w:t>(</w:t>
            </w:r>
            <w:r>
              <w:rPr>
                <w:rFonts w:hint="eastAsia" w:ascii="仿宋_GB2312" w:hAnsi="宋体" w:eastAsia="仿宋_GB2312" w:cs="宋体"/>
                <w:kern w:val="0"/>
                <w:sz w:val="24"/>
              </w:rPr>
              <w:t>包含数字及文字描述</w:t>
            </w:r>
            <w:r>
              <w:rPr>
                <w:rFonts w:ascii="仿宋_GB2312" w:hAnsi="宋体" w:eastAsia="仿宋_GB2312" w:cs="宋体"/>
                <w:kern w:val="0"/>
                <w:sz w:val="24"/>
              </w:rPr>
              <w:t>)</w:t>
            </w:r>
          </w:p>
        </w:tc>
      </w:tr>
      <w:tr w14:paraId="24624D44">
        <w:tblPrEx>
          <w:tblCellMar>
            <w:top w:w="0" w:type="dxa"/>
            <w:left w:w="0" w:type="dxa"/>
            <w:bottom w:w="0" w:type="dxa"/>
            <w:right w:w="0" w:type="dxa"/>
          </w:tblCellMar>
        </w:tblPrEx>
        <w:trPr>
          <w:trHeight w:val="953"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1935D244">
            <w:pPr>
              <w:widowControl/>
              <w:ind w:firstLine="480"/>
              <w:jc w:val="left"/>
              <w:rPr>
                <w:rFonts w:ascii="仿宋_GB2312" w:eastAsia="仿宋_GB2312" w:cs="宋体"/>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3D7B7A">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525B25">
            <w:pPr>
              <w:widowControl/>
              <w:ind w:firstLine="480"/>
              <w:jc w:val="center"/>
              <w:textAlignment w:val="center"/>
              <w:rPr>
                <w:rFonts w:ascii="仿宋_GB2312" w:eastAsia="仿宋_GB2312" w:cs="宋体"/>
                <w:sz w:val="24"/>
              </w:rPr>
            </w:pPr>
            <w:r>
              <w:rPr>
                <w:rFonts w:hint="eastAsia" w:ascii="仿宋_GB2312" w:eastAsia="仿宋_GB2312" w:cs="宋体"/>
                <w:sz w:val="24"/>
              </w:rPr>
              <w:t>数量指标</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AC124D">
            <w:pPr>
              <w:widowControl/>
              <w:ind w:firstLine="480"/>
              <w:jc w:val="center"/>
              <w:textAlignment w:val="center"/>
              <w:rPr>
                <w:rFonts w:ascii="仿宋_GB2312" w:eastAsia="仿宋_GB2312" w:cs="宋体"/>
                <w:sz w:val="24"/>
              </w:rPr>
            </w:pPr>
            <w:r>
              <w:rPr>
                <w:rFonts w:hint="eastAsia" w:ascii="仿宋_GB2312" w:eastAsia="仿宋_GB2312" w:cs="宋体"/>
                <w:sz w:val="24"/>
              </w:rPr>
              <w:t>清扫路面</w:t>
            </w:r>
          </w:p>
          <w:p w14:paraId="7E499A97">
            <w:pPr>
              <w:widowControl/>
              <w:ind w:firstLine="480"/>
              <w:jc w:val="center"/>
              <w:textAlignment w:val="center"/>
              <w:rPr>
                <w:rFonts w:ascii="仿宋_GB2312" w:eastAsia="仿宋_GB2312" w:cs="宋体"/>
                <w:sz w:val="24"/>
              </w:rPr>
            </w:pPr>
            <w:r>
              <w:rPr>
                <w:rFonts w:hint="eastAsia" w:ascii="仿宋_GB2312" w:eastAsia="仿宋_GB2312" w:cs="宋体"/>
                <w:sz w:val="24"/>
              </w:rPr>
              <w:t>清理湖面</w:t>
            </w:r>
          </w:p>
          <w:p w14:paraId="5DC3C3E7">
            <w:pPr>
              <w:widowControl/>
              <w:ind w:firstLine="480"/>
              <w:jc w:val="center"/>
              <w:textAlignment w:val="center"/>
              <w:rPr>
                <w:rFonts w:ascii="仿宋_GB2312" w:eastAsia="仿宋_GB2312" w:cs="宋体"/>
                <w:sz w:val="24"/>
              </w:rPr>
            </w:pPr>
            <w:r>
              <w:rPr>
                <w:rFonts w:hint="eastAsia" w:ascii="仿宋_GB2312" w:eastAsia="仿宋_GB2312" w:cs="宋体"/>
                <w:sz w:val="24"/>
              </w:rPr>
              <w:t>垃圾收集房保洁</w:t>
            </w:r>
          </w:p>
          <w:p w14:paraId="4A2A3987">
            <w:pPr>
              <w:widowControl/>
              <w:ind w:firstLine="480"/>
              <w:jc w:val="center"/>
              <w:textAlignment w:val="center"/>
              <w:rPr>
                <w:rFonts w:ascii="仿宋_GB2312" w:eastAsia="仿宋_GB2312" w:cs="宋体"/>
                <w:sz w:val="24"/>
              </w:rPr>
            </w:pPr>
            <w:r>
              <w:rPr>
                <w:rFonts w:hint="eastAsia" w:ascii="仿宋_GB2312" w:eastAsia="仿宋_GB2312" w:cs="宋体"/>
                <w:sz w:val="24"/>
              </w:rPr>
              <w:t>公厕保洁</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3B80DE">
            <w:pPr>
              <w:widowControl/>
              <w:ind w:firstLine="480"/>
              <w:textAlignment w:val="center"/>
              <w:rPr>
                <w:rFonts w:ascii="仿宋_GB2312" w:eastAsia="仿宋_GB2312" w:cs="宋体"/>
                <w:sz w:val="24"/>
              </w:rPr>
            </w:pPr>
            <w:r>
              <w:rPr>
                <w:rFonts w:hint="eastAsia" w:ascii="仿宋_GB2312" w:eastAsia="仿宋_GB2312" w:cs="宋体"/>
                <w:sz w:val="24"/>
              </w:rPr>
              <w:t>约96.08万平方米</w:t>
            </w:r>
          </w:p>
          <w:p w14:paraId="34093BB8">
            <w:pPr>
              <w:widowControl/>
              <w:ind w:firstLine="480"/>
              <w:jc w:val="center"/>
              <w:textAlignment w:val="center"/>
              <w:rPr>
                <w:rFonts w:ascii="仿宋_GB2312" w:eastAsia="仿宋_GB2312" w:cs="宋体"/>
                <w:sz w:val="24"/>
              </w:rPr>
            </w:pPr>
            <w:r>
              <w:rPr>
                <w:rFonts w:hint="eastAsia" w:ascii="仿宋_GB2312" w:eastAsia="仿宋_GB2312" w:cs="宋体"/>
                <w:sz w:val="24"/>
              </w:rPr>
              <w:t>14.95万平方米</w:t>
            </w:r>
          </w:p>
          <w:p w14:paraId="660C3A29">
            <w:pPr>
              <w:widowControl/>
              <w:ind w:firstLine="480"/>
              <w:jc w:val="center"/>
              <w:textAlignment w:val="center"/>
              <w:rPr>
                <w:rFonts w:ascii="仿宋_GB2312" w:eastAsia="仿宋_GB2312" w:cs="宋体"/>
                <w:sz w:val="24"/>
              </w:rPr>
            </w:pPr>
            <w:r>
              <w:rPr>
                <w:rFonts w:hint="eastAsia" w:ascii="仿宋_GB2312" w:eastAsia="仿宋_GB2312" w:cs="宋体"/>
                <w:sz w:val="24"/>
              </w:rPr>
              <w:t>1座</w:t>
            </w:r>
          </w:p>
          <w:p w14:paraId="0C759B6B">
            <w:pPr>
              <w:widowControl/>
              <w:ind w:firstLine="480"/>
              <w:jc w:val="center"/>
              <w:textAlignment w:val="center"/>
              <w:rPr>
                <w:rFonts w:ascii="仿宋_GB2312" w:eastAsia="仿宋_GB2312" w:cs="宋体"/>
                <w:sz w:val="24"/>
              </w:rPr>
            </w:pPr>
            <w:r>
              <w:rPr>
                <w:rFonts w:hint="eastAsia" w:ascii="仿宋_GB2312" w:eastAsia="仿宋_GB2312" w:cs="宋体"/>
                <w:sz w:val="24"/>
              </w:rPr>
              <w:t>12座</w:t>
            </w:r>
          </w:p>
        </w:tc>
        <w:tc>
          <w:tcPr>
            <w:tcW w:w="229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00E54C">
            <w:pPr>
              <w:widowControl/>
              <w:ind w:firstLine="480"/>
              <w:textAlignment w:val="center"/>
              <w:rPr>
                <w:rFonts w:ascii="仿宋_GB2312" w:eastAsia="仿宋_GB2312" w:cs="宋体"/>
                <w:sz w:val="24"/>
              </w:rPr>
            </w:pPr>
            <w:r>
              <w:rPr>
                <w:rFonts w:hint="eastAsia" w:ascii="仿宋_GB2312" w:eastAsia="仿宋_GB2312" w:cs="宋体"/>
                <w:sz w:val="24"/>
              </w:rPr>
              <w:t>约96.08万平方米</w:t>
            </w:r>
          </w:p>
          <w:p w14:paraId="3D929076">
            <w:pPr>
              <w:widowControl/>
              <w:ind w:firstLine="480"/>
              <w:jc w:val="center"/>
              <w:textAlignment w:val="center"/>
              <w:rPr>
                <w:rFonts w:ascii="仿宋_GB2312" w:eastAsia="仿宋_GB2312" w:cs="宋体"/>
                <w:sz w:val="24"/>
              </w:rPr>
            </w:pPr>
            <w:r>
              <w:rPr>
                <w:rFonts w:hint="eastAsia" w:ascii="仿宋_GB2312" w:eastAsia="仿宋_GB2312" w:cs="宋体"/>
                <w:sz w:val="24"/>
              </w:rPr>
              <w:t>14.95万平方米</w:t>
            </w:r>
          </w:p>
          <w:p w14:paraId="59E6C843">
            <w:pPr>
              <w:widowControl/>
              <w:ind w:firstLine="480"/>
              <w:jc w:val="center"/>
              <w:textAlignment w:val="center"/>
              <w:rPr>
                <w:rFonts w:ascii="仿宋_GB2312" w:eastAsia="仿宋_GB2312" w:cs="宋体"/>
                <w:sz w:val="24"/>
              </w:rPr>
            </w:pPr>
            <w:r>
              <w:rPr>
                <w:rFonts w:hint="eastAsia" w:ascii="仿宋_GB2312" w:eastAsia="仿宋_GB2312" w:cs="宋体"/>
                <w:sz w:val="24"/>
              </w:rPr>
              <w:t>1座</w:t>
            </w:r>
          </w:p>
          <w:p w14:paraId="1CC0BE73">
            <w:pPr>
              <w:widowControl/>
              <w:ind w:firstLine="960" w:firstLineChars="400"/>
              <w:textAlignment w:val="center"/>
              <w:rPr>
                <w:rFonts w:ascii="仿宋_GB2312" w:eastAsia="仿宋_GB2312" w:cs="宋体"/>
                <w:i/>
                <w:sz w:val="24"/>
              </w:rPr>
            </w:pPr>
            <w:r>
              <w:rPr>
                <w:rFonts w:hint="eastAsia" w:ascii="仿宋_GB2312" w:eastAsia="仿宋_GB2312" w:cs="宋体"/>
                <w:sz w:val="24"/>
              </w:rPr>
              <w:t>12座</w:t>
            </w:r>
          </w:p>
        </w:tc>
      </w:tr>
      <w:tr w14:paraId="3BAD5957">
        <w:tblPrEx>
          <w:tblCellMar>
            <w:top w:w="0" w:type="dxa"/>
            <w:left w:w="0" w:type="dxa"/>
            <w:bottom w:w="0" w:type="dxa"/>
            <w:right w:w="0" w:type="dxa"/>
          </w:tblCellMar>
        </w:tblPrEx>
        <w:trPr>
          <w:trHeight w:val="1535"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52E85B9B">
            <w:pPr>
              <w:widowControl/>
              <w:ind w:firstLine="480"/>
              <w:jc w:val="left"/>
              <w:rPr>
                <w:rFonts w:ascii="仿宋_GB2312" w:eastAsia="仿宋_GB2312" w:cs="宋体"/>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1FCAA6">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0CE870">
            <w:pPr>
              <w:widowControl/>
              <w:ind w:firstLine="480"/>
              <w:jc w:val="center"/>
              <w:textAlignment w:val="center"/>
              <w:rPr>
                <w:rFonts w:ascii="仿宋_GB2312" w:eastAsia="仿宋_GB2312" w:cs="宋体"/>
                <w:sz w:val="24"/>
              </w:rPr>
            </w:pPr>
            <w:r>
              <w:rPr>
                <w:rFonts w:hint="eastAsia" w:ascii="仿宋_GB2312" w:eastAsia="仿宋_GB2312" w:cs="宋体"/>
                <w:sz w:val="24"/>
              </w:rPr>
              <w:t>质量指标</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0425E5">
            <w:pPr>
              <w:widowControl/>
              <w:ind w:firstLine="480"/>
              <w:jc w:val="center"/>
              <w:textAlignment w:val="center"/>
              <w:rPr>
                <w:rFonts w:ascii="仿宋_GB2312" w:eastAsia="仿宋_GB2312" w:cs="宋体"/>
                <w:sz w:val="24"/>
              </w:rPr>
            </w:pPr>
            <w:r>
              <w:rPr>
                <w:rFonts w:hint="eastAsia" w:ascii="仿宋_GB2312" w:eastAsia="仿宋_GB2312" w:cs="宋体"/>
                <w:sz w:val="24"/>
              </w:rPr>
              <w:t>清扫保洁服务单价（年）</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770949">
            <w:pPr>
              <w:widowControl/>
              <w:ind w:firstLine="480"/>
              <w:textAlignment w:val="center"/>
              <w:rPr>
                <w:rFonts w:ascii="仿宋_GB2312" w:eastAsia="仿宋_GB2312" w:cs="宋体"/>
                <w:sz w:val="24"/>
              </w:rPr>
            </w:pPr>
            <w:r>
              <w:rPr>
                <w:rFonts w:hint="eastAsia" w:ascii="仿宋_GB2312" w:eastAsia="仿宋_GB2312" w:cs="宋体"/>
                <w:sz w:val="24"/>
              </w:rPr>
              <w:t>路面保洁：8.25元/平方米</w:t>
            </w:r>
          </w:p>
          <w:p w14:paraId="6F863B5F">
            <w:pPr>
              <w:widowControl/>
              <w:ind w:firstLine="480"/>
              <w:textAlignment w:val="center"/>
              <w:rPr>
                <w:rFonts w:ascii="仿宋_GB2312" w:eastAsia="仿宋_GB2312" w:cs="宋体"/>
                <w:sz w:val="24"/>
              </w:rPr>
            </w:pPr>
            <w:r>
              <w:rPr>
                <w:rFonts w:hint="eastAsia" w:ascii="仿宋_GB2312" w:eastAsia="仿宋_GB2312" w:cs="宋体"/>
                <w:sz w:val="24"/>
              </w:rPr>
              <w:t>湖面清理：0.32元/平方米</w:t>
            </w:r>
          </w:p>
          <w:p w14:paraId="5F734797">
            <w:pPr>
              <w:widowControl/>
              <w:ind w:firstLine="480"/>
              <w:textAlignment w:val="center"/>
              <w:rPr>
                <w:rFonts w:ascii="仿宋_GB2312" w:eastAsia="仿宋_GB2312" w:cs="宋体"/>
                <w:sz w:val="24"/>
              </w:rPr>
            </w:pPr>
            <w:r>
              <w:rPr>
                <w:rFonts w:hint="eastAsia" w:ascii="仿宋_GB2312" w:eastAsia="仿宋_GB2312" w:cs="宋体"/>
                <w:sz w:val="24"/>
              </w:rPr>
              <w:t>垃圾收集房保洁：0.57万元/座</w:t>
            </w:r>
          </w:p>
          <w:p w14:paraId="027EFC6A">
            <w:pPr>
              <w:widowControl/>
              <w:ind w:firstLine="480"/>
              <w:textAlignment w:val="center"/>
              <w:rPr>
                <w:rFonts w:ascii="仿宋_GB2312" w:eastAsia="仿宋_GB2312" w:cs="宋体"/>
                <w:sz w:val="24"/>
              </w:rPr>
            </w:pPr>
            <w:r>
              <w:rPr>
                <w:rFonts w:hint="eastAsia" w:ascii="仿宋_GB2312" w:eastAsia="仿宋_GB2312" w:cs="宋体"/>
                <w:sz w:val="24"/>
              </w:rPr>
              <w:t>公厕保洁：3.5万元/座</w:t>
            </w:r>
          </w:p>
        </w:tc>
        <w:tc>
          <w:tcPr>
            <w:tcW w:w="229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68D971">
            <w:pPr>
              <w:widowControl/>
              <w:ind w:firstLine="120" w:firstLineChars="50"/>
              <w:textAlignment w:val="center"/>
              <w:rPr>
                <w:rFonts w:ascii="仿宋_GB2312" w:eastAsia="仿宋_GB2312" w:cs="宋体"/>
                <w:sz w:val="24"/>
              </w:rPr>
            </w:pPr>
            <w:r>
              <w:rPr>
                <w:rFonts w:hint="eastAsia" w:ascii="仿宋_GB2312" w:eastAsia="仿宋_GB2312" w:cs="宋体"/>
                <w:sz w:val="24"/>
              </w:rPr>
              <w:t>按合同单价，每月按考核结果拨付。</w:t>
            </w:r>
          </w:p>
        </w:tc>
      </w:tr>
      <w:tr w14:paraId="3CA91BD4">
        <w:tblPrEx>
          <w:tblCellMar>
            <w:top w:w="0" w:type="dxa"/>
            <w:left w:w="0" w:type="dxa"/>
            <w:bottom w:w="0" w:type="dxa"/>
            <w:right w:w="0" w:type="dxa"/>
          </w:tblCellMar>
        </w:tblPrEx>
        <w:trPr>
          <w:trHeight w:val="792"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0E542EF3">
            <w:pPr>
              <w:widowControl/>
              <w:ind w:firstLine="480"/>
              <w:jc w:val="left"/>
              <w:rPr>
                <w:rFonts w:ascii="仿宋_GB2312" w:eastAsia="仿宋_GB2312" w:cs="宋体"/>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AC3F99">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C8D9D4">
            <w:pPr>
              <w:widowControl/>
              <w:ind w:firstLine="480"/>
              <w:jc w:val="center"/>
              <w:textAlignment w:val="center"/>
              <w:rPr>
                <w:rFonts w:ascii="仿宋_GB2312" w:eastAsia="仿宋_GB2312" w:cs="宋体"/>
                <w:sz w:val="24"/>
              </w:rPr>
            </w:pPr>
            <w:r>
              <w:rPr>
                <w:rFonts w:hint="eastAsia" w:ascii="仿宋_GB2312" w:eastAsia="仿宋_GB2312" w:cs="宋体"/>
                <w:sz w:val="24"/>
              </w:rPr>
              <w:t>时效指标</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717716">
            <w:pPr>
              <w:widowControl/>
              <w:ind w:firstLine="480"/>
              <w:jc w:val="center"/>
              <w:textAlignment w:val="center"/>
              <w:rPr>
                <w:rFonts w:ascii="仿宋_GB2312" w:eastAsia="仿宋_GB2312" w:cs="宋体"/>
                <w:sz w:val="24"/>
              </w:rPr>
            </w:pPr>
            <w:r>
              <w:rPr>
                <w:rFonts w:hint="eastAsia" w:ascii="仿宋_GB2312" w:eastAsia="仿宋_GB2312" w:cs="宋体"/>
                <w:sz w:val="24"/>
              </w:rPr>
              <w:t>按月支付清扫保洁费</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D8D220">
            <w:pPr>
              <w:widowControl/>
              <w:ind w:firstLine="480"/>
              <w:jc w:val="center"/>
              <w:textAlignment w:val="center"/>
              <w:rPr>
                <w:rFonts w:ascii="仿宋_GB2312" w:eastAsia="仿宋_GB2312" w:cs="宋体"/>
                <w:sz w:val="24"/>
              </w:rPr>
            </w:pPr>
            <w:r>
              <w:rPr>
                <w:rFonts w:hint="eastAsia" w:ascii="仿宋_GB2312" w:eastAsia="仿宋_GB2312" w:cs="宋体"/>
                <w:sz w:val="24"/>
              </w:rPr>
              <w:t>合同期限2016.07-2021.06（本次至2020年底）</w:t>
            </w:r>
          </w:p>
        </w:tc>
        <w:tc>
          <w:tcPr>
            <w:tcW w:w="229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19FFF1">
            <w:pPr>
              <w:widowControl/>
              <w:ind w:firstLine="480"/>
              <w:jc w:val="center"/>
              <w:textAlignment w:val="center"/>
              <w:rPr>
                <w:rFonts w:ascii="仿宋_GB2312" w:eastAsia="仿宋_GB2312" w:cs="宋体"/>
                <w:sz w:val="24"/>
              </w:rPr>
            </w:pPr>
            <w:r>
              <w:rPr>
                <w:rFonts w:hint="eastAsia" w:ascii="仿宋_GB2312" w:eastAsia="仿宋_GB2312" w:cs="宋体"/>
                <w:sz w:val="24"/>
              </w:rPr>
              <w:t>合同期限2016.07-2021.06（本次至2020年底）</w:t>
            </w:r>
          </w:p>
        </w:tc>
      </w:tr>
      <w:tr w14:paraId="7CD7BF37">
        <w:tblPrEx>
          <w:tblCellMar>
            <w:top w:w="0" w:type="dxa"/>
            <w:left w:w="0" w:type="dxa"/>
            <w:bottom w:w="0" w:type="dxa"/>
            <w:right w:w="0" w:type="dxa"/>
          </w:tblCellMar>
        </w:tblPrEx>
        <w:trPr>
          <w:trHeight w:val="1042"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6320AC1B">
            <w:pPr>
              <w:widowControl/>
              <w:ind w:firstLine="480"/>
              <w:jc w:val="left"/>
              <w:rPr>
                <w:rFonts w:ascii="仿宋_GB2312" w:eastAsia="仿宋_GB2312" w:cs="宋体"/>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1A8BFF">
            <w:pPr>
              <w:widowControl/>
              <w:ind w:firstLine="480"/>
              <w:jc w:val="center"/>
              <w:textAlignment w:val="center"/>
              <w:rPr>
                <w:rFonts w:ascii="仿宋_GB2312" w:eastAsia="仿宋_GB2312" w:cs="宋体"/>
                <w:kern w:val="0"/>
                <w:sz w:val="24"/>
              </w:rPr>
            </w:pPr>
            <w:r>
              <w:rPr>
                <w:rFonts w:hint="eastAsia" w:ascii="仿宋_GB2312" w:hAnsi="宋体" w:eastAsia="仿宋_GB2312" w:cs="宋体"/>
                <w:kern w:val="0"/>
                <w:sz w:val="24"/>
              </w:rPr>
              <w:t>项目完成指标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D2ECC6">
            <w:pPr>
              <w:widowControl/>
              <w:ind w:firstLine="480"/>
              <w:jc w:val="center"/>
              <w:textAlignment w:val="center"/>
              <w:rPr>
                <w:rFonts w:ascii="仿宋_GB2312" w:eastAsia="仿宋_GB2312" w:cs="宋体"/>
                <w:sz w:val="24"/>
              </w:rPr>
            </w:pPr>
            <w:r>
              <w:rPr>
                <w:rFonts w:hint="eastAsia" w:ascii="仿宋_GB2312" w:eastAsia="仿宋_GB2312" w:cs="宋体"/>
                <w:sz w:val="24"/>
              </w:rPr>
              <w:t>成本指标</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E3031C">
            <w:pPr>
              <w:widowControl/>
              <w:ind w:firstLine="480"/>
              <w:jc w:val="center"/>
              <w:textAlignment w:val="center"/>
              <w:rPr>
                <w:rFonts w:ascii="仿宋_GB2312" w:eastAsia="仿宋_GB2312" w:cs="宋体"/>
                <w:sz w:val="24"/>
              </w:rPr>
            </w:pPr>
            <w:r>
              <w:rPr>
                <w:rFonts w:hint="eastAsia" w:ascii="仿宋_GB2312" w:eastAsia="仿宋_GB2312" w:cs="宋体"/>
                <w:sz w:val="24"/>
              </w:rPr>
              <w:t>清扫保洁费</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75BD88">
            <w:pPr>
              <w:widowControl/>
              <w:ind w:firstLine="480"/>
              <w:jc w:val="center"/>
              <w:textAlignment w:val="center"/>
              <w:rPr>
                <w:rFonts w:ascii="仿宋_GB2312" w:eastAsia="仿宋_GB2312" w:cs="宋体"/>
                <w:sz w:val="24"/>
              </w:rPr>
            </w:pPr>
            <w:r>
              <w:rPr>
                <w:rFonts w:hint="eastAsia" w:ascii="仿宋_GB2312" w:eastAsia="仿宋_GB2312" w:cs="宋体"/>
                <w:sz w:val="24"/>
              </w:rPr>
              <w:t>1124.90万元</w:t>
            </w:r>
          </w:p>
        </w:tc>
        <w:tc>
          <w:tcPr>
            <w:tcW w:w="229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701C71">
            <w:pPr>
              <w:widowControl/>
              <w:ind w:firstLine="480"/>
              <w:jc w:val="center"/>
              <w:textAlignment w:val="center"/>
              <w:rPr>
                <w:rFonts w:ascii="仿宋_GB2312" w:eastAsia="仿宋_GB2312" w:cs="宋体"/>
                <w:sz w:val="24"/>
              </w:rPr>
            </w:pPr>
            <w:r>
              <w:rPr>
                <w:rFonts w:hint="eastAsia" w:ascii="仿宋_GB2312" w:eastAsia="仿宋_GB2312" w:cs="宋体"/>
                <w:sz w:val="24"/>
              </w:rPr>
              <w:t>1124.90万元</w:t>
            </w:r>
          </w:p>
        </w:tc>
      </w:tr>
      <w:tr w14:paraId="36B66B95">
        <w:tblPrEx>
          <w:tblCellMar>
            <w:top w:w="0" w:type="dxa"/>
            <w:left w:w="0" w:type="dxa"/>
            <w:bottom w:w="0" w:type="dxa"/>
            <w:right w:w="0" w:type="dxa"/>
          </w:tblCellMar>
        </w:tblPrEx>
        <w:trPr>
          <w:trHeight w:val="1042"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5DE1DE29">
            <w:pPr>
              <w:widowControl/>
              <w:ind w:firstLine="480"/>
              <w:jc w:val="left"/>
              <w:rPr>
                <w:rFonts w:ascii="仿宋_GB2312" w:eastAsia="仿宋_GB2312" w:cs="宋体"/>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46BBEE">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效益指标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7370C9">
            <w:pPr>
              <w:widowControl/>
              <w:ind w:firstLine="480"/>
              <w:jc w:val="center"/>
              <w:textAlignment w:val="center"/>
              <w:rPr>
                <w:rFonts w:ascii="仿宋_GB2312" w:eastAsia="仿宋_GB2312" w:cs="宋体"/>
                <w:sz w:val="24"/>
              </w:rPr>
            </w:pPr>
            <w:r>
              <w:rPr>
                <w:rFonts w:hint="eastAsia" w:ascii="仿宋_GB2312" w:eastAsia="仿宋_GB2312" w:cs="宋体"/>
                <w:sz w:val="24"/>
              </w:rPr>
              <w:t>经济效益</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DDBFB">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19D5DE">
            <w:pPr>
              <w:widowControl/>
              <w:ind w:firstLine="480"/>
              <w:jc w:val="center"/>
              <w:textAlignment w:val="center"/>
              <w:rPr>
                <w:rFonts w:ascii="仿宋_GB2312" w:eastAsia="仿宋_GB2312" w:cs="宋体"/>
                <w:sz w:val="24"/>
              </w:rPr>
            </w:pPr>
            <w:r>
              <w:rPr>
                <w:rFonts w:hint="eastAsia" w:ascii="仿宋_GB2312" w:eastAsia="仿宋_GB2312" w:cs="宋体"/>
                <w:sz w:val="24"/>
              </w:rPr>
              <w:t>促进社会经济综合发展</w:t>
            </w:r>
          </w:p>
        </w:tc>
        <w:tc>
          <w:tcPr>
            <w:tcW w:w="229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900A94">
            <w:pPr>
              <w:widowControl/>
              <w:ind w:firstLine="480"/>
              <w:jc w:val="center"/>
              <w:textAlignment w:val="center"/>
              <w:rPr>
                <w:rFonts w:ascii="仿宋_GB2312" w:eastAsia="仿宋_GB2312" w:cs="宋体"/>
                <w:sz w:val="24"/>
              </w:rPr>
            </w:pPr>
            <w:r>
              <w:rPr>
                <w:rFonts w:hint="eastAsia" w:ascii="仿宋_GB2312" w:eastAsia="仿宋_GB2312" w:cs="宋体"/>
                <w:sz w:val="24"/>
              </w:rPr>
              <w:t>促进社会经济综合发展</w:t>
            </w:r>
          </w:p>
        </w:tc>
      </w:tr>
      <w:tr w14:paraId="016287CA">
        <w:tblPrEx>
          <w:tblCellMar>
            <w:top w:w="0" w:type="dxa"/>
            <w:left w:w="0" w:type="dxa"/>
            <w:bottom w:w="0" w:type="dxa"/>
            <w:right w:w="0" w:type="dxa"/>
          </w:tblCellMar>
        </w:tblPrEx>
        <w:trPr>
          <w:trHeight w:val="1042"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614143E7">
            <w:pPr>
              <w:widowControl/>
              <w:ind w:firstLine="480"/>
              <w:jc w:val="left"/>
              <w:rPr>
                <w:rFonts w:ascii="仿宋_GB2312" w:eastAsia="仿宋_GB2312" w:cs="宋体"/>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2724A">
            <w:pPr>
              <w:widowControl/>
              <w:ind w:firstLine="480"/>
              <w:jc w:val="center"/>
              <w:textAlignment w:val="center"/>
              <w:rPr>
                <w:rFonts w:ascii="仿宋_GB2312" w:eastAsia="仿宋_GB2312" w:cs="宋体"/>
                <w:sz w:val="24"/>
              </w:rPr>
            </w:pPr>
            <w:r>
              <w:rPr>
                <w:rFonts w:hint="eastAsia" w:ascii="仿宋_GB2312" w:eastAsia="仿宋_GB2312" w:cs="宋体"/>
                <w:sz w:val="24"/>
              </w:rPr>
              <w:t>效益指标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B481BB">
            <w:pPr>
              <w:widowControl/>
              <w:ind w:firstLine="480"/>
              <w:jc w:val="center"/>
              <w:textAlignment w:val="center"/>
              <w:rPr>
                <w:rFonts w:ascii="仿宋_GB2312" w:eastAsia="仿宋_GB2312" w:cs="宋体"/>
                <w:sz w:val="24"/>
              </w:rPr>
            </w:pPr>
            <w:r>
              <w:rPr>
                <w:rFonts w:hint="eastAsia" w:ascii="仿宋_GB2312" w:eastAsia="仿宋_GB2312" w:cs="宋体"/>
                <w:sz w:val="24"/>
              </w:rPr>
              <w:t>社会效益</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604111">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601079">
            <w:pPr>
              <w:widowControl/>
              <w:ind w:firstLine="480"/>
              <w:textAlignment w:val="center"/>
              <w:rPr>
                <w:rFonts w:ascii="仿宋_GB2312" w:eastAsia="仿宋_GB2312" w:cs="宋体"/>
                <w:sz w:val="24"/>
              </w:rPr>
            </w:pPr>
            <w:r>
              <w:rPr>
                <w:rFonts w:hint="eastAsia" w:ascii="仿宋_GB2312" w:eastAsia="仿宋_GB2312" w:cs="宋体"/>
                <w:sz w:val="24"/>
              </w:rPr>
              <w:t>提高市民生活质量和幸福指数</w:t>
            </w:r>
          </w:p>
        </w:tc>
        <w:tc>
          <w:tcPr>
            <w:tcW w:w="229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44BEA4">
            <w:pPr>
              <w:widowControl/>
              <w:ind w:firstLine="480"/>
              <w:jc w:val="center"/>
              <w:textAlignment w:val="center"/>
              <w:rPr>
                <w:rFonts w:ascii="仿宋_GB2312" w:eastAsia="仿宋_GB2312" w:cs="宋体"/>
                <w:sz w:val="24"/>
              </w:rPr>
            </w:pPr>
            <w:r>
              <w:rPr>
                <w:rFonts w:hint="eastAsia" w:ascii="仿宋_GB2312" w:eastAsia="仿宋_GB2312" w:cs="宋体"/>
                <w:sz w:val="24"/>
              </w:rPr>
              <w:t>提高市民生活质量和幸福指数</w:t>
            </w:r>
          </w:p>
        </w:tc>
      </w:tr>
      <w:tr w14:paraId="507F3153">
        <w:tblPrEx>
          <w:tblCellMar>
            <w:top w:w="0" w:type="dxa"/>
            <w:left w:w="0" w:type="dxa"/>
            <w:bottom w:w="0" w:type="dxa"/>
            <w:right w:w="0" w:type="dxa"/>
          </w:tblCellMar>
        </w:tblPrEx>
        <w:trPr>
          <w:trHeight w:val="1297"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0D15C4D1">
            <w:pPr>
              <w:widowControl/>
              <w:ind w:firstLine="480"/>
              <w:jc w:val="left"/>
              <w:rPr>
                <w:rFonts w:ascii="仿宋_GB2312" w:eastAsia="仿宋_GB2312" w:cs="宋体"/>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AEBC71">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效益指标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0AE5F4">
            <w:pPr>
              <w:widowControl/>
              <w:ind w:firstLine="480"/>
              <w:jc w:val="center"/>
              <w:textAlignment w:val="center"/>
              <w:rPr>
                <w:rFonts w:ascii="仿宋_GB2312" w:eastAsia="仿宋_GB2312" w:cs="宋体"/>
                <w:sz w:val="24"/>
              </w:rPr>
            </w:pPr>
            <w:r>
              <w:rPr>
                <w:rFonts w:hint="eastAsia" w:ascii="仿宋_GB2312" w:eastAsia="仿宋_GB2312" w:cs="宋体"/>
                <w:sz w:val="24"/>
              </w:rPr>
              <w:t>生态效益</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4287AE">
            <w:pPr>
              <w:widowControl/>
              <w:ind w:firstLine="480"/>
              <w:textAlignment w:val="center"/>
              <w:rPr>
                <w:rFonts w:ascii="仿宋_GB2312" w:eastAsia="仿宋_GB2312" w:cs="宋体"/>
                <w:sz w:val="24"/>
              </w:rPr>
            </w:pPr>
            <w:r>
              <w:rPr>
                <w:rFonts w:hint="eastAsia" w:ascii="仿宋_GB2312" w:eastAsia="仿宋_GB2312" w:cs="宋体"/>
                <w:sz w:val="24"/>
              </w:rPr>
              <w:t>建成区垃圾无害化处理率</w:t>
            </w:r>
          </w:p>
          <w:p w14:paraId="07C4F11E">
            <w:pPr>
              <w:widowControl/>
              <w:ind w:firstLine="480"/>
              <w:textAlignment w:val="center"/>
              <w:rPr>
                <w:rFonts w:ascii="仿宋_GB2312" w:eastAsia="仿宋_GB2312" w:cs="宋体"/>
                <w:sz w:val="24"/>
              </w:rPr>
            </w:pPr>
            <w:r>
              <w:rPr>
                <w:rFonts w:hint="eastAsia" w:ascii="仿宋_GB2312" w:eastAsia="仿宋_GB2312" w:cs="宋体"/>
                <w:sz w:val="24"/>
              </w:rPr>
              <w:t>垃圾密闭清运率</w:t>
            </w:r>
          </w:p>
          <w:p w14:paraId="62381C23">
            <w:pPr>
              <w:widowControl/>
              <w:ind w:firstLine="480"/>
              <w:textAlignment w:val="center"/>
              <w:rPr>
                <w:rFonts w:ascii="仿宋_GB2312" w:eastAsia="仿宋_GB2312" w:cs="宋体"/>
                <w:sz w:val="24"/>
              </w:rPr>
            </w:pPr>
            <w:r>
              <w:rPr>
                <w:rFonts w:hint="eastAsia" w:ascii="仿宋_GB2312" w:eastAsia="仿宋_GB2312" w:cs="宋体"/>
                <w:sz w:val="24"/>
              </w:rPr>
              <w:t>地面道路机械化清扫程度</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EE3CE8">
            <w:pPr>
              <w:widowControl/>
              <w:ind w:firstLine="960" w:firstLineChars="400"/>
              <w:textAlignment w:val="center"/>
              <w:rPr>
                <w:rFonts w:ascii="仿宋_GB2312" w:eastAsia="仿宋_GB2312" w:cs="宋体"/>
                <w:sz w:val="24"/>
              </w:rPr>
            </w:pPr>
            <w:r>
              <w:rPr>
                <w:rFonts w:hint="eastAsia" w:ascii="仿宋_GB2312" w:eastAsia="仿宋_GB2312" w:cs="宋体"/>
                <w:sz w:val="24"/>
              </w:rPr>
              <w:t>100%</w:t>
            </w:r>
          </w:p>
          <w:p w14:paraId="06DF9328">
            <w:pPr>
              <w:widowControl/>
              <w:ind w:firstLine="960" w:firstLineChars="400"/>
              <w:textAlignment w:val="center"/>
              <w:rPr>
                <w:rFonts w:ascii="仿宋_GB2312" w:eastAsia="仿宋_GB2312" w:cs="宋体"/>
                <w:sz w:val="24"/>
              </w:rPr>
            </w:pPr>
            <w:r>
              <w:rPr>
                <w:rFonts w:hint="eastAsia" w:ascii="仿宋_GB2312" w:eastAsia="仿宋_GB2312" w:cs="宋体"/>
                <w:sz w:val="24"/>
              </w:rPr>
              <w:t>100%</w:t>
            </w:r>
          </w:p>
          <w:p w14:paraId="26220BE6">
            <w:pPr>
              <w:widowControl/>
              <w:ind w:firstLine="840" w:firstLineChars="350"/>
              <w:textAlignment w:val="center"/>
              <w:rPr>
                <w:rFonts w:ascii="仿宋_GB2312" w:eastAsia="仿宋_GB2312" w:cs="宋体"/>
                <w:sz w:val="24"/>
              </w:rPr>
            </w:pPr>
            <w:r>
              <w:rPr>
                <w:rFonts w:hint="eastAsia" w:ascii="仿宋_GB2312" w:eastAsia="仿宋_GB2312" w:cs="宋体"/>
                <w:sz w:val="24"/>
              </w:rPr>
              <w:t xml:space="preserve"> 90%</w:t>
            </w:r>
          </w:p>
        </w:tc>
        <w:tc>
          <w:tcPr>
            <w:tcW w:w="229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5E07F6">
            <w:pPr>
              <w:widowControl/>
              <w:ind w:firstLine="960" w:firstLineChars="400"/>
              <w:textAlignment w:val="center"/>
              <w:rPr>
                <w:rFonts w:ascii="仿宋_GB2312" w:eastAsia="仿宋_GB2312" w:cs="宋体"/>
                <w:sz w:val="24"/>
              </w:rPr>
            </w:pPr>
            <w:r>
              <w:rPr>
                <w:rFonts w:hint="eastAsia" w:ascii="仿宋_GB2312" w:eastAsia="仿宋_GB2312" w:cs="宋体"/>
                <w:sz w:val="24"/>
              </w:rPr>
              <w:t>100%</w:t>
            </w:r>
          </w:p>
          <w:p w14:paraId="00C232D1">
            <w:pPr>
              <w:widowControl/>
              <w:ind w:firstLine="960" w:firstLineChars="400"/>
              <w:textAlignment w:val="center"/>
              <w:rPr>
                <w:rFonts w:ascii="仿宋_GB2312" w:eastAsia="仿宋_GB2312" w:cs="宋体"/>
                <w:sz w:val="24"/>
              </w:rPr>
            </w:pPr>
            <w:r>
              <w:rPr>
                <w:rFonts w:hint="eastAsia" w:ascii="仿宋_GB2312" w:eastAsia="仿宋_GB2312" w:cs="宋体"/>
                <w:sz w:val="24"/>
              </w:rPr>
              <w:t>100%</w:t>
            </w:r>
          </w:p>
          <w:p w14:paraId="7DB41758">
            <w:pPr>
              <w:widowControl/>
              <w:ind w:firstLine="960" w:firstLineChars="400"/>
              <w:textAlignment w:val="center"/>
              <w:rPr>
                <w:rFonts w:ascii="仿宋_GB2312" w:eastAsia="仿宋_GB2312" w:cs="宋体"/>
                <w:sz w:val="24"/>
              </w:rPr>
            </w:pPr>
            <w:r>
              <w:rPr>
                <w:rFonts w:hint="eastAsia" w:ascii="仿宋_GB2312" w:eastAsia="仿宋_GB2312" w:cs="宋体"/>
                <w:sz w:val="24"/>
              </w:rPr>
              <w:t xml:space="preserve"> 90%</w:t>
            </w:r>
          </w:p>
        </w:tc>
      </w:tr>
      <w:tr w14:paraId="4C85EB87">
        <w:tblPrEx>
          <w:tblCellMar>
            <w:top w:w="0" w:type="dxa"/>
            <w:left w:w="0" w:type="dxa"/>
            <w:bottom w:w="0" w:type="dxa"/>
            <w:right w:w="0" w:type="dxa"/>
          </w:tblCellMar>
        </w:tblPrEx>
        <w:trPr>
          <w:trHeight w:val="1297"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4671A8E8">
            <w:pPr>
              <w:widowControl/>
              <w:ind w:firstLine="480"/>
              <w:jc w:val="left"/>
              <w:rPr>
                <w:rFonts w:ascii="仿宋_GB2312" w:eastAsia="仿宋_GB2312" w:cs="宋体"/>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25D006">
            <w:pPr>
              <w:widowControl/>
              <w:ind w:firstLine="480"/>
              <w:textAlignment w:val="center"/>
              <w:rPr>
                <w:rFonts w:ascii="仿宋_GB2312" w:eastAsia="仿宋_GB2312" w:cs="宋体"/>
                <w:kern w:val="0"/>
                <w:sz w:val="24"/>
              </w:rPr>
            </w:pPr>
            <w:r>
              <w:rPr>
                <w:rFonts w:hint="eastAsia" w:ascii="仿宋_GB2312" w:hAnsi="宋体" w:eastAsia="仿宋_GB2312" w:cs="宋体"/>
                <w:kern w:val="0"/>
                <w:sz w:val="24"/>
              </w:rPr>
              <w:t>效益指 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754C29">
            <w:pPr>
              <w:widowControl/>
              <w:ind w:firstLine="480"/>
              <w:jc w:val="center"/>
              <w:textAlignment w:val="center"/>
              <w:rPr>
                <w:rFonts w:ascii="仿宋_GB2312" w:eastAsia="仿宋_GB2312" w:cs="宋体"/>
                <w:sz w:val="24"/>
              </w:rPr>
            </w:pPr>
            <w:r>
              <w:rPr>
                <w:rFonts w:hint="eastAsia" w:ascii="仿宋_GB2312" w:eastAsia="仿宋_GB2312" w:cs="宋体"/>
                <w:sz w:val="24"/>
              </w:rPr>
              <w:t>可持续影响指标</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0E87C3">
            <w:pPr>
              <w:widowControl/>
              <w:ind w:firstLine="480"/>
              <w:jc w:val="center"/>
              <w:textAlignment w:val="center"/>
              <w:rPr>
                <w:rFonts w:ascii="仿宋_GB2312" w:eastAsia="仿宋_GB2312" w:cs="宋体"/>
                <w:sz w:val="24"/>
              </w:rPr>
            </w:pP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DBA993">
            <w:pPr>
              <w:widowControl/>
              <w:ind w:firstLine="480"/>
              <w:jc w:val="center"/>
              <w:textAlignment w:val="center"/>
              <w:rPr>
                <w:rFonts w:ascii="仿宋_GB2312" w:eastAsia="仿宋_GB2312" w:cs="宋体"/>
                <w:sz w:val="24"/>
              </w:rPr>
            </w:pPr>
            <w:r>
              <w:rPr>
                <w:rFonts w:hint="eastAsia" w:ascii="仿宋_GB2312" w:eastAsia="仿宋_GB2312" w:cs="宋体"/>
                <w:sz w:val="24"/>
              </w:rPr>
              <w:t>为创建文明城市、打造宜居城市，进一步提升米易形象打下基础</w:t>
            </w:r>
          </w:p>
        </w:tc>
        <w:tc>
          <w:tcPr>
            <w:tcW w:w="229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9D37F8">
            <w:pPr>
              <w:widowControl/>
              <w:ind w:firstLine="480"/>
              <w:jc w:val="center"/>
              <w:textAlignment w:val="center"/>
              <w:rPr>
                <w:rFonts w:ascii="仿宋_GB2312" w:eastAsia="仿宋_GB2312" w:cs="宋体"/>
                <w:sz w:val="24"/>
              </w:rPr>
            </w:pPr>
            <w:r>
              <w:rPr>
                <w:rFonts w:hint="eastAsia" w:ascii="仿宋_GB2312" w:eastAsia="仿宋_GB2312" w:cs="宋体"/>
                <w:sz w:val="24"/>
              </w:rPr>
              <w:t>为创建文明城市、打造宜居城市，进一步提升米易形象打下基础</w:t>
            </w:r>
          </w:p>
        </w:tc>
      </w:tr>
      <w:tr w14:paraId="2D729523">
        <w:tblPrEx>
          <w:tblCellMar>
            <w:top w:w="0" w:type="dxa"/>
            <w:left w:w="0" w:type="dxa"/>
            <w:bottom w:w="0" w:type="dxa"/>
            <w:right w:w="0" w:type="dxa"/>
          </w:tblCellMar>
        </w:tblPrEx>
        <w:trPr>
          <w:trHeight w:val="1050" w:hRule="atLeast"/>
        </w:trPr>
        <w:tc>
          <w:tcPr>
            <w:tcW w:w="836" w:type="dxa"/>
            <w:vMerge w:val="continue"/>
            <w:tcBorders>
              <w:top w:val="single" w:color="000000" w:sz="4" w:space="0"/>
              <w:left w:val="single" w:color="000000" w:sz="4" w:space="0"/>
              <w:bottom w:val="single" w:color="000000" w:sz="4" w:space="0"/>
              <w:right w:val="single" w:color="000000" w:sz="4" w:space="0"/>
            </w:tcBorders>
            <w:vAlign w:val="center"/>
          </w:tcPr>
          <w:p w14:paraId="44706D9A">
            <w:pPr>
              <w:widowControl/>
              <w:ind w:firstLine="480"/>
              <w:jc w:val="left"/>
              <w:rPr>
                <w:rFonts w:ascii="仿宋_GB2312" w:eastAsia="仿宋_GB2312" w:cs="宋体"/>
                <w:sz w:val="24"/>
              </w:rPr>
            </w:pPr>
          </w:p>
        </w:tc>
        <w:tc>
          <w:tcPr>
            <w:tcW w:w="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45E688">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满意度指标</w:t>
            </w:r>
          </w:p>
        </w:tc>
        <w:tc>
          <w:tcPr>
            <w:tcW w:w="9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41C4A8">
            <w:pPr>
              <w:widowControl/>
              <w:ind w:firstLine="480"/>
              <w:textAlignment w:val="center"/>
              <w:rPr>
                <w:rFonts w:ascii="仿宋_GB2312" w:eastAsia="仿宋_GB2312" w:cs="宋体"/>
                <w:sz w:val="24"/>
              </w:rPr>
            </w:pPr>
            <w:r>
              <w:rPr>
                <w:rFonts w:hint="eastAsia" w:ascii="仿宋_GB2312" w:eastAsia="仿宋_GB2312" w:cs="宋体"/>
                <w:sz w:val="24"/>
              </w:rPr>
              <w:t>受益群众满意度</w:t>
            </w:r>
          </w:p>
        </w:tc>
        <w:tc>
          <w:tcPr>
            <w:tcW w:w="184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5F8DB5">
            <w:pPr>
              <w:widowControl/>
              <w:ind w:firstLine="480"/>
              <w:textAlignment w:val="center"/>
              <w:rPr>
                <w:rFonts w:ascii="仿宋_GB2312" w:eastAsia="仿宋_GB2312" w:cs="宋体"/>
                <w:sz w:val="24"/>
              </w:rPr>
            </w:pPr>
            <w:r>
              <w:rPr>
                <w:rFonts w:hint="eastAsia" w:ascii="仿宋_GB2312" w:eastAsia="仿宋_GB2312" w:cs="宋体"/>
                <w:sz w:val="24"/>
              </w:rPr>
              <w:t>受益群众满意率</w:t>
            </w:r>
          </w:p>
        </w:tc>
        <w:tc>
          <w:tcPr>
            <w:tcW w:w="198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ACDB0B">
            <w:pPr>
              <w:widowControl/>
              <w:ind w:firstLine="480"/>
              <w:jc w:val="center"/>
              <w:textAlignment w:val="center"/>
              <w:rPr>
                <w:rFonts w:ascii="仿宋_GB2312" w:eastAsia="仿宋_GB2312" w:cs="宋体"/>
                <w:sz w:val="24"/>
              </w:rPr>
            </w:pPr>
            <w:r>
              <w:rPr>
                <w:rFonts w:hint="eastAsia" w:ascii="仿宋_GB2312" w:eastAsia="仿宋_GB2312" w:cs="宋体"/>
                <w:sz w:val="24"/>
              </w:rPr>
              <w:t>95%及以上</w:t>
            </w:r>
          </w:p>
        </w:tc>
        <w:tc>
          <w:tcPr>
            <w:tcW w:w="229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399DB8">
            <w:pPr>
              <w:widowControl/>
              <w:ind w:firstLine="480"/>
              <w:jc w:val="center"/>
              <w:textAlignment w:val="center"/>
              <w:rPr>
                <w:rFonts w:ascii="仿宋_GB2312" w:eastAsia="仿宋_GB2312" w:cs="宋体"/>
                <w:sz w:val="24"/>
              </w:rPr>
            </w:pPr>
            <w:r>
              <w:rPr>
                <w:rFonts w:hint="eastAsia" w:ascii="仿宋_GB2312" w:eastAsia="仿宋_GB2312" w:cs="宋体"/>
                <w:sz w:val="24"/>
              </w:rPr>
              <w:t>95%及以上</w:t>
            </w:r>
          </w:p>
        </w:tc>
      </w:tr>
    </w:tbl>
    <w:p w14:paraId="32BF17B3">
      <w:pPr>
        <w:tabs>
          <w:tab w:val="left" w:pos="312"/>
        </w:tabs>
        <w:spacing w:line="580" w:lineRule="exact"/>
        <w:ind w:firstLine="480" w:firstLineChars="150"/>
        <w:rPr>
          <w:rFonts w:ascii="仿宋_GB2312" w:hAnsi="仿宋_GB2312" w:eastAsia="仿宋_GB2312" w:cs="仿宋_GB2312"/>
        </w:rPr>
      </w:pPr>
    </w:p>
    <w:p w14:paraId="1C6EA6E2">
      <w:pPr>
        <w:tabs>
          <w:tab w:val="left" w:pos="312"/>
        </w:tabs>
        <w:spacing w:line="580" w:lineRule="exact"/>
        <w:ind w:firstLine="480" w:firstLineChars="150"/>
        <w:rPr>
          <w:rFonts w:ascii="仿宋_GB2312" w:hAnsi="仿宋_GB2312" w:eastAsia="仿宋_GB2312" w:cs="仿宋_GB2312"/>
        </w:rPr>
      </w:pPr>
      <w:r>
        <w:rPr>
          <w:rFonts w:hint="eastAsia" w:ascii="仿宋_GB2312" w:hAnsi="仿宋_GB2312" w:eastAsia="仿宋_GB2312" w:cs="仿宋_GB2312"/>
        </w:rPr>
        <w:t>（5）“劳务派遣用工人员工资”项目绩效目标完成情况综述。项目全年预算数22.52万元，执行数为22.52万元，完成预算的100</w:t>
      </w:r>
      <w:r>
        <w:rPr>
          <w:rFonts w:ascii="仿宋_GB2312" w:hAnsi="仿宋_GB2312" w:eastAsia="仿宋_GB2312" w:cs="仿宋_GB2312"/>
        </w:rPr>
        <w:t>%</w:t>
      </w:r>
      <w:r>
        <w:rPr>
          <w:rFonts w:hint="eastAsia" w:ascii="仿宋_GB2312" w:hAnsi="仿宋_GB2312" w:eastAsia="仿宋_GB2312" w:cs="仿宋_GB2312"/>
        </w:rPr>
        <w:t>。通过项目实施，对</w:t>
      </w:r>
      <w:r>
        <w:rPr>
          <w:rFonts w:hint="eastAsia" w:ascii="仿宋_GB2312" w:eastAsia="仿宋_GB2312" w:cs="宋体"/>
        </w:rPr>
        <w:t>完成城区垃圾清运及填埋场管护工作提供了有力</w:t>
      </w:r>
      <w:r>
        <w:rPr>
          <w:rFonts w:hint="eastAsia" w:ascii="仿宋_GB2312" w:hAnsi="仿宋_GB2312" w:eastAsia="仿宋_GB2312" w:cs="仿宋_GB2312"/>
        </w:rPr>
        <w:t>保障，发现的主要问题：对于劳务派遣用工人员，因与单位原有人员从事同一工作，但由于劳务报酬解决的经费渠道不同，可能会存在同工不同酬的问题。下一步改进措施：将劳务派遣用工人员除工资以外的相关待遇在劳务派遣合同中进一步予以明确。</w:t>
      </w:r>
    </w:p>
    <w:tbl>
      <w:tblPr>
        <w:tblStyle w:val="9"/>
        <w:tblpPr w:leftFromText="180" w:rightFromText="180" w:vertAnchor="text" w:horzAnchor="page" w:tblpXSpec="center" w:tblpY="423"/>
        <w:tblOverlap w:val="never"/>
        <w:tblW w:w="8662" w:type="dxa"/>
        <w:tblInd w:w="0" w:type="dxa"/>
        <w:tblLayout w:type="fixed"/>
        <w:tblCellMar>
          <w:top w:w="0" w:type="dxa"/>
          <w:left w:w="0" w:type="dxa"/>
          <w:bottom w:w="0" w:type="dxa"/>
          <w:right w:w="0" w:type="dxa"/>
        </w:tblCellMar>
      </w:tblPr>
      <w:tblGrid>
        <w:gridCol w:w="582"/>
        <w:gridCol w:w="1119"/>
        <w:gridCol w:w="1066"/>
        <w:gridCol w:w="1486"/>
        <w:gridCol w:w="2410"/>
        <w:gridCol w:w="141"/>
        <w:gridCol w:w="284"/>
        <w:gridCol w:w="1574"/>
      </w:tblGrid>
      <w:tr w14:paraId="7325B8A8">
        <w:tblPrEx>
          <w:tblCellMar>
            <w:top w:w="0" w:type="dxa"/>
            <w:left w:w="0" w:type="dxa"/>
            <w:bottom w:w="0" w:type="dxa"/>
            <w:right w:w="0" w:type="dxa"/>
          </w:tblCellMar>
        </w:tblPrEx>
        <w:trPr>
          <w:trHeight w:val="1034" w:hRule="atLeast"/>
        </w:trPr>
        <w:tc>
          <w:tcPr>
            <w:tcW w:w="8662" w:type="dxa"/>
            <w:gridSpan w:val="8"/>
            <w:tcMar>
              <w:top w:w="15" w:type="dxa"/>
              <w:left w:w="15" w:type="dxa"/>
              <w:bottom w:w="0" w:type="dxa"/>
              <w:right w:w="15" w:type="dxa"/>
            </w:tcMar>
            <w:vAlign w:val="center"/>
          </w:tcPr>
          <w:p w14:paraId="5D909B9C">
            <w:pPr>
              <w:pStyle w:val="20"/>
              <w:widowControl/>
              <w:ind w:firstLine="777" w:firstLineChars="216"/>
              <w:jc w:val="center"/>
              <w:textAlignment w:val="center"/>
              <w:rPr>
                <w:rFonts w:ascii="仿宋_GB2312" w:eastAsia="仿宋_GB2312" w:cs="宋体"/>
                <w:color w:val="000000"/>
                <w:sz w:val="36"/>
                <w:szCs w:val="36"/>
              </w:rPr>
            </w:pPr>
            <w:r>
              <w:rPr>
                <w:rFonts w:hint="eastAsia" w:ascii="仿宋_GB2312" w:hAnsi="黑体" w:eastAsia="仿宋_GB2312" w:cs="宋体"/>
                <w:bCs/>
                <w:color w:val="000000"/>
                <w:kern w:val="0"/>
                <w:sz w:val="36"/>
                <w:szCs w:val="36"/>
              </w:rPr>
              <w:t>项目支出绩效目标完成情况表</w:t>
            </w:r>
            <w:r>
              <w:rPr>
                <w:rFonts w:ascii="仿宋_GB2312" w:eastAsia="仿宋_GB2312" w:cs="宋体"/>
                <w:bCs/>
                <w:color w:val="000000"/>
                <w:kern w:val="0"/>
                <w:sz w:val="36"/>
                <w:szCs w:val="36"/>
              </w:rPr>
              <w:br w:type="textWrapping"/>
            </w:r>
            <w:r>
              <w:rPr>
                <w:rFonts w:ascii="仿宋_GB2312" w:hAnsi="宋体" w:eastAsia="仿宋_GB2312" w:cs="宋体"/>
                <w:color w:val="000000"/>
                <w:kern w:val="0"/>
                <w:sz w:val="36"/>
                <w:szCs w:val="36"/>
              </w:rPr>
              <w:t>(20</w:t>
            </w:r>
            <w:r>
              <w:rPr>
                <w:rFonts w:hint="eastAsia" w:ascii="仿宋_GB2312" w:hAnsi="宋体" w:eastAsia="仿宋_GB2312" w:cs="宋体"/>
                <w:color w:val="000000"/>
                <w:kern w:val="0"/>
                <w:sz w:val="36"/>
                <w:szCs w:val="36"/>
              </w:rPr>
              <w:t>20年度</w:t>
            </w:r>
            <w:r>
              <w:rPr>
                <w:rFonts w:ascii="仿宋_GB2312" w:hAnsi="宋体" w:eastAsia="仿宋_GB2312" w:cs="宋体"/>
                <w:color w:val="000000"/>
                <w:kern w:val="0"/>
                <w:sz w:val="36"/>
                <w:szCs w:val="36"/>
              </w:rPr>
              <w:t>)</w:t>
            </w:r>
          </w:p>
        </w:tc>
      </w:tr>
      <w:tr w14:paraId="0C114F37">
        <w:tblPrEx>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765381">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项目名称</w:t>
            </w:r>
          </w:p>
        </w:tc>
        <w:tc>
          <w:tcPr>
            <w:tcW w:w="5895"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1B42B1">
            <w:pPr>
              <w:widowControl/>
              <w:ind w:firstLine="480"/>
              <w:jc w:val="center"/>
              <w:textAlignment w:val="center"/>
              <w:rPr>
                <w:rFonts w:ascii="仿宋_GB2312" w:eastAsia="仿宋_GB2312" w:cs="宋体"/>
                <w:sz w:val="24"/>
              </w:rPr>
            </w:pPr>
            <w:r>
              <w:rPr>
                <w:rFonts w:hint="eastAsia" w:ascii="仿宋_GB2312" w:eastAsia="仿宋_GB2312" w:cs="宋体"/>
                <w:sz w:val="24"/>
              </w:rPr>
              <w:t>劳务派遣用工人员工资</w:t>
            </w:r>
          </w:p>
        </w:tc>
      </w:tr>
      <w:tr w14:paraId="1417ABA2">
        <w:tblPrEx>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9A3786">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预算单位</w:t>
            </w:r>
          </w:p>
        </w:tc>
        <w:tc>
          <w:tcPr>
            <w:tcW w:w="5895"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29B66C">
            <w:pPr>
              <w:widowControl/>
              <w:ind w:firstLine="480"/>
              <w:jc w:val="center"/>
              <w:textAlignment w:val="center"/>
              <w:rPr>
                <w:rFonts w:ascii="仿宋_GB2312" w:eastAsia="仿宋_GB2312" w:cs="宋体"/>
                <w:sz w:val="24"/>
              </w:rPr>
            </w:pPr>
            <w:r>
              <w:rPr>
                <w:rFonts w:hint="eastAsia" w:ascii="仿宋_GB2312" w:eastAsia="仿宋_GB2312" w:cs="宋体"/>
                <w:sz w:val="24"/>
              </w:rPr>
              <w:t>米易县综合行政执法局</w:t>
            </w:r>
          </w:p>
        </w:tc>
      </w:tr>
      <w:tr w14:paraId="182F5A50">
        <w:tblPrEx>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0D774A">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预算执行情况</w:t>
            </w:r>
            <w:r>
              <w:rPr>
                <w:rFonts w:ascii="仿宋_GB2312" w:hAnsi="宋体" w:eastAsia="仿宋_GB2312" w:cs="宋体"/>
                <w:kern w:val="0"/>
                <w:sz w:val="24"/>
              </w:rPr>
              <w:t>(</w:t>
            </w:r>
            <w:r>
              <w:rPr>
                <w:rFonts w:hint="eastAsia" w:ascii="仿宋_GB2312" w:hAnsi="宋体" w:eastAsia="仿宋_GB2312" w:cs="宋体"/>
                <w:kern w:val="0"/>
                <w:sz w:val="24"/>
              </w:rPr>
              <w:t>万元</w:t>
            </w:r>
            <w:r>
              <w:rPr>
                <w:rFonts w:ascii="仿宋_GB2312" w:hAnsi="宋体" w:eastAsia="仿宋_GB2312" w:cs="宋体"/>
                <w:kern w:val="0"/>
                <w:sz w:val="24"/>
              </w:rPr>
              <w:t>)</w:t>
            </w:r>
          </w:p>
        </w:tc>
        <w:tc>
          <w:tcPr>
            <w:tcW w:w="218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654970">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预算数</w:t>
            </w:r>
            <w:r>
              <w:rPr>
                <w:rFonts w:ascii="仿宋_GB2312" w:hAnsi="宋体" w:eastAsia="仿宋_GB2312" w:cs="宋体"/>
                <w:kern w:val="0"/>
                <w:sz w:val="24"/>
              </w:rPr>
              <w:t>:</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0651B2">
            <w:pPr>
              <w:widowControl/>
              <w:ind w:firstLine="480"/>
              <w:jc w:val="center"/>
              <w:textAlignment w:val="center"/>
              <w:rPr>
                <w:rFonts w:ascii="仿宋_GB2312" w:eastAsia="仿宋_GB2312" w:cs="宋体"/>
                <w:sz w:val="24"/>
              </w:rPr>
            </w:pPr>
            <w:r>
              <w:rPr>
                <w:rFonts w:hint="eastAsia" w:ascii="仿宋_GB2312" w:eastAsia="仿宋_GB2312" w:cs="宋体"/>
                <w:sz w:val="24"/>
              </w:rPr>
              <w:t>22.52万元</w:t>
            </w:r>
          </w:p>
        </w:tc>
        <w:tc>
          <w:tcPr>
            <w:tcW w:w="28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401BDD">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执行数</w:t>
            </w:r>
            <w:r>
              <w:rPr>
                <w:rFonts w:ascii="仿宋_GB2312" w:hAnsi="宋体" w:eastAsia="仿宋_GB2312" w:cs="宋体"/>
                <w:kern w:val="0"/>
                <w:sz w:val="24"/>
              </w:rPr>
              <w:t>:</w:t>
            </w:r>
          </w:p>
        </w:tc>
        <w:tc>
          <w:tcPr>
            <w:tcW w:w="15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3AB117">
            <w:pPr>
              <w:widowControl/>
              <w:ind w:firstLine="480"/>
              <w:jc w:val="center"/>
              <w:textAlignment w:val="center"/>
              <w:rPr>
                <w:rFonts w:ascii="仿宋_GB2312" w:eastAsia="仿宋_GB2312" w:cs="宋体"/>
                <w:sz w:val="24"/>
              </w:rPr>
            </w:pPr>
            <w:r>
              <w:rPr>
                <w:rFonts w:hint="eastAsia" w:ascii="仿宋_GB2312" w:eastAsia="仿宋_GB2312" w:cs="宋体"/>
                <w:sz w:val="24"/>
              </w:rPr>
              <w:t>22.52万元</w:t>
            </w:r>
          </w:p>
        </w:tc>
      </w:tr>
      <w:tr w14:paraId="52C593C6">
        <w:tblPrEx>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1FADD4EE">
            <w:pPr>
              <w:widowControl/>
              <w:ind w:firstLine="480"/>
              <w:jc w:val="left"/>
              <w:rPr>
                <w:rFonts w:ascii="仿宋_GB2312" w:eastAsia="仿宋_GB2312" w:cs="宋体"/>
                <w:sz w:val="24"/>
              </w:rPr>
            </w:pPr>
          </w:p>
        </w:tc>
        <w:tc>
          <w:tcPr>
            <w:tcW w:w="218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08238D">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其中</w:t>
            </w:r>
            <w:r>
              <w:rPr>
                <w:rFonts w:ascii="仿宋_GB2312" w:eastAsia="仿宋_GB2312" w:cs="宋体"/>
                <w:kern w:val="0"/>
                <w:sz w:val="24"/>
              </w:rPr>
              <w:t>-</w:t>
            </w:r>
            <w:r>
              <w:rPr>
                <w:rFonts w:hint="eastAsia" w:ascii="仿宋_GB2312" w:hAnsi="宋体" w:eastAsia="仿宋_GB2312" w:cs="宋体"/>
                <w:kern w:val="0"/>
                <w:sz w:val="24"/>
              </w:rPr>
              <w:t>财政拨款</w:t>
            </w:r>
            <w:r>
              <w:rPr>
                <w:rFonts w:ascii="仿宋_GB2312" w:hAnsi="宋体" w:eastAsia="仿宋_GB2312" w:cs="宋体"/>
                <w:kern w:val="0"/>
                <w:sz w:val="24"/>
              </w:rPr>
              <w:t>:</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4C1311">
            <w:pPr>
              <w:widowControl/>
              <w:ind w:firstLine="480"/>
              <w:jc w:val="center"/>
              <w:textAlignment w:val="center"/>
              <w:rPr>
                <w:rFonts w:ascii="仿宋_GB2312" w:eastAsia="仿宋_GB2312" w:cs="宋体"/>
                <w:sz w:val="24"/>
              </w:rPr>
            </w:pPr>
            <w:r>
              <w:rPr>
                <w:rFonts w:hint="eastAsia" w:ascii="仿宋_GB2312" w:eastAsia="仿宋_GB2312" w:cs="宋体"/>
                <w:sz w:val="24"/>
              </w:rPr>
              <w:t>22.52万元</w:t>
            </w:r>
          </w:p>
        </w:tc>
        <w:tc>
          <w:tcPr>
            <w:tcW w:w="28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87A03B">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其中</w:t>
            </w:r>
            <w:r>
              <w:rPr>
                <w:rFonts w:ascii="仿宋_GB2312" w:eastAsia="仿宋_GB2312" w:cs="宋体"/>
                <w:kern w:val="0"/>
                <w:sz w:val="24"/>
              </w:rPr>
              <w:t>-</w:t>
            </w:r>
            <w:r>
              <w:rPr>
                <w:rFonts w:hint="eastAsia" w:ascii="仿宋_GB2312" w:hAnsi="宋体" w:eastAsia="仿宋_GB2312" w:cs="宋体"/>
                <w:kern w:val="0"/>
                <w:sz w:val="24"/>
              </w:rPr>
              <w:t>财政拨款</w:t>
            </w:r>
            <w:r>
              <w:rPr>
                <w:rFonts w:ascii="仿宋_GB2312" w:hAnsi="宋体" w:eastAsia="仿宋_GB2312" w:cs="宋体"/>
                <w:kern w:val="0"/>
                <w:sz w:val="24"/>
              </w:rPr>
              <w:t>:</w:t>
            </w:r>
          </w:p>
        </w:tc>
        <w:tc>
          <w:tcPr>
            <w:tcW w:w="157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A5986E">
            <w:pPr>
              <w:widowControl/>
              <w:ind w:firstLine="480"/>
              <w:jc w:val="center"/>
              <w:textAlignment w:val="center"/>
              <w:rPr>
                <w:rFonts w:ascii="仿宋_GB2312" w:eastAsia="仿宋_GB2312" w:cs="宋体"/>
                <w:sz w:val="24"/>
              </w:rPr>
            </w:pPr>
            <w:r>
              <w:rPr>
                <w:rFonts w:hint="eastAsia" w:ascii="仿宋_GB2312" w:eastAsia="仿宋_GB2312" w:cs="宋体"/>
                <w:sz w:val="24"/>
              </w:rPr>
              <w:t>22.52万元</w:t>
            </w:r>
          </w:p>
        </w:tc>
      </w:tr>
      <w:tr w14:paraId="5FF44F9A">
        <w:tblPrEx>
          <w:tblCellMar>
            <w:top w:w="0" w:type="dxa"/>
            <w:left w:w="0" w:type="dxa"/>
            <w:bottom w:w="0" w:type="dxa"/>
            <w:right w:w="0" w:type="dxa"/>
          </w:tblCellMar>
        </w:tblPrEx>
        <w:trPr>
          <w:trHeight w:val="1511"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5218A8CF">
            <w:pPr>
              <w:widowControl/>
              <w:ind w:firstLine="480"/>
              <w:jc w:val="left"/>
              <w:rPr>
                <w:rFonts w:ascii="仿宋_GB2312" w:eastAsia="仿宋_GB2312" w:cs="宋体"/>
                <w:sz w:val="24"/>
              </w:rPr>
            </w:pPr>
          </w:p>
        </w:tc>
        <w:tc>
          <w:tcPr>
            <w:tcW w:w="218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2E2F73">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其它资金</w:t>
            </w:r>
            <w:r>
              <w:rPr>
                <w:rFonts w:ascii="仿宋_GB2312" w:hAnsi="宋体" w:eastAsia="仿宋_GB2312" w:cs="宋体"/>
                <w:kern w:val="0"/>
                <w:sz w:val="24"/>
              </w:rPr>
              <w:t>:</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C28575">
            <w:pPr>
              <w:widowControl/>
              <w:ind w:firstLine="480"/>
              <w:jc w:val="center"/>
              <w:textAlignment w:val="center"/>
              <w:rPr>
                <w:rFonts w:ascii="仿宋_GB2312" w:eastAsia="仿宋_GB2312" w:cs="宋体"/>
                <w:sz w:val="24"/>
              </w:rPr>
            </w:pPr>
            <w:r>
              <w:rPr>
                <w:rFonts w:ascii="仿宋_GB2312" w:eastAsia="仿宋_GB2312" w:cs="宋体"/>
                <w:kern w:val="0"/>
                <w:sz w:val="24"/>
              </w:rPr>
              <w:t>0</w:t>
            </w:r>
          </w:p>
        </w:tc>
        <w:tc>
          <w:tcPr>
            <w:tcW w:w="255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E59481">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其它资金</w:t>
            </w:r>
            <w:r>
              <w:rPr>
                <w:rFonts w:ascii="仿宋_GB2312" w:hAnsi="宋体" w:eastAsia="仿宋_GB2312" w:cs="宋体"/>
                <w:kern w:val="0"/>
                <w:sz w:val="24"/>
              </w:rPr>
              <w:t>:</w:t>
            </w:r>
          </w:p>
        </w:tc>
        <w:tc>
          <w:tcPr>
            <w:tcW w:w="185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966BC1">
            <w:pPr>
              <w:ind w:firstLine="480"/>
              <w:jc w:val="center"/>
              <w:rPr>
                <w:rFonts w:ascii="仿宋_GB2312" w:eastAsia="仿宋_GB2312" w:cs="宋体"/>
                <w:sz w:val="24"/>
              </w:rPr>
            </w:pPr>
            <w:r>
              <w:rPr>
                <w:rFonts w:hint="eastAsia" w:ascii="仿宋_GB2312" w:eastAsia="仿宋_GB2312" w:cs="宋体"/>
                <w:sz w:val="24"/>
              </w:rPr>
              <w:t>0</w:t>
            </w:r>
          </w:p>
        </w:tc>
      </w:tr>
      <w:tr w14:paraId="140BAF7D">
        <w:tblPrEx>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4FF147">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年度目标完成情况</w:t>
            </w:r>
          </w:p>
        </w:tc>
        <w:tc>
          <w:tcPr>
            <w:tcW w:w="367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B76E69">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预期目标</w:t>
            </w:r>
          </w:p>
        </w:tc>
        <w:tc>
          <w:tcPr>
            <w:tcW w:w="440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DD7D1B">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实际完成目标</w:t>
            </w:r>
          </w:p>
        </w:tc>
      </w:tr>
      <w:tr w14:paraId="5F810F06">
        <w:tblPrEx>
          <w:tblCellMar>
            <w:top w:w="0" w:type="dxa"/>
            <w:left w:w="0" w:type="dxa"/>
            <w:bottom w:w="0" w:type="dxa"/>
            <w:right w:w="0" w:type="dxa"/>
          </w:tblCellMar>
        </w:tblPrEx>
        <w:trPr>
          <w:trHeight w:val="1159"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133CA6A6">
            <w:pPr>
              <w:widowControl/>
              <w:ind w:firstLine="480"/>
              <w:jc w:val="left"/>
              <w:rPr>
                <w:rFonts w:ascii="仿宋_GB2312" w:eastAsia="仿宋_GB2312" w:cs="宋体"/>
                <w:sz w:val="24"/>
              </w:rPr>
            </w:pPr>
          </w:p>
        </w:tc>
        <w:tc>
          <w:tcPr>
            <w:tcW w:w="367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E96A08">
            <w:pPr>
              <w:widowControl/>
              <w:ind w:firstLine="480"/>
              <w:jc w:val="center"/>
              <w:textAlignment w:val="center"/>
              <w:rPr>
                <w:rFonts w:ascii="仿宋_GB2312" w:eastAsia="仿宋_GB2312" w:cs="宋体"/>
                <w:sz w:val="24"/>
              </w:rPr>
            </w:pPr>
            <w:r>
              <w:rPr>
                <w:rFonts w:hint="eastAsia" w:ascii="仿宋_GB2312" w:eastAsia="仿宋_GB2312" w:cs="宋体"/>
                <w:sz w:val="24"/>
              </w:rPr>
              <w:t>保证垃圾清运工作正常开展</w:t>
            </w:r>
          </w:p>
        </w:tc>
        <w:tc>
          <w:tcPr>
            <w:tcW w:w="440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3D14D1">
            <w:pPr>
              <w:widowControl/>
              <w:ind w:firstLine="480"/>
              <w:jc w:val="center"/>
              <w:textAlignment w:val="center"/>
              <w:rPr>
                <w:rFonts w:ascii="仿宋_GB2312" w:eastAsia="仿宋_GB2312" w:cs="宋体"/>
                <w:sz w:val="24"/>
              </w:rPr>
            </w:pPr>
            <w:r>
              <w:rPr>
                <w:rFonts w:hint="eastAsia" w:ascii="仿宋_GB2312" w:eastAsia="仿宋_GB2312" w:cs="宋体"/>
                <w:sz w:val="24"/>
              </w:rPr>
              <w:t>保证垃圾清运工作正常开展</w:t>
            </w:r>
          </w:p>
        </w:tc>
      </w:tr>
      <w:tr w14:paraId="4D925549">
        <w:tblPrEx>
          <w:tblCellMar>
            <w:top w:w="0" w:type="dxa"/>
            <w:left w:w="0" w:type="dxa"/>
            <w:bottom w:w="0" w:type="dxa"/>
            <w:right w:w="0" w:type="dxa"/>
          </w:tblCellMar>
        </w:tblPrEx>
        <w:trPr>
          <w:trHeight w:val="1042"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81FE32">
            <w:pPr>
              <w:widowControl/>
              <w:ind w:firstLine="480"/>
              <w:jc w:val="center"/>
              <w:textAlignment w:val="center"/>
              <w:rPr>
                <w:rFonts w:ascii="仿宋_GB2312" w:eastAsia="仿宋_GB2312" w:cs="宋体"/>
                <w:sz w:val="24"/>
              </w:rPr>
            </w:pPr>
            <w:r>
              <w:rPr>
                <w:rFonts w:hint="eastAsia" w:ascii="仿宋_GB2312" w:hAnsi="宋体" w:eastAsia="仿宋_GB2312" w:cs="宋体"/>
                <w:sz w:val="24"/>
              </w:rPr>
              <w:t>绩效指标完成情况</w:t>
            </w: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BD24E8">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一级指标</w:t>
            </w:r>
          </w:p>
        </w:tc>
        <w:tc>
          <w:tcPr>
            <w:tcW w:w="10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29CDA3">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二级指标</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8E2052">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三级指标</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AC4C03">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预期指标值</w:t>
            </w:r>
            <w:r>
              <w:rPr>
                <w:rFonts w:ascii="仿宋_GB2312" w:hAnsi="宋体" w:eastAsia="仿宋_GB2312" w:cs="宋体"/>
                <w:kern w:val="0"/>
                <w:sz w:val="24"/>
              </w:rPr>
              <w:t>(</w:t>
            </w:r>
            <w:r>
              <w:rPr>
                <w:rFonts w:hint="eastAsia" w:ascii="仿宋_GB2312" w:hAnsi="宋体" w:eastAsia="仿宋_GB2312" w:cs="宋体"/>
                <w:kern w:val="0"/>
                <w:sz w:val="24"/>
              </w:rPr>
              <w:t>包含数字及文字描述</w:t>
            </w:r>
            <w:r>
              <w:rPr>
                <w:rFonts w:ascii="仿宋_GB2312" w:hAnsi="宋体" w:eastAsia="仿宋_GB2312" w:cs="宋体"/>
                <w:kern w:val="0"/>
                <w:sz w:val="24"/>
              </w:rPr>
              <w:t>)</w:t>
            </w:r>
          </w:p>
        </w:tc>
        <w:tc>
          <w:tcPr>
            <w:tcW w:w="19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098777">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实际完成指标值</w:t>
            </w:r>
            <w:r>
              <w:rPr>
                <w:rFonts w:ascii="仿宋_GB2312" w:hAnsi="宋体" w:eastAsia="仿宋_GB2312" w:cs="宋体"/>
                <w:kern w:val="0"/>
                <w:sz w:val="24"/>
              </w:rPr>
              <w:t>(</w:t>
            </w:r>
            <w:r>
              <w:rPr>
                <w:rFonts w:hint="eastAsia" w:ascii="仿宋_GB2312" w:hAnsi="宋体" w:eastAsia="仿宋_GB2312" w:cs="宋体"/>
                <w:kern w:val="0"/>
                <w:sz w:val="24"/>
              </w:rPr>
              <w:t>包含数字及文字描述</w:t>
            </w:r>
            <w:r>
              <w:rPr>
                <w:rFonts w:ascii="仿宋_GB2312" w:hAnsi="宋体" w:eastAsia="仿宋_GB2312" w:cs="宋体"/>
                <w:kern w:val="0"/>
                <w:sz w:val="24"/>
              </w:rPr>
              <w:t>)</w:t>
            </w:r>
          </w:p>
        </w:tc>
      </w:tr>
      <w:tr w14:paraId="6BDA7AEC">
        <w:tblPrEx>
          <w:tblCellMar>
            <w:top w:w="0" w:type="dxa"/>
            <w:left w:w="0" w:type="dxa"/>
            <w:bottom w:w="0" w:type="dxa"/>
            <w:right w:w="0" w:type="dxa"/>
          </w:tblCellMar>
        </w:tblPrEx>
        <w:trPr>
          <w:trHeight w:val="953"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0C01A24A">
            <w:pPr>
              <w:widowControl/>
              <w:ind w:firstLine="480"/>
              <w:jc w:val="left"/>
              <w:rPr>
                <w:rFonts w:ascii="仿宋_GB2312" w:eastAsia="仿宋_GB2312" w:cs="宋体"/>
                <w:sz w:val="24"/>
              </w:rPr>
            </w:pP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18426E">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10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B2E407">
            <w:pPr>
              <w:widowControl/>
              <w:ind w:firstLine="480"/>
              <w:jc w:val="center"/>
              <w:textAlignment w:val="center"/>
              <w:rPr>
                <w:rFonts w:ascii="仿宋_GB2312" w:eastAsia="仿宋_GB2312" w:cs="宋体"/>
                <w:sz w:val="24"/>
              </w:rPr>
            </w:pPr>
            <w:r>
              <w:rPr>
                <w:rFonts w:hint="eastAsia" w:ascii="仿宋_GB2312" w:eastAsia="仿宋_GB2312" w:cs="宋体"/>
                <w:sz w:val="24"/>
              </w:rPr>
              <w:t>数量指标</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8AC0E1">
            <w:pPr>
              <w:widowControl/>
              <w:ind w:firstLine="480"/>
              <w:jc w:val="center"/>
              <w:textAlignment w:val="center"/>
              <w:rPr>
                <w:rFonts w:ascii="仿宋_GB2312" w:eastAsia="仿宋_GB2312" w:cs="宋体"/>
                <w:sz w:val="24"/>
              </w:rPr>
            </w:pPr>
            <w:r>
              <w:rPr>
                <w:rFonts w:hint="eastAsia" w:ascii="仿宋_GB2312" w:eastAsia="仿宋_GB2312" w:cs="宋体"/>
                <w:sz w:val="24"/>
              </w:rPr>
              <w:t>劳务派遣人员</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816F77">
            <w:pPr>
              <w:widowControl/>
              <w:ind w:firstLine="480"/>
              <w:jc w:val="center"/>
              <w:textAlignment w:val="center"/>
              <w:rPr>
                <w:rFonts w:ascii="仿宋_GB2312" w:eastAsia="仿宋_GB2312" w:cs="宋体"/>
                <w:sz w:val="24"/>
              </w:rPr>
            </w:pPr>
            <w:r>
              <w:rPr>
                <w:rFonts w:hint="eastAsia" w:ascii="仿宋_GB2312" w:eastAsia="仿宋_GB2312" w:cs="宋体"/>
                <w:sz w:val="24"/>
              </w:rPr>
              <w:t>6人</w:t>
            </w:r>
          </w:p>
        </w:tc>
        <w:tc>
          <w:tcPr>
            <w:tcW w:w="19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8220FD">
            <w:pPr>
              <w:widowControl/>
              <w:ind w:firstLine="480"/>
              <w:jc w:val="center"/>
              <w:textAlignment w:val="center"/>
              <w:rPr>
                <w:rFonts w:ascii="仿宋_GB2312" w:eastAsia="仿宋_GB2312" w:cs="宋体"/>
                <w:sz w:val="24"/>
              </w:rPr>
            </w:pPr>
            <w:r>
              <w:rPr>
                <w:rFonts w:hint="eastAsia" w:ascii="仿宋_GB2312" w:eastAsia="仿宋_GB2312" w:cs="宋体"/>
                <w:sz w:val="24"/>
              </w:rPr>
              <w:t>6人</w:t>
            </w:r>
          </w:p>
        </w:tc>
      </w:tr>
      <w:tr w14:paraId="73F10B54">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5361048C">
            <w:pPr>
              <w:widowControl/>
              <w:ind w:firstLine="480"/>
              <w:jc w:val="left"/>
              <w:rPr>
                <w:rFonts w:ascii="仿宋_GB2312" w:eastAsia="仿宋_GB2312" w:cs="宋体"/>
                <w:sz w:val="24"/>
              </w:rPr>
            </w:pP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D4FA7B">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10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3EB61D">
            <w:pPr>
              <w:widowControl/>
              <w:ind w:firstLine="480"/>
              <w:jc w:val="center"/>
              <w:textAlignment w:val="center"/>
              <w:rPr>
                <w:rFonts w:ascii="仿宋_GB2312" w:eastAsia="仿宋_GB2312" w:cs="宋体"/>
                <w:sz w:val="24"/>
              </w:rPr>
            </w:pPr>
            <w:r>
              <w:rPr>
                <w:rFonts w:hint="eastAsia" w:ascii="仿宋_GB2312" w:eastAsia="仿宋_GB2312" w:cs="宋体"/>
                <w:sz w:val="24"/>
              </w:rPr>
              <w:t>质量指标</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C0A753">
            <w:pPr>
              <w:widowControl/>
              <w:ind w:firstLine="480"/>
              <w:jc w:val="center"/>
              <w:textAlignment w:val="center"/>
              <w:rPr>
                <w:rFonts w:ascii="仿宋_GB2312" w:eastAsia="仿宋_GB2312" w:cs="宋体"/>
                <w:sz w:val="24"/>
              </w:rPr>
            </w:pPr>
            <w:r>
              <w:rPr>
                <w:rFonts w:hint="eastAsia" w:ascii="仿宋_GB2312" w:eastAsia="仿宋_GB2312" w:cs="宋体"/>
                <w:sz w:val="24"/>
              </w:rPr>
              <w:t>18769元/6人/月</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456338">
            <w:pPr>
              <w:widowControl/>
              <w:ind w:firstLine="480"/>
              <w:jc w:val="center"/>
              <w:textAlignment w:val="center"/>
              <w:rPr>
                <w:rFonts w:ascii="仿宋_GB2312" w:eastAsia="仿宋_GB2312" w:cs="宋体"/>
                <w:sz w:val="24"/>
              </w:rPr>
            </w:pPr>
            <w:r>
              <w:rPr>
                <w:rFonts w:hint="eastAsia" w:ascii="仿宋_GB2312" w:eastAsia="仿宋_GB2312" w:cs="宋体"/>
                <w:sz w:val="24"/>
              </w:rPr>
              <w:t>保证垃圾清运工作正常开展</w:t>
            </w:r>
          </w:p>
        </w:tc>
        <w:tc>
          <w:tcPr>
            <w:tcW w:w="19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C8440B">
            <w:pPr>
              <w:widowControl/>
              <w:ind w:firstLine="480"/>
              <w:jc w:val="center"/>
              <w:textAlignment w:val="center"/>
              <w:rPr>
                <w:rFonts w:ascii="仿宋_GB2312" w:eastAsia="仿宋_GB2312" w:cs="宋体"/>
                <w:sz w:val="24"/>
              </w:rPr>
            </w:pPr>
            <w:r>
              <w:rPr>
                <w:rFonts w:hint="eastAsia" w:ascii="仿宋_GB2312" w:eastAsia="仿宋_GB2312" w:cs="宋体"/>
                <w:sz w:val="24"/>
              </w:rPr>
              <w:t>完成城区垃圾清运及填埋场管管护工作</w:t>
            </w:r>
          </w:p>
        </w:tc>
      </w:tr>
      <w:tr w14:paraId="36570A25">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194FFD3B">
            <w:pPr>
              <w:widowControl/>
              <w:ind w:firstLine="480"/>
              <w:jc w:val="left"/>
              <w:rPr>
                <w:rFonts w:ascii="仿宋_GB2312" w:eastAsia="仿宋_GB2312" w:cs="宋体"/>
                <w:sz w:val="24"/>
              </w:rPr>
            </w:pP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1A55B0">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项目完成指标</w:t>
            </w:r>
          </w:p>
        </w:tc>
        <w:tc>
          <w:tcPr>
            <w:tcW w:w="10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83664E">
            <w:pPr>
              <w:widowControl/>
              <w:ind w:firstLine="480"/>
              <w:jc w:val="center"/>
              <w:textAlignment w:val="center"/>
              <w:rPr>
                <w:rFonts w:ascii="仿宋_GB2312" w:eastAsia="仿宋_GB2312" w:cs="宋体"/>
                <w:sz w:val="24"/>
              </w:rPr>
            </w:pPr>
            <w:r>
              <w:rPr>
                <w:rFonts w:hint="eastAsia" w:ascii="仿宋_GB2312" w:eastAsia="仿宋_GB2312" w:cs="宋体"/>
                <w:sz w:val="24"/>
              </w:rPr>
              <w:t>时效指标</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31376D">
            <w:pPr>
              <w:widowControl/>
              <w:ind w:firstLine="480"/>
              <w:jc w:val="center"/>
              <w:textAlignment w:val="center"/>
              <w:rPr>
                <w:rFonts w:ascii="仿宋_GB2312" w:eastAsia="仿宋_GB2312" w:cs="宋体"/>
                <w:sz w:val="24"/>
              </w:rPr>
            </w:pPr>
            <w:r>
              <w:rPr>
                <w:rFonts w:hint="eastAsia" w:ascii="仿宋_GB2312" w:eastAsia="仿宋_GB2312" w:cs="宋体"/>
                <w:sz w:val="24"/>
              </w:rPr>
              <w:t>按月支付劳务派遣费用</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C89A66">
            <w:pPr>
              <w:widowControl/>
              <w:ind w:firstLine="480"/>
              <w:jc w:val="center"/>
              <w:textAlignment w:val="center"/>
              <w:rPr>
                <w:rFonts w:ascii="仿宋_GB2312" w:eastAsia="仿宋_GB2312" w:cs="宋体"/>
                <w:sz w:val="24"/>
              </w:rPr>
            </w:pPr>
            <w:r>
              <w:rPr>
                <w:rFonts w:hint="eastAsia" w:ascii="仿宋_GB2312" w:eastAsia="仿宋_GB2312" w:cs="宋体"/>
                <w:sz w:val="24"/>
              </w:rPr>
              <w:t>2020.01-12月（合同期限：2019年9月1日至2021年10月31日）</w:t>
            </w:r>
          </w:p>
        </w:tc>
        <w:tc>
          <w:tcPr>
            <w:tcW w:w="19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861FE0">
            <w:pPr>
              <w:widowControl/>
              <w:ind w:firstLine="480"/>
              <w:jc w:val="center"/>
              <w:textAlignment w:val="center"/>
              <w:rPr>
                <w:rFonts w:ascii="仿宋_GB2312" w:eastAsia="仿宋_GB2312" w:cs="宋体"/>
                <w:sz w:val="24"/>
              </w:rPr>
            </w:pPr>
            <w:r>
              <w:rPr>
                <w:rFonts w:hint="eastAsia" w:ascii="仿宋_GB2312" w:eastAsia="仿宋_GB2312" w:cs="宋体"/>
                <w:sz w:val="24"/>
              </w:rPr>
              <w:t>2020.01-12月（合同期限：2019年9月1日至2021年10月31日）</w:t>
            </w:r>
          </w:p>
        </w:tc>
      </w:tr>
      <w:tr w14:paraId="4C966A81">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2CC58E7F">
            <w:pPr>
              <w:widowControl/>
              <w:ind w:firstLine="480"/>
              <w:jc w:val="left"/>
              <w:rPr>
                <w:rFonts w:ascii="仿宋_GB2312" w:eastAsia="仿宋_GB2312" w:cs="宋体"/>
                <w:sz w:val="24"/>
              </w:rPr>
            </w:pP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B4757F">
            <w:pPr>
              <w:widowControl/>
              <w:ind w:firstLine="480"/>
              <w:jc w:val="center"/>
              <w:textAlignment w:val="center"/>
              <w:rPr>
                <w:rFonts w:ascii="仿宋_GB2312" w:eastAsia="仿宋_GB2312" w:cs="宋体"/>
                <w:kern w:val="0"/>
                <w:sz w:val="24"/>
              </w:rPr>
            </w:pPr>
            <w:r>
              <w:rPr>
                <w:rFonts w:hint="eastAsia" w:ascii="仿宋_GB2312" w:hAnsi="宋体" w:eastAsia="仿宋_GB2312" w:cs="宋体"/>
                <w:kern w:val="0"/>
                <w:sz w:val="24"/>
              </w:rPr>
              <w:t>项目完成指标</w:t>
            </w:r>
          </w:p>
        </w:tc>
        <w:tc>
          <w:tcPr>
            <w:tcW w:w="10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E0C0D2">
            <w:pPr>
              <w:widowControl/>
              <w:ind w:firstLine="480"/>
              <w:jc w:val="center"/>
              <w:textAlignment w:val="center"/>
              <w:rPr>
                <w:rFonts w:ascii="仿宋_GB2312" w:eastAsia="仿宋_GB2312" w:cs="宋体"/>
                <w:sz w:val="24"/>
              </w:rPr>
            </w:pPr>
            <w:r>
              <w:rPr>
                <w:rFonts w:hint="eastAsia" w:ascii="仿宋_GB2312" w:eastAsia="仿宋_GB2312" w:cs="宋体"/>
                <w:sz w:val="24"/>
              </w:rPr>
              <w:t>成本指标</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3E294">
            <w:pPr>
              <w:widowControl/>
              <w:ind w:firstLine="480"/>
              <w:jc w:val="center"/>
              <w:textAlignment w:val="center"/>
              <w:rPr>
                <w:rFonts w:ascii="仿宋_GB2312" w:eastAsia="仿宋_GB2312" w:cs="宋体"/>
                <w:sz w:val="24"/>
              </w:rPr>
            </w:pP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895542">
            <w:pPr>
              <w:widowControl/>
              <w:ind w:firstLine="480"/>
              <w:jc w:val="center"/>
              <w:textAlignment w:val="center"/>
              <w:rPr>
                <w:rFonts w:ascii="仿宋_GB2312" w:eastAsia="仿宋_GB2312" w:cs="宋体"/>
                <w:sz w:val="24"/>
              </w:rPr>
            </w:pPr>
            <w:r>
              <w:rPr>
                <w:rFonts w:hint="eastAsia" w:ascii="仿宋_GB2312" w:eastAsia="仿宋_GB2312" w:cs="宋体"/>
                <w:sz w:val="24"/>
              </w:rPr>
              <w:t>22.52万元</w:t>
            </w:r>
          </w:p>
        </w:tc>
        <w:tc>
          <w:tcPr>
            <w:tcW w:w="19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5972F1">
            <w:pPr>
              <w:widowControl/>
              <w:ind w:firstLine="480"/>
              <w:jc w:val="center"/>
              <w:textAlignment w:val="center"/>
              <w:rPr>
                <w:rFonts w:ascii="仿宋_GB2312" w:eastAsia="仿宋_GB2312" w:cs="宋体"/>
                <w:sz w:val="24"/>
              </w:rPr>
            </w:pPr>
            <w:r>
              <w:rPr>
                <w:rFonts w:hint="eastAsia" w:ascii="仿宋_GB2312" w:eastAsia="仿宋_GB2312" w:cs="宋体"/>
                <w:sz w:val="24"/>
              </w:rPr>
              <w:t>22.52万元</w:t>
            </w:r>
          </w:p>
        </w:tc>
      </w:tr>
      <w:tr w14:paraId="1A8B0EAB">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6BA592F1">
            <w:pPr>
              <w:widowControl/>
              <w:ind w:firstLine="480"/>
              <w:jc w:val="left"/>
              <w:rPr>
                <w:rFonts w:ascii="仿宋_GB2312" w:eastAsia="仿宋_GB2312" w:cs="宋体"/>
                <w:sz w:val="24"/>
              </w:rPr>
            </w:pP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EAB719">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效益指标</w:t>
            </w:r>
          </w:p>
        </w:tc>
        <w:tc>
          <w:tcPr>
            <w:tcW w:w="10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81F847">
            <w:pPr>
              <w:widowControl/>
              <w:ind w:firstLine="480"/>
              <w:jc w:val="center"/>
              <w:textAlignment w:val="center"/>
              <w:rPr>
                <w:rFonts w:ascii="仿宋_GB2312" w:eastAsia="仿宋_GB2312" w:cs="宋体"/>
                <w:sz w:val="24"/>
              </w:rPr>
            </w:pPr>
            <w:r>
              <w:rPr>
                <w:rFonts w:hint="eastAsia" w:ascii="仿宋_GB2312" w:eastAsia="仿宋_GB2312" w:cs="宋体"/>
                <w:sz w:val="24"/>
              </w:rPr>
              <w:t>经济效益指标</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204BE3">
            <w:pPr>
              <w:widowControl/>
              <w:ind w:firstLine="480"/>
              <w:jc w:val="center"/>
              <w:textAlignment w:val="center"/>
              <w:rPr>
                <w:rFonts w:ascii="仿宋_GB2312" w:eastAsia="仿宋_GB2312" w:cs="宋体"/>
                <w:sz w:val="24"/>
              </w:rPr>
            </w:pP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EA2287">
            <w:pPr>
              <w:widowControl/>
              <w:ind w:firstLine="480"/>
              <w:jc w:val="center"/>
              <w:textAlignment w:val="center"/>
              <w:rPr>
                <w:rFonts w:ascii="仿宋_GB2312" w:eastAsia="仿宋_GB2312" w:cs="宋体"/>
                <w:sz w:val="24"/>
              </w:rPr>
            </w:pPr>
            <w:r>
              <w:rPr>
                <w:rFonts w:hint="eastAsia" w:ascii="仿宋_GB2312" w:eastAsia="仿宋_GB2312" w:cs="宋体"/>
                <w:sz w:val="24"/>
              </w:rPr>
              <w:t>促进经效益综合发展</w:t>
            </w:r>
          </w:p>
        </w:tc>
        <w:tc>
          <w:tcPr>
            <w:tcW w:w="19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8E3C2A">
            <w:pPr>
              <w:widowControl/>
              <w:ind w:firstLine="480"/>
              <w:jc w:val="center"/>
              <w:textAlignment w:val="center"/>
              <w:rPr>
                <w:rFonts w:ascii="仿宋_GB2312" w:eastAsia="仿宋_GB2312" w:cs="宋体"/>
                <w:sz w:val="24"/>
              </w:rPr>
            </w:pPr>
            <w:r>
              <w:rPr>
                <w:rFonts w:hint="eastAsia" w:ascii="仿宋_GB2312" w:eastAsia="仿宋_GB2312" w:cs="宋体"/>
                <w:sz w:val="24"/>
              </w:rPr>
              <w:t>促进经效益综合发展</w:t>
            </w:r>
          </w:p>
        </w:tc>
      </w:tr>
      <w:tr w14:paraId="5A923DB9">
        <w:tblPrEx>
          <w:tblCellMar>
            <w:top w:w="0" w:type="dxa"/>
            <w:left w:w="0" w:type="dxa"/>
            <w:bottom w:w="0" w:type="dxa"/>
            <w:right w:w="0" w:type="dxa"/>
          </w:tblCellMar>
        </w:tblPrEx>
        <w:trPr>
          <w:trHeight w:val="1042"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1587E051">
            <w:pPr>
              <w:widowControl/>
              <w:ind w:firstLine="480"/>
              <w:jc w:val="left"/>
              <w:rPr>
                <w:rFonts w:ascii="仿宋_GB2312" w:eastAsia="仿宋_GB2312" w:cs="宋体"/>
                <w:sz w:val="24"/>
              </w:rPr>
            </w:pP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69C1B1">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效益指标</w:t>
            </w:r>
          </w:p>
        </w:tc>
        <w:tc>
          <w:tcPr>
            <w:tcW w:w="10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E0F809">
            <w:pPr>
              <w:widowControl/>
              <w:ind w:firstLine="480"/>
              <w:jc w:val="center"/>
              <w:textAlignment w:val="center"/>
              <w:rPr>
                <w:rFonts w:ascii="仿宋_GB2312" w:eastAsia="仿宋_GB2312" w:cs="宋体"/>
                <w:sz w:val="24"/>
              </w:rPr>
            </w:pPr>
            <w:r>
              <w:rPr>
                <w:rFonts w:hint="eastAsia" w:ascii="仿宋_GB2312" w:eastAsia="仿宋_GB2312" w:cs="宋体"/>
                <w:sz w:val="24"/>
              </w:rPr>
              <w:t>社会效益指标</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F4F2FA">
            <w:pPr>
              <w:widowControl/>
              <w:ind w:firstLine="480"/>
              <w:jc w:val="center"/>
              <w:textAlignment w:val="center"/>
              <w:rPr>
                <w:rFonts w:ascii="仿宋_GB2312" w:eastAsia="仿宋_GB2312" w:cs="宋体"/>
                <w:sz w:val="24"/>
              </w:rPr>
            </w:pP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2F2205">
            <w:pPr>
              <w:widowControl/>
              <w:ind w:firstLine="480"/>
              <w:jc w:val="center"/>
              <w:textAlignment w:val="center"/>
              <w:rPr>
                <w:rFonts w:ascii="仿宋_GB2312" w:eastAsia="仿宋_GB2312" w:cs="宋体"/>
                <w:sz w:val="24"/>
              </w:rPr>
            </w:pPr>
            <w:r>
              <w:rPr>
                <w:rFonts w:hint="eastAsia" w:ascii="仿宋_GB2312" w:eastAsia="仿宋_GB2312" w:cs="宋体"/>
                <w:sz w:val="24"/>
              </w:rPr>
              <w:t>为创建文明城市、打造宜居城市，进一步提升米易形象打下基础</w:t>
            </w:r>
          </w:p>
        </w:tc>
        <w:tc>
          <w:tcPr>
            <w:tcW w:w="19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81238B">
            <w:pPr>
              <w:widowControl/>
              <w:ind w:firstLine="480"/>
              <w:jc w:val="center"/>
              <w:textAlignment w:val="center"/>
              <w:rPr>
                <w:rFonts w:ascii="仿宋_GB2312" w:eastAsia="仿宋_GB2312" w:cs="宋体"/>
                <w:sz w:val="24"/>
              </w:rPr>
            </w:pPr>
            <w:r>
              <w:rPr>
                <w:rFonts w:hint="eastAsia" w:ascii="仿宋_GB2312" w:eastAsia="仿宋_GB2312" w:cs="宋体"/>
                <w:sz w:val="24"/>
              </w:rPr>
              <w:t>为创建文明城市、打造宜居城市，进一步提升米易形象打下基础</w:t>
            </w:r>
          </w:p>
        </w:tc>
      </w:tr>
      <w:tr w14:paraId="28A7D5C5">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0EC91314">
            <w:pPr>
              <w:widowControl/>
              <w:ind w:firstLine="480"/>
              <w:jc w:val="left"/>
              <w:rPr>
                <w:rFonts w:ascii="仿宋_GB2312" w:eastAsia="仿宋_GB2312" w:cs="宋体"/>
                <w:sz w:val="24"/>
              </w:rPr>
            </w:pP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760FD0">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效益指标</w:t>
            </w:r>
          </w:p>
        </w:tc>
        <w:tc>
          <w:tcPr>
            <w:tcW w:w="10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8C3BFB">
            <w:pPr>
              <w:widowControl/>
              <w:ind w:firstLine="480"/>
              <w:jc w:val="center"/>
              <w:textAlignment w:val="center"/>
              <w:rPr>
                <w:rFonts w:ascii="仿宋_GB2312" w:eastAsia="仿宋_GB2312" w:cs="宋体"/>
                <w:sz w:val="24"/>
              </w:rPr>
            </w:pPr>
            <w:r>
              <w:rPr>
                <w:rFonts w:hint="eastAsia" w:ascii="仿宋_GB2312" w:eastAsia="仿宋_GB2312" w:cs="宋体"/>
                <w:sz w:val="24"/>
              </w:rPr>
              <w:t>生态效益指标</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7D00DB">
            <w:pPr>
              <w:widowControl/>
              <w:ind w:firstLine="480"/>
              <w:jc w:val="center"/>
              <w:textAlignment w:val="center"/>
              <w:rPr>
                <w:rFonts w:ascii="仿宋_GB2312" w:eastAsia="仿宋_GB2312" w:cs="宋体"/>
                <w:sz w:val="24"/>
              </w:rPr>
            </w:pP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7087B3">
            <w:pPr>
              <w:widowControl/>
              <w:ind w:firstLine="480"/>
              <w:jc w:val="center"/>
              <w:textAlignment w:val="center"/>
              <w:rPr>
                <w:rFonts w:ascii="仿宋_GB2312" w:eastAsia="仿宋_GB2312" w:cs="宋体"/>
                <w:sz w:val="24"/>
              </w:rPr>
            </w:pPr>
            <w:r>
              <w:rPr>
                <w:rFonts w:hint="eastAsia" w:ascii="仿宋_GB2312" w:eastAsia="仿宋_GB2312" w:cs="宋体"/>
                <w:sz w:val="24"/>
              </w:rPr>
              <w:t>为创建文明城市、打造宜居城市，进一步提升米易形象打下基础</w:t>
            </w:r>
          </w:p>
        </w:tc>
        <w:tc>
          <w:tcPr>
            <w:tcW w:w="19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1EBAA0">
            <w:pPr>
              <w:widowControl/>
              <w:ind w:firstLine="480"/>
              <w:jc w:val="center"/>
              <w:textAlignment w:val="center"/>
              <w:rPr>
                <w:rFonts w:ascii="仿宋_GB2312" w:eastAsia="仿宋_GB2312" w:cs="宋体"/>
                <w:sz w:val="24"/>
              </w:rPr>
            </w:pPr>
            <w:r>
              <w:rPr>
                <w:rFonts w:hint="eastAsia" w:ascii="仿宋_GB2312" w:eastAsia="仿宋_GB2312" w:cs="宋体"/>
                <w:sz w:val="24"/>
              </w:rPr>
              <w:t>为创建文明城市、打造宜居城市，进一步提升米易形象打下基础</w:t>
            </w:r>
          </w:p>
        </w:tc>
      </w:tr>
      <w:tr w14:paraId="60641841">
        <w:tblPrEx>
          <w:tblCellMar>
            <w:top w:w="0" w:type="dxa"/>
            <w:left w:w="0" w:type="dxa"/>
            <w:bottom w:w="0" w:type="dxa"/>
            <w:right w:w="0" w:type="dxa"/>
          </w:tblCellMar>
        </w:tblPrEx>
        <w:trPr>
          <w:trHeight w:val="129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507378FC">
            <w:pPr>
              <w:widowControl/>
              <w:ind w:firstLine="480"/>
              <w:jc w:val="left"/>
              <w:rPr>
                <w:rFonts w:ascii="仿宋_GB2312" w:eastAsia="仿宋_GB2312" w:cs="宋体"/>
                <w:sz w:val="24"/>
              </w:rPr>
            </w:pP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59832D">
            <w:pPr>
              <w:widowControl/>
              <w:ind w:firstLine="480"/>
              <w:jc w:val="center"/>
              <w:textAlignment w:val="center"/>
              <w:rPr>
                <w:rFonts w:ascii="仿宋_GB2312" w:eastAsia="仿宋_GB2312" w:cs="宋体"/>
                <w:kern w:val="0"/>
                <w:sz w:val="24"/>
              </w:rPr>
            </w:pPr>
            <w:r>
              <w:rPr>
                <w:rFonts w:hint="eastAsia" w:ascii="仿宋_GB2312" w:hAnsi="宋体" w:eastAsia="仿宋_GB2312" w:cs="宋体"/>
                <w:kern w:val="0"/>
                <w:sz w:val="24"/>
              </w:rPr>
              <w:t>效益指标</w:t>
            </w:r>
          </w:p>
        </w:tc>
        <w:tc>
          <w:tcPr>
            <w:tcW w:w="10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E6578D">
            <w:pPr>
              <w:widowControl/>
              <w:ind w:firstLine="480"/>
              <w:textAlignment w:val="center"/>
              <w:rPr>
                <w:rFonts w:ascii="仿宋_GB2312" w:eastAsia="仿宋_GB2312" w:cs="宋体"/>
                <w:sz w:val="24"/>
              </w:rPr>
            </w:pPr>
            <w:r>
              <w:rPr>
                <w:rFonts w:hint="eastAsia" w:ascii="仿宋_GB2312" w:eastAsia="仿宋_GB2312" w:cs="宋体"/>
                <w:sz w:val="24"/>
              </w:rPr>
              <w:t>可持续影响指标</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20A3AB">
            <w:pPr>
              <w:widowControl/>
              <w:ind w:firstLine="480"/>
              <w:jc w:val="center"/>
              <w:textAlignment w:val="center"/>
              <w:rPr>
                <w:rFonts w:ascii="仿宋_GB2312" w:eastAsia="仿宋_GB2312" w:cs="宋体"/>
                <w:sz w:val="24"/>
              </w:rPr>
            </w:pP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3D81C6">
            <w:pPr>
              <w:widowControl/>
              <w:ind w:firstLine="480"/>
              <w:jc w:val="center"/>
              <w:textAlignment w:val="center"/>
              <w:rPr>
                <w:rFonts w:ascii="仿宋_GB2312" w:eastAsia="仿宋_GB2312" w:cs="宋体"/>
                <w:sz w:val="24"/>
              </w:rPr>
            </w:pPr>
            <w:r>
              <w:rPr>
                <w:rFonts w:hint="eastAsia" w:ascii="仿宋_GB2312" w:eastAsia="仿宋_GB2312" w:cs="宋体"/>
                <w:sz w:val="24"/>
              </w:rPr>
              <w:t>为创建文明城市、打造宜居城市，进一步提升米易形象打下基础</w:t>
            </w:r>
          </w:p>
        </w:tc>
        <w:tc>
          <w:tcPr>
            <w:tcW w:w="19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F888F0">
            <w:pPr>
              <w:widowControl/>
              <w:ind w:firstLine="480"/>
              <w:jc w:val="center"/>
              <w:textAlignment w:val="center"/>
              <w:rPr>
                <w:rFonts w:ascii="仿宋_GB2312" w:eastAsia="仿宋_GB2312" w:cs="宋体"/>
                <w:sz w:val="24"/>
              </w:rPr>
            </w:pPr>
            <w:r>
              <w:rPr>
                <w:rFonts w:hint="eastAsia" w:ascii="仿宋_GB2312" w:eastAsia="仿宋_GB2312" w:cs="宋体"/>
                <w:sz w:val="24"/>
              </w:rPr>
              <w:t>为创建文明城市、打造宜居城市，进一步提升米易形象打下基础</w:t>
            </w:r>
          </w:p>
        </w:tc>
      </w:tr>
      <w:tr w14:paraId="56CCB4B1">
        <w:tblPrEx>
          <w:tblCellMar>
            <w:top w:w="0" w:type="dxa"/>
            <w:left w:w="0" w:type="dxa"/>
            <w:bottom w:w="0" w:type="dxa"/>
            <w:right w:w="0" w:type="dxa"/>
          </w:tblCellMar>
        </w:tblPrEx>
        <w:trPr>
          <w:trHeight w:val="105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14:paraId="42392E93">
            <w:pPr>
              <w:widowControl/>
              <w:ind w:firstLine="480"/>
              <w:jc w:val="left"/>
              <w:rPr>
                <w:rFonts w:ascii="仿宋_GB2312" w:eastAsia="仿宋_GB2312" w:cs="宋体"/>
                <w:sz w:val="24"/>
              </w:rPr>
            </w:pPr>
          </w:p>
        </w:tc>
        <w:tc>
          <w:tcPr>
            <w:tcW w:w="11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E36C7A">
            <w:pPr>
              <w:widowControl/>
              <w:ind w:firstLine="480"/>
              <w:jc w:val="center"/>
              <w:textAlignment w:val="center"/>
              <w:rPr>
                <w:rFonts w:ascii="仿宋_GB2312" w:eastAsia="仿宋_GB2312" w:cs="宋体"/>
                <w:sz w:val="24"/>
              </w:rPr>
            </w:pPr>
            <w:r>
              <w:rPr>
                <w:rFonts w:hint="eastAsia" w:ascii="仿宋_GB2312" w:hAnsi="宋体" w:eastAsia="仿宋_GB2312" w:cs="宋体"/>
                <w:kern w:val="0"/>
                <w:sz w:val="24"/>
              </w:rPr>
              <w:t>满意度指标</w:t>
            </w:r>
          </w:p>
        </w:tc>
        <w:tc>
          <w:tcPr>
            <w:tcW w:w="106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524005">
            <w:pPr>
              <w:widowControl/>
              <w:ind w:firstLine="480"/>
              <w:jc w:val="center"/>
              <w:textAlignment w:val="center"/>
              <w:rPr>
                <w:rFonts w:ascii="仿宋_GB2312" w:eastAsia="仿宋_GB2312" w:cs="宋体"/>
                <w:sz w:val="24"/>
              </w:rPr>
            </w:pPr>
            <w:r>
              <w:rPr>
                <w:rFonts w:hint="eastAsia" w:ascii="仿宋_GB2312" w:eastAsia="仿宋_GB2312" w:cs="宋体"/>
                <w:sz w:val="24"/>
              </w:rPr>
              <w:t>服务对象满意度指标</w:t>
            </w:r>
          </w:p>
        </w:tc>
        <w:tc>
          <w:tcPr>
            <w:tcW w:w="14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702035">
            <w:pPr>
              <w:widowControl/>
              <w:ind w:firstLine="480"/>
              <w:jc w:val="center"/>
              <w:textAlignment w:val="center"/>
              <w:rPr>
                <w:rFonts w:ascii="仿宋_GB2312" w:eastAsia="仿宋_GB2312" w:cs="宋体"/>
                <w:sz w:val="24"/>
              </w:rPr>
            </w:pPr>
            <w:r>
              <w:rPr>
                <w:rFonts w:hint="eastAsia" w:ascii="仿宋_GB2312" w:eastAsia="仿宋_GB2312" w:cs="宋体"/>
                <w:sz w:val="24"/>
              </w:rPr>
              <w:t>服务对象满意度</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53CC6F">
            <w:pPr>
              <w:widowControl/>
              <w:ind w:firstLine="480"/>
              <w:jc w:val="center"/>
              <w:textAlignment w:val="center"/>
              <w:rPr>
                <w:rFonts w:ascii="仿宋_GB2312" w:eastAsia="仿宋_GB2312" w:cs="宋体"/>
                <w:sz w:val="24"/>
              </w:rPr>
            </w:pPr>
            <w:r>
              <w:rPr>
                <w:rFonts w:hint="eastAsia" w:ascii="仿宋_GB2312" w:eastAsia="仿宋_GB2312" w:cs="宋体"/>
                <w:sz w:val="24"/>
              </w:rPr>
              <w:t>95%</w:t>
            </w:r>
          </w:p>
        </w:tc>
        <w:tc>
          <w:tcPr>
            <w:tcW w:w="19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62D702">
            <w:pPr>
              <w:widowControl/>
              <w:ind w:firstLine="480"/>
              <w:jc w:val="center"/>
              <w:textAlignment w:val="center"/>
              <w:rPr>
                <w:rFonts w:ascii="仿宋_GB2312" w:eastAsia="仿宋_GB2312" w:cs="宋体"/>
                <w:sz w:val="24"/>
              </w:rPr>
            </w:pPr>
            <w:r>
              <w:rPr>
                <w:rFonts w:hint="eastAsia" w:ascii="仿宋_GB2312" w:eastAsia="仿宋_GB2312" w:cs="宋体"/>
                <w:sz w:val="24"/>
              </w:rPr>
              <w:t>95%</w:t>
            </w:r>
          </w:p>
        </w:tc>
      </w:tr>
    </w:tbl>
    <w:p w14:paraId="4D4245E4">
      <w:pPr>
        <w:pStyle w:val="13"/>
        <w:ind w:firstLine="640"/>
        <w:jc w:val="left"/>
        <w:rPr>
          <w:rFonts w:ascii="Times New Roman" w:hAnsi="Times New Roman" w:eastAsia="仿宋_GB2312"/>
        </w:rPr>
      </w:pPr>
      <w:r>
        <w:rPr>
          <w:rFonts w:ascii="Times New Roman" w:hAnsi="Times New Roman" w:eastAsia="仿宋_GB2312"/>
        </w:rPr>
        <w:t>2.部门绩效评价结果。</w:t>
      </w:r>
    </w:p>
    <w:p w14:paraId="567AFF3E">
      <w:pPr>
        <w:jc w:val="left"/>
        <w:rPr>
          <w:rFonts w:ascii="Times New Roman" w:hAnsi="Times New Roman" w:eastAsia="仿宋_GB2312"/>
        </w:rPr>
      </w:pPr>
      <w:r>
        <w:rPr>
          <w:rFonts w:ascii="Times New Roman" w:hAnsi="Times New Roman" w:eastAsia="仿宋_GB2312"/>
        </w:rPr>
        <w:t>本部门按要求对2020年部门整体支出绩效评价情况开展自评，《米易县综合行政执法局2020年部门整体支出绩效评价报告》见附件（附件1）。</w:t>
      </w:r>
    </w:p>
    <w:p w14:paraId="1D1DA26C">
      <w:pPr>
        <w:pStyle w:val="6"/>
        <w:spacing w:before="0"/>
        <w:ind w:firstLine="0" w:firstLineChars="0"/>
        <w:jc w:val="both"/>
        <w:rPr>
          <w:rFonts w:ascii="Times New Roman" w:hAnsi="Times New Roman"/>
        </w:rPr>
      </w:pPr>
    </w:p>
    <w:p w14:paraId="43FA8197">
      <w:pPr>
        <w:pStyle w:val="6"/>
        <w:spacing w:before="0"/>
        <w:ind w:firstLine="2860" w:firstLineChars="650"/>
        <w:jc w:val="both"/>
        <w:rPr>
          <w:rFonts w:ascii="Times New Roman" w:hAnsi="Times New Roman" w:eastAsia="方正小标宋_GBK"/>
          <w:sz w:val="44"/>
          <w:szCs w:val="44"/>
        </w:rPr>
      </w:pPr>
      <w:r>
        <w:rPr>
          <w:rFonts w:ascii="Times New Roman" w:hAnsi="Times New Roman" w:eastAsia="方正小标宋_GBK"/>
          <w:sz w:val="44"/>
          <w:szCs w:val="44"/>
        </w:rPr>
        <w:t>第三部分名词解释</w:t>
      </w:r>
    </w:p>
    <w:p w14:paraId="517D3855">
      <w:pPr>
        <w:rPr>
          <w:rFonts w:ascii="Times New Roman" w:hAnsi="Times New Roman"/>
        </w:rPr>
      </w:pPr>
    </w:p>
    <w:p w14:paraId="5D2F571D">
      <w:pPr>
        <w:pStyle w:val="14"/>
        <w:spacing w:line="60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1.财政拨款收入：指单位从同级财政部门取得的财政预算资金。</w:t>
      </w:r>
    </w:p>
    <w:p w14:paraId="14BA0298">
      <w:pPr>
        <w:pStyle w:val="14"/>
        <w:spacing w:line="60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2.事业收入：指事业单位开展专业业务活动及辅助活动取得的收入。</w:t>
      </w:r>
    </w:p>
    <w:p w14:paraId="63A7ACAE">
      <w:pPr>
        <w:pStyle w:val="14"/>
        <w:spacing w:line="60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3.经营收入：指事业单位在专业业务活动及其辅助活动之外开展非独立核算经营活动取得的收入。</w:t>
      </w:r>
    </w:p>
    <w:p w14:paraId="344B4F11">
      <w:pPr>
        <w:pStyle w:val="14"/>
        <w:spacing w:line="60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4.其他收入：指单位取得的除上述收入以外的各项收入。</w:t>
      </w:r>
    </w:p>
    <w:p w14:paraId="4D69F15A">
      <w:pPr>
        <w:pStyle w:val="14"/>
        <w:spacing w:line="60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2069C307">
      <w:pPr>
        <w:pStyle w:val="14"/>
        <w:spacing w:line="60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6.年初结转和结余：指以前年度尚未完成、结转到本年按有关规定继续使用的资金。</w:t>
      </w:r>
    </w:p>
    <w:p w14:paraId="3DF28878">
      <w:pPr>
        <w:pStyle w:val="14"/>
        <w:spacing w:line="60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7.结余分配：指事业单位按照事业单位会计制度的规定从非财政补助结余中分配的事业基金和职工福利基金等。</w:t>
      </w:r>
    </w:p>
    <w:p w14:paraId="6113EEED">
      <w:pPr>
        <w:pStyle w:val="14"/>
        <w:spacing w:line="60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8、年末结转和结余：指单位按有关规定结转到下年或以后年度继续使用的资金。</w:t>
      </w:r>
    </w:p>
    <w:p w14:paraId="305921C1">
      <w:pPr>
        <w:jc w:val="left"/>
        <w:rPr>
          <w:rFonts w:ascii="Times New Roman" w:hAnsi="Times New Roman" w:eastAsia="仿宋_GB2312"/>
        </w:rPr>
      </w:pPr>
      <w:r>
        <w:rPr>
          <w:rFonts w:ascii="Times New Roman" w:hAnsi="Times New Roman" w:eastAsia="仿宋_GB2312"/>
        </w:rPr>
        <w:t>9.</w:t>
      </w:r>
      <w:r>
        <w:rPr>
          <w:rStyle w:val="11"/>
          <w:rFonts w:ascii="Times New Roman" w:hAnsi="Times New Roman" w:eastAsia="仿宋_GB2312"/>
          <w:b w:val="0"/>
        </w:rPr>
        <w:t xml:space="preserve"> </w:t>
      </w:r>
      <w:r>
        <w:rPr>
          <w:rStyle w:val="11"/>
          <w:rFonts w:ascii="Times New Roman" w:hAnsi="Times New Roman" w:eastAsia="仿宋_GB2312"/>
          <w:b w:val="0"/>
          <w:bCs/>
        </w:rPr>
        <w:t>一般公共服务支出（类201）-民族事务（款23）-民族工作专项（项04）</w:t>
      </w:r>
      <w:r>
        <w:rPr>
          <w:rFonts w:ascii="Times New Roman" w:hAnsi="Times New Roman" w:eastAsia="仿宋_GB2312"/>
        </w:rPr>
        <w:t>：指反映</w:t>
      </w:r>
      <w:r>
        <w:rPr>
          <w:rFonts w:hint="eastAsia" w:ascii="Times New Roman" w:hAnsi="Times New Roman" w:eastAsia="仿宋_GB2312"/>
        </w:rPr>
        <w:t>用于民族事务管理方面的专项</w:t>
      </w:r>
      <w:r>
        <w:rPr>
          <w:rFonts w:ascii="Times New Roman" w:hAnsi="Times New Roman" w:eastAsia="仿宋_GB2312"/>
        </w:rPr>
        <w:t>支出。</w:t>
      </w:r>
    </w:p>
    <w:p w14:paraId="77F6082B">
      <w:pPr>
        <w:jc w:val="left"/>
        <w:rPr>
          <w:rFonts w:ascii="Times New Roman" w:hAnsi="Times New Roman" w:eastAsia="仿宋_GB2312"/>
        </w:rPr>
      </w:pPr>
      <w:r>
        <w:rPr>
          <w:rFonts w:ascii="Times New Roman" w:hAnsi="Times New Roman" w:eastAsia="仿宋_GB2312"/>
        </w:rPr>
        <w:t>10.</w:t>
      </w:r>
      <w:r>
        <w:rPr>
          <w:rStyle w:val="11"/>
          <w:rFonts w:ascii="Times New Roman" w:hAnsi="Times New Roman" w:eastAsia="仿宋_GB2312"/>
          <w:b w:val="0"/>
        </w:rPr>
        <w:t xml:space="preserve"> 社会保障和就业支出（类208）－行政事业单位养老支出（05）—行政单位离退休（款01）</w:t>
      </w:r>
      <w:r>
        <w:rPr>
          <w:rFonts w:ascii="Times New Roman" w:hAnsi="Times New Roman" w:eastAsia="仿宋_GB2312"/>
        </w:rPr>
        <w:t>：指反映行政单位(包括实行公务员管理的事业单位)开支的离退休支出。</w:t>
      </w:r>
    </w:p>
    <w:p w14:paraId="33FCA8AC">
      <w:pPr>
        <w:jc w:val="left"/>
        <w:rPr>
          <w:rFonts w:ascii="Times New Roman" w:hAnsi="Times New Roman" w:eastAsia="仿宋_GB2312"/>
        </w:rPr>
      </w:pPr>
      <w:r>
        <w:rPr>
          <w:rStyle w:val="11"/>
          <w:rFonts w:ascii="Times New Roman" w:hAnsi="Times New Roman" w:eastAsia="仿宋_GB2312"/>
          <w:b w:val="0"/>
        </w:rPr>
        <w:t>11.社会保障和就业支出（类208）－行政事业单位养老支出（05）－机关事业单位基本养老保险缴费支出（项05）:指</w:t>
      </w:r>
      <w:r>
        <w:rPr>
          <w:rFonts w:ascii="Times New Roman" w:hAnsi="Times New Roman" w:eastAsia="仿宋_GB2312"/>
        </w:rPr>
        <w:t>反映</w:t>
      </w:r>
      <w:r>
        <w:rPr>
          <w:rFonts w:hint="eastAsia" w:ascii="Times New Roman" w:hAnsi="Times New Roman" w:eastAsia="仿宋_GB2312"/>
        </w:rPr>
        <w:t>机关</w:t>
      </w:r>
      <w:r>
        <w:rPr>
          <w:rFonts w:ascii="Times New Roman" w:hAnsi="Times New Roman" w:eastAsia="仿宋_GB2312"/>
        </w:rPr>
        <w:t>事业单位单位实施养老保险制度由单位缴纳的基本养老保险费支出。</w:t>
      </w:r>
    </w:p>
    <w:p w14:paraId="74A2E8A9">
      <w:pPr>
        <w:jc w:val="left"/>
        <w:rPr>
          <w:rFonts w:ascii="Times New Roman" w:hAnsi="Times New Roman" w:eastAsia="仿宋_GB2312"/>
        </w:rPr>
      </w:pPr>
      <w:r>
        <w:rPr>
          <w:rFonts w:ascii="Times New Roman" w:hAnsi="Times New Roman" w:eastAsia="仿宋_GB2312"/>
        </w:rPr>
        <w:t>12.</w:t>
      </w:r>
      <w:r>
        <w:rPr>
          <w:rStyle w:val="11"/>
          <w:rFonts w:ascii="Times New Roman" w:hAnsi="Times New Roman" w:eastAsia="仿宋_GB2312"/>
          <w:b w:val="0"/>
        </w:rPr>
        <w:t xml:space="preserve"> 卫生健康支出（类210）－行政事业单位医疗（款11）－行政单位医疗（项01）:</w:t>
      </w:r>
      <w:r>
        <w:rPr>
          <w:rFonts w:ascii="Times New Roman" w:hAnsi="Times New Roman" w:eastAsia="仿宋_GB2312"/>
        </w:rPr>
        <w:t>指反映财政部门安排的行政单位(包括实行公务员管理的事业单位)基本医疗保险缴费经费，未参加医疗保险的行政单位的公费医疗经费，按国家规定享受离休人员、红军老战士待遇人员的医疗经费。</w:t>
      </w:r>
    </w:p>
    <w:p w14:paraId="64CD7333">
      <w:pPr>
        <w:jc w:val="left"/>
        <w:rPr>
          <w:rFonts w:ascii="Times New Roman" w:hAnsi="Times New Roman" w:eastAsia="仿宋_GB2312"/>
        </w:rPr>
      </w:pPr>
      <w:r>
        <w:rPr>
          <w:rStyle w:val="11"/>
          <w:rFonts w:ascii="Times New Roman" w:hAnsi="Times New Roman" w:eastAsia="仿宋_GB2312"/>
          <w:b w:val="0"/>
        </w:rPr>
        <w:t>13.卫生健康支出（类210）－行政事业单位医疗（款11）－公务员医疗补助（项03）:指</w:t>
      </w:r>
      <w:r>
        <w:rPr>
          <w:rFonts w:ascii="Times New Roman" w:hAnsi="Times New Roman" w:eastAsia="仿宋_GB2312"/>
        </w:rPr>
        <w:t>反映财政部门安排的公务员医疗补助经费。</w:t>
      </w:r>
    </w:p>
    <w:p w14:paraId="2E105A11">
      <w:pPr>
        <w:jc w:val="left"/>
        <w:rPr>
          <w:rFonts w:ascii="Times New Roman" w:hAnsi="Times New Roman" w:eastAsia="仿宋_GB2312"/>
        </w:rPr>
      </w:pPr>
      <w:r>
        <w:rPr>
          <w:rFonts w:ascii="Times New Roman" w:hAnsi="Times New Roman" w:eastAsia="仿宋_GB2312"/>
        </w:rPr>
        <w:t>14.</w:t>
      </w:r>
      <w:r>
        <w:rPr>
          <w:rStyle w:val="11"/>
          <w:rFonts w:ascii="Times New Roman" w:hAnsi="Times New Roman" w:eastAsia="仿宋_GB2312"/>
          <w:b w:val="0"/>
        </w:rPr>
        <w:t xml:space="preserve"> 节能环保支出（类211）-污染防治（款03）-其他污染防治支出（项99）</w:t>
      </w:r>
      <w:r>
        <w:rPr>
          <w:rFonts w:ascii="Times New Roman" w:hAnsi="Times New Roman" w:eastAsia="仿宋_GB2312"/>
        </w:rPr>
        <w:t>：指反映大气、水体、噪声、固体废弃物与化学品、放射源和放射性废物监管、辐射以外其他用于污染防治方面的支出。</w:t>
      </w:r>
    </w:p>
    <w:p w14:paraId="618AC274">
      <w:pPr>
        <w:jc w:val="left"/>
        <w:rPr>
          <w:rFonts w:ascii="Times New Roman" w:hAnsi="Times New Roman" w:eastAsia="仿宋_GB2312"/>
        </w:rPr>
      </w:pPr>
      <w:r>
        <w:rPr>
          <w:rFonts w:ascii="Times New Roman" w:hAnsi="Times New Roman" w:eastAsia="仿宋_GB2312"/>
        </w:rPr>
        <w:t>15.</w:t>
      </w:r>
      <w:r>
        <w:rPr>
          <w:rStyle w:val="11"/>
          <w:rFonts w:ascii="Times New Roman" w:hAnsi="Times New Roman" w:eastAsia="仿宋_GB2312"/>
          <w:b w:val="0"/>
        </w:rPr>
        <w:t xml:space="preserve"> 城乡社区支出（类212）-城乡社区管理事务（款01）-行政运行（项01）</w:t>
      </w:r>
      <w:r>
        <w:rPr>
          <w:rFonts w:ascii="Times New Roman" w:hAnsi="Times New Roman" w:eastAsia="仿宋_GB2312"/>
        </w:rPr>
        <w:t>：指反映行政单位(包括实行公务员管理的事业单位)的基本支出。</w:t>
      </w:r>
    </w:p>
    <w:p w14:paraId="71381D78">
      <w:pPr>
        <w:jc w:val="left"/>
        <w:rPr>
          <w:rStyle w:val="11"/>
          <w:rFonts w:ascii="Times New Roman" w:hAnsi="Times New Roman" w:eastAsia="仿宋_GB2312"/>
          <w:b w:val="0"/>
        </w:rPr>
      </w:pPr>
      <w:r>
        <w:rPr>
          <w:rStyle w:val="11"/>
          <w:rFonts w:ascii="Times New Roman" w:hAnsi="Times New Roman" w:eastAsia="仿宋_GB2312"/>
          <w:b w:val="0"/>
        </w:rPr>
        <w:t>16.城乡社区支出（类212）-城乡社区管理事务（款01）-一般行政管理事务（项02）</w:t>
      </w:r>
      <w:r>
        <w:rPr>
          <w:rFonts w:ascii="Times New Roman" w:hAnsi="Times New Roman" w:eastAsia="仿宋_GB2312"/>
        </w:rPr>
        <w:t>：指反映行政单位(包括实行公务员管理的事业单位)未单独设置项级科目的其他项目支出。</w:t>
      </w:r>
    </w:p>
    <w:p w14:paraId="574889D8">
      <w:pPr>
        <w:jc w:val="left"/>
        <w:rPr>
          <w:rStyle w:val="11"/>
          <w:rFonts w:ascii="Times New Roman" w:hAnsi="Times New Roman" w:eastAsia="仿宋_GB2312"/>
          <w:b w:val="0"/>
        </w:rPr>
      </w:pPr>
      <w:r>
        <w:rPr>
          <w:rStyle w:val="11"/>
          <w:rFonts w:ascii="Times New Roman" w:hAnsi="Times New Roman" w:eastAsia="仿宋_GB2312"/>
          <w:b w:val="0"/>
        </w:rPr>
        <w:t>17.城乡社区支出（类212）-城乡社区公共设施（款03）-其他城乡社区公共设施支出（项99）:指</w:t>
      </w:r>
      <w:r>
        <w:rPr>
          <w:rFonts w:ascii="Times New Roman" w:hAnsi="Times New Roman" w:eastAsia="仿宋_GB2312"/>
        </w:rPr>
        <w:t>反映除行政运行、一般行政管理事务、机关服务、城管执法、工程建设标准规范编制与监督、工程建设管理、市政公用行业市场监管、住宅建设与房地产市场监管、执业资格注册、资质审查以外其他用于城乡社区公共设施方面的支出。</w:t>
      </w:r>
    </w:p>
    <w:p w14:paraId="21C37493">
      <w:pPr>
        <w:jc w:val="left"/>
        <w:rPr>
          <w:rStyle w:val="11"/>
          <w:rFonts w:ascii="Times New Roman" w:hAnsi="Times New Roman" w:eastAsia="仿宋_GB2312"/>
          <w:b w:val="0"/>
        </w:rPr>
      </w:pPr>
      <w:r>
        <w:rPr>
          <w:rStyle w:val="11"/>
          <w:rFonts w:ascii="Times New Roman" w:hAnsi="Times New Roman" w:eastAsia="仿宋_GB2312"/>
          <w:b w:val="0"/>
        </w:rPr>
        <w:t>18.城乡社区支出（类212）-城乡社区环境卫生（款05）-城乡社区环境卫生（项01）:指</w:t>
      </w:r>
      <w:r>
        <w:rPr>
          <w:rFonts w:ascii="Times New Roman" w:hAnsi="Times New Roman" w:eastAsia="仿宋_GB2312"/>
        </w:rPr>
        <w:t>反映城乡社区道路清扫、垃圾清运与处理、公厕建设与维护、园林绿化等方面的支出。</w:t>
      </w:r>
    </w:p>
    <w:p w14:paraId="244BDC2C">
      <w:pPr>
        <w:jc w:val="left"/>
        <w:rPr>
          <w:rStyle w:val="11"/>
          <w:rFonts w:ascii="Times New Roman" w:hAnsi="Times New Roman" w:eastAsia="仿宋_GB2312"/>
          <w:b w:val="0"/>
        </w:rPr>
      </w:pPr>
      <w:r>
        <w:rPr>
          <w:rStyle w:val="11"/>
          <w:rFonts w:ascii="Times New Roman" w:hAnsi="Times New Roman" w:eastAsia="仿宋_GB2312"/>
          <w:b w:val="0"/>
        </w:rPr>
        <w:t>19.城乡社区支出（类212）-其他城乡社区支出（款99）-其他城乡社支出（项01）:反映除上述项目以外其他用于城乡社区方面的支出。</w:t>
      </w:r>
    </w:p>
    <w:p w14:paraId="78EC1094">
      <w:pPr>
        <w:jc w:val="left"/>
        <w:rPr>
          <w:rStyle w:val="11"/>
          <w:rFonts w:ascii="Times New Roman" w:hAnsi="Times New Roman" w:eastAsia="仿宋_GB2312"/>
          <w:b w:val="0"/>
        </w:rPr>
      </w:pPr>
      <w:r>
        <w:rPr>
          <w:rFonts w:ascii="Times New Roman" w:hAnsi="Times New Roman" w:eastAsia="仿宋_GB2312"/>
        </w:rPr>
        <w:t>20.</w:t>
      </w:r>
      <w:r>
        <w:rPr>
          <w:rStyle w:val="11"/>
          <w:rFonts w:ascii="Times New Roman" w:hAnsi="Times New Roman" w:eastAsia="仿宋_GB2312"/>
          <w:b w:val="0"/>
        </w:rPr>
        <w:t xml:space="preserve"> 住房保障支出（类221）-住房改革支出（款02）-住房公积金（项01）：反映行政事业单位按人力资源和社会保障部、财政部规定的基本工资和津贴补贴以及规定比例为职工交纳的住房公积金。</w:t>
      </w:r>
    </w:p>
    <w:p w14:paraId="2DC5D6AB">
      <w:pPr>
        <w:jc w:val="left"/>
        <w:rPr>
          <w:rFonts w:ascii="Times New Roman" w:hAnsi="Times New Roman" w:eastAsia="仿宋_GB2312"/>
        </w:rPr>
      </w:pPr>
      <w:r>
        <w:rPr>
          <w:rFonts w:ascii="Times New Roman" w:hAnsi="Times New Roman" w:eastAsia="仿宋_GB2312"/>
        </w:rPr>
        <w:t>21.其他支出（类229）－其他支出（款99）－其他支出（项01）：反映除上述项目以外其他不能划分到具体功能科目中的支出项目。</w:t>
      </w:r>
    </w:p>
    <w:p w14:paraId="3F48CD65">
      <w:pPr>
        <w:jc w:val="left"/>
        <w:rPr>
          <w:rFonts w:ascii="Times New Roman" w:hAnsi="Times New Roman" w:eastAsia="仿宋_GB2312"/>
        </w:rPr>
      </w:pPr>
      <w:r>
        <w:rPr>
          <w:rFonts w:ascii="Times New Roman" w:hAnsi="Times New Roman" w:eastAsia="仿宋_GB2312"/>
        </w:rPr>
        <w:t>22.基本支出：指为保障机构正常运转、完成日常工作任务而发生的人员支出和公用支出。</w:t>
      </w:r>
    </w:p>
    <w:p w14:paraId="342E36A8">
      <w:pPr>
        <w:jc w:val="left"/>
        <w:rPr>
          <w:rFonts w:ascii="Times New Roman" w:hAnsi="Times New Roman" w:eastAsia="仿宋_GB2312"/>
        </w:rPr>
      </w:pPr>
      <w:r>
        <w:rPr>
          <w:rFonts w:ascii="Times New Roman" w:hAnsi="Times New Roman" w:eastAsia="仿宋_GB2312"/>
        </w:rPr>
        <w:t>23.项目支出：指在基本支出之外为完成特定行政任务和事业发展目标所发生的支出。</w:t>
      </w:r>
    </w:p>
    <w:p w14:paraId="733E5CD7">
      <w:pPr>
        <w:jc w:val="left"/>
        <w:rPr>
          <w:rFonts w:ascii="Times New Roman" w:hAnsi="Times New Roman" w:eastAsia="仿宋_GB2312"/>
        </w:rPr>
      </w:pPr>
      <w:r>
        <w:rPr>
          <w:rFonts w:ascii="Times New Roman" w:hAnsi="Times New Roman" w:eastAsia="仿宋_GB2312"/>
        </w:rPr>
        <w:t>24.经营支出：指事业单位在专业业务活动及其辅助活动之外开展非独立核算经营活动发生的支出。</w:t>
      </w:r>
    </w:p>
    <w:p w14:paraId="4D60140B">
      <w:pPr>
        <w:pStyle w:val="14"/>
        <w:spacing w:line="60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E5889B5">
      <w:pPr>
        <w:pStyle w:val="14"/>
        <w:spacing w:line="600" w:lineRule="exact"/>
        <w:ind w:firstLine="64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cs="Times New Roman"/>
          <w:sz w:val="32"/>
          <w:szCs w:val="32"/>
        </w:rPr>
        <w:t xml:space="preserve"> </w:t>
      </w:r>
    </w:p>
    <w:p w14:paraId="1E02D6AE">
      <w:pPr>
        <w:pStyle w:val="14"/>
        <w:spacing w:line="600" w:lineRule="exact"/>
        <w:ind w:firstLine="640"/>
        <w:jc w:val="left"/>
        <w:rPr>
          <w:rFonts w:hint="eastAsia" w:ascii="Times New Roman" w:hAnsi="Times New Roman" w:eastAsia="仿宋_GB2312" w:cs="Times New Roman"/>
          <w:sz w:val="32"/>
          <w:szCs w:val="32"/>
        </w:rPr>
      </w:pPr>
    </w:p>
    <w:p w14:paraId="070DA7B4">
      <w:pPr>
        <w:ind w:firstLine="0" w:firstLineChars="0"/>
        <w:jc w:val="center"/>
        <w:rPr>
          <w:rFonts w:ascii="Times New Roman" w:hAnsi="Times New Roman" w:eastAsia="方正小标宋_GBK"/>
          <w:sz w:val="44"/>
          <w:szCs w:val="44"/>
        </w:rPr>
      </w:pPr>
      <w:r>
        <w:rPr>
          <w:rFonts w:ascii="Times New Roman" w:hAnsi="Times New Roman" w:eastAsia="方正小标宋_GBK"/>
          <w:sz w:val="44"/>
          <w:szCs w:val="44"/>
        </w:rPr>
        <w:t>第四部分附件</w:t>
      </w:r>
    </w:p>
    <w:p w14:paraId="507275B9">
      <w:pPr>
        <w:ind w:firstLine="0" w:firstLineChars="0"/>
        <w:jc w:val="center"/>
        <w:rPr>
          <w:rFonts w:ascii="Times New Roman" w:hAnsi="Times New Roman" w:eastAsia="方正小标宋_GBK"/>
          <w:sz w:val="44"/>
          <w:szCs w:val="44"/>
        </w:rPr>
      </w:pPr>
    </w:p>
    <w:p w14:paraId="4BD43FAD">
      <w:pPr>
        <w:jc w:val="left"/>
        <w:rPr>
          <w:rFonts w:ascii="Times New Roman" w:hAnsi="Times New Roman" w:eastAsia="仿宋_GB2312"/>
        </w:rPr>
      </w:pPr>
      <w:r>
        <w:rPr>
          <w:rFonts w:ascii="Times New Roman" w:hAnsi="Times New Roman" w:eastAsia="仿宋_GB2312"/>
        </w:rPr>
        <w:t>附件1：</w:t>
      </w:r>
    </w:p>
    <w:p w14:paraId="33829CC8">
      <w:pPr>
        <w:jc w:val="left"/>
        <w:rPr>
          <w:rStyle w:val="16"/>
          <w:rFonts w:hint="default" w:ascii="Times New Roman" w:hAnsi="Times New Roman" w:eastAsia="仿宋_GB2312"/>
        </w:rPr>
      </w:pPr>
      <w:r>
        <w:rPr>
          <w:rStyle w:val="15"/>
          <w:rFonts w:hint="default" w:ascii="Times New Roman" w:hAnsi="Times New Roman" w:eastAsia="仿宋_GB2312"/>
          <w:sz w:val="32"/>
          <w:szCs w:val="32"/>
        </w:rPr>
        <w:t>2020年米易县部门预算整体绩效评价报告</w:t>
      </w:r>
    </w:p>
    <w:p w14:paraId="182C636B">
      <w:pPr>
        <w:tabs>
          <w:tab w:val="left" w:pos="1546"/>
        </w:tabs>
        <w:ind w:firstLine="0" w:firstLineChars="0"/>
        <w:jc w:val="left"/>
        <w:rPr>
          <w:rStyle w:val="16"/>
          <w:rFonts w:hint="default" w:ascii="Times New Roman" w:hAnsi="Times New Roman"/>
          <w:color w:val="auto"/>
        </w:rPr>
      </w:pPr>
      <w:r>
        <w:rPr>
          <w:rStyle w:val="16"/>
          <w:rFonts w:hint="default" w:ascii="Times New Roman" w:hAnsi="Times New Roman"/>
        </w:rPr>
        <w:t>一、部门概况</w:t>
      </w:r>
    </w:p>
    <w:p w14:paraId="35505CBF">
      <w:pPr>
        <w:widowControl/>
        <w:jc w:val="left"/>
        <w:rPr>
          <w:rFonts w:ascii="Times New Roman" w:hAnsi="Times New Roman" w:eastAsia="仿宋_GB2312"/>
          <w:lang w:val="zh-CN"/>
        </w:rPr>
      </w:pPr>
      <w:r>
        <w:rPr>
          <w:rFonts w:ascii="Times New Roman" w:hAnsi="Times New Roman" w:eastAsia="仿宋_GB2312"/>
          <w:kern w:val="0"/>
          <w:lang w:val="zh-CN"/>
        </w:rPr>
        <w:t>按照 2006 年 4 月 7 日米易县机构编制委员会《关于成立米易县城市管理局的通知》（米</w:t>
      </w:r>
      <w:r>
        <w:rPr>
          <w:rFonts w:ascii="Times New Roman" w:hAnsi="Times New Roman" w:eastAsia="仿宋_GB2312"/>
          <w:lang w:val="zh-CN"/>
        </w:rPr>
        <w:t>编发</w:t>
      </w:r>
      <w:r>
        <w:rPr>
          <w:rFonts w:ascii="Times New Roman" w:hAnsi="Times New Roman" w:eastAsia="仿宋_GB2312"/>
          <w:kern w:val="0"/>
        </w:rPr>
        <w:t>〔2006〕</w:t>
      </w:r>
      <w:r>
        <w:rPr>
          <w:rFonts w:ascii="Times New Roman" w:hAnsi="Times New Roman" w:eastAsia="仿宋_GB2312"/>
          <w:lang w:val="zh-CN"/>
        </w:rPr>
        <w:t>1 号文件要求，将城市管理职能从规划和建设管理局划出，组建米易县城市管理局，承担城市管理职能，为县</w:t>
      </w:r>
      <w:r>
        <w:rPr>
          <w:rFonts w:ascii="Times New Roman" w:hAnsi="Times New Roman" w:eastAsia="仿宋_GB2312"/>
        </w:rPr>
        <w:t>政</w:t>
      </w:r>
      <w:r>
        <w:rPr>
          <w:rFonts w:ascii="Times New Roman" w:hAnsi="Times New Roman" w:eastAsia="仿宋_GB2312"/>
          <w:lang w:val="zh-CN"/>
        </w:rPr>
        <w:t>府直属正科级全额拨款事业单位，2009 年转为参照公务员管理事业单位。</w:t>
      </w:r>
    </w:p>
    <w:p w14:paraId="52EA780D">
      <w:pPr>
        <w:widowControl/>
        <w:jc w:val="left"/>
        <w:rPr>
          <w:rFonts w:ascii="Times New Roman" w:hAnsi="Times New Roman" w:eastAsia="仿宋_GB2312"/>
        </w:rPr>
      </w:pPr>
      <w:r>
        <w:rPr>
          <w:rFonts w:ascii="Times New Roman" w:hAnsi="Times New Roman" w:eastAsia="仿宋_GB2312"/>
        </w:rPr>
        <w:t>2019年3月25日，根据</w:t>
      </w:r>
      <w:r>
        <w:rPr>
          <w:rFonts w:ascii="Times New Roman" w:hAnsi="Times New Roman" w:eastAsia="仿宋_GB2312"/>
          <w:kern w:val="0"/>
        </w:rPr>
        <w:t>米委办发〔2019〕25 号“中共米易县委办公室米易县人民政府办公室关于印发《米易县综合行政执法局职能配置、内设机构和人员编制规定》的通知”米易县综合行政执法局（简称县综合执法局）是米易县人民政府工作部门，为正科级。加挂县城市管理局（简称县城管局）牌子。米易县综合行政执法局贯彻落实党中央关于推进综合行政执法和城市管理工作的方针政策和省委、市委、县委的决策部署，在履行职责过程中坚持并加强党对综合行政执法和城市管理工作的集中统一领导。县综合行政执法局行政编制5名。其中，局长1名，副局长2名（不含兼职），内设机构领导职数2名。 机关后勤服务人员控制数（机关后勤事业编制）1名。</w:t>
      </w:r>
    </w:p>
    <w:p w14:paraId="77EF9DE4">
      <w:pPr>
        <w:widowControl/>
        <w:jc w:val="left"/>
        <w:rPr>
          <w:rFonts w:ascii="Times New Roman" w:hAnsi="Times New Roman" w:eastAsia="仿宋_GB2312"/>
        </w:rPr>
      </w:pPr>
      <w:r>
        <w:rPr>
          <w:rFonts w:ascii="Times New Roman" w:hAnsi="Times New Roman" w:eastAsia="仿宋_GB2312"/>
          <w:kern w:val="0"/>
        </w:rPr>
        <w:t>2019年6月4日根据米编发〔2019〕14 号米易县机构编制委员会“中共米易县委机构编制委员会关于调整米易县城市管理局有关机构编制事项的通知 ”根据《米易县机构改革方案》（米委发〔2019〕2号）和 《关于&lt;米易县机构改革方案&gt;的实施意见》（米机改〔2019〕2号），经县委编委会议研究，并报市委编委批复，将原作为县政府直属事业单位设置的米易县城市管理局更名为米易县城市公用事业服务中心，为县政府直属公益一类事业单位，由县综合行政执法局代管。米易县城市公用事业服务中心主要职责：承担城市绿化、保洁、市政基础设施保养、维护等城市公用事业服务及相关事务性工作。 单位参照公务员法管理、机构规格为正科级、事业编制27名、领导职数1正2副不变。</w:t>
      </w:r>
    </w:p>
    <w:p w14:paraId="1754C478">
      <w:pPr>
        <w:adjustRightInd w:val="0"/>
        <w:snapToGrid w:val="0"/>
        <w:jc w:val="left"/>
        <w:rPr>
          <w:rFonts w:ascii="Times New Roman" w:hAnsi="Times New Roman" w:eastAsia="仿宋_GB2312"/>
          <w:lang w:val="zh-CN"/>
        </w:rPr>
      </w:pPr>
      <w:r>
        <w:rPr>
          <w:rFonts w:ascii="Times New Roman" w:hAnsi="Times New Roman" w:eastAsia="仿宋_GB2312"/>
        </w:rPr>
        <w:t>米易县综合行政执法局（含米易县城市公用事业服务中，2020年末实有人数184人，</w:t>
      </w:r>
      <w:r>
        <w:rPr>
          <w:rFonts w:ascii="Times New Roman" w:hAnsi="Times New Roman" w:eastAsia="仿宋_GB2312"/>
          <w:lang w:val="zh-CN"/>
        </w:rPr>
        <w:t>其中：参照公务员法管理人员35人(含新聘工勤人员</w:t>
      </w:r>
      <w:r>
        <w:rPr>
          <w:rFonts w:ascii="Times New Roman" w:hAnsi="Times New Roman" w:eastAsia="仿宋_GB2312"/>
        </w:rPr>
        <w:t>2</w:t>
      </w:r>
      <w:r>
        <w:rPr>
          <w:rFonts w:ascii="Times New Roman" w:hAnsi="Times New Roman" w:eastAsia="仿宋_GB2312"/>
          <w:lang w:val="zh-CN"/>
        </w:rPr>
        <w:t>人)，</w:t>
      </w:r>
      <w:r>
        <w:rPr>
          <w:rFonts w:ascii="Times New Roman" w:hAnsi="Times New Roman" w:eastAsia="仿宋_GB2312"/>
        </w:rPr>
        <w:t>非参公事业</w:t>
      </w:r>
      <w:r>
        <w:rPr>
          <w:rFonts w:ascii="Times New Roman" w:hAnsi="Times New Roman" w:eastAsia="仿宋_GB2312"/>
          <w:lang w:val="zh-CN"/>
        </w:rPr>
        <w:t>人</w:t>
      </w:r>
      <w:r>
        <w:rPr>
          <w:rFonts w:ascii="Times New Roman" w:hAnsi="Times New Roman" w:eastAsia="仿宋_GB2312"/>
        </w:rPr>
        <w:t>员140</w:t>
      </w:r>
      <w:r>
        <w:rPr>
          <w:rFonts w:ascii="Times New Roman" w:hAnsi="Times New Roman" w:eastAsia="仿宋_GB2312"/>
          <w:lang w:val="zh-CN"/>
        </w:rPr>
        <w:t>（</w:t>
      </w:r>
      <w:r>
        <w:rPr>
          <w:rFonts w:ascii="Times New Roman" w:hAnsi="Times New Roman" w:eastAsia="仿宋_GB2312"/>
          <w:kern w:val="0"/>
        </w:rPr>
        <w:t>临时聘用城监协管员、环卫清运人员及电工等）</w:t>
      </w:r>
      <w:r>
        <w:rPr>
          <w:rFonts w:ascii="Times New Roman" w:hAnsi="Times New Roman" w:eastAsia="仿宋_GB2312"/>
          <w:lang w:val="zh-CN"/>
        </w:rPr>
        <w:t>，退休人员9人。</w:t>
      </w:r>
    </w:p>
    <w:p w14:paraId="1358293B">
      <w:pPr>
        <w:tabs>
          <w:tab w:val="left" w:pos="1546"/>
        </w:tabs>
        <w:jc w:val="left"/>
        <w:rPr>
          <w:rStyle w:val="16"/>
          <w:rFonts w:hint="default" w:ascii="Times New Roman" w:hAnsi="Times New Roman"/>
        </w:rPr>
      </w:pPr>
      <w:r>
        <w:rPr>
          <w:rStyle w:val="16"/>
          <w:rFonts w:hint="default" w:ascii="Times New Roman" w:hAnsi="Times New Roman"/>
        </w:rPr>
        <w:t>二、评价工作开展情况</w:t>
      </w:r>
    </w:p>
    <w:p w14:paraId="172B7DE4">
      <w:pPr>
        <w:snapToGrid w:val="0"/>
        <w:jc w:val="left"/>
        <w:rPr>
          <w:rFonts w:ascii="Times New Roman" w:hAnsi="Times New Roman" w:eastAsia="仿宋_GB2312"/>
        </w:rPr>
      </w:pPr>
      <w:r>
        <w:rPr>
          <w:rFonts w:ascii="Times New Roman" w:hAnsi="Times New Roman" w:eastAsia="仿宋_GB2312"/>
        </w:rPr>
        <w:t>目前，我局财政支出绩效评价工作正常开展。</w:t>
      </w:r>
    </w:p>
    <w:p w14:paraId="2EA655FC">
      <w:pPr>
        <w:tabs>
          <w:tab w:val="left" w:pos="1546"/>
        </w:tabs>
        <w:jc w:val="left"/>
        <w:rPr>
          <w:rStyle w:val="16"/>
          <w:rFonts w:hint="default" w:ascii="Times New Roman" w:hAnsi="Times New Roman"/>
        </w:rPr>
      </w:pPr>
      <w:r>
        <w:rPr>
          <w:rStyle w:val="16"/>
          <w:rFonts w:hint="default" w:ascii="Times New Roman" w:hAnsi="Times New Roman"/>
        </w:rPr>
        <w:t>三、部门资金基本情况</w:t>
      </w:r>
    </w:p>
    <w:p w14:paraId="504B95AC">
      <w:pPr>
        <w:snapToGrid w:val="0"/>
        <w:jc w:val="left"/>
        <w:rPr>
          <w:rFonts w:ascii="Times New Roman" w:hAnsi="Times New Roman" w:eastAsia="楷体"/>
        </w:rPr>
      </w:pPr>
      <w:r>
        <w:rPr>
          <w:rFonts w:ascii="Times New Roman" w:hAnsi="Times New Roman" w:eastAsia="楷体"/>
        </w:rPr>
        <w:t>（一）部门财政资金收入情况</w:t>
      </w:r>
    </w:p>
    <w:p w14:paraId="064EADDE">
      <w:pPr>
        <w:adjustRightInd w:val="0"/>
        <w:snapToGrid w:val="0"/>
        <w:jc w:val="left"/>
        <w:rPr>
          <w:rFonts w:ascii="Times New Roman" w:hAnsi="Times New Roman" w:eastAsia="仿宋_GB2312"/>
          <w:lang w:val="zh-CN"/>
        </w:rPr>
      </w:pPr>
      <w:r>
        <w:rPr>
          <w:rFonts w:ascii="Times New Roman" w:hAnsi="Times New Roman" w:eastAsia="仿宋_GB2312"/>
          <w:lang w:val="zh-CN"/>
        </w:rPr>
        <w:t>2020年米易</w:t>
      </w:r>
      <w:r>
        <w:rPr>
          <w:rFonts w:ascii="Times New Roman" w:hAnsi="Times New Roman" w:eastAsia="仿宋_GB2312"/>
        </w:rPr>
        <w:t>县综合行政执法局</w:t>
      </w:r>
      <w:r>
        <w:rPr>
          <w:rFonts w:ascii="Times New Roman" w:hAnsi="Times New Roman" w:eastAsia="仿宋_GB2312"/>
          <w:lang w:val="zh-CN"/>
        </w:rPr>
        <w:t>收入总计为6971.29万元，</w:t>
      </w:r>
      <w:r>
        <w:rPr>
          <w:rFonts w:ascii="Times New Roman" w:hAnsi="Times New Roman" w:eastAsia="仿宋_GB2312"/>
        </w:rPr>
        <w:t>年初结转和结余4679.46万元，当年</w:t>
      </w:r>
      <w:r>
        <w:rPr>
          <w:rFonts w:ascii="Times New Roman" w:hAnsi="Times New Roman" w:eastAsia="仿宋_GB2312"/>
          <w:lang w:val="zh-CN"/>
        </w:rPr>
        <w:t>收入</w:t>
      </w:r>
      <w:r>
        <w:rPr>
          <w:rFonts w:ascii="Times New Roman" w:hAnsi="Times New Roman" w:eastAsia="仿宋_GB2312"/>
        </w:rPr>
        <w:t>6971.29</w:t>
      </w:r>
      <w:r>
        <w:rPr>
          <w:rFonts w:ascii="Times New Roman" w:hAnsi="Times New Roman" w:eastAsia="仿宋_GB2312"/>
          <w:lang w:val="zh-CN"/>
        </w:rPr>
        <w:t>万元，其中：一般公共财政拨款收入</w:t>
      </w:r>
      <w:r>
        <w:rPr>
          <w:rFonts w:ascii="Times New Roman" w:hAnsi="Times New Roman" w:eastAsia="仿宋_GB2312"/>
        </w:rPr>
        <w:t>3270.19</w:t>
      </w:r>
      <w:r>
        <w:rPr>
          <w:rFonts w:ascii="Times New Roman" w:hAnsi="Times New Roman" w:eastAsia="仿宋_GB2312"/>
          <w:lang w:val="zh-CN"/>
        </w:rPr>
        <w:t>万元，政府性基金预算拨款收入</w:t>
      </w:r>
      <w:r>
        <w:rPr>
          <w:rFonts w:ascii="Times New Roman" w:hAnsi="Times New Roman" w:eastAsia="仿宋_GB2312"/>
        </w:rPr>
        <w:t>3701.10</w:t>
      </w:r>
      <w:r>
        <w:rPr>
          <w:rFonts w:ascii="Times New Roman" w:hAnsi="Times New Roman" w:eastAsia="仿宋_GB2312"/>
          <w:lang w:val="zh-CN"/>
        </w:rPr>
        <w:t>万元。</w:t>
      </w:r>
    </w:p>
    <w:p w14:paraId="2A7BD57E">
      <w:pPr>
        <w:snapToGrid w:val="0"/>
        <w:jc w:val="left"/>
        <w:rPr>
          <w:rFonts w:ascii="Times New Roman" w:hAnsi="Times New Roman" w:eastAsia="楷体"/>
        </w:rPr>
      </w:pPr>
      <w:r>
        <w:rPr>
          <w:rFonts w:ascii="Times New Roman" w:hAnsi="Times New Roman" w:eastAsia="楷体"/>
        </w:rPr>
        <w:t>（二）部门财政资金支出情况</w:t>
      </w:r>
    </w:p>
    <w:p w14:paraId="2D06391B">
      <w:pPr>
        <w:adjustRightInd w:val="0"/>
        <w:snapToGrid w:val="0"/>
        <w:jc w:val="left"/>
        <w:rPr>
          <w:rFonts w:ascii="Times New Roman" w:hAnsi="Times New Roman" w:eastAsia="仿宋_GB2312"/>
          <w:lang w:val="zh-CN"/>
        </w:rPr>
      </w:pPr>
      <w:r>
        <w:rPr>
          <w:rFonts w:ascii="Times New Roman" w:hAnsi="Times New Roman" w:eastAsia="仿宋_GB2312"/>
          <w:lang w:val="zh-CN"/>
        </w:rPr>
        <w:t>2020年米易</w:t>
      </w:r>
      <w:r>
        <w:rPr>
          <w:rFonts w:ascii="Times New Roman" w:hAnsi="Times New Roman" w:eastAsia="仿宋_GB2312"/>
        </w:rPr>
        <w:t>县综合行政执法局</w:t>
      </w:r>
      <w:r>
        <w:rPr>
          <w:rFonts w:ascii="Times New Roman" w:hAnsi="Times New Roman" w:eastAsia="仿宋_GB2312"/>
          <w:lang w:val="zh-CN"/>
        </w:rPr>
        <w:t>支出总计8469.41万元，其中：</w:t>
      </w:r>
      <w:r>
        <w:rPr>
          <w:rFonts w:ascii="Times New Roman" w:hAnsi="Times New Roman" w:eastAsia="仿宋_GB2312"/>
        </w:rPr>
        <w:t>一般公共服务支出1.35万元，占支出总额的0.02%；</w:t>
      </w:r>
      <w:r>
        <w:rPr>
          <w:rFonts w:ascii="Times New Roman" w:hAnsi="Times New Roman" w:eastAsia="仿宋_GB2312"/>
          <w:lang w:val="zh-CN"/>
        </w:rPr>
        <w:t>社会保障和就业支出</w:t>
      </w:r>
      <w:r>
        <w:rPr>
          <w:rFonts w:ascii="Times New Roman" w:hAnsi="Times New Roman" w:eastAsia="仿宋_GB2312"/>
        </w:rPr>
        <w:t>42.25</w:t>
      </w:r>
      <w:r>
        <w:rPr>
          <w:rFonts w:ascii="Times New Roman" w:hAnsi="Times New Roman" w:eastAsia="仿宋_GB2312"/>
          <w:lang w:val="zh-CN"/>
        </w:rPr>
        <w:t>万元,占支出总额的0.</w:t>
      </w:r>
      <w:r>
        <w:rPr>
          <w:rFonts w:ascii="Times New Roman" w:hAnsi="Times New Roman" w:eastAsia="仿宋_GB2312"/>
        </w:rPr>
        <w:t>50</w:t>
      </w:r>
      <w:r>
        <w:rPr>
          <w:rFonts w:ascii="Times New Roman" w:hAnsi="Times New Roman" w:eastAsia="仿宋_GB2312"/>
          <w:lang w:val="zh-CN"/>
        </w:rPr>
        <w:t>%；</w:t>
      </w:r>
      <w:r>
        <w:rPr>
          <w:rFonts w:ascii="Times New Roman" w:hAnsi="Times New Roman" w:eastAsia="仿宋_GB2312"/>
        </w:rPr>
        <w:t>卫生健康支出23.14万元，占支出总额的0.27%；节能环保支出1677.06万元，占支出总额的19.80%；</w:t>
      </w:r>
      <w:r>
        <w:rPr>
          <w:rFonts w:ascii="Times New Roman" w:hAnsi="Times New Roman" w:eastAsia="仿宋_GB2312"/>
          <w:lang w:val="zh-CN"/>
        </w:rPr>
        <w:t>城乡社区支出6687.67万元,占支出总额的</w:t>
      </w:r>
      <w:r>
        <w:rPr>
          <w:rFonts w:ascii="Times New Roman" w:hAnsi="Times New Roman" w:eastAsia="仿宋_GB2312"/>
        </w:rPr>
        <w:t>78.96</w:t>
      </w:r>
      <w:r>
        <w:rPr>
          <w:rFonts w:ascii="Times New Roman" w:hAnsi="Times New Roman" w:eastAsia="仿宋_GB2312"/>
          <w:lang w:val="zh-CN"/>
        </w:rPr>
        <w:t>%；住房保障支出</w:t>
      </w:r>
      <w:r>
        <w:rPr>
          <w:rFonts w:ascii="Times New Roman" w:hAnsi="Times New Roman" w:eastAsia="仿宋_GB2312"/>
        </w:rPr>
        <w:t>37.94</w:t>
      </w:r>
      <w:r>
        <w:rPr>
          <w:rFonts w:ascii="Times New Roman" w:hAnsi="Times New Roman" w:eastAsia="仿宋_GB2312"/>
          <w:lang w:val="zh-CN"/>
        </w:rPr>
        <w:t>万元，占支出总额的</w:t>
      </w:r>
      <w:r>
        <w:rPr>
          <w:rFonts w:ascii="Times New Roman" w:hAnsi="Times New Roman" w:eastAsia="仿宋_GB2312"/>
        </w:rPr>
        <w:t>0.45</w:t>
      </w:r>
      <w:r>
        <w:rPr>
          <w:rFonts w:ascii="Times New Roman" w:hAnsi="Times New Roman" w:eastAsia="仿宋_GB2312"/>
          <w:lang w:val="zh-CN"/>
        </w:rPr>
        <w:t xml:space="preserve">%。 </w:t>
      </w:r>
    </w:p>
    <w:p w14:paraId="7FEE91C9">
      <w:pPr>
        <w:snapToGrid w:val="0"/>
        <w:jc w:val="left"/>
        <w:rPr>
          <w:rFonts w:ascii="Times New Roman" w:hAnsi="Times New Roman" w:eastAsia="楷体"/>
        </w:rPr>
      </w:pPr>
      <w:r>
        <w:rPr>
          <w:rFonts w:ascii="Times New Roman" w:hAnsi="Times New Roman" w:eastAsia="楷体"/>
        </w:rPr>
        <w:t>（三）结转和结余情况</w:t>
      </w:r>
    </w:p>
    <w:p w14:paraId="5E05D24B">
      <w:pPr>
        <w:snapToGrid w:val="0"/>
        <w:jc w:val="left"/>
        <w:rPr>
          <w:rFonts w:ascii="Times New Roman" w:hAnsi="Times New Roman" w:eastAsia="仿宋_GB2312"/>
        </w:rPr>
      </w:pPr>
      <w:r>
        <w:rPr>
          <w:rFonts w:ascii="Times New Roman" w:hAnsi="Times New Roman" w:eastAsia="仿宋_GB2312"/>
          <w:lang w:val="zh-CN"/>
        </w:rPr>
        <w:t>2020年末结转和结余3181.34万元，其中：项目支出结转结余3181.34万元。</w:t>
      </w:r>
    </w:p>
    <w:p w14:paraId="12E2E4BB">
      <w:pPr>
        <w:snapToGrid w:val="0"/>
        <w:jc w:val="left"/>
        <w:rPr>
          <w:rFonts w:ascii="Times New Roman" w:hAnsi="Times New Roman" w:eastAsia="黑体"/>
        </w:rPr>
      </w:pPr>
      <w:r>
        <w:rPr>
          <w:rStyle w:val="16"/>
          <w:rFonts w:hint="default" w:ascii="Times New Roman" w:hAnsi="Times New Roman"/>
        </w:rPr>
        <w:t>四、部门财政支出管理情况</w:t>
      </w:r>
    </w:p>
    <w:p w14:paraId="29B75D49">
      <w:pPr>
        <w:snapToGrid w:val="0"/>
        <w:jc w:val="left"/>
        <w:rPr>
          <w:rFonts w:ascii="Times New Roman" w:hAnsi="Times New Roman" w:eastAsia="楷体"/>
        </w:rPr>
      </w:pPr>
      <w:r>
        <w:rPr>
          <w:rFonts w:ascii="Times New Roman" w:hAnsi="Times New Roman" w:eastAsia="楷体"/>
        </w:rPr>
        <w:t>（一）专项资金分配情况</w:t>
      </w:r>
    </w:p>
    <w:p w14:paraId="60B35442">
      <w:pPr>
        <w:jc w:val="left"/>
        <w:rPr>
          <w:rFonts w:ascii="Times New Roman" w:hAnsi="Times New Roman" w:eastAsia="仿宋_GB2312"/>
          <w:kern w:val="0"/>
        </w:rPr>
      </w:pPr>
      <w:r>
        <w:rPr>
          <w:rFonts w:ascii="Times New Roman" w:hAnsi="Times New Roman" w:eastAsia="仿宋_GB2312"/>
          <w:kern w:val="0"/>
        </w:rPr>
        <w:t>我局2020年专项资金及其分配情况：</w:t>
      </w:r>
    </w:p>
    <w:p w14:paraId="5A59DE07">
      <w:pPr>
        <w:jc w:val="left"/>
        <w:rPr>
          <w:rFonts w:ascii="Times New Roman" w:hAnsi="Times New Roman" w:eastAsia="仿宋_GB2312"/>
          <w:kern w:val="0"/>
        </w:rPr>
      </w:pPr>
      <w:r>
        <w:rPr>
          <w:rFonts w:ascii="Times New Roman" w:hAnsi="Times New Roman" w:eastAsia="仿宋_GB2312"/>
          <w:kern w:val="0"/>
        </w:rPr>
        <w:t>１．根据米财资投[2019]27号等下达地方政府债券资金通知（污水垃圾治理）资金1681.90万元，主要用于米易县生活垃圾中转站土建工程、封场工程及中转站相关设备购置等。</w:t>
      </w:r>
    </w:p>
    <w:p w14:paraId="5B9D4133">
      <w:pPr>
        <w:jc w:val="left"/>
        <w:rPr>
          <w:rFonts w:ascii="Times New Roman" w:hAnsi="Times New Roman" w:eastAsia="仿宋_GB2312"/>
          <w:kern w:val="0"/>
        </w:rPr>
      </w:pPr>
      <w:r>
        <w:rPr>
          <w:rFonts w:ascii="Times New Roman" w:hAnsi="Times New Roman" w:eastAsia="仿宋_GB2312"/>
          <w:kern w:val="0"/>
        </w:rPr>
        <w:t>2.（2018财返）米财资投[2018]76号资金，2018年宜居县城建设专项（执行川财投〔2018〕5号）资金15.20万，主要用于铁建路污水管网建设相关费用（设计费、施工图审查费、勘察费）。</w:t>
      </w:r>
    </w:p>
    <w:p w14:paraId="37029672">
      <w:pPr>
        <w:jc w:val="left"/>
        <w:rPr>
          <w:rFonts w:ascii="Times New Roman" w:hAnsi="Times New Roman" w:eastAsia="仿宋_GB2312"/>
          <w:kern w:val="0"/>
        </w:rPr>
      </w:pPr>
      <w:r>
        <w:rPr>
          <w:rFonts w:ascii="Times New Roman" w:hAnsi="Times New Roman" w:eastAsia="仿宋_GB2312"/>
          <w:kern w:val="0"/>
        </w:rPr>
        <w:t>3.据米财资建〔20</w:t>
      </w:r>
      <w:r>
        <w:rPr>
          <w:rFonts w:hint="eastAsia" w:ascii="Times New Roman" w:hAnsi="Times New Roman" w:eastAsia="仿宋_GB2312"/>
          <w:kern w:val="0"/>
        </w:rPr>
        <w:t>20</w:t>
      </w:r>
      <w:r>
        <w:rPr>
          <w:rFonts w:ascii="Times New Roman" w:hAnsi="Times New Roman" w:eastAsia="仿宋_GB2312"/>
          <w:kern w:val="0"/>
        </w:rPr>
        <w:t>〕242号，预下达2020年排水设施建设中央资金（执行川财建〔20</w:t>
      </w:r>
      <w:r>
        <w:rPr>
          <w:rFonts w:hint="eastAsia" w:ascii="Times New Roman" w:hAnsi="Times New Roman" w:eastAsia="仿宋_GB2312"/>
          <w:kern w:val="0"/>
        </w:rPr>
        <w:t>20</w:t>
      </w:r>
      <w:r>
        <w:rPr>
          <w:rFonts w:ascii="Times New Roman" w:hAnsi="Times New Roman" w:eastAsia="仿宋_GB2312"/>
          <w:kern w:val="0"/>
        </w:rPr>
        <w:t>〕329号201935-（2019财返）米财资投〔2019〕108号资金910万元，2020年未安排支出。</w:t>
      </w:r>
    </w:p>
    <w:p w14:paraId="08282A91">
      <w:pPr>
        <w:jc w:val="left"/>
        <w:rPr>
          <w:rFonts w:ascii="Times New Roman" w:hAnsi="Times New Roman" w:eastAsia="仿宋_GB2312"/>
          <w:kern w:val="0"/>
        </w:rPr>
      </w:pPr>
      <w:r>
        <w:rPr>
          <w:rFonts w:ascii="Times New Roman" w:hAnsi="Times New Roman" w:eastAsia="仿宋_GB2312"/>
          <w:kern w:val="0"/>
        </w:rPr>
        <w:t>4.2019年公园城市建设试点专项（执行川财投〔2019〕40号201936-（2019财返）米财资投〔2019〕91号资金1000万元，其中2020年安排公园城市建设工程建设及相关费用支出（含监理费）296.03万元。　　　　</w:t>
      </w:r>
    </w:p>
    <w:p w14:paraId="1C7A7EF2">
      <w:pPr>
        <w:jc w:val="left"/>
        <w:rPr>
          <w:rFonts w:ascii="Times New Roman" w:hAnsi="Times New Roman" w:eastAsia="仿宋_GB2312"/>
          <w:kern w:val="0"/>
        </w:rPr>
      </w:pPr>
      <w:r>
        <w:rPr>
          <w:rFonts w:ascii="Times New Roman" w:hAnsi="Times New Roman" w:eastAsia="仿宋_GB2312"/>
          <w:kern w:val="0"/>
        </w:rPr>
        <w:t>5.2019年城镇污水处理设施三推方案（川财投〔2019〕38号）资金1006万元，其中2020年安排封场工程进度资金支出420万元。</w:t>
      </w:r>
    </w:p>
    <w:p w14:paraId="0EC0AFD5">
      <w:pPr>
        <w:jc w:val="left"/>
        <w:rPr>
          <w:rFonts w:ascii="Times New Roman" w:hAnsi="Times New Roman" w:eastAsia="仿宋_GB2312"/>
          <w:kern w:val="0"/>
        </w:rPr>
      </w:pPr>
      <w:r>
        <w:rPr>
          <w:rFonts w:ascii="Times New Roman" w:hAnsi="Times New Roman" w:eastAsia="仿宋_GB2312"/>
          <w:kern w:val="0"/>
        </w:rPr>
        <w:t>专项资金分配遵循：集中财力，保障重点；科学决策，规范分配；公开透明，注重绩效的原则。</w:t>
      </w:r>
    </w:p>
    <w:p w14:paraId="0D7F962B">
      <w:pPr>
        <w:snapToGrid w:val="0"/>
        <w:jc w:val="left"/>
        <w:rPr>
          <w:rFonts w:ascii="Times New Roman" w:hAnsi="Times New Roman" w:eastAsia="楷体"/>
        </w:rPr>
      </w:pPr>
      <w:r>
        <w:rPr>
          <w:rFonts w:ascii="Times New Roman" w:hAnsi="Times New Roman" w:eastAsia="楷体"/>
        </w:rPr>
        <w:t>（二）资产管理</w:t>
      </w:r>
    </w:p>
    <w:p w14:paraId="7924702C">
      <w:pPr>
        <w:jc w:val="left"/>
        <w:rPr>
          <w:rFonts w:ascii="Times New Roman" w:hAnsi="Times New Roman" w:eastAsia="仿宋_GB2312"/>
        </w:rPr>
      </w:pPr>
      <w:r>
        <w:rPr>
          <w:rFonts w:ascii="Times New Roman" w:hAnsi="Times New Roman" w:eastAsia="仿宋_GB2312"/>
        </w:rPr>
        <w:t>按照内部控制管理的相关要求，我局制订了相关的资产管理制度，资产管理控制目标是预防国有资产流失，严格按相关的法律法规标准购置、配置和使用资产，并与单位的政府职能相适应，科学合理地优化资产结构。加强对实物资产和无形资产的管理，明确相关部门和岗位的职责权限，强化对配置、使用和处置等关键环节的管控。</w:t>
      </w:r>
    </w:p>
    <w:p w14:paraId="4F975F7C">
      <w:pPr>
        <w:jc w:val="left"/>
        <w:rPr>
          <w:rFonts w:ascii="Times New Roman" w:hAnsi="Times New Roman" w:eastAsia="仿宋_GB2312"/>
        </w:rPr>
      </w:pPr>
      <w:r>
        <w:rPr>
          <w:rFonts w:ascii="Times New Roman" w:hAnsi="Times New Roman" w:eastAsia="仿宋_GB2312"/>
        </w:rPr>
        <w:t>1.对资产实施归口管理。我局资产管理实行股室长负责制，明确资产使用和保管责任人，落实资产使用人在资产管理中的责任。贵重资产、危险资产、有保密等特殊要求的资产，指定专人保管、专人使用，并规定严格的接触限制条件和审批程序。</w:t>
      </w:r>
    </w:p>
    <w:p w14:paraId="52771B4F">
      <w:pPr>
        <w:jc w:val="left"/>
        <w:rPr>
          <w:rFonts w:ascii="Times New Roman" w:hAnsi="Times New Roman" w:eastAsia="仿宋_GB2312"/>
        </w:rPr>
      </w:pPr>
      <w:r>
        <w:rPr>
          <w:rFonts w:ascii="Times New Roman" w:hAnsi="Times New Roman" w:eastAsia="仿宋_GB2312"/>
        </w:rPr>
        <w:t>2.按照国有资产管理相关规定，明确资产的调剂、租借、对外投资、处置的程序、审批权限和责任。</w:t>
      </w:r>
    </w:p>
    <w:p w14:paraId="6E54A82A">
      <w:pPr>
        <w:jc w:val="left"/>
        <w:rPr>
          <w:rFonts w:ascii="Times New Roman" w:hAnsi="Times New Roman" w:eastAsia="仿宋_GB2312"/>
        </w:rPr>
      </w:pPr>
      <w:r>
        <w:rPr>
          <w:rFonts w:ascii="Times New Roman" w:hAnsi="Times New Roman" w:eastAsia="仿宋_GB2312"/>
        </w:rPr>
        <w:t>3.建立资产台账，加强资产的实物管理。定期清查盘点资产（一般为２年进行一次资产清查），确保账实相符。财会、资产管理、资产使用等部门或岗位定期对账，发现不符的，及时查明原因，并按照相关规定处理。</w:t>
      </w:r>
    </w:p>
    <w:p w14:paraId="0F107AAF">
      <w:pPr>
        <w:jc w:val="left"/>
        <w:rPr>
          <w:rFonts w:ascii="Times New Roman" w:hAnsi="Times New Roman" w:eastAsia="仿宋_GB2312"/>
        </w:rPr>
      </w:pPr>
      <w:r>
        <w:rPr>
          <w:rFonts w:ascii="Times New Roman" w:hAnsi="Times New Roman" w:eastAsia="仿宋_GB2312"/>
        </w:rPr>
        <w:t>4.建立资产信息管理系统，做好资产的统计、报告、分析工作，实现对资产的动态管理。</w:t>
      </w:r>
    </w:p>
    <w:p w14:paraId="4B96F47A">
      <w:pPr>
        <w:snapToGrid w:val="0"/>
        <w:jc w:val="left"/>
        <w:rPr>
          <w:rFonts w:ascii="Times New Roman" w:hAnsi="Times New Roman" w:eastAsia="楷体"/>
        </w:rPr>
      </w:pPr>
      <w:r>
        <w:rPr>
          <w:rFonts w:ascii="Times New Roman" w:hAnsi="Times New Roman" w:eastAsia="楷体"/>
        </w:rPr>
        <w:t>（三）内控制度管理</w:t>
      </w:r>
    </w:p>
    <w:p w14:paraId="0BB4729A">
      <w:pPr>
        <w:widowControl/>
        <w:adjustRightInd w:val="0"/>
        <w:snapToGrid w:val="0"/>
        <w:ind w:firstLine="643"/>
        <w:jc w:val="left"/>
        <w:rPr>
          <w:rFonts w:ascii="Times New Roman" w:hAnsi="Times New Roman" w:eastAsia="仿宋_GB2312"/>
          <w:b/>
          <w:bCs/>
        </w:rPr>
      </w:pPr>
      <w:r>
        <w:rPr>
          <w:rFonts w:ascii="Times New Roman" w:hAnsi="Times New Roman" w:eastAsia="仿宋_GB2312"/>
          <w:b/>
          <w:bCs/>
        </w:rPr>
        <w:t>内部控制制度的设置及执行情况</w:t>
      </w:r>
    </w:p>
    <w:p w14:paraId="5F3EA428">
      <w:pPr>
        <w:jc w:val="left"/>
        <w:rPr>
          <w:rFonts w:ascii="Times New Roman" w:hAnsi="Times New Roman" w:eastAsia="仿宋_GB2312"/>
        </w:rPr>
      </w:pPr>
      <w:r>
        <w:rPr>
          <w:rFonts w:ascii="Times New Roman" w:hAnsi="Times New Roman" w:eastAsia="仿宋_GB2312"/>
        </w:rPr>
        <w:t>1.建立预算管理制度。单位预算管理制度应涵盖预算编制与内部审批、分解下达、预算执行、年度决算与绩效评价四个方面。</w:t>
      </w:r>
    </w:p>
    <w:p w14:paraId="12D3AC38">
      <w:pPr>
        <w:jc w:val="left"/>
        <w:rPr>
          <w:rFonts w:ascii="Times New Roman" w:hAnsi="Times New Roman" w:eastAsia="仿宋_GB2312"/>
        </w:rPr>
      </w:pPr>
      <w:r>
        <w:rPr>
          <w:rFonts w:ascii="Times New Roman" w:hAnsi="Times New Roman" w:eastAsia="仿宋_GB2312"/>
        </w:rPr>
        <w:t>2.建立收入管理制度。单位收入管理制度应涵盖票据管理、收入收缴、收入核算等方面。</w:t>
      </w:r>
    </w:p>
    <w:p w14:paraId="54920DCE">
      <w:pPr>
        <w:jc w:val="left"/>
        <w:rPr>
          <w:rFonts w:ascii="Times New Roman" w:hAnsi="Times New Roman" w:eastAsia="仿宋_GB2312"/>
        </w:rPr>
      </w:pPr>
      <w:r>
        <w:rPr>
          <w:rFonts w:ascii="Times New Roman" w:hAnsi="Times New Roman" w:eastAsia="仿宋_GB2312"/>
        </w:rPr>
        <w:t>3.建立支出管理制度。单位支出管理制度应涵盖预算与计划、支出范围与标准确定、审批权限与审批流程、支出核算四个方面。</w:t>
      </w:r>
    </w:p>
    <w:p w14:paraId="5721EE23">
      <w:pPr>
        <w:jc w:val="left"/>
        <w:rPr>
          <w:rFonts w:ascii="Times New Roman" w:hAnsi="Times New Roman" w:eastAsia="仿宋_GB2312"/>
        </w:rPr>
      </w:pPr>
      <w:r>
        <w:rPr>
          <w:rFonts w:ascii="Times New Roman" w:hAnsi="Times New Roman" w:eastAsia="仿宋_GB2312"/>
        </w:rPr>
        <w:t>4.建立政府采购管理制度。单位的政府采购管理制度应涵盖预算与计划、需求申请与审批、过程管理、验收入库四个方面。</w:t>
      </w:r>
    </w:p>
    <w:p w14:paraId="56444629">
      <w:pPr>
        <w:jc w:val="left"/>
        <w:rPr>
          <w:rFonts w:ascii="Times New Roman" w:hAnsi="Times New Roman" w:eastAsia="仿宋_GB2312"/>
        </w:rPr>
      </w:pPr>
      <w:r>
        <w:rPr>
          <w:rFonts w:ascii="Times New Roman" w:hAnsi="Times New Roman" w:eastAsia="仿宋_GB2312"/>
        </w:rPr>
        <w:t>5.建立资产管理制度。单位的资产管理制度应涵盖资产购置、资产保管、资产使用、资产核算与处置四个方面。</w:t>
      </w:r>
    </w:p>
    <w:p w14:paraId="7C857DD4">
      <w:pPr>
        <w:jc w:val="left"/>
        <w:rPr>
          <w:rFonts w:ascii="Times New Roman" w:hAnsi="Times New Roman" w:eastAsia="仿宋_GB2312"/>
        </w:rPr>
      </w:pPr>
      <w:r>
        <w:rPr>
          <w:rFonts w:ascii="Times New Roman" w:hAnsi="Times New Roman" w:eastAsia="仿宋_GB2312"/>
        </w:rPr>
        <w:t>6.建立建设项目管理制度。建设项目管理制度应涵盖项目立项与审核、概算预算、招标投标、工程变更、资金控制、验收与决算等方面。</w:t>
      </w:r>
    </w:p>
    <w:p w14:paraId="42C61332">
      <w:pPr>
        <w:jc w:val="left"/>
        <w:rPr>
          <w:rFonts w:ascii="Times New Roman" w:hAnsi="Times New Roman" w:eastAsia="仿宋_GB2312"/>
        </w:rPr>
      </w:pPr>
      <w:r>
        <w:rPr>
          <w:rFonts w:ascii="Times New Roman" w:hAnsi="Times New Roman" w:eastAsia="仿宋_GB2312"/>
        </w:rPr>
        <w:t>7.建立合同管理制度。合同管理制度应涵盖合同订立、合同履行、合同归档、合同纠纷处理四个方面。</w:t>
      </w:r>
    </w:p>
    <w:p w14:paraId="3379D448">
      <w:pPr>
        <w:jc w:val="left"/>
        <w:rPr>
          <w:rFonts w:ascii="Times New Roman" w:hAnsi="Times New Roman" w:eastAsia="仿宋_GB2312"/>
        </w:rPr>
      </w:pPr>
      <w:r>
        <w:rPr>
          <w:rFonts w:ascii="Times New Roman" w:hAnsi="Times New Roman" w:eastAsia="仿宋_GB2312"/>
        </w:rPr>
        <w:t>8.建立决策机制制度。决策机制制度至少要涵盖集体决策、分级授权两个方面。</w:t>
      </w:r>
    </w:p>
    <w:p w14:paraId="036C9DF6">
      <w:pPr>
        <w:jc w:val="left"/>
        <w:rPr>
          <w:rFonts w:ascii="Times New Roman" w:hAnsi="Times New Roman" w:eastAsia="仿宋_GB2312"/>
        </w:rPr>
      </w:pPr>
      <w:r>
        <w:rPr>
          <w:rFonts w:ascii="Times New Roman" w:hAnsi="Times New Roman" w:eastAsia="仿宋_GB2312"/>
        </w:rPr>
        <w:t>为更好保障内部控制制度的实施，我局成立了内部控制领导小组</w:t>
      </w:r>
    </w:p>
    <w:p w14:paraId="53DA80D1">
      <w:pPr>
        <w:jc w:val="left"/>
        <w:rPr>
          <w:rFonts w:ascii="Times New Roman" w:hAnsi="Times New Roman" w:eastAsia="仿宋_GB2312"/>
        </w:rPr>
      </w:pPr>
      <w:r>
        <w:rPr>
          <w:rFonts w:ascii="Times New Roman" w:hAnsi="Times New Roman" w:eastAsia="仿宋_GB2312"/>
        </w:rPr>
        <w:t>成立由局长（专职党支部书记、局长）任组长，副局长为副组长，各股室长及内控相关人员为成员的内部控制领导小组。财务室是在内部控制领导小组领导下，牵头实施内部控制建设运行工作机构，分管副局长兼任办公室主任。</w:t>
      </w:r>
    </w:p>
    <w:p w14:paraId="1AC4671F">
      <w:pPr>
        <w:jc w:val="left"/>
        <w:rPr>
          <w:rFonts w:ascii="Times New Roman" w:hAnsi="Times New Roman" w:eastAsia="仿宋_GB2312"/>
          <w:shd w:val="clear" w:color="auto" w:fill="FFFFFF"/>
        </w:rPr>
      </w:pPr>
      <w:r>
        <w:rPr>
          <w:rFonts w:ascii="Times New Roman" w:hAnsi="Times New Roman" w:eastAsia="仿宋_GB2312"/>
          <w:shd w:val="clear" w:color="auto" w:fill="FFFFFF"/>
        </w:rPr>
        <w:t>组长为我单位内部控制</w:t>
      </w:r>
      <w:r>
        <w:rPr>
          <w:rFonts w:ascii="Times New Roman" w:hAnsi="Times New Roman" w:eastAsia="仿宋_GB2312"/>
        </w:rPr>
        <w:t>建设第一责任人。</w:t>
      </w:r>
    </w:p>
    <w:p w14:paraId="0044D720">
      <w:pPr>
        <w:jc w:val="left"/>
        <w:rPr>
          <w:rFonts w:ascii="Times New Roman" w:hAnsi="Times New Roman" w:eastAsia="仿宋_GB2312"/>
          <w:shd w:val="clear" w:color="auto" w:fill="FFFFFF"/>
        </w:rPr>
      </w:pPr>
      <w:r>
        <w:rPr>
          <w:rFonts w:ascii="Times New Roman" w:hAnsi="Times New Roman" w:eastAsia="仿宋_GB2312"/>
          <w:shd w:val="clear" w:color="auto" w:fill="FFFFFF"/>
        </w:rPr>
        <w:t>领导小组下设：内部控制评价与监督工作小组，内控建设小组分别由局长和分管财务副局长担任负责人。</w:t>
      </w:r>
    </w:p>
    <w:p w14:paraId="5B8E0A4A">
      <w:pPr>
        <w:jc w:val="left"/>
        <w:rPr>
          <w:rFonts w:ascii="Times New Roman" w:hAnsi="Times New Roman" w:eastAsia="仿宋_GB2312"/>
          <w:shd w:val="clear" w:color="auto" w:fill="FFFFFF"/>
        </w:rPr>
      </w:pPr>
      <w:r>
        <w:rPr>
          <w:rFonts w:ascii="Times New Roman" w:hAnsi="Times New Roman" w:eastAsia="仿宋_GB2312"/>
          <w:shd w:val="clear" w:color="auto" w:fill="FFFFFF"/>
        </w:rPr>
        <w:t>内控牵头部门：财务室</w:t>
      </w:r>
    </w:p>
    <w:p w14:paraId="29ED4669">
      <w:pPr>
        <w:jc w:val="left"/>
        <w:rPr>
          <w:rFonts w:ascii="Times New Roman" w:hAnsi="Times New Roman" w:eastAsia="仿宋_GB2312"/>
          <w:shd w:val="clear" w:color="auto" w:fill="FFFFFF"/>
        </w:rPr>
      </w:pPr>
      <w:r>
        <w:rPr>
          <w:rFonts w:ascii="Times New Roman" w:hAnsi="Times New Roman" w:eastAsia="仿宋_GB2312"/>
          <w:shd w:val="clear" w:color="auto" w:fill="FFFFFF"/>
        </w:rPr>
        <w:t>内控监督部门：党支部</w:t>
      </w:r>
    </w:p>
    <w:p w14:paraId="14C5596A">
      <w:pPr>
        <w:snapToGrid w:val="0"/>
        <w:ind w:firstLine="643"/>
        <w:jc w:val="left"/>
        <w:rPr>
          <w:rFonts w:ascii="Times New Roman" w:hAnsi="Times New Roman" w:eastAsia="仿宋_GB2312"/>
          <w:b/>
          <w:bCs/>
          <w:color w:val="C4BC96"/>
        </w:rPr>
      </w:pPr>
      <w:r>
        <w:rPr>
          <w:rFonts w:ascii="Times New Roman" w:hAnsi="Times New Roman" w:eastAsia="仿宋_GB2312"/>
          <w:b/>
          <w:bCs/>
        </w:rPr>
        <w:t>部门内部控制制度的执行：</w:t>
      </w:r>
    </w:p>
    <w:p w14:paraId="33E639BE">
      <w:pPr>
        <w:jc w:val="left"/>
        <w:rPr>
          <w:rFonts w:ascii="Times New Roman" w:hAnsi="Times New Roman" w:eastAsia="仿宋_GB2312"/>
        </w:rPr>
      </w:pPr>
      <w:r>
        <w:rPr>
          <w:rFonts w:ascii="Times New Roman" w:hAnsi="Times New Roman" w:eastAsia="仿宋_GB2312"/>
        </w:rPr>
        <w:t>建立内部控制联席工作机制</w:t>
      </w:r>
    </w:p>
    <w:p w14:paraId="5047AC8D">
      <w:pPr>
        <w:jc w:val="left"/>
        <w:rPr>
          <w:rFonts w:ascii="Times New Roman" w:hAnsi="Times New Roman" w:eastAsia="仿宋_GB2312"/>
        </w:rPr>
      </w:pPr>
      <w:r>
        <w:rPr>
          <w:rFonts w:ascii="Times New Roman" w:hAnsi="Times New Roman" w:eastAsia="仿宋_GB2312"/>
        </w:rPr>
        <w:t>1.建立健全决策、执行、监督相分离机制。</w:t>
      </w:r>
    </w:p>
    <w:p w14:paraId="189B7E52">
      <w:pPr>
        <w:jc w:val="left"/>
        <w:rPr>
          <w:rFonts w:ascii="Times New Roman" w:hAnsi="Times New Roman" w:eastAsia="仿宋_GB2312"/>
        </w:rPr>
      </w:pPr>
      <w:r>
        <w:rPr>
          <w:rFonts w:ascii="Times New Roman" w:hAnsi="Times New Roman" w:eastAsia="仿宋_GB2312"/>
        </w:rPr>
        <w:t>2.建立健全议事决策机制。</w:t>
      </w:r>
    </w:p>
    <w:p w14:paraId="1A871A7A">
      <w:pPr>
        <w:jc w:val="left"/>
        <w:rPr>
          <w:rFonts w:ascii="Times New Roman" w:hAnsi="Times New Roman" w:eastAsia="仿宋_GB2312"/>
        </w:rPr>
      </w:pPr>
      <w:r>
        <w:rPr>
          <w:rFonts w:ascii="Times New Roman" w:hAnsi="Times New Roman" w:eastAsia="仿宋_GB2312"/>
        </w:rPr>
        <w:t>3.建立健全内部控制关键岗位责任制。</w:t>
      </w:r>
    </w:p>
    <w:p w14:paraId="47088123">
      <w:pPr>
        <w:jc w:val="left"/>
        <w:rPr>
          <w:rFonts w:ascii="Times New Roman" w:hAnsi="Times New Roman" w:eastAsia="仿宋_GB2312"/>
        </w:rPr>
      </w:pPr>
      <w:r>
        <w:rPr>
          <w:rFonts w:ascii="Times New Roman" w:hAnsi="Times New Roman" w:eastAsia="仿宋_GB2312"/>
        </w:rPr>
        <w:t>4.建立健全内控自我评价及报告机制。</w:t>
      </w:r>
    </w:p>
    <w:p w14:paraId="1636C71E">
      <w:pPr>
        <w:jc w:val="left"/>
        <w:rPr>
          <w:rFonts w:ascii="Times New Roman" w:hAnsi="Times New Roman" w:eastAsia="仿宋_GB2312"/>
        </w:rPr>
      </w:pPr>
      <w:r>
        <w:rPr>
          <w:rFonts w:ascii="Times New Roman" w:hAnsi="Times New Roman" w:eastAsia="仿宋_GB2312"/>
        </w:rPr>
        <w:t>工作分工</w:t>
      </w:r>
    </w:p>
    <w:p w14:paraId="17CD0FCA">
      <w:pPr>
        <w:jc w:val="left"/>
        <w:rPr>
          <w:rFonts w:ascii="Times New Roman" w:hAnsi="Times New Roman" w:eastAsia="仿宋_GB2312"/>
        </w:rPr>
      </w:pPr>
      <w:r>
        <w:rPr>
          <w:rFonts w:ascii="Times New Roman" w:hAnsi="Times New Roman" w:eastAsia="仿宋_GB2312"/>
        </w:rPr>
        <w:t>财务室为总牵头部门，负责实施方案的制定；组织开展专题培训；梳理本单位业务流程（包含预算管理、收入管理、支出管理、资产管理、合同管理、政府采购管理、建设项目管理等），明确业务环节，分析风险隐患，建立健全相关制度；完善内部控制基础性评价，积极开展内部控制自我评价工作，促进内部工作信息公开；加强对各股室实施情况的监督检查。</w:t>
      </w:r>
    </w:p>
    <w:p w14:paraId="2CC903D5">
      <w:pPr>
        <w:jc w:val="left"/>
        <w:rPr>
          <w:rFonts w:ascii="Times New Roman" w:hAnsi="Times New Roman" w:eastAsia="仿宋_GB2312"/>
        </w:rPr>
      </w:pPr>
      <w:r>
        <w:rPr>
          <w:rFonts w:ascii="Times New Roman" w:hAnsi="Times New Roman" w:eastAsia="仿宋_GB2312"/>
        </w:rPr>
        <w:t>负责建立决策机制，建立健集体决策制度、岗位规章制度，以及岗位职责制度。</w:t>
      </w:r>
    </w:p>
    <w:p w14:paraId="23A925C7">
      <w:pPr>
        <w:jc w:val="left"/>
        <w:rPr>
          <w:rFonts w:ascii="Times New Roman" w:hAnsi="Times New Roman" w:eastAsia="仿宋_GB2312"/>
        </w:rPr>
      </w:pPr>
      <w:r>
        <w:rPr>
          <w:rFonts w:ascii="Times New Roman" w:hAnsi="Times New Roman" w:eastAsia="仿宋_GB2312"/>
        </w:rPr>
        <w:t>其他业务股室负责年度预算计划申请、预算执行及报送绩效情况。</w:t>
      </w:r>
    </w:p>
    <w:p w14:paraId="4E8FE5EC">
      <w:pPr>
        <w:jc w:val="left"/>
        <w:rPr>
          <w:rFonts w:ascii="Times New Roman" w:hAnsi="Times New Roman" w:eastAsia="仿宋_GB2312"/>
        </w:rPr>
      </w:pPr>
      <w:r>
        <w:rPr>
          <w:rFonts w:ascii="Times New Roman" w:hAnsi="Times New Roman" w:eastAsia="仿宋_GB2312"/>
        </w:rPr>
        <w:t>纪检监察组等监督部门建立协调机制，协调推进对权力运行的监督，适时对内部控制建设情况开展行政督查和内部审计。</w:t>
      </w:r>
    </w:p>
    <w:p w14:paraId="488BEB24">
      <w:pPr>
        <w:jc w:val="left"/>
        <w:rPr>
          <w:rFonts w:ascii="Times New Roman" w:hAnsi="Times New Roman" w:eastAsia="仿宋_GB2312"/>
        </w:rPr>
      </w:pPr>
      <w:r>
        <w:rPr>
          <w:rFonts w:ascii="Times New Roman" w:hAnsi="Times New Roman" w:eastAsia="仿宋_GB2312"/>
        </w:rPr>
        <w:t>根据实施方案的要求，参照各项制度制订本单位相应的制度，推动本单位内部控制建设，确保制度健全、执行有力、监督到位。</w:t>
      </w:r>
    </w:p>
    <w:p w14:paraId="32818DB5">
      <w:pPr>
        <w:snapToGrid w:val="0"/>
        <w:jc w:val="left"/>
        <w:rPr>
          <w:rFonts w:ascii="Times New Roman" w:hAnsi="Times New Roman" w:eastAsia="楷体"/>
        </w:rPr>
      </w:pPr>
      <w:r>
        <w:rPr>
          <w:rFonts w:ascii="Times New Roman" w:hAnsi="Times New Roman" w:eastAsia="楷体"/>
        </w:rPr>
        <w:t>（四）信息公开</w:t>
      </w:r>
    </w:p>
    <w:p w14:paraId="66C03B43">
      <w:pPr>
        <w:jc w:val="left"/>
        <w:rPr>
          <w:rFonts w:ascii="Times New Roman" w:hAnsi="Times New Roman" w:eastAsia="仿宋_GB2312"/>
        </w:rPr>
      </w:pPr>
      <w:r>
        <w:rPr>
          <w:rFonts w:ascii="Times New Roman" w:hAnsi="Times New Roman" w:eastAsia="仿宋_GB2312"/>
        </w:rPr>
        <w:t>为推进建立全面规范透明的预算管理制度，进一步推动预决算公开工作，依据《</w:t>
      </w:r>
      <w:r>
        <w:rPr>
          <w:rFonts w:hint="eastAsia" w:ascii="Times New Roman" w:hAnsi="Times New Roman" w:eastAsia="仿宋_GB2312"/>
        </w:rPr>
        <w:t>中华</w:t>
      </w:r>
      <w:r>
        <w:rPr>
          <w:rFonts w:ascii="Times New Roman" w:hAnsi="Times New Roman" w:eastAsia="仿宋_GB2312"/>
        </w:rPr>
        <w:t>人民共和国预算法》《中华人民共和国政府信息公开条例》以及《四川省财政厅关于开展2019、2020年度地方预决算公开情况专项检查的通知》的要求，我局对2019、2020年度预决算公开情况进行了认真细致的再一次检查，通过自查，我局在预决算公开上严格按照《四川省财政厅关于开展2019、2020年度地方预决算公开情况专项检查的通知》要求，对2018年决算，2019年预算、决算以及2020年预算进行了编制、执行和公开。</w:t>
      </w:r>
    </w:p>
    <w:p w14:paraId="1FE2C025">
      <w:pPr>
        <w:snapToGrid w:val="0"/>
        <w:jc w:val="left"/>
        <w:rPr>
          <w:rFonts w:ascii="Times New Roman" w:hAnsi="Times New Roman" w:eastAsia="楷体"/>
        </w:rPr>
      </w:pPr>
      <w:r>
        <w:rPr>
          <w:rFonts w:ascii="Times New Roman" w:hAnsi="Times New Roman" w:eastAsia="楷体"/>
        </w:rPr>
        <w:t>（五）绩效监控</w:t>
      </w:r>
    </w:p>
    <w:p w14:paraId="0B930503">
      <w:pPr>
        <w:snapToGrid w:val="0"/>
        <w:jc w:val="left"/>
        <w:rPr>
          <w:rFonts w:ascii="Times New Roman" w:hAnsi="Times New Roman" w:eastAsia="仿宋_GB2312"/>
        </w:rPr>
      </w:pPr>
      <w:r>
        <w:rPr>
          <w:rFonts w:ascii="Times New Roman" w:hAnsi="Times New Roman" w:eastAsia="仿宋_GB2312"/>
        </w:rPr>
        <w:t xml:space="preserve"> 2020年预算执行进度监控情况。</w:t>
      </w:r>
    </w:p>
    <w:p w14:paraId="56F1EBCB">
      <w:pPr>
        <w:snapToGrid w:val="0"/>
        <w:jc w:val="left"/>
        <w:rPr>
          <w:rFonts w:ascii="Times New Roman" w:hAnsi="Times New Roman" w:eastAsia="仿宋_GB2312"/>
        </w:rPr>
      </w:pPr>
      <w:r>
        <w:rPr>
          <w:rFonts w:ascii="Times New Roman" w:hAnsi="Times New Roman" w:eastAsia="仿宋_GB2312"/>
        </w:rPr>
        <w:t>根据米财预〔2020〕142 号“米易县财政局关于开展 2020 年度事中绩效监控工作”的通知要求，我局进一步加强本部门2020年项目绩效运行监控，并按要求在分析绩效监控信息的基础上填写了《2020年度部门事中绩效监控表》，同时形成了本部门事中绩效监控工作报告。</w:t>
      </w:r>
    </w:p>
    <w:p w14:paraId="41F85420">
      <w:pPr>
        <w:snapToGrid w:val="0"/>
        <w:jc w:val="left"/>
        <w:rPr>
          <w:rFonts w:ascii="Times New Roman" w:hAnsi="Times New Roman" w:eastAsia="楷体"/>
        </w:rPr>
      </w:pPr>
      <w:r>
        <w:rPr>
          <w:rFonts w:ascii="Times New Roman" w:hAnsi="Times New Roman" w:eastAsia="楷体"/>
        </w:rPr>
        <w:t>（六）部门绩效情况</w:t>
      </w:r>
    </w:p>
    <w:p w14:paraId="79A9ABB3">
      <w:pPr>
        <w:snapToGrid w:val="0"/>
        <w:ind w:firstLine="643"/>
        <w:jc w:val="left"/>
        <w:rPr>
          <w:rFonts w:ascii="Times New Roman" w:hAnsi="Times New Roman" w:eastAsia="仿宋_GB2312"/>
          <w:b/>
          <w:bCs/>
        </w:rPr>
      </w:pPr>
      <w:r>
        <w:rPr>
          <w:rStyle w:val="17"/>
          <w:rFonts w:ascii="Times New Roman" w:hAnsi="Times New Roman" w:eastAsia="仿宋_GB2312"/>
        </w:rPr>
        <w:t>1.</w:t>
      </w:r>
      <w:r>
        <w:rPr>
          <w:rStyle w:val="18"/>
          <w:rFonts w:hint="default" w:ascii="Times New Roman" w:hAnsi="Times New Roman"/>
          <w:b/>
          <w:bCs/>
        </w:rPr>
        <w:t>总体绩效</w:t>
      </w:r>
    </w:p>
    <w:p w14:paraId="066C07C1">
      <w:pPr>
        <w:jc w:val="left"/>
        <w:rPr>
          <w:rFonts w:ascii="Times New Roman" w:hAnsi="Times New Roman" w:eastAsia="仿宋_GB2312"/>
        </w:rPr>
      </w:pPr>
      <w:r>
        <w:rPr>
          <w:rFonts w:ascii="Times New Roman" w:hAnsi="Times New Roman" w:eastAsia="仿宋_GB2312"/>
        </w:rPr>
        <w:t>2020年，米易县综合行政执法局</w:t>
      </w:r>
      <w:r>
        <w:rPr>
          <w:rFonts w:hint="eastAsia" w:ascii="Times New Roman" w:hAnsi="Times New Roman" w:eastAsia="仿宋_GB2312"/>
        </w:rPr>
        <w:t>坚持</w:t>
      </w:r>
      <w:r>
        <w:rPr>
          <w:rFonts w:ascii="Times New Roman" w:hAnsi="Times New Roman" w:eastAsia="仿宋_GB2312"/>
        </w:rPr>
        <w:t>以习近平新时代中国特色社会主义思想为指导，深入贯彻落实县委、县政府决策部署，统筹推进疫情防控常态化、城市管理精细化，全力争创天府旅游名县、全国文明城市，决战决胜脱贫攻坚，成功迎接了省委第十巡视组巡视、十四届县委巡察组巡察，荣获“实施实施乡村振兴战略先进集体”，助力米易县成功夺取全省首批实施乡村振兴战略先进县、第二批天府旅游名县、全国文明城市荣誉。</w:t>
      </w:r>
    </w:p>
    <w:p w14:paraId="5891E88B">
      <w:pPr>
        <w:jc w:val="left"/>
        <w:rPr>
          <w:rFonts w:ascii="Times New Roman" w:hAnsi="Times New Roman" w:eastAsia="仿宋_GB2312"/>
        </w:rPr>
      </w:pPr>
      <w:r>
        <w:rPr>
          <w:rFonts w:ascii="Times New Roman" w:hAnsi="Times New Roman" w:eastAsia="仿宋_GB2312"/>
        </w:rPr>
        <w:t>2020年主要指标完成情况：</w:t>
      </w:r>
    </w:p>
    <w:p w14:paraId="08458010">
      <w:pPr>
        <w:jc w:val="left"/>
        <w:rPr>
          <w:rFonts w:ascii="Times New Roman" w:hAnsi="Times New Roman" w:eastAsia="仿宋_GB2312"/>
        </w:rPr>
      </w:pPr>
      <w:r>
        <w:rPr>
          <w:rFonts w:ascii="Times New Roman" w:hAnsi="Times New Roman" w:eastAsia="仿宋_GB2312"/>
        </w:rPr>
        <w:t>完成固定资产投资3.5亿元，实现招商引资1.48亿元，全县生活垃圾无害化处理率达100%，密闭清运率达100%，城区道路机械化清扫程度达90%以上，城市生活污水集中处理率达85.09%，亮灯率达98%，市政设施完好率达97.3%，城市绿地率达35.2%，绿化覆盖率达39.8%。</w:t>
      </w:r>
    </w:p>
    <w:p w14:paraId="70D49482">
      <w:pPr>
        <w:snapToGrid w:val="0"/>
        <w:ind w:firstLine="643"/>
        <w:jc w:val="left"/>
        <w:rPr>
          <w:rStyle w:val="17"/>
          <w:rFonts w:ascii="Times New Roman" w:hAnsi="Times New Roman" w:eastAsia="仿宋_GB2312"/>
        </w:rPr>
      </w:pPr>
      <w:r>
        <w:rPr>
          <w:rStyle w:val="17"/>
          <w:rFonts w:ascii="Times New Roman" w:hAnsi="Times New Roman" w:eastAsia="仿宋_GB2312"/>
        </w:rPr>
        <w:t>2.主要目标绩效完成情况</w:t>
      </w:r>
    </w:p>
    <w:p w14:paraId="0AF2D725">
      <w:pPr>
        <w:pStyle w:val="2"/>
        <w:spacing w:beforeLines="0"/>
        <w:jc w:val="left"/>
        <w:rPr>
          <w:rFonts w:ascii="Times New Roman"/>
          <w:sz w:val="32"/>
          <w:szCs w:val="32"/>
        </w:rPr>
      </w:pPr>
      <w:r>
        <w:rPr>
          <w:rFonts w:hint="eastAsia" w:ascii="Times New Roman"/>
          <w:kern w:val="2"/>
          <w:sz w:val="32"/>
          <w:szCs w:val="32"/>
        </w:rPr>
        <w:t>一是</w:t>
      </w:r>
      <w:r>
        <w:rPr>
          <w:rFonts w:ascii="Times New Roman"/>
          <w:kern w:val="2"/>
          <w:sz w:val="32"/>
          <w:szCs w:val="32"/>
        </w:rPr>
        <w:t>积极迎接省委巡视、县委巡察。</w:t>
      </w:r>
      <w:r>
        <w:rPr>
          <w:rFonts w:ascii="Times New Roman"/>
          <w:sz w:val="32"/>
          <w:szCs w:val="32"/>
        </w:rPr>
        <w:t>提高政治站位，层层压实责任，细化工作任务、制定责任清单、落实责任人员认真做好资料准备、回复整改和服务保障，全力配合支持、顺利通过了省委巡视、县委巡察。</w:t>
      </w:r>
    </w:p>
    <w:p w14:paraId="78BCFA9F">
      <w:pPr>
        <w:pStyle w:val="2"/>
        <w:spacing w:beforeLines="0"/>
        <w:jc w:val="left"/>
        <w:rPr>
          <w:rFonts w:ascii="Times New Roman"/>
          <w:sz w:val="32"/>
          <w:szCs w:val="32"/>
        </w:rPr>
      </w:pPr>
      <w:r>
        <w:rPr>
          <w:rFonts w:hint="eastAsia" w:ascii="Times New Roman"/>
          <w:kern w:val="2"/>
          <w:sz w:val="32"/>
          <w:szCs w:val="32"/>
        </w:rPr>
        <w:t>二是</w:t>
      </w:r>
      <w:r>
        <w:rPr>
          <w:rFonts w:ascii="Times New Roman"/>
          <w:kern w:val="2"/>
          <w:sz w:val="32"/>
          <w:szCs w:val="32"/>
        </w:rPr>
        <w:t>中央环保督察回头看整改全面完成。</w:t>
      </w:r>
      <w:r>
        <w:rPr>
          <w:rFonts w:ascii="Times New Roman"/>
          <w:sz w:val="32"/>
          <w:szCs w:val="32"/>
        </w:rPr>
        <w:t>整改落实环保督察问题18个，实现生活垃圾中转站及渗滤液处置设备的正常运行，全面完成中央环保督察整改任务。</w:t>
      </w:r>
    </w:p>
    <w:p w14:paraId="112D2FD0">
      <w:pPr>
        <w:jc w:val="left"/>
        <w:rPr>
          <w:rFonts w:ascii="Times New Roman" w:hAnsi="Times New Roman" w:eastAsia="仿宋_GB2312"/>
        </w:rPr>
      </w:pPr>
      <w:r>
        <w:rPr>
          <w:rFonts w:hint="eastAsia" w:ascii="Times New Roman" w:hAnsi="Times New Roman" w:eastAsia="仿宋_GB2312"/>
        </w:rPr>
        <w:t>三是</w:t>
      </w:r>
      <w:r>
        <w:rPr>
          <w:rFonts w:ascii="Times New Roman" w:hAnsi="Times New Roman" w:eastAsia="仿宋_GB2312"/>
        </w:rPr>
        <w:t>公园城市建设。紧扣“公园城市、花园县城”，结合省级公园城市建设试点，投入资金236.60万元，实施了道路绿地提升、河滨路花化香化改造等工程项目8个，建设了植物绿雕2个、种植树状月季258株、多色造型三角梅102株、大腹木棉68株、开花和香味植物1920平方米，更换老化地被及草坪面积7420平方米，建设花境1050平方米。</w:t>
      </w:r>
    </w:p>
    <w:p w14:paraId="0F16F863">
      <w:pPr>
        <w:pStyle w:val="2"/>
        <w:spacing w:beforeLines="0"/>
        <w:jc w:val="left"/>
        <w:rPr>
          <w:rFonts w:ascii="Times New Roman"/>
          <w:kern w:val="2"/>
          <w:sz w:val="32"/>
          <w:szCs w:val="32"/>
        </w:rPr>
      </w:pPr>
      <w:r>
        <w:rPr>
          <w:rFonts w:hint="eastAsia" w:ascii="Times New Roman"/>
          <w:kern w:val="2"/>
          <w:sz w:val="32"/>
          <w:szCs w:val="32"/>
        </w:rPr>
        <w:t>四是</w:t>
      </w:r>
      <w:r>
        <w:rPr>
          <w:rFonts w:ascii="Times New Roman"/>
          <w:kern w:val="2"/>
          <w:sz w:val="32"/>
          <w:szCs w:val="32"/>
        </w:rPr>
        <w:t>铁建路片区污水管网建设。已完成可研及审查、项目立项、财评，正加快推进第二轮挂网招标。</w:t>
      </w:r>
    </w:p>
    <w:p w14:paraId="60EBF73C">
      <w:pPr>
        <w:jc w:val="left"/>
        <w:rPr>
          <w:rFonts w:ascii="Times New Roman" w:hAnsi="Times New Roman" w:eastAsia="仿宋_GB2312"/>
        </w:rPr>
      </w:pPr>
      <w:r>
        <w:rPr>
          <w:rFonts w:hint="eastAsia" w:ascii="Times New Roman" w:hAnsi="Times New Roman" w:eastAsia="仿宋_GB2312"/>
        </w:rPr>
        <w:t>五是</w:t>
      </w:r>
      <w:r>
        <w:rPr>
          <w:rFonts w:ascii="Times New Roman" w:hAnsi="Times New Roman" w:eastAsia="仿宋_GB2312"/>
        </w:rPr>
        <w:t>攀枝花市污水处理PPP项目。累计投资9906.7万元，通过实地督促检查，每周检查进度等措施，抓实工作进度，四个乡镇污水处理站现已完成通水试运行。</w:t>
      </w:r>
    </w:p>
    <w:p w14:paraId="261704D5">
      <w:pPr>
        <w:pStyle w:val="2"/>
        <w:spacing w:beforeLines="0"/>
        <w:jc w:val="left"/>
        <w:rPr>
          <w:rFonts w:ascii="Times New Roman"/>
          <w:kern w:val="2"/>
          <w:sz w:val="32"/>
          <w:szCs w:val="32"/>
        </w:rPr>
      </w:pPr>
      <w:r>
        <w:rPr>
          <w:rFonts w:hint="eastAsia" w:ascii="Times New Roman"/>
          <w:kern w:val="2"/>
          <w:sz w:val="32"/>
          <w:szCs w:val="32"/>
        </w:rPr>
        <w:t>六是</w:t>
      </w:r>
      <w:r>
        <w:rPr>
          <w:rFonts w:ascii="Times New Roman"/>
          <w:kern w:val="2"/>
          <w:sz w:val="32"/>
          <w:szCs w:val="32"/>
        </w:rPr>
        <w:t>亮化工程（四期）。总投资1751.2685万元，对城</w:t>
      </w:r>
      <w:r>
        <w:rPr>
          <w:rFonts w:ascii="Times New Roman"/>
          <w:spacing w:val="-11"/>
          <w:kern w:val="2"/>
          <w:sz w:val="32"/>
          <w:szCs w:val="32"/>
        </w:rPr>
        <w:t>市节点暗点位置进行景观亮化灯具安装，现已完成主体形象进度。</w:t>
      </w:r>
    </w:p>
    <w:p w14:paraId="5830190E">
      <w:pPr>
        <w:pStyle w:val="2"/>
        <w:spacing w:beforeLines="0"/>
        <w:jc w:val="left"/>
        <w:rPr>
          <w:rFonts w:ascii="Times New Roman"/>
          <w:kern w:val="2"/>
          <w:sz w:val="32"/>
          <w:szCs w:val="32"/>
        </w:rPr>
      </w:pPr>
      <w:r>
        <w:rPr>
          <w:rFonts w:hint="eastAsia" w:ascii="Times New Roman"/>
          <w:kern w:val="2"/>
          <w:sz w:val="32"/>
          <w:szCs w:val="32"/>
        </w:rPr>
        <w:t>七是</w:t>
      </w:r>
      <w:r>
        <w:rPr>
          <w:rFonts w:ascii="Times New Roman"/>
          <w:kern w:val="2"/>
          <w:sz w:val="32"/>
          <w:szCs w:val="32"/>
        </w:rPr>
        <w:t>绿化养护第三轮市场化招标工作。招标总金额为3278.23万元，已完成方案设计、通过政府常务会审议，即将开展米易县城区第三轮绿化养护市场化采购招标工作，拟于2020年底完成。</w:t>
      </w:r>
    </w:p>
    <w:p w14:paraId="56C7B67C">
      <w:pPr>
        <w:pStyle w:val="2"/>
        <w:spacing w:beforeLines="0"/>
        <w:jc w:val="left"/>
        <w:rPr>
          <w:rFonts w:ascii="Times New Roman"/>
          <w:kern w:val="2"/>
          <w:sz w:val="32"/>
          <w:szCs w:val="32"/>
        </w:rPr>
      </w:pPr>
      <w:r>
        <w:rPr>
          <w:rFonts w:hint="eastAsia" w:ascii="Times New Roman"/>
          <w:kern w:val="2"/>
          <w:sz w:val="32"/>
          <w:szCs w:val="32"/>
        </w:rPr>
        <w:t>八是</w:t>
      </w:r>
      <w:r>
        <w:rPr>
          <w:rFonts w:ascii="Times New Roman"/>
          <w:kern w:val="2"/>
          <w:sz w:val="32"/>
          <w:szCs w:val="32"/>
        </w:rPr>
        <w:t>2020年春节氛围营造。投入资金223.48万元，实施2020年春节氛围营造工作，摆放各类鲜花3万余盆，打造特色鲜花雕塑3组，安装新春灯笼2175个。</w:t>
      </w:r>
    </w:p>
    <w:p w14:paraId="3A66D2FF">
      <w:pPr>
        <w:pStyle w:val="2"/>
        <w:spacing w:beforeLines="0"/>
        <w:jc w:val="left"/>
        <w:rPr>
          <w:rFonts w:ascii="Times New Roman"/>
          <w:kern w:val="2"/>
          <w:sz w:val="32"/>
          <w:szCs w:val="32"/>
        </w:rPr>
      </w:pPr>
      <w:r>
        <w:rPr>
          <w:rFonts w:hint="eastAsia" w:ascii="Times New Roman"/>
          <w:kern w:val="2"/>
          <w:sz w:val="32"/>
          <w:szCs w:val="32"/>
        </w:rPr>
        <w:t>九是</w:t>
      </w:r>
      <w:r>
        <w:rPr>
          <w:rFonts w:ascii="Times New Roman"/>
          <w:kern w:val="2"/>
          <w:sz w:val="32"/>
          <w:szCs w:val="32"/>
        </w:rPr>
        <w:t>扫黑除恶。召开专项会议17次，组织开展集中整治行动40余次，开展宣传活动8次，发放宣传资料290余份，进行线索排查78次，排查线索0条。</w:t>
      </w:r>
    </w:p>
    <w:p w14:paraId="3ADBF856">
      <w:pPr>
        <w:pStyle w:val="2"/>
        <w:spacing w:beforeLines="0"/>
        <w:jc w:val="left"/>
        <w:rPr>
          <w:rFonts w:ascii="Times New Roman"/>
          <w:kern w:val="2"/>
          <w:sz w:val="32"/>
          <w:szCs w:val="32"/>
        </w:rPr>
      </w:pPr>
      <w:r>
        <w:rPr>
          <w:rFonts w:hint="eastAsia" w:ascii="Times New Roman"/>
          <w:kern w:val="2"/>
          <w:sz w:val="32"/>
          <w:szCs w:val="32"/>
        </w:rPr>
        <w:t>十是</w:t>
      </w:r>
      <w:r>
        <w:rPr>
          <w:rFonts w:ascii="Times New Roman"/>
          <w:kern w:val="2"/>
          <w:sz w:val="32"/>
          <w:szCs w:val="32"/>
        </w:rPr>
        <w:t>决战决胜脱贫攻坚。召开党组会、班子会10余次，职工会15次，指派攻坚队联络员1名、驻村干部1名，组织入户帮扶280余次，及时收集贫困户基本情况3次，反馈和帮助解决危房新改建、饮水、用电等问题130余个。累计投入资金6.6万元，帮助完成了60户住房维修加固工程，帮助126人外出务工，发放鸡苗2192只、桌椅板凳97套，送去400盆杜鹃花、花籽用于美化庭院。开展主题感恩宣传教育、“自力更生光荣、勤劳致富光荣”主题评比活动、计划生育宣传，帮助建设摩挲村村史馆等，不断推进移风易俗。</w:t>
      </w:r>
    </w:p>
    <w:p w14:paraId="28BB333E">
      <w:pPr>
        <w:pStyle w:val="2"/>
        <w:spacing w:beforeLines="0"/>
        <w:jc w:val="left"/>
        <w:rPr>
          <w:rFonts w:ascii="Times New Roman"/>
          <w:kern w:val="2"/>
          <w:sz w:val="32"/>
          <w:szCs w:val="32"/>
        </w:rPr>
      </w:pPr>
      <w:r>
        <w:rPr>
          <w:rFonts w:ascii="Times New Roman"/>
          <w:kern w:val="2"/>
          <w:sz w:val="32"/>
          <w:szCs w:val="32"/>
        </w:rPr>
        <w:t>十一</w:t>
      </w:r>
      <w:r>
        <w:rPr>
          <w:rFonts w:hint="eastAsia" w:ascii="Times New Roman"/>
          <w:kern w:val="2"/>
          <w:sz w:val="32"/>
          <w:szCs w:val="32"/>
        </w:rPr>
        <w:t>是</w:t>
      </w:r>
      <w:r>
        <w:rPr>
          <w:rFonts w:ascii="Times New Roman"/>
          <w:kern w:val="2"/>
          <w:sz w:val="32"/>
          <w:szCs w:val="32"/>
        </w:rPr>
        <w:t>党的建设。结合“守纪律、提效能、强执行、做表率”，加强理论学习，开展党组理论学习中心组会议10次、主题学习日10次、党组书记讲党课3次，严格督促“学习强国”在线学习。加强自我革命，党员干部深入查找工作效率不高、工作落实不力、示范作用不强的等方面的问题60余条，建立整改台账57个。加强党风廉政建设，层层签定党风廉政建设责任书，建立廉政防控风险台账，加强人员的经常性提醒教育。落实党建责任清单，严格落实“三会一课”制度，与城北社区、摩挲村建立共建协议，办理民生实事12件，开展党员志愿服务3次；加强党员队伍培养，推</w:t>
      </w:r>
      <w:r>
        <w:rPr>
          <w:rFonts w:ascii="Times New Roman"/>
          <w:spacing w:val="-6"/>
          <w:kern w:val="2"/>
          <w:sz w:val="32"/>
          <w:szCs w:val="32"/>
        </w:rPr>
        <w:t>荐入党积极分子5个，新发展入党积极分子3个，转入党员3个。</w:t>
      </w:r>
    </w:p>
    <w:p w14:paraId="549D6E11">
      <w:pPr>
        <w:pStyle w:val="2"/>
        <w:spacing w:beforeLines="0"/>
        <w:jc w:val="left"/>
        <w:rPr>
          <w:rFonts w:ascii="Times New Roman"/>
          <w:kern w:val="2"/>
          <w:sz w:val="32"/>
          <w:szCs w:val="32"/>
        </w:rPr>
      </w:pPr>
      <w:r>
        <w:rPr>
          <w:rFonts w:ascii="Times New Roman"/>
          <w:kern w:val="2"/>
          <w:sz w:val="32"/>
          <w:szCs w:val="32"/>
        </w:rPr>
        <w:t>十二</w:t>
      </w:r>
      <w:r>
        <w:rPr>
          <w:rFonts w:hint="eastAsia" w:ascii="Times New Roman"/>
          <w:kern w:val="2"/>
          <w:sz w:val="32"/>
          <w:szCs w:val="32"/>
        </w:rPr>
        <w:t>是</w:t>
      </w:r>
      <w:r>
        <w:rPr>
          <w:rFonts w:ascii="Times New Roman"/>
          <w:kern w:val="2"/>
          <w:sz w:val="32"/>
          <w:szCs w:val="32"/>
        </w:rPr>
        <w:t>意识形态。制定《关于意识形态工作责任制实施细则》《2020年度意识形态工作计划》，《关于激励干部职工担当作为、干事创业若干措施（试行）》《关于相关工作纪律和制度的规定（试行）》，将意识形态工作纳入工作日程议事研究。对一线职工队伍思想领域中的突出问题，社情民意中的倾向苗头问题及时引导。建立完善《规范干部职工文明上网的规定》《网站管理制度》《网络发布信息审批台账》，确保所有舆情信息处于可管、可控状态。开展意识形态宣传活动10次，发放各类宣传手册4700余份，开展党员志愿服务3次，处理信访件79个，电话投诉400余次，实现了100%处理和回复；在公众信息网更新简报信息96条，公开行政权力事项、行政审批事项和行政处罚事项266</w:t>
      </w:r>
      <w:r>
        <w:rPr>
          <w:rFonts w:hint="eastAsia" w:ascii="Times New Roman"/>
          <w:kern w:val="2"/>
          <w:sz w:val="32"/>
          <w:szCs w:val="32"/>
        </w:rPr>
        <w:t>项。</w:t>
      </w:r>
    </w:p>
    <w:p w14:paraId="6420F065">
      <w:pPr>
        <w:snapToGrid w:val="0"/>
        <w:jc w:val="left"/>
        <w:rPr>
          <w:rFonts w:ascii="Times New Roman" w:hAnsi="Times New Roman" w:eastAsia="黑体"/>
          <w:kern w:val="0"/>
          <w:shd w:val="clear" w:color="auto" w:fill="FFFFFF"/>
        </w:rPr>
      </w:pPr>
      <w:r>
        <w:rPr>
          <w:rStyle w:val="16"/>
          <w:rFonts w:hint="default" w:ascii="Times New Roman" w:hAnsi="Times New Roman"/>
        </w:rPr>
        <w:t>五</w:t>
      </w:r>
      <w:r>
        <w:rPr>
          <w:rFonts w:ascii="Times New Roman" w:hAnsi="Times New Roman" w:eastAsia="黑体"/>
          <w:kern w:val="0"/>
          <w:shd w:val="clear" w:color="auto" w:fill="FFFFFF"/>
        </w:rPr>
        <w:t>、评价结论及建议</w:t>
      </w:r>
    </w:p>
    <w:p w14:paraId="2D495690">
      <w:pPr>
        <w:widowControl/>
        <w:adjustRightInd w:val="0"/>
        <w:snapToGrid w:val="0"/>
        <w:jc w:val="left"/>
        <w:rPr>
          <w:rFonts w:ascii="Times New Roman" w:hAnsi="Times New Roman" w:eastAsia="仿宋_GB2312"/>
          <w:shd w:val="clear" w:color="auto" w:fill="FFFFFF"/>
        </w:rPr>
      </w:pPr>
      <w:r>
        <w:rPr>
          <w:rFonts w:ascii="Times New Roman" w:hAnsi="Times New Roman" w:eastAsia="仿宋_GB2312"/>
          <w:shd w:val="clear" w:color="auto" w:fill="FFFFFF"/>
        </w:rPr>
        <w:t>米易县综合行政执法局在预算编制、预算执行和支出绩效方面都严格按照规定执行，合理安排支出，使财政资金发挥最大效益。</w:t>
      </w:r>
    </w:p>
    <w:p w14:paraId="72976577">
      <w:pPr>
        <w:widowControl/>
        <w:adjustRightInd w:val="0"/>
        <w:snapToGrid w:val="0"/>
        <w:jc w:val="left"/>
        <w:rPr>
          <w:rFonts w:ascii="Times New Roman" w:hAnsi="Times New Roman" w:eastAsia="仿宋_GB2312"/>
          <w:shd w:val="clear" w:color="auto" w:fill="FFFFFF"/>
        </w:rPr>
      </w:pPr>
      <w:r>
        <w:rPr>
          <w:rFonts w:ascii="Times New Roman" w:hAnsi="Times New Roman" w:eastAsia="仿宋_GB2312"/>
          <w:shd w:val="clear" w:color="auto" w:fill="FFFFFF"/>
        </w:rPr>
        <w:t>米易县综合行政执法局的部门预算支出整体绩效评价总的得分是98分。建议：</w:t>
      </w:r>
    </w:p>
    <w:p w14:paraId="1EF02F3F">
      <w:pPr>
        <w:widowControl/>
        <w:adjustRightInd w:val="0"/>
        <w:snapToGrid w:val="0"/>
        <w:jc w:val="left"/>
        <w:rPr>
          <w:rFonts w:ascii="Times New Roman" w:hAnsi="Times New Roman" w:eastAsia="仿宋_GB2312"/>
          <w:shd w:val="clear" w:color="auto" w:fill="FFFFFF"/>
        </w:rPr>
      </w:pPr>
      <w:r>
        <w:rPr>
          <w:rFonts w:hint="eastAsia" w:ascii="Times New Roman" w:hAnsi="Times New Roman" w:eastAsia="仿宋_GB2312"/>
          <w:shd w:val="clear" w:color="auto" w:fill="FFFFFF"/>
        </w:rPr>
        <w:t>1.</w:t>
      </w:r>
      <w:r>
        <w:rPr>
          <w:rFonts w:ascii="Times New Roman" w:hAnsi="Times New Roman" w:eastAsia="仿宋_GB2312"/>
          <w:shd w:val="clear" w:color="auto" w:fill="FFFFFF"/>
        </w:rPr>
        <w:t>进一步加强财务法规制度的学习，提高思想认识，坚持先有预算、后有支出，没有预算不得支出的支出理念。</w:t>
      </w:r>
    </w:p>
    <w:p w14:paraId="3E84943F">
      <w:pPr>
        <w:snapToGrid w:val="0"/>
        <w:jc w:val="left"/>
        <w:rPr>
          <w:rFonts w:ascii="Times New Roman" w:hAnsi="Times New Roman" w:eastAsia="仿宋_GB2312"/>
          <w:shd w:val="clear" w:color="auto" w:fill="FFFFFF"/>
        </w:rPr>
      </w:pPr>
      <w:r>
        <w:rPr>
          <w:rFonts w:hint="eastAsia" w:ascii="Times New Roman" w:hAnsi="Times New Roman" w:eastAsia="仿宋_GB2312"/>
          <w:shd w:val="clear" w:color="auto" w:fill="FFFFFF"/>
        </w:rPr>
        <w:t>2.</w:t>
      </w:r>
      <w:r>
        <w:rPr>
          <w:rFonts w:ascii="Times New Roman" w:hAnsi="Times New Roman" w:eastAsia="仿宋_GB2312"/>
          <w:shd w:val="clear" w:color="auto" w:fill="FFFFFF"/>
        </w:rPr>
        <w:t>进一步加强预算编制工作，细化预算指标，提高预算科学性。加强预算执行管理，做好预算执行分析，掌握预算执行进度，及时找出预算实际执行情况与预算目标之间存在的差异，采取有效措施纠正偏差，提高预算支出执行效率。</w:t>
      </w:r>
    </w:p>
    <w:p w14:paraId="35885CC1">
      <w:pPr>
        <w:spacing w:line="580" w:lineRule="exact"/>
        <w:rPr>
          <w:rFonts w:ascii="黑体" w:hAnsi="黑体" w:eastAsia="黑体" w:cs="黑体"/>
        </w:rPr>
      </w:pPr>
    </w:p>
    <w:p w14:paraId="0C5CA298">
      <w:pPr>
        <w:spacing w:line="580" w:lineRule="exact"/>
        <w:rPr>
          <w:rFonts w:ascii="黑体" w:hAnsi="黑体" w:eastAsia="黑体" w:cs="黑体"/>
        </w:rPr>
      </w:pPr>
    </w:p>
    <w:p w14:paraId="3E6269F7">
      <w:pPr>
        <w:spacing w:line="580" w:lineRule="exact"/>
        <w:rPr>
          <w:rFonts w:hint="eastAsia" w:ascii="黑体" w:hAnsi="黑体" w:eastAsia="黑体" w:cs="黑体"/>
        </w:rPr>
      </w:pPr>
    </w:p>
    <w:p w14:paraId="5BF3F9CF">
      <w:pPr>
        <w:spacing w:line="580" w:lineRule="exact"/>
        <w:rPr>
          <w:rFonts w:ascii="仿宋_GB2312" w:hAnsi="仿宋_GB2312" w:eastAsia="仿宋_GB2312" w:cs="仿宋_GB2312"/>
        </w:rPr>
      </w:pPr>
      <w:r>
        <w:rPr>
          <w:rFonts w:hint="eastAsia" w:ascii="黑体" w:hAnsi="黑体" w:eastAsia="黑体" w:cs="黑体"/>
        </w:rPr>
        <w:t>附件</w:t>
      </w:r>
      <w:r>
        <w:rPr>
          <w:rFonts w:ascii="黑体" w:hAnsi="黑体" w:eastAsia="黑体" w:cs="黑体"/>
        </w:rPr>
        <w:t>2</w:t>
      </w:r>
    </w:p>
    <w:p w14:paraId="504D980F">
      <w:pPr>
        <w:spacing w:line="580" w:lineRule="exact"/>
        <w:rPr>
          <w:rFonts w:ascii="仿宋_GB2312" w:hAnsi="仿宋_GB2312" w:eastAsia="仿宋_GB2312" w:cs="仿宋_GB2312"/>
        </w:rPr>
      </w:pPr>
    </w:p>
    <w:p w14:paraId="44240D53">
      <w:pPr>
        <w:ind w:firstLine="880"/>
        <w:jc w:val="center"/>
        <w:rPr>
          <w:rFonts w:ascii="方正小标宋简体" w:hAnsi="宋体" w:eastAsia="方正小标宋简体"/>
          <w:kern w:val="0"/>
          <w:sz w:val="44"/>
          <w:szCs w:val="44"/>
          <w:lang w:val="zh-CN"/>
        </w:rPr>
      </w:pPr>
      <w:r>
        <w:rPr>
          <w:rFonts w:hint="eastAsia" w:ascii="方正小标宋简体" w:hAnsi="宋体" w:eastAsia="方正小标宋简体"/>
          <w:kern w:val="0"/>
          <w:sz w:val="44"/>
          <w:szCs w:val="44"/>
          <w:lang w:val="zh-CN"/>
        </w:rPr>
        <w:t>米易县第二轮园林绿化养护市场化项目</w:t>
      </w:r>
      <w:r>
        <w:rPr>
          <w:rFonts w:ascii="方正小标宋简体" w:hAnsi="宋体" w:eastAsia="方正小标宋简体"/>
          <w:kern w:val="0"/>
          <w:sz w:val="44"/>
          <w:szCs w:val="44"/>
        </w:rPr>
        <w:t>2020</w:t>
      </w:r>
      <w:r>
        <w:rPr>
          <w:rFonts w:hint="eastAsia" w:ascii="方正小标宋简体" w:hAnsi="宋体" w:eastAsia="方正小标宋简体"/>
          <w:kern w:val="0"/>
          <w:sz w:val="44"/>
          <w:szCs w:val="44"/>
        </w:rPr>
        <w:t>年</w:t>
      </w:r>
      <w:r>
        <w:rPr>
          <w:rFonts w:hint="eastAsia" w:ascii="方正小标宋简体" w:hAnsi="宋体" w:eastAsia="方正小标宋简体"/>
          <w:kern w:val="0"/>
          <w:sz w:val="44"/>
          <w:szCs w:val="44"/>
          <w:lang w:val="zh-CN"/>
        </w:rPr>
        <w:t>绩效评价报告</w:t>
      </w:r>
    </w:p>
    <w:p w14:paraId="422BB1A6">
      <w:pPr>
        <w:spacing w:line="500" w:lineRule="exact"/>
        <w:rPr>
          <w:rFonts w:ascii="宋体"/>
          <w:lang w:val="zh-CN"/>
        </w:rPr>
      </w:pPr>
    </w:p>
    <w:p w14:paraId="50ECF76E">
      <w:pPr>
        <w:adjustRightInd w:val="0"/>
        <w:snapToGrid w:val="0"/>
        <w:spacing w:line="500" w:lineRule="exact"/>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14:paraId="7E8F9D30">
      <w:pPr>
        <w:adjustRightInd w:val="0"/>
        <w:snapToGrid w:val="0"/>
        <w:spacing w:line="500" w:lineRule="exact"/>
        <w:ind w:firstLine="643"/>
        <w:rPr>
          <w:rFonts w:ascii="楷体_GB2312" w:hAnsi="宋体" w:eastAsia="楷体_GB2312"/>
          <w:b/>
          <w:lang w:val="zh-CN"/>
        </w:rPr>
      </w:pPr>
      <w:r>
        <w:rPr>
          <w:rFonts w:hint="eastAsia" w:ascii="楷体_GB2312" w:hAnsi="宋体" w:eastAsia="楷体_GB2312"/>
          <w:b/>
          <w:lang w:val="zh-CN"/>
        </w:rPr>
        <w:t>（一）项目基本情况。</w:t>
      </w:r>
    </w:p>
    <w:p w14:paraId="7E2DCA07">
      <w:pPr>
        <w:adjustRightInd w:val="0"/>
        <w:snapToGrid w:val="0"/>
        <w:spacing w:line="500" w:lineRule="exact"/>
        <w:rPr>
          <w:rFonts w:ascii="仿宋_GB2312" w:hAnsi="宋体" w:eastAsia="仿宋_GB2312"/>
          <w:lang w:val="zh-CN"/>
        </w:rPr>
      </w:pPr>
      <w:r>
        <w:rPr>
          <w:rFonts w:ascii="仿宋_GB2312" w:hAnsi="宋体" w:eastAsia="仿宋_GB2312"/>
          <w:lang w:val="zh-CN"/>
        </w:rPr>
        <w:t>1</w:t>
      </w:r>
      <w:r>
        <w:rPr>
          <w:rFonts w:hint="eastAsia" w:ascii="仿宋_GB2312" w:hAnsi="宋体" w:eastAsia="仿宋_GB2312"/>
          <w:lang w:val="zh-CN"/>
        </w:rPr>
        <w:t>．</w:t>
      </w:r>
      <w:r>
        <w:rPr>
          <w:rFonts w:hint="eastAsia" w:ascii="仿宋_GB2312" w:hAnsi="仿宋_GB2312" w:eastAsia="仿宋_GB2312" w:cs="仿宋_GB2312"/>
        </w:rPr>
        <w:t>在第一</w:t>
      </w:r>
      <w:r>
        <w:rPr>
          <w:rFonts w:hAnsi="仿宋_GB2312" w:eastAsia="仿宋_GB2312"/>
        </w:rPr>
        <w:t>轮（</w:t>
      </w:r>
      <w:r>
        <w:rPr>
          <w:rFonts w:eastAsia="仿宋_GB2312"/>
        </w:rPr>
        <w:t>2012</w:t>
      </w:r>
      <w:r>
        <w:rPr>
          <w:rFonts w:hAnsi="仿宋_GB2312" w:eastAsia="仿宋_GB2312"/>
        </w:rPr>
        <w:t>年实施）园林绿化养护基础上，</w:t>
      </w:r>
      <w:r>
        <w:rPr>
          <w:rFonts w:hint="eastAsia" w:hAnsi="仿宋_GB2312" w:eastAsia="仿宋_GB2312"/>
        </w:rPr>
        <w:t>为</w:t>
      </w:r>
      <w:r>
        <w:rPr>
          <w:rFonts w:hAnsi="仿宋_GB2312" w:eastAsia="仿宋_GB2312"/>
        </w:rPr>
        <w:t>不断优化资源配置、提高资金使用效率、提升养护管理水平，实现绿化精细化管理，结合我县园林绿化实际情况，制定了第二轮招标工作方案。第二轮绿化养护市场化招标时间为</w:t>
      </w:r>
      <w:r>
        <w:rPr>
          <w:rFonts w:eastAsia="仿宋_GB2312"/>
        </w:rPr>
        <w:t>2016</w:t>
      </w:r>
      <w:r>
        <w:rPr>
          <w:rFonts w:hAnsi="仿宋_GB2312" w:eastAsia="仿宋_GB2312"/>
        </w:rPr>
        <w:t>年</w:t>
      </w:r>
      <w:r>
        <w:rPr>
          <w:rFonts w:eastAsia="仿宋_GB2312"/>
        </w:rPr>
        <w:t>2</w:t>
      </w:r>
      <w:r>
        <w:rPr>
          <w:rFonts w:hAnsi="仿宋_GB2312" w:eastAsia="仿宋_GB2312"/>
        </w:rPr>
        <w:t>月</w:t>
      </w:r>
      <w:r>
        <w:rPr>
          <w:rFonts w:eastAsia="仿宋_GB2312"/>
        </w:rPr>
        <w:t>1</w:t>
      </w:r>
      <w:r>
        <w:rPr>
          <w:rFonts w:hAnsi="仿宋_GB2312" w:eastAsia="仿宋_GB2312"/>
        </w:rPr>
        <w:t>日</w:t>
      </w:r>
      <w:r>
        <w:rPr>
          <w:rFonts w:eastAsia="仿宋_GB2312"/>
        </w:rPr>
        <w:t>-2021</w:t>
      </w:r>
      <w:r>
        <w:rPr>
          <w:rFonts w:hAnsi="仿宋_GB2312" w:eastAsia="仿宋_GB2312"/>
        </w:rPr>
        <w:t>年</w:t>
      </w:r>
      <w:r>
        <w:rPr>
          <w:rFonts w:eastAsia="仿宋_GB2312"/>
        </w:rPr>
        <w:t>1</w:t>
      </w:r>
      <w:r>
        <w:rPr>
          <w:rFonts w:hAnsi="仿宋_GB2312" w:eastAsia="仿宋_GB2312"/>
        </w:rPr>
        <w:t>月</w:t>
      </w:r>
      <w:r>
        <w:rPr>
          <w:rFonts w:eastAsia="仿宋_GB2312"/>
        </w:rPr>
        <w:t>31</w:t>
      </w:r>
      <w:r>
        <w:rPr>
          <w:rFonts w:hAnsi="仿宋_GB2312" w:eastAsia="仿宋_GB2312"/>
        </w:rPr>
        <w:t>日，招标面积</w:t>
      </w:r>
      <w:r>
        <w:rPr>
          <w:rFonts w:hint="eastAsia" w:eastAsia="仿宋_GB2312"/>
        </w:rPr>
        <w:t>293538.63</w:t>
      </w:r>
      <w:r>
        <w:rPr>
          <w:rFonts w:hAnsi="仿宋_GB2312" w:eastAsia="仿宋_GB2312"/>
        </w:rPr>
        <w:t>平方米，分为</w:t>
      </w:r>
      <w:r>
        <w:rPr>
          <w:rFonts w:eastAsia="仿宋_GB2312"/>
        </w:rPr>
        <w:t>3</w:t>
      </w:r>
      <w:r>
        <w:rPr>
          <w:rFonts w:hAnsi="仿宋_GB2312" w:eastAsia="仿宋_GB2312"/>
        </w:rPr>
        <w:t>个标段（</w:t>
      </w:r>
      <w:r>
        <w:rPr>
          <w:rFonts w:eastAsia="仿宋_GB2312"/>
        </w:rPr>
        <w:t>2</w:t>
      </w:r>
      <w:r>
        <w:rPr>
          <w:rFonts w:hAnsi="仿宋_GB2312" w:eastAsia="仿宋_GB2312"/>
        </w:rPr>
        <w:t>个养护标段、</w:t>
      </w:r>
      <w:r>
        <w:rPr>
          <w:rFonts w:eastAsia="仿宋_GB2312"/>
        </w:rPr>
        <w:t>1</w:t>
      </w:r>
      <w:r>
        <w:rPr>
          <w:rFonts w:hAnsi="仿宋_GB2312" w:eastAsia="仿宋_GB2312"/>
        </w:rPr>
        <w:t>个鲜花标段），养护招标单价</w:t>
      </w:r>
      <w:r>
        <w:rPr>
          <w:rFonts w:eastAsia="仿宋_GB2312"/>
        </w:rPr>
        <w:t>18</w:t>
      </w:r>
      <w:r>
        <w:rPr>
          <w:rFonts w:hAnsi="仿宋_GB2312" w:eastAsia="仿宋_GB2312"/>
        </w:rPr>
        <w:t>元</w:t>
      </w:r>
      <w:r>
        <w:rPr>
          <w:rFonts w:eastAsia="仿宋_GB2312"/>
        </w:rPr>
        <w:t>/</w:t>
      </w:r>
      <w:r>
        <w:rPr>
          <w:rFonts w:hAnsi="仿宋_GB2312" w:eastAsia="仿宋_GB2312"/>
        </w:rPr>
        <w:t>平方米</w:t>
      </w:r>
      <w:r>
        <w:rPr>
          <w:rFonts w:eastAsia="仿宋_GB2312"/>
        </w:rPr>
        <w:t>·</w:t>
      </w:r>
      <w:r>
        <w:rPr>
          <w:rFonts w:hAnsi="仿宋_GB2312" w:eastAsia="仿宋_GB2312"/>
        </w:rPr>
        <w:t>年</w:t>
      </w:r>
      <w:r>
        <w:rPr>
          <w:rFonts w:eastAsia="仿宋_GB2312"/>
        </w:rPr>
        <w:t>,</w:t>
      </w:r>
      <w:r>
        <w:rPr>
          <w:rFonts w:hAnsi="仿宋_GB2312" w:eastAsia="仿宋_GB2312"/>
        </w:rPr>
        <w:t>采购服务</w:t>
      </w:r>
      <w:r>
        <w:rPr>
          <w:rFonts w:eastAsia="仿宋_GB2312"/>
        </w:rPr>
        <w:t>5</w:t>
      </w:r>
      <w:r>
        <w:rPr>
          <w:rFonts w:hAnsi="仿宋_GB2312" w:eastAsia="仿宋_GB2312"/>
        </w:rPr>
        <w:t>年</w:t>
      </w:r>
      <w:r>
        <w:rPr>
          <w:rFonts w:hint="eastAsia" w:ascii="仿宋_GB2312" w:hAnsi="仿宋_GB2312" w:eastAsia="仿宋_GB2312" w:cs="仿宋_GB2312"/>
        </w:rPr>
        <w:t>。</w:t>
      </w:r>
    </w:p>
    <w:p w14:paraId="72A83651">
      <w:pPr>
        <w:spacing w:line="500" w:lineRule="exact"/>
        <w:rPr>
          <w:rFonts w:eastAsia="仿宋_GB2312"/>
          <w:kern w:val="0"/>
        </w:rPr>
      </w:pPr>
      <w:r>
        <w:rPr>
          <w:rFonts w:hint="eastAsia" w:eastAsia="仿宋_GB2312"/>
          <w:kern w:val="0"/>
        </w:rPr>
        <w:t>米易县综合行政执法局作为项目业主，经县财政局批准，取得项目编号MCCG(2015)245号后，严格按照政府采购程序，把控项目进度、质量、合同等节点，委托米易县公共资源交易中心，进行国内公开招投标。</w:t>
      </w:r>
    </w:p>
    <w:p w14:paraId="7E3233F8">
      <w:pPr>
        <w:adjustRightInd w:val="0"/>
        <w:snapToGrid w:val="0"/>
        <w:spacing w:line="500" w:lineRule="exact"/>
        <w:rPr>
          <w:rFonts w:ascii="仿宋_GB2312" w:hAnsi="宋体" w:eastAsia="仿宋_GB2312"/>
          <w:lang w:val="zh-CN"/>
        </w:rPr>
      </w:pPr>
      <w:r>
        <w:rPr>
          <w:rFonts w:ascii="仿宋_GB2312" w:hAnsi="宋体" w:eastAsia="仿宋_GB2312"/>
          <w:lang w:val="zh-CN"/>
        </w:rPr>
        <w:t>2</w:t>
      </w:r>
      <w:r>
        <w:rPr>
          <w:rFonts w:hint="eastAsia" w:ascii="仿宋_GB2312" w:hAnsi="宋体" w:eastAsia="仿宋_GB2312"/>
        </w:rPr>
        <w:t>.</w:t>
      </w:r>
      <w:r>
        <w:rPr>
          <w:rFonts w:hint="eastAsia" w:eastAsia="仿宋_GB2312"/>
          <w:kern w:val="0"/>
        </w:rPr>
        <w:t>项目资金申报的依据为中标通知书及项目合同。</w:t>
      </w:r>
    </w:p>
    <w:p w14:paraId="4F9F5A59">
      <w:pPr>
        <w:adjustRightInd w:val="0"/>
        <w:snapToGrid w:val="0"/>
        <w:spacing w:line="500" w:lineRule="exact"/>
        <w:ind w:firstLine="643"/>
        <w:rPr>
          <w:rFonts w:ascii="楷体_GB2312" w:hAnsi="宋体" w:eastAsia="楷体_GB2312"/>
          <w:b/>
          <w:lang w:val="zh-CN"/>
        </w:rPr>
      </w:pPr>
      <w:r>
        <w:rPr>
          <w:rFonts w:hint="eastAsia" w:ascii="楷体_GB2312" w:hAnsi="宋体" w:eastAsia="楷体_GB2312"/>
          <w:b/>
          <w:lang w:val="zh-CN"/>
        </w:rPr>
        <w:t>（二）项目绩效目标。</w:t>
      </w:r>
    </w:p>
    <w:p w14:paraId="3C607F23">
      <w:pPr>
        <w:adjustRightInd w:val="0"/>
        <w:snapToGrid w:val="0"/>
        <w:spacing w:line="500" w:lineRule="exact"/>
        <w:rPr>
          <w:rFonts w:ascii="仿宋_GB2312" w:hAnsi="宋体" w:eastAsia="仿宋_GB2312"/>
          <w:lang w:val="zh-CN"/>
        </w:rPr>
      </w:pPr>
      <w:r>
        <w:rPr>
          <w:rFonts w:ascii="仿宋_GB2312" w:hAnsi="宋体" w:eastAsia="仿宋_GB2312"/>
          <w:lang w:val="zh-CN"/>
        </w:rPr>
        <w:t>1</w:t>
      </w:r>
      <w:r>
        <w:rPr>
          <w:rFonts w:hint="eastAsia" w:ascii="仿宋_GB2312" w:hAnsi="宋体" w:eastAsia="仿宋_GB2312"/>
          <w:lang w:val="zh-CN"/>
        </w:rPr>
        <w:t>．项目主要内容。</w:t>
      </w:r>
    </w:p>
    <w:p w14:paraId="5BDBD33E">
      <w:pPr>
        <w:adjustRightInd w:val="0"/>
        <w:snapToGrid w:val="0"/>
        <w:spacing w:line="500" w:lineRule="exact"/>
        <w:rPr>
          <w:rFonts w:eastAsia="仿宋_GB2312"/>
        </w:rPr>
      </w:pPr>
      <w:r>
        <w:rPr>
          <w:rFonts w:eastAsia="仿宋_GB2312"/>
        </w:rPr>
        <w:t>2016</w:t>
      </w:r>
      <w:r>
        <w:rPr>
          <w:rFonts w:hAnsi="仿宋_GB2312" w:eastAsia="仿宋_GB2312"/>
        </w:rPr>
        <w:t>年</w:t>
      </w:r>
      <w:r>
        <w:rPr>
          <w:rFonts w:eastAsia="仿宋_GB2312"/>
        </w:rPr>
        <w:t>2</w:t>
      </w:r>
      <w:r>
        <w:rPr>
          <w:rFonts w:hAnsi="仿宋_GB2312" w:eastAsia="仿宋_GB2312"/>
        </w:rPr>
        <w:t>月</w:t>
      </w:r>
      <w:r>
        <w:rPr>
          <w:rFonts w:eastAsia="仿宋_GB2312"/>
        </w:rPr>
        <w:t>1</w:t>
      </w:r>
      <w:r>
        <w:rPr>
          <w:rFonts w:hAnsi="仿宋_GB2312" w:eastAsia="仿宋_GB2312"/>
        </w:rPr>
        <w:t>日</w:t>
      </w:r>
      <w:r>
        <w:rPr>
          <w:rFonts w:eastAsia="仿宋_GB2312"/>
        </w:rPr>
        <w:t>-2021</w:t>
      </w:r>
      <w:r>
        <w:rPr>
          <w:rFonts w:hAnsi="仿宋_GB2312" w:eastAsia="仿宋_GB2312"/>
        </w:rPr>
        <w:t>年</w:t>
      </w:r>
      <w:r>
        <w:rPr>
          <w:rFonts w:eastAsia="仿宋_GB2312"/>
        </w:rPr>
        <w:t>1</w:t>
      </w:r>
      <w:r>
        <w:rPr>
          <w:rFonts w:hAnsi="仿宋_GB2312" w:eastAsia="仿宋_GB2312"/>
        </w:rPr>
        <w:t>月</w:t>
      </w:r>
      <w:r>
        <w:rPr>
          <w:rFonts w:eastAsia="仿宋_GB2312"/>
        </w:rPr>
        <w:t>31</w:t>
      </w:r>
      <w:r>
        <w:rPr>
          <w:rFonts w:hAnsi="仿宋_GB2312" w:eastAsia="仿宋_GB2312"/>
        </w:rPr>
        <w:t>日</w:t>
      </w:r>
      <w:r>
        <w:rPr>
          <w:rFonts w:hint="eastAsia" w:ascii="仿宋_GB2312" w:hAnsi="宋体" w:eastAsia="仿宋_GB2312"/>
          <w:lang w:val="zh-CN"/>
        </w:rPr>
        <w:t>，按照项目招标文件、招标面积、合同、新增移交绿地的约定，截</w:t>
      </w:r>
      <w:r>
        <w:rPr>
          <w:rFonts w:eastAsia="仿宋_GB2312"/>
          <w:lang w:val="zh-CN"/>
        </w:rPr>
        <w:t>至2020年第二轮绿化养护市场化养护面积为</w:t>
      </w:r>
      <w:r>
        <w:rPr>
          <w:rFonts w:eastAsia="仿宋_GB2312"/>
        </w:rPr>
        <w:t>34.9</w:t>
      </w:r>
      <w:r>
        <w:rPr>
          <w:rFonts w:hint="eastAsia" w:eastAsia="仿宋_GB2312"/>
        </w:rPr>
        <w:t>8</w:t>
      </w:r>
      <w:r>
        <w:rPr>
          <w:rFonts w:eastAsia="仿宋_GB2312"/>
        </w:rPr>
        <w:t>万平方米（含1、2标</w:t>
      </w:r>
      <w:r>
        <w:rPr>
          <w:rFonts w:hint="eastAsia" w:ascii="仿宋_GB2312" w:hAnsi="宋体" w:eastAsia="仿宋_GB2312"/>
        </w:rPr>
        <w:t>段），其中新增绿地面积</w:t>
      </w:r>
      <w:r>
        <w:rPr>
          <w:rFonts w:eastAsia="仿宋_GB2312"/>
        </w:rPr>
        <w:t>66069.16</w:t>
      </w:r>
      <w:r>
        <w:rPr>
          <w:rFonts w:hint="eastAsia" w:ascii="仿宋_GB2312" w:hAnsi="宋体" w:eastAsia="仿宋_GB2312"/>
        </w:rPr>
        <w:t>平方米，减少面积</w:t>
      </w:r>
      <w:r>
        <w:rPr>
          <w:rFonts w:eastAsia="仿宋_GB2312"/>
        </w:rPr>
        <w:t>9742.86</w:t>
      </w:r>
      <w:r>
        <w:rPr>
          <w:rFonts w:hint="eastAsia" w:ascii="仿宋_GB2312" w:hAnsi="宋体" w:eastAsia="仿宋_GB2312"/>
        </w:rPr>
        <w:t>平方米，</w:t>
      </w:r>
      <w:r>
        <w:rPr>
          <w:rFonts w:eastAsia="仿宋_GB2312"/>
        </w:rPr>
        <w:t>2020</w:t>
      </w:r>
      <w:r>
        <w:rPr>
          <w:rFonts w:hint="eastAsia" w:ascii="仿宋_GB2312" w:hAnsi="宋体" w:eastAsia="仿宋_GB2312"/>
        </w:rPr>
        <w:t>年养护标段考核拨付管护经费为</w:t>
      </w:r>
      <w:r>
        <w:rPr>
          <w:rFonts w:hint="eastAsia" w:eastAsia="仿宋_GB2312"/>
        </w:rPr>
        <w:t>631.80</w:t>
      </w:r>
      <w:r>
        <w:rPr>
          <w:rFonts w:eastAsia="仿宋_GB2312"/>
        </w:rPr>
        <w:t>万元。鲜花标段养护面积按照合同要求及实际验收数量结算，2020年考核验收经费为210.43万元。</w:t>
      </w:r>
    </w:p>
    <w:p w14:paraId="16F926EC">
      <w:pPr>
        <w:adjustRightInd w:val="0"/>
        <w:snapToGrid w:val="0"/>
        <w:spacing w:line="500" w:lineRule="exact"/>
        <w:rPr>
          <w:rFonts w:ascii="仿宋_GB2312" w:hAnsi="宋体" w:eastAsia="仿宋_GB2312"/>
          <w:lang w:val="zh-CN"/>
        </w:rPr>
      </w:pPr>
      <w:r>
        <w:rPr>
          <w:rFonts w:ascii="仿宋_GB2312" w:hAnsi="宋体" w:eastAsia="仿宋_GB2312"/>
          <w:lang w:val="zh-CN"/>
        </w:rPr>
        <w:t>2</w:t>
      </w:r>
      <w:r>
        <w:rPr>
          <w:rFonts w:hint="eastAsia" w:ascii="仿宋_GB2312" w:hAnsi="宋体" w:eastAsia="仿宋_GB2312"/>
          <w:lang w:val="zh-CN"/>
        </w:rPr>
        <w:t>．项目应实现的具体绩效目标。</w:t>
      </w:r>
    </w:p>
    <w:p w14:paraId="2B9BF325">
      <w:pPr>
        <w:spacing w:line="500" w:lineRule="exact"/>
        <w:rPr>
          <w:rFonts w:eastAsia="仿宋_GB2312"/>
          <w:shd w:val="clear" w:color="auto" w:fill="FFFFFF"/>
        </w:rPr>
      </w:pPr>
      <w:r>
        <w:rPr>
          <w:rFonts w:hint="eastAsia" w:eastAsia="仿宋_GB2312"/>
          <w:shd w:val="clear" w:color="auto" w:fill="FFFFFF"/>
        </w:rPr>
        <w:t>通过园林绿化养护市场化项目的推进与实施，提升我县城区园林绿化管理水平，切实改善城区的环境面貌，创造良好的人文居住环境，统筹人与自然的和谐发展，为我县各项创建活动做出积极贡献。</w:t>
      </w:r>
      <w:r>
        <w:rPr>
          <w:rFonts w:hint="eastAsia" w:eastAsia="仿宋_GB2312"/>
          <w:kern w:val="0"/>
        </w:rPr>
        <w:t>受益群众满意率为100%.</w:t>
      </w:r>
    </w:p>
    <w:p w14:paraId="56C4FA5B">
      <w:pPr>
        <w:adjustRightInd w:val="0"/>
        <w:snapToGrid w:val="0"/>
        <w:spacing w:line="500" w:lineRule="exact"/>
        <w:rPr>
          <w:rFonts w:ascii="仿宋_GB2312" w:hAnsi="宋体" w:eastAsia="仿宋_GB2312"/>
          <w:lang w:val="zh-CN"/>
        </w:rPr>
      </w:pPr>
      <w:r>
        <w:rPr>
          <w:rFonts w:ascii="仿宋_GB2312" w:hAnsi="宋体" w:eastAsia="仿宋_GB2312"/>
          <w:lang w:val="zh-CN"/>
        </w:rPr>
        <w:t>3</w:t>
      </w:r>
      <w:r>
        <w:rPr>
          <w:rFonts w:hint="eastAsia" w:ascii="仿宋_GB2312" w:hAnsi="宋体" w:eastAsia="仿宋_GB2312"/>
          <w:lang w:val="zh-CN"/>
        </w:rPr>
        <w:t>．评价申报内容情况。</w:t>
      </w:r>
    </w:p>
    <w:p w14:paraId="0E3662DA">
      <w:pPr>
        <w:adjustRightInd w:val="0"/>
        <w:snapToGrid w:val="0"/>
        <w:spacing w:line="500" w:lineRule="exact"/>
        <w:rPr>
          <w:rFonts w:ascii="仿宋_GB2312" w:hAnsi="宋体" w:eastAsia="仿宋_GB2312"/>
          <w:lang w:val="zh-CN"/>
        </w:rPr>
      </w:pPr>
      <w:r>
        <w:rPr>
          <w:rFonts w:hint="eastAsia" w:ascii="仿宋_GB2312" w:hAnsi="宋体" w:eastAsia="仿宋_GB2312"/>
          <w:lang w:val="zh-CN"/>
        </w:rPr>
        <w:t>项目按照招标要求和合同约定实施，与实际情况相符，申报目标合理可行。</w:t>
      </w:r>
    </w:p>
    <w:p w14:paraId="1D187D9C">
      <w:pPr>
        <w:adjustRightInd w:val="0"/>
        <w:snapToGrid w:val="0"/>
        <w:spacing w:line="500" w:lineRule="exact"/>
        <w:rPr>
          <w:rFonts w:ascii="黑体" w:hAnsi="宋体" w:eastAsia="黑体"/>
        </w:rPr>
      </w:pPr>
      <w:r>
        <w:rPr>
          <w:rFonts w:hint="eastAsia" w:ascii="黑体" w:hAnsi="宋体" w:eastAsia="黑体"/>
        </w:rPr>
        <w:t>二、项目资金申报及使用情况</w:t>
      </w:r>
    </w:p>
    <w:p w14:paraId="4A732EF8">
      <w:pPr>
        <w:adjustRightInd w:val="0"/>
        <w:snapToGrid w:val="0"/>
        <w:spacing w:line="500" w:lineRule="exact"/>
        <w:ind w:firstLine="643"/>
        <w:rPr>
          <w:rFonts w:ascii="楷体_GB2312" w:hAnsi="宋体" w:eastAsia="楷体_GB2312"/>
          <w:b/>
          <w:lang w:val="zh-CN"/>
        </w:rPr>
      </w:pPr>
      <w:r>
        <w:rPr>
          <w:rFonts w:hint="eastAsia" w:ascii="楷体_GB2312" w:hAnsi="宋体" w:eastAsia="楷体_GB2312"/>
          <w:b/>
          <w:lang w:val="zh-CN"/>
        </w:rPr>
        <w:t>（一）项目资金申报及批复情况。</w:t>
      </w:r>
    </w:p>
    <w:p w14:paraId="2635F0A2">
      <w:pPr>
        <w:autoSpaceDE w:val="0"/>
        <w:autoSpaceDN w:val="0"/>
        <w:adjustRightInd w:val="0"/>
        <w:spacing w:line="500" w:lineRule="exact"/>
        <w:jc w:val="left"/>
        <w:rPr>
          <w:rFonts w:eastAsia="仿宋_GB2312"/>
          <w:lang w:val="zh-CN"/>
        </w:rPr>
      </w:pPr>
      <w:r>
        <w:rPr>
          <w:rFonts w:eastAsia="仿宋_GB2312"/>
          <w:lang w:val="zh-CN"/>
        </w:rPr>
        <w:t>2016年3月米易县城市管理局向米易县人民政府请示《关于解决米易县城区2016年-2020年绿化管护市场化经费纳入年度预算的请示》（米城管〔2016〕14号）和米易县财政局去函《关于将米易县城区2016年-2020年绿化管护市场化经费纳入年度预算的函》（米城管函〔2016〕49号），</w:t>
      </w:r>
      <w:r>
        <w:rPr>
          <w:rFonts w:hint="eastAsia" w:eastAsia="仿宋_GB2312"/>
          <w:lang w:val="zh-CN"/>
        </w:rPr>
        <w:t>2016年3月25日</w:t>
      </w:r>
      <w:r>
        <w:rPr>
          <w:rFonts w:eastAsia="仿宋_GB2312"/>
          <w:lang w:val="zh-CN"/>
        </w:rPr>
        <w:t>通过审批，纳入预算，并根据考核结果按月</w:t>
      </w:r>
      <w:r>
        <w:rPr>
          <w:rFonts w:hint="eastAsia" w:eastAsia="仿宋_GB2312"/>
          <w:lang w:val="zh-CN"/>
        </w:rPr>
        <w:t>据实</w:t>
      </w:r>
      <w:r>
        <w:rPr>
          <w:rFonts w:eastAsia="仿宋_GB2312"/>
          <w:lang w:val="zh-CN"/>
        </w:rPr>
        <w:t>拨付。</w:t>
      </w:r>
    </w:p>
    <w:p w14:paraId="4F5B9F9C">
      <w:pPr>
        <w:adjustRightInd w:val="0"/>
        <w:snapToGrid w:val="0"/>
        <w:spacing w:line="500" w:lineRule="exact"/>
        <w:ind w:firstLine="643"/>
        <w:rPr>
          <w:rFonts w:ascii="楷体_GB2312" w:hAnsi="宋体" w:eastAsia="楷体_GB2312"/>
          <w:b/>
          <w:lang w:val="zh-CN"/>
        </w:rPr>
      </w:pPr>
      <w:r>
        <w:rPr>
          <w:rFonts w:hint="eastAsia" w:ascii="楷体_GB2312" w:hAnsi="宋体" w:eastAsia="楷体_GB2312"/>
          <w:b/>
          <w:lang w:val="zh-CN"/>
        </w:rPr>
        <w:t>（二）项目财务管理情况。</w:t>
      </w:r>
    </w:p>
    <w:p w14:paraId="45640C15">
      <w:pPr>
        <w:autoSpaceDE w:val="0"/>
        <w:autoSpaceDN w:val="0"/>
        <w:adjustRightInd w:val="0"/>
        <w:spacing w:line="500" w:lineRule="exact"/>
        <w:jc w:val="left"/>
        <w:rPr>
          <w:rFonts w:eastAsia="仿宋_GB2312"/>
          <w:lang w:val="zh-CN"/>
        </w:rPr>
      </w:pPr>
      <w:r>
        <w:rPr>
          <w:rFonts w:hint="eastAsia" w:eastAsia="仿宋_GB2312"/>
        </w:rPr>
        <w:t>在资金使用上，我局</w:t>
      </w:r>
      <w:r>
        <w:rPr>
          <w:rFonts w:hint="eastAsia" w:eastAsia="仿宋_GB2312"/>
          <w:lang w:val="zh-CN"/>
        </w:rPr>
        <w:t>严格按照管理制度，规范资金使用流程，资金的拨付有完整的审批程序和手续</w:t>
      </w:r>
      <w:r>
        <w:rPr>
          <w:rFonts w:hint="eastAsia" w:eastAsia="仿宋_GB2312"/>
        </w:rPr>
        <w:t>，</w:t>
      </w:r>
      <w:r>
        <w:rPr>
          <w:rFonts w:hint="eastAsia" w:eastAsia="仿宋_GB2312"/>
          <w:lang w:val="zh-CN"/>
        </w:rPr>
        <w:t>财务资料完整。</w:t>
      </w:r>
    </w:p>
    <w:p w14:paraId="308A25E6">
      <w:pPr>
        <w:adjustRightInd w:val="0"/>
        <w:snapToGrid w:val="0"/>
        <w:spacing w:line="500" w:lineRule="exact"/>
        <w:rPr>
          <w:rFonts w:ascii="黑体" w:hAnsi="宋体" w:eastAsia="黑体"/>
        </w:rPr>
      </w:pPr>
      <w:r>
        <w:rPr>
          <w:rFonts w:hint="eastAsia" w:ascii="黑体" w:hAnsi="宋体" w:eastAsia="黑体"/>
        </w:rPr>
        <w:t>三、项目实施及管理情况</w:t>
      </w:r>
    </w:p>
    <w:p w14:paraId="50668305">
      <w:pPr>
        <w:adjustRightInd w:val="0"/>
        <w:snapToGrid w:val="0"/>
        <w:spacing w:line="500" w:lineRule="exact"/>
        <w:ind w:firstLine="643"/>
        <w:rPr>
          <w:rFonts w:ascii="楷体_GB2312" w:hAnsi="宋体" w:eastAsia="楷体_GB2312"/>
          <w:b/>
          <w:lang w:val="zh-CN"/>
        </w:rPr>
      </w:pPr>
      <w:r>
        <w:rPr>
          <w:rFonts w:hint="eastAsia" w:ascii="楷体_GB2312" w:hAnsi="宋体" w:eastAsia="楷体_GB2312"/>
          <w:b/>
          <w:lang w:val="zh-CN"/>
        </w:rPr>
        <w:t>（一）项目组织架构及实施流程。</w:t>
      </w:r>
    </w:p>
    <w:p w14:paraId="1EF84C4E">
      <w:pPr>
        <w:autoSpaceDE w:val="0"/>
        <w:autoSpaceDN w:val="0"/>
        <w:adjustRightInd w:val="0"/>
        <w:spacing w:line="500" w:lineRule="exact"/>
        <w:jc w:val="left"/>
        <w:rPr>
          <w:rFonts w:eastAsia="黑体"/>
          <w:kern w:val="0"/>
        </w:rPr>
      </w:pPr>
      <w:r>
        <w:rPr>
          <w:rFonts w:hint="eastAsia" w:eastAsia="仿宋_GB2312"/>
          <w:kern w:val="0"/>
        </w:rPr>
        <w:t>项目于2015年10月取得米易县财政局立项批准，编号为MCCG(2015)245,并在</w:t>
      </w:r>
      <w:r>
        <w:rPr>
          <w:rFonts w:eastAsia="仿宋_GB2312"/>
        </w:rPr>
        <w:t>四川政府采购网发布</w:t>
      </w:r>
      <w:r>
        <w:rPr>
          <w:rFonts w:hint="eastAsia" w:eastAsia="仿宋_GB2312"/>
        </w:rPr>
        <w:t>《米易县城市管理局2016年-2020年绿化管护劳务公开招标采购项目（米资中采2015166-1包）》招标</w:t>
      </w:r>
      <w:r>
        <w:rPr>
          <w:rFonts w:eastAsia="仿宋_GB2312"/>
        </w:rPr>
        <w:t>公告</w:t>
      </w:r>
      <w:r>
        <w:rPr>
          <w:rFonts w:hint="eastAsia" w:eastAsia="仿宋_GB2312"/>
        </w:rPr>
        <w:t>；</w:t>
      </w:r>
      <w:r>
        <w:rPr>
          <w:rFonts w:hint="eastAsia" w:eastAsia="仿宋_GB2312"/>
          <w:kern w:val="0"/>
        </w:rPr>
        <w:t>2016年1月7日，由米易县公共资源交易中心组织有关专家及人员《按照政府采购法》的相关程序进行采购，</w:t>
      </w:r>
      <w:r>
        <w:rPr>
          <w:rFonts w:eastAsia="仿宋_GB2312"/>
        </w:rPr>
        <w:t>向</w:t>
      </w:r>
      <w:r>
        <w:rPr>
          <w:rFonts w:hint="eastAsia" w:eastAsia="仿宋_GB2312"/>
        </w:rPr>
        <w:t>四川大一景观工程有限责任公司、攀枝花市自然园林景观工程有限公司、成都市祥和花卉工程有限责任公司</w:t>
      </w:r>
      <w:r>
        <w:rPr>
          <w:rFonts w:eastAsia="仿宋_GB2312"/>
        </w:rPr>
        <w:t>下发《中标通知书》</w:t>
      </w:r>
      <w:r>
        <w:rPr>
          <w:rFonts w:hint="eastAsia" w:eastAsia="仿宋_GB2312"/>
        </w:rPr>
        <w:t>；2016年</w:t>
      </w:r>
      <w:r>
        <w:rPr>
          <w:rFonts w:eastAsia="仿宋_GB2312"/>
        </w:rPr>
        <w:t>1月</w:t>
      </w:r>
      <w:r>
        <w:rPr>
          <w:rFonts w:hint="eastAsia" w:eastAsia="仿宋_GB2312"/>
        </w:rPr>
        <w:t>22</w:t>
      </w:r>
      <w:r>
        <w:rPr>
          <w:rFonts w:eastAsia="仿宋_GB2312"/>
        </w:rPr>
        <w:t>日</w:t>
      </w:r>
      <w:r>
        <w:rPr>
          <w:rFonts w:hint="eastAsia" w:eastAsia="仿宋_GB2312"/>
        </w:rPr>
        <w:t>、26日</w:t>
      </w:r>
      <w:r>
        <w:rPr>
          <w:rFonts w:eastAsia="仿宋_GB2312"/>
        </w:rPr>
        <w:t>，</w:t>
      </w:r>
      <w:r>
        <w:rPr>
          <w:rFonts w:hint="eastAsia" w:eastAsia="仿宋_GB2312"/>
        </w:rPr>
        <w:t>米易县城市管理局分别</w:t>
      </w:r>
      <w:r>
        <w:rPr>
          <w:rFonts w:eastAsia="仿宋_GB2312"/>
        </w:rPr>
        <w:t>与</w:t>
      </w:r>
      <w:r>
        <w:rPr>
          <w:rFonts w:hint="eastAsia" w:eastAsia="仿宋_GB2312"/>
        </w:rPr>
        <w:t>《四川大一景观工程有限责任公司》、《成都市祥和花卉工程有限责任公司》、《攀枝花市自然园林景观工程有限公司》</w:t>
      </w:r>
      <w:r>
        <w:rPr>
          <w:rFonts w:eastAsia="仿宋_GB2312"/>
        </w:rPr>
        <w:t>签订《采购合同》</w:t>
      </w:r>
      <w:r>
        <w:rPr>
          <w:rFonts w:hint="eastAsia" w:eastAsia="仿宋_GB2312"/>
        </w:rPr>
        <w:t>；2016年2月1日，公司人员、作业机具等采购到位；</w:t>
      </w:r>
      <w:r>
        <w:rPr>
          <w:rFonts w:hint="eastAsia" w:eastAsia="仿宋_GB2312"/>
          <w:kern w:val="0"/>
        </w:rPr>
        <w:t>项目验收及监管均按照相关规章制度及合同约定实施。</w:t>
      </w:r>
    </w:p>
    <w:p w14:paraId="4B6BA335">
      <w:pPr>
        <w:adjustRightInd w:val="0"/>
        <w:snapToGrid w:val="0"/>
        <w:spacing w:line="500" w:lineRule="exact"/>
        <w:ind w:firstLine="643"/>
        <w:rPr>
          <w:rFonts w:ascii="仿宋_GB2312" w:hAnsi="宋体" w:eastAsia="仿宋_GB2312"/>
          <w:lang w:val="zh-CN"/>
        </w:rPr>
      </w:pPr>
      <w:r>
        <w:rPr>
          <w:rFonts w:hint="eastAsia" w:ascii="楷体_GB2312" w:hAnsi="宋体" w:eastAsia="楷体_GB2312"/>
          <w:b/>
          <w:lang w:val="zh-CN"/>
        </w:rPr>
        <w:t>（二）项目管理、监管情况。</w:t>
      </w:r>
    </w:p>
    <w:p w14:paraId="78E4BEEB">
      <w:pPr>
        <w:adjustRightInd w:val="0"/>
        <w:snapToGrid w:val="0"/>
        <w:spacing w:line="500" w:lineRule="exact"/>
        <w:rPr>
          <w:rFonts w:ascii="仿宋_GB2312" w:hAnsi="宋体" w:eastAsia="仿宋_GB2312"/>
          <w:lang w:val="zh-CN"/>
        </w:rPr>
      </w:pPr>
      <w:r>
        <w:rPr>
          <w:rFonts w:hint="eastAsia" w:eastAsia="仿宋_GB2312"/>
          <w:shd w:val="clear" w:color="auto" w:fill="FFFFFF"/>
        </w:rPr>
        <w:t>根据项目实施情况加强管理和考核，严格资金拨付相关程序等。一是</w:t>
      </w:r>
      <w:r>
        <w:rPr>
          <w:rFonts w:hint="eastAsia" w:ascii="仿宋_GB2312" w:hAnsi="宋体" w:eastAsia="仿宋_GB2312" w:cs="宋体"/>
          <w:bCs/>
          <w:kern w:val="0"/>
        </w:rPr>
        <w:t>建立长效养护管理机制，实行日常巡查、月度考核和其他检查考核相结合的方式。</w:t>
      </w:r>
      <w:r>
        <w:rPr>
          <w:rFonts w:hint="eastAsia" w:eastAsia="仿宋_GB2312"/>
          <w:kern w:val="0"/>
        </w:rPr>
        <w:t>进一步加强对绿化管护公司市场化运作的监管，具体工作做到常抓不懈，并且有计划、有落实、有检查、有奖惩，使绿化管护步入科学化、制度化、规范化、精细化轨道；二是致力提升绿化养护水平，推进市场化绿化养护模式。为更好完成城区第三轮绿化养护市场化工作，提升城区环境，通过公开招标方式来确认绿化养护单位。三是充分发挥职能，考核办法不断完善。为更好监督养护单位对养护工作的执行情况，进一步规范城区绿化养护管理工作，更好地提升城市景观形象，第三轮绿化养护市场化不断研究、完善《米易县园林绿化管护考核实施细则》，更加明确详细完善地规定了养护单位的作业标准、业主单位对养护单位的考核办法、经费的拨付要求及奖惩措施。我局作为业主单位，将实现每日对养护单位作业范围进行监督检查，通过实地考核及每日微信确认当日工作量等方式全方位实现督办职能。考核办法的完善、业主单位日常考核的高执行度也将标志着我县城区绿化养护管理水平的提升。</w:t>
      </w:r>
    </w:p>
    <w:p w14:paraId="6E12EB2F">
      <w:pPr>
        <w:adjustRightInd w:val="0"/>
        <w:snapToGrid w:val="0"/>
        <w:spacing w:line="500" w:lineRule="exact"/>
        <w:rPr>
          <w:rFonts w:ascii="仿宋_GB2312" w:hAnsi="宋体" w:eastAsia="仿宋_GB2312"/>
          <w:lang w:val="zh-CN"/>
        </w:rPr>
      </w:pPr>
      <w:r>
        <w:rPr>
          <w:rFonts w:hint="eastAsia" w:ascii="黑体" w:hAnsi="宋体" w:eastAsia="黑体"/>
        </w:rPr>
        <w:t>四、项目绩效情况</w:t>
      </w:r>
      <w:r>
        <w:rPr>
          <w:rFonts w:ascii="仿宋_GB2312" w:hAnsi="宋体" w:eastAsia="仿宋_GB2312"/>
          <w:lang w:val="zh-CN"/>
        </w:rPr>
        <w:tab/>
      </w:r>
    </w:p>
    <w:p w14:paraId="3AAAF689">
      <w:pPr>
        <w:adjustRightInd w:val="0"/>
        <w:snapToGrid w:val="0"/>
        <w:spacing w:line="500" w:lineRule="exact"/>
        <w:ind w:firstLine="643"/>
        <w:rPr>
          <w:rFonts w:ascii="楷体_GB2312" w:hAnsi="宋体" w:eastAsia="楷体_GB2312"/>
          <w:b/>
          <w:lang w:val="zh-CN"/>
        </w:rPr>
      </w:pPr>
      <w:r>
        <w:rPr>
          <w:rFonts w:hint="eastAsia" w:ascii="楷体_GB2312" w:hAnsi="宋体" w:eastAsia="楷体_GB2312"/>
          <w:b/>
          <w:lang w:val="zh-CN"/>
        </w:rPr>
        <w:t>（一）项目完成情况。</w:t>
      </w:r>
    </w:p>
    <w:p w14:paraId="74E88652">
      <w:pPr>
        <w:adjustRightInd w:val="0"/>
        <w:snapToGrid w:val="0"/>
        <w:spacing w:line="500" w:lineRule="exact"/>
        <w:rPr>
          <w:rFonts w:ascii="仿宋_GB2312" w:hAnsi="宋体" w:eastAsia="仿宋_GB2312"/>
          <w:lang w:val="zh-CN"/>
        </w:rPr>
      </w:pPr>
      <w:r>
        <w:rPr>
          <w:rFonts w:hint="eastAsia" w:ascii="仿宋_GB2312" w:hAnsi="宋体" w:eastAsia="仿宋_GB2312"/>
        </w:rPr>
        <w:t>按照</w:t>
      </w:r>
      <w:r>
        <w:rPr>
          <w:rFonts w:eastAsia="仿宋_GB2312"/>
        </w:rPr>
        <w:t>2020</w:t>
      </w:r>
      <w:r>
        <w:rPr>
          <w:rFonts w:hint="eastAsia" w:ascii="仿宋_GB2312" w:hAnsi="宋体" w:eastAsia="仿宋_GB2312"/>
        </w:rPr>
        <w:t>年年初预算制定目标和考核结果</w:t>
      </w:r>
      <w:r>
        <w:rPr>
          <w:rFonts w:ascii="仿宋_GB2312" w:hAnsi="宋体" w:eastAsia="仿宋_GB2312"/>
        </w:rPr>
        <w:t>按月拨付费用，</w:t>
      </w:r>
      <w:r>
        <w:rPr>
          <w:rFonts w:hint="eastAsia" w:ascii="仿宋_GB2312" w:hAnsi="宋体" w:eastAsia="仿宋_GB2312"/>
        </w:rPr>
        <w:t>本年度实际拨付资金</w:t>
      </w:r>
      <w:r>
        <w:rPr>
          <w:rFonts w:hint="eastAsia" w:eastAsia="仿宋_GB2312"/>
        </w:rPr>
        <w:t>842.23</w:t>
      </w:r>
      <w:r>
        <w:rPr>
          <w:rFonts w:hint="eastAsia" w:ascii="仿宋_GB2312" w:hAnsi="宋体" w:eastAsia="仿宋_GB2312"/>
        </w:rPr>
        <w:t>万元。</w:t>
      </w:r>
      <w:r>
        <w:rPr>
          <w:rFonts w:ascii="仿宋_GB2312" w:hAnsi="宋体" w:eastAsia="仿宋_GB2312"/>
        </w:rPr>
        <w:t>实施进度按工作计划进行，高质量完成该项目</w:t>
      </w:r>
      <w:r>
        <w:rPr>
          <w:rFonts w:hint="eastAsia" w:ascii="仿宋_GB2312" w:hAnsi="宋体" w:eastAsia="仿宋_GB2312"/>
        </w:rPr>
        <w:t>。</w:t>
      </w:r>
    </w:p>
    <w:p w14:paraId="55439BDD">
      <w:pPr>
        <w:adjustRightInd w:val="0"/>
        <w:snapToGrid w:val="0"/>
        <w:spacing w:line="500" w:lineRule="exact"/>
        <w:ind w:firstLine="643"/>
        <w:rPr>
          <w:rFonts w:ascii="楷体_GB2312" w:hAnsi="宋体" w:eastAsia="楷体_GB2312"/>
          <w:b/>
          <w:lang w:val="zh-CN"/>
        </w:rPr>
      </w:pPr>
      <w:r>
        <w:rPr>
          <w:rFonts w:hint="eastAsia" w:ascii="楷体_GB2312" w:hAnsi="宋体" w:eastAsia="楷体_GB2312"/>
          <w:b/>
          <w:lang w:val="zh-CN"/>
        </w:rPr>
        <w:t>（二）项目效益情况。</w:t>
      </w:r>
    </w:p>
    <w:p w14:paraId="37AD7C4F">
      <w:pPr>
        <w:adjustRightInd w:val="0"/>
        <w:snapToGrid w:val="0"/>
        <w:spacing w:line="500" w:lineRule="exact"/>
        <w:rPr>
          <w:rFonts w:ascii="仿宋_GB2312" w:hAnsi="宋体" w:eastAsia="仿宋_GB2312"/>
          <w:lang w:val="zh-CN"/>
        </w:rPr>
      </w:pPr>
      <w:r>
        <w:rPr>
          <w:rFonts w:ascii="仿宋_GB2312" w:hAnsi="宋体" w:eastAsia="仿宋_GB2312"/>
          <w:lang w:val="zh-CN"/>
        </w:rPr>
        <w:t>我局已完成该项目预期目标，保障</w:t>
      </w:r>
      <w:r>
        <w:rPr>
          <w:rFonts w:hint="eastAsia" w:ascii="仿宋_GB2312" w:hAnsi="宋体" w:eastAsia="仿宋_GB2312"/>
          <w:lang w:val="zh-CN"/>
        </w:rPr>
        <w:t>第二轮园林绿化养护市场化项目</w:t>
      </w:r>
      <w:r>
        <w:rPr>
          <w:rFonts w:eastAsia="仿宋_GB2312"/>
          <w:lang w:val="zh-CN"/>
        </w:rPr>
        <w:t>2020年</w:t>
      </w:r>
      <w:r>
        <w:rPr>
          <w:rFonts w:hint="eastAsia" w:ascii="仿宋_GB2312" w:hAnsi="宋体" w:eastAsia="仿宋_GB2312"/>
          <w:lang w:val="zh-CN"/>
        </w:rPr>
        <w:t>经费按考核结果</w:t>
      </w:r>
      <w:r>
        <w:rPr>
          <w:rFonts w:ascii="仿宋_GB2312" w:hAnsi="宋体" w:eastAsia="仿宋_GB2312"/>
          <w:lang w:val="zh-CN"/>
        </w:rPr>
        <w:t>及时发放。</w:t>
      </w:r>
    </w:p>
    <w:p w14:paraId="742D3400">
      <w:pPr>
        <w:adjustRightInd w:val="0"/>
        <w:snapToGrid w:val="0"/>
        <w:spacing w:line="500" w:lineRule="exact"/>
        <w:rPr>
          <w:rFonts w:ascii="黑体" w:hAnsi="宋体" w:eastAsia="黑体"/>
        </w:rPr>
      </w:pPr>
      <w:r>
        <w:rPr>
          <w:rFonts w:hint="eastAsia" w:ascii="黑体" w:hAnsi="宋体" w:eastAsia="黑体"/>
        </w:rPr>
        <w:t>五、评价结论及建议</w:t>
      </w:r>
    </w:p>
    <w:p w14:paraId="377E3795">
      <w:pPr>
        <w:adjustRightInd w:val="0"/>
        <w:snapToGrid w:val="0"/>
        <w:spacing w:line="500" w:lineRule="exact"/>
        <w:ind w:firstLine="643"/>
        <w:rPr>
          <w:rFonts w:ascii="楷体_GB2312" w:hAnsi="宋体" w:eastAsia="楷体_GB2312"/>
          <w:b/>
          <w:lang w:val="zh-CN"/>
        </w:rPr>
      </w:pPr>
      <w:r>
        <w:rPr>
          <w:rFonts w:hint="eastAsia" w:ascii="楷体_GB2312" w:hAnsi="宋体" w:eastAsia="楷体_GB2312"/>
          <w:b/>
          <w:lang w:val="zh-CN"/>
        </w:rPr>
        <w:t>（一）评价结论。</w:t>
      </w:r>
    </w:p>
    <w:p w14:paraId="2B02B48A">
      <w:pPr>
        <w:autoSpaceDE w:val="0"/>
        <w:autoSpaceDN w:val="0"/>
        <w:adjustRightInd w:val="0"/>
        <w:spacing w:line="500" w:lineRule="exact"/>
        <w:jc w:val="left"/>
        <w:rPr>
          <w:rFonts w:eastAsia="仿宋_GB2312"/>
          <w:kern w:val="0"/>
          <w:lang w:val="zh-CN"/>
        </w:rPr>
      </w:pPr>
      <w:r>
        <w:rPr>
          <w:rFonts w:hint="eastAsia" w:ascii="仿宋_GB2312" w:hAnsi="宋体" w:eastAsia="仿宋_GB2312"/>
          <w:lang w:val="zh-CN"/>
        </w:rPr>
        <w:t>米易县第二轮园林绿化养护市场化项目，</w:t>
      </w:r>
      <w:r>
        <w:rPr>
          <w:rFonts w:eastAsia="仿宋_GB2312"/>
          <w:lang w:val="zh-CN"/>
        </w:rPr>
        <w:t>2020</w:t>
      </w:r>
      <w:r>
        <w:rPr>
          <w:rFonts w:hint="eastAsia" w:ascii="仿宋_GB2312" w:hAnsi="宋体" w:eastAsia="仿宋_GB2312"/>
          <w:lang w:val="zh-CN"/>
        </w:rPr>
        <w:t>年</w:t>
      </w:r>
      <w:r>
        <w:rPr>
          <w:rFonts w:hint="eastAsia" w:eastAsia="仿宋_GB2312"/>
          <w:kern w:val="0"/>
        </w:rPr>
        <w:t>较好的完成了目标，按照相关制度规范使用资金，不存在截留、挤占、挪用、虚列支出等情况。</w:t>
      </w:r>
    </w:p>
    <w:p w14:paraId="579F8CF2">
      <w:pPr>
        <w:adjustRightInd w:val="0"/>
        <w:snapToGrid w:val="0"/>
        <w:spacing w:line="500" w:lineRule="exact"/>
        <w:ind w:firstLine="643"/>
        <w:rPr>
          <w:rFonts w:ascii="楷体_GB2312" w:hAnsi="宋体" w:eastAsia="楷体_GB2312"/>
          <w:b/>
          <w:lang w:val="zh-CN"/>
        </w:rPr>
      </w:pPr>
      <w:r>
        <w:rPr>
          <w:rFonts w:hint="eastAsia" w:ascii="楷体_GB2312" w:hAnsi="宋体" w:eastAsia="楷体_GB2312"/>
          <w:b/>
          <w:lang w:val="zh-CN"/>
        </w:rPr>
        <w:t>（二）存在的问题。</w:t>
      </w:r>
    </w:p>
    <w:p w14:paraId="57DE9A86">
      <w:pPr>
        <w:adjustRightInd w:val="0"/>
        <w:snapToGrid w:val="0"/>
        <w:spacing w:line="500" w:lineRule="exact"/>
        <w:rPr>
          <w:rFonts w:ascii="仿宋_GB2312" w:hAnsi="宋体" w:eastAsia="仿宋_GB2312"/>
          <w:lang w:val="zh-CN"/>
        </w:rPr>
      </w:pPr>
      <w:r>
        <w:rPr>
          <w:rFonts w:hint="eastAsia" w:ascii="仿宋_GB2312" w:hAnsi="宋体" w:eastAsia="仿宋_GB2312"/>
          <w:lang w:val="zh-CN"/>
        </w:rPr>
        <w:t>无</w:t>
      </w:r>
    </w:p>
    <w:p w14:paraId="63EFAAF0">
      <w:pPr>
        <w:adjustRightInd w:val="0"/>
        <w:snapToGrid w:val="0"/>
        <w:spacing w:line="500" w:lineRule="exact"/>
        <w:ind w:firstLine="643"/>
        <w:rPr>
          <w:rFonts w:ascii="楷体_GB2312" w:hAnsi="宋体" w:eastAsia="楷体_GB2312"/>
          <w:b/>
          <w:lang w:val="zh-CN"/>
        </w:rPr>
      </w:pPr>
      <w:r>
        <w:rPr>
          <w:rFonts w:hint="eastAsia" w:ascii="楷体_GB2312" w:hAnsi="宋体" w:eastAsia="楷体_GB2312"/>
          <w:b/>
          <w:lang w:val="zh-CN"/>
        </w:rPr>
        <w:t>（三）相关建议。</w:t>
      </w:r>
    </w:p>
    <w:p w14:paraId="5289D3D9">
      <w:pPr>
        <w:spacing w:line="500" w:lineRule="exact"/>
      </w:pPr>
      <w:r>
        <w:rPr>
          <w:rFonts w:hint="eastAsia" w:ascii="仿宋_GB2312" w:hAnsi="宋体" w:eastAsia="仿宋_GB2312"/>
          <w:lang w:val="zh-CN"/>
        </w:rPr>
        <w:t>无</w:t>
      </w:r>
    </w:p>
    <w:p w14:paraId="0F281D1D">
      <w:pPr>
        <w:pStyle w:val="6"/>
        <w:spacing w:before="0"/>
        <w:ind w:firstLine="0" w:firstLineChars="0"/>
        <w:jc w:val="both"/>
        <w:rPr>
          <w:rFonts w:ascii="Times New Roman" w:hAnsi="Times New Roman" w:eastAsia="方正小标宋_GBK"/>
          <w:sz w:val="44"/>
          <w:szCs w:val="44"/>
        </w:rPr>
      </w:pPr>
    </w:p>
    <w:p w14:paraId="703DB80A">
      <w:pPr>
        <w:pStyle w:val="6"/>
        <w:spacing w:before="0"/>
        <w:ind w:firstLine="0" w:firstLineChars="0"/>
        <w:rPr>
          <w:rFonts w:ascii="Times New Roman" w:hAnsi="Times New Roman" w:eastAsia="方正小标宋_GBK"/>
          <w:sz w:val="44"/>
          <w:szCs w:val="44"/>
        </w:rPr>
      </w:pPr>
      <w:r>
        <w:rPr>
          <w:rFonts w:ascii="Times New Roman" w:hAnsi="Times New Roman" w:eastAsia="方正小标宋_GBK"/>
          <w:sz w:val="44"/>
          <w:szCs w:val="44"/>
        </w:rPr>
        <w:t>第五部分</w:t>
      </w:r>
      <w:r>
        <w:rPr>
          <w:rFonts w:hint="eastAsia" w:ascii="Times New Roman" w:hAnsi="Times New Roman" w:eastAsia="方正小标宋_GBK"/>
          <w:sz w:val="44"/>
          <w:szCs w:val="44"/>
        </w:rPr>
        <w:t xml:space="preserve">  </w:t>
      </w:r>
      <w:r>
        <w:rPr>
          <w:rFonts w:ascii="Times New Roman" w:hAnsi="Times New Roman" w:eastAsia="方正小标宋_GBK"/>
          <w:sz w:val="44"/>
          <w:szCs w:val="44"/>
        </w:rPr>
        <w:t>附表</w:t>
      </w:r>
    </w:p>
    <w:p w14:paraId="79502811">
      <w:pPr>
        <w:rPr>
          <w:rFonts w:ascii="Times New Roman" w:hAnsi="Times New Roman"/>
        </w:rPr>
      </w:pPr>
    </w:p>
    <w:p w14:paraId="333E821A">
      <w:pPr>
        <w:pStyle w:val="7"/>
        <w:ind w:left="0" w:leftChars="0"/>
        <w:jc w:val="left"/>
        <w:rPr>
          <w:rFonts w:ascii="Times New Roman" w:hAnsi="Times New Roman" w:eastAsia="仿宋_GB2312"/>
        </w:rPr>
      </w:pPr>
      <w:r>
        <w:rPr>
          <w:rFonts w:ascii="Times New Roman" w:hAnsi="Times New Roman" w:eastAsia="仿宋_GB2312"/>
        </w:rPr>
        <w:t>一、收入支出决算总表</w:t>
      </w:r>
    </w:p>
    <w:p w14:paraId="552DAA98">
      <w:pPr>
        <w:pStyle w:val="7"/>
        <w:ind w:left="0" w:leftChars="0"/>
        <w:jc w:val="left"/>
        <w:rPr>
          <w:rFonts w:ascii="Times New Roman" w:hAnsi="Times New Roman" w:eastAsia="仿宋_GB2312"/>
        </w:rPr>
      </w:pPr>
      <w:r>
        <w:rPr>
          <w:rFonts w:ascii="Times New Roman" w:hAnsi="Times New Roman" w:eastAsia="仿宋_GB2312"/>
        </w:rPr>
        <w:t>二、收入决算表</w:t>
      </w:r>
    </w:p>
    <w:p w14:paraId="1FBA2A02">
      <w:pPr>
        <w:pStyle w:val="7"/>
        <w:ind w:left="0" w:leftChars="0"/>
        <w:jc w:val="left"/>
        <w:rPr>
          <w:rFonts w:ascii="Times New Roman" w:hAnsi="Times New Roman" w:eastAsia="仿宋_GB2312"/>
        </w:rPr>
      </w:pPr>
      <w:r>
        <w:rPr>
          <w:rFonts w:ascii="Times New Roman" w:hAnsi="Times New Roman" w:eastAsia="仿宋_GB2312"/>
        </w:rPr>
        <w:t>三、支出决算表</w:t>
      </w:r>
    </w:p>
    <w:p w14:paraId="0B9D2B31">
      <w:pPr>
        <w:pStyle w:val="7"/>
        <w:ind w:left="0" w:leftChars="0"/>
        <w:jc w:val="left"/>
        <w:rPr>
          <w:rFonts w:ascii="Times New Roman" w:hAnsi="Times New Roman" w:eastAsia="仿宋_GB2312"/>
        </w:rPr>
      </w:pPr>
      <w:r>
        <w:rPr>
          <w:rFonts w:ascii="Times New Roman" w:hAnsi="Times New Roman" w:eastAsia="仿宋_GB2312"/>
        </w:rPr>
        <w:t>四、财政拨款收入支出决算总表</w:t>
      </w:r>
    </w:p>
    <w:p w14:paraId="61E24CA3">
      <w:pPr>
        <w:pStyle w:val="7"/>
        <w:ind w:left="0" w:leftChars="0"/>
        <w:jc w:val="left"/>
        <w:rPr>
          <w:rFonts w:ascii="Times New Roman" w:hAnsi="Times New Roman" w:eastAsia="仿宋_GB2312"/>
        </w:rPr>
      </w:pPr>
      <w:r>
        <w:rPr>
          <w:rFonts w:ascii="Times New Roman" w:hAnsi="Times New Roman" w:eastAsia="仿宋_GB2312"/>
        </w:rPr>
        <w:t>五、财政拨款支出决算明细表</w:t>
      </w:r>
    </w:p>
    <w:p w14:paraId="00C7B642">
      <w:pPr>
        <w:pStyle w:val="7"/>
        <w:ind w:left="0" w:leftChars="0"/>
        <w:jc w:val="left"/>
        <w:rPr>
          <w:rFonts w:ascii="Times New Roman" w:hAnsi="Times New Roman" w:eastAsia="仿宋_GB2312"/>
        </w:rPr>
      </w:pPr>
      <w:r>
        <w:rPr>
          <w:rFonts w:ascii="Times New Roman" w:hAnsi="Times New Roman" w:eastAsia="仿宋_GB2312"/>
        </w:rPr>
        <w:t>六、一般公共预算财政拨款支出决算表</w:t>
      </w:r>
    </w:p>
    <w:p w14:paraId="510184A4">
      <w:pPr>
        <w:pStyle w:val="7"/>
        <w:ind w:left="0" w:leftChars="0"/>
        <w:jc w:val="left"/>
        <w:rPr>
          <w:rFonts w:ascii="Times New Roman" w:hAnsi="Times New Roman" w:eastAsia="仿宋_GB2312"/>
        </w:rPr>
      </w:pPr>
      <w:r>
        <w:rPr>
          <w:rFonts w:ascii="Times New Roman" w:hAnsi="Times New Roman" w:eastAsia="仿宋_GB2312"/>
        </w:rPr>
        <w:t>七、一般公共预算财政拨款支出决算明细表</w:t>
      </w:r>
    </w:p>
    <w:p w14:paraId="24EA97CB">
      <w:pPr>
        <w:pStyle w:val="7"/>
        <w:ind w:left="0" w:leftChars="0"/>
        <w:jc w:val="left"/>
        <w:rPr>
          <w:rFonts w:ascii="Times New Roman" w:hAnsi="Times New Roman" w:eastAsia="仿宋_GB2312"/>
        </w:rPr>
      </w:pPr>
      <w:r>
        <w:rPr>
          <w:rFonts w:ascii="Times New Roman" w:hAnsi="Times New Roman" w:eastAsia="仿宋_GB2312"/>
        </w:rPr>
        <w:t>八、一般公共预算财政拨款基本支出决算表</w:t>
      </w:r>
    </w:p>
    <w:p w14:paraId="51D3370F">
      <w:pPr>
        <w:pStyle w:val="7"/>
        <w:ind w:left="0" w:leftChars="0"/>
        <w:jc w:val="left"/>
        <w:rPr>
          <w:rFonts w:ascii="Times New Roman" w:hAnsi="Times New Roman" w:eastAsia="仿宋_GB2312"/>
        </w:rPr>
      </w:pPr>
      <w:r>
        <w:rPr>
          <w:rFonts w:ascii="Times New Roman" w:hAnsi="Times New Roman" w:eastAsia="仿宋_GB2312"/>
        </w:rPr>
        <w:t>九、一般公共预算财政拨款项目支出决算表</w:t>
      </w:r>
    </w:p>
    <w:p w14:paraId="7631ED06">
      <w:pPr>
        <w:pStyle w:val="7"/>
        <w:ind w:left="0" w:leftChars="0"/>
        <w:jc w:val="left"/>
        <w:rPr>
          <w:rFonts w:ascii="Times New Roman" w:hAnsi="Times New Roman" w:eastAsia="仿宋_GB2312"/>
        </w:rPr>
      </w:pPr>
      <w:r>
        <w:rPr>
          <w:rFonts w:ascii="Times New Roman" w:hAnsi="Times New Roman" w:eastAsia="仿宋_GB2312"/>
        </w:rPr>
        <w:t>十、一般公共预算财政拨款“三公”经费支出决算表</w:t>
      </w:r>
    </w:p>
    <w:p w14:paraId="494F025E">
      <w:pPr>
        <w:pStyle w:val="7"/>
        <w:ind w:left="0" w:leftChars="0"/>
        <w:jc w:val="left"/>
        <w:rPr>
          <w:rFonts w:ascii="Times New Roman" w:hAnsi="Times New Roman" w:eastAsia="仿宋_GB2312"/>
        </w:rPr>
      </w:pPr>
      <w:r>
        <w:rPr>
          <w:rFonts w:ascii="Times New Roman" w:hAnsi="Times New Roman" w:eastAsia="仿宋_GB2312"/>
        </w:rPr>
        <w:t>十一、政府性基金预算财政拨款收入支出决算表</w:t>
      </w:r>
    </w:p>
    <w:p w14:paraId="38247808">
      <w:pPr>
        <w:pStyle w:val="7"/>
        <w:ind w:left="0" w:leftChars="0"/>
        <w:jc w:val="left"/>
        <w:rPr>
          <w:rFonts w:ascii="Times New Roman" w:hAnsi="Times New Roman" w:eastAsia="仿宋_GB2312"/>
        </w:rPr>
      </w:pPr>
      <w:r>
        <w:rPr>
          <w:rFonts w:ascii="Times New Roman" w:hAnsi="Times New Roman" w:eastAsia="仿宋_GB2312"/>
        </w:rPr>
        <w:t>十二、政府性基金预算财政拨款“三公”经费支出决算表</w:t>
      </w:r>
    </w:p>
    <w:p w14:paraId="2036B05E">
      <w:pPr>
        <w:pStyle w:val="7"/>
        <w:ind w:left="0" w:leftChars="0"/>
        <w:jc w:val="left"/>
        <w:rPr>
          <w:rFonts w:ascii="Times New Roman" w:hAnsi="Times New Roman" w:eastAsia="仿宋_GB2312"/>
        </w:rPr>
      </w:pPr>
      <w:r>
        <w:rPr>
          <w:rFonts w:ascii="Times New Roman" w:hAnsi="Times New Roman" w:eastAsia="仿宋_GB2312"/>
        </w:rPr>
        <w:t>十三、国有资本经营预算财政拨款收入支出决算表</w:t>
      </w:r>
    </w:p>
    <w:p w14:paraId="76B9C0AE">
      <w:pPr>
        <w:pStyle w:val="7"/>
        <w:ind w:left="0" w:leftChars="0"/>
        <w:jc w:val="left"/>
        <w:rPr>
          <w:rFonts w:ascii="Times New Roman" w:hAnsi="Times New Roman" w:eastAsia="仿宋_GB2312"/>
        </w:rPr>
      </w:pPr>
      <w:r>
        <w:rPr>
          <w:rFonts w:ascii="Times New Roman" w:hAnsi="Times New Roman" w:eastAsia="仿宋_GB2312"/>
        </w:rPr>
        <w:t>十四、国有资本经营预算财政拨款支出决算表</w:t>
      </w:r>
    </w:p>
    <w:p w14:paraId="20CD1C42">
      <w:pPr>
        <w:pStyle w:val="7"/>
        <w:ind w:left="0" w:leftChars="0"/>
        <w:jc w:val="left"/>
        <w:rPr>
          <w:rFonts w:ascii="Times New Roman" w:hAnsi="Times New Roman" w:eastAsia="仿宋_GB2312"/>
        </w:rPr>
      </w:pPr>
      <w:r>
        <w:rPr>
          <w:rFonts w:ascii="Times New Roman" w:hAnsi="Times New Roman" w:eastAsia="仿宋_GB2312"/>
        </w:rPr>
        <w:t>十五、机关运行经费、资产占用情况及政府采购支出信息表</w:t>
      </w:r>
    </w:p>
    <w:p w14:paraId="755B9918">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TimesNewRoman">
    <w:altName w:val="宋体"/>
    <w:panose1 w:val="00000000000000000000"/>
    <w:charset w:val="86"/>
    <w:family w:val="roma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0B523">
    <w:pPr>
      <w:pStyle w:val="4"/>
      <w:ind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3F170F">
                          <w:pPr>
                            <w:pStyle w:val="4"/>
                            <w:ind w:firstLine="560"/>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- 3 -</w:t>
                          </w:r>
                          <w:r>
                            <w:rPr>
                              <w:sz w:val="28"/>
                              <w:szCs w:val="2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SKpOskBAACZ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Iqk6yQEAAJkDAAAOAAAAAAAAAAEAIAAAAB4BAABkcnMvZTJvRG9j&#10;LnhtbFBLBQYAAAAABgAGAFkBAABZBQAAAAA=&#10;">
              <v:fill on="f" focussize="0,0"/>
              <v:stroke on="f"/>
              <v:imagedata o:title=""/>
              <o:lock v:ext="edit" aspectratio="f"/>
              <v:textbox inset="0mm,0mm,0mm,0mm" style="mso-fit-shape-to-text:t;">
                <w:txbxContent>
                  <w:p w14:paraId="5F3F170F">
                    <w:pPr>
                      <w:pStyle w:val="4"/>
                      <w:ind w:firstLine="560"/>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- 3 -</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8D392">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57102">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59DD0">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24969">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F50CF">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5A434B"/>
    <w:multiLevelType w:val="multilevel"/>
    <w:tmpl w:val="285A434B"/>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DCAFBF6"/>
    <w:multiLevelType w:val="singleLevel"/>
    <w:tmpl w:val="6DCAFBF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ZTY5OWIxOGYyOTRhMjcxOTUwYjgyZjA5NmM2MTIifQ=="/>
  </w:docVars>
  <w:rsids>
    <w:rsidRoot w:val="00F41CA2"/>
    <w:rsid w:val="00066E15"/>
    <w:rsid w:val="00076E22"/>
    <w:rsid w:val="000776BA"/>
    <w:rsid w:val="000D6A89"/>
    <w:rsid w:val="000E360B"/>
    <w:rsid w:val="000F3AB6"/>
    <w:rsid w:val="00112F5A"/>
    <w:rsid w:val="001140CC"/>
    <w:rsid w:val="00117E63"/>
    <w:rsid w:val="0014266F"/>
    <w:rsid w:val="001A5DB9"/>
    <w:rsid w:val="001B2180"/>
    <w:rsid w:val="001C2AED"/>
    <w:rsid w:val="00241A4E"/>
    <w:rsid w:val="0025290B"/>
    <w:rsid w:val="0027090D"/>
    <w:rsid w:val="0027281C"/>
    <w:rsid w:val="002741BD"/>
    <w:rsid w:val="00280742"/>
    <w:rsid w:val="002A1130"/>
    <w:rsid w:val="002F09BE"/>
    <w:rsid w:val="00323E51"/>
    <w:rsid w:val="00352C9B"/>
    <w:rsid w:val="00360354"/>
    <w:rsid w:val="003615C3"/>
    <w:rsid w:val="00373C21"/>
    <w:rsid w:val="00385594"/>
    <w:rsid w:val="003A4F2A"/>
    <w:rsid w:val="00416A20"/>
    <w:rsid w:val="00444899"/>
    <w:rsid w:val="00446555"/>
    <w:rsid w:val="004505A4"/>
    <w:rsid w:val="00490B9C"/>
    <w:rsid w:val="004E42E6"/>
    <w:rsid w:val="00514ECA"/>
    <w:rsid w:val="00524A30"/>
    <w:rsid w:val="005A347F"/>
    <w:rsid w:val="005C51C8"/>
    <w:rsid w:val="005E3321"/>
    <w:rsid w:val="006349B8"/>
    <w:rsid w:val="006508AF"/>
    <w:rsid w:val="006837DB"/>
    <w:rsid w:val="006856BA"/>
    <w:rsid w:val="006A19A4"/>
    <w:rsid w:val="00707152"/>
    <w:rsid w:val="00713197"/>
    <w:rsid w:val="007359FF"/>
    <w:rsid w:val="00825262"/>
    <w:rsid w:val="00861F3B"/>
    <w:rsid w:val="008806DE"/>
    <w:rsid w:val="00884656"/>
    <w:rsid w:val="00890749"/>
    <w:rsid w:val="008A1C76"/>
    <w:rsid w:val="008B27B4"/>
    <w:rsid w:val="00900274"/>
    <w:rsid w:val="0091297C"/>
    <w:rsid w:val="00940AEB"/>
    <w:rsid w:val="00945807"/>
    <w:rsid w:val="00953A52"/>
    <w:rsid w:val="009A1FEE"/>
    <w:rsid w:val="009B2061"/>
    <w:rsid w:val="009B4E58"/>
    <w:rsid w:val="009D6AA8"/>
    <w:rsid w:val="009F6603"/>
    <w:rsid w:val="00A23EC2"/>
    <w:rsid w:val="00A92C2A"/>
    <w:rsid w:val="00AF3AD7"/>
    <w:rsid w:val="00B003D2"/>
    <w:rsid w:val="00B75BBC"/>
    <w:rsid w:val="00BC10DD"/>
    <w:rsid w:val="00C377D3"/>
    <w:rsid w:val="00C91983"/>
    <w:rsid w:val="00CD3F82"/>
    <w:rsid w:val="00D432C2"/>
    <w:rsid w:val="00D43E40"/>
    <w:rsid w:val="00D46D38"/>
    <w:rsid w:val="00D82DED"/>
    <w:rsid w:val="00DB668B"/>
    <w:rsid w:val="00DF652D"/>
    <w:rsid w:val="00E75D51"/>
    <w:rsid w:val="00EB43C1"/>
    <w:rsid w:val="00EC581D"/>
    <w:rsid w:val="00F21C8C"/>
    <w:rsid w:val="00F22563"/>
    <w:rsid w:val="00F41CA2"/>
    <w:rsid w:val="00F53062"/>
    <w:rsid w:val="00FE60ED"/>
    <w:rsid w:val="00FF5DB3"/>
    <w:rsid w:val="00FF7A79"/>
    <w:rsid w:val="06654211"/>
    <w:rsid w:val="07EA0E72"/>
    <w:rsid w:val="0EC50FFB"/>
    <w:rsid w:val="13FB2218"/>
    <w:rsid w:val="14DA6AA1"/>
    <w:rsid w:val="17EC3862"/>
    <w:rsid w:val="21B24356"/>
    <w:rsid w:val="260B2ACF"/>
    <w:rsid w:val="2732478D"/>
    <w:rsid w:val="275865D0"/>
    <w:rsid w:val="28201551"/>
    <w:rsid w:val="2BB73562"/>
    <w:rsid w:val="2CA53C20"/>
    <w:rsid w:val="2CF848C2"/>
    <w:rsid w:val="2ECE0CAD"/>
    <w:rsid w:val="2F5A4821"/>
    <w:rsid w:val="300246FB"/>
    <w:rsid w:val="303F71A5"/>
    <w:rsid w:val="30DF2EF5"/>
    <w:rsid w:val="337B08A2"/>
    <w:rsid w:val="33EF4F96"/>
    <w:rsid w:val="34EF0FC6"/>
    <w:rsid w:val="381D6E25"/>
    <w:rsid w:val="3A663AD8"/>
    <w:rsid w:val="3C3A5ABD"/>
    <w:rsid w:val="3F1D7BCA"/>
    <w:rsid w:val="3FD37E62"/>
    <w:rsid w:val="42542697"/>
    <w:rsid w:val="461E5C33"/>
    <w:rsid w:val="47FE3835"/>
    <w:rsid w:val="4C673E0C"/>
    <w:rsid w:val="4CC308E1"/>
    <w:rsid w:val="4D746993"/>
    <w:rsid w:val="505D738D"/>
    <w:rsid w:val="527A4187"/>
    <w:rsid w:val="527E706E"/>
    <w:rsid w:val="553B6729"/>
    <w:rsid w:val="5B4571BE"/>
    <w:rsid w:val="651B6D9B"/>
    <w:rsid w:val="677F7167"/>
    <w:rsid w:val="69B87242"/>
    <w:rsid w:val="6F903712"/>
    <w:rsid w:val="700C06A3"/>
    <w:rsid w:val="72A20E4A"/>
    <w:rsid w:val="75DD1B55"/>
    <w:rsid w:val="77630461"/>
    <w:rsid w:val="7790711B"/>
    <w:rsid w:val="77BC650A"/>
    <w:rsid w:val="78B95140"/>
    <w:rsid w:val="7BAC3D2F"/>
    <w:rsid w:val="7BAF553A"/>
    <w:rsid w:val="7C5807CC"/>
    <w:rsid w:val="7E2601DC"/>
    <w:rsid w:val="7F6C2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40" w:firstLineChars="200"/>
      <w:jc w:val="both"/>
    </w:pPr>
    <w:rPr>
      <w:rFonts w:ascii="仿宋" w:hAnsi="仿宋" w:eastAsia="仿宋" w:cs="Times New Roman"/>
      <w:color w:val="000000"/>
      <w:kern w:val="2"/>
      <w:sz w:val="32"/>
      <w:szCs w:val="3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hAnsi="Times New Roman" w:eastAsia="仿宋_GB2312"/>
      <w:color w:val="auto"/>
      <w:kern w:val="0"/>
      <w:sz w:val="24"/>
      <w:szCs w:val="20"/>
    </w:rPr>
  </w:style>
  <w:style w:type="paragraph" w:styleId="3">
    <w:name w:val="Balloon Text"/>
    <w:basedOn w:val="1"/>
    <w:link w:val="19"/>
    <w:qFormat/>
    <w:uiPriority w:val="0"/>
    <w:pPr>
      <w:spacing w:line="240" w:lineRule="auto"/>
    </w:pPr>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6">
    <w:name w:val="toc 1"/>
    <w:basedOn w:val="1"/>
    <w:next w:val="1"/>
    <w:unhideWhenUsed/>
    <w:qFormat/>
    <w:uiPriority w:val="39"/>
    <w:pPr>
      <w:tabs>
        <w:tab w:val="right" w:leader="dot" w:pos="8296"/>
      </w:tabs>
      <w:spacing w:before="93"/>
      <w:jc w:val="center"/>
    </w:pPr>
    <w:rPr>
      <w:sz w:val="28"/>
      <w:szCs w:val="28"/>
    </w:rPr>
  </w:style>
  <w:style w:type="paragraph" w:styleId="7">
    <w:name w:val="toc 2"/>
    <w:basedOn w:val="1"/>
    <w:next w:val="1"/>
    <w:unhideWhenUsed/>
    <w:qFormat/>
    <w:uiPriority w:val="39"/>
    <w:pPr>
      <w:tabs>
        <w:tab w:val="right" w:leader="dot" w:pos="8296"/>
      </w:tabs>
      <w:ind w:left="420" w:leftChars="200"/>
    </w:pPr>
  </w:style>
  <w:style w:type="paragraph" w:styleId="8">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color w:val="auto"/>
      <w:kern w:val="0"/>
      <w:sz w:val="24"/>
      <w:szCs w:val="24"/>
    </w:rPr>
  </w:style>
  <w:style w:type="character" w:styleId="11">
    <w:name w:val="Strong"/>
    <w:basedOn w:val="10"/>
    <w:qFormat/>
    <w:uiPriority w:val="0"/>
    <w:rPr>
      <w:rFonts w:cs="Times New Roman"/>
      <w:b/>
    </w:rPr>
  </w:style>
  <w:style w:type="character" w:styleId="12">
    <w:name w:val="Hyperlink"/>
    <w:basedOn w:val="10"/>
    <w:unhideWhenUsed/>
    <w:qFormat/>
    <w:uiPriority w:val="99"/>
    <w:rPr>
      <w:rFonts w:cs="Times New Roman"/>
      <w:color w:val="0000FF"/>
      <w:u w:val="single"/>
    </w:rPr>
  </w:style>
  <w:style w:type="paragraph" w:styleId="13">
    <w:name w:val="List Paragraph"/>
    <w:basedOn w:val="1"/>
    <w:qFormat/>
    <w:uiPriority w:val="99"/>
    <w:pPr>
      <w:ind w:firstLine="420"/>
    </w:pPr>
  </w:style>
  <w:style w:type="paragraph" w:customStyle="1" w:styleId="14">
    <w:name w:val="Default"/>
    <w:qFormat/>
    <w:uiPriority w:val="99"/>
    <w:pPr>
      <w:widowControl w:val="0"/>
      <w:autoSpaceDE w:val="0"/>
      <w:autoSpaceDN w:val="0"/>
      <w:adjustRightInd w:val="0"/>
      <w:ind w:firstLine="200" w:firstLineChars="200"/>
      <w:jc w:val="both"/>
    </w:pPr>
    <w:rPr>
      <w:rFonts w:ascii="仿宋" w:hAnsi="Calibri" w:eastAsia="仿宋" w:cs="仿宋"/>
      <w:color w:val="000000"/>
      <w:sz w:val="24"/>
      <w:szCs w:val="24"/>
      <w:lang w:val="en-US" w:eastAsia="zh-CN" w:bidi="ar-SA"/>
    </w:rPr>
  </w:style>
  <w:style w:type="character" w:customStyle="1" w:styleId="15">
    <w:name w:val="fontstyle01"/>
    <w:qFormat/>
    <w:uiPriority w:val="0"/>
    <w:rPr>
      <w:rFonts w:hint="eastAsia" w:ascii="方正小标宋_GBK" w:eastAsia="方正小标宋_GBK"/>
      <w:color w:val="000000"/>
      <w:sz w:val="44"/>
      <w:szCs w:val="44"/>
    </w:rPr>
  </w:style>
  <w:style w:type="character" w:customStyle="1" w:styleId="16">
    <w:name w:val="fontstyle31"/>
    <w:qFormat/>
    <w:uiPriority w:val="0"/>
    <w:rPr>
      <w:rFonts w:hint="eastAsia" w:ascii="黑体" w:hAnsi="黑体" w:eastAsia="黑体"/>
      <w:color w:val="000000"/>
      <w:sz w:val="32"/>
      <w:szCs w:val="32"/>
    </w:rPr>
  </w:style>
  <w:style w:type="character" w:customStyle="1" w:styleId="17">
    <w:name w:val="fontstyle71"/>
    <w:qFormat/>
    <w:uiPriority w:val="0"/>
    <w:rPr>
      <w:rFonts w:hint="default" w:ascii="TimesNewRoman" w:hAnsi="TimesNewRoman"/>
      <w:b/>
      <w:bCs/>
      <w:color w:val="000000"/>
      <w:sz w:val="32"/>
      <w:szCs w:val="32"/>
    </w:rPr>
  </w:style>
  <w:style w:type="character" w:customStyle="1" w:styleId="18">
    <w:name w:val="fontstyle41"/>
    <w:qFormat/>
    <w:uiPriority w:val="0"/>
    <w:rPr>
      <w:rFonts w:hint="eastAsia" w:ascii="仿宋_GB2312" w:eastAsia="仿宋_GB2312"/>
      <w:color w:val="000000"/>
      <w:sz w:val="32"/>
      <w:szCs w:val="32"/>
    </w:rPr>
  </w:style>
  <w:style w:type="character" w:customStyle="1" w:styleId="19">
    <w:name w:val="批注框文本 Char"/>
    <w:basedOn w:val="10"/>
    <w:link w:val="3"/>
    <w:qFormat/>
    <w:uiPriority w:val="0"/>
    <w:rPr>
      <w:rFonts w:ascii="仿宋" w:hAnsi="仿宋" w:eastAsia="仿宋"/>
      <w:color w:val="000000"/>
      <w:kern w:val="2"/>
      <w:sz w:val="18"/>
      <w:szCs w:val="18"/>
    </w:rPr>
  </w:style>
  <w:style w:type="paragraph" w:customStyle="1" w:styleId="20">
    <w:name w:val="列出段落1"/>
    <w:basedOn w:val="1"/>
    <w:qFormat/>
    <w:uiPriority w:val="0"/>
    <w:pPr>
      <w:spacing w:line="240" w:lineRule="auto"/>
      <w:ind w:firstLine="420"/>
    </w:pPr>
    <w:rPr>
      <w:rFonts w:ascii="Times New Roman" w:hAnsi="Times New Roman" w:eastAsia="宋体"/>
      <w:color w:val="auto"/>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chart" Target="charts/chart5.xml"/><Relationship Id="rId20" Type="http://schemas.openxmlformats.org/officeDocument/2006/relationships/chart" Target="charts/chart4.xml"/><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chart" Target="charts/chart3.xml"/><Relationship Id="rId17" Type="http://schemas.openxmlformats.org/officeDocument/2006/relationships/image" Target="media/image2.png"/><Relationship Id="rId16" Type="http://schemas.openxmlformats.org/officeDocument/2006/relationships/oleObject" Target="embeddings/oleObject2.bin"/><Relationship Id="rId15" Type="http://schemas.openxmlformats.org/officeDocument/2006/relationships/chart" Target="charts/chart2.xml"/><Relationship Id="rId14" Type="http://schemas.openxmlformats.org/officeDocument/2006/relationships/image" Target="media/image1.png"/><Relationship Id="rId13" Type="http://schemas.openxmlformats.org/officeDocument/2006/relationships/oleObject" Target="embeddings/oleObject1.bin"/><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939670932358"/>
          <c:y val="0.0465753424657532"/>
          <c:w val="0.632541133455212"/>
          <c:h val="0.808219178082192"/>
        </c:manualLayout>
      </c:layout>
      <c:barChart>
        <c:barDir val="col"/>
        <c:grouping val="clustered"/>
        <c:varyColors val="0"/>
        <c:ser>
          <c:idx val="0"/>
          <c:order val="0"/>
          <c:tx>
            <c:strRef>
              <c:f>Sheet1!$A$2</c:f>
              <c:strCache>
                <c:ptCount val="1"/>
                <c:pt idx="0">
                  <c:v>2019年</c:v>
                </c:pt>
              </c:strCache>
            </c:strRef>
          </c:tx>
          <c:spPr>
            <a:solidFill>
              <a:srgbClr val="9999FF"/>
            </a:solidFill>
            <a:ln w="12723">
              <a:solidFill>
                <a:srgbClr val="000000"/>
              </a:solidFill>
              <a:prstDash val="solid"/>
            </a:ln>
          </c:spPr>
          <c:invertIfNegative val="0"/>
          <c:dLbls>
            <c:dLbl>
              <c:idx val="0"/>
              <c:layout>
                <c:manualLayout>
                  <c:x val="0.00875710932244266"/>
                  <c:y val="-0.028649031974824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53107217302198"/>
                  <c:y val="-0.01495040183783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46">
                <a:noFill/>
              </a:ln>
              <a:effectLst/>
            </c:spPr>
            <c:txPr>
              <a:bodyPr rot="0" spcFirstLastPara="0" vertOverflow="ellipsis" vert="horz" wrap="square" lIns="38100" tIns="19050" rIns="38100" bIns="19050" anchor="ctr" anchorCtr="1"/>
              <a:lstStyle/>
              <a:p>
                <a:pPr>
                  <a:defRPr lang="zh-CN" sz="14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收入总计</c:v>
                </c:pt>
                <c:pt idx="1">
                  <c:v>支出总计</c:v>
                </c:pt>
              </c:strCache>
            </c:strRef>
          </c:cat>
          <c:val>
            <c:numRef>
              <c:f>Sheet1!$B$2:$C$2</c:f>
              <c:numCache>
                <c:formatCode>General</c:formatCode>
                <c:ptCount val="2"/>
                <c:pt idx="0">
                  <c:v>13581.28</c:v>
                </c:pt>
                <c:pt idx="1">
                  <c:v>13581.28</c:v>
                </c:pt>
              </c:numCache>
            </c:numRef>
          </c:val>
        </c:ser>
        <c:ser>
          <c:idx val="1"/>
          <c:order val="1"/>
          <c:tx>
            <c:strRef>
              <c:f>Sheet1!$A$3</c:f>
              <c:strCache>
                <c:ptCount val="1"/>
                <c:pt idx="0">
                  <c:v>2020年</c:v>
                </c:pt>
              </c:strCache>
            </c:strRef>
          </c:tx>
          <c:spPr>
            <a:solidFill>
              <a:srgbClr val="993366"/>
            </a:solidFill>
            <a:ln w="12723">
              <a:solidFill>
                <a:srgbClr val="000000"/>
              </a:solidFill>
              <a:prstDash val="solid"/>
            </a:ln>
          </c:spPr>
          <c:invertIfNegative val="0"/>
          <c:dLbls>
            <c:dLbl>
              <c:idx val="0"/>
              <c:layout>
                <c:manualLayout>
                  <c:x val="0.0688710174573374"/>
                  <c:y val="-0.011188700096698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801487170895782"/>
                  <c:y val="-0.0073556430446194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46">
                <a:noFill/>
              </a:ln>
              <a:effectLst/>
            </c:spPr>
            <c:txPr>
              <a:bodyPr rot="0" spcFirstLastPara="0" vertOverflow="ellipsis" vert="horz" wrap="square" lIns="38100" tIns="19050" rIns="38100" bIns="19050" anchor="ctr" anchorCtr="1"/>
              <a:lstStyle/>
              <a:p>
                <a:pPr>
                  <a:defRPr lang="zh-CN" sz="14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收入总计</c:v>
                </c:pt>
                <c:pt idx="1">
                  <c:v>支出总计</c:v>
                </c:pt>
              </c:strCache>
            </c:strRef>
          </c:cat>
          <c:val>
            <c:numRef>
              <c:f>Sheet1!$B$3:$C$3</c:f>
              <c:numCache>
                <c:formatCode>General</c:formatCode>
                <c:ptCount val="2"/>
                <c:pt idx="0">
                  <c:v>11650.75</c:v>
                </c:pt>
                <c:pt idx="1">
                  <c:v>11650.75</c:v>
                </c:pt>
              </c:numCache>
            </c:numRef>
          </c:val>
        </c:ser>
        <c:dLbls>
          <c:showLegendKey val="0"/>
          <c:showVal val="1"/>
          <c:showCatName val="0"/>
          <c:showSerName val="0"/>
          <c:showPercent val="0"/>
          <c:showBubbleSize val="0"/>
        </c:dLbls>
        <c:gapWidth val="150"/>
        <c:axId val="369720384"/>
        <c:axId val="369724304"/>
      </c:barChart>
      <c:catAx>
        <c:axId val="369720384"/>
        <c:scaling>
          <c:orientation val="minMax"/>
        </c:scaling>
        <c:delete val="0"/>
        <c:axPos val="b"/>
        <c:numFmt formatCode="General" sourceLinked="1"/>
        <c:majorTickMark val="in"/>
        <c:minorTickMark val="none"/>
        <c:tickLblPos val="low"/>
        <c:spPr>
          <a:ln w="3181" cap="flat" cmpd="sng" algn="ctr">
            <a:solidFill>
              <a:srgbClr val="000000"/>
            </a:solidFill>
            <a:prstDash val="solid"/>
            <a:round/>
          </a:ln>
        </c:spPr>
        <c:txPr>
          <a:bodyPr rot="0" spcFirstLastPara="0" vertOverflow="ellipsis" vert="horz" wrap="square" anchor="ctr" anchorCtr="1"/>
          <a:lstStyle/>
          <a:p>
            <a:pPr>
              <a:defRPr lang="zh-CN" sz="14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369724304"/>
        <c:crosses val="autoZero"/>
        <c:auto val="1"/>
        <c:lblAlgn val="ctr"/>
        <c:lblOffset val="100"/>
        <c:tickLblSkip val="1"/>
        <c:noMultiLvlLbl val="0"/>
      </c:catAx>
      <c:valAx>
        <c:axId val="369724304"/>
        <c:scaling>
          <c:orientation val="minMax"/>
        </c:scaling>
        <c:delete val="0"/>
        <c:axPos val="l"/>
        <c:majorGridlines>
          <c:spPr>
            <a:ln w="3181" cap="flat" cmpd="sng" algn="ctr">
              <a:solidFill>
                <a:srgbClr val="000000"/>
              </a:solidFill>
              <a:prstDash val="solid"/>
              <a:round/>
            </a:ln>
          </c:spPr>
        </c:majorGridlines>
        <c:numFmt formatCode="General" sourceLinked="1"/>
        <c:majorTickMark val="in"/>
        <c:minorTickMark val="none"/>
        <c:tickLblPos val="nextTo"/>
        <c:spPr>
          <a:ln w="3181" cap="flat" cmpd="sng" algn="ctr">
            <a:solidFill>
              <a:srgbClr val="000000"/>
            </a:solidFill>
            <a:prstDash val="solid"/>
            <a:round/>
          </a:ln>
        </c:spPr>
        <c:txPr>
          <a:bodyPr rot="0" spcFirstLastPara="0" vertOverflow="ellipsis" vert="horz" wrap="square" anchor="ctr" anchorCtr="1"/>
          <a:lstStyle/>
          <a:p>
            <a:pPr>
              <a:defRPr lang="zh-CN" sz="143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369720384"/>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79524680073126"/>
          <c:y val="0.408219178082192"/>
          <c:w val="0.197440585009141"/>
          <c:h val="0.183561643835616"/>
        </c:manualLayout>
      </c:layout>
      <c:overlay val="0"/>
      <c:spPr>
        <a:noFill/>
        <a:ln w="3181">
          <a:solidFill>
            <a:srgbClr val="000000"/>
          </a:solidFill>
          <a:prstDash val="solid"/>
        </a:ln>
      </c:spPr>
      <c:txPr>
        <a:bodyPr rot="0" spcFirstLastPara="0" vertOverflow="ellipsis" vert="horz" wrap="square" anchor="ctr" anchorCtr="1"/>
        <a:lstStyle/>
        <a:p>
          <a:pPr>
            <a:defRPr lang="zh-CN" sz="131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69ed5eef-a4e2-4133-856b-91f2f9904f77}"/>
      </c:ext>
    </c:extLst>
  </c:chart>
  <c:spPr>
    <a:noFill/>
    <a:ln w="9525" cap="flat" cmpd="sng" algn="ctr">
      <a:noFill/>
      <a:prstDash val="solid"/>
      <a:round/>
    </a:ln>
  </c:spPr>
  <c:txPr>
    <a:bodyPr/>
    <a:lstStyle/>
    <a:p>
      <a:pPr>
        <a:defRPr lang="zh-CN" sz="143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092331768389"/>
          <c:y val="0.214285714285714"/>
          <c:w val="0.21283255086072"/>
          <c:h val="0.571428571428576"/>
        </c:manualLayout>
      </c:layout>
      <c:pieChart>
        <c:varyColors val="1"/>
        <c:ser>
          <c:idx val="0"/>
          <c:order val="0"/>
          <c:tx>
            <c:strRef>
              <c:f>Sheet1!$A$2</c:f>
              <c:strCache>
                <c:ptCount val="1"/>
                <c:pt idx="0">
                  <c:v/>
                </c:pt>
              </c:strCache>
            </c:strRef>
          </c:tx>
          <c:spPr>
            <a:solidFill>
              <a:srgbClr val="9999FF"/>
            </a:solidFill>
            <a:ln w="12739">
              <a:solidFill>
                <a:srgbClr val="000000"/>
              </a:solidFill>
              <a:prstDash val="solid"/>
            </a:ln>
          </c:spPr>
          <c:explosion val="0"/>
          <c:dPt>
            <c:idx val="0"/>
            <c:bubble3D val="0"/>
            <c:spPr>
              <a:solidFill>
                <a:srgbClr val="9999FF"/>
              </a:solidFill>
              <a:ln w="12739">
                <a:solidFill>
                  <a:srgbClr val="000000"/>
                </a:solidFill>
                <a:prstDash val="solid"/>
              </a:ln>
            </c:spPr>
          </c:dPt>
          <c:dPt>
            <c:idx val="1"/>
            <c:bubble3D val="0"/>
            <c:spPr>
              <a:solidFill>
                <a:srgbClr val="993366"/>
              </a:solidFill>
              <a:ln w="12739">
                <a:solidFill>
                  <a:srgbClr val="000000"/>
                </a:solidFill>
                <a:prstDash val="solid"/>
              </a:ln>
            </c:spPr>
          </c:dPt>
          <c:dLbls>
            <c:numFmt formatCode="0%" sourceLinked="0"/>
            <c:spPr>
              <a:noFill/>
              <a:ln w="25478">
                <a:noFill/>
              </a:ln>
              <a:effectLst/>
            </c:spPr>
            <c:txPr>
              <a:bodyPr rot="0" spcFirstLastPara="0" vertOverflow="ellipsis" vert="horz" wrap="square" lIns="38100" tIns="19050" rIns="38100" bIns="19050" anchor="ctr" anchorCtr="1"/>
              <a:lstStyle/>
              <a:p>
                <a:pPr>
                  <a:defRPr lang="zh-CN" sz="95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一般公共预算财政拨款收入</c:v>
                </c:pt>
                <c:pt idx="1">
                  <c:v>政府性基金预算财政拨款收入</c:v>
                </c:pt>
              </c:strCache>
            </c:strRef>
          </c:cat>
          <c:val>
            <c:numRef>
              <c:f>Sheet1!$B$2:$C$2</c:f>
              <c:numCache>
                <c:formatCode>General</c:formatCode>
                <c:ptCount val="2"/>
                <c:pt idx="0">
                  <c:v>3270.19</c:v>
                </c:pt>
                <c:pt idx="1">
                  <c:v>3701.1</c:v>
                </c:pt>
              </c:numCache>
            </c:numRef>
          </c:val>
        </c:ser>
        <c:dLbls>
          <c:showLegendKey val="0"/>
          <c:showVal val="1"/>
          <c:showCatName val="0"/>
          <c:showSerName val="0"/>
          <c:showPercent val="1"/>
          <c:showBubbleSize val="0"/>
          <c:showLeaderLines val="1"/>
        </c:dLbls>
        <c:firstSliceAng val="0"/>
      </c:pieChart>
      <c:spPr>
        <a:solidFill>
          <a:srgbClr val="C0C0C0"/>
        </a:solidFill>
        <a:ln w="12739">
          <a:solidFill>
            <a:srgbClr val="808080"/>
          </a:solidFill>
          <a:prstDash val="solid"/>
        </a:ln>
      </c:spPr>
    </c:plotArea>
    <c:legend>
      <c:legendPos val="r"/>
      <c:layout>
        <c:manualLayout>
          <c:xMode val="edge"/>
          <c:yMode val="edge"/>
          <c:x val="0.655712050078249"/>
          <c:y val="0.336134453781513"/>
          <c:w val="0.338028169014087"/>
          <c:h val="0.331932773109248"/>
        </c:manualLayout>
      </c:layout>
      <c:overlay val="0"/>
      <c:spPr>
        <a:noFill/>
        <a:ln w="3185">
          <a:solidFill>
            <a:srgbClr val="000000"/>
          </a:solidFill>
          <a:prstDash val="solid"/>
        </a:ln>
      </c:spPr>
      <c:txPr>
        <a:bodyPr rot="0" spcFirstLastPara="0" vertOverflow="ellipsis" vert="horz" wrap="square" anchor="ctr" anchorCtr="1"/>
        <a:lstStyle/>
        <a:p>
          <a:pPr>
            <a:defRPr lang="zh-CN" sz="87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extLst>
      <c:ext uri="{0b15fc19-7d7d-44ad-8c2d-2c3a37ce22c3}">
        <chartProps xmlns="https://web.wps.cn/et/2018/main" chartId="{6d5a0ba7-881b-4cc6-b9b7-0e14196430d9}"/>
      </c:ext>
    </c:extLst>
  </c:chart>
  <c:spPr>
    <a:noFill/>
    <a:ln w="9525" cap="flat" cmpd="sng" algn="ctr">
      <a:noFill/>
      <a:prstDash val="solid"/>
      <a:round/>
    </a:ln>
  </c:spPr>
  <c:txPr>
    <a:bodyPr/>
    <a:lstStyle/>
    <a:p>
      <a:pPr>
        <a:defRPr lang="zh-CN" sz="95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939670932358"/>
          <c:y val="0.0465753424657532"/>
          <c:w val="0.786784427768126"/>
          <c:h val="0.808219178082192"/>
        </c:manualLayout>
      </c:layout>
      <c:barChart>
        <c:barDir val="col"/>
        <c:grouping val="clustered"/>
        <c:varyColors val="0"/>
        <c:ser>
          <c:idx val="0"/>
          <c:order val="0"/>
          <c:tx>
            <c:strRef>
              <c:f>Sheet1!$A$2</c:f>
              <c:strCache>
                <c:ptCount val="1"/>
                <c:pt idx="0">
                  <c:v>2019年</c:v>
                </c:pt>
              </c:strCache>
            </c:strRef>
          </c:tx>
          <c:spPr>
            <a:solidFill>
              <a:srgbClr val="9999FF"/>
            </a:solidFill>
            <a:ln w="12671">
              <a:solidFill>
                <a:srgbClr val="000000"/>
              </a:solidFill>
              <a:prstDash val="solid"/>
            </a:ln>
          </c:spPr>
          <c:invertIfNegative val="0"/>
          <c:dLbls>
            <c:dLbl>
              <c:idx val="0"/>
              <c:layout>
                <c:manualLayout>
                  <c:x val="0.0293200829028258"/>
                  <c:y val="-0.00561232598218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3861422580942"/>
                  <c:y val="0.00284372710291948"/>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341">
                <a:noFill/>
              </a:ln>
              <a:effectLst/>
            </c:spPr>
            <c:txPr>
              <a:bodyPr rot="0" spcFirstLastPara="0" vertOverflow="ellipsis" vert="horz" wrap="square" lIns="38100" tIns="19050" rIns="38100" bIns="19050" anchor="ctr" anchorCtr="1"/>
              <a:lstStyle/>
              <a:p>
                <a:pPr>
                  <a:defRPr lang="zh-CN" sz="14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收入总计</c:v>
                </c:pt>
                <c:pt idx="1">
                  <c:v>支出总计</c:v>
                </c:pt>
              </c:strCache>
            </c:strRef>
          </c:cat>
          <c:val>
            <c:numRef>
              <c:f>Sheet1!$B$2:$C$2</c:f>
              <c:numCache>
                <c:formatCode>General</c:formatCode>
                <c:ptCount val="2"/>
                <c:pt idx="0">
                  <c:v>13581.28</c:v>
                </c:pt>
                <c:pt idx="1">
                  <c:v>13581.28</c:v>
                </c:pt>
              </c:numCache>
            </c:numRef>
          </c:val>
        </c:ser>
        <c:ser>
          <c:idx val="1"/>
          <c:order val="1"/>
          <c:tx>
            <c:strRef>
              <c:f>Sheet1!$A$3</c:f>
              <c:strCache>
                <c:ptCount val="1"/>
                <c:pt idx="0">
                  <c:v>2020年</c:v>
                </c:pt>
              </c:strCache>
            </c:strRef>
          </c:tx>
          <c:spPr>
            <a:solidFill>
              <a:srgbClr val="993366"/>
            </a:solidFill>
            <a:ln w="12671">
              <a:solidFill>
                <a:srgbClr val="000000"/>
              </a:solidFill>
              <a:prstDash val="solid"/>
            </a:ln>
          </c:spPr>
          <c:invertIfNegative val="0"/>
          <c:dLbls>
            <c:dLbl>
              <c:idx val="0"/>
              <c:layout>
                <c:manualLayout>
                  <c:x val="0.0697021282189478"/>
                  <c:y val="0.0043178088977409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622774294416902"/>
                  <c:y val="-0.003189636672774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341">
                <a:noFill/>
              </a:ln>
              <a:effectLst/>
            </c:spPr>
            <c:txPr>
              <a:bodyPr rot="0" spcFirstLastPara="0" vertOverflow="ellipsis" vert="horz" wrap="square" lIns="38100" tIns="19050" rIns="38100" bIns="19050" anchor="ctr" anchorCtr="1"/>
              <a:lstStyle/>
              <a:p>
                <a:pPr>
                  <a:defRPr lang="zh-CN" sz="14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Sheet1!$B$1:$C$1</c:f>
              <c:strCache>
                <c:ptCount val="2"/>
                <c:pt idx="0">
                  <c:v>收入总计</c:v>
                </c:pt>
                <c:pt idx="1">
                  <c:v>支出总计</c:v>
                </c:pt>
              </c:strCache>
            </c:strRef>
          </c:cat>
          <c:val>
            <c:numRef>
              <c:f>Sheet1!$B$3:$C$3</c:f>
              <c:numCache>
                <c:formatCode>General</c:formatCode>
                <c:ptCount val="2"/>
                <c:pt idx="0">
                  <c:v>11650.75</c:v>
                </c:pt>
                <c:pt idx="1">
                  <c:v>11650.75</c:v>
                </c:pt>
              </c:numCache>
            </c:numRef>
          </c:val>
        </c:ser>
        <c:dLbls>
          <c:showLegendKey val="0"/>
          <c:showVal val="1"/>
          <c:showCatName val="0"/>
          <c:showSerName val="0"/>
          <c:showPercent val="0"/>
          <c:showBubbleSize val="0"/>
        </c:dLbls>
        <c:gapWidth val="150"/>
        <c:axId val="416239088"/>
        <c:axId val="359639296"/>
      </c:barChart>
      <c:catAx>
        <c:axId val="416239088"/>
        <c:scaling>
          <c:orientation val="minMax"/>
        </c:scaling>
        <c:delete val="0"/>
        <c:axPos val="b"/>
        <c:numFmt formatCode="General" sourceLinked="1"/>
        <c:majorTickMark val="in"/>
        <c:minorTickMark val="none"/>
        <c:tickLblPos val="low"/>
        <c:spPr>
          <a:ln w="3168" cap="flat" cmpd="sng" algn="ctr">
            <a:solidFill>
              <a:srgbClr val="000000"/>
            </a:solidFill>
            <a:prstDash val="solid"/>
            <a:round/>
          </a:ln>
        </c:spPr>
        <c:txPr>
          <a:bodyPr rot="0" spcFirstLastPara="0" vertOverflow="ellipsis" vert="horz" wrap="square" anchor="ctr" anchorCtr="1"/>
          <a:lstStyle/>
          <a:p>
            <a:pPr>
              <a:defRPr lang="zh-CN" sz="14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359639296"/>
        <c:crosses val="autoZero"/>
        <c:auto val="1"/>
        <c:lblAlgn val="ctr"/>
        <c:lblOffset val="100"/>
        <c:tickLblSkip val="1"/>
        <c:noMultiLvlLbl val="0"/>
      </c:catAx>
      <c:valAx>
        <c:axId val="359639296"/>
        <c:scaling>
          <c:orientation val="minMax"/>
        </c:scaling>
        <c:delete val="0"/>
        <c:axPos val="l"/>
        <c:majorGridlines>
          <c:spPr>
            <a:ln w="3168" cap="flat" cmpd="sng" algn="ctr">
              <a:solidFill>
                <a:srgbClr val="000000"/>
              </a:solidFill>
              <a:prstDash val="solid"/>
              <a:round/>
            </a:ln>
          </c:spPr>
        </c:majorGridlines>
        <c:numFmt formatCode="General" sourceLinked="1"/>
        <c:majorTickMark val="in"/>
        <c:minorTickMark val="none"/>
        <c:tickLblPos val="nextTo"/>
        <c:spPr>
          <a:ln w="3168" cap="flat" cmpd="sng" algn="ctr">
            <a:solidFill>
              <a:srgbClr val="000000"/>
            </a:solidFill>
            <a:prstDash val="solid"/>
            <a:round/>
          </a:ln>
        </c:spPr>
        <c:txPr>
          <a:bodyPr rot="0" spcFirstLastPara="0" vertOverflow="ellipsis" vert="horz" wrap="square" anchor="ctr" anchorCtr="1"/>
          <a:lstStyle/>
          <a:p>
            <a:pPr>
              <a:defRPr lang="zh-CN" sz="14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416239088"/>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828683046563625"/>
          <c:y val="0.418701200085838"/>
          <c:w val="0.147950752976228"/>
          <c:h val="0.183561643835616"/>
        </c:manualLayout>
      </c:layout>
      <c:overlay val="0"/>
      <c:spPr>
        <a:noFill/>
        <a:ln w="3168">
          <a:solidFill>
            <a:srgbClr val="000000"/>
          </a:solidFill>
          <a:prstDash val="solid"/>
        </a:ln>
      </c:spPr>
      <c:txPr>
        <a:bodyPr rot="0" spcFirstLastPara="0" vertOverflow="ellipsis" vert="horz" wrap="square" anchor="ctr" anchorCtr="1"/>
        <a:lstStyle/>
        <a:p>
          <a:pPr>
            <a:defRPr lang="zh-CN" sz="130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90a6152c-5689-4323-b066-0c96cd48189a}"/>
      </c:ext>
    </c:extLst>
  </c:chart>
  <c:spPr>
    <a:noFill/>
    <a:ln w="9525" cap="flat" cmpd="sng" algn="ctr">
      <a:noFill/>
      <a:prstDash val="solid"/>
      <a:round/>
    </a:ln>
  </c:spPr>
  <c:txPr>
    <a:bodyPr/>
    <a:lstStyle/>
    <a:p>
      <a:pPr>
        <a:defRPr lang="zh-CN" sz="142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决算数</c:v>
                </c:pt>
              </c:strCache>
            </c:strRef>
          </c:tx>
          <c:explosion val="0"/>
          <c:dPt>
            <c:idx val="0"/>
            <c:bubble3D val="0"/>
            <c:spPr>
              <a:solidFill>
                <a:schemeClr val="accent1"/>
              </a:solidFill>
              <a:ln w="19095">
                <a:solidFill>
                  <a:schemeClr val="lt1"/>
                </a:solidFill>
                <a:miter lim="800000"/>
              </a:ln>
              <a:effectLst/>
            </c:spPr>
          </c:dPt>
          <c:dPt>
            <c:idx val="1"/>
            <c:bubble3D val="0"/>
            <c:spPr>
              <a:solidFill>
                <a:schemeClr val="accent2"/>
              </a:solidFill>
              <a:ln w="19095">
                <a:solidFill>
                  <a:schemeClr val="lt1"/>
                </a:solidFill>
              </a:ln>
              <a:effectLst/>
            </c:spPr>
          </c:dPt>
          <c:dPt>
            <c:idx val="2"/>
            <c:bubble3D val="0"/>
            <c:spPr>
              <a:solidFill>
                <a:schemeClr val="accent3"/>
              </a:solidFill>
              <a:ln w="19095">
                <a:solidFill>
                  <a:schemeClr val="lt1"/>
                </a:solidFill>
              </a:ln>
              <a:effectLst/>
            </c:spPr>
          </c:dPt>
          <c:dPt>
            <c:idx val="3"/>
            <c:bubble3D val="0"/>
            <c:explosion val="1"/>
            <c:spPr>
              <a:solidFill>
                <a:schemeClr val="accent4"/>
              </a:solidFill>
              <a:ln w="19095">
                <a:solidFill>
                  <a:schemeClr val="lt1"/>
                </a:solidFill>
              </a:ln>
              <a:effectLst/>
            </c:spPr>
          </c:dPt>
          <c:dPt>
            <c:idx val="4"/>
            <c:bubble3D val="0"/>
          </c:dPt>
          <c:dPt>
            <c:idx val="5"/>
            <c:bubble3D val="0"/>
          </c:dPt>
          <c:dLbls>
            <c:dLbl>
              <c:idx val="3"/>
              <c:layout>
                <c:manualLayout>
                  <c:x val="-0.241044161077889"/>
                  <c:y val="0.0743879935900508"/>
                </c:manualLayout>
              </c:layout>
              <c:dLblPos val="bestFit"/>
              <c:showLegendKey val="1"/>
              <c:showVal val="1"/>
              <c:showCatName val="0"/>
              <c:showSerName val="0"/>
              <c:showPercent val="1"/>
              <c:showBubbleSize val="0"/>
              <c:extLst>
                <c:ext xmlns:c15="http://schemas.microsoft.com/office/drawing/2012/chart" uri="{CE6537A1-D6FC-4f65-9D91-7224C49458BB}">
                  <c15:layout/>
                </c:ext>
              </c:extLst>
            </c:dLbl>
            <c:numFmt formatCode="0.00%" sourceLinked="0"/>
            <c:spPr>
              <a:noFill/>
              <a:ln>
                <a:solidFill>
                  <a:schemeClr val="tx1"/>
                </a:solidFill>
                <a:miter lim="800000"/>
              </a:ln>
              <a:effectLst/>
            </c:spPr>
            <c:txPr>
              <a:bodyPr rot="0" spcFirstLastPara="0" vertOverflow="ellipsis" vert="horz" wrap="square" lIns="38100" tIns="19050" rIns="38100" bIns="0" anchor="ctr" anchorCtr="1"/>
              <a:lstStyle/>
              <a:p>
                <a:pPr>
                  <a:defRPr lang="zh-CN" sz="1205" b="0" i="0" u="none" strike="noStrike" kern="1200" baseline="0">
                    <a:solidFill>
                      <a:schemeClr val="tx1">
                        <a:lumMod val="75000"/>
                        <a:lumOff val="25000"/>
                      </a:schemeClr>
                    </a:solidFill>
                    <a:latin typeface="+mn-lt"/>
                    <a:ea typeface="+mn-ea"/>
                    <a:cs typeface="+mn-cs"/>
                  </a:defRPr>
                </a:pPr>
              </a:p>
            </c:txPr>
            <c:dLblPos val="bestFit"/>
            <c:showLegendKey val="1"/>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Sheet1!$A$2:$A$7</c:f>
              <c:strCache>
                <c:ptCount val="6"/>
                <c:pt idx="0">
                  <c:v>一般公共服务（类）支出</c:v>
                </c:pt>
                <c:pt idx="1">
                  <c:v>社会保障和就业（类）支出</c:v>
                </c:pt>
                <c:pt idx="2">
                  <c:v>卫生健康支出</c:v>
                </c:pt>
                <c:pt idx="3">
                  <c:v>住房保障支出</c:v>
                </c:pt>
                <c:pt idx="4">
                  <c:v>城乡社区支出</c:v>
                </c:pt>
                <c:pt idx="5">
                  <c:v>节能环保支出</c:v>
                </c:pt>
              </c:strCache>
            </c:strRef>
          </c:cat>
          <c:val>
            <c:numRef>
              <c:f>Sheet1!$B$2:$B$7</c:f>
              <c:numCache>
                <c:formatCode>General</c:formatCode>
                <c:ptCount val="6"/>
                <c:pt idx="0">
                  <c:v>1.35</c:v>
                </c:pt>
                <c:pt idx="1">
                  <c:v>42.25</c:v>
                </c:pt>
                <c:pt idx="2">
                  <c:v>23.14</c:v>
                </c:pt>
                <c:pt idx="3">
                  <c:v>37.94</c:v>
                </c:pt>
                <c:pt idx="4">
                  <c:v>2986.57</c:v>
                </c:pt>
                <c:pt idx="5">
                  <c:v>1677.06</c:v>
                </c:pt>
              </c:numCache>
            </c:numRef>
          </c:val>
        </c:ser>
        <c:dLbls>
          <c:showLegendKey val="0"/>
          <c:showVal val="1"/>
          <c:showCatName val="0"/>
          <c:showSerName val="0"/>
          <c:showPercent val="0"/>
          <c:showBubbleSize val="0"/>
          <c:showLeaderLines val="1"/>
        </c:dLbls>
        <c:firstSliceAng val="0"/>
      </c:pieChart>
      <c:spPr>
        <a:noFill/>
        <a:ln w="25461">
          <a:noFill/>
        </a:ln>
      </c:spPr>
    </c:plotArea>
    <c:legend>
      <c:legendPos val="r"/>
      <c:legendEntry>
        <c:idx val="0"/>
        <c:txPr>
          <a:bodyPr rot="0" spcFirstLastPara="0" vertOverflow="ellipsis" vert="horz" wrap="square" anchor="ctr" anchorCtr="1"/>
          <a:lstStyle/>
          <a:p>
            <a:pPr>
              <a:defRPr lang="zh-CN" sz="1205"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205"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205"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1205"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1205" b="0" i="0" u="none" strike="noStrike" kern="1200" baseline="0">
                <a:solidFill>
                  <a:schemeClr val="tx1">
                    <a:lumMod val="65000"/>
                    <a:lumOff val="35000"/>
                  </a:schemeClr>
                </a:solidFill>
                <a:latin typeface="+mn-lt"/>
                <a:ea typeface="+mn-ea"/>
                <a:cs typeface="+mn-cs"/>
              </a:defRPr>
            </a:pPr>
          </a:p>
        </c:txPr>
      </c:legendEntry>
      <c:legendEntry>
        <c:idx val="5"/>
        <c:txPr>
          <a:bodyPr rot="0" spcFirstLastPara="0" vertOverflow="ellipsis" vert="horz" wrap="square" anchor="ctr" anchorCtr="1"/>
          <a:lstStyle/>
          <a:p>
            <a:pPr>
              <a:defRPr lang="zh-CN" sz="1205"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650125854009349"/>
          <c:y val="0.0828592629235716"/>
        </c:manualLayout>
      </c:layout>
      <c:overlay val="0"/>
      <c:spPr>
        <a:noFill/>
        <a:ln w="25461">
          <a:noFill/>
        </a:ln>
      </c:spPr>
      <c:txPr>
        <a:bodyPr rot="0" spcFirstLastPara="0" vertOverflow="ellipsis" vert="horz" wrap="square" anchor="ctr" anchorCtr="1"/>
        <a:lstStyle/>
        <a:p>
          <a:pPr>
            <a:defRPr lang="zh-CN" sz="1205"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14b064e3-1e67-4aac-9f19-f7fa29a7b94b}"/>
      </c:ext>
    </c:extLst>
  </c:chart>
  <c:spPr>
    <a:solidFill>
      <a:schemeClr val="bg1"/>
    </a:solidFill>
    <a:ln w="9548"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决算数</c:v>
                </c:pt>
              </c:strCache>
            </c:strRef>
          </c:tx>
          <c:explosion val="0"/>
          <c:dPt>
            <c:idx val="0"/>
            <c:bubble3D val="0"/>
          </c:dPt>
          <c:dPt>
            <c:idx val="1"/>
            <c:bubble3D val="0"/>
          </c:dPt>
          <c:dPt>
            <c:idx val="2"/>
            <c:bubble3D val="0"/>
          </c:dPt>
          <c:dLbls>
            <c:dLbl>
              <c:idx val="2"/>
              <c:layout>
                <c:manualLayout>
                  <c:x val="0.00445368428333061"/>
                  <c:y val="-0.11901725094456"/>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spPr>
              <a:noFill/>
              <a:ln w="25418">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因公出国（境）支出</c:v>
                </c:pt>
                <c:pt idx="1">
                  <c:v>公务用车购置及运行维护费支出</c:v>
                </c:pt>
                <c:pt idx="2">
                  <c:v>公务接待费</c:v>
                </c:pt>
              </c:strCache>
            </c:strRef>
          </c:cat>
          <c:val>
            <c:numRef>
              <c:f>Sheet1!$B$2:$B$4</c:f>
              <c:numCache>
                <c:formatCode>General</c:formatCode>
                <c:ptCount val="3"/>
                <c:pt idx="0">
                  <c:v>0</c:v>
                </c:pt>
                <c:pt idx="1">
                  <c:v>0</c:v>
                </c:pt>
                <c:pt idx="2">
                  <c:v>1.95</c:v>
                </c:pt>
              </c:numCache>
            </c:numRef>
          </c:val>
        </c:ser>
        <c:dLbls>
          <c:showLegendKey val="0"/>
          <c:showVal val="1"/>
          <c:showCatName val="0"/>
          <c:showSerName val="0"/>
          <c:showPercent val="0"/>
          <c:showBubbleSize val="0"/>
          <c:showLeaderLines val="1"/>
        </c:dLbls>
        <c:firstSliceAng val="0"/>
      </c:pieChart>
      <c:spPr>
        <a:noFill/>
        <a:ln w="25418">
          <a:noFill/>
        </a:ln>
      </c:spPr>
    </c:plotArea>
    <c:legend>
      <c:legendPos val="r"/>
      <c:legendEntry>
        <c:idx val="0"/>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p>
        </c:txPr>
      </c:legendEntry>
      <c:legendEntry>
        <c:idx val="2"/>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p>
        </c:txPr>
      </c:legendEntry>
      <c:layout>
        <c:manualLayout>
          <c:xMode val="edge"/>
          <c:yMode val="edge"/>
          <c:x val="0.659292110545007"/>
          <c:y val="0.316447339800758"/>
        </c:manualLayout>
      </c:layout>
      <c:overlay val="0"/>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9484ea87-4acc-4844-aac5-cc61d20e8f23}"/>
      </c:ext>
    </c:extLst>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52</Pages>
  <Words>767</Words>
  <Characters>794</Characters>
  <Lines>177</Lines>
  <Paragraphs>49</Paragraphs>
  <TotalTime>21</TotalTime>
  <ScaleCrop>false</ScaleCrop>
  <LinksUpToDate>false</LinksUpToDate>
  <CharactersWithSpaces>827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2021-10-25T02:52:00Z</dcterms:created>
  <dc:creator>Administrator.ZAY4EEPDCEA9VIT</dc:creator>
  <cp:lastModifiedBy>青葱馥郁</cp:lastModifiedBy>
  <dcterms:modified xsi:type="dcterms:W3CDTF">2026-08-18T01:48:16Z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E17C80FD01B64FBDA2920985509F80E7_13</vt:lpwstr>
  </property>
  <property fmtid="{D5CDD505-2E9C-101B-9397-08002B2CF9AE}" pid="4" name="KSOTemplateDocerSaveRecord">
    <vt:lpwstr>eyJoZGlkIjoiMGU2NDgwNzczMTQ2YThlNDAwZjY1NzI0NGUxMDYwZTUiLCJ1c2VySWQiOiIzMzc2MjA4MTIifQ==</vt:lpwstr>
  </property>
</Properties>
</file>