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C94C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米易县人民政府</w:t>
      </w:r>
    </w:p>
    <w:p w14:paraId="76D372C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关于设立陆生野生动物禁猎区和禁猎期的</w:t>
      </w:r>
    </w:p>
    <w:p w14:paraId="52C00D3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rPr>
        <w:t xml:space="preserve">通 </w:t>
      </w:r>
      <w:r>
        <w:rPr>
          <w:rFonts w:hint="eastAsia" w:ascii="方正小标宋_GBK" w:hAnsi="方正小标宋_GBK" w:eastAsia="方正小标宋_GBK" w:cs="方正小标宋_GBK"/>
          <w:b/>
          <w:bCs/>
          <w:sz w:val="44"/>
          <w:szCs w:val="44"/>
          <w:lang w:val="en-US" w:eastAsia="zh-CN"/>
        </w:rPr>
        <w:t xml:space="preserve"> </w:t>
      </w:r>
      <w:r>
        <w:rPr>
          <w:rFonts w:hint="eastAsia" w:ascii="方正小标宋_GBK" w:hAnsi="方正小标宋_GBK" w:eastAsia="方正小标宋_GBK" w:cs="方正小标宋_GBK"/>
          <w:b/>
          <w:bCs/>
          <w:sz w:val="44"/>
          <w:szCs w:val="44"/>
        </w:rPr>
        <w:t>告</w:t>
      </w:r>
    </w:p>
    <w:p w14:paraId="36A10522">
      <w:pPr>
        <w:widowControl/>
        <w:ind w:firstLine="2880" w:firstLineChars="900"/>
        <w:rPr>
          <w:rFonts w:hint="eastAsia" w:eastAsia="仿宋_GB2312" w:cs="Times New Roman"/>
          <w:sz w:val="32"/>
          <w:szCs w:val="32"/>
          <w:lang w:val="en-US" w:eastAsia="zh-CN"/>
        </w:rPr>
      </w:pPr>
      <w:r>
        <w:rPr>
          <w:rFonts w:hint="eastAsia" w:eastAsia="仿宋_GB2312" w:cs="Times New Roman"/>
          <w:sz w:val="32"/>
          <w:szCs w:val="32"/>
          <w:lang w:eastAsia="zh-CN"/>
        </w:rPr>
        <w:t>（</w:t>
      </w:r>
      <w:r>
        <w:rPr>
          <w:rFonts w:hint="eastAsia" w:ascii="Times New Roman" w:hAnsi="Times New Roman" w:eastAsia="方正仿宋_GBK" w:cs="Times New Roman"/>
          <w:sz w:val="32"/>
          <w:szCs w:val="32"/>
          <w:lang w:val="en-US" w:eastAsia="zh-CN"/>
        </w:rPr>
        <w:t>征求意见稿</w:t>
      </w:r>
      <w:r>
        <w:rPr>
          <w:rFonts w:hint="eastAsia" w:eastAsia="仿宋_GB2312" w:cs="Times New Roman"/>
          <w:sz w:val="32"/>
          <w:szCs w:val="32"/>
          <w:lang w:val="en-US" w:eastAsia="zh-CN"/>
        </w:rPr>
        <w:t>）</w:t>
      </w:r>
    </w:p>
    <w:p w14:paraId="640136AC">
      <w:pPr>
        <w:keepNext w:val="0"/>
        <w:keepLines w:val="0"/>
        <w:pageBreakBefore w:val="0"/>
        <w:widowControl/>
        <w:kinsoku/>
        <w:wordWrap/>
        <w:overflowPunct/>
        <w:topLinePunct w:val="0"/>
        <w:autoSpaceDE/>
        <w:autoSpaceDN/>
        <w:bidi w:val="0"/>
        <w:adjustRightInd/>
        <w:snapToGrid/>
        <w:spacing w:line="400" w:lineRule="exact"/>
        <w:ind w:firstLine="2880" w:firstLineChars="900"/>
        <w:textAlignment w:val="auto"/>
        <w:rPr>
          <w:rFonts w:hint="default" w:eastAsia="仿宋_GB2312" w:cs="Times New Roman"/>
          <w:sz w:val="32"/>
          <w:szCs w:val="32"/>
          <w:lang w:val="en-US" w:eastAsia="zh-CN"/>
        </w:rPr>
      </w:pPr>
    </w:p>
    <w:p w14:paraId="0A2A3EBA">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根据《中华人民共和国野生动物保护法》《最高人民法院最高人民检察院关于办理破坏野生动物资源刑事案件适用法律若干问题的解释》《四川省&lt;中华人民共和国野生动物保护法&gt;实施办法》等法律法规，决定在我县设立陆生野生动物禁猎区和禁猎期，现将有关事项通告如下。 </w:t>
      </w:r>
    </w:p>
    <w:p w14:paraId="7C465A6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一、禁猎区和禁猎期</w:t>
      </w:r>
    </w:p>
    <w:p w14:paraId="600E4777">
      <w:pPr>
        <w:keepNext w:val="0"/>
        <w:keepLines w:val="0"/>
        <w:pageBreakBefore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rPr>
        <w:t>1.禁猎区</w:t>
      </w:r>
      <w:r>
        <w:rPr>
          <w:rFonts w:hint="default" w:ascii="Times New Roman" w:hAnsi="Times New Roman" w:eastAsia="方正仿宋_GBK" w:cs="Times New Roman"/>
          <w:b w:val="0"/>
          <w:bCs w:val="0"/>
          <w:color w:val="auto"/>
          <w:sz w:val="32"/>
          <w:szCs w:val="32"/>
          <w:lang w:eastAsia="zh-CN"/>
        </w:rPr>
        <w:t>：</w:t>
      </w:r>
      <w:r>
        <w:rPr>
          <w:rFonts w:hint="eastAsia" w:eastAsia="方正仿宋_GBK" w:cs="Times New Roman"/>
          <w:b w:val="0"/>
          <w:bCs w:val="0"/>
          <w:color w:val="auto"/>
          <w:sz w:val="32"/>
          <w:szCs w:val="32"/>
          <w:lang w:val="en-US" w:eastAsia="zh-CN"/>
        </w:rPr>
        <w:t>米易县</w:t>
      </w:r>
      <w:r>
        <w:rPr>
          <w:rFonts w:hint="default" w:ascii="Times New Roman" w:hAnsi="Times New Roman" w:eastAsia="方正仿宋_GBK" w:cs="Times New Roman"/>
          <w:b w:val="0"/>
          <w:bCs w:val="0"/>
          <w:color w:val="auto"/>
          <w:sz w:val="32"/>
          <w:szCs w:val="32"/>
        </w:rPr>
        <w:t>白坡山省级自然保护区、二滩国家森林公园、龙潭风景名胜区</w:t>
      </w:r>
      <w:r>
        <w:rPr>
          <w:rFonts w:hint="default" w:ascii="Times New Roman" w:hAnsi="Times New Roman" w:eastAsia="方正仿宋_GBK" w:cs="Times New Roman"/>
          <w:b w:val="0"/>
          <w:bCs w:val="0"/>
          <w:color w:val="auto"/>
          <w:sz w:val="32"/>
          <w:szCs w:val="32"/>
          <w:lang w:val="en-US" w:eastAsia="zh-CN"/>
        </w:rPr>
        <w:t>范围内</w:t>
      </w:r>
      <w:r>
        <w:rPr>
          <w:rFonts w:hint="eastAsia"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安宁河、雅砻江及其他河流</w:t>
      </w:r>
      <w:r>
        <w:rPr>
          <w:rFonts w:hint="default" w:ascii="Times New Roman" w:hAnsi="Times New Roman" w:eastAsia="方正仿宋_GBK" w:cs="Times New Roman"/>
          <w:b w:val="0"/>
          <w:bCs w:val="0"/>
          <w:color w:val="auto"/>
          <w:sz w:val="32"/>
          <w:szCs w:val="32"/>
        </w:rPr>
        <w:t>两岸、各类水库</w:t>
      </w:r>
      <w:r>
        <w:rPr>
          <w:rFonts w:hint="default" w:ascii="Times New Roman" w:hAnsi="Times New Roman" w:eastAsia="方正仿宋_GBK" w:cs="Times New Roman"/>
          <w:b w:val="0"/>
          <w:bCs w:val="0"/>
          <w:color w:val="auto"/>
          <w:sz w:val="32"/>
          <w:szCs w:val="32"/>
          <w:lang w:val="en-US" w:eastAsia="zh-CN"/>
        </w:rPr>
        <w:t>两侧直线距离</w:t>
      </w:r>
      <w:r>
        <w:rPr>
          <w:rFonts w:hint="eastAsia" w:eastAsia="方正仿宋_GBK" w:cs="Times New Roman"/>
          <w:b w:val="0"/>
          <w:bCs w:val="0"/>
          <w:color w:val="auto"/>
          <w:sz w:val="32"/>
          <w:szCs w:val="32"/>
          <w:lang w:val="en-US" w:eastAsia="zh-CN"/>
        </w:rPr>
        <w:t>2</w:t>
      </w:r>
      <w:r>
        <w:rPr>
          <w:rFonts w:hint="default" w:ascii="Times New Roman" w:hAnsi="Times New Roman" w:eastAsia="方正仿宋_GBK" w:cs="Times New Roman"/>
          <w:b w:val="0"/>
          <w:bCs w:val="0"/>
          <w:color w:val="auto"/>
          <w:sz w:val="32"/>
          <w:szCs w:val="32"/>
          <w:lang w:val="en-US" w:eastAsia="zh-CN"/>
        </w:rPr>
        <w:t>00米以内的区域为</w:t>
      </w:r>
      <w:r>
        <w:rPr>
          <w:rFonts w:hint="default" w:ascii="Times New Roman" w:hAnsi="Times New Roman" w:eastAsia="方正仿宋_GBK" w:cs="Times New Roman"/>
          <w:b w:val="0"/>
          <w:bCs w:val="0"/>
          <w:color w:val="auto"/>
          <w:sz w:val="32"/>
          <w:szCs w:val="32"/>
        </w:rPr>
        <w:t>我县陆生野生动物禁猎区</w:t>
      </w:r>
      <w:r>
        <w:rPr>
          <w:rFonts w:hint="eastAsia" w:eastAsia="方正仿宋_GBK" w:cs="Times New Roman"/>
          <w:b w:val="0"/>
          <w:bCs w:val="0"/>
          <w:color w:val="auto"/>
          <w:sz w:val="32"/>
          <w:szCs w:val="32"/>
          <w:lang w:val="en-US" w:eastAsia="zh-CN"/>
        </w:rPr>
        <w:t>。</w:t>
      </w:r>
    </w:p>
    <w:p w14:paraId="5EC0824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eastAsia="方正仿宋_GBK" w:cs="Times New Roman"/>
          <w:b w:val="0"/>
          <w:bCs w:val="0"/>
          <w:color w:val="auto"/>
          <w:sz w:val="32"/>
          <w:szCs w:val="32"/>
          <w:lang w:val="en-US" w:eastAsia="zh-CN"/>
        </w:rPr>
      </w:pPr>
      <w:r>
        <w:rPr>
          <w:rFonts w:hint="default" w:ascii="Times New Roman" w:hAnsi="Times New Roman" w:eastAsia="方正仿宋_GBK" w:cs="Times New Roman"/>
          <w:color w:val="000000" w:themeColor="text1"/>
          <w:sz w:val="32"/>
          <w:szCs w:val="32"/>
          <w14:textFill>
            <w14:solidFill>
              <w14:schemeClr w14:val="tx1"/>
            </w14:solidFill>
          </w14:textFill>
        </w:rPr>
        <w:t>2.禁猎期</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eastAsia="方正仿宋_GBK" w:cs="Times New Roman"/>
          <w:b w:val="0"/>
          <w:bCs w:val="0"/>
          <w:color w:val="auto"/>
          <w:sz w:val="32"/>
          <w:szCs w:val="32"/>
          <w:lang w:val="en-US" w:eastAsia="zh-CN"/>
        </w:rPr>
        <w:t>禁猎区全年禁猎，其它区域禁猎期为每年3-7月。</w:t>
      </w:r>
    </w:p>
    <w:p w14:paraId="75BBDFF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val="en-US" w:eastAsia="zh-CN"/>
        </w:rPr>
        <w:t>在</w:t>
      </w:r>
      <w:r>
        <w:rPr>
          <w:rFonts w:hint="default" w:ascii="Times New Roman" w:hAnsi="Times New Roman" w:eastAsia="方正仿宋_GBK" w:cs="Times New Roman"/>
          <w:sz w:val="32"/>
          <w:szCs w:val="32"/>
        </w:rPr>
        <w:t>禁猎区</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禁猎期</w:t>
      </w:r>
      <w:r>
        <w:rPr>
          <w:rFonts w:hint="default" w:ascii="Times New Roman" w:hAnsi="Times New Roman" w:eastAsia="方正仿宋_GBK" w:cs="Times New Roman"/>
          <w:sz w:val="32"/>
          <w:szCs w:val="32"/>
          <w:lang w:val="en-US" w:eastAsia="zh-CN"/>
        </w:rPr>
        <w:t>内，</w:t>
      </w:r>
      <w:r>
        <w:rPr>
          <w:rFonts w:hint="default" w:ascii="Times New Roman" w:hAnsi="Times New Roman" w:eastAsia="方正仿宋_GBK" w:cs="Times New Roman"/>
          <w:sz w:val="32"/>
          <w:szCs w:val="32"/>
        </w:rPr>
        <w:t>禁止猎捕以及进行其他妨碍野生动物生息繁衍的活动，但法律法规另有规定的除外。</w:t>
      </w:r>
    </w:p>
    <w:p w14:paraId="46747DA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二、禁猎对象</w:t>
      </w:r>
    </w:p>
    <w:p w14:paraId="7099506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列入《国家重点保护野生动物名录》《四川省重点保护野生动物名录》</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有重要生态、科学、社会价值的陆生野生动物</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名录》</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    </w:t>
      </w:r>
      <w:r>
        <w:rPr>
          <w:rFonts w:hint="default" w:ascii="Times New Roman" w:hAnsi="Times New Roman" w:eastAsia="方正仿宋_GBK" w:cs="Times New Roman"/>
          <w:sz w:val="32"/>
          <w:szCs w:val="32"/>
        </w:rPr>
        <w:t xml:space="preserve">                                                                                                                                                                                                                                                                                                                                                                                                                                                                                                                                                                                                                                                                                                                                                                                                                                                                                                                                                                                                                                                                                                                                                                                                                                                                                                                                                                                                                                                                                                                                                                                                                                                                                                                                                                                                                                                                                                                                                                                                                                                                                                                                                                                                                                                                                                                                                                                                                                                                                                                                                                                                                                                                                                                                                                                                                                                                                                                                                                                                                                                                                                                                                                                                                                                                                                                                                                                                                                                                                                                                                                                                                                                                                                                                                                                                                                                                                                                                                                                                                                                                            </w:t>
      </w:r>
    </w:p>
    <w:p w14:paraId="1805D48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三、禁猎工具</w:t>
      </w:r>
    </w:p>
    <w:p w14:paraId="59984811">
      <w:pPr>
        <w:bidi w:val="0"/>
        <w:ind w:firstLine="640" w:firstLineChars="200"/>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禁止使用毒药、爆炸物、电击或者电子诱捕装置</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猎套、猎夹、捕鸟网</w:t>
      </w:r>
      <w:r>
        <w:rPr>
          <w:rFonts w:hint="eastAsia" w:ascii="方正仿宋_GBK" w:hAnsi="方正仿宋_GBK" w:eastAsia="方正仿宋_GBK" w:cs="方正仿宋_GBK"/>
          <w:b w:val="0"/>
          <w:bCs w:val="0"/>
          <w:sz w:val="32"/>
          <w:szCs w:val="32"/>
          <w:lang w:val="en-US" w:eastAsia="zh-CN"/>
        </w:rPr>
        <w:t>或</w:t>
      </w:r>
      <w:r>
        <w:rPr>
          <w:rFonts w:hint="eastAsia" w:ascii="方正仿宋_GBK" w:hAnsi="方正仿宋_GBK" w:eastAsia="方正仿宋_GBK" w:cs="方正仿宋_GBK"/>
          <w:b w:val="0"/>
          <w:bCs w:val="0"/>
          <w:sz w:val="32"/>
          <w:szCs w:val="32"/>
        </w:rPr>
        <w:t>粘网、地枪、排铳</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气枪、自制猎枪、铁铗、滚笼、</w:t>
      </w:r>
      <w:r>
        <w:rPr>
          <w:rFonts w:hint="eastAsia" w:ascii="方正仿宋_GBK" w:hAnsi="方正仿宋_GBK" w:eastAsia="方正仿宋_GBK" w:cs="方正仿宋_GBK"/>
          <w:b w:val="0"/>
          <w:bCs w:val="0"/>
          <w:sz w:val="32"/>
          <w:szCs w:val="32"/>
          <w:lang w:val="en-US" w:eastAsia="zh-CN"/>
        </w:rPr>
        <w:t>猎</w:t>
      </w:r>
      <w:r>
        <w:rPr>
          <w:rFonts w:hint="eastAsia" w:ascii="方正仿宋_GBK" w:hAnsi="方正仿宋_GBK" w:eastAsia="方正仿宋_GBK" w:cs="方正仿宋_GBK"/>
          <w:b w:val="0"/>
          <w:bCs w:val="0"/>
          <w:sz w:val="32"/>
          <w:szCs w:val="32"/>
        </w:rPr>
        <w:t>犬、鹰抓</w:t>
      </w:r>
      <w:r>
        <w:rPr>
          <w:rFonts w:hint="eastAsia" w:ascii="方正仿宋_GBK" w:hAnsi="方正仿宋_GBK" w:eastAsia="方正仿宋_GBK" w:cs="方正仿宋_GBK"/>
          <w:b w:val="0"/>
          <w:bCs w:val="0"/>
          <w:sz w:val="32"/>
          <w:szCs w:val="32"/>
          <w:lang w:val="en-US" w:eastAsia="zh-CN"/>
        </w:rPr>
        <w:t>和</w:t>
      </w:r>
      <w:r>
        <w:rPr>
          <w:rFonts w:hint="eastAsia" w:ascii="方正仿宋_GBK" w:hAnsi="方正仿宋_GBK" w:eastAsia="方正仿宋_GBK" w:cs="方正仿宋_GBK"/>
          <w:b w:val="0"/>
          <w:bCs w:val="0"/>
          <w:sz w:val="32"/>
          <w:szCs w:val="32"/>
        </w:rPr>
        <w:t>地弓</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弹弓</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弹叉、弓箭、弩等弹力弹射式装置、无人机、激光瞄具、热成像设备以</w:t>
      </w:r>
      <w:r>
        <w:rPr>
          <w:rFonts w:hint="eastAsia" w:ascii="方正仿宋_GBK" w:hAnsi="方正仿宋_GBK" w:eastAsia="方正仿宋_GBK" w:cs="方正仿宋_GBK"/>
          <w:b w:val="0"/>
          <w:bCs w:val="0"/>
          <w:sz w:val="32"/>
          <w:szCs w:val="32"/>
        </w:rPr>
        <w:t>及其他危害人畜安全的猎捕工具和猎捕装置</w:t>
      </w:r>
      <w:r>
        <w:rPr>
          <w:rFonts w:hint="eastAsia" w:ascii="方正仿宋_GBK" w:hAnsi="方正仿宋_GBK" w:eastAsia="方正仿宋_GBK" w:cs="方正仿宋_GBK"/>
          <w:b w:val="0"/>
          <w:bCs w:val="0"/>
          <w:sz w:val="32"/>
          <w:szCs w:val="32"/>
          <w:lang w:val="en-US" w:eastAsia="zh-CN"/>
        </w:rPr>
        <w:t>进行猎捕</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但因物种保护、科学研究确需网捕、电子诱捕以及植保作业等除外。</w:t>
      </w:r>
    </w:p>
    <w:p w14:paraId="42B7DA1D">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方正黑体_GBK" w:hAnsi="方正黑体_GBK" w:eastAsia="方正黑体_GBK" w:cs="方正黑体_GBK"/>
          <w:i w:val="0"/>
          <w:iCs w:val="0"/>
          <w:caps w:val="0"/>
          <w:color w:val="333333"/>
          <w:spacing w:val="0"/>
          <w:sz w:val="32"/>
          <w:szCs w:val="32"/>
          <w:shd w:val="clear" w:fill="FFFFFF"/>
          <w:lang w:val="en-US" w:eastAsia="zh-CN"/>
        </w:rPr>
      </w:pPr>
      <w:r>
        <w:rPr>
          <w:rFonts w:hint="eastAsia" w:ascii="方正黑体_GBK" w:hAnsi="方正黑体_GBK" w:eastAsia="方正黑体_GBK" w:cs="方正黑体_GBK"/>
          <w:i w:val="0"/>
          <w:iCs w:val="0"/>
          <w:caps w:val="0"/>
          <w:color w:val="333333"/>
          <w:spacing w:val="0"/>
          <w:kern w:val="2"/>
          <w:sz w:val="32"/>
          <w:szCs w:val="32"/>
          <w:shd w:val="clear" w:fill="FFFFFF"/>
          <w:lang w:val="en-US" w:eastAsia="zh-CN" w:bidi="ar-SA"/>
        </w:rPr>
        <w:t>四、</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禁用方法</w:t>
      </w:r>
    </w:p>
    <w:p w14:paraId="47682CCC">
      <w:pPr>
        <w:bidi w:val="0"/>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禁止使用夜间照明行猎、歼灭性围猎、火攻、烟熏、仿声、网捕、机动车追赶、兽(鸟)鸣或高频声波诱引、食物诱引、猛禽猎捕、猎狗追(围)猎、陷阱</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掏蛋、捞卵</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掏(淹)巢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捣毁巢穴以及其他禁止使用的狩猎方法进行猎捕。</w:t>
      </w:r>
    </w:p>
    <w:p w14:paraId="527012F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、法律责任</w:t>
      </w:r>
    </w:p>
    <w:p w14:paraId="6317D31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违反野生动物保护法律法规及本通告规定，非法猎捕野生动物的，由县级以上人民政府野生动物保护主管部门依法给予行政处罚；构成犯罪的，依法追究刑事责任。</w:t>
      </w:r>
    </w:p>
    <w:p w14:paraId="73B076E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六</w:t>
      </w:r>
      <w:r>
        <w:rPr>
          <w:rFonts w:hint="eastAsia" w:ascii="方正黑体_GBK" w:hAnsi="方正黑体_GBK" w:eastAsia="方正黑体_GBK" w:cs="方正黑体_GBK"/>
          <w:color w:val="000000" w:themeColor="text1"/>
          <w:sz w:val="32"/>
          <w:szCs w:val="32"/>
          <w14:textFill>
            <w14:solidFill>
              <w14:schemeClr w14:val="tx1"/>
            </w14:solidFill>
          </w14:textFill>
        </w:rPr>
        <w:t>、</w:t>
      </w:r>
      <w:r>
        <w:rPr>
          <w:rFonts w:hint="eastAsia" w:ascii="方正黑体_GBK" w:hAnsi="方正黑体_GBK" w:eastAsia="方正黑体_GBK" w:cs="方正黑体_GBK"/>
          <w:color w:val="000000" w:themeColor="text1"/>
          <w:sz w:val="32"/>
          <w:szCs w:val="32"/>
          <w:lang w:eastAsia="zh-CN"/>
          <w14:textFill>
            <w14:solidFill>
              <w14:schemeClr w14:val="tx1"/>
            </w14:solidFill>
          </w14:textFill>
        </w:rPr>
        <w:t>其他</w:t>
      </w:r>
      <w:r>
        <w:rPr>
          <w:rFonts w:hint="eastAsia" w:ascii="方正黑体_GBK" w:hAnsi="方正黑体_GBK" w:eastAsia="方正黑体_GBK" w:cs="方正黑体_GBK"/>
          <w:color w:val="000000" w:themeColor="text1"/>
          <w:sz w:val="32"/>
          <w:szCs w:val="32"/>
          <w14:textFill>
            <w14:solidFill>
              <w14:schemeClr w14:val="tx1"/>
            </w14:solidFill>
          </w14:textFill>
        </w:rPr>
        <w:t>说明</w:t>
      </w:r>
    </w:p>
    <w:p w14:paraId="09DB881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themeColor="text1"/>
          <w:sz w:val="32"/>
          <w:szCs w:val="32"/>
          <w14:textFill>
            <w14:solidFill>
              <w14:schemeClr w14:val="tx1"/>
            </w14:solidFill>
          </w14:textFill>
        </w:rPr>
        <w:t>因科学研究、种群调控、疫源疫病监测或者其他特殊情况需要猎捕的，</w:t>
      </w:r>
      <w:r>
        <w:rPr>
          <w:rFonts w:hint="default" w:ascii="Times New Roman" w:hAnsi="Times New Roman" w:eastAsia="方正仿宋_GBK" w:cs="Times New Roman"/>
          <w:sz w:val="32"/>
          <w:szCs w:val="32"/>
        </w:rPr>
        <w:t>必须依照《中华人民共和国野生动物保护法》等有关规定依法申请特许猎捕证或狩猎证，并按照规定的种类、数量、地点、工具、方法和期限进行猎捕。</w:t>
      </w:r>
    </w:p>
    <w:p w14:paraId="53053BD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、任何公民有保护野生动物资源的义务，发现违反上述规定行为的，应向米易县公安局或米易县林业局举报（县公安局举报电话</w:t>
      </w:r>
      <w:r>
        <w:rPr>
          <w:rFonts w:hint="eastAsia" w:ascii="方正黑体_GBK" w:hAnsi="方正黑体_GBK" w:eastAsia="方正黑体_GBK" w:cs="方正黑体_GBK"/>
          <w:kern w:val="0"/>
          <w:sz w:val="32"/>
          <w:szCs w:val="32"/>
        </w:rPr>
        <w:t>110</w:t>
      </w:r>
      <w:r>
        <w:rPr>
          <w:rFonts w:hint="eastAsia" w:ascii="方正黑体_GBK" w:hAnsi="方正黑体_GBK" w:eastAsia="方正黑体_GBK" w:cs="方正黑体_GBK"/>
          <w:sz w:val="32"/>
          <w:szCs w:val="32"/>
        </w:rPr>
        <w:t>、县林业局举报电话 0812-8172151）</w:t>
      </w:r>
    </w:p>
    <w:p w14:paraId="734B0DB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、本通告自发布之日起实施，有效期</w:t>
      </w:r>
      <w:r>
        <w:rPr>
          <w:rFonts w:hint="eastAsia" w:ascii="方正黑体_GBK" w:hAnsi="方正黑体_GBK" w:eastAsia="方正黑体_GBK" w:cs="方正黑体_GBK"/>
          <w:sz w:val="32"/>
          <w:szCs w:val="32"/>
          <w:lang w:val="en-US" w:eastAsia="zh-CN"/>
        </w:rPr>
        <w:t>5</w:t>
      </w:r>
      <w:r>
        <w:rPr>
          <w:rFonts w:hint="eastAsia" w:ascii="方正黑体_GBK" w:hAnsi="方正黑体_GBK" w:eastAsia="方正黑体_GBK" w:cs="方正黑体_GBK"/>
          <w:sz w:val="32"/>
          <w:szCs w:val="32"/>
        </w:rPr>
        <w:t>年。</w:t>
      </w:r>
    </w:p>
    <w:p w14:paraId="2255943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特此通告。</w:t>
      </w:r>
    </w:p>
    <w:p w14:paraId="040BEC81">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32"/>
          <w:szCs w:val="32"/>
        </w:rPr>
      </w:pPr>
    </w:p>
    <w:p w14:paraId="7296E664">
      <w:pPr>
        <w:keepNext w:val="0"/>
        <w:keepLines w:val="0"/>
        <w:pageBreakBefore w:val="0"/>
        <w:kinsoku/>
        <w:wordWrap/>
        <w:overflowPunct/>
        <w:topLinePunct w:val="0"/>
        <w:autoSpaceDE/>
        <w:autoSpaceDN/>
        <w:bidi w:val="0"/>
        <w:adjustRightInd/>
        <w:snapToGrid/>
        <w:spacing w:line="240" w:lineRule="auto"/>
        <w:ind w:firstLine="4800" w:firstLineChars="1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米易县人民政府</w:t>
      </w:r>
    </w:p>
    <w:p w14:paraId="7A98F424">
      <w:pPr>
        <w:keepNext w:val="0"/>
        <w:keepLines w:val="0"/>
        <w:pageBreakBefore w:val="0"/>
        <w:kinsoku/>
        <w:wordWrap/>
        <w:overflowPunct/>
        <w:topLinePunct w:val="0"/>
        <w:autoSpaceDE/>
        <w:autoSpaceDN/>
        <w:bidi w:val="0"/>
        <w:adjustRightInd/>
        <w:snapToGrid/>
        <w:spacing w:line="240" w:lineRule="auto"/>
        <w:ind w:firstLine="4800" w:firstLineChars="1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eastAsia="方正仿宋_GBK" w:cs="Times New Roman"/>
          <w:sz w:val="32"/>
          <w:szCs w:val="32"/>
          <w:lang w:val="en-US" w:eastAsia="zh-CN"/>
        </w:rPr>
        <w:t>7</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1</w:t>
      </w:r>
      <w:r>
        <w:rPr>
          <w:rFonts w:hint="eastAsia" w:eastAsia="方正仿宋_GBK" w:cs="Times New Roman"/>
          <w:sz w:val="32"/>
          <w:szCs w:val="32"/>
          <w:lang w:val="en-US" w:eastAsia="zh-CN"/>
        </w:rPr>
        <w:t>3</w:t>
      </w:r>
      <w:bookmarkStart w:id="0" w:name="_GoBack"/>
      <w:bookmarkEnd w:id="0"/>
      <w:r>
        <w:rPr>
          <w:rFonts w:hint="default" w:ascii="Times New Roman" w:hAnsi="Times New Roman" w:eastAsia="方正仿宋_GBK" w:cs="Times New Roman"/>
          <w:sz w:val="32"/>
          <w:szCs w:val="32"/>
        </w:rPr>
        <w:t>日</w:t>
      </w:r>
    </w:p>
    <w:p w14:paraId="0653318D">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kOWE5ZDY3MGU5ZTg0M2Y2Y2M0MjhhMjE3MzJlMTAifQ=="/>
  </w:docVars>
  <w:rsids>
    <w:rsidRoot w:val="00000000"/>
    <w:rsid w:val="017B2764"/>
    <w:rsid w:val="02184FF1"/>
    <w:rsid w:val="02E42DB9"/>
    <w:rsid w:val="033C49A3"/>
    <w:rsid w:val="03B60BF9"/>
    <w:rsid w:val="08DA0092"/>
    <w:rsid w:val="0ABD286D"/>
    <w:rsid w:val="0BFA364D"/>
    <w:rsid w:val="0CCE0D62"/>
    <w:rsid w:val="0D4A37AB"/>
    <w:rsid w:val="0F355060"/>
    <w:rsid w:val="10705BA9"/>
    <w:rsid w:val="13D65D70"/>
    <w:rsid w:val="151C6F0B"/>
    <w:rsid w:val="16A447D4"/>
    <w:rsid w:val="17164088"/>
    <w:rsid w:val="176D3294"/>
    <w:rsid w:val="17AD079E"/>
    <w:rsid w:val="17B172B6"/>
    <w:rsid w:val="1A9119E0"/>
    <w:rsid w:val="1B204E46"/>
    <w:rsid w:val="1B830F69"/>
    <w:rsid w:val="1BF00B53"/>
    <w:rsid w:val="1E0A001A"/>
    <w:rsid w:val="1F0B19A2"/>
    <w:rsid w:val="1F383F51"/>
    <w:rsid w:val="1FB240E6"/>
    <w:rsid w:val="20C233CE"/>
    <w:rsid w:val="239C1B47"/>
    <w:rsid w:val="24D22C5B"/>
    <w:rsid w:val="26A217F7"/>
    <w:rsid w:val="279B1E5B"/>
    <w:rsid w:val="28FE5F4E"/>
    <w:rsid w:val="295959FF"/>
    <w:rsid w:val="2DB16C67"/>
    <w:rsid w:val="31F37938"/>
    <w:rsid w:val="32095B51"/>
    <w:rsid w:val="340E3279"/>
    <w:rsid w:val="36260A17"/>
    <w:rsid w:val="368C11C2"/>
    <w:rsid w:val="36A679FA"/>
    <w:rsid w:val="36CC5B0D"/>
    <w:rsid w:val="39AE2E60"/>
    <w:rsid w:val="3A0B4C95"/>
    <w:rsid w:val="3AEC131B"/>
    <w:rsid w:val="3B9F1059"/>
    <w:rsid w:val="3C326368"/>
    <w:rsid w:val="3D7E0C18"/>
    <w:rsid w:val="3E6F4200"/>
    <w:rsid w:val="3FA44E04"/>
    <w:rsid w:val="41CF4659"/>
    <w:rsid w:val="450B7626"/>
    <w:rsid w:val="46262841"/>
    <w:rsid w:val="479C4FDD"/>
    <w:rsid w:val="48315C40"/>
    <w:rsid w:val="48B738B0"/>
    <w:rsid w:val="48FF3A76"/>
    <w:rsid w:val="4C651E42"/>
    <w:rsid w:val="4E142FAD"/>
    <w:rsid w:val="4EE80030"/>
    <w:rsid w:val="4F391DD0"/>
    <w:rsid w:val="507854CC"/>
    <w:rsid w:val="51D75590"/>
    <w:rsid w:val="539B3EAD"/>
    <w:rsid w:val="540F421A"/>
    <w:rsid w:val="54C16083"/>
    <w:rsid w:val="56AC249A"/>
    <w:rsid w:val="579779BB"/>
    <w:rsid w:val="5A0355C1"/>
    <w:rsid w:val="5AA47119"/>
    <w:rsid w:val="62CE02E9"/>
    <w:rsid w:val="62EC4C13"/>
    <w:rsid w:val="6360460B"/>
    <w:rsid w:val="63F26680"/>
    <w:rsid w:val="65BD1043"/>
    <w:rsid w:val="66B617C0"/>
    <w:rsid w:val="66FB5425"/>
    <w:rsid w:val="671B5A1D"/>
    <w:rsid w:val="686D4100"/>
    <w:rsid w:val="68FD5E21"/>
    <w:rsid w:val="6CF3611F"/>
    <w:rsid w:val="6CFC710B"/>
    <w:rsid w:val="6D050DAB"/>
    <w:rsid w:val="6D9739CD"/>
    <w:rsid w:val="6E656346"/>
    <w:rsid w:val="6F614293"/>
    <w:rsid w:val="70986E39"/>
    <w:rsid w:val="717B5AE0"/>
    <w:rsid w:val="73966C01"/>
    <w:rsid w:val="742F670E"/>
    <w:rsid w:val="745445B3"/>
    <w:rsid w:val="74714F78"/>
    <w:rsid w:val="7709695C"/>
    <w:rsid w:val="773329B9"/>
    <w:rsid w:val="776166F1"/>
    <w:rsid w:val="787C3AB9"/>
    <w:rsid w:val="78CE0196"/>
    <w:rsid w:val="7BBD0AA3"/>
    <w:rsid w:val="7BC57D1D"/>
    <w:rsid w:val="7F7E2F49"/>
    <w:rsid w:val="7FB81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cffa14a2-2dae-4031-84dc-b7363886ab7f</errorID>
      <errorWord>最高人民法院最高人民检察院</errorWord>
      <group>L1_Political</group>
      <groupName>政治性问题</groupName>
      <ability>L2_Keyword</ability>
      <abilityName>固定表述</abilityName>
      <candidateList>
        <item>最高人民法院、最高人民检察院</item>
      </candidateList>
      <explain>注意检查当前固定表述标点是否使用规范。</explain>
      <paraID> A2A3EBA</paraID>
      <start>19</start>
      <end>32</end>
      <status>ignored</status>
      <modifiedWord/>
      <trackRevisions>false</trackRevisions>
    </reviewItem>
    <reviewItem>
      <errorID>a8615690-1c33-45a7-a0fa-4848428a78a2</errorID>
      <errorWord>四川省&lt;中华人民共和国野生动物保护法&gt;实施办法</errorWord>
      <group>L1_Knowledge</group>
      <groupName>知识性问题</groupName>
      <ability>L2_Knowledge</ability>
      <abilityName>其他知识</abilityName>
      <candidateList>
        <item>四川省〈中华人民共和国野生动物保护法〉实施办法</item>
      </candidateList>
      <explain>当前法律法规未收录或尚未生效，注意核查是否正确。</explain>
      <paraID> A2A3EBA</paraID>
      <start>61</start>
      <end>84</end>
      <status>ignored</status>
      <modifiedWord/>
      <trackRevisions>false</trackRevisions>
    </reviewItem>
    <reviewItem>
      <errorID>896b5132-20bb-42b3-82be-c1cb918f5d89</errorID>
      <errorWord>生息繁衍</errorWord>
      <group>L1_AI</group>
      <groupName>深度校对</groupName>
      <ability>L2_AI_Grammar</ability>
      <abilityName>语法纠错</abilityName>
      <candidateList>
        <item>生息</item>
      </candidateList>
      <explain/>
      <paraID>75BBDFF1</paraID>
      <start>28</start>
      <end>32</end>
      <status>ignored</status>
      <modifiedWord/>
      <trackRevisions>false</trackRevisions>
    </reviewItem>
  </reviewItems>
  <config/>
</contractReview>
</file>

<file path=customXml/itemProps1.xml><?xml version="1.0" encoding="utf-8"?>
<ds:datastoreItem xmlns:ds="http://schemas.openxmlformats.org/officeDocument/2006/customXml" ds:itemID="{bd73c3ff-8dfe-4c9b-b476-31bf71877b02}">
  <ds:schemaRefs/>
</ds:datastoreItem>
</file>

<file path=docProps/app.xml><?xml version="1.0" encoding="utf-8"?>
<Properties xmlns="http://schemas.openxmlformats.org/officeDocument/2006/extended-properties" xmlns:vt="http://schemas.openxmlformats.org/officeDocument/2006/docPropsVTypes">
  <Template>Normal.dotm</Template>
  <Pages>3</Pages>
  <Words>942</Words>
  <Characters>966</Characters>
  <Lines>0</Lines>
  <Paragraphs>0</Paragraphs>
  <TotalTime>4</TotalTime>
  <ScaleCrop>false</ScaleCrop>
  <LinksUpToDate>false</LinksUpToDate>
  <CharactersWithSpaces>4890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2023-08-04T01:43:00Z</dcterms:created>
  <dc:creator>Administrator</dc:creator>
  <cp:lastModifiedBy>Summer。</cp:lastModifiedBy>
  <cp:lastPrinted>2026-06-24T01:18:00Z</cp:lastPrinted>
  <dcterms:modified xsi:type="dcterms:W3CDTF">2026-07-13T03:55:48Z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ECC3092B472F4037A779631D3797F3FD_13</vt:lpwstr>
  </property>
  <property fmtid="{D5CDD505-2E9C-101B-9397-08002B2CF9AE}" pid="4" name="KSOTemplateDocerSaveRecord">
    <vt:lpwstr>eyJoZGlkIjoiYzJlYmE0YWY2NmVlYTgwYzUwM2UzNTY5YmUzMTJkYzEiLCJ1c2VySWQiOiI2NjYxMzg5MDAifQ==</vt:lpwstr>
  </property>
</Properties>
</file>